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3FE7F" w14:textId="77777777" w:rsidR="00007EF9" w:rsidRPr="000D3D7F" w:rsidRDefault="00007EF9" w:rsidP="001E1F5A">
      <w:pPr>
        <w:rPr>
          <w:lang w:val="sr-Latn-ME"/>
        </w:rPr>
      </w:pPr>
    </w:p>
    <w:p w14:paraId="17A3FE80" w14:textId="41891081" w:rsidR="00007EF9" w:rsidRPr="000D3D7F" w:rsidRDefault="001E1F5A" w:rsidP="001E1F5A">
      <w:pPr>
        <w:rPr>
          <w:b/>
          <w:bCs/>
          <w:iCs/>
          <w:szCs w:val="22"/>
          <w:lang w:val="sr-Latn-ME"/>
        </w:rPr>
      </w:pPr>
      <w:r w:rsidRPr="000D3D7F">
        <w:rPr>
          <w:b/>
          <w:bCs/>
          <w:iCs/>
          <w:szCs w:val="22"/>
          <w:lang w:val="sr-Latn-ME"/>
        </w:rPr>
        <w:t xml:space="preserve">                                                     </w:t>
      </w:r>
      <w:r w:rsidR="00007EF9" w:rsidRPr="000D3D7F">
        <w:rPr>
          <w:b/>
          <w:bCs/>
          <w:iCs/>
          <w:szCs w:val="22"/>
          <w:lang w:val="sr-Latn-ME"/>
        </w:rPr>
        <w:t>SAŽETAK KARAKTERISTIKA L</w:t>
      </w:r>
      <w:r w:rsidR="000D1243" w:rsidRPr="000D3D7F">
        <w:rPr>
          <w:b/>
          <w:bCs/>
          <w:iCs/>
          <w:szCs w:val="22"/>
          <w:lang w:val="sr-Latn-ME"/>
        </w:rPr>
        <w:t>IJ</w:t>
      </w:r>
      <w:r w:rsidR="00007EF9" w:rsidRPr="000D3D7F">
        <w:rPr>
          <w:b/>
          <w:bCs/>
          <w:iCs/>
          <w:szCs w:val="22"/>
          <w:lang w:val="sr-Latn-ME"/>
        </w:rPr>
        <w:t>EKA</w:t>
      </w:r>
    </w:p>
    <w:p w14:paraId="17A3FE81" w14:textId="77777777" w:rsidR="00007EF9" w:rsidRPr="000D3D7F" w:rsidRDefault="00007EF9" w:rsidP="001E1F5A">
      <w:pPr>
        <w:rPr>
          <w:szCs w:val="22"/>
          <w:lang w:val="sr-Latn-ME"/>
        </w:rPr>
      </w:pPr>
      <w:r w:rsidRPr="000D3D7F">
        <w:rPr>
          <w:szCs w:val="22"/>
          <w:lang w:val="sr-Latn-ME"/>
        </w:rPr>
        <w:t xml:space="preserve"> </w:t>
      </w:r>
    </w:p>
    <w:p w14:paraId="17A3FE82" w14:textId="77777777" w:rsidR="00007EF9" w:rsidRPr="000D3D7F" w:rsidRDefault="00007EF9" w:rsidP="001E1F5A">
      <w:pPr>
        <w:rPr>
          <w:szCs w:val="22"/>
          <w:lang w:val="sr-Latn-ME"/>
        </w:rPr>
      </w:pPr>
    </w:p>
    <w:p w14:paraId="17A3FE88" w14:textId="2E230493" w:rsidR="00007EF9" w:rsidRPr="000D3D7F" w:rsidRDefault="00007EF9" w:rsidP="001E1F5A">
      <w:pPr>
        <w:pStyle w:val="NASLOV123"/>
        <w:jc w:val="both"/>
        <w:rPr>
          <w:lang w:val="sr-Latn-ME"/>
        </w:rPr>
      </w:pPr>
      <w:r w:rsidRPr="000D3D7F">
        <w:rPr>
          <w:lang w:val="sr-Latn-ME"/>
        </w:rPr>
        <w:t xml:space="preserve">1. </w:t>
      </w:r>
      <w:r w:rsidR="000D1243" w:rsidRPr="000D3D7F">
        <w:rPr>
          <w:lang w:val="sr-Latn-ME"/>
        </w:rPr>
        <w:t>NAZIV</w:t>
      </w:r>
      <w:r w:rsidRPr="000D3D7F">
        <w:rPr>
          <w:lang w:val="sr-Latn-ME"/>
        </w:rPr>
        <w:t xml:space="preserve"> L</w:t>
      </w:r>
      <w:r w:rsidR="000D1243" w:rsidRPr="000D3D7F">
        <w:rPr>
          <w:lang w:val="sr-Latn-ME"/>
        </w:rPr>
        <w:t>IJ</w:t>
      </w:r>
      <w:r w:rsidRPr="000D3D7F">
        <w:rPr>
          <w:lang w:val="sr-Latn-ME"/>
        </w:rPr>
        <w:t>EKA</w:t>
      </w:r>
    </w:p>
    <w:p w14:paraId="17A3FE8C" w14:textId="00FDB022" w:rsidR="00007EF9" w:rsidRPr="000D3D7F" w:rsidRDefault="00DF2F42" w:rsidP="001E1F5A">
      <w:pPr>
        <w:rPr>
          <w:bCs/>
          <w:szCs w:val="22"/>
          <w:lang w:val="sr-Latn-ME"/>
        </w:rPr>
      </w:pPr>
      <w:r w:rsidRPr="000D3D7F">
        <w:rPr>
          <w:bCs/>
          <w:szCs w:val="22"/>
          <w:lang w:val="sr-Latn-ME"/>
        </w:rPr>
        <w:t>Bortegaz</w:t>
      </w:r>
      <w:r w:rsidR="00007EF9" w:rsidRPr="000D3D7F">
        <w:rPr>
          <w:bCs/>
          <w:szCs w:val="22"/>
          <w:lang w:val="sr-Latn-ME"/>
        </w:rPr>
        <w:t xml:space="preserve">, </w:t>
      </w:r>
      <w:r w:rsidRPr="000D3D7F">
        <w:rPr>
          <w:bCs/>
          <w:szCs w:val="22"/>
          <w:lang w:val="sr-Latn-ME"/>
        </w:rPr>
        <w:t>3,5 mg</w:t>
      </w:r>
      <w:r w:rsidR="00007EF9" w:rsidRPr="000D3D7F">
        <w:rPr>
          <w:bCs/>
          <w:szCs w:val="22"/>
          <w:lang w:val="sr-Latn-ME"/>
        </w:rPr>
        <w:t xml:space="preserve">, </w:t>
      </w:r>
      <w:r w:rsidRPr="000D3D7F">
        <w:rPr>
          <w:bCs/>
          <w:szCs w:val="22"/>
          <w:lang w:val="sr-Latn-ME"/>
        </w:rPr>
        <w:t>prašak za rastvor za injekciju</w:t>
      </w:r>
    </w:p>
    <w:p w14:paraId="17A3FE8D" w14:textId="77777777" w:rsidR="00007EF9" w:rsidRPr="000D3D7F" w:rsidRDefault="00007EF9" w:rsidP="001E1F5A">
      <w:pPr>
        <w:rPr>
          <w:bCs/>
          <w:szCs w:val="22"/>
          <w:lang w:val="sr-Latn-ME"/>
        </w:rPr>
      </w:pPr>
    </w:p>
    <w:p w14:paraId="17A3FE8E" w14:textId="0049504C" w:rsidR="00007EF9" w:rsidRPr="000D3D7F" w:rsidRDefault="00007EF9" w:rsidP="001E1F5A">
      <w:pPr>
        <w:rPr>
          <w:szCs w:val="22"/>
          <w:lang w:val="sr-Latn-ME"/>
        </w:rPr>
      </w:pPr>
      <w:r w:rsidRPr="000D3D7F">
        <w:rPr>
          <w:szCs w:val="22"/>
          <w:lang w:val="sr-Latn-ME"/>
        </w:rPr>
        <w:t>INN:</w:t>
      </w:r>
      <w:r w:rsidR="00DF2F42" w:rsidRPr="000D3D7F">
        <w:rPr>
          <w:szCs w:val="22"/>
          <w:lang w:val="sr-Latn-ME"/>
        </w:rPr>
        <w:t xml:space="preserve"> bortezomib</w:t>
      </w:r>
    </w:p>
    <w:p w14:paraId="17A3FE8F" w14:textId="77777777" w:rsidR="00007EF9" w:rsidRPr="000D3D7F" w:rsidRDefault="00007EF9" w:rsidP="001E1F5A">
      <w:pPr>
        <w:rPr>
          <w:szCs w:val="22"/>
          <w:lang w:val="sr-Latn-ME"/>
        </w:rPr>
      </w:pPr>
    </w:p>
    <w:p w14:paraId="17A3FE93" w14:textId="25D66335" w:rsidR="00007EF9" w:rsidRPr="000D3D7F" w:rsidRDefault="00007EF9" w:rsidP="001E1F5A">
      <w:pPr>
        <w:pStyle w:val="NASLOV123"/>
        <w:jc w:val="both"/>
        <w:rPr>
          <w:lang w:val="sr-Latn-ME"/>
        </w:rPr>
      </w:pPr>
      <w:r w:rsidRPr="000D3D7F">
        <w:rPr>
          <w:lang w:val="sr-Latn-ME"/>
        </w:rPr>
        <w:t>2. KVALITATIVNI I KVANTITATIVNI SASTAV</w:t>
      </w:r>
    </w:p>
    <w:p w14:paraId="35E833ED" w14:textId="116407FD" w:rsidR="00A55D2E" w:rsidRPr="000D3D7F" w:rsidRDefault="00D26B14" w:rsidP="000A2FD4">
      <w:pPr>
        <w:tabs>
          <w:tab w:val="clear" w:pos="284"/>
        </w:tabs>
        <w:rPr>
          <w:rFonts w:eastAsia="Calibri"/>
          <w:lang w:val="sr-Latn-ME"/>
        </w:rPr>
      </w:pPr>
      <w:r w:rsidRPr="000D3D7F">
        <w:rPr>
          <w:rFonts w:eastAsia="Calibri"/>
          <w:szCs w:val="22"/>
          <w:lang w:val="sr-Latn-ME"/>
        </w:rPr>
        <w:t>Jedna bočica praška za rastvor za injekciju sadrži 3,5 mg bortezomiba</w:t>
      </w:r>
      <w:r w:rsidR="00D343B1" w:rsidRPr="000D3D7F">
        <w:rPr>
          <w:rFonts w:eastAsia="Calibri"/>
          <w:szCs w:val="22"/>
          <w:lang w:val="sr-Latn-ME"/>
        </w:rPr>
        <w:t xml:space="preserve"> (u obliku estra manitola i boronske kiseline).</w:t>
      </w:r>
    </w:p>
    <w:p w14:paraId="1E980BA7" w14:textId="5138B2B6" w:rsidR="00A714F3" w:rsidRPr="000D3D7F" w:rsidRDefault="00A714F3" w:rsidP="00A714F3">
      <w:pPr>
        <w:rPr>
          <w:rFonts w:eastAsia="Calibri"/>
          <w:szCs w:val="22"/>
          <w:lang w:val="sr-Latn-ME"/>
        </w:rPr>
      </w:pPr>
      <w:r w:rsidRPr="000D3D7F">
        <w:rPr>
          <w:rFonts w:eastAsia="Calibri"/>
          <w:szCs w:val="22"/>
          <w:lang w:val="sr-Latn-ME"/>
        </w:rPr>
        <w:t>Nakon rekonstitucije, 1 m</w:t>
      </w:r>
      <w:r w:rsidR="00BA7C4D" w:rsidRPr="000D3D7F">
        <w:rPr>
          <w:rFonts w:eastAsia="Calibri"/>
          <w:szCs w:val="22"/>
          <w:lang w:val="sr-Latn-ME"/>
        </w:rPr>
        <w:t>l</w:t>
      </w:r>
      <w:r w:rsidRPr="000D3D7F">
        <w:rPr>
          <w:rFonts w:eastAsia="Calibri"/>
          <w:szCs w:val="22"/>
          <w:lang w:val="sr-Latn-ME"/>
        </w:rPr>
        <w:t xml:space="preserve"> rastvora za su</w:t>
      </w:r>
      <w:r w:rsidR="001733E9" w:rsidRPr="000D3D7F">
        <w:rPr>
          <w:rFonts w:eastAsia="Calibri"/>
          <w:szCs w:val="22"/>
          <w:lang w:val="sr-Latn-ME"/>
        </w:rPr>
        <w:t>bk</w:t>
      </w:r>
      <w:r w:rsidRPr="000D3D7F">
        <w:rPr>
          <w:rFonts w:eastAsia="Calibri"/>
          <w:szCs w:val="22"/>
          <w:lang w:val="sr-Latn-ME"/>
        </w:rPr>
        <w:t>utanu injekciju sadrži 2,5 mg bortezomiba.</w:t>
      </w:r>
    </w:p>
    <w:p w14:paraId="4A03CA74" w14:textId="383C5E40" w:rsidR="00A714F3" w:rsidRPr="000D3D7F" w:rsidRDefault="00A714F3" w:rsidP="00A714F3">
      <w:pPr>
        <w:rPr>
          <w:rFonts w:eastAsia="Calibri"/>
          <w:szCs w:val="22"/>
          <w:lang w:val="sr-Latn-ME"/>
        </w:rPr>
      </w:pPr>
      <w:r w:rsidRPr="000D3D7F">
        <w:rPr>
          <w:rFonts w:eastAsia="Calibri"/>
          <w:szCs w:val="22"/>
          <w:lang w:val="sr-Latn-ME"/>
        </w:rPr>
        <w:t>Nakon rekonstitucije, 1 m</w:t>
      </w:r>
      <w:r w:rsidR="00BA7C4D" w:rsidRPr="000D3D7F">
        <w:rPr>
          <w:rFonts w:eastAsia="Calibri"/>
          <w:szCs w:val="22"/>
          <w:lang w:val="sr-Latn-ME"/>
        </w:rPr>
        <w:t>l</w:t>
      </w:r>
      <w:r w:rsidRPr="000D3D7F">
        <w:rPr>
          <w:rFonts w:eastAsia="Calibri"/>
          <w:szCs w:val="22"/>
          <w:lang w:val="sr-Latn-ME"/>
        </w:rPr>
        <w:t xml:space="preserve"> rastvora za intravensku injekciju sadrži 1 mg bortezomiba.</w:t>
      </w:r>
    </w:p>
    <w:p w14:paraId="4BE13C42" w14:textId="77777777" w:rsidR="004013B1" w:rsidRPr="000D3D7F" w:rsidRDefault="004013B1" w:rsidP="001E1F5A">
      <w:pPr>
        <w:tabs>
          <w:tab w:val="clear" w:pos="284"/>
        </w:tabs>
        <w:rPr>
          <w:rFonts w:eastAsia="Calibri"/>
          <w:szCs w:val="22"/>
          <w:lang w:val="sr-Latn-ME"/>
        </w:rPr>
      </w:pPr>
    </w:p>
    <w:p w14:paraId="1BE7650F" w14:textId="6C1EEC31" w:rsidR="00832626" w:rsidRDefault="00A55D2E" w:rsidP="00C80A8C">
      <w:pPr>
        <w:tabs>
          <w:tab w:val="clear" w:pos="284"/>
        </w:tabs>
        <w:rPr>
          <w:lang w:val="sr-Latn-ME"/>
        </w:rPr>
      </w:pPr>
      <w:r w:rsidRPr="000D3D7F">
        <w:rPr>
          <w:lang w:val="sr-Latn-ME"/>
        </w:rPr>
        <w:t>Za spisak svih pomoćnih supstanci pogledati dio 6.1.</w:t>
      </w:r>
    </w:p>
    <w:p w14:paraId="7958040A" w14:textId="77777777" w:rsidR="00C80A8C" w:rsidRPr="000D3D7F" w:rsidRDefault="00C80A8C" w:rsidP="00C80A8C">
      <w:pPr>
        <w:tabs>
          <w:tab w:val="clear" w:pos="284"/>
        </w:tabs>
        <w:rPr>
          <w:lang w:val="sr-Latn-ME"/>
        </w:rPr>
      </w:pPr>
    </w:p>
    <w:p w14:paraId="17A3FE96" w14:textId="1D352C0B" w:rsidR="00007EF9" w:rsidRPr="000D3D7F" w:rsidRDefault="00007EF9" w:rsidP="001E1F5A">
      <w:pPr>
        <w:pStyle w:val="NASLOV123"/>
        <w:jc w:val="both"/>
        <w:rPr>
          <w:lang w:val="sr-Latn-ME"/>
        </w:rPr>
      </w:pPr>
      <w:r w:rsidRPr="000D3D7F">
        <w:rPr>
          <w:lang w:val="sr-Latn-ME"/>
        </w:rPr>
        <w:t>3. FARMACEUTSKI OBLIK</w:t>
      </w:r>
    </w:p>
    <w:p w14:paraId="17A3FE97" w14:textId="6904BA4C" w:rsidR="00007EF9" w:rsidRPr="000D3D7F" w:rsidRDefault="00C17BC9" w:rsidP="001E1F5A">
      <w:pPr>
        <w:rPr>
          <w:szCs w:val="22"/>
          <w:lang w:val="sr-Latn-ME"/>
        </w:rPr>
      </w:pPr>
      <w:r w:rsidRPr="000D3D7F">
        <w:rPr>
          <w:szCs w:val="22"/>
          <w:lang w:val="sr-Latn-ME"/>
        </w:rPr>
        <w:t>Prašak za rastvor za injekciju.</w:t>
      </w:r>
    </w:p>
    <w:p w14:paraId="1E18A3DA" w14:textId="7E72D424" w:rsidR="00832626" w:rsidRPr="000D3D7F" w:rsidRDefault="00C17BC9" w:rsidP="00D41960">
      <w:pPr>
        <w:rPr>
          <w:szCs w:val="22"/>
          <w:lang w:val="sr-Latn-ME"/>
        </w:rPr>
      </w:pPr>
      <w:r w:rsidRPr="000D3D7F">
        <w:rPr>
          <w:szCs w:val="22"/>
          <w:lang w:val="sr-Latn-ME"/>
        </w:rPr>
        <w:t>B</w:t>
      </w:r>
      <w:r w:rsidR="000D1243" w:rsidRPr="000D3D7F">
        <w:rPr>
          <w:szCs w:val="22"/>
          <w:lang w:val="sr-Latn-ME"/>
        </w:rPr>
        <w:t>ij</w:t>
      </w:r>
      <w:r w:rsidRPr="000D3D7F">
        <w:rPr>
          <w:szCs w:val="22"/>
          <w:lang w:val="sr-Latn-ME"/>
        </w:rPr>
        <w:t>e</w:t>
      </w:r>
      <w:r w:rsidR="000D1243" w:rsidRPr="000D3D7F">
        <w:rPr>
          <w:szCs w:val="22"/>
          <w:lang w:val="sr-Latn-ME"/>
        </w:rPr>
        <w:t>li</w:t>
      </w:r>
      <w:r w:rsidRPr="000D3D7F">
        <w:rPr>
          <w:szCs w:val="22"/>
          <w:lang w:val="sr-Latn-ME"/>
        </w:rPr>
        <w:t xml:space="preserve"> do skoro b</w:t>
      </w:r>
      <w:r w:rsidR="000D1243" w:rsidRPr="000D3D7F">
        <w:rPr>
          <w:szCs w:val="22"/>
          <w:lang w:val="sr-Latn-ME"/>
        </w:rPr>
        <w:t>ijeli</w:t>
      </w:r>
      <w:r w:rsidRPr="000D3D7F">
        <w:rPr>
          <w:szCs w:val="22"/>
          <w:lang w:val="sr-Latn-ME"/>
        </w:rPr>
        <w:t xml:space="preserve"> prašak ili kolač.</w:t>
      </w:r>
    </w:p>
    <w:p w14:paraId="16416E61" w14:textId="77777777" w:rsidR="00D41960" w:rsidRPr="000D3D7F" w:rsidRDefault="00D41960" w:rsidP="00D41960">
      <w:pPr>
        <w:rPr>
          <w:lang w:val="sr-Latn-ME"/>
        </w:rPr>
      </w:pPr>
      <w:bookmarkStart w:id="0" w:name="_GoBack"/>
      <w:bookmarkEnd w:id="0"/>
    </w:p>
    <w:p w14:paraId="17A3FE99" w14:textId="058A1A1E" w:rsidR="00007EF9" w:rsidRPr="000D3D7F" w:rsidRDefault="00007EF9" w:rsidP="001E1F5A">
      <w:pPr>
        <w:pStyle w:val="NASLOV123"/>
        <w:jc w:val="both"/>
        <w:rPr>
          <w:lang w:val="sr-Latn-ME"/>
        </w:rPr>
      </w:pPr>
      <w:r w:rsidRPr="000D3D7F">
        <w:rPr>
          <w:lang w:val="sr-Latn-ME"/>
        </w:rPr>
        <w:t>4. KLINIČKI PODACI</w:t>
      </w:r>
    </w:p>
    <w:p w14:paraId="17A3FE9A" w14:textId="77777777" w:rsidR="00007EF9" w:rsidRPr="000D3D7F" w:rsidRDefault="00007EF9" w:rsidP="001E1F5A">
      <w:pPr>
        <w:rPr>
          <w:b/>
          <w:bCs/>
          <w:szCs w:val="22"/>
          <w:lang w:val="sr-Latn-ME"/>
        </w:rPr>
      </w:pPr>
      <w:r w:rsidRPr="000D3D7F">
        <w:rPr>
          <w:b/>
          <w:bCs/>
          <w:szCs w:val="22"/>
          <w:lang w:val="sr-Latn-ME"/>
        </w:rPr>
        <w:t>4.1. Terapijske indikacije</w:t>
      </w:r>
    </w:p>
    <w:p w14:paraId="0B49161A" w14:textId="0B698129" w:rsidR="00DF2F42"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je indikovan kao monoterapija ili u kombinaciji sa pegilovanim lipozomalnim doksorubicinom</w:t>
      </w:r>
      <w:r w:rsidR="00EF29F8" w:rsidRPr="000D3D7F">
        <w:rPr>
          <w:szCs w:val="22"/>
          <w:lang w:val="sr-Latn-ME"/>
        </w:rPr>
        <w:t xml:space="preserve"> </w:t>
      </w:r>
      <w:r w:rsidRPr="000D3D7F">
        <w:rPr>
          <w:szCs w:val="22"/>
          <w:lang w:val="sr-Latn-ME"/>
        </w:rPr>
        <w:t>ili deksametazonom za l</w:t>
      </w:r>
      <w:r w:rsidR="000D1243" w:rsidRPr="000D3D7F">
        <w:rPr>
          <w:szCs w:val="22"/>
          <w:lang w:val="sr-Latn-ME"/>
        </w:rPr>
        <w:t>ij</w:t>
      </w:r>
      <w:r w:rsidRPr="000D3D7F">
        <w:rPr>
          <w:szCs w:val="22"/>
          <w:lang w:val="sr-Latn-ME"/>
        </w:rPr>
        <w:t>ečenje odraslih pacijenata sa progresivnim multiplim mijelomom koji su prethodno</w:t>
      </w:r>
      <w:r w:rsidR="00EF29F8" w:rsidRPr="000D3D7F">
        <w:rPr>
          <w:szCs w:val="22"/>
          <w:lang w:val="sr-Latn-ME"/>
        </w:rPr>
        <w:t xml:space="preserve"> </w:t>
      </w:r>
      <w:r w:rsidRPr="000D3D7F">
        <w:rPr>
          <w:szCs w:val="22"/>
          <w:lang w:val="sr-Latn-ME"/>
        </w:rPr>
        <w:t>završili bar jedan terapijski protokol i kod kojih je izvršena transplantacija matičnih ćelija hematopoeze ili su</w:t>
      </w:r>
      <w:r w:rsidR="00EF29F8" w:rsidRPr="000D3D7F">
        <w:rPr>
          <w:szCs w:val="22"/>
          <w:lang w:val="sr-Latn-ME"/>
        </w:rPr>
        <w:t xml:space="preserve"> </w:t>
      </w:r>
      <w:r w:rsidR="001E1F5A" w:rsidRPr="000D3D7F">
        <w:rPr>
          <w:szCs w:val="22"/>
          <w:lang w:val="sr-Latn-ME"/>
        </w:rPr>
        <w:t xml:space="preserve">bili </w:t>
      </w:r>
      <w:r w:rsidRPr="000D3D7F">
        <w:rPr>
          <w:szCs w:val="22"/>
          <w:lang w:val="sr-Latn-ME"/>
        </w:rPr>
        <w:t>nepodobni za nju.</w:t>
      </w:r>
    </w:p>
    <w:p w14:paraId="587EA65A" w14:textId="564773AA" w:rsidR="00DF2F42"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u kombinaciji sa melfalanom i prednizonom, indikovan je u terapiji odraslih pacijenata obol</w:t>
      </w:r>
      <w:r w:rsidR="00F547A5" w:rsidRPr="000D3D7F">
        <w:rPr>
          <w:szCs w:val="22"/>
          <w:lang w:val="sr-Latn-ME"/>
        </w:rPr>
        <w:t>j</w:t>
      </w:r>
      <w:r w:rsidRPr="000D3D7F">
        <w:rPr>
          <w:szCs w:val="22"/>
          <w:lang w:val="sr-Latn-ME"/>
        </w:rPr>
        <w:t>elih</w:t>
      </w:r>
      <w:r w:rsidR="00EF29F8" w:rsidRPr="000D3D7F">
        <w:rPr>
          <w:szCs w:val="22"/>
          <w:lang w:val="sr-Latn-ME"/>
        </w:rPr>
        <w:t xml:space="preserve"> </w:t>
      </w:r>
      <w:r w:rsidRPr="000D3D7F">
        <w:rPr>
          <w:szCs w:val="22"/>
          <w:lang w:val="sr-Latn-ME"/>
        </w:rPr>
        <w:t>od multiplog mijeloma koji prethodno ni</w:t>
      </w:r>
      <w:r w:rsidR="001E1F5A" w:rsidRPr="000D3D7F">
        <w:rPr>
          <w:szCs w:val="22"/>
          <w:lang w:val="sr-Latn-ME"/>
        </w:rPr>
        <w:t>je</w:t>
      </w:r>
      <w:r w:rsidRPr="000D3D7F">
        <w:rPr>
          <w:szCs w:val="22"/>
          <w:lang w:val="sr-Latn-ME"/>
        </w:rPr>
        <w:t>su l</w:t>
      </w:r>
      <w:r w:rsidR="000D1243" w:rsidRPr="000D3D7F">
        <w:rPr>
          <w:szCs w:val="22"/>
          <w:lang w:val="sr-Latn-ME"/>
        </w:rPr>
        <w:t>ij</w:t>
      </w:r>
      <w:r w:rsidRPr="000D3D7F">
        <w:rPr>
          <w:szCs w:val="22"/>
          <w:lang w:val="sr-Latn-ME"/>
        </w:rPr>
        <w:t>ečeni, a kod kojih se ne može prim</w:t>
      </w:r>
      <w:r w:rsidR="000D1243" w:rsidRPr="000D3D7F">
        <w:rPr>
          <w:szCs w:val="22"/>
          <w:lang w:val="sr-Latn-ME"/>
        </w:rPr>
        <w:t>ij</w:t>
      </w:r>
      <w:r w:rsidRPr="000D3D7F">
        <w:rPr>
          <w:szCs w:val="22"/>
          <w:lang w:val="sr-Latn-ME"/>
        </w:rPr>
        <w:t>eniti visokodozna</w:t>
      </w:r>
      <w:r w:rsidR="00EF29F8" w:rsidRPr="000D3D7F">
        <w:rPr>
          <w:szCs w:val="22"/>
          <w:lang w:val="sr-Latn-ME"/>
        </w:rPr>
        <w:t xml:space="preserve"> </w:t>
      </w:r>
      <w:r w:rsidRPr="000D3D7F">
        <w:rPr>
          <w:szCs w:val="22"/>
          <w:lang w:val="sr-Latn-ME"/>
        </w:rPr>
        <w:t>hemoterapija sa transplantacijom matičnih ćelija hematopoeze.</w:t>
      </w:r>
    </w:p>
    <w:p w14:paraId="2EB00B44" w14:textId="4ACB47FE" w:rsidR="00DF2F42"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u kombinaciji sa deksametazonom, ili sa deksametazonom i talidomidom je indikovan za</w:t>
      </w:r>
      <w:r w:rsidR="00EF29F8" w:rsidRPr="000D3D7F">
        <w:rPr>
          <w:szCs w:val="22"/>
          <w:lang w:val="sr-Latn-ME"/>
        </w:rPr>
        <w:t xml:space="preserve"> </w:t>
      </w:r>
      <w:r w:rsidRPr="000D3D7F">
        <w:rPr>
          <w:szCs w:val="22"/>
          <w:lang w:val="sr-Latn-ME"/>
        </w:rPr>
        <w:t>indukcionu terapiju odraslih pacijenata obol</w:t>
      </w:r>
      <w:r w:rsidR="000D1243" w:rsidRPr="000D3D7F">
        <w:rPr>
          <w:szCs w:val="22"/>
          <w:lang w:val="sr-Latn-ME"/>
        </w:rPr>
        <w:t>j</w:t>
      </w:r>
      <w:r w:rsidRPr="000D3D7F">
        <w:rPr>
          <w:szCs w:val="22"/>
          <w:lang w:val="sr-Latn-ME"/>
        </w:rPr>
        <w:t>elih od multiplog mijeloma koji prethodno ni</w:t>
      </w:r>
      <w:r w:rsidR="001E1F5A" w:rsidRPr="000D3D7F">
        <w:rPr>
          <w:szCs w:val="22"/>
          <w:lang w:val="sr-Latn-ME"/>
        </w:rPr>
        <w:t>je</w:t>
      </w:r>
      <w:r w:rsidRPr="000D3D7F">
        <w:rPr>
          <w:szCs w:val="22"/>
          <w:lang w:val="sr-Latn-ME"/>
        </w:rPr>
        <w:t>su l</w:t>
      </w:r>
      <w:r w:rsidR="000D1243" w:rsidRPr="000D3D7F">
        <w:rPr>
          <w:szCs w:val="22"/>
          <w:lang w:val="sr-Latn-ME"/>
        </w:rPr>
        <w:t>ij</w:t>
      </w:r>
      <w:r w:rsidRPr="000D3D7F">
        <w:rPr>
          <w:szCs w:val="22"/>
          <w:lang w:val="sr-Latn-ME"/>
        </w:rPr>
        <w:t>ečeni</w:t>
      </w:r>
      <w:r w:rsidR="00EF43F3" w:rsidRPr="000D3D7F">
        <w:rPr>
          <w:szCs w:val="22"/>
          <w:lang w:val="sr-Latn-ME"/>
        </w:rPr>
        <w:t>,</w:t>
      </w:r>
      <w:r w:rsidRPr="000D3D7F">
        <w:rPr>
          <w:szCs w:val="22"/>
          <w:lang w:val="sr-Latn-ME"/>
        </w:rPr>
        <w:t xml:space="preserve"> a kod</w:t>
      </w:r>
      <w:r w:rsidR="00EF29F8" w:rsidRPr="000D3D7F">
        <w:rPr>
          <w:szCs w:val="22"/>
          <w:lang w:val="sr-Latn-ME"/>
        </w:rPr>
        <w:t xml:space="preserve"> </w:t>
      </w:r>
      <w:r w:rsidRPr="000D3D7F">
        <w:rPr>
          <w:szCs w:val="22"/>
          <w:lang w:val="sr-Latn-ME"/>
        </w:rPr>
        <w:t>kojih se može prim</w:t>
      </w:r>
      <w:r w:rsidR="000D1243" w:rsidRPr="000D3D7F">
        <w:rPr>
          <w:szCs w:val="22"/>
          <w:lang w:val="sr-Latn-ME"/>
        </w:rPr>
        <w:t>ij</w:t>
      </w:r>
      <w:r w:rsidRPr="000D3D7F">
        <w:rPr>
          <w:szCs w:val="22"/>
          <w:lang w:val="sr-Latn-ME"/>
        </w:rPr>
        <w:t>eniti visokodozna hemoterapija sa transplantacijom matičnih ćelija hematopoeze.</w:t>
      </w:r>
    </w:p>
    <w:p w14:paraId="17A3FE9B" w14:textId="4CB87440" w:rsidR="00007EF9"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u kombinaciji sa rituksimabom, ciklofosfamidom, doksorubicinom i prednizonom je indikovan</w:t>
      </w:r>
      <w:r w:rsidR="00EF29F8" w:rsidRPr="000D3D7F">
        <w:rPr>
          <w:szCs w:val="22"/>
          <w:lang w:val="sr-Latn-ME"/>
        </w:rPr>
        <w:t xml:space="preserve"> </w:t>
      </w:r>
      <w:r w:rsidRPr="000D3D7F">
        <w:rPr>
          <w:szCs w:val="22"/>
          <w:lang w:val="sr-Latn-ME"/>
        </w:rPr>
        <w:t>za terapiju odraslih pacijenata obol</w:t>
      </w:r>
      <w:r w:rsidR="000D1243" w:rsidRPr="000D3D7F">
        <w:rPr>
          <w:szCs w:val="22"/>
          <w:lang w:val="sr-Latn-ME"/>
        </w:rPr>
        <w:t>j</w:t>
      </w:r>
      <w:r w:rsidRPr="000D3D7F">
        <w:rPr>
          <w:szCs w:val="22"/>
          <w:lang w:val="sr-Latn-ME"/>
        </w:rPr>
        <w:t>elih od mantle ćelijskog limfoma koji prethodno ni</w:t>
      </w:r>
      <w:r w:rsidR="001E1F5A" w:rsidRPr="000D3D7F">
        <w:rPr>
          <w:szCs w:val="22"/>
          <w:lang w:val="sr-Latn-ME"/>
        </w:rPr>
        <w:t>je</w:t>
      </w:r>
      <w:r w:rsidRPr="000D3D7F">
        <w:rPr>
          <w:szCs w:val="22"/>
          <w:lang w:val="sr-Latn-ME"/>
        </w:rPr>
        <w:t>su l</w:t>
      </w:r>
      <w:r w:rsidR="000D1243" w:rsidRPr="000D3D7F">
        <w:rPr>
          <w:szCs w:val="22"/>
          <w:lang w:val="sr-Latn-ME"/>
        </w:rPr>
        <w:t>ij</w:t>
      </w:r>
      <w:r w:rsidRPr="000D3D7F">
        <w:rPr>
          <w:szCs w:val="22"/>
          <w:lang w:val="sr-Latn-ME"/>
        </w:rPr>
        <w:t>ečeni, a kod kojih</w:t>
      </w:r>
      <w:r w:rsidR="00EF29F8" w:rsidRPr="000D3D7F">
        <w:rPr>
          <w:szCs w:val="22"/>
          <w:lang w:val="sr-Latn-ME"/>
        </w:rPr>
        <w:t xml:space="preserve"> </w:t>
      </w:r>
      <w:r w:rsidRPr="000D3D7F">
        <w:rPr>
          <w:szCs w:val="22"/>
          <w:lang w:val="sr-Latn-ME"/>
        </w:rPr>
        <w:t>se ne može prim</w:t>
      </w:r>
      <w:r w:rsidR="000D1243" w:rsidRPr="000D3D7F">
        <w:rPr>
          <w:szCs w:val="22"/>
          <w:lang w:val="sr-Latn-ME"/>
        </w:rPr>
        <w:t>ij</w:t>
      </w:r>
      <w:r w:rsidRPr="000D3D7F">
        <w:rPr>
          <w:szCs w:val="22"/>
          <w:lang w:val="sr-Latn-ME"/>
        </w:rPr>
        <w:t>eniti transplantacija hematopoetskih matičnih ćelija.</w:t>
      </w:r>
    </w:p>
    <w:p w14:paraId="17A3FE9C" w14:textId="77777777" w:rsidR="00007EF9" w:rsidRPr="000D3D7F" w:rsidRDefault="00007EF9" w:rsidP="001E1F5A">
      <w:pPr>
        <w:rPr>
          <w:szCs w:val="22"/>
          <w:lang w:val="sr-Latn-ME"/>
        </w:rPr>
      </w:pPr>
    </w:p>
    <w:p w14:paraId="17A3FE9D" w14:textId="4A45B848" w:rsidR="00007EF9" w:rsidRPr="000D3D7F" w:rsidRDefault="00007EF9" w:rsidP="001E1F5A">
      <w:pPr>
        <w:rPr>
          <w:b/>
          <w:bCs/>
          <w:szCs w:val="22"/>
          <w:lang w:val="sr-Latn-ME"/>
        </w:rPr>
      </w:pPr>
      <w:r w:rsidRPr="000D3D7F">
        <w:rPr>
          <w:b/>
          <w:bCs/>
          <w:szCs w:val="22"/>
          <w:lang w:val="sr-Latn-ME"/>
        </w:rPr>
        <w:t>4.2. Doziranje i način prim</w:t>
      </w:r>
      <w:r w:rsidR="000D1243" w:rsidRPr="000D3D7F">
        <w:rPr>
          <w:b/>
          <w:bCs/>
          <w:szCs w:val="22"/>
          <w:lang w:val="sr-Latn-ME"/>
        </w:rPr>
        <w:t>j</w:t>
      </w:r>
      <w:r w:rsidRPr="000D3D7F">
        <w:rPr>
          <w:b/>
          <w:bCs/>
          <w:szCs w:val="22"/>
          <w:lang w:val="sr-Latn-ME"/>
        </w:rPr>
        <w:t>ene</w:t>
      </w:r>
    </w:p>
    <w:p w14:paraId="210291FE" w14:textId="6547DACB" w:rsidR="00DF2F42"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ečenje l</w:t>
      </w:r>
      <w:r w:rsidR="000D1243"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se mora započeti pod nadzorom l</w:t>
      </w:r>
      <w:r w:rsidR="000D1243" w:rsidRPr="000D3D7F">
        <w:rPr>
          <w:szCs w:val="22"/>
          <w:lang w:val="sr-Latn-ME"/>
        </w:rPr>
        <w:t>j</w:t>
      </w:r>
      <w:r w:rsidRPr="000D3D7F">
        <w:rPr>
          <w:szCs w:val="22"/>
          <w:lang w:val="sr-Latn-ME"/>
        </w:rPr>
        <w:t>ekara iskusnog u l</w:t>
      </w:r>
      <w:r w:rsidR="000D1243" w:rsidRPr="000D3D7F">
        <w:rPr>
          <w:szCs w:val="22"/>
          <w:lang w:val="sr-Latn-ME"/>
        </w:rPr>
        <w:t>ij</w:t>
      </w:r>
      <w:r w:rsidRPr="000D3D7F">
        <w:rPr>
          <w:szCs w:val="22"/>
          <w:lang w:val="sr-Latn-ME"/>
        </w:rPr>
        <w:t>ečenju pacijenata sa kancerom,</w:t>
      </w:r>
      <w:r w:rsidR="00EF29F8" w:rsidRPr="000D3D7F">
        <w:rPr>
          <w:szCs w:val="22"/>
          <w:lang w:val="sr-Latn-ME"/>
        </w:rPr>
        <w:t xml:space="preserve"> </w:t>
      </w:r>
      <w:r w:rsidRPr="000D3D7F">
        <w:rPr>
          <w:szCs w:val="22"/>
          <w:lang w:val="sr-Latn-ME"/>
        </w:rPr>
        <w:t>međutim 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može prim</w:t>
      </w:r>
      <w:r w:rsidR="000D1243" w:rsidRPr="000D3D7F">
        <w:rPr>
          <w:szCs w:val="22"/>
          <w:lang w:val="sr-Latn-ME"/>
        </w:rPr>
        <w:t>ij</w:t>
      </w:r>
      <w:r w:rsidRPr="000D3D7F">
        <w:rPr>
          <w:szCs w:val="22"/>
          <w:lang w:val="sr-Latn-ME"/>
        </w:rPr>
        <w:t>eniti zdravstveni radnik koji je iskusan u prim</w:t>
      </w:r>
      <w:r w:rsidR="000D1243" w:rsidRPr="000D3D7F">
        <w:rPr>
          <w:szCs w:val="22"/>
          <w:lang w:val="sr-Latn-ME"/>
        </w:rPr>
        <w:t>j</w:t>
      </w:r>
      <w:r w:rsidRPr="000D3D7F">
        <w:rPr>
          <w:szCs w:val="22"/>
          <w:lang w:val="sr-Latn-ME"/>
        </w:rPr>
        <w:t>eni hemoterapije. 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00EF29F8" w:rsidRPr="000D3D7F">
        <w:rPr>
          <w:szCs w:val="22"/>
          <w:lang w:val="sr-Latn-ME"/>
        </w:rPr>
        <w:t xml:space="preserve"> </w:t>
      </w:r>
      <w:r w:rsidRPr="000D3D7F">
        <w:rPr>
          <w:szCs w:val="22"/>
          <w:lang w:val="sr-Latn-ME"/>
        </w:rPr>
        <w:t>mora rekonstituisati zdravstveni radnik (vid</w:t>
      </w:r>
      <w:r w:rsidR="000D1243"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6.6).</w:t>
      </w:r>
    </w:p>
    <w:p w14:paraId="055AFEE4" w14:textId="2E98C465" w:rsidR="00DF2F42" w:rsidRPr="000D3D7F" w:rsidRDefault="00DF2F42" w:rsidP="001E1F5A">
      <w:pPr>
        <w:rPr>
          <w:szCs w:val="22"/>
          <w:u w:val="single"/>
          <w:lang w:val="sr-Latn-ME"/>
        </w:rPr>
      </w:pPr>
      <w:r w:rsidRPr="000D3D7F">
        <w:rPr>
          <w:szCs w:val="22"/>
          <w:u w:val="single"/>
          <w:lang w:val="sr-Latn-ME"/>
        </w:rPr>
        <w:t>Doziranje za terapiju progresivnog multiplog mijeloma (pacijenti koji su prethodno dobili najmanje jedan</w:t>
      </w:r>
      <w:r w:rsidR="00EF29F8" w:rsidRPr="000D3D7F">
        <w:rPr>
          <w:szCs w:val="22"/>
          <w:u w:val="single"/>
          <w:lang w:val="sr-Latn-ME"/>
        </w:rPr>
        <w:t xml:space="preserve"> </w:t>
      </w:r>
      <w:r w:rsidRPr="000D3D7F">
        <w:rPr>
          <w:szCs w:val="22"/>
          <w:u w:val="single"/>
          <w:lang w:val="sr-Latn-ME"/>
        </w:rPr>
        <w:t>terapijski protokol)</w:t>
      </w:r>
    </w:p>
    <w:p w14:paraId="0EF12069" w14:textId="77777777" w:rsidR="00DF2F42" w:rsidRPr="000D3D7F" w:rsidRDefault="00DF2F42" w:rsidP="001E1F5A">
      <w:pPr>
        <w:rPr>
          <w:i/>
          <w:iCs/>
          <w:szCs w:val="22"/>
          <w:lang w:val="sr-Latn-ME"/>
        </w:rPr>
      </w:pPr>
      <w:r w:rsidRPr="000D3D7F">
        <w:rPr>
          <w:i/>
          <w:iCs/>
          <w:szCs w:val="22"/>
          <w:lang w:val="sr-Latn-ME"/>
        </w:rPr>
        <w:t>Monoterapija</w:t>
      </w:r>
    </w:p>
    <w:p w14:paraId="6E099694" w14:textId="477C4059" w:rsidR="00DF2F42" w:rsidRPr="000D3D7F" w:rsidRDefault="00DF2F42" w:rsidP="001E1F5A">
      <w:pPr>
        <w:rPr>
          <w:szCs w:val="22"/>
          <w:lang w:val="sr-Latn-ME"/>
        </w:rPr>
      </w:pPr>
      <w:r w:rsidRPr="000D3D7F">
        <w:rPr>
          <w:szCs w:val="22"/>
          <w:lang w:val="sr-Latn-ME"/>
        </w:rPr>
        <w:t>L</w:t>
      </w:r>
      <w:r w:rsidR="000D1243"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 mg prašak za rastvor za injekciju se prim</w:t>
      </w:r>
      <w:r w:rsidR="000D1243"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od 1,3 mg/m</w:t>
      </w:r>
      <w:r w:rsidRPr="000D3D7F">
        <w:rPr>
          <w:szCs w:val="22"/>
          <w:vertAlign w:val="superscript"/>
          <w:lang w:val="sr-Latn-ME"/>
        </w:rPr>
        <w:t>2</w:t>
      </w:r>
      <w:r w:rsidRPr="000D3D7F">
        <w:rPr>
          <w:szCs w:val="22"/>
          <w:lang w:val="sr-Latn-ME"/>
        </w:rPr>
        <w:t xml:space="preserve"> t</w:t>
      </w:r>
      <w:r w:rsidR="000D1243" w:rsidRPr="000D3D7F">
        <w:rPr>
          <w:szCs w:val="22"/>
          <w:lang w:val="sr-Latn-ME"/>
        </w:rPr>
        <w:t>j</w:t>
      </w:r>
      <w:r w:rsidRPr="000D3D7F">
        <w:rPr>
          <w:szCs w:val="22"/>
          <w:lang w:val="sr-Latn-ME"/>
        </w:rPr>
        <w:t>elesne površine dva puta ned</w:t>
      </w:r>
      <w:r w:rsidR="00F1036B" w:rsidRPr="000D3D7F">
        <w:rPr>
          <w:szCs w:val="22"/>
          <w:lang w:val="sr-Latn-ME"/>
        </w:rPr>
        <w:t>j</w:t>
      </w:r>
      <w:r w:rsidRPr="000D3D7F">
        <w:rPr>
          <w:szCs w:val="22"/>
          <w:lang w:val="sr-Latn-ME"/>
        </w:rPr>
        <w:t>eljno tokom dv</w:t>
      </w:r>
      <w:r w:rsidR="00F1036B" w:rsidRPr="000D3D7F">
        <w:rPr>
          <w:szCs w:val="22"/>
          <w:lang w:val="sr-Latn-ME"/>
        </w:rPr>
        <w:t>ij</w:t>
      </w:r>
      <w:r w:rsidRPr="000D3D7F">
        <w:rPr>
          <w:szCs w:val="22"/>
          <w:lang w:val="sr-Latn-ME"/>
        </w:rPr>
        <w:t>e ned</w:t>
      </w:r>
      <w:r w:rsidR="00F1036B" w:rsidRPr="000D3D7F">
        <w:rPr>
          <w:szCs w:val="22"/>
          <w:lang w:val="sr-Latn-ME"/>
        </w:rPr>
        <w:t>j</w:t>
      </w:r>
      <w:r w:rsidRPr="000D3D7F">
        <w:rPr>
          <w:szCs w:val="22"/>
          <w:lang w:val="sr-Latn-ME"/>
        </w:rPr>
        <w:t>elje (1., 4., 8. i 11. dan) u</w:t>
      </w:r>
      <w:r w:rsidR="00EF29F8" w:rsidRPr="000D3D7F">
        <w:rPr>
          <w:szCs w:val="22"/>
          <w:lang w:val="sr-Latn-ME"/>
        </w:rPr>
        <w:t xml:space="preserve"> </w:t>
      </w:r>
      <w:r w:rsidRPr="000D3D7F">
        <w:rPr>
          <w:szCs w:val="22"/>
          <w:lang w:val="sr-Latn-ME"/>
        </w:rPr>
        <w:t>terapijskom ciklusu koji traje 21 dan. Ovaj period od 3 ned</w:t>
      </w:r>
      <w:r w:rsidR="00F1036B" w:rsidRPr="000D3D7F">
        <w:rPr>
          <w:szCs w:val="22"/>
          <w:lang w:val="sr-Latn-ME"/>
        </w:rPr>
        <w:t>j</w:t>
      </w:r>
      <w:r w:rsidRPr="000D3D7F">
        <w:rPr>
          <w:szCs w:val="22"/>
          <w:lang w:val="sr-Latn-ME"/>
        </w:rPr>
        <w:t>elje smatra se terapijskim ciklusom.</w:t>
      </w:r>
    </w:p>
    <w:p w14:paraId="767735D0" w14:textId="52409661" w:rsidR="00DF2F42" w:rsidRPr="000D3D7F" w:rsidRDefault="00DF2F42" w:rsidP="001E1F5A">
      <w:pPr>
        <w:rPr>
          <w:szCs w:val="22"/>
          <w:lang w:val="sr-Latn-ME"/>
        </w:rPr>
      </w:pPr>
      <w:r w:rsidRPr="000D3D7F">
        <w:rPr>
          <w:szCs w:val="22"/>
          <w:lang w:val="sr-Latn-ME"/>
        </w:rPr>
        <w:lastRenderedPageBreak/>
        <w:t>Preporučuje se da pacijenti kod kojih je postignuta kompletna remisija, nakon postignutog odgovora, prime</w:t>
      </w:r>
      <w:r w:rsidR="00EF29F8" w:rsidRPr="000D3D7F">
        <w:rPr>
          <w:szCs w:val="22"/>
          <w:lang w:val="sr-Latn-ME"/>
        </w:rPr>
        <w:t xml:space="preserve"> </w:t>
      </w:r>
      <w:r w:rsidRPr="000D3D7F">
        <w:rPr>
          <w:szCs w:val="22"/>
          <w:lang w:val="sr-Latn-ME"/>
        </w:rPr>
        <w:t>još dva dodatna ciklusa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Takođe se preporučuje da pacijenti koji reaguju na l</w:t>
      </w:r>
      <w:r w:rsidR="00F1036B" w:rsidRPr="000D3D7F">
        <w:rPr>
          <w:szCs w:val="22"/>
          <w:lang w:val="sr-Latn-ME"/>
        </w:rPr>
        <w:t>ij</w:t>
      </w:r>
      <w:r w:rsidRPr="000D3D7F">
        <w:rPr>
          <w:szCs w:val="22"/>
          <w:lang w:val="sr-Latn-ME"/>
        </w:rPr>
        <w:t>ek, ali kod kojih</w:t>
      </w:r>
      <w:r w:rsidR="00EF29F8" w:rsidRPr="000D3D7F">
        <w:rPr>
          <w:szCs w:val="22"/>
          <w:lang w:val="sr-Latn-ME"/>
        </w:rPr>
        <w:t xml:space="preserve"> </w:t>
      </w:r>
      <w:r w:rsidRPr="000D3D7F">
        <w:rPr>
          <w:szCs w:val="22"/>
          <w:lang w:val="sr-Latn-ME"/>
        </w:rPr>
        <w:t>nije postignuta kompletna remisija, prime ukupno 8 terapijskih ciklusa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Najmanje 72 sata treba</w:t>
      </w:r>
      <w:r w:rsidR="00EF29F8" w:rsidRPr="000D3D7F">
        <w:rPr>
          <w:szCs w:val="22"/>
          <w:lang w:val="sr-Latn-ME"/>
        </w:rPr>
        <w:t xml:space="preserve"> </w:t>
      </w:r>
      <w:r w:rsidRPr="000D3D7F">
        <w:rPr>
          <w:szCs w:val="22"/>
          <w:lang w:val="sr-Latn-ME"/>
        </w:rPr>
        <w:t>da prođe između uzastopnih doza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322AFC00" w14:textId="3322A2B0" w:rsidR="00EF29F8" w:rsidRPr="000D3D7F" w:rsidRDefault="00DF2F42" w:rsidP="001E1F5A">
      <w:pPr>
        <w:rPr>
          <w:i/>
          <w:iCs/>
          <w:szCs w:val="22"/>
          <w:lang w:val="sr-Latn-ME"/>
        </w:rPr>
      </w:pPr>
      <w:r w:rsidRPr="000D3D7F">
        <w:rPr>
          <w:i/>
          <w:iCs/>
          <w:szCs w:val="22"/>
          <w:lang w:val="sr-Latn-ME"/>
        </w:rPr>
        <w:t>Preporučeno podešavanje doze tokom l</w:t>
      </w:r>
      <w:r w:rsidR="00F1036B" w:rsidRPr="000D3D7F">
        <w:rPr>
          <w:i/>
          <w:iCs/>
          <w:szCs w:val="22"/>
          <w:lang w:val="sr-Latn-ME"/>
        </w:rPr>
        <w:t>ij</w:t>
      </w:r>
      <w:r w:rsidRPr="000D3D7F">
        <w:rPr>
          <w:i/>
          <w:iCs/>
          <w:szCs w:val="22"/>
          <w:lang w:val="sr-Latn-ME"/>
        </w:rPr>
        <w:t>ečenja i ponovnog započinjanja terapije monoterapije</w:t>
      </w:r>
      <w:r w:rsidR="00EF29F8" w:rsidRPr="000D3D7F">
        <w:rPr>
          <w:i/>
          <w:iCs/>
          <w:szCs w:val="22"/>
          <w:lang w:val="sr-Latn-ME"/>
        </w:rPr>
        <w:t xml:space="preserve"> </w:t>
      </w:r>
    </w:p>
    <w:p w14:paraId="6D9584F1" w14:textId="716E8D0C" w:rsidR="00DF2F42" w:rsidRPr="000D3D7F" w:rsidRDefault="00DF2F42" w:rsidP="001E1F5A">
      <w:pPr>
        <w:rPr>
          <w:szCs w:val="22"/>
          <w:lang w:val="sr-Latn-ME"/>
        </w:rPr>
      </w:pPr>
      <w:r w:rsidRPr="000D3D7F">
        <w:rPr>
          <w:szCs w:val="22"/>
          <w:lang w:val="sr-Latn-ME"/>
        </w:rPr>
        <w:t>Terapiju l</w:t>
      </w:r>
      <w:r w:rsidR="00F1036B"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prekinuti pri pojavi bilo kakvih nehematoloških toksičnosti 3. stepena ili bilo</w:t>
      </w:r>
      <w:r w:rsidR="00EF29F8" w:rsidRPr="000D3D7F">
        <w:rPr>
          <w:szCs w:val="22"/>
          <w:lang w:val="sr-Latn-ME"/>
        </w:rPr>
        <w:t xml:space="preserve"> </w:t>
      </w:r>
      <w:r w:rsidRPr="000D3D7F">
        <w:rPr>
          <w:szCs w:val="22"/>
          <w:lang w:val="sr-Latn-ME"/>
        </w:rPr>
        <w:t>kakvih hematoloških toksičnosti 4. stepena, osim neuropatije, kao što se objašnjava u daljem tekstu</w:t>
      </w:r>
      <w:r w:rsidR="00EF29F8" w:rsidRPr="000D3D7F">
        <w:rPr>
          <w:szCs w:val="22"/>
          <w:lang w:val="sr-Latn-ME"/>
        </w:rPr>
        <w:t xml:space="preserve"> </w:t>
      </w:r>
      <w:r w:rsidRPr="000D3D7F">
        <w:rPr>
          <w:szCs w:val="22"/>
          <w:lang w:val="sr-Latn-ME"/>
        </w:rPr>
        <w:t xml:space="preserve">(pogledati takođe </w:t>
      </w:r>
      <w:r w:rsidR="001B5D63" w:rsidRPr="000D3D7F">
        <w:rPr>
          <w:szCs w:val="22"/>
          <w:lang w:val="sr-Latn-ME"/>
        </w:rPr>
        <w:t>dio</w:t>
      </w:r>
      <w:r w:rsidRPr="000D3D7F">
        <w:rPr>
          <w:szCs w:val="22"/>
          <w:lang w:val="sr-Latn-ME"/>
        </w:rPr>
        <w:t xml:space="preserve"> 4.4). Kada se povuku simptomi toksičnosti, l</w:t>
      </w:r>
      <w:r w:rsidR="00F1036B" w:rsidRPr="000D3D7F">
        <w:rPr>
          <w:szCs w:val="22"/>
          <w:lang w:val="sr-Latn-ME"/>
        </w:rPr>
        <w:t>ij</w:t>
      </w:r>
      <w:r w:rsidRPr="000D3D7F">
        <w:rPr>
          <w:szCs w:val="22"/>
          <w:lang w:val="sr-Latn-ME"/>
        </w:rPr>
        <w:t>ečenje l</w:t>
      </w:r>
      <w:r w:rsidR="00F1036B"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može da se</w:t>
      </w:r>
      <w:r w:rsidR="00EF29F8" w:rsidRPr="000D3D7F">
        <w:rPr>
          <w:szCs w:val="22"/>
          <w:lang w:val="sr-Latn-ME"/>
        </w:rPr>
        <w:t xml:space="preserve"> </w:t>
      </w:r>
      <w:r w:rsidRPr="000D3D7F">
        <w:rPr>
          <w:szCs w:val="22"/>
          <w:lang w:val="sr-Latn-ME"/>
        </w:rPr>
        <w:t>započne ponovo sa dozom smanjenom za 25% (1,3 mg/m</w:t>
      </w:r>
      <w:r w:rsidRPr="000D3D7F">
        <w:rPr>
          <w:szCs w:val="22"/>
          <w:vertAlign w:val="superscript"/>
          <w:lang w:val="sr-Latn-ME"/>
        </w:rPr>
        <w:t>2</w:t>
      </w:r>
      <w:r w:rsidRPr="000D3D7F">
        <w:rPr>
          <w:szCs w:val="22"/>
          <w:lang w:val="sr-Latn-ME"/>
        </w:rPr>
        <w:t xml:space="preserve"> smanjeno na 1,0 mg/m</w:t>
      </w:r>
      <w:r w:rsidRPr="000D3D7F">
        <w:rPr>
          <w:szCs w:val="22"/>
          <w:vertAlign w:val="superscript"/>
          <w:lang w:val="sr-Latn-ME"/>
        </w:rPr>
        <w:t>2</w:t>
      </w:r>
      <w:r w:rsidRPr="000D3D7F">
        <w:rPr>
          <w:szCs w:val="22"/>
          <w:lang w:val="sr-Latn-ME"/>
        </w:rPr>
        <w:t>; 1,0 mg/m</w:t>
      </w:r>
      <w:r w:rsidRPr="000D3D7F">
        <w:rPr>
          <w:szCs w:val="22"/>
          <w:vertAlign w:val="superscript"/>
          <w:lang w:val="sr-Latn-ME"/>
        </w:rPr>
        <w:t xml:space="preserve">2 </w:t>
      </w:r>
      <w:r w:rsidRPr="000D3D7F">
        <w:rPr>
          <w:szCs w:val="22"/>
          <w:lang w:val="sr-Latn-ME"/>
        </w:rPr>
        <w:t>smanjeno na</w:t>
      </w:r>
      <w:r w:rsidR="00EF29F8" w:rsidRPr="000D3D7F">
        <w:rPr>
          <w:szCs w:val="22"/>
          <w:lang w:val="sr-Latn-ME"/>
        </w:rPr>
        <w:t xml:space="preserve"> </w:t>
      </w:r>
      <w:r w:rsidRPr="000D3D7F">
        <w:rPr>
          <w:szCs w:val="22"/>
          <w:lang w:val="sr-Latn-ME"/>
        </w:rPr>
        <w:t>0,7 mg/m</w:t>
      </w:r>
      <w:r w:rsidRPr="000D3D7F">
        <w:rPr>
          <w:szCs w:val="22"/>
          <w:vertAlign w:val="superscript"/>
          <w:lang w:val="sr-Latn-ME"/>
        </w:rPr>
        <w:t>2</w:t>
      </w:r>
      <w:r w:rsidRPr="000D3D7F">
        <w:rPr>
          <w:szCs w:val="22"/>
          <w:lang w:val="sr-Latn-ME"/>
        </w:rPr>
        <w:t>). Ukoliko se znaci toksičnosti ne povuku ili ukoliko se ponovo jave pri najnižoj dozi, treba</w:t>
      </w:r>
      <w:r w:rsidR="00EF29F8" w:rsidRPr="000D3D7F">
        <w:rPr>
          <w:szCs w:val="22"/>
          <w:lang w:val="sr-Latn-ME"/>
        </w:rPr>
        <w:t xml:space="preserve"> </w:t>
      </w:r>
      <w:r w:rsidRPr="000D3D7F">
        <w:rPr>
          <w:szCs w:val="22"/>
          <w:lang w:val="sr-Latn-ME"/>
        </w:rPr>
        <w:t>razmotriti prekid terapije l</w:t>
      </w:r>
      <w:r w:rsidR="00F1036B"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osim ako je korist od l</w:t>
      </w:r>
      <w:r w:rsidR="00F1036B" w:rsidRPr="000D3D7F">
        <w:rPr>
          <w:szCs w:val="22"/>
          <w:lang w:val="sr-Latn-ME"/>
        </w:rPr>
        <w:t>ij</w:t>
      </w:r>
      <w:r w:rsidRPr="000D3D7F">
        <w:rPr>
          <w:szCs w:val="22"/>
          <w:lang w:val="sr-Latn-ME"/>
        </w:rPr>
        <w:t>ečenja jasno veća od rizika.</w:t>
      </w:r>
    </w:p>
    <w:p w14:paraId="1C19F3A2" w14:textId="77777777" w:rsidR="00DF2F42" w:rsidRPr="000D3D7F" w:rsidRDefault="00DF2F42" w:rsidP="001E1F5A">
      <w:pPr>
        <w:rPr>
          <w:i/>
          <w:iCs/>
          <w:szCs w:val="22"/>
          <w:lang w:val="sr-Latn-ME"/>
        </w:rPr>
      </w:pPr>
      <w:r w:rsidRPr="000D3D7F">
        <w:rPr>
          <w:i/>
          <w:iCs/>
          <w:szCs w:val="22"/>
          <w:lang w:val="sr-Latn-ME"/>
        </w:rPr>
        <w:t>Neuropatski bol i/ili periferna neuropatija</w:t>
      </w:r>
    </w:p>
    <w:p w14:paraId="52038F32" w14:textId="423A4774" w:rsidR="00DF2F42" w:rsidRPr="000D3D7F" w:rsidRDefault="00DF2F42" w:rsidP="001E1F5A">
      <w:pPr>
        <w:rPr>
          <w:szCs w:val="22"/>
          <w:lang w:val="sr-Latn-ME"/>
        </w:rPr>
      </w:pPr>
      <w:r w:rsidRPr="000D3D7F">
        <w:rPr>
          <w:szCs w:val="22"/>
          <w:lang w:val="sr-Latn-ME"/>
        </w:rPr>
        <w:t>Pacijente kod kojih je l</w:t>
      </w:r>
      <w:r w:rsidR="00F1036B"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izazvao neuropatski bol i/ili perifernu neuropatiju treba l</w:t>
      </w:r>
      <w:r w:rsidR="00F1036B" w:rsidRPr="000D3D7F">
        <w:rPr>
          <w:szCs w:val="22"/>
          <w:lang w:val="sr-Latn-ME"/>
        </w:rPr>
        <w:t>ij</w:t>
      </w:r>
      <w:r w:rsidRPr="000D3D7F">
        <w:rPr>
          <w:szCs w:val="22"/>
          <w:lang w:val="sr-Latn-ME"/>
        </w:rPr>
        <w:t>ečiti kako je</w:t>
      </w:r>
      <w:r w:rsidR="00EF29F8" w:rsidRPr="000D3D7F">
        <w:rPr>
          <w:szCs w:val="22"/>
          <w:lang w:val="sr-Latn-ME"/>
        </w:rPr>
        <w:t xml:space="preserve"> </w:t>
      </w:r>
      <w:r w:rsidRPr="000D3D7F">
        <w:rPr>
          <w:szCs w:val="22"/>
          <w:lang w:val="sr-Latn-ME"/>
        </w:rPr>
        <w:t>prikazano u Tabeli 1. (vid</w:t>
      </w:r>
      <w:r w:rsidR="00F1036B"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4.4). Pacijenti sa već postojećom teškom neuropatijom mogu se l</w:t>
      </w:r>
      <w:r w:rsidR="00F1036B" w:rsidRPr="000D3D7F">
        <w:rPr>
          <w:szCs w:val="22"/>
          <w:lang w:val="sr-Latn-ME"/>
        </w:rPr>
        <w:t>ij</w:t>
      </w:r>
      <w:r w:rsidRPr="000D3D7F">
        <w:rPr>
          <w:szCs w:val="22"/>
          <w:lang w:val="sr-Latn-ME"/>
        </w:rPr>
        <w:t>ečiti</w:t>
      </w:r>
      <w:r w:rsidR="00EF29F8" w:rsidRPr="000D3D7F">
        <w:rPr>
          <w:szCs w:val="22"/>
          <w:lang w:val="sr-Latn-ME"/>
        </w:rPr>
        <w:t xml:space="preserve"> </w:t>
      </w:r>
      <w:r w:rsidRPr="000D3D7F">
        <w:rPr>
          <w:szCs w:val="22"/>
          <w:lang w:val="sr-Latn-ME"/>
        </w:rPr>
        <w:t>l</w:t>
      </w:r>
      <w:r w:rsidR="00F1036B"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samo posl</w:t>
      </w:r>
      <w:r w:rsidR="00F1036B" w:rsidRPr="000D3D7F">
        <w:rPr>
          <w:szCs w:val="22"/>
          <w:lang w:val="sr-Latn-ME"/>
        </w:rPr>
        <w:t>ij</w:t>
      </w:r>
      <w:r w:rsidRPr="000D3D7F">
        <w:rPr>
          <w:szCs w:val="22"/>
          <w:lang w:val="sr-Latn-ME"/>
        </w:rPr>
        <w:t>e brižljive proc</w:t>
      </w:r>
      <w:r w:rsidR="00F1036B" w:rsidRPr="000D3D7F">
        <w:rPr>
          <w:szCs w:val="22"/>
          <w:lang w:val="sr-Latn-ME"/>
        </w:rPr>
        <w:t>j</w:t>
      </w:r>
      <w:r w:rsidRPr="000D3D7F">
        <w:rPr>
          <w:szCs w:val="22"/>
          <w:lang w:val="sr-Latn-ME"/>
        </w:rPr>
        <w:t>ene odnosa rizika i koristi terapije.</w:t>
      </w:r>
    </w:p>
    <w:p w14:paraId="6EC4C787" w14:textId="0E2782CD" w:rsidR="00DF2F42" w:rsidRPr="000D3D7F" w:rsidRDefault="00DF2F42" w:rsidP="001E1F5A">
      <w:pPr>
        <w:rPr>
          <w:szCs w:val="22"/>
          <w:lang w:val="sr-Latn-ME"/>
        </w:rPr>
      </w:pPr>
    </w:p>
    <w:p w14:paraId="1CD1B696" w14:textId="3B990BE7" w:rsidR="00DF2F42" w:rsidRPr="000D3D7F" w:rsidRDefault="00DF2F42" w:rsidP="001E1F5A">
      <w:pPr>
        <w:rPr>
          <w:i/>
          <w:iCs/>
          <w:szCs w:val="22"/>
          <w:lang w:val="sr-Latn-ME"/>
        </w:rPr>
      </w:pPr>
      <w:r w:rsidRPr="000D3D7F">
        <w:rPr>
          <w:i/>
          <w:iCs/>
          <w:szCs w:val="22"/>
          <w:lang w:val="sr-Latn-ME"/>
        </w:rPr>
        <w:t xml:space="preserve">Tabela 1: Preporučeno* prilagođavanje doze u slučaju neuropatije izazvane </w:t>
      </w:r>
      <w:r w:rsidR="0068011E" w:rsidRPr="000D3D7F">
        <w:rPr>
          <w:i/>
          <w:iCs/>
          <w:szCs w:val="22"/>
          <w:lang w:val="sr-Latn-ME"/>
        </w:rPr>
        <w:t>lijekom Bortegaz</w:t>
      </w:r>
    </w:p>
    <w:p w14:paraId="270F83D8" w14:textId="4EE6FF96" w:rsidR="00DF2F42" w:rsidRPr="000D3D7F" w:rsidRDefault="006B397D" w:rsidP="001E1F5A">
      <w:pPr>
        <w:rPr>
          <w:szCs w:val="22"/>
          <w:lang w:val="sr-Latn-ME"/>
        </w:rPr>
      </w:pPr>
      <w:r w:rsidRPr="000D3D7F">
        <w:rPr>
          <w:noProof/>
          <w:szCs w:val="22"/>
        </w:rPr>
        <mc:AlternateContent>
          <mc:Choice Requires="wps">
            <w:drawing>
              <wp:inline distT="0" distB="0" distL="0" distR="0" wp14:anchorId="50E8CEB5" wp14:editId="5CE53C90">
                <wp:extent cx="6052820" cy="3046730"/>
                <wp:effectExtent l="0" t="0" r="5080" b="127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04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9"/>
                              <w:gridCol w:w="4688"/>
                            </w:tblGrid>
                            <w:tr w:rsidR="00765D0B" w:rsidRPr="003E6BD8" w14:paraId="77ED96FF" w14:textId="77777777" w:rsidTr="00A34C43">
                              <w:trPr>
                                <w:trHeight w:val="220"/>
                              </w:trPr>
                              <w:tc>
                                <w:tcPr>
                                  <w:tcW w:w="4839" w:type="dxa"/>
                                </w:tcPr>
                                <w:p w14:paraId="0E4ECFBF" w14:textId="77777777" w:rsidR="00765D0B" w:rsidRPr="003E6BD8" w:rsidRDefault="00765D0B">
                                  <w:pPr>
                                    <w:kinsoku w:val="0"/>
                                    <w:overflowPunct w:val="0"/>
                                    <w:spacing w:line="234" w:lineRule="exact"/>
                                    <w:ind w:left="292"/>
                                    <w:rPr>
                                      <w:b/>
                                      <w:bCs/>
                                      <w:lang w:val="sr-Latn-RS"/>
                                    </w:rPr>
                                  </w:pPr>
                                  <w:r w:rsidRPr="003E6BD8">
                                    <w:rPr>
                                      <w:b/>
                                      <w:bCs/>
                                      <w:szCs w:val="22"/>
                                      <w:lang w:val="sr-Latn-RS"/>
                                    </w:rPr>
                                    <w:t>Stepen periferne neuropatije</w:t>
                                  </w:r>
                                </w:p>
                              </w:tc>
                              <w:tc>
                                <w:tcPr>
                                  <w:tcW w:w="4688" w:type="dxa"/>
                                </w:tcPr>
                                <w:p w14:paraId="00848BA3" w14:textId="77777777" w:rsidR="00765D0B" w:rsidRPr="003E6BD8" w:rsidRDefault="00765D0B">
                                  <w:pPr>
                                    <w:kinsoku w:val="0"/>
                                    <w:overflowPunct w:val="0"/>
                                    <w:spacing w:line="234" w:lineRule="exact"/>
                                    <w:ind w:left="109"/>
                                    <w:rPr>
                                      <w:b/>
                                      <w:bCs/>
                                      <w:lang w:val="sr-Latn-RS"/>
                                    </w:rPr>
                                  </w:pPr>
                                  <w:r w:rsidRPr="003E6BD8">
                                    <w:rPr>
                                      <w:b/>
                                      <w:bCs/>
                                      <w:szCs w:val="22"/>
                                      <w:lang w:val="sr-Latn-RS"/>
                                    </w:rPr>
                                    <w:t>Prilagođavanje doze</w:t>
                                  </w:r>
                                </w:p>
                              </w:tc>
                            </w:tr>
                            <w:tr w:rsidR="00765D0B" w:rsidRPr="003E6BD8" w14:paraId="409CF6B2" w14:textId="77777777" w:rsidTr="00A34C43">
                              <w:trPr>
                                <w:trHeight w:val="645"/>
                              </w:trPr>
                              <w:tc>
                                <w:tcPr>
                                  <w:tcW w:w="4839" w:type="dxa"/>
                                </w:tcPr>
                                <w:p w14:paraId="70C6A9F9" w14:textId="77777777" w:rsidR="00765D0B" w:rsidRPr="003E6BD8" w:rsidRDefault="00765D0B" w:rsidP="003E6BD8">
                                  <w:pPr>
                                    <w:kinsoku w:val="0"/>
                                    <w:overflowPunct w:val="0"/>
                                    <w:spacing w:before="113" w:line="237" w:lineRule="auto"/>
                                    <w:ind w:left="90"/>
                                    <w:rPr>
                                      <w:lang w:val="sr-Latn-RS"/>
                                    </w:rPr>
                                  </w:pPr>
                                  <w:r w:rsidRPr="003E6BD8">
                                    <w:rPr>
                                      <w:szCs w:val="22"/>
                                      <w:lang w:val="sr-Latn-RS"/>
                                    </w:rPr>
                                    <w:t>Stepen 1 (asimptomatski; gubitak dubokih tetivnih refleksa ili parestezije) bez bola ili gubitka funkcija</w:t>
                                  </w:r>
                                </w:p>
                              </w:tc>
                              <w:tc>
                                <w:tcPr>
                                  <w:tcW w:w="4688" w:type="dxa"/>
                                </w:tcPr>
                                <w:p w14:paraId="1073AC12" w14:textId="77777777" w:rsidR="00765D0B" w:rsidRPr="003E6BD8" w:rsidRDefault="00765D0B" w:rsidP="003E6BD8">
                                  <w:pPr>
                                    <w:kinsoku w:val="0"/>
                                    <w:overflowPunct w:val="0"/>
                                    <w:spacing w:before="111"/>
                                    <w:ind w:left="111"/>
                                    <w:rPr>
                                      <w:lang w:val="sr-Latn-RS"/>
                                    </w:rPr>
                                  </w:pPr>
                                  <w:r w:rsidRPr="003E6BD8">
                                    <w:rPr>
                                      <w:szCs w:val="22"/>
                                      <w:lang w:val="sr-Latn-RS"/>
                                    </w:rPr>
                                    <w:t>Nije potrebno prilagođavanje doze</w:t>
                                  </w:r>
                                </w:p>
                              </w:tc>
                            </w:tr>
                            <w:tr w:rsidR="00765D0B" w:rsidRPr="003E6BD8" w14:paraId="4740A1CE" w14:textId="77777777" w:rsidTr="00A34C43">
                              <w:trPr>
                                <w:trHeight w:val="1191"/>
                              </w:trPr>
                              <w:tc>
                                <w:tcPr>
                                  <w:tcW w:w="4839" w:type="dxa"/>
                                </w:tcPr>
                                <w:p w14:paraId="60B0E16E" w14:textId="2C38C640" w:rsidR="00765D0B" w:rsidRPr="003E6BD8" w:rsidRDefault="00765D0B">
                                  <w:pPr>
                                    <w:kinsoku w:val="0"/>
                                    <w:overflowPunct w:val="0"/>
                                    <w:spacing w:line="242" w:lineRule="auto"/>
                                    <w:ind w:left="110" w:right="179"/>
                                    <w:rPr>
                                      <w:lang w:val="sr-Latn-RS"/>
                                    </w:rPr>
                                  </w:pPr>
                                  <w:r w:rsidRPr="003E6BD8">
                                    <w:rPr>
                                      <w:szCs w:val="22"/>
                                      <w:lang w:val="sr-Latn-RS"/>
                                    </w:rPr>
                                    <w:t>Stepen 1 sa bolom ili stepen 2 (um</w:t>
                                  </w:r>
                                  <w:r>
                                    <w:rPr>
                                      <w:szCs w:val="22"/>
                                      <w:lang w:val="sr-Latn-RS"/>
                                    </w:rPr>
                                    <w:t>j</w:t>
                                  </w:r>
                                  <w:r w:rsidRPr="003E6BD8">
                                    <w:rPr>
                                      <w:szCs w:val="22"/>
                                      <w:lang w:val="sr-Latn-RS"/>
                                    </w:rPr>
                                    <w:t>ereni simptomi: ograničen uticaj na aktivnosti svakodnevnog života (ADL (</w:t>
                                  </w:r>
                                  <w:r w:rsidRPr="003E6BD8">
                                    <w:rPr>
                                      <w:i/>
                                      <w:iCs/>
                                      <w:szCs w:val="22"/>
                                      <w:lang w:val="sr-Latn-RS"/>
                                    </w:rPr>
                                    <w:t>eng. Activities of Daily Living</w:t>
                                  </w:r>
                                  <w:r w:rsidRPr="003E6BD8">
                                    <w:rPr>
                                      <w:szCs w:val="22"/>
                                      <w:lang w:val="sr-Latn-RS"/>
                                    </w:rPr>
                                    <w:t>))**)</w:t>
                                  </w:r>
                                </w:p>
                              </w:tc>
                              <w:tc>
                                <w:tcPr>
                                  <w:tcW w:w="4688" w:type="dxa"/>
                                </w:tcPr>
                                <w:p w14:paraId="7CC51FD6" w14:textId="77777777" w:rsidR="00765D0B" w:rsidRPr="003E6BD8" w:rsidRDefault="00765D0B" w:rsidP="003E6BD8">
                                  <w:pPr>
                                    <w:kinsoku w:val="0"/>
                                    <w:overflowPunct w:val="0"/>
                                    <w:spacing w:before="111" w:line="355" w:lineRule="auto"/>
                                    <w:ind w:left="111" w:right="1901"/>
                                    <w:rPr>
                                      <w:lang w:val="sr-Latn-RS"/>
                                    </w:rPr>
                                  </w:pPr>
                                  <w:r w:rsidRPr="003E6BD8">
                                    <w:rPr>
                                      <w:szCs w:val="22"/>
                                      <w:lang w:val="sr-Latn-RS"/>
                                    </w:rPr>
                                    <w:t>Smanjiti dozu na 1,0 mg/m</w:t>
                                  </w:r>
                                  <w:r w:rsidRPr="003E6BD8">
                                    <w:rPr>
                                      <w:szCs w:val="22"/>
                                      <w:vertAlign w:val="superscript"/>
                                      <w:lang w:val="sr-Latn-RS"/>
                                    </w:rPr>
                                    <w:t>2</w:t>
                                  </w:r>
                                  <w:r w:rsidRPr="003E6BD8">
                                    <w:rPr>
                                      <w:szCs w:val="22"/>
                                      <w:lang w:val="sr-Latn-RS"/>
                                    </w:rPr>
                                    <w:t xml:space="preserve"> ili</w:t>
                                  </w:r>
                                </w:p>
                                <w:p w14:paraId="31633DA5" w14:textId="7280B750" w:rsidR="00765D0B" w:rsidRPr="003E6BD8" w:rsidRDefault="00765D0B" w:rsidP="00EF43F3">
                                  <w:pPr>
                                    <w:kinsoku w:val="0"/>
                                    <w:overflowPunct w:val="0"/>
                                    <w:spacing w:before="5" w:line="250" w:lineRule="exact"/>
                                    <w:ind w:left="111" w:right="85"/>
                                    <w:rPr>
                                      <w:lang w:val="sr-Latn-RS"/>
                                    </w:rPr>
                                  </w:pPr>
                                  <w:r w:rsidRPr="003E6BD8">
                                    <w:rPr>
                                      <w:szCs w:val="22"/>
                                      <w:lang w:val="sr-Latn-RS"/>
                                    </w:rPr>
                                    <w:t>Prom</w:t>
                                  </w:r>
                                  <w:r>
                                    <w:rPr>
                                      <w:szCs w:val="22"/>
                                      <w:lang w:val="sr-Latn-RS"/>
                                    </w:rPr>
                                    <w:t>ij</w:t>
                                  </w:r>
                                  <w:r w:rsidRPr="003E6BD8">
                                    <w:rPr>
                                      <w:szCs w:val="22"/>
                                      <w:lang w:val="sr-Latn-RS"/>
                                    </w:rPr>
                                    <w:t xml:space="preserve">eniti terapijski režim </w:t>
                                  </w:r>
                                  <w:r>
                                    <w:rPr>
                                      <w:szCs w:val="22"/>
                                      <w:lang w:val="sr-Latn-RS"/>
                                    </w:rPr>
                                    <w:t xml:space="preserve">primjene </w:t>
                                  </w:r>
                                  <w:r w:rsidRPr="003E6BD8">
                                    <w:rPr>
                                      <w:szCs w:val="22"/>
                                      <w:lang w:val="sr-Latn-RS"/>
                                    </w:rPr>
                                    <w:t>l</w:t>
                                  </w:r>
                                  <w:r>
                                    <w:rPr>
                                      <w:szCs w:val="22"/>
                                      <w:lang w:val="sr-Latn-RS"/>
                                    </w:rPr>
                                    <w:t>ij</w:t>
                                  </w:r>
                                  <w:r w:rsidRPr="003E6BD8">
                                    <w:rPr>
                                      <w:szCs w:val="22"/>
                                      <w:lang w:val="sr-Latn-RS"/>
                                    </w:rPr>
                                    <w:t>eka na 1,3mg/m</w:t>
                                  </w:r>
                                  <w:r w:rsidRPr="003E6BD8">
                                    <w:rPr>
                                      <w:szCs w:val="22"/>
                                      <w:vertAlign w:val="superscript"/>
                                      <w:lang w:val="sr-Latn-RS"/>
                                    </w:rPr>
                                    <w:t>2</w:t>
                                  </w:r>
                                  <w:r w:rsidRPr="003E6BD8">
                                    <w:rPr>
                                      <w:szCs w:val="22"/>
                                      <w:lang w:val="sr-Latn-RS"/>
                                    </w:rPr>
                                    <w:t xml:space="preserve"> jednom</w:t>
                                  </w:r>
                                  <w:r w:rsidRPr="003E6BD8">
                                    <w:rPr>
                                      <w:spacing w:val="-2"/>
                                      <w:szCs w:val="22"/>
                                      <w:lang w:val="sr-Latn-RS"/>
                                    </w:rPr>
                                    <w:t xml:space="preserve"> </w:t>
                                  </w:r>
                                  <w:r w:rsidRPr="003E6BD8">
                                    <w:rPr>
                                      <w:szCs w:val="22"/>
                                      <w:lang w:val="sr-Latn-RS"/>
                                    </w:rPr>
                                    <w:t>ned</w:t>
                                  </w:r>
                                  <w:r>
                                    <w:rPr>
                                      <w:szCs w:val="22"/>
                                      <w:lang w:val="sr-Latn-RS"/>
                                    </w:rPr>
                                    <w:t>j</w:t>
                                  </w:r>
                                  <w:r w:rsidRPr="003E6BD8">
                                    <w:rPr>
                                      <w:szCs w:val="22"/>
                                      <w:lang w:val="sr-Latn-RS"/>
                                    </w:rPr>
                                    <w:t>eljno.</w:t>
                                  </w:r>
                                </w:p>
                              </w:tc>
                            </w:tr>
                            <w:tr w:rsidR="00765D0B" w:rsidRPr="003E6BD8" w14:paraId="23746283" w14:textId="77777777" w:rsidTr="00A34C43">
                              <w:trPr>
                                <w:trHeight w:val="1247"/>
                              </w:trPr>
                              <w:tc>
                                <w:tcPr>
                                  <w:tcW w:w="4839" w:type="dxa"/>
                                  <w:tcBorders>
                                    <w:bottom w:val="single" w:sz="4" w:space="0" w:color="auto"/>
                                  </w:tcBorders>
                                </w:tcPr>
                                <w:p w14:paraId="158C44E3" w14:textId="61589C02" w:rsidR="00765D0B" w:rsidRPr="003E6BD8" w:rsidRDefault="00765D0B">
                                  <w:pPr>
                                    <w:kinsoku w:val="0"/>
                                    <w:overflowPunct w:val="0"/>
                                    <w:spacing w:line="242" w:lineRule="auto"/>
                                    <w:ind w:left="110"/>
                                    <w:rPr>
                                      <w:lang w:val="sr-Latn-RS"/>
                                    </w:rPr>
                                  </w:pPr>
                                  <w:r w:rsidRPr="003E6BD8">
                                    <w:rPr>
                                      <w:szCs w:val="22"/>
                                      <w:lang w:val="sr-Latn-RS"/>
                                    </w:rPr>
                                    <w:t>Stepen 2 sa bolom ili stepen 3 (teški simptomi: ograničavaju aktivnosti za samostalnu n</w:t>
                                  </w:r>
                                  <w:r>
                                    <w:rPr>
                                      <w:szCs w:val="22"/>
                                      <w:lang w:val="sr-Latn-RS"/>
                                    </w:rPr>
                                    <w:t>j</w:t>
                                  </w:r>
                                  <w:r w:rsidRPr="003E6BD8">
                                    <w:rPr>
                                      <w:szCs w:val="22"/>
                                      <w:lang w:val="sr-Latn-RS"/>
                                    </w:rPr>
                                    <w:t>egu ADL***))</w:t>
                                  </w:r>
                                </w:p>
                              </w:tc>
                              <w:tc>
                                <w:tcPr>
                                  <w:tcW w:w="4688" w:type="dxa"/>
                                  <w:tcBorders>
                                    <w:bottom w:val="single" w:sz="4" w:space="0" w:color="auto"/>
                                  </w:tcBorders>
                                </w:tcPr>
                                <w:p w14:paraId="413B8544" w14:textId="6C92FC67" w:rsidR="00765D0B" w:rsidRPr="003E6BD8" w:rsidRDefault="00765D0B" w:rsidP="003E6BD8">
                                  <w:pPr>
                                    <w:kinsoku w:val="0"/>
                                    <w:overflowPunct w:val="0"/>
                                    <w:spacing w:before="111"/>
                                    <w:ind w:left="111" w:right="35"/>
                                    <w:rPr>
                                      <w:lang w:val="sr-Latn-RS"/>
                                    </w:rPr>
                                  </w:pPr>
                                  <w:r w:rsidRPr="003E6BD8">
                                    <w:rPr>
                                      <w:szCs w:val="22"/>
                                      <w:lang w:val="sr-Latn-RS"/>
                                    </w:rPr>
                                    <w:t>Prekinuti terapiju l</w:t>
                                  </w:r>
                                  <w:r>
                                    <w:rPr>
                                      <w:szCs w:val="22"/>
                                      <w:lang w:val="sr-Latn-RS"/>
                                    </w:rPr>
                                    <w:t>ij</w:t>
                                  </w:r>
                                  <w:r w:rsidRPr="003E6BD8">
                                    <w:rPr>
                                      <w:szCs w:val="22"/>
                                      <w:lang w:val="sr-Latn-RS"/>
                                    </w:rPr>
                                    <w:t>ekom dok se ne povuku simptomi toksičnosti. Kada se toksičnost povuče, započeti ponovo terapiju l</w:t>
                                  </w:r>
                                  <w:r>
                                    <w:rPr>
                                      <w:szCs w:val="22"/>
                                      <w:lang w:val="sr-Latn-RS"/>
                                    </w:rPr>
                                    <w:t>ij</w:t>
                                  </w:r>
                                  <w:r w:rsidRPr="003E6BD8">
                                    <w:rPr>
                                      <w:szCs w:val="22"/>
                                      <w:lang w:val="sr-Latn-RS"/>
                                    </w:rPr>
                                    <w:t>ekom, ali smanjiti dozu na 0,7 mg/m</w:t>
                                  </w:r>
                                  <w:r w:rsidRPr="003E6BD8">
                                    <w:rPr>
                                      <w:szCs w:val="22"/>
                                      <w:vertAlign w:val="superscript"/>
                                      <w:lang w:val="sr-Latn-RS"/>
                                    </w:rPr>
                                    <w:t>2</w:t>
                                  </w:r>
                                  <w:r w:rsidRPr="003E6BD8">
                                    <w:rPr>
                                      <w:szCs w:val="22"/>
                                      <w:lang w:val="sr-Latn-RS"/>
                                    </w:rPr>
                                    <w:t xml:space="preserve"> i l</w:t>
                                  </w:r>
                                  <w:r>
                                    <w:rPr>
                                      <w:szCs w:val="22"/>
                                      <w:lang w:val="sr-Latn-RS"/>
                                    </w:rPr>
                                    <w:t>ij</w:t>
                                  </w:r>
                                  <w:r w:rsidRPr="003E6BD8">
                                    <w:rPr>
                                      <w:szCs w:val="22"/>
                                      <w:lang w:val="sr-Latn-RS"/>
                                    </w:rPr>
                                    <w:t>ek davati jednom ned</w:t>
                                  </w:r>
                                  <w:r>
                                    <w:rPr>
                                      <w:szCs w:val="22"/>
                                      <w:lang w:val="sr-Latn-RS"/>
                                    </w:rPr>
                                    <w:t>j</w:t>
                                  </w:r>
                                  <w:r w:rsidRPr="003E6BD8">
                                    <w:rPr>
                                      <w:szCs w:val="22"/>
                                      <w:lang w:val="sr-Latn-RS"/>
                                    </w:rPr>
                                    <w:t>eljno.</w:t>
                                  </w:r>
                                </w:p>
                              </w:tc>
                            </w:tr>
                            <w:tr w:rsidR="00765D0B" w:rsidRPr="003E6BD8" w14:paraId="74493E1E" w14:textId="77777777" w:rsidTr="00A34C43">
                              <w:trPr>
                                <w:trHeight w:val="1417"/>
                              </w:trPr>
                              <w:tc>
                                <w:tcPr>
                                  <w:tcW w:w="4839" w:type="dxa"/>
                                  <w:tcBorders>
                                    <w:top w:val="single" w:sz="4" w:space="0" w:color="auto"/>
                                    <w:left w:val="single" w:sz="4" w:space="0" w:color="auto"/>
                                    <w:bottom w:val="single" w:sz="4" w:space="0" w:color="auto"/>
                                    <w:right w:val="single" w:sz="4" w:space="0" w:color="auto"/>
                                  </w:tcBorders>
                                </w:tcPr>
                                <w:p w14:paraId="3D1DC38D" w14:textId="19DFBFD9" w:rsidR="00765D0B" w:rsidRPr="003E6BD8" w:rsidRDefault="00765D0B">
                                  <w:pPr>
                                    <w:kinsoku w:val="0"/>
                                    <w:overflowPunct w:val="0"/>
                                    <w:spacing w:line="242" w:lineRule="auto"/>
                                    <w:ind w:left="110"/>
                                    <w:rPr>
                                      <w:lang w:val="sr-Latn-RS"/>
                                    </w:rPr>
                                  </w:pPr>
                                  <w:r w:rsidRPr="003E6BD8">
                                    <w:rPr>
                                      <w:szCs w:val="22"/>
                                      <w:lang w:val="sr-Latn-RS"/>
                                    </w:rPr>
                                    <w:t>Stepen 4 (životno ugrožavajuće posl</w:t>
                                  </w:r>
                                  <w:r>
                                    <w:rPr>
                                      <w:szCs w:val="22"/>
                                      <w:lang w:val="sr-Latn-RS"/>
                                    </w:rPr>
                                    <w:t>j</w:t>
                                  </w:r>
                                  <w:r w:rsidRPr="003E6BD8">
                                    <w:rPr>
                                      <w:szCs w:val="22"/>
                                      <w:lang w:val="sr-Latn-RS"/>
                                    </w:rPr>
                                    <w:t>edice; indikovane urgentne intervencije) i/ili ozbiljna neuropatija autonomnog nervnog sistema.</w:t>
                                  </w:r>
                                </w:p>
                              </w:tc>
                              <w:tc>
                                <w:tcPr>
                                  <w:tcW w:w="4688" w:type="dxa"/>
                                  <w:tcBorders>
                                    <w:top w:val="single" w:sz="4" w:space="0" w:color="auto"/>
                                    <w:left w:val="single" w:sz="4" w:space="0" w:color="auto"/>
                                    <w:bottom w:val="single" w:sz="4" w:space="0" w:color="auto"/>
                                    <w:right w:val="single" w:sz="4" w:space="0" w:color="auto"/>
                                  </w:tcBorders>
                                </w:tcPr>
                                <w:p w14:paraId="39E3D403" w14:textId="5DE9E4EA" w:rsidR="00765D0B" w:rsidRPr="003E6BD8" w:rsidRDefault="00765D0B" w:rsidP="003E6BD8">
                                  <w:pPr>
                                    <w:ind w:left="111"/>
                                    <w:rPr>
                                      <w:lang w:val="sr-Latn-RS"/>
                                    </w:rPr>
                                  </w:pPr>
                                  <w:r w:rsidRPr="003E6BD8">
                                    <w:rPr>
                                      <w:szCs w:val="22"/>
                                      <w:lang w:val="sr-Latn-RS"/>
                                    </w:rPr>
                                    <w:t>Prekinuti terapiju l</w:t>
                                  </w:r>
                                  <w:r>
                                    <w:rPr>
                                      <w:szCs w:val="22"/>
                                      <w:lang w:val="sr-Latn-RS"/>
                                    </w:rPr>
                                    <w:t>ij</w:t>
                                  </w:r>
                                  <w:r w:rsidRPr="003E6BD8">
                                    <w:rPr>
                                      <w:szCs w:val="22"/>
                                      <w:lang w:val="sr-Latn-RS"/>
                                    </w:rPr>
                                    <w:t xml:space="preserve">ekom </w:t>
                                  </w:r>
                                </w:p>
                              </w:tc>
                            </w:tr>
                            <w:tr w:rsidR="00765D0B" w:rsidRPr="003E6BD8" w14:paraId="741F5241" w14:textId="77777777" w:rsidTr="00A34C43">
                              <w:trPr>
                                <w:trHeight w:val="90"/>
                              </w:trPr>
                              <w:tc>
                                <w:tcPr>
                                  <w:tcW w:w="4839" w:type="dxa"/>
                                  <w:tcBorders>
                                    <w:top w:val="single" w:sz="4" w:space="0" w:color="auto"/>
                                    <w:left w:val="single" w:sz="4" w:space="0" w:color="auto"/>
                                    <w:bottom w:val="single" w:sz="4" w:space="0" w:color="auto"/>
                                    <w:right w:val="single" w:sz="4" w:space="0" w:color="auto"/>
                                  </w:tcBorders>
                                </w:tcPr>
                                <w:p w14:paraId="2EC22558" w14:textId="77777777" w:rsidR="00765D0B" w:rsidRPr="003E6BD8" w:rsidRDefault="00765D0B" w:rsidP="00A34C43">
                                  <w:pPr>
                                    <w:kinsoku w:val="0"/>
                                    <w:overflowPunct w:val="0"/>
                                    <w:spacing w:line="242" w:lineRule="auto"/>
                                    <w:ind w:left="110"/>
                                    <w:rPr>
                                      <w:szCs w:val="22"/>
                                      <w:lang w:val="sr-Latn-RS"/>
                                    </w:rPr>
                                  </w:pPr>
                                </w:p>
                              </w:tc>
                              <w:tc>
                                <w:tcPr>
                                  <w:tcW w:w="4688" w:type="dxa"/>
                                  <w:tcBorders>
                                    <w:top w:val="single" w:sz="4" w:space="0" w:color="auto"/>
                                    <w:left w:val="single" w:sz="4" w:space="0" w:color="auto"/>
                                    <w:bottom w:val="single" w:sz="4" w:space="0" w:color="auto"/>
                                    <w:right w:val="single" w:sz="4" w:space="0" w:color="auto"/>
                                  </w:tcBorders>
                                </w:tcPr>
                                <w:p w14:paraId="691F62D4" w14:textId="77777777" w:rsidR="00765D0B" w:rsidRPr="003E6BD8" w:rsidRDefault="00765D0B" w:rsidP="003E6BD8">
                                  <w:pPr>
                                    <w:ind w:left="111"/>
                                    <w:rPr>
                                      <w:szCs w:val="22"/>
                                      <w:lang w:val="sr-Latn-RS"/>
                                    </w:rPr>
                                  </w:pPr>
                                </w:p>
                              </w:tc>
                            </w:tr>
                            <w:tr w:rsidR="00765D0B" w:rsidRPr="003E6BD8" w14:paraId="121DBA4D" w14:textId="77777777" w:rsidTr="00A34C43">
                              <w:trPr>
                                <w:trHeight w:val="6"/>
                              </w:trPr>
                              <w:tc>
                                <w:tcPr>
                                  <w:tcW w:w="4839" w:type="dxa"/>
                                  <w:tcBorders>
                                    <w:top w:val="single" w:sz="4" w:space="0" w:color="auto"/>
                                    <w:left w:val="single" w:sz="4" w:space="0" w:color="auto"/>
                                    <w:bottom w:val="single" w:sz="4" w:space="0" w:color="auto"/>
                                    <w:right w:val="single" w:sz="4" w:space="0" w:color="auto"/>
                                  </w:tcBorders>
                                </w:tcPr>
                                <w:p w14:paraId="128A21A0" w14:textId="77777777" w:rsidR="00765D0B" w:rsidRPr="003E6BD8" w:rsidRDefault="00765D0B">
                                  <w:pPr>
                                    <w:kinsoku w:val="0"/>
                                    <w:overflowPunct w:val="0"/>
                                    <w:spacing w:line="242" w:lineRule="auto"/>
                                    <w:ind w:left="110"/>
                                    <w:rPr>
                                      <w:szCs w:val="22"/>
                                      <w:lang w:val="sr-Latn-RS"/>
                                    </w:rPr>
                                  </w:pPr>
                                </w:p>
                              </w:tc>
                              <w:tc>
                                <w:tcPr>
                                  <w:tcW w:w="4688" w:type="dxa"/>
                                  <w:tcBorders>
                                    <w:top w:val="single" w:sz="4" w:space="0" w:color="auto"/>
                                    <w:left w:val="single" w:sz="4" w:space="0" w:color="auto"/>
                                    <w:bottom w:val="single" w:sz="4" w:space="0" w:color="auto"/>
                                    <w:right w:val="single" w:sz="4" w:space="0" w:color="auto"/>
                                  </w:tcBorders>
                                </w:tcPr>
                                <w:p w14:paraId="5838B251" w14:textId="77777777" w:rsidR="00765D0B" w:rsidRPr="003E6BD8" w:rsidRDefault="00765D0B" w:rsidP="003E6BD8">
                                  <w:pPr>
                                    <w:ind w:left="111"/>
                                    <w:rPr>
                                      <w:szCs w:val="22"/>
                                      <w:lang w:val="sr-Latn-RS"/>
                                    </w:rPr>
                                  </w:pPr>
                                </w:p>
                              </w:tc>
                            </w:tr>
                          </w:tbl>
                          <w:p w14:paraId="42F40924" w14:textId="77777777" w:rsidR="00765D0B" w:rsidRDefault="00765D0B" w:rsidP="00DF2F42">
                            <w:pPr>
                              <w:pStyle w:val="BodyText"/>
                              <w:kinsoku w:val="0"/>
                              <w:overflowPunct w:val="0"/>
                              <w:rPr>
                                <w:sz w:val="24"/>
                              </w:rPr>
                            </w:pPr>
                          </w:p>
                        </w:txbxContent>
                      </wps:txbx>
                      <wps:bodyPr rot="0" vert="horz" wrap="square" lIns="0" tIns="0" rIns="0" bIns="0" anchor="t" anchorCtr="0" upright="1">
                        <a:noAutofit/>
                      </wps:bodyPr>
                    </wps:wsp>
                  </a:graphicData>
                </a:graphic>
              </wp:inline>
            </w:drawing>
          </mc:Choice>
          <mc:Fallback>
            <w:pict>
              <v:shapetype w14:anchorId="50E8CEB5" id="_x0000_t202" coordsize="21600,21600" o:spt="202" path="m,l,21600r21600,l21600,xe">
                <v:stroke joinstyle="miter"/>
                <v:path gradientshapeok="t" o:connecttype="rect"/>
              </v:shapetype>
              <v:shape id="Text Box 3" o:spid="_x0000_s1026" type="#_x0000_t202" style="width:476.6pt;height:2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l2rwIAAKo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9"/>
                        <w:gridCol w:w="4688"/>
                      </w:tblGrid>
                      <w:tr w:rsidR="00765D0B" w:rsidRPr="003E6BD8" w14:paraId="77ED96FF" w14:textId="77777777" w:rsidTr="00A34C43">
                        <w:trPr>
                          <w:trHeight w:val="220"/>
                        </w:trPr>
                        <w:tc>
                          <w:tcPr>
                            <w:tcW w:w="4839" w:type="dxa"/>
                          </w:tcPr>
                          <w:p w14:paraId="0E4ECFBF" w14:textId="77777777" w:rsidR="00765D0B" w:rsidRPr="003E6BD8" w:rsidRDefault="00765D0B">
                            <w:pPr>
                              <w:kinsoku w:val="0"/>
                              <w:overflowPunct w:val="0"/>
                              <w:spacing w:line="234" w:lineRule="exact"/>
                              <w:ind w:left="292"/>
                              <w:rPr>
                                <w:b/>
                                <w:bCs/>
                                <w:lang w:val="sr-Latn-RS"/>
                              </w:rPr>
                            </w:pPr>
                            <w:r w:rsidRPr="003E6BD8">
                              <w:rPr>
                                <w:b/>
                                <w:bCs/>
                                <w:szCs w:val="22"/>
                                <w:lang w:val="sr-Latn-RS"/>
                              </w:rPr>
                              <w:t>Stepen periferne neuropatije</w:t>
                            </w:r>
                          </w:p>
                        </w:tc>
                        <w:tc>
                          <w:tcPr>
                            <w:tcW w:w="4688" w:type="dxa"/>
                          </w:tcPr>
                          <w:p w14:paraId="00848BA3" w14:textId="77777777" w:rsidR="00765D0B" w:rsidRPr="003E6BD8" w:rsidRDefault="00765D0B">
                            <w:pPr>
                              <w:kinsoku w:val="0"/>
                              <w:overflowPunct w:val="0"/>
                              <w:spacing w:line="234" w:lineRule="exact"/>
                              <w:ind w:left="109"/>
                              <w:rPr>
                                <w:b/>
                                <w:bCs/>
                                <w:lang w:val="sr-Latn-RS"/>
                              </w:rPr>
                            </w:pPr>
                            <w:r w:rsidRPr="003E6BD8">
                              <w:rPr>
                                <w:b/>
                                <w:bCs/>
                                <w:szCs w:val="22"/>
                                <w:lang w:val="sr-Latn-RS"/>
                              </w:rPr>
                              <w:t>Prilagođavanje doze</w:t>
                            </w:r>
                          </w:p>
                        </w:tc>
                      </w:tr>
                      <w:tr w:rsidR="00765D0B" w:rsidRPr="003E6BD8" w14:paraId="409CF6B2" w14:textId="77777777" w:rsidTr="00A34C43">
                        <w:trPr>
                          <w:trHeight w:val="645"/>
                        </w:trPr>
                        <w:tc>
                          <w:tcPr>
                            <w:tcW w:w="4839" w:type="dxa"/>
                          </w:tcPr>
                          <w:p w14:paraId="70C6A9F9" w14:textId="77777777" w:rsidR="00765D0B" w:rsidRPr="003E6BD8" w:rsidRDefault="00765D0B" w:rsidP="003E6BD8">
                            <w:pPr>
                              <w:kinsoku w:val="0"/>
                              <w:overflowPunct w:val="0"/>
                              <w:spacing w:before="113" w:line="237" w:lineRule="auto"/>
                              <w:ind w:left="90"/>
                              <w:rPr>
                                <w:lang w:val="sr-Latn-RS"/>
                              </w:rPr>
                            </w:pPr>
                            <w:r w:rsidRPr="003E6BD8">
                              <w:rPr>
                                <w:szCs w:val="22"/>
                                <w:lang w:val="sr-Latn-RS"/>
                              </w:rPr>
                              <w:t>Stepen 1 (asimptomatski; gubitak dubokih tetivnih refleksa ili parestezije) bez bola ili gubitka funkcija</w:t>
                            </w:r>
                          </w:p>
                        </w:tc>
                        <w:tc>
                          <w:tcPr>
                            <w:tcW w:w="4688" w:type="dxa"/>
                          </w:tcPr>
                          <w:p w14:paraId="1073AC12" w14:textId="77777777" w:rsidR="00765D0B" w:rsidRPr="003E6BD8" w:rsidRDefault="00765D0B" w:rsidP="003E6BD8">
                            <w:pPr>
                              <w:kinsoku w:val="0"/>
                              <w:overflowPunct w:val="0"/>
                              <w:spacing w:before="111"/>
                              <w:ind w:left="111"/>
                              <w:rPr>
                                <w:lang w:val="sr-Latn-RS"/>
                              </w:rPr>
                            </w:pPr>
                            <w:r w:rsidRPr="003E6BD8">
                              <w:rPr>
                                <w:szCs w:val="22"/>
                                <w:lang w:val="sr-Latn-RS"/>
                              </w:rPr>
                              <w:t>Nije potrebno prilagođavanje doze</w:t>
                            </w:r>
                          </w:p>
                        </w:tc>
                      </w:tr>
                      <w:tr w:rsidR="00765D0B" w:rsidRPr="003E6BD8" w14:paraId="4740A1CE" w14:textId="77777777" w:rsidTr="00A34C43">
                        <w:trPr>
                          <w:trHeight w:val="1191"/>
                        </w:trPr>
                        <w:tc>
                          <w:tcPr>
                            <w:tcW w:w="4839" w:type="dxa"/>
                          </w:tcPr>
                          <w:p w14:paraId="60B0E16E" w14:textId="2C38C640" w:rsidR="00765D0B" w:rsidRPr="003E6BD8" w:rsidRDefault="00765D0B">
                            <w:pPr>
                              <w:kinsoku w:val="0"/>
                              <w:overflowPunct w:val="0"/>
                              <w:spacing w:line="242" w:lineRule="auto"/>
                              <w:ind w:left="110" w:right="179"/>
                              <w:rPr>
                                <w:lang w:val="sr-Latn-RS"/>
                              </w:rPr>
                            </w:pPr>
                            <w:r w:rsidRPr="003E6BD8">
                              <w:rPr>
                                <w:szCs w:val="22"/>
                                <w:lang w:val="sr-Latn-RS"/>
                              </w:rPr>
                              <w:t>Stepen 1 sa bolom ili stepen 2 (um</w:t>
                            </w:r>
                            <w:r>
                              <w:rPr>
                                <w:szCs w:val="22"/>
                                <w:lang w:val="sr-Latn-RS"/>
                              </w:rPr>
                              <w:t>j</w:t>
                            </w:r>
                            <w:r w:rsidRPr="003E6BD8">
                              <w:rPr>
                                <w:szCs w:val="22"/>
                                <w:lang w:val="sr-Latn-RS"/>
                              </w:rPr>
                              <w:t>ereni simptomi: ograničen uticaj na aktivnosti svakodnevnog života (ADL (</w:t>
                            </w:r>
                            <w:r w:rsidRPr="003E6BD8">
                              <w:rPr>
                                <w:i/>
                                <w:iCs/>
                                <w:szCs w:val="22"/>
                                <w:lang w:val="sr-Latn-RS"/>
                              </w:rPr>
                              <w:t>eng. Activities of Daily Living</w:t>
                            </w:r>
                            <w:r w:rsidRPr="003E6BD8">
                              <w:rPr>
                                <w:szCs w:val="22"/>
                                <w:lang w:val="sr-Latn-RS"/>
                              </w:rPr>
                              <w:t>))**)</w:t>
                            </w:r>
                          </w:p>
                        </w:tc>
                        <w:tc>
                          <w:tcPr>
                            <w:tcW w:w="4688" w:type="dxa"/>
                          </w:tcPr>
                          <w:p w14:paraId="7CC51FD6" w14:textId="77777777" w:rsidR="00765D0B" w:rsidRPr="003E6BD8" w:rsidRDefault="00765D0B" w:rsidP="003E6BD8">
                            <w:pPr>
                              <w:kinsoku w:val="0"/>
                              <w:overflowPunct w:val="0"/>
                              <w:spacing w:before="111" w:line="355" w:lineRule="auto"/>
                              <w:ind w:left="111" w:right="1901"/>
                              <w:rPr>
                                <w:lang w:val="sr-Latn-RS"/>
                              </w:rPr>
                            </w:pPr>
                            <w:r w:rsidRPr="003E6BD8">
                              <w:rPr>
                                <w:szCs w:val="22"/>
                                <w:lang w:val="sr-Latn-RS"/>
                              </w:rPr>
                              <w:t>Smanjiti dozu na 1,0 mg/m</w:t>
                            </w:r>
                            <w:r w:rsidRPr="003E6BD8">
                              <w:rPr>
                                <w:szCs w:val="22"/>
                                <w:vertAlign w:val="superscript"/>
                                <w:lang w:val="sr-Latn-RS"/>
                              </w:rPr>
                              <w:t>2</w:t>
                            </w:r>
                            <w:r w:rsidRPr="003E6BD8">
                              <w:rPr>
                                <w:szCs w:val="22"/>
                                <w:lang w:val="sr-Latn-RS"/>
                              </w:rPr>
                              <w:t xml:space="preserve"> ili</w:t>
                            </w:r>
                          </w:p>
                          <w:p w14:paraId="31633DA5" w14:textId="7280B750" w:rsidR="00765D0B" w:rsidRPr="003E6BD8" w:rsidRDefault="00765D0B" w:rsidP="00EF43F3">
                            <w:pPr>
                              <w:kinsoku w:val="0"/>
                              <w:overflowPunct w:val="0"/>
                              <w:spacing w:before="5" w:line="250" w:lineRule="exact"/>
                              <w:ind w:left="111" w:right="85"/>
                              <w:rPr>
                                <w:lang w:val="sr-Latn-RS"/>
                              </w:rPr>
                            </w:pPr>
                            <w:r w:rsidRPr="003E6BD8">
                              <w:rPr>
                                <w:szCs w:val="22"/>
                                <w:lang w:val="sr-Latn-RS"/>
                              </w:rPr>
                              <w:t>Prom</w:t>
                            </w:r>
                            <w:r>
                              <w:rPr>
                                <w:szCs w:val="22"/>
                                <w:lang w:val="sr-Latn-RS"/>
                              </w:rPr>
                              <w:t>ij</w:t>
                            </w:r>
                            <w:r w:rsidRPr="003E6BD8">
                              <w:rPr>
                                <w:szCs w:val="22"/>
                                <w:lang w:val="sr-Latn-RS"/>
                              </w:rPr>
                              <w:t xml:space="preserve">eniti terapijski režim </w:t>
                            </w:r>
                            <w:r>
                              <w:rPr>
                                <w:szCs w:val="22"/>
                                <w:lang w:val="sr-Latn-RS"/>
                              </w:rPr>
                              <w:t xml:space="preserve">primjene </w:t>
                            </w:r>
                            <w:r w:rsidRPr="003E6BD8">
                              <w:rPr>
                                <w:szCs w:val="22"/>
                                <w:lang w:val="sr-Latn-RS"/>
                              </w:rPr>
                              <w:t>l</w:t>
                            </w:r>
                            <w:r>
                              <w:rPr>
                                <w:szCs w:val="22"/>
                                <w:lang w:val="sr-Latn-RS"/>
                              </w:rPr>
                              <w:t>ij</w:t>
                            </w:r>
                            <w:r w:rsidRPr="003E6BD8">
                              <w:rPr>
                                <w:szCs w:val="22"/>
                                <w:lang w:val="sr-Latn-RS"/>
                              </w:rPr>
                              <w:t>eka na 1,3mg/m</w:t>
                            </w:r>
                            <w:r w:rsidRPr="003E6BD8">
                              <w:rPr>
                                <w:szCs w:val="22"/>
                                <w:vertAlign w:val="superscript"/>
                                <w:lang w:val="sr-Latn-RS"/>
                              </w:rPr>
                              <w:t>2</w:t>
                            </w:r>
                            <w:r w:rsidRPr="003E6BD8">
                              <w:rPr>
                                <w:szCs w:val="22"/>
                                <w:lang w:val="sr-Latn-RS"/>
                              </w:rPr>
                              <w:t xml:space="preserve"> jednom</w:t>
                            </w:r>
                            <w:r w:rsidRPr="003E6BD8">
                              <w:rPr>
                                <w:spacing w:val="-2"/>
                                <w:szCs w:val="22"/>
                                <w:lang w:val="sr-Latn-RS"/>
                              </w:rPr>
                              <w:t xml:space="preserve"> </w:t>
                            </w:r>
                            <w:r w:rsidRPr="003E6BD8">
                              <w:rPr>
                                <w:szCs w:val="22"/>
                                <w:lang w:val="sr-Latn-RS"/>
                              </w:rPr>
                              <w:t>ned</w:t>
                            </w:r>
                            <w:r>
                              <w:rPr>
                                <w:szCs w:val="22"/>
                                <w:lang w:val="sr-Latn-RS"/>
                              </w:rPr>
                              <w:t>j</w:t>
                            </w:r>
                            <w:r w:rsidRPr="003E6BD8">
                              <w:rPr>
                                <w:szCs w:val="22"/>
                                <w:lang w:val="sr-Latn-RS"/>
                              </w:rPr>
                              <w:t>eljno.</w:t>
                            </w:r>
                          </w:p>
                        </w:tc>
                      </w:tr>
                      <w:tr w:rsidR="00765D0B" w:rsidRPr="003E6BD8" w14:paraId="23746283" w14:textId="77777777" w:rsidTr="00A34C43">
                        <w:trPr>
                          <w:trHeight w:val="1247"/>
                        </w:trPr>
                        <w:tc>
                          <w:tcPr>
                            <w:tcW w:w="4839" w:type="dxa"/>
                            <w:tcBorders>
                              <w:bottom w:val="single" w:sz="4" w:space="0" w:color="auto"/>
                            </w:tcBorders>
                          </w:tcPr>
                          <w:p w14:paraId="158C44E3" w14:textId="61589C02" w:rsidR="00765D0B" w:rsidRPr="003E6BD8" w:rsidRDefault="00765D0B">
                            <w:pPr>
                              <w:kinsoku w:val="0"/>
                              <w:overflowPunct w:val="0"/>
                              <w:spacing w:line="242" w:lineRule="auto"/>
                              <w:ind w:left="110"/>
                              <w:rPr>
                                <w:lang w:val="sr-Latn-RS"/>
                              </w:rPr>
                            </w:pPr>
                            <w:r w:rsidRPr="003E6BD8">
                              <w:rPr>
                                <w:szCs w:val="22"/>
                                <w:lang w:val="sr-Latn-RS"/>
                              </w:rPr>
                              <w:t>Stepen 2 sa bolom ili stepen 3 (teški simptomi: ograničavaju aktivnosti za samostalnu n</w:t>
                            </w:r>
                            <w:r>
                              <w:rPr>
                                <w:szCs w:val="22"/>
                                <w:lang w:val="sr-Latn-RS"/>
                              </w:rPr>
                              <w:t>j</w:t>
                            </w:r>
                            <w:r w:rsidRPr="003E6BD8">
                              <w:rPr>
                                <w:szCs w:val="22"/>
                                <w:lang w:val="sr-Latn-RS"/>
                              </w:rPr>
                              <w:t>egu ADL***))</w:t>
                            </w:r>
                          </w:p>
                        </w:tc>
                        <w:tc>
                          <w:tcPr>
                            <w:tcW w:w="4688" w:type="dxa"/>
                            <w:tcBorders>
                              <w:bottom w:val="single" w:sz="4" w:space="0" w:color="auto"/>
                            </w:tcBorders>
                          </w:tcPr>
                          <w:p w14:paraId="413B8544" w14:textId="6C92FC67" w:rsidR="00765D0B" w:rsidRPr="003E6BD8" w:rsidRDefault="00765D0B" w:rsidP="003E6BD8">
                            <w:pPr>
                              <w:kinsoku w:val="0"/>
                              <w:overflowPunct w:val="0"/>
                              <w:spacing w:before="111"/>
                              <w:ind w:left="111" w:right="35"/>
                              <w:rPr>
                                <w:lang w:val="sr-Latn-RS"/>
                              </w:rPr>
                            </w:pPr>
                            <w:r w:rsidRPr="003E6BD8">
                              <w:rPr>
                                <w:szCs w:val="22"/>
                                <w:lang w:val="sr-Latn-RS"/>
                              </w:rPr>
                              <w:t>Prekinuti terapiju l</w:t>
                            </w:r>
                            <w:r>
                              <w:rPr>
                                <w:szCs w:val="22"/>
                                <w:lang w:val="sr-Latn-RS"/>
                              </w:rPr>
                              <w:t>ij</w:t>
                            </w:r>
                            <w:r w:rsidRPr="003E6BD8">
                              <w:rPr>
                                <w:szCs w:val="22"/>
                                <w:lang w:val="sr-Latn-RS"/>
                              </w:rPr>
                              <w:t>ekom dok se ne povuku simptomi toksičnosti. Kada se toksičnost povuče, započeti ponovo terapiju l</w:t>
                            </w:r>
                            <w:r>
                              <w:rPr>
                                <w:szCs w:val="22"/>
                                <w:lang w:val="sr-Latn-RS"/>
                              </w:rPr>
                              <w:t>ij</w:t>
                            </w:r>
                            <w:r w:rsidRPr="003E6BD8">
                              <w:rPr>
                                <w:szCs w:val="22"/>
                                <w:lang w:val="sr-Latn-RS"/>
                              </w:rPr>
                              <w:t>ekom, ali smanjiti dozu na 0,7 mg/m</w:t>
                            </w:r>
                            <w:r w:rsidRPr="003E6BD8">
                              <w:rPr>
                                <w:szCs w:val="22"/>
                                <w:vertAlign w:val="superscript"/>
                                <w:lang w:val="sr-Latn-RS"/>
                              </w:rPr>
                              <w:t>2</w:t>
                            </w:r>
                            <w:r w:rsidRPr="003E6BD8">
                              <w:rPr>
                                <w:szCs w:val="22"/>
                                <w:lang w:val="sr-Latn-RS"/>
                              </w:rPr>
                              <w:t xml:space="preserve"> i l</w:t>
                            </w:r>
                            <w:r>
                              <w:rPr>
                                <w:szCs w:val="22"/>
                                <w:lang w:val="sr-Latn-RS"/>
                              </w:rPr>
                              <w:t>ij</w:t>
                            </w:r>
                            <w:r w:rsidRPr="003E6BD8">
                              <w:rPr>
                                <w:szCs w:val="22"/>
                                <w:lang w:val="sr-Latn-RS"/>
                              </w:rPr>
                              <w:t>ek davati jednom ned</w:t>
                            </w:r>
                            <w:r>
                              <w:rPr>
                                <w:szCs w:val="22"/>
                                <w:lang w:val="sr-Latn-RS"/>
                              </w:rPr>
                              <w:t>j</w:t>
                            </w:r>
                            <w:r w:rsidRPr="003E6BD8">
                              <w:rPr>
                                <w:szCs w:val="22"/>
                                <w:lang w:val="sr-Latn-RS"/>
                              </w:rPr>
                              <w:t>eljno.</w:t>
                            </w:r>
                          </w:p>
                        </w:tc>
                      </w:tr>
                      <w:tr w:rsidR="00765D0B" w:rsidRPr="003E6BD8" w14:paraId="74493E1E" w14:textId="77777777" w:rsidTr="00A34C43">
                        <w:trPr>
                          <w:trHeight w:val="1417"/>
                        </w:trPr>
                        <w:tc>
                          <w:tcPr>
                            <w:tcW w:w="4839" w:type="dxa"/>
                            <w:tcBorders>
                              <w:top w:val="single" w:sz="4" w:space="0" w:color="auto"/>
                              <w:left w:val="single" w:sz="4" w:space="0" w:color="auto"/>
                              <w:bottom w:val="single" w:sz="4" w:space="0" w:color="auto"/>
                              <w:right w:val="single" w:sz="4" w:space="0" w:color="auto"/>
                            </w:tcBorders>
                          </w:tcPr>
                          <w:p w14:paraId="3D1DC38D" w14:textId="19DFBFD9" w:rsidR="00765D0B" w:rsidRPr="003E6BD8" w:rsidRDefault="00765D0B">
                            <w:pPr>
                              <w:kinsoku w:val="0"/>
                              <w:overflowPunct w:val="0"/>
                              <w:spacing w:line="242" w:lineRule="auto"/>
                              <w:ind w:left="110"/>
                              <w:rPr>
                                <w:lang w:val="sr-Latn-RS"/>
                              </w:rPr>
                            </w:pPr>
                            <w:r w:rsidRPr="003E6BD8">
                              <w:rPr>
                                <w:szCs w:val="22"/>
                                <w:lang w:val="sr-Latn-RS"/>
                              </w:rPr>
                              <w:t>Stepen 4 (životno ugrožavajuće posl</w:t>
                            </w:r>
                            <w:r>
                              <w:rPr>
                                <w:szCs w:val="22"/>
                                <w:lang w:val="sr-Latn-RS"/>
                              </w:rPr>
                              <w:t>j</w:t>
                            </w:r>
                            <w:r w:rsidRPr="003E6BD8">
                              <w:rPr>
                                <w:szCs w:val="22"/>
                                <w:lang w:val="sr-Latn-RS"/>
                              </w:rPr>
                              <w:t>edice; indikovane urgentne intervencije) i/ili ozbiljna neuropatija autonomnog nervnog sistema.</w:t>
                            </w:r>
                          </w:p>
                        </w:tc>
                        <w:tc>
                          <w:tcPr>
                            <w:tcW w:w="4688" w:type="dxa"/>
                            <w:tcBorders>
                              <w:top w:val="single" w:sz="4" w:space="0" w:color="auto"/>
                              <w:left w:val="single" w:sz="4" w:space="0" w:color="auto"/>
                              <w:bottom w:val="single" w:sz="4" w:space="0" w:color="auto"/>
                              <w:right w:val="single" w:sz="4" w:space="0" w:color="auto"/>
                            </w:tcBorders>
                          </w:tcPr>
                          <w:p w14:paraId="39E3D403" w14:textId="5DE9E4EA" w:rsidR="00765D0B" w:rsidRPr="003E6BD8" w:rsidRDefault="00765D0B" w:rsidP="003E6BD8">
                            <w:pPr>
                              <w:ind w:left="111"/>
                              <w:rPr>
                                <w:lang w:val="sr-Latn-RS"/>
                              </w:rPr>
                            </w:pPr>
                            <w:r w:rsidRPr="003E6BD8">
                              <w:rPr>
                                <w:szCs w:val="22"/>
                                <w:lang w:val="sr-Latn-RS"/>
                              </w:rPr>
                              <w:t>Prekinuti terapiju l</w:t>
                            </w:r>
                            <w:r>
                              <w:rPr>
                                <w:szCs w:val="22"/>
                                <w:lang w:val="sr-Latn-RS"/>
                              </w:rPr>
                              <w:t>ij</w:t>
                            </w:r>
                            <w:r w:rsidRPr="003E6BD8">
                              <w:rPr>
                                <w:szCs w:val="22"/>
                                <w:lang w:val="sr-Latn-RS"/>
                              </w:rPr>
                              <w:t xml:space="preserve">ekom </w:t>
                            </w:r>
                          </w:p>
                        </w:tc>
                      </w:tr>
                      <w:tr w:rsidR="00765D0B" w:rsidRPr="003E6BD8" w14:paraId="741F5241" w14:textId="77777777" w:rsidTr="00A34C43">
                        <w:trPr>
                          <w:trHeight w:val="90"/>
                        </w:trPr>
                        <w:tc>
                          <w:tcPr>
                            <w:tcW w:w="4839" w:type="dxa"/>
                            <w:tcBorders>
                              <w:top w:val="single" w:sz="4" w:space="0" w:color="auto"/>
                              <w:left w:val="single" w:sz="4" w:space="0" w:color="auto"/>
                              <w:bottom w:val="single" w:sz="4" w:space="0" w:color="auto"/>
                              <w:right w:val="single" w:sz="4" w:space="0" w:color="auto"/>
                            </w:tcBorders>
                          </w:tcPr>
                          <w:p w14:paraId="2EC22558" w14:textId="77777777" w:rsidR="00765D0B" w:rsidRPr="003E6BD8" w:rsidRDefault="00765D0B" w:rsidP="00A34C43">
                            <w:pPr>
                              <w:kinsoku w:val="0"/>
                              <w:overflowPunct w:val="0"/>
                              <w:spacing w:line="242" w:lineRule="auto"/>
                              <w:ind w:left="110"/>
                              <w:rPr>
                                <w:szCs w:val="22"/>
                                <w:lang w:val="sr-Latn-RS"/>
                              </w:rPr>
                            </w:pPr>
                          </w:p>
                        </w:tc>
                        <w:tc>
                          <w:tcPr>
                            <w:tcW w:w="4688" w:type="dxa"/>
                            <w:tcBorders>
                              <w:top w:val="single" w:sz="4" w:space="0" w:color="auto"/>
                              <w:left w:val="single" w:sz="4" w:space="0" w:color="auto"/>
                              <w:bottom w:val="single" w:sz="4" w:space="0" w:color="auto"/>
                              <w:right w:val="single" w:sz="4" w:space="0" w:color="auto"/>
                            </w:tcBorders>
                          </w:tcPr>
                          <w:p w14:paraId="691F62D4" w14:textId="77777777" w:rsidR="00765D0B" w:rsidRPr="003E6BD8" w:rsidRDefault="00765D0B" w:rsidP="003E6BD8">
                            <w:pPr>
                              <w:ind w:left="111"/>
                              <w:rPr>
                                <w:szCs w:val="22"/>
                                <w:lang w:val="sr-Latn-RS"/>
                              </w:rPr>
                            </w:pPr>
                          </w:p>
                        </w:tc>
                      </w:tr>
                      <w:tr w:rsidR="00765D0B" w:rsidRPr="003E6BD8" w14:paraId="121DBA4D" w14:textId="77777777" w:rsidTr="00A34C43">
                        <w:trPr>
                          <w:trHeight w:val="6"/>
                        </w:trPr>
                        <w:tc>
                          <w:tcPr>
                            <w:tcW w:w="4839" w:type="dxa"/>
                            <w:tcBorders>
                              <w:top w:val="single" w:sz="4" w:space="0" w:color="auto"/>
                              <w:left w:val="single" w:sz="4" w:space="0" w:color="auto"/>
                              <w:bottom w:val="single" w:sz="4" w:space="0" w:color="auto"/>
                              <w:right w:val="single" w:sz="4" w:space="0" w:color="auto"/>
                            </w:tcBorders>
                          </w:tcPr>
                          <w:p w14:paraId="128A21A0" w14:textId="77777777" w:rsidR="00765D0B" w:rsidRPr="003E6BD8" w:rsidRDefault="00765D0B">
                            <w:pPr>
                              <w:kinsoku w:val="0"/>
                              <w:overflowPunct w:val="0"/>
                              <w:spacing w:line="242" w:lineRule="auto"/>
                              <w:ind w:left="110"/>
                              <w:rPr>
                                <w:szCs w:val="22"/>
                                <w:lang w:val="sr-Latn-RS"/>
                              </w:rPr>
                            </w:pPr>
                          </w:p>
                        </w:tc>
                        <w:tc>
                          <w:tcPr>
                            <w:tcW w:w="4688" w:type="dxa"/>
                            <w:tcBorders>
                              <w:top w:val="single" w:sz="4" w:space="0" w:color="auto"/>
                              <w:left w:val="single" w:sz="4" w:space="0" w:color="auto"/>
                              <w:bottom w:val="single" w:sz="4" w:space="0" w:color="auto"/>
                              <w:right w:val="single" w:sz="4" w:space="0" w:color="auto"/>
                            </w:tcBorders>
                          </w:tcPr>
                          <w:p w14:paraId="5838B251" w14:textId="77777777" w:rsidR="00765D0B" w:rsidRPr="003E6BD8" w:rsidRDefault="00765D0B" w:rsidP="003E6BD8">
                            <w:pPr>
                              <w:ind w:left="111"/>
                              <w:rPr>
                                <w:szCs w:val="22"/>
                                <w:lang w:val="sr-Latn-RS"/>
                              </w:rPr>
                            </w:pPr>
                          </w:p>
                        </w:tc>
                      </w:tr>
                    </w:tbl>
                    <w:p w14:paraId="42F40924" w14:textId="77777777" w:rsidR="00765D0B" w:rsidRDefault="00765D0B" w:rsidP="00DF2F42">
                      <w:pPr>
                        <w:pStyle w:val="BodyText"/>
                        <w:kinsoku w:val="0"/>
                        <w:overflowPunct w:val="0"/>
                        <w:rPr>
                          <w:sz w:val="24"/>
                        </w:rPr>
                      </w:pPr>
                    </w:p>
                  </w:txbxContent>
                </v:textbox>
                <w10:anchorlock/>
              </v:shape>
            </w:pict>
          </mc:Fallback>
        </mc:AlternateContent>
      </w:r>
    </w:p>
    <w:p w14:paraId="7E1D8566" w14:textId="77777777" w:rsidR="00126392" w:rsidRPr="000D3D7F" w:rsidRDefault="00126392" w:rsidP="001E1F5A">
      <w:pPr>
        <w:rPr>
          <w:szCs w:val="22"/>
          <w:lang w:val="sr-Latn-ME"/>
        </w:rPr>
      </w:pPr>
    </w:p>
    <w:p w14:paraId="773F1BF9" w14:textId="59A3DB36" w:rsidR="00DF2F42" w:rsidRPr="000D3D7F" w:rsidRDefault="00DF2F42" w:rsidP="001E1F5A">
      <w:pPr>
        <w:rPr>
          <w:szCs w:val="22"/>
          <w:lang w:val="sr-Latn-ME"/>
        </w:rPr>
      </w:pPr>
      <w:r w:rsidRPr="000D3D7F">
        <w:rPr>
          <w:szCs w:val="22"/>
          <w:lang w:val="sr-Latn-ME"/>
        </w:rPr>
        <w:t>*Na osnovu prilagođavanja doze u kliničkim ispitivanjima faze II i III kod multiplog mijeloma i</w:t>
      </w:r>
      <w:r w:rsidR="00EF29F8" w:rsidRPr="000D3D7F">
        <w:rPr>
          <w:szCs w:val="22"/>
          <w:lang w:val="sr-Latn-ME"/>
        </w:rPr>
        <w:t xml:space="preserve"> </w:t>
      </w:r>
      <w:r w:rsidRPr="000D3D7F">
        <w:rPr>
          <w:szCs w:val="22"/>
          <w:lang w:val="sr-Latn-ME"/>
        </w:rPr>
        <w:t>postmarketinškog iskustva Stepenovanje je zasnovano na NCI Zajedničkim Toksičnim kriterijumima</w:t>
      </w:r>
      <w:r w:rsidR="00EF29F8" w:rsidRPr="000D3D7F">
        <w:rPr>
          <w:szCs w:val="22"/>
          <w:lang w:val="sr-Latn-ME"/>
        </w:rPr>
        <w:t xml:space="preserve"> </w:t>
      </w:r>
      <w:r w:rsidRPr="000D3D7F">
        <w:rPr>
          <w:szCs w:val="22"/>
          <w:lang w:val="sr-Latn-ME"/>
        </w:rPr>
        <w:t>CTCAE v 4.0</w:t>
      </w:r>
    </w:p>
    <w:p w14:paraId="51CDFC72" w14:textId="20BDF7E2" w:rsidR="00DF2F42" w:rsidRPr="000D3D7F" w:rsidRDefault="00DF2F42" w:rsidP="001E1F5A">
      <w:pPr>
        <w:rPr>
          <w:szCs w:val="22"/>
          <w:lang w:val="sr-Latn-ME"/>
        </w:rPr>
      </w:pPr>
      <w:r w:rsidRPr="000D3D7F">
        <w:rPr>
          <w:szCs w:val="22"/>
          <w:lang w:val="sr-Latn-ME"/>
        </w:rPr>
        <w:t>** Dnevne aktivnosti ADL: odnosi se na spremanje obroka, kupovina nam</w:t>
      </w:r>
      <w:r w:rsidR="00F1036B" w:rsidRPr="000D3D7F">
        <w:rPr>
          <w:szCs w:val="22"/>
          <w:lang w:val="sr-Latn-ME"/>
        </w:rPr>
        <w:t>i</w:t>
      </w:r>
      <w:r w:rsidRPr="000D3D7F">
        <w:rPr>
          <w:szCs w:val="22"/>
          <w:lang w:val="sr-Latn-ME"/>
        </w:rPr>
        <w:t>rnica ili od</w:t>
      </w:r>
      <w:r w:rsidR="00F1036B" w:rsidRPr="000D3D7F">
        <w:rPr>
          <w:szCs w:val="22"/>
          <w:lang w:val="sr-Latn-ME"/>
        </w:rPr>
        <w:t>j</w:t>
      </w:r>
      <w:r w:rsidRPr="000D3D7F">
        <w:rPr>
          <w:szCs w:val="22"/>
          <w:lang w:val="sr-Latn-ME"/>
        </w:rPr>
        <w:t>eće, upotrebu</w:t>
      </w:r>
      <w:r w:rsidR="00EF29F8" w:rsidRPr="000D3D7F">
        <w:rPr>
          <w:szCs w:val="22"/>
          <w:lang w:val="sr-Latn-ME"/>
        </w:rPr>
        <w:t xml:space="preserve"> </w:t>
      </w:r>
      <w:r w:rsidRPr="000D3D7F">
        <w:rPr>
          <w:szCs w:val="22"/>
          <w:lang w:val="sr-Latn-ME"/>
        </w:rPr>
        <w:t>telefona, upravljanje novcem, itd</w:t>
      </w:r>
    </w:p>
    <w:p w14:paraId="3B873822" w14:textId="22F2F17B" w:rsidR="00DF2F42" w:rsidRPr="000D3D7F" w:rsidRDefault="00DF2F42" w:rsidP="001E1F5A">
      <w:pPr>
        <w:rPr>
          <w:szCs w:val="22"/>
          <w:lang w:val="sr-Latn-ME"/>
        </w:rPr>
      </w:pPr>
      <w:r w:rsidRPr="000D3D7F">
        <w:rPr>
          <w:szCs w:val="22"/>
          <w:lang w:val="sr-Latn-ME"/>
        </w:rPr>
        <w:t>*** Samostalna n</w:t>
      </w:r>
      <w:r w:rsidR="00F1036B" w:rsidRPr="000D3D7F">
        <w:rPr>
          <w:szCs w:val="22"/>
          <w:lang w:val="sr-Latn-ME"/>
        </w:rPr>
        <w:t>j</w:t>
      </w:r>
      <w:r w:rsidRPr="000D3D7F">
        <w:rPr>
          <w:szCs w:val="22"/>
          <w:lang w:val="sr-Latn-ME"/>
        </w:rPr>
        <w:t>ega ADL: odnosi se na kupanje, oblačenje i svlačenje, samostalno hranjenje, upotrebu</w:t>
      </w:r>
      <w:r w:rsidR="00EF29F8" w:rsidRPr="000D3D7F">
        <w:rPr>
          <w:szCs w:val="22"/>
          <w:lang w:val="sr-Latn-ME"/>
        </w:rPr>
        <w:t xml:space="preserve"> </w:t>
      </w:r>
      <w:r w:rsidRPr="000D3D7F">
        <w:rPr>
          <w:szCs w:val="22"/>
          <w:lang w:val="sr-Latn-ME"/>
        </w:rPr>
        <w:t>toaleta, uzimanje l</w:t>
      </w:r>
      <w:r w:rsidR="00F1036B" w:rsidRPr="000D3D7F">
        <w:rPr>
          <w:szCs w:val="22"/>
          <w:lang w:val="sr-Latn-ME"/>
        </w:rPr>
        <w:t>j</w:t>
      </w:r>
      <w:r w:rsidRPr="000D3D7F">
        <w:rPr>
          <w:szCs w:val="22"/>
          <w:lang w:val="sr-Latn-ME"/>
        </w:rPr>
        <w:t>ekova i da osoba nije vezana za krevet.</w:t>
      </w:r>
    </w:p>
    <w:p w14:paraId="2B91D6DC" w14:textId="77777777" w:rsidR="003E6BD8" w:rsidRPr="000D3D7F" w:rsidRDefault="003E6BD8" w:rsidP="001E1F5A">
      <w:pPr>
        <w:rPr>
          <w:szCs w:val="22"/>
          <w:lang w:val="sr-Latn-ME"/>
        </w:rPr>
      </w:pPr>
    </w:p>
    <w:p w14:paraId="4D8155A7" w14:textId="119F6928" w:rsidR="00DF2F42" w:rsidRPr="000D3D7F" w:rsidRDefault="00DF2F42" w:rsidP="001E1F5A">
      <w:pPr>
        <w:rPr>
          <w:i/>
          <w:iCs/>
          <w:szCs w:val="22"/>
          <w:lang w:val="sr-Latn-ME"/>
        </w:rPr>
      </w:pPr>
      <w:r w:rsidRPr="000D3D7F">
        <w:rPr>
          <w:i/>
          <w:iCs/>
          <w:szCs w:val="22"/>
          <w:lang w:val="sr-Latn-ME"/>
        </w:rPr>
        <w:t>Kombinovana terapija sa pegilovanim lipozomalnim doksorubicinom</w:t>
      </w:r>
    </w:p>
    <w:p w14:paraId="58820EE6" w14:textId="4BB9A6FB" w:rsidR="00DF2F42" w:rsidRPr="000D3D7F" w:rsidRDefault="00DF2F42" w:rsidP="001E1F5A">
      <w:pPr>
        <w:rPr>
          <w:szCs w:val="22"/>
          <w:lang w:val="sr-Latn-ME"/>
        </w:rPr>
      </w:pPr>
      <w:r w:rsidRPr="000D3D7F">
        <w:rPr>
          <w:szCs w:val="22"/>
          <w:lang w:val="sr-Latn-ME"/>
        </w:rPr>
        <w:t>L</w:t>
      </w:r>
      <w:r w:rsidR="00F1036B"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 mg prašak za rastvor za injekciju se prim</w:t>
      </w:r>
      <w:r w:rsidR="00F1036B"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od 1,3 mg/m</w:t>
      </w:r>
      <w:r w:rsidRPr="000D3D7F">
        <w:rPr>
          <w:szCs w:val="22"/>
          <w:vertAlign w:val="superscript"/>
          <w:lang w:val="sr-Latn-ME"/>
        </w:rPr>
        <w:t xml:space="preserve">2 </w:t>
      </w:r>
      <w:r w:rsidRPr="000D3D7F">
        <w:rPr>
          <w:szCs w:val="22"/>
          <w:lang w:val="sr-Latn-ME"/>
        </w:rPr>
        <w:t>t</w:t>
      </w:r>
      <w:r w:rsidR="00F1036B" w:rsidRPr="000D3D7F">
        <w:rPr>
          <w:szCs w:val="22"/>
          <w:lang w:val="sr-Latn-ME"/>
        </w:rPr>
        <w:t>j</w:t>
      </w:r>
      <w:r w:rsidRPr="000D3D7F">
        <w:rPr>
          <w:szCs w:val="22"/>
          <w:lang w:val="sr-Latn-ME"/>
        </w:rPr>
        <w:t>elesne površine dva puta ned</w:t>
      </w:r>
      <w:r w:rsidR="00F1036B" w:rsidRPr="000D3D7F">
        <w:rPr>
          <w:szCs w:val="22"/>
          <w:lang w:val="sr-Latn-ME"/>
        </w:rPr>
        <w:t>j</w:t>
      </w:r>
      <w:r w:rsidRPr="000D3D7F">
        <w:rPr>
          <w:szCs w:val="22"/>
          <w:lang w:val="sr-Latn-ME"/>
        </w:rPr>
        <w:t>eljno tokom dv</w:t>
      </w:r>
      <w:r w:rsidR="00F1036B" w:rsidRPr="000D3D7F">
        <w:rPr>
          <w:szCs w:val="22"/>
          <w:lang w:val="sr-Latn-ME"/>
        </w:rPr>
        <w:t>ij</w:t>
      </w:r>
      <w:r w:rsidRPr="000D3D7F">
        <w:rPr>
          <w:szCs w:val="22"/>
          <w:lang w:val="sr-Latn-ME"/>
        </w:rPr>
        <w:t>e ned</w:t>
      </w:r>
      <w:r w:rsidR="00F1036B" w:rsidRPr="000D3D7F">
        <w:rPr>
          <w:szCs w:val="22"/>
          <w:lang w:val="sr-Latn-ME"/>
        </w:rPr>
        <w:t>j</w:t>
      </w:r>
      <w:r w:rsidRPr="000D3D7F">
        <w:rPr>
          <w:szCs w:val="22"/>
          <w:lang w:val="sr-Latn-ME"/>
        </w:rPr>
        <w:t>elje (1, 4, 8. i 11. dan) u</w:t>
      </w:r>
      <w:r w:rsidR="00EF29F8" w:rsidRPr="000D3D7F">
        <w:rPr>
          <w:szCs w:val="22"/>
          <w:lang w:val="sr-Latn-ME"/>
        </w:rPr>
        <w:t xml:space="preserve"> </w:t>
      </w:r>
      <w:r w:rsidRPr="000D3D7F">
        <w:rPr>
          <w:szCs w:val="22"/>
          <w:lang w:val="sr-Latn-ME"/>
        </w:rPr>
        <w:t>terapijskom ciklusu koji traje 21 dan. Ovaj period od 3 ned</w:t>
      </w:r>
      <w:r w:rsidR="00F1036B" w:rsidRPr="000D3D7F">
        <w:rPr>
          <w:szCs w:val="22"/>
          <w:lang w:val="sr-Latn-ME"/>
        </w:rPr>
        <w:t>j</w:t>
      </w:r>
      <w:r w:rsidRPr="000D3D7F">
        <w:rPr>
          <w:szCs w:val="22"/>
          <w:lang w:val="sr-Latn-ME"/>
        </w:rPr>
        <w:t>elje smatra se terapijskim ciklusom. Najmanje 72</w:t>
      </w:r>
      <w:r w:rsidR="00EF29F8" w:rsidRPr="000D3D7F">
        <w:rPr>
          <w:szCs w:val="22"/>
          <w:lang w:val="sr-Latn-ME"/>
        </w:rPr>
        <w:t xml:space="preserve"> </w:t>
      </w:r>
      <w:r w:rsidRPr="000D3D7F">
        <w:rPr>
          <w:szCs w:val="22"/>
          <w:lang w:val="sr-Latn-ME"/>
        </w:rPr>
        <w:t>sata treba da prođe između uzastopnih doza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1941C02D" w14:textId="665A067E" w:rsidR="00DF2F42" w:rsidRPr="000D3D7F" w:rsidRDefault="00DF2F42" w:rsidP="001E1F5A">
      <w:pPr>
        <w:rPr>
          <w:szCs w:val="22"/>
          <w:lang w:val="sr-Latn-ME"/>
        </w:rPr>
      </w:pPr>
      <w:r w:rsidRPr="000D3D7F">
        <w:rPr>
          <w:szCs w:val="22"/>
          <w:lang w:val="sr-Latn-ME"/>
        </w:rPr>
        <w:t>Pegilovani lipozomalni doksorubicin se prim</w:t>
      </w:r>
      <w:r w:rsidR="00F1036B" w:rsidRPr="000D3D7F">
        <w:rPr>
          <w:szCs w:val="22"/>
          <w:lang w:val="sr-Latn-ME"/>
        </w:rPr>
        <w:t>j</w:t>
      </w:r>
      <w:r w:rsidRPr="000D3D7F">
        <w:rPr>
          <w:szCs w:val="22"/>
          <w:lang w:val="sr-Latn-ME"/>
        </w:rPr>
        <w:t>enjuje u dozi 30 mg/m</w:t>
      </w:r>
      <w:r w:rsidRPr="000D3D7F">
        <w:rPr>
          <w:szCs w:val="22"/>
          <w:vertAlign w:val="superscript"/>
          <w:lang w:val="sr-Latn-ME"/>
        </w:rPr>
        <w:t>2</w:t>
      </w:r>
      <w:r w:rsidRPr="000D3D7F">
        <w:rPr>
          <w:szCs w:val="22"/>
          <w:lang w:val="sr-Latn-ME"/>
        </w:rPr>
        <w:t xml:space="preserve"> u danu 4 </w:t>
      </w:r>
      <w:r w:rsidR="007C1B2D" w:rsidRPr="000D3D7F">
        <w:rPr>
          <w:szCs w:val="22"/>
          <w:lang w:val="sr-Latn-ME"/>
        </w:rPr>
        <w:t xml:space="preserve">bortezomib </w:t>
      </w:r>
      <w:r w:rsidRPr="000D3D7F">
        <w:rPr>
          <w:szCs w:val="22"/>
          <w:lang w:val="sr-Latn-ME"/>
        </w:rPr>
        <w:t>terapijskog ciklusa</w:t>
      </w:r>
      <w:r w:rsidR="007C1B2D" w:rsidRPr="000D3D7F">
        <w:rPr>
          <w:lang w:val="sr-Latn-ME"/>
        </w:rPr>
        <w:t xml:space="preserve"> </w:t>
      </w:r>
      <w:r w:rsidR="00EF29F8" w:rsidRPr="000D3D7F">
        <w:rPr>
          <w:szCs w:val="22"/>
          <w:lang w:val="sr-Latn-ME"/>
        </w:rPr>
        <w:t xml:space="preserve"> </w:t>
      </w:r>
      <w:r w:rsidRPr="000D3D7F">
        <w:rPr>
          <w:szCs w:val="22"/>
          <w:lang w:val="sr-Latn-ME"/>
        </w:rPr>
        <w:t>kao jednočasovna intravenska infuzija nakon injekcije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0D7A08AE" w14:textId="78B401C9" w:rsidR="00DF2F42" w:rsidRPr="000D3D7F" w:rsidRDefault="00DF2F42" w:rsidP="001E1F5A">
      <w:pPr>
        <w:rPr>
          <w:szCs w:val="22"/>
          <w:lang w:val="sr-Latn-ME"/>
        </w:rPr>
      </w:pPr>
      <w:r w:rsidRPr="000D3D7F">
        <w:rPr>
          <w:szCs w:val="22"/>
          <w:lang w:val="sr-Latn-ME"/>
        </w:rPr>
        <w:lastRenderedPageBreak/>
        <w:t>Može se prim</w:t>
      </w:r>
      <w:r w:rsidR="00F1036B" w:rsidRPr="000D3D7F">
        <w:rPr>
          <w:szCs w:val="22"/>
          <w:lang w:val="sr-Latn-ME"/>
        </w:rPr>
        <w:t>ij</w:t>
      </w:r>
      <w:r w:rsidRPr="000D3D7F">
        <w:rPr>
          <w:szCs w:val="22"/>
          <w:lang w:val="sr-Latn-ME"/>
        </w:rPr>
        <w:t>eniti do 8 ciklusa ove kombinovane terapije, sve dok bolest ne progredira i dok pacijenti dobro</w:t>
      </w:r>
      <w:r w:rsidR="00EF29F8" w:rsidRPr="000D3D7F">
        <w:rPr>
          <w:szCs w:val="22"/>
          <w:lang w:val="sr-Latn-ME"/>
        </w:rPr>
        <w:t xml:space="preserve"> </w:t>
      </w:r>
      <w:r w:rsidRPr="000D3D7F">
        <w:rPr>
          <w:szCs w:val="22"/>
          <w:lang w:val="sr-Latn-ME"/>
        </w:rPr>
        <w:t>podnose terapiju. Pacijenti koji dostignu kompletan odgovor mogu nastaviti sa terapijom najmanje 2 ciklusa</w:t>
      </w:r>
      <w:r w:rsidR="00EF29F8" w:rsidRPr="000D3D7F">
        <w:rPr>
          <w:szCs w:val="22"/>
          <w:lang w:val="sr-Latn-ME"/>
        </w:rPr>
        <w:t xml:space="preserve"> </w:t>
      </w:r>
      <w:r w:rsidRPr="000D3D7F">
        <w:rPr>
          <w:szCs w:val="22"/>
          <w:lang w:val="sr-Latn-ME"/>
        </w:rPr>
        <w:t>nakon prvog evidentiranja kompletnog odgovora, iako ovo može zaht</w:t>
      </w:r>
      <w:r w:rsidR="00F1036B" w:rsidRPr="000D3D7F">
        <w:rPr>
          <w:szCs w:val="22"/>
          <w:lang w:val="sr-Latn-ME"/>
        </w:rPr>
        <w:t>ij</w:t>
      </w:r>
      <w:r w:rsidRPr="000D3D7F">
        <w:rPr>
          <w:szCs w:val="22"/>
          <w:lang w:val="sr-Latn-ME"/>
        </w:rPr>
        <w:t>evati davanje više od 8 ciklusa.</w:t>
      </w:r>
    </w:p>
    <w:p w14:paraId="5D59931E" w14:textId="3DBBDCAA" w:rsidR="00DF2F42" w:rsidRPr="000D3D7F" w:rsidRDefault="00DF2F42" w:rsidP="001E1F5A">
      <w:pPr>
        <w:rPr>
          <w:szCs w:val="22"/>
          <w:lang w:val="sr-Latn-ME"/>
        </w:rPr>
      </w:pPr>
      <w:r w:rsidRPr="000D3D7F">
        <w:rPr>
          <w:szCs w:val="22"/>
          <w:lang w:val="sr-Latn-ME"/>
        </w:rPr>
        <w:t>Pacijenti kod kojih se nastavlja smanjivanje koncentracije paraproteina nakon 8 ciklusa, takođe mogu da</w:t>
      </w:r>
      <w:r w:rsidR="00EF29F8" w:rsidRPr="000D3D7F">
        <w:rPr>
          <w:szCs w:val="22"/>
          <w:lang w:val="sr-Latn-ME"/>
        </w:rPr>
        <w:t xml:space="preserve"> </w:t>
      </w:r>
      <w:r w:rsidRPr="000D3D7F">
        <w:rPr>
          <w:szCs w:val="22"/>
          <w:lang w:val="sr-Latn-ME"/>
        </w:rPr>
        <w:t>nastave sa terapijom sve dok dobro podnose terapiju i nastavljaju sa odgovorom.</w:t>
      </w:r>
    </w:p>
    <w:p w14:paraId="208942FE" w14:textId="56518A86" w:rsidR="00DF2F42" w:rsidRPr="000D3D7F" w:rsidRDefault="00DF2F42" w:rsidP="001E1F5A">
      <w:pPr>
        <w:rPr>
          <w:szCs w:val="22"/>
          <w:lang w:val="sr-Latn-ME"/>
        </w:rPr>
      </w:pPr>
      <w:r w:rsidRPr="000D3D7F">
        <w:rPr>
          <w:szCs w:val="22"/>
          <w:lang w:val="sr-Latn-ME"/>
        </w:rPr>
        <w:t>Za dodatne informacije koje se odnose na lipozomalni doksorubicin vid</w:t>
      </w:r>
      <w:r w:rsidR="00F1036B" w:rsidRPr="000D3D7F">
        <w:rPr>
          <w:szCs w:val="22"/>
          <w:lang w:val="sr-Latn-ME"/>
        </w:rPr>
        <w:t>j</w:t>
      </w:r>
      <w:r w:rsidRPr="000D3D7F">
        <w:rPr>
          <w:szCs w:val="22"/>
          <w:lang w:val="sr-Latn-ME"/>
        </w:rPr>
        <w:t>eti odgovarajući Sažetak</w:t>
      </w:r>
      <w:r w:rsidR="00EF29F8" w:rsidRPr="000D3D7F">
        <w:rPr>
          <w:szCs w:val="22"/>
          <w:lang w:val="sr-Latn-ME"/>
        </w:rPr>
        <w:t xml:space="preserve"> </w:t>
      </w:r>
      <w:r w:rsidRPr="000D3D7F">
        <w:rPr>
          <w:szCs w:val="22"/>
          <w:lang w:val="sr-Latn-ME"/>
        </w:rPr>
        <w:t>karakteristika l</w:t>
      </w:r>
      <w:r w:rsidR="00F1036B" w:rsidRPr="000D3D7F">
        <w:rPr>
          <w:szCs w:val="22"/>
          <w:lang w:val="sr-Latn-ME"/>
        </w:rPr>
        <w:t>ij</w:t>
      </w:r>
      <w:r w:rsidRPr="000D3D7F">
        <w:rPr>
          <w:szCs w:val="22"/>
          <w:lang w:val="sr-Latn-ME"/>
        </w:rPr>
        <w:t>eka.</w:t>
      </w:r>
    </w:p>
    <w:p w14:paraId="63E4F697" w14:textId="77777777" w:rsidR="003E6BD8" w:rsidRPr="000D3D7F" w:rsidRDefault="003E6BD8" w:rsidP="001E1F5A">
      <w:pPr>
        <w:rPr>
          <w:szCs w:val="22"/>
          <w:lang w:val="sr-Latn-ME"/>
        </w:rPr>
      </w:pPr>
    </w:p>
    <w:p w14:paraId="4CDBDC8B" w14:textId="680D5E3B" w:rsidR="00DF2F42" w:rsidRPr="000D3D7F" w:rsidRDefault="00DF2F42" w:rsidP="001E1F5A">
      <w:pPr>
        <w:rPr>
          <w:i/>
          <w:iCs/>
          <w:szCs w:val="22"/>
          <w:lang w:val="sr-Latn-ME"/>
        </w:rPr>
      </w:pPr>
      <w:r w:rsidRPr="000D3D7F">
        <w:rPr>
          <w:i/>
          <w:iCs/>
          <w:szCs w:val="22"/>
          <w:lang w:val="sr-Latn-ME"/>
        </w:rPr>
        <w:t>Kombinacija sa deksametazonom</w:t>
      </w:r>
    </w:p>
    <w:p w14:paraId="054C3D1C" w14:textId="4E21C8BF" w:rsidR="00DF2F42" w:rsidRPr="000D3D7F" w:rsidRDefault="00DF2F42" w:rsidP="001E1F5A">
      <w:pPr>
        <w:rPr>
          <w:szCs w:val="22"/>
          <w:lang w:val="sr-Latn-ME"/>
        </w:rPr>
      </w:pPr>
      <w:r w:rsidRPr="000D3D7F">
        <w:rPr>
          <w:szCs w:val="22"/>
          <w:lang w:val="sr-Latn-ME"/>
        </w:rPr>
        <w:t>L</w:t>
      </w:r>
      <w:r w:rsidR="00F1036B"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 mg prašak za rastvor za injekciju se prim</w:t>
      </w:r>
      <w:r w:rsidR="00F1036B"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od 1,3 mg/m</w:t>
      </w:r>
      <w:r w:rsidRPr="000D3D7F">
        <w:rPr>
          <w:szCs w:val="22"/>
          <w:vertAlign w:val="superscript"/>
          <w:lang w:val="sr-Latn-ME"/>
        </w:rPr>
        <w:t>2</w:t>
      </w:r>
      <w:r w:rsidRPr="000D3D7F">
        <w:rPr>
          <w:szCs w:val="22"/>
          <w:lang w:val="sr-Latn-ME"/>
        </w:rPr>
        <w:t xml:space="preserve"> t</w:t>
      </w:r>
      <w:r w:rsidR="00F1036B" w:rsidRPr="000D3D7F">
        <w:rPr>
          <w:szCs w:val="22"/>
          <w:lang w:val="sr-Latn-ME"/>
        </w:rPr>
        <w:t>j</w:t>
      </w:r>
      <w:r w:rsidRPr="000D3D7F">
        <w:rPr>
          <w:szCs w:val="22"/>
          <w:lang w:val="sr-Latn-ME"/>
        </w:rPr>
        <w:t>elesne površine dva puta ned</w:t>
      </w:r>
      <w:r w:rsidR="00F1036B" w:rsidRPr="000D3D7F">
        <w:rPr>
          <w:szCs w:val="22"/>
          <w:lang w:val="sr-Latn-ME"/>
        </w:rPr>
        <w:t>j</w:t>
      </w:r>
      <w:r w:rsidRPr="000D3D7F">
        <w:rPr>
          <w:szCs w:val="22"/>
          <w:lang w:val="sr-Latn-ME"/>
        </w:rPr>
        <w:t>eljno tokom dv</w:t>
      </w:r>
      <w:r w:rsidR="00F1036B" w:rsidRPr="000D3D7F">
        <w:rPr>
          <w:szCs w:val="22"/>
          <w:lang w:val="sr-Latn-ME"/>
        </w:rPr>
        <w:t>ij</w:t>
      </w:r>
      <w:r w:rsidRPr="000D3D7F">
        <w:rPr>
          <w:szCs w:val="22"/>
          <w:lang w:val="sr-Latn-ME"/>
        </w:rPr>
        <w:t>e ned</w:t>
      </w:r>
      <w:r w:rsidR="00F1036B" w:rsidRPr="000D3D7F">
        <w:rPr>
          <w:szCs w:val="22"/>
          <w:lang w:val="sr-Latn-ME"/>
        </w:rPr>
        <w:t>j</w:t>
      </w:r>
      <w:r w:rsidRPr="000D3D7F">
        <w:rPr>
          <w:szCs w:val="22"/>
          <w:lang w:val="sr-Latn-ME"/>
        </w:rPr>
        <w:t>elje (1, 4, 8. i 11. dan) u</w:t>
      </w:r>
      <w:r w:rsidR="00EF29F8" w:rsidRPr="000D3D7F">
        <w:rPr>
          <w:szCs w:val="22"/>
          <w:lang w:val="sr-Latn-ME"/>
        </w:rPr>
        <w:t xml:space="preserve"> </w:t>
      </w:r>
      <w:r w:rsidRPr="000D3D7F">
        <w:rPr>
          <w:szCs w:val="22"/>
          <w:lang w:val="sr-Latn-ME"/>
        </w:rPr>
        <w:t>terapijskom ciklusu koji traje 21 dan. Ovaj period od 3 ned</w:t>
      </w:r>
      <w:r w:rsidR="00F1036B" w:rsidRPr="000D3D7F">
        <w:rPr>
          <w:szCs w:val="22"/>
          <w:lang w:val="sr-Latn-ME"/>
        </w:rPr>
        <w:t>j</w:t>
      </w:r>
      <w:r w:rsidRPr="000D3D7F">
        <w:rPr>
          <w:szCs w:val="22"/>
          <w:lang w:val="sr-Latn-ME"/>
        </w:rPr>
        <w:t>elje smatra se terapijskim ciklusom. Najmanje 72</w:t>
      </w:r>
      <w:r w:rsidR="00EF29F8" w:rsidRPr="000D3D7F">
        <w:rPr>
          <w:szCs w:val="22"/>
          <w:lang w:val="sr-Latn-ME"/>
        </w:rPr>
        <w:t xml:space="preserve"> </w:t>
      </w:r>
      <w:r w:rsidRPr="000D3D7F">
        <w:rPr>
          <w:szCs w:val="22"/>
          <w:lang w:val="sr-Latn-ME"/>
        </w:rPr>
        <w:t>sata treba da prođe između uzastopnih doza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66850F7A" w14:textId="7B1C4B8D" w:rsidR="00DF2F42" w:rsidRPr="000D3D7F" w:rsidRDefault="00DF2F42" w:rsidP="001E1F5A">
      <w:pPr>
        <w:rPr>
          <w:szCs w:val="22"/>
          <w:lang w:val="sr-Latn-ME"/>
        </w:rPr>
      </w:pPr>
      <w:r w:rsidRPr="000D3D7F">
        <w:rPr>
          <w:szCs w:val="22"/>
          <w:lang w:val="sr-Latn-ME"/>
        </w:rPr>
        <w:t>Deksametazon se prim</w:t>
      </w:r>
      <w:r w:rsidR="00F1036B" w:rsidRPr="000D3D7F">
        <w:rPr>
          <w:szCs w:val="22"/>
          <w:lang w:val="sr-Latn-ME"/>
        </w:rPr>
        <w:t>j</w:t>
      </w:r>
      <w:r w:rsidRPr="000D3D7F">
        <w:rPr>
          <w:szCs w:val="22"/>
          <w:lang w:val="sr-Latn-ME"/>
        </w:rPr>
        <w:t xml:space="preserve">enjuje oralno u dozi od 20 mg u danima 1, 2, 4, 5, 8, 9, 11 i 12 </w:t>
      </w:r>
      <w:r w:rsidR="007C1B2D" w:rsidRPr="000D3D7F">
        <w:rPr>
          <w:szCs w:val="22"/>
          <w:lang w:val="sr-Latn-ME"/>
        </w:rPr>
        <w:t xml:space="preserve">bortezomib </w:t>
      </w:r>
      <w:r w:rsidRPr="000D3D7F">
        <w:rPr>
          <w:szCs w:val="22"/>
          <w:lang w:val="sr-Latn-ME"/>
        </w:rPr>
        <w:t>terapijskog</w:t>
      </w:r>
      <w:r w:rsidR="00EF29F8" w:rsidRPr="000D3D7F">
        <w:rPr>
          <w:szCs w:val="22"/>
          <w:lang w:val="sr-Latn-ME"/>
        </w:rPr>
        <w:t xml:space="preserve"> </w:t>
      </w:r>
      <w:r w:rsidRPr="000D3D7F">
        <w:rPr>
          <w:szCs w:val="22"/>
          <w:lang w:val="sr-Latn-ME"/>
        </w:rPr>
        <w:t>ciklusa.</w:t>
      </w:r>
    </w:p>
    <w:p w14:paraId="013C0916" w14:textId="7836D2E3" w:rsidR="00DF2F42" w:rsidRPr="000D3D7F" w:rsidRDefault="00DF2F42" w:rsidP="001E1F5A">
      <w:pPr>
        <w:rPr>
          <w:szCs w:val="22"/>
          <w:lang w:val="sr-Latn-ME"/>
        </w:rPr>
      </w:pPr>
      <w:r w:rsidRPr="000D3D7F">
        <w:rPr>
          <w:szCs w:val="22"/>
          <w:lang w:val="sr-Latn-ME"/>
        </w:rPr>
        <w:t>Pacijenti koji dostignu odgovor ili imaju stabilnu bolest nakon 4 ciklusa ove kombinovane terapije mogu da</w:t>
      </w:r>
      <w:r w:rsidR="00EF29F8" w:rsidRPr="000D3D7F">
        <w:rPr>
          <w:szCs w:val="22"/>
          <w:lang w:val="sr-Latn-ME"/>
        </w:rPr>
        <w:t xml:space="preserve"> </w:t>
      </w:r>
      <w:r w:rsidRPr="000D3D7F">
        <w:rPr>
          <w:szCs w:val="22"/>
          <w:lang w:val="sr-Latn-ME"/>
        </w:rPr>
        <w:t>nastave da primaju istu kombinaciju do maksimalno 4 dodatna ciklusa.</w:t>
      </w:r>
    </w:p>
    <w:p w14:paraId="2E93AD28" w14:textId="50654D75" w:rsidR="00EF29F8" w:rsidRPr="000D3D7F" w:rsidRDefault="00DF2F42" w:rsidP="001E1F5A">
      <w:pPr>
        <w:rPr>
          <w:szCs w:val="22"/>
          <w:lang w:val="sr-Latn-ME"/>
        </w:rPr>
      </w:pPr>
      <w:r w:rsidRPr="000D3D7F">
        <w:rPr>
          <w:szCs w:val="22"/>
          <w:lang w:val="sr-Latn-ME"/>
        </w:rPr>
        <w:t>Za dodatne informacije koje se odnose na deksametazon vid</w:t>
      </w:r>
      <w:r w:rsidR="00F1036B" w:rsidRPr="000D3D7F">
        <w:rPr>
          <w:szCs w:val="22"/>
          <w:lang w:val="sr-Latn-ME"/>
        </w:rPr>
        <w:t>j</w:t>
      </w:r>
      <w:r w:rsidRPr="000D3D7F">
        <w:rPr>
          <w:szCs w:val="22"/>
          <w:lang w:val="sr-Latn-ME"/>
        </w:rPr>
        <w:t>eti odgovarajući Sažetak karakteristika l</w:t>
      </w:r>
      <w:r w:rsidR="00F1036B" w:rsidRPr="000D3D7F">
        <w:rPr>
          <w:szCs w:val="22"/>
          <w:lang w:val="sr-Latn-ME"/>
        </w:rPr>
        <w:t>ij</w:t>
      </w:r>
      <w:r w:rsidRPr="000D3D7F">
        <w:rPr>
          <w:szCs w:val="22"/>
          <w:lang w:val="sr-Latn-ME"/>
        </w:rPr>
        <w:t>eka.</w:t>
      </w:r>
      <w:r w:rsidR="00EF29F8" w:rsidRPr="000D3D7F">
        <w:rPr>
          <w:szCs w:val="22"/>
          <w:lang w:val="sr-Latn-ME"/>
        </w:rPr>
        <w:t xml:space="preserve"> </w:t>
      </w:r>
    </w:p>
    <w:p w14:paraId="2F24E116" w14:textId="77777777" w:rsidR="003E6BD8" w:rsidRPr="000D3D7F" w:rsidRDefault="003E6BD8" w:rsidP="001E1F5A">
      <w:pPr>
        <w:rPr>
          <w:szCs w:val="22"/>
          <w:lang w:val="sr-Latn-ME"/>
        </w:rPr>
      </w:pPr>
    </w:p>
    <w:p w14:paraId="41A32722" w14:textId="2B2114BA" w:rsidR="003E6BD8" w:rsidRPr="000D3D7F" w:rsidRDefault="00DF2F42" w:rsidP="001E1F5A">
      <w:pPr>
        <w:rPr>
          <w:i/>
          <w:iCs/>
          <w:szCs w:val="22"/>
          <w:lang w:val="sr-Latn-ME"/>
        </w:rPr>
      </w:pPr>
      <w:r w:rsidRPr="000D3D7F">
        <w:rPr>
          <w:i/>
          <w:iCs/>
          <w:szCs w:val="22"/>
          <w:lang w:val="sr-Latn-ME"/>
        </w:rPr>
        <w:t>Prilagođavanje doziranja kombinovane terapije kod pacijenata sa progresivnim multiplim mijelomom</w:t>
      </w:r>
      <w:r w:rsidR="00EF29F8" w:rsidRPr="000D3D7F">
        <w:rPr>
          <w:i/>
          <w:iCs/>
          <w:szCs w:val="22"/>
          <w:lang w:val="sr-Latn-ME"/>
        </w:rPr>
        <w:t xml:space="preserve"> </w:t>
      </w:r>
    </w:p>
    <w:p w14:paraId="0FC91992" w14:textId="45185417" w:rsidR="00DF2F42" w:rsidRPr="000D3D7F" w:rsidRDefault="00DF2F42" w:rsidP="001E1F5A">
      <w:pPr>
        <w:rPr>
          <w:szCs w:val="22"/>
          <w:lang w:val="sr-Latn-ME"/>
        </w:rPr>
      </w:pPr>
      <w:r w:rsidRPr="000D3D7F">
        <w:rPr>
          <w:szCs w:val="22"/>
          <w:lang w:val="sr-Latn-ME"/>
        </w:rPr>
        <w:t>Za prilagođavanje doziranja l</w:t>
      </w:r>
      <w:r w:rsidR="00F1036B"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u kombinovanoj terapiji, sl</w:t>
      </w:r>
      <w:r w:rsidR="00F1036B" w:rsidRPr="000D3D7F">
        <w:rPr>
          <w:szCs w:val="22"/>
          <w:lang w:val="sr-Latn-ME"/>
        </w:rPr>
        <w:t>ij</w:t>
      </w:r>
      <w:r w:rsidRPr="000D3D7F">
        <w:rPr>
          <w:szCs w:val="22"/>
          <w:lang w:val="sr-Latn-ME"/>
        </w:rPr>
        <w:t>editi sm</w:t>
      </w:r>
      <w:r w:rsidR="00EF43F3" w:rsidRPr="000D3D7F">
        <w:rPr>
          <w:szCs w:val="22"/>
          <w:lang w:val="sr-Latn-ME"/>
        </w:rPr>
        <w:t>j</w:t>
      </w:r>
      <w:r w:rsidRPr="000D3D7F">
        <w:rPr>
          <w:szCs w:val="22"/>
          <w:lang w:val="sr-Latn-ME"/>
        </w:rPr>
        <w:t>ernice za modifikaciju doziranja</w:t>
      </w:r>
      <w:r w:rsidR="00EF29F8" w:rsidRPr="000D3D7F">
        <w:rPr>
          <w:szCs w:val="22"/>
          <w:lang w:val="sr-Latn-ME"/>
        </w:rPr>
        <w:t xml:space="preserve"> </w:t>
      </w:r>
      <w:r w:rsidRPr="000D3D7F">
        <w:rPr>
          <w:szCs w:val="22"/>
          <w:lang w:val="sr-Latn-ME"/>
        </w:rPr>
        <w:t>koje su opisane u d</w:t>
      </w:r>
      <w:r w:rsidR="004C040C" w:rsidRPr="000D3D7F">
        <w:rPr>
          <w:szCs w:val="22"/>
          <w:lang w:val="sr-Latn-ME"/>
        </w:rPr>
        <w:t>ij</w:t>
      </w:r>
      <w:r w:rsidRPr="000D3D7F">
        <w:rPr>
          <w:szCs w:val="22"/>
          <w:lang w:val="sr-Latn-ME"/>
        </w:rPr>
        <w:t>elu za monoterapiju iznad.</w:t>
      </w:r>
    </w:p>
    <w:p w14:paraId="7354AEA4" w14:textId="77777777" w:rsidR="003E6BD8" w:rsidRPr="000D3D7F" w:rsidRDefault="003E6BD8" w:rsidP="001E1F5A">
      <w:pPr>
        <w:rPr>
          <w:szCs w:val="22"/>
          <w:lang w:val="sr-Latn-ME"/>
        </w:rPr>
      </w:pPr>
    </w:p>
    <w:p w14:paraId="1CA2F763" w14:textId="22AC5720" w:rsidR="00DF2F42" w:rsidRPr="000D3D7F" w:rsidRDefault="00DF2F42" w:rsidP="001E1F5A">
      <w:pPr>
        <w:rPr>
          <w:szCs w:val="22"/>
          <w:u w:val="single"/>
          <w:lang w:val="sr-Latn-ME"/>
        </w:rPr>
      </w:pPr>
      <w:r w:rsidRPr="000D3D7F">
        <w:rPr>
          <w:szCs w:val="22"/>
          <w:u w:val="single"/>
          <w:lang w:val="sr-Latn-ME"/>
        </w:rPr>
        <w:t>Doziranje kod pacijenata sa prethodno nel</w:t>
      </w:r>
      <w:r w:rsidR="004C040C" w:rsidRPr="000D3D7F">
        <w:rPr>
          <w:szCs w:val="22"/>
          <w:u w:val="single"/>
          <w:lang w:val="sr-Latn-ME"/>
        </w:rPr>
        <w:t>ij</w:t>
      </w:r>
      <w:r w:rsidRPr="000D3D7F">
        <w:rPr>
          <w:szCs w:val="22"/>
          <w:u w:val="single"/>
          <w:lang w:val="sr-Latn-ME"/>
        </w:rPr>
        <w:t>ečenim mutiplim mijelomom koji su nepodobni za transplantaciju</w:t>
      </w:r>
      <w:r w:rsidR="00EF29F8" w:rsidRPr="000D3D7F">
        <w:rPr>
          <w:szCs w:val="22"/>
          <w:u w:val="single"/>
          <w:lang w:val="sr-Latn-ME"/>
        </w:rPr>
        <w:t xml:space="preserve"> </w:t>
      </w:r>
      <w:r w:rsidRPr="000D3D7F">
        <w:rPr>
          <w:szCs w:val="22"/>
          <w:u w:val="single"/>
          <w:lang w:val="sr-Latn-ME"/>
        </w:rPr>
        <w:t>hematopoetskim stem ćelijama</w:t>
      </w:r>
    </w:p>
    <w:p w14:paraId="32F94365" w14:textId="77777777" w:rsidR="00DF2F42" w:rsidRPr="000D3D7F" w:rsidRDefault="00DF2F42" w:rsidP="001E1F5A">
      <w:pPr>
        <w:rPr>
          <w:i/>
          <w:iCs/>
          <w:szCs w:val="22"/>
          <w:lang w:val="sr-Latn-ME"/>
        </w:rPr>
      </w:pPr>
      <w:r w:rsidRPr="000D3D7F">
        <w:rPr>
          <w:i/>
          <w:iCs/>
          <w:szCs w:val="22"/>
          <w:lang w:val="sr-Latn-ME"/>
        </w:rPr>
        <w:t>Kombinovana terapija sa melfalanom i prednizonom</w:t>
      </w:r>
    </w:p>
    <w:p w14:paraId="5C99A4ED" w14:textId="6759AE75" w:rsidR="00DF2F42" w:rsidRPr="000D3D7F" w:rsidRDefault="00DF2F42" w:rsidP="001E1F5A">
      <w:pPr>
        <w:rPr>
          <w:szCs w:val="22"/>
          <w:lang w:val="sr-Latn-ME"/>
        </w:rPr>
      </w:pPr>
      <w:r w:rsidRPr="000D3D7F">
        <w:rPr>
          <w:szCs w:val="22"/>
          <w:lang w:val="sr-Latn-ME"/>
        </w:rPr>
        <w:t>L</w:t>
      </w:r>
      <w:r w:rsidR="004C040C"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3,5mg prašak za rastvor za injekciju se prim</w:t>
      </w:r>
      <w:r w:rsidR="004C040C"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kombinaciji sa oralnim melfalanom i oralnim predinsonom kako je prikazano u Tabeli 2. Period od 6 ned</w:t>
      </w:r>
      <w:r w:rsidR="004C040C" w:rsidRPr="000D3D7F">
        <w:rPr>
          <w:szCs w:val="22"/>
          <w:lang w:val="sr-Latn-ME"/>
        </w:rPr>
        <w:t>j</w:t>
      </w:r>
      <w:r w:rsidRPr="000D3D7F">
        <w:rPr>
          <w:szCs w:val="22"/>
          <w:lang w:val="sr-Latn-ME"/>
        </w:rPr>
        <w:t>elja</w:t>
      </w:r>
      <w:r w:rsidR="00EF29F8" w:rsidRPr="000D3D7F">
        <w:rPr>
          <w:szCs w:val="22"/>
          <w:lang w:val="sr-Latn-ME"/>
        </w:rPr>
        <w:t xml:space="preserve"> </w:t>
      </w:r>
      <w:r w:rsidRPr="000D3D7F">
        <w:rPr>
          <w:szCs w:val="22"/>
          <w:lang w:val="sr-Latn-ME"/>
        </w:rPr>
        <w:t xml:space="preserve">se smatra terapijskim ciklusom. U ciklusima 1 – 4, </w:t>
      </w:r>
      <w:r w:rsidR="0068011E" w:rsidRPr="000D3D7F">
        <w:rPr>
          <w:szCs w:val="22"/>
          <w:lang w:val="sr-Latn-ME"/>
        </w:rPr>
        <w:t xml:space="preserve">lijek </w:t>
      </w:r>
      <w:r w:rsidR="00353A78" w:rsidRPr="000D3D7F">
        <w:rPr>
          <w:szCs w:val="22"/>
          <w:lang w:val="sr-Latn-ME"/>
        </w:rPr>
        <w:t>Bortegaz</w:t>
      </w:r>
      <w:r w:rsidRPr="000D3D7F">
        <w:rPr>
          <w:szCs w:val="22"/>
          <w:lang w:val="sr-Latn-ME"/>
        </w:rPr>
        <w:t xml:space="preserve"> se prim</w:t>
      </w:r>
      <w:r w:rsidR="004C040C" w:rsidRPr="000D3D7F">
        <w:rPr>
          <w:szCs w:val="22"/>
          <w:lang w:val="sr-Latn-ME"/>
        </w:rPr>
        <w:t>j</w:t>
      </w:r>
      <w:r w:rsidRPr="000D3D7F">
        <w:rPr>
          <w:szCs w:val="22"/>
          <w:lang w:val="sr-Latn-ME"/>
        </w:rPr>
        <w:t>enjuje dva puta ned</w:t>
      </w:r>
      <w:r w:rsidR="004C040C" w:rsidRPr="000D3D7F">
        <w:rPr>
          <w:szCs w:val="22"/>
          <w:lang w:val="sr-Latn-ME"/>
        </w:rPr>
        <w:t>j</w:t>
      </w:r>
      <w:r w:rsidRPr="000D3D7F">
        <w:rPr>
          <w:szCs w:val="22"/>
          <w:lang w:val="sr-Latn-ME"/>
        </w:rPr>
        <w:t>eljno (dan 1.; 4.; 8.;</w:t>
      </w:r>
      <w:r w:rsidR="00EF29F8" w:rsidRPr="000D3D7F">
        <w:rPr>
          <w:szCs w:val="22"/>
          <w:lang w:val="sr-Latn-ME"/>
        </w:rPr>
        <w:t xml:space="preserve"> </w:t>
      </w:r>
      <w:r w:rsidRPr="000D3D7F">
        <w:rPr>
          <w:szCs w:val="22"/>
          <w:lang w:val="sr-Latn-ME"/>
        </w:rPr>
        <w:t>11.; 22.; 25.; 29. i 32. dana). U ciklusima 5 – 9,</w:t>
      </w:r>
      <w:r w:rsidR="0068011E" w:rsidRPr="000D3D7F">
        <w:rPr>
          <w:szCs w:val="22"/>
          <w:lang w:val="sr-Latn-ME"/>
        </w:rPr>
        <w:t xml:space="preserve"> lijek</w:t>
      </w:r>
      <w:r w:rsidRPr="000D3D7F">
        <w:rPr>
          <w:szCs w:val="22"/>
          <w:lang w:val="sr-Latn-ME"/>
        </w:rPr>
        <w:t xml:space="preserve"> </w:t>
      </w:r>
      <w:r w:rsidR="00353A78" w:rsidRPr="000D3D7F">
        <w:rPr>
          <w:szCs w:val="22"/>
          <w:lang w:val="sr-Latn-ME"/>
        </w:rPr>
        <w:t>Bortegaz</w:t>
      </w:r>
      <w:r w:rsidRPr="000D3D7F">
        <w:rPr>
          <w:szCs w:val="22"/>
          <w:lang w:val="sr-Latn-ME"/>
        </w:rPr>
        <w:t xml:space="preserve"> se prim</w:t>
      </w:r>
      <w:r w:rsidR="004C040C" w:rsidRPr="000D3D7F">
        <w:rPr>
          <w:szCs w:val="22"/>
          <w:lang w:val="sr-Latn-ME"/>
        </w:rPr>
        <w:t>j</w:t>
      </w:r>
      <w:r w:rsidRPr="000D3D7F">
        <w:rPr>
          <w:szCs w:val="22"/>
          <w:lang w:val="sr-Latn-ME"/>
        </w:rPr>
        <w:t>enjuje jednom ned</w:t>
      </w:r>
      <w:r w:rsidR="004C040C" w:rsidRPr="000D3D7F">
        <w:rPr>
          <w:szCs w:val="22"/>
          <w:lang w:val="sr-Latn-ME"/>
        </w:rPr>
        <w:t>j</w:t>
      </w:r>
      <w:r w:rsidRPr="000D3D7F">
        <w:rPr>
          <w:szCs w:val="22"/>
          <w:lang w:val="sr-Latn-ME"/>
        </w:rPr>
        <w:t>eljno (1.; 8.; 22. i 29.</w:t>
      </w:r>
      <w:r w:rsidR="00EF29F8" w:rsidRPr="000D3D7F">
        <w:rPr>
          <w:szCs w:val="22"/>
          <w:lang w:val="sr-Latn-ME"/>
        </w:rPr>
        <w:t xml:space="preserve"> </w:t>
      </w:r>
      <w:r w:rsidRPr="000D3D7F">
        <w:rPr>
          <w:szCs w:val="22"/>
          <w:lang w:val="sr-Latn-ME"/>
        </w:rPr>
        <w:t>dana). Najmanje 72 sata treba da prođe između uzastopnih doza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2B2634C1" w14:textId="0A077B73" w:rsidR="00DF2F42" w:rsidRPr="000D3D7F" w:rsidRDefault="00DF2F42" w:rsidP="001E1F5A">
      <w:pPr>
        <w:rPr>
          <w:szCs w:val="22"/>
          <w:lang w:val="sr-Latn-ME"/>
        </w:rPr>
      </w:pPr>
      <w:r w:rsidRPr="000D3D7F">
        <w:rPr>
          <w:szCs w:val="22"/>
          <w:lang w:val="sr-Latn-ME"/>
        </w:rPr>
        <w:t>Melfalan i prednizon treba dati oralno u danima 1, 2, 3 i 4 u prvoj ned</w:t>
      </w:r>
      <w:r w:rsidR="004C040C" w:rsidRPr="000D3D7F">
        <w:rPr>
          <w:szCs w:val="22"/>
          <w:lang w:val="sr-Latn-ME"/>
        </w:rPr>
        <w:t>j</w:t>
      </w:r>
      <w:r w:rsidRPr="000D3D7F">
        <w:rPr>
          <w:szCs w:val="22"/>
          <w:lang w:val="sr-Latn-ME"/>
        </w:rPr>
        <w:t xml:space="preserve">elji svakog </w:t>
      </w:r>
      <w:r w:rsidR="007C1B2D" w:rsidRPr="000D3D7F">
        <w:rPr>
          <w:szCs w:val="22"/>
          <w:lang w:val="sr-Latn-ME"/>
        </w:rPr>
        <w:t>bortezomib</w:t>
      </w:r>
      <w:r w:rsidR="007C1B2D" w:rsidRPr="000D3D7F" w:rsidDel="00B718D1">
        <w:rPr>
          <w:szCs w:val="22"/>
          <w:lang w:val="sr-Latn-ME"/>
        </w:rPr>
        <w:t xml:space="preserve"> </w:t>
      </w:r>
      <w:r w:rsidRPr="000D3D7F">
        <w:rPr>
          <w:szCs w:val="22"/>
          <w:lang w:val="sr-Latn-ME"/>
        </w:rPr>
        <w:t>terapijskog</w:t>
      </w:r>
      <w:r w:rsidR="00EF29F8" w:rsidRPr="000D3D7F">
        <w:rPr>
          <w:szCs w:val="22"/>
          <w:lang w:val="sr-Latn-ME"/>
        </w:rPr>
        <w:t xml:space="preserve"> </w:t>
      </w:r>
      <w:r w:rsidRPr="000D3D7F">
        <w:rPr>
          <w:szCs w:val="22"/>
          <w:lang w:val="sr-Latn-ME"/>
        </w:rPr>
        <w:t>ciklusa.</w:t>
      </w:r>
    </w:p>
    <w:p w14:paraId="73C29651" w14:textId="5DFFEEDB" w:rsidR="00DF2F42" w:rsidRPr="000D3D7F" w:rsidRDefault="00DF2F42" w:rsidP="001E1F5A">
      <w:pPr>
        <w:rPr>
          <w:szCs w:val="22"/>
          <w:lang w:val="sr-Latn-ME"/>
        </w:rPr>
      </w:pPr>
      <w:r w:rsidRPr="000D3D7F">
        <w:rPr>
          <w:szCs w:val="22"/>
          <w:lang w:val="sr-Latn-ME"/>
        </w:rPr>
        <w:t>Prim</w:t>
      </w:r>
      <w:r w:rsidR="004C040C" w:rsidRPr="000D3D7F">
        <w:rPr>
          <w:szCs w:val="22"/>
          <w:lang w:val="sr-Latn-ME"/>
        </w:rPr>
        <w:t>j</w:t>
      </w:r>
      <w:r w:rsidRPr="000D3D7F">
        <w:rPr>
          <w:szCs w:val="22"/>
          <w:lang w:val="sr-Latn-ME"/>
        </w:rPr>
        <w:t>enjuje se 9 terapijskih ciklusa ove kombinovane terapije.</w:t>
      </w:r>
    </w:p>
    <w:p w14:paraId="51C3183D" w14:textId="77777777" w:rsidR="00DF2F42" w:rsidRPr="000D3D7F" w:rsidRDefault="00DF2F42" w:rsidP="001E1F5A">
      <w:pPr>
        <w:rPr>
          <w:szCs w:val="22"/>
          <w:lang w:val="sr-Latn-ME"/>
        </w:rPr>
      </w:pPr>
    </w:p>
    <w:p w14:paraId="1D4EA233" w14:textId="14EB15A9" w:rsidR="00DF2F42" w:rsidRPr="000D3D7F" w:rsidRDefault="00DF2F42" w:rsidP="001E1F5A">
      <w:pPr>
        <w:rPr>
          <w:i/>
          <w:iCs/>
          <w:szCs w:val="22"/>
          <w:lang w:val="sr-Latn-ME"/>
        </w:rPr>
      </w:pPr>
      <w:r w:rsidRPr="000D3D7F">
        <w:rPr>
          <w:i/>
          <w:iCs/>
          <w:szCs w:val="22"/>
          <w:lang w:val="sr-Latn-ME"/>
        </w:rPr>
        <w:t>Tabela 2 - Preporučeni dozni režim za l</w:t>
      </w:r>
      <w:r w:rsidR="004C040C" w:rsidRPr="000D3D7F">
        <w:rPr>
          <w:i/>
          <w:iCs/>
          <w:szCs w:val="22"/>
          <w:lang w:val="sr-Latn-ME"/>
        </w:rPr>
        <w:t>ij</w:t>
      </w:r>
      <w:r w:rsidRPr="000D3D7F">
        <w:rPr>
          <w:i/>
          <w:iCs/>
          <w:szCs w:val="22"/>
          <w:lang w:val="sr-Latn-ME"/>
        </w:rPr>
        <w:t xml:space="preserve">ek </w:t>
      </w:r>
      <w:r w:rsidR="00353A78" w:rsidRPr="000D3D7F">
        <w:rPr>
          <w:i/>
          <w:iCs/>
          <w:szCs w:val="22"/>
          <w:lang w:val="sr-Latn-ME"/>
        </w:rPr>
        <w:t>Bortegaz</w:t>
      </w:r>
      <w:r w:rsidRPr="000D3D7F">
        <w:rPr>
          <w:i/>
          <w:iCs/>
          <w:szCs w:val="22"/>
          <w:lang w:val="sr-Latn-ME"/>
        </w:rPr>
        <w:t xml:space="preserve"> u kombinaciji sa melfalanom i prednizonom</w:t>
      </w:r>
    </w:p>
    <w:p w14:paraId="228CCCB5" w14:textId="24462DAE" w:rsidR="00DF2F42" w:rsidRPr="000D3D7F" w:rsidRDefault="00DF2F42" w:rsidP="001E1F5A">
      <w:pPr>
        <w:rPr>
          <w:b/>
          <w:bCs/>
          <w:szCs w:val="22"/>
          <w:lang w:val="sr-Latn-ME"/>
        </w:rPr>
      </w:pPr>
      <w:r w:rsidRPr="000D3D7F">
        <w:rPr>
          <w:b/>
          <w:bCs/>
          <w:szCs w:val="22"/>
          <w:lang w:val="sr-Latn-ME"/>
        </w:rPr>
        <w:t>L</w:t>
      </w:r>
      <w:r w:rsidR="004C040C" w:rsidRPr="000D3D7F">
        <w:rPr>
          <w:b/>
          <w:bCs/>
          <w:szCs w:val="22"/>
          <w:lang w:val="sr-Latn-ME"/>
        </w:rPr>
        <w:t>ij</w:t>
      </w:r>
      <w:r w:rsidRPr="000D3D7F">
        <w:rPr>
          <w:b/>
          <w:bCs/>
          <w:szCs w:val="22"/>
          <w:lang w:val="sr-Latn-ME"/>
        </w:rPr>
        <w:t xml:space="preserve">ek </w:t>
      </w:r>
      <w:r w:rsidR="00353A78" w:rsidRPr="000D3D7F">
        <w:rPr>
          <w:b/>
          <w:bCs/>
          <w:szCs w:val="22"/>
          <w:lang w:val="sr-Latn-ME"/>
        </w:rPr>
        <w:t>Bortegaz</w:t>
      </w:r>
      <w:r w:rsidRPr="000D3D7F">
        <w:rPr>
          <w:b/>
          <w:bCs/>
          <w:szCs w:val="22"/>
          <w:lang w:val="sr-Latn-ME"/>
        </w:rPr>
        <w:t xml:space="preserve"> prim</w:t>
      </w:r>
      <w:r w:rsidR="004C040C" w:rsidRPr="000D3D7F">
        <w:rPr>
          <w:b/>
          <w:bCs/>
          <w:szCs w:val="22"/>
          <w:lang w:val="sr-Latn-ME"/>
        </w:rPr>
        <w:t>ij</w:t>
      </w:r>
      <w:r w:rsidRPr="000D3D7F">
        <w:rPr>
          <w:b/>
          <w:bCs/>
          <w:szCs w:val="22"/>
          <w:lang w:val="sr-Latn-ME"/>
        </w:rPr>
        <w:t>enjen dva puta ned</w:t>
      </w:r>
      <w:r w:rsidR="004C040C" w:rsidRPr="000D3D7F">
        <w:rPr>
          <w:b/>
          <w:bCs/>
          <w:szCs w:val="22"/>
          <w:lang w:val="sr-Latn-ME"/>
        </w:rPr>
        <w:t>j</w:t>
      </w:r>
      <w:r w:rsidRPr="000D3D7F">
        <w:rPr>
          <w:b/>
          <w:bCs/>
          <w:szCs w:val="22"/>
          <w:lang w:val="sr-Latn-ME"/>
        </w:rPr>
        <w:t>eljno (Ciklus 1-4)</w:t>
      </w:r>
    </w:p>
    <w:p w14:paraId="7DCE8FCF" w14:textId="7B03A20E" w:rsidR="00DF2F42" w:rsidRPr="000D3D7F" w:rsidRDefault="006B397D" w:rsidP="001E1F5A">
      <w:pPr>
        <w:rPr>
          <w:szCs w:val="22"/>
          <w:lang w:val="sr-Latn-ME"/>
        </w:rPr>
      </w:pPr>
      <w:r w:rsidRPr="000D3D7F">
        <w:rPr>
          <w:noProof/>
          <w:szCs w:val="22"/>
        </w:rPr>
        <mc:AlternateContent>
          <mc:Choice Requires="wps">
            <w:drawing>
              <wp:inline distT="0" distB="0" distL="0" distR="0" wp14:anchorId="09557A8E" wp14:editId="223F8CA7">
                <wp:extent cx="6486525" cy="1191895"/>
                <wp:effectExtent l="0" t="0" r="3810" b="6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19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937"/>
                              <w:gridCol w:w="590"/>
                              <w:gridCol w:w="666"/>
                              <w:gridCol w:w="735"/>
                              <w:gridCol w:w="719"/>
                              <w:gridCol w:w="768"/>
                              <w:gridCol w:w="663"/>
                              <w:gridCol w:w="691"/>
                              <w:gridCol w:w="807"/>
                              <w:gridCol w:w="663"/>
                              <w:gridCol w:w="691"/>
                              <w:gridCol w:w="704"/>
                              <w:gridCol w:w="737"/>
                              <w:gridCol w:w="807"/>
                            </w:tblGrid>
                            <w:tr w:rsidR="00765D0B" w14:paraId="62CE01C5" w14:textId="77777777">
                              <w:trPr>
                                <w:trHeight w:val="253"/>
                              </w:trPr>
                              <w:tc>
                                <w:tcPr>
                                  <w:tcW w:w="1527" w:type="dxa"/>
                                  <w:gridSpan w:val="2"/>
                                  <w:tcBorders>
                                    <w:top w:val="single" w:sz="12" w:space="0" w:color="000000"/>
                                    <w:left w:val="none" w:sz="6" w:space="0" w:color="auto"/>
                                    <w:bottom w:val="single" w:sz="4" w:space="0" w:color="000000"/>
                                    <w:right w:val="single" w:sz="4" w:space="0" w:color="000000"/>
                                  </w:tcBorders>
                                </w:tcPr>
                                <w:p w14:paraId="2F4B4ABE" w14:textId="3353338B" w:rsidR="00765D0B" w:rsidRDefault="00765D0B">
                                  <w:pPr>
                                    <w:kinsoku w:val="0"/>
                                    <w:overflowPunct w:val="0"/>
                                    <w:spacing w:line="234" w:lineRule="exact"/>
                                    <w:ind w:left="124"/>
                                  </w:pPr>
                                  <w:r>
                                    <w:rPr>
                                      <w:szCs w:val="22"/>
                                    </w:rPr>
                                    <w:t>Nedjelja</w:t>
                                  </w:r>
                                </w:p>
                              </w:tc>
                              <w:tc>
                                <w:tcPr>
                                  <w:tcW w:w="2888" w:type="dxa"/>
                                  <w:gridSpan w:val="4"/>
                                  <w:tcBorders>
                                    <w:top w:val="single" w:sz="12" w:space="0" w:color="000000"/>
                                    <w:left w:val="single" w:sz="4" w:space="0" w:color="000000"/>
                                    <w:bottom w:val="single" w:sz="4" w:space="0" w:color="000000"/>
                                    <w:right w:val="single" w:sz="4" w:space="0" w:color="000000"/>
                                  </w:tcBorders>
                                </w:tcPr>
                                <w:p w14:paraId="767F147E" w14:textId="77777777" w:rsidR="00765D0B" w:rsidRDefault="00765D0B" w:rsidP="003E6BD8">
                                  <w:pPr>
                                    <w:kinsoku w:val="0"/>
                                    <w:overflowPunct w:val="0"/>
                                    <w:spacing w:line="234" w:lineRule="exact"/>
                                    <w:ind w:left="119"/>
                                    <w:jc w:val="center"/>
                                  </w:pPr>
                                  <w:r>
                                    <w:rPr>
                                      <w:szCs w:val="22"/>
                                    </w:rPr>
                                    <w:t>1</w:t>
                                  </w:r>
                                </w:p>
                              </w:tc>
                              <w:tc>
                                <w:tcPr>
                                  <w:tcW w:w="1354" w:type="dxa"/>
                                  <w:gridSpan w:val="2"/>
                                  <w:tcBorders>
                                    <w:top w:val="single" w:sz="12" w:space="0" w:color="000000"/>
                                    <w:left w:val="single" w:sz="4" w:space="0" w:color="000000"/>
                                    <w:bottom w:val="single" w:sz="4" w:space="0" w:color="000000"/>
                                    <w:right w:val="single" w:sz="4" w:space="0" w:color="000000"/>
                                  </w:tcBorders>
                                </w:tcPr>
                                <w:p w14:paraId="04420BD4" w14:textId="77777777" w:rsidR="00765D0B" w:rsidRDefault="00765D0B" w:rsidP="003E6BD8">
                                  <w:pPr>
                                    <w:kinsoku w:val="0"/>
                                    <w:overflowPunct w:val="0"/>
                                    <w:spacing w:line="234" w:lineRule="exact"/>
                                    <w:ind w:left="116"/>
                                    <w:jc w:val="center"/>
                                  </w:pPr>
                                  <w:r>
                                    <w:rPr>
                                      <w:szCs w:val="22"/>
                                    </w:rPr>
                                    <w:t>2</w:t>
                                  </w:r>
                                </w:p>
                              </w:tc>
                              <w:tc>
                                <w:tcPr>
                                  <w:tcW w:w="807" w:type="dxa"/>
                                  <w:tcBorders>
                                    <w:top w:val="single" w:sz="12" w:space="0" w:color="000000"/>
                                    <w:left w:val="single" w:sz="4" w:space="0" w:color="000000"/>
                                    <w:bottom w:val="single" w:sz="4" w:space="0" w:color="000000"/>
                                    <w:right w:val="single" w:sz="4" w:space="0" w:color="000000"/>
                                  </w:tcBorders>
                                </w:tcPr>
                                <w:p w14:paraId="74CC86C6" w14:textId="77777777" w:rsidR="00765D0B" w:rsidRDefault="00765D0B" w:rsidP="003E6BD8">
                                  <w:pPr>
                                    <w:kinsoku w:val="0"/>
                                    <w:overflowPunct w:val="0"/>
                                    <w:spacing w:line="234" w:lineRule="exact"/>
                                    <w:ind w:left="110"/>
                                    <w:jc w:val="center"/>
                                  </w:pPr>
                                  <w:r>
                                    <w:rPr>
                                      <w:szCs w:val="22"/>
                                    </w:rPr>
                                    <w:t>3</w:t>
                                  </w:r>
                                </w:p>
                              </w:tc>
                              <w:tc>
                                <w:tcPr>
                                  <w:tcW w:w="1354" w:type="dxa"/>
                                  <w:gridSpan w:val="2"/>
                                  <w:tcBorders>
                                    <w:top w:val="single" w:sz="12" w:space="0" w:color="000000"/>
                                    <w:left w:val="single" w:sz="4" w:space="0" w:color="000000"/>
                                    <w:bottom w:val="single" w:sz="4" w:space="0" w:color="000000"/>
                                    <w:right w:val="single" w:sz="4" w:space="0" w:color="000000"/>
                                  </w:tcBorders>
                                </w:tcPr>
                                <w:p w14:paraId="655B5410" w14:textId="77777777" w:rsidR="00765D0B" w:rsidRDefault="00765D0B" w:rsidP="003E6BD8">
                                  <w:pPr>
                                    <w:kinsoku w:val="0"/>
                                    <w:overflowPunct w:val="0"/>
                                    <w:spacing w:line="234" w:lineRule="exact"/>
                                    <w:jc w:val="center"/>
                                  </w:pPr>
                                  <w:r>
                                    <w:rPr>
                                      <w:szCs w:val="22"/>
                                    </w:rPr>
                                    <w:t>4</w:t>
                                  </w:r>
                                </w:p>
                              </w:tc>
                              <w:tc>
                                <w:tcPr>
                                  <w:tcW w:w="1441" w:type="dxa"/>
                                  <w:gridSpan w:val="2"/>
                                  <w:tcBorders>
                                    <w:top w:val="single" w:sz="12" w:space="0" w:color="000000"/>
                                    <w:left w:val="single" w:sz="4" w:space="0" w:color="000000"/>
                                    <w:bottom w:val="single" w:sz="4" w:space="0" w:color="000000"/>
                                    <w:right w:val="single" w:sz="4" w:space="0" w:color="000000"/>
                                  </w:tcBorders>
                                </w:tcPr>
                                <w:p w14:paraId="7BB4C6A5" w14:textId="77777777" w:rsidR="00765D0B" w:rsidRDefault="00765D0B" w:rsidP="003E6BD8">
                                  <w:pPr>
                                    <w:kinsoku w:val="0"/>
                                    <w:overflowPunct w:val="0"/>
                                    <w:spacing w:line="234" w:lineRule="exact"/>
                                    <w:ind w:left="109"/>
                                    <w:jc w:val="center"/>
                                  </w:pPr>
                                  <w:r>
                                    <w:rPr>
                                      <w:szCs w:val="22"/>
                                    </w:rPr>
                                    <w:t>5</w:t>
                                  </w:r>
                                </w:p>
                              </w:tc>
                              <w:tc>
                                <w:tcPr>
                                  <w:tcW w:w="807" w:type="dxa"/>
                                  <w:tcBorders>
                                    <w:top w:val="single" w:sz="12" w:space="0" w:color="000000"/>
                                    <w:left w:val="single" w:sz="4" w:space="0" w:color="000000"/>
                                    <w:bottom w:val="single" w:sz="4" w:space="0" w:color="000000"/>
                                    <w:right w:val="none" w:sz="6" w:space="0" w:color="auto"/>
                                  </w:tcBorders>
                                </w:tcPr>
                                <w:p w14:paraId="6135AA2A" w14:textId="77777777" w:rsidR="00765D0B" w:rsidRDefault="00765D0B" w:rsidP="003E6BD8">
                                  <w:pPr>
                                    <w:kinsoku w:val="0"/>
                                    <w:overflowPunct w:val="0"/>
                                    <w:spacing w:line="234" w:lineRule="exact"/>
                                    <w:ind w:left="108"/>
                                    <w:jc w:val="center"/>
                                  </w:pPr>
                                  <w:r>
                                    <w:rPr>
                                      <w:szCs w:val="22"/>
                                    </w:rPr>
                                    <w:t>6</w:t>
                                  </w:r>
                                </w:p>
                              </w:tc>
                            </w:tr>
                            <w:tr w:rsidR="00765D0B" w14:paraId="02246545" w14:textId="77777777">
                              <w:trPr>
                                <w:trHeight w:val="508"/>
                              </w:trPr>
                              <w:tc>
                                <w:tcPr>
                                  <w:tcW w:w="937" w:type="dxa"/>
                                  <w:tcBorders>
                                    <w:top w:val="single" w:sz="4" w:space="0" w:color="000000"/>
                                    <w:left w:val="none" w:sz="6" w:space="0" w:color="auto"/>
                                    <w:bottom w:val="single" w:sz="4" w:space="0" w:color="000000"/>
                                    <w:right w:val="none" w:sz="6" w:space="0" w:color="auto"/>
                                  </w:tcBorders>
                                </w:tcPr>
                                <w:p w14:paraId="1426CDB8" w14:textId="04554CFD" w:rsidR="00765D0B" w:rsidRDefault="00765D0B">
                                  <w:pPr>
                                    <w:kinsoku w:val="0"/>
                                    <w:overflowPunct w:val="0"/>
                                    <w:ind w:left="124"/>
                                  </w:pPr>
                                  <w:r>
                                    <w:rPr>
                                      <w:szCs w:val="22"/>
                                    </w:rPr>
                                    <w:t>Bz</w:t>
                                  </w:r>
                                </w:p>
                                <w:p w14:paraId="2FAEB595" w14:textId="77777777" w:rsidR="00765D0B" w:rsidRDefault="00765D0B">
                                  <w:pPr>
                                    <w:kinsoku w:val="0"/>
                                    <w:overflowPunct w:val="0"/>
                                    <w:spacing w:before="1" w:line="243" w:lineRule="exact"/>
                                    <w:ind w:left="124"/>
                                  </w:pPr>
                                  <w:r>
                                    <w:rPr>
                                      <w:szCs w:val="22"/>
                                    </w:rPr>
                                    <w:t>mg/m</w:t>
                                  </w:r>
                                  <w:r w:rsidRPr="00695513">
                                    <w:rPr>
                                      <w:szCs w:val="22"/>
                                      <w:vertAlign w:val="superscript"/>
                                    </w:rPr>
                                    <w:t>2</w:t>
                                  </w:r>
                                  <w:r>
                                    <w:rPr>
                                      <w:szCs w:val="22"/>
                                    </w:rPr>
                                    <w:t>)</w:t>
                                  </w:r>
                                </w:p>
                              </w:tc>
                              <w:tc>
                                <w:tcPr>
                                  <w:tcW w:w="590" w:type="dxa"/>
                                  <w:tcBorders>
                                    <w:top w:val="single" w:sz="4" w:space="0" w:color="000000"/>
                                    <w:left w:val="none" w:sz="6" w:space="0" w:color="auto"/>
                                    <w:bottom w:val="single" w:sz="4" w:space="0" w:color="000000"/>
                                    <w:right w:val="single" w:sz="4" w:space="0" w:color="000000"/>
                                  </w:tcBorders>
                                </w:tcPr>
                                <w:p w14:paraId="5C78CF46" w14:textId="77777777" w:rsidR="00765D0B" w:rsidRDefault="00765D0B">
                                  <w:pPr>
                                    <w:kinsoku w:val="0"/>
                                    <w:overflowPunct w:val="0"/>
                                    <w:ind w:left="147"/>
                                  </w:pPr>
                                  <w:r>
                                    <w:rPr>
                                      <w:szCs w:val="22"/>
                                    </w:rPr>
                                    <w:t>(1,3</w:t>
                                  </w:r>
                                </w:p>
                              </w:tc>
                              <w:tc>
                                <w:tcPr>
                                  <w:tcW w:w="666" w:type="dxa"/>
                                  <w:tcBorders>
                                    <w:top w:val="single" w:sz="4" w:space="0" w:color="000000"/>
                                    <w:left w:val="single" w:sz="4" w:space="0" w:color="000000"/>
                                    <w:bottom w:val="single" w:sz="4" w:space="0" w:color="000000"/>
                                    <w:right w:val="none" w:sz="6" w:space="0" w:color="auto"/>
                                  </w:tcBorders>
                                </w:tcPr>
                                <w:p w14:paraId="21B48879" w14:textId="77777777" w:rsidR="00765D0B" w:rsidRDefault="00765D0B">
                                  <w:pPr>
                                    <w:kinsoku w:val="0"/>
                                    <w:overflowPunct w:val="0"/>
                                    <w:ind w:left="119"/>
                                  </w:pPr>
                                  <w:r>
                                    <w:rPr>
                                      <w:szCs w:val="22"/>
                                    </w:rPr>
                                    <w:t>Dan</w:t>
                                  </w:r>
                                </w:p>
                                <w:p w14:paraId="25E44DD8" w14:textId="77777777" w:rsidR="00765D0B" w:rsidRDefault="00765D0B">
                                  <w:pPr>
                                    <w:kinsoku w:val="0"/>
                                    <w:overflowPunct w:val="0"/>
                                    <w:spacing w:before="1" w:line="243" w:lineRule="exact"/>
                                    <w:ind w:left="119"/>
                                  </w:pPr>
                                  <w:r>
                                    <w:rPr>
                                      <w:szCs w:val="22"/>
                                    </w:rPr>
                                    <w:t>1</w:t>
                                  </w:r>
                                </w:p>
                              </w:tc>
                              <w:tc>
                                <w:tcPr>
                                  <w:tcW w:w="735" w:type="dxa"/>
                                  <w:tcBorders>
                                    <w:top w:val="single" w:sz="4" w:space="0" w:color="000000"/>
                                    <w:left w:val="none" w:sz="6" w:space="0" w:color="auto"/>
                                    <w:bottom w:val="single" w:sz="4" w:space="0" w:color="000000"/>
                                    <w:right w:val="none" w:sz="6" w:space="0" w:color="auto"/>
                                  </w:tcBorders>
                                </w:tcPr>
                                <w:p w14:paraId="428B20AD" w14:textId="77777777" w:rsidR="00765D0B" w:rsidRDefault="00765D0B">
                                  <w:pPr>
                                    <w:kinsoku w:val="0"/>
                                    <w:overflowPunct w:val="0"/>
                                    <w:ind w:left="202"/>
                                  </w:pPr>
                                  <w:r>
                                    <w:rPr>
                                      <w:szCs w:val="22"/>
                                    </w:rPr>
                                    <w:t>--</w:t>
                                  </w:r>
                                </w:p>
                              </w:tc>
                              <w:tc>
                                <w:tcPr>
                                  <w:tcW w:w="719" w:type="dxa"/>
                                  <w:tcBorders>
                                    <w:top w:val="single" w:sz="4" w:space="0" w:color="000000"/>
                                    <w:left w:val="none" w:sz="6" w:space="0" w:color="auto"/>
                                    <w:bottom w:val="single" w:sz="4" w:space="0" w:color="000000"/>
                                    <w:right w:val="none" w:sz="6" w:space="0" w:color="auto"/>
                                  </w:tcBorders>
                                </w:tcPr>
                                <w:p w14:paraId="6E715214" w14:textId="77777777" w:rsidR="00765D0B" w:rsidRDefault="00765D0B">
                                  <w:pPr>
                                    <w:kinsoku w:val="0"/>
                                    <w:overflowPunct w:val="0"/>
                                    <w:ind w:left="187"/>
                                  </w:pPr>
                                  <w:r>
                                    <w:rPr>
                                      <w:szCs w:val="22"/>
                                    </w:rPr>
                                    <w:t>--</w:t>
                                  </w:r>
                                </w:p>
                              </w:tc>
                              <w:tc>
                                <w:tcPr>
                                  <w:tcW w:w="768" w:type="dxa"/>
                                  <w:tcBorders>
                                    <w:top w:val="single" w:sz="4" w:space="0" w:color="000000"/>
                                    <w:left w:val="none" w:sz="6" w:space="0" w:color="auto"/>
                                    <w:bottom w:val="single" w:sz="4" w:space="0" w:color="000000"/>
                                    <w:right w:val="single" w:sz="4" w:space="0" w:color="000000"/>
                                  </w:tcBorders>
                                </w:tcPr>
                                <w:p w14:paraId="0C66C32D" w14:textId="77777777" w:rsidR="00765D0B" w:rsidRDefault="00765D0B">
                                  <w:pPr>
                                    <w:kinsoku w:val="0"/>
                                    <w:overflowPunct w:val="0"/>
                                    <w:ind w:left="188"/>
                                  </w:pPr>
                                  <w:r>
                                    <w:rPr>
                                      <w:szCs w:val="22"/>
                                    </w:rPr>
                                    <w:t>Dan</w:t>
                                  </w:r>
                                </w:p>
                                <w:p w14:paraId="5D5A5D34" w14:textId="77777777" w:rsidR="00765D0B" w:rsidRDefault="00765D0B">
                                  <w:pPr>
                                    <w:kinsoku w:val="0"/>
                                    <w:overflowPunct w:val="0"/>
                                    <w:spacing w:before="1" w:line="243" w:lineRule="exact"/>
                                    <w:ind w:left="188"/>
                                  </w:pPr>
                                  <w:r>
                                    <w:rPr>
                                      <w:szCs w:val="22"/>
                                    </w:rPr>
                                    <w:t>4</w:t>
                                  </w:r>
                                </w:p>
                              </w:tc>
                              <w:tc>
                                <w:tcPr>
                                  <w:tcW w:w="663" w:type="dxa"/>
                                  <w:tcBorders>
                                    <w:top w:val="single" w:sz="4" w:space="0" w:color="000000"/>
                                    <w:left w:val="single" w:sz="4" w:space="0" w:color="000000"/>
                                    <w:bottom w:val="single" w:sz="4" w:space="0" w:color="000000"/>
                                    <w:right w:val="none" w:sz="6" w:space="0" w:color="auto"/>
                                  </w:tcBorders>
                                </w:tcPr>
                                <w:p w14:paraId="6EB67525" w14:textId="77777777" w:rsidR="00765D0B" w:rsidRDefault="00765D0B">
                                  <w:pPr>
                                    <w:kinsoku w:val="0"/>
                                    <w:overflowPunct w:val="0"/>
                                    <w:ind w:left="116"/>
                                  </w:pPr>
                                  <w:r>
                                    <w:rPr>
                                      <w:szCs w:val="22"/>
                                    </w:rPr>
                                    <w:t>Dan</w:t>
                                  </w:r>
                                </w:p>
                                <w:p w14:paraId="68B903CD" w14:textId="77777777" w:rsidR="00765D0B" w:rsidRDefault="00765D0B">
                                  <w:pPr>
                                    <w:kinsoku w:val="0"/>
                                    <w:overflowPunct w:val="0"/>
                                    <w:spacing w:before="1" w:line="243" w:lineRule="exact"/>
                                    <w:ind w:left="116"/>
                                  </w:pPr>
                                  <w:r>
                                    <w:rPr>
                                      <w:szCs w:val="22"/>
                                    </w:rPr>
                                    <w:t>8</w:t>
                                  </w:r>
                                </w:p>
                              </w:tc>
                              <w:tc>
                                <w:tcPr>
                                  <w:tcW w:w="691" w:type="dxa"/>
                                  <w:tcBorders>
                                    <w:top w:val="single" w:sz="4" w:space="0" w:color="000000"/>
                                    <w:left w:val="none" w:sz="6" w:space="0" w:color="auto"/>
                                    <w:bottom w:val="single" w:sz="4" w:space="0" w:color="000000"/>
                                    <w:right w:val="single" w:sz="4" w:space="0" w:color="000000"/>
                                  </w:tcBorders>
                                </w:tcPr>
                                <w:p w14:paraId="1CD3B6F3" w14:textId="77777777" w:rsidR="00765D0B" w:rsidRDefault="00765D0B">
                                  <w:pPr>
                                    <w:kinsoku w:val="0"/>
                                    <w:overflowPunct w:val="0"/>
                                    <w:ind w:left="197"/>
                                  </w:pPr>
                                  <w:r>
                                    <w:rPr>
                                      <w:szCs w:val="22"/>
                                    </w:rPr>
                                    <w:t>Dan</w:t>
                                  </w:r>
                                </w:p>
                                <w:p w14:paraId="011E5C34" w14:textId="77777777" w:rsidR="00765D0B" w:rsidRDefault="00765D0B">
                                  <w:pPr>
                                    <w:kinsoku w:val="0"/>
                                    <w:overflowPunct w:val="0"/>
                                    <w:spacing w:before="1" w:line="243" w:lineRule="exact"/>
                                    <w:ind w:left="197"/>
                                  </w:pPr>
                                  <w:r>
                                    <w:rPr>
                                      <w:szCs w:val="22"/>
                                    </w:rPr>
                                    <w:t>11</w:t>
                                  </w:r>
                                </w:p>
                              </w:tc>
                              <w:tc>
                                <w:tcPr>
                                  <w:tcW w:w="807" w:type="dxa"/>
                                  <w:tcBorders>
                                    <w:top w:val="single" w:sz="4" w:space="0" w:color="000000"/>
                                    <w:left w:val="single" w:sz="4" w:space="0" w:color="000000"/>
                                    <w:bottom w:val="single" w:sz="4" w:space="0" w:color="000000"/>
                                    <w:right w:val="single" w:sz="4" w:space="0" w:color="000000"/>
                                  </w:tcBorders>
                                </w:tcPr>
                                <w:p w14:paraId="04C3D4CA" w14:textId="77777777" w:rsidR="00765D0B" w:rsidRDefault="00765D0B">
                                  <w:pPr>
                                    <w:kinsoku w:val="0"/>
                                    <w:overflowPunct w:val="0"/>
                                    <w:ind w:left="110"/>
                                  </w:pPr>
                                  <w:r>
                                    <w:rPr>
                                      <w:szCs w:val="22"/>
                                    </w:rPr>
                                    <w:t>pauza</w:t>
                                  </w:r>
                                </w:p>
                              </w:tc>
                              <w:tc>
                                <w:tcPr>
                                  <w:tcW w:w="663" w:type="dxa"/>
                                  <w:tcBorders>
                                    <w:top w:val="single" w:sz="4" w:space="0" w:color="000000"/>
                                    <w:left w:val="single" w:sz="4" w:space="0" w:color="000000"/>
                                    <w:bottom w:val="single" w:sz="4" w:space="0" w:color="000000"/>
                                    <w:right w:val="none" w:sz="6" w:space="0" w:color="auto"/>
                                  </w:tcBorders>
                                </w:tcPr>
                                <w:p w14:paraId="67C70F11" w14:textId="77777777" w:rsidR="00765D0B" w:rsidRDefault="00765D0B">
                                  <w:pPr>
                                    <w:kinsoku w:val="0"/>
                                    <w:overflowPunct w:val="0"/>
                                  </w:pPr>
                                  <w:r>
                                    <w:rPr>
                                      <w:szCs w:val="22"/>
                                    </w:rPr>
                                    <w:t>Dan</w:t>
                                  </w:r>
                                </w:p>
                                <w:p w14:paraId="5A99E1AA" w14:textId="77777777" w:rsidR="00765D0B" w:rsidRDefault="00765D0B">
                                  <w:pPr>
                                    <w:kinsoku w:val="0"/>
                                    <w:overflowPunct w:val="0"/>
                                    <w:spacing w:before="1" w:line="243" w:lineRule="exact"/>
                                  </w:pPr>
                                  <w:r>
                                    <w:rPr>
                                      <w:szCs w:val="22"/>
                                    </w:rPr>
                                    <w:t>22</w:t>
                                  </w:r>
                                </w:p>
                              </w:tc>
                              <w:tc>
                                <w:tcPr>
                                  <w:tcW w:w="691" w:type="dxa"/>
                                  <w:tcBorders>
                                    <w:top w:val="single" w:sz="4" w:space="0" w:color="000000"/>
                                    <w:left w:val="none" w:sz="6" w:space="0" w:color="auto"/>
                                    <w:bottom w:val="single" w:sz="4" w:space="0" w:color="000000"/>
                                    <w:right w:val="single" w:sz="4" w:space="0" w:color="000000"/>
                                  </w:tcBorders>
                                </w:tcPr>
                                <w:p w14:paraId="5C731338" w14:textId="77777777" w:rsidR="00765D0B" w:rsidRDefault="00765D0B">
                                  <w:pPr>
                                    <w:kinsoku w:val="0"/>
                                    <w:overflowPunct w:val="0"/>
                                    <w:ind w:left="196"/>
                                  </w:pPr>
                                  <w:r>
                                    <w:rPr>
                                      <w:szCs w:val="22"/>
                                    </w:rPr>
                                    <w:t>Dan</w:t>
                                  </w:r>
                                </w:p>
                                <w:p w14:paraId="45B52ABA" w14:textId="77777777" w:rsidR="00765D0B" w:rsidRDefault="00765D0B">
                                  <w:pPr>
                                    <w:kinsoku w:val="0"/>
                                    <w:overflowPunct w:val="0"/>
                                    <w:spacing w:before="1" w:line="243" w:lineRule="exact"/>
                                    <w:ind w:left="196"/>
                                  </w:pPr>
                                  <w:r>
                                    <w:rPr>
                                      <w:szCs w:val="22"/>
                                    </w:rPr>
                                    <w:t>25</w:t>
                                  </w:r>
                                </w:p>
                              </w:tc>
                              <w:tc>
                                <w:tcPr>
                                  <w:tcW w:w="704" w:type="dxa"/>
                                  <w:tcBorders>
                                    <w:top w:val="single" w:sz="4" w:space="0" w:color="000000"/>
                                    <w:left w:val="single" w:sz="4" w:space="0" w:color="000000"/>
                                    <w:bottom w:val="single" w:sz="4" w:space="0" w:color="000000"/>
                                    <w:right w:val="none" w:sz="6" w:space="0" w:color="auto"/>
                                  </w:tcBorders>
                                </w:tcPr>
                                <w:p w14:paraId="5235042D" w14:textId="77777777" w:rsidR="00765D0B" w:rsidRDefault="00765D0B">
                                  <w:pPr>
                                    <w:kinsoku w:val="0"/>
                                    <w:overflowPunct w:val="0"/>
                                    <w:ind w:left="109"/>
                                  </w:pPr>
                                  <w:r>
                                    <w:rPr>
                                      <w:szCs w:val="22"/>
                                    </w:rPr>
                                    <w:t>Dan</w:t>
                                  </w:r>
                                </w:p>
                                <w:p w14:paraId="56EE0DAF" w14:textId="77777777" w:rsidR="00765D0B" w:rsidRDefault="00765D0B">
                                  <w:pPr>
                                    <w:kinsoku w:val="0"/>
                                    <w:overflowPunct w:val="0"/>
                                    <w:spacing w:before="1" w:line="243" w:lineRule="exact"/>
                                    <w:ind w:left="109"/>
                                  </w:pPr>
                                  <w:r>
                                    <w:rPr>
                                      <w:szCs w:val="22"/>
                                    </w:rPr>
                                    <w:t>29</w:t>
                                  </w:r>
                                </w:p>
                              </w:tc>
                              <w:tc>
                                <w:tcPr>
                                  <w:tcW w:w="737" w:type="dxa"/>
                                  <w:tcBorders>
                                    <w:top w:val="single" w:sz="4" w:space="0" w:color="000000"/>
                                    <w:left w:val="none" w:sz="6" w:space="0" w:color="auto"/>
                                    <w:bottom w:val="single" w:sz="4" w:space="0" w:color="000000"/>
                                    <w:right w:val="single" w:sz="4" w:space="0" w:color="000000"/>
                                  </w:tcBorders>
                                </w:tcPr>
                                <w:p w14:paraId="058FDC87" w14:textId="77777777" w:rsidR="00765D0B" w:rsidRDefault="00765D0B">
                                  <w:pPr>
                                    <w:kinsoku w:val="0"/>
                                    <w:overflowPunct w:val="0"/>
                                    <w:ind w:left="241"/>
                                  </w:pPr>
                                  <w:r>
                                    <w:rPr>
                                      <w:szCs w:val="22"/>
                                    </w:rPr>
                                    <w:t>Dan</w:t>
                                  </w:r>
                                </w:p>
                                <w:p w14:paraId="7B0BD45F" w14:textId="77777777" w:rsidR="00765D0B" w:rsidRDefault="00765D0B">
                                  <w:pPr>
                                    <w:kinsoku w:val="0"/>
                                    <w:overflowPunct w:val="0"/>
                                    <w:spacing w:before="1" w:line="243" w:lineRule="exact"/>
                                    <w:ind w:left="241"/>
                                  </w:pPr>
                                  <w:r>
                                    <w:rPr>
                                      <w:szCs w:val="22"/>
                                    </w:rPr>
                                    <w:t>32</w:t>
                                  </w:r>
                                </w:p>
                              </w:tc>
                              <w:tc>
                                <w:tcPr>
                                  <w:tcW w:w="807" w:type="dxa"/>
                                  <w:tcBorders>
                                    <w:top w:val="single" w:sz="4" w:space="0" w:color="000000"/>
                                    <w:left w:val="single" w:sz="4" w:space="0" w:color="000000"/>
                                    <w:bottom w:val="single" w:sz="4" w:space="0" w:color="000000"/>
                                    <w:right w:val="none" w:sz="6" w:space="0" w:color="auto"/>
                                  </w:tcBorders>
                                </w:tcPr>
                                <w:p w14:paraId="0FDF3C99" w14:textId="77777777" w:rsidR="00765D0B" w:rsidRDefault="00765D0B">
                                  <w:pPr>
                                    <w:kinsoku w:val="0"/>
                                    <w:overflowPunct w:val="0"/>
                                    <w:ind w:left="108"/>
                                  </w:pPr>
                                  <w:r>
                                    <w:rPr>
                                      <w:szCs w:val="22"/>
                                    </w:rPr>
                                    <w:t>pauza</w:t>
                                  </w:r>
                                </w:p>
                              </w:tc>
                            </w:tr>
                            <w:tr w:rsidR="00765D0B" w14:paraId="1A16BA13" w14:textId="77777777">
                              <w:trPr>
                                <w:trHeight w:val="1036"/>
                              </w:trPr>
                              <w:tc>
                                <w:tcPr>
                                  <w:tcW w:w="1527" w:type="dxa"/>
                                  <w:gridSpan w:val="2"/>
                                  <w:tcBorders>
                                    <w:top w:val="single" w:sz="4" w:space="0" w:color="000000"/>
                                    <w:left w:val="none" w:sz="6" w:space="0" w:color="auto"/>
                                    <w:bottom w:val="single" w:sz="12" w:space="0" w:color="000000"/>
                                    <w:right w:val="single" w:sz="4" w:space="0" w:color="000000"/>
                                  </w:tcBorders>
                                </w:tcPr>
                                <w:p w14:paraId="494DB792" w14:textId="77777777" w:rsidR="00765D0B" w:rsidRDefault="00765D0B">
                                  <w:pPr>
                                    <w:kinsoku w:val="0"/>
                                    <w:overflowPunct w:val="0"/>
                                    <w:spacing w:before="2"/>
                                    <w:rPr>
                                      <w:b/>
                                      <w:bCs/>
                                    </w:rPr>
                                  </w:pPr>
                                </w:p>
                                <w:p w14:paraId="5C12AF8A" w14:textId="77777777" w:rsidR="00765D0B" w:rsidRDefault="00765D0B">
                                  <w:pPr>
                                    <w:kinsoku w:val="0"/>
                                    <w:overflowPunct w:val="0"/>
                                    <w:ind w:left="124"/>
                                  </w:pPr>
                                  <w:r>
                                    <w:rPr>
                                      <w:szCs w:val="22"/>
                                    </w:rPr>
                                    <w:t>M (9 mg/m</w:t>
                                  </w:r>
                                  <w:r>
                                    <w:rPr>
                                      <w:szCs w:val="22"/>
                                      <w:vertAlign w:val="superscript"/>
                                    </w:rPr>
                                    <w:t>2</w:t>
                                  </w:r>
                                  <w:r>
                                    <w:rPr>
                                      <w:szCs w:val="22"/>
                                    </w:rPr>
                                    <w:t xml:space="preserve">) </w:t>
                                  </w:r>
                                </w:p>
                                <w:p w14:paraId="45883C06" w14:textId="276EADEA" w:rsidR="00765D0B" w:rsidRDefault="00765D0B">
                                  <w:pPr>
                                    <w:kinsoku w:val="0"/>
                                    <w:overflowPunct w:val="0"/>
                                    <w:ind w:left="124"/>
                                  </w:pPr>
                                  <w:r>
                                    <w:rPr>
                                      <w:szCs w:val="22"/>
                                    </w:rPr>
                                    <w:t>P (60 mg/m</w:t>
                                  </w:r>
                                  <w:r>
                                    <w:rPr>
                                      <w:szCs w:val="22"/>
                                      <w:vertAlign w:val="superscript"/>
                                    </w:rPr>
                                    <w:t>2</w:t>
                                  </w:r>
                                  <w:r>
                                    <w:rPr>
                                      <w:szCs w:val="22"/>
                                    </w:rPr>
                                    <w:t>)</w:t>
                                  </w:r>
                                </w:p>
                              </w:tc>
                              <w:tc>
                                <w:tcPr>
                                  <w:tcW w:w="666" w:type="dxa"/>
                                  <w:tcBorders>
                                    <w:top w:val="single" w:sz="4" w:space="0" w:color="000000"/>
                                    <w:left w:val="single" w:sz="4" w:space="0" w:color="000000"/>
                                    <w:bottom w:val="single" w:sz="12" w:space="0" w:color="000000"/>
                                    <w:right w:val="none" w:sz="6" w:space="0" w:color="auto"/>
                                  </w:tcBorders>
                                </w:tcPr>
                                <w:p w14:paraId="167396D0" w14:textId="77777777" w:rsidR="00765D0B" w:rsidRDefault="00765D0B">
                                  <w:pPr>
                                    <w:kinsoku w:val="0"/>
                                    <w:overflowPunct w:val="0"/>
                                    <w:spacing w:line="237" w:lineRule="auto"/>
                                    <w:ind w:left="119" w:right="155"/>
                                  </w:pPr>
                                  <w:r>
                                    <w:rPr>
                                      <w:szCs w:val="22"/>
                                    </w:rPr>
                                    <w:t>Dan 1</w:t>
                                  </w:r>
                                </w:p>
                              </w:tc>
                              <w:tc>
                                <w:tcPr>
                                  <w:tcW w:w="735" w:type="dxa"/>
                                  <w:tcBorders>
                                    <w:top w:val="single" w:sz="4" w:space="0" w:color="000000"/>
                                    <w:left w:val="none" w:sz="6" w:space="0" w:color="auto"/>
                                    <w:bottom w:val="single" w:sz="12" w:space="0" w:color="000000"/>
                                    <w:right w:val="none" w:sz="6" w:space="0" w:color="auto"/>
                                  </w:tcBorders>
                                </w:tcPr>
                                <w:p w14:paraId="6B6D5ADD" w14:textId="77777777" w:rsidR="00765D0B" w:rsidRDefault="00765D0B">
                                  <w:pPr>
                                    <w:kinsoku w:val="0"/>
                                    <w:overflowPunct w:val="0"/>
                                    <w:spacing w:line="237" w:lineRule="auto"/>
                                    <w:ind w:left="202" w:right="146"/>
                                  </w:pPr>
                                  <w:r>
                                    <w:rPr>
                                      <w:szCs w:val="22"/>
                                    </w:rPr>
                                    <w:t>Dan 2</w:t>
                                  </w:r>
                                </w:p>
                              </w:tc>
                              <w:tc>
                                <w:tcPr>
                                  <w:tcW w:w="719" w:type="dxa"/>
                                  <w:tcBorders>
                                    <w:top w:val="single" w:sz="4" w:space="0" w:color="000000"/>
                                    <w:left w:val="none" w:sz="6" w:space="0" w:color="auto"/>
                                    <w:bottom w:val="single" w:sz="12" w:space="0" w:color="000000"/>
                                    <w:right w:val="none" w:sz="6" w:space="0" w:color="auto"/>
                                  </w:tcBorders>
                                </w:tcPr>
                                <w:p w14:paraId="5D43BE0E" w14:textId="77777777" w:rsidR="00765D0B" w:rsidRDefault="00765D0B">
                                  <w:pPr>
                                    <w:kinsoku w:val="0"/>
                                    <w:overflowPunct w:val="0"/>
                                    <w:spacing w:line="237" w:lineRule="auto"/>
                                    <w:ind w:left="187" w:right="145"/>
                                  </w:pPr>
                                  <w:r>
                                    <w:rPr>
                                      <w:szCs w:val="22"/>
                                    </w:rPr>
                                    <w:t>Dan 3</w:t>
                                  </w:r>
                                </w:p>
                              </w:tc>
                              <w:tc>
                                <w:tcPr>
                                  <w:tcW w:w="768" w:type="dxa"/>
                                  <w:tcBorders>
                                    <w:top w:val="single" w:sz="4" w:space="0" w:color="000000"/>
                                    <w:left w:val="none" w:sz="6" w:space="0" w:color="auto"/>
                                    <w:bottom w:val="single" w:sz="12" w:space="0" w:color="000000"/>
                                    <w:right w:val="single" w:sz="4" w:space="0" w:color="000000"/>
                                  </w:tcBorders>
                                </w:tcPr>
                                <w:p w14:paraId="0ADEFCFA" w14:textId="77777777" w:rsidR="00765D0B" w:rsidRDefault="00765D0B">
                                  <w:pPr>
                                    <w:kinsoku w:val="0"/>
                                    <w:overflowPunct w:val="0"/>
                                    <w:spacing w:line="237" w:lineRule="auto"/>
                                    <w:ind w:left="188" w:right="188"/>
                                  </w:pPr>
                                  <w:r>
                                    <w:rPr>
                                      <w:szCs w:val="22"/>
                                    </w:rPr>
                                    <w:t>Dan 4</w:t>
                                  </w:r>
                                </w:p>
                              </w:tc>
                              <w:tc>
                                <w:tcPr>
                                  <w:tcW w:w="663" w:type="dxa"/>
                                  <w:tcBorders>
                                    <w:top w:val="single" w:sz="4" w:space="0" w:color="000000"/>
                                    <w:left w:val="single" w:sz="4" w:space="0" w:color="000000"/>
                                    <w:bottom w:val="single" w:sz="12" w:space="0" w:color="000000"/>
                                    <w:right w:val="none" w:sz="6" w:space="0" w:color="auto"/>
                                  </w:tcBorders>
                                </w:tcPr>
                                <w:p w14:paraId="279BA6CA" w14:textId="77777777" w:rsidR="00765D0B" w:rsidRDefault="00765D0B">
                                  <w:pPr>
                                    <w:kinsoku w:val="0"/>
                                    <w:overflowPunct w:val="0"/>
                                    <w:ind w:left="116"/>
                                  </w:pPr>
                                  <w:r>
                                    <w:rPr>
                                      <w:szCs w:val="22"/>
                                    </w:rPr>
                                    <w:t>--</w:t>
                                  </w:r>
                                </w:p>
                              </w:tc>
                              <w:tc>
                                <w:tcPr>
                                  <w:tcW w:w="691" w:type="dxa"/>
                                  <w:tcBorders>
                                    <w:top w:val="single" w:sz="4" w:space="0" w:color="000000"/>
                                    <w:left w:val="none" w:sz="6" w:space="0" w:color="auto"/>
                                    <w:bottom w:val="single" w:sz="12" w:space="0" w:color="000000"/>
                                    <w:right w:val="single" w:sz="4" w:space="0" w:color="000000"/>
                                  </w:tcBorders>
                                </w:tcPr>
                                <w:p w14:paraId="195A4E0E" w14:textId="77777777" w:rsidR="00765D0B" w:rsidRDefault="00765D0B">
                                  <w:pPr>
                                    <w:kinsoku w:val="0"/>
                                    <w:overflowPunct w:val="0"/>
                                    <w:ind w:left="197"/>
                                  </w:pPr>
                                  <w:r>
                                    <w:rPr>
                                      <w:szCs w:val="22"/>
                                    </w:rPr>
                                    <w:t>--</w:t>
                                  </w:r>
                                </w:p>
                              </w:tc>
                              <w:tc>
                                <w:tcPr>
                                  <w:tcW w:w="807" w:type="dxa"/>
                                  <w:tcBorders>
                                    <w:top w:val="single" w:sz="4" w:space="0" w:color="000000"/>
                                    <w:left w:val="single" w:sz="4" w:space="0" w:color="000000"/>
                                    <w:bottom w:val="single" w:sz="12" w:space="0" w:color="000000"/>
                                    <w:right w:val="single" w:sz="4" w:space="0" w:color="000000"/>
                                  </w:tcBorders>
                                </w:tcPr>
                                <w:p w14:paraId="38712B2E" w14:textId="77777777" w:rsidR="00765D0B" w:rsidRDefault="00765D0B">
                                  <w:pPr>
                                    <w:kinsoku w:val="0"/>
                                    <w:overflowPunct w:val="0"/>
                                    <w:ind w:left="110"/>
                                  </w:pPr>
                                  <w:r>
                                    <w:rPr>
                                      <w:szCs w:val="22"/>
                                    </w:rPr>
                                    <w:t>pauza</w:t>
                                  </w:r>
                                </w:p>
                              </w:tc>
                              <w:tc>
                                <w:tcPr>
                                  <w:tcW w:w="663" w:type="dxa"/>
                                  <w:tcBorders>
                                    <w:top w:val="single" w:sz="4" w:space="0" w:color="000000"/>
                                    <w:left w:val="single" w:sz="4" w:space="0" w:color="000000"/>
                                    <w:bottom w:val="single" w:sz="12" w:space="0" w:color="000000"/>
                                    <w:right w:val="none" w:sz="6" w:space="0" w:color="auto"/>
                                  </w:tcBorders>
                                </w:tcPr>
                                <w:p w14:paraId="6892511C" w14:textId="77777777" w:rsidR="00765D0B" w:rsidRDefault="00765D0B">
                                  <w:pPr>
                                    <w:kinsoku w:val="0"/>
                                    <w:overflowPunct w:val="0"/>
                                  </w:pPr>
                                  <w:r>
                                    <w:rPr>
                                      <w:szCs w:val="22"/>
                                    </w:rPr>
                                    <w:t>--</w:t>
                                  </w:r>
                                </w:p>
                              </w:tc>
                              <w:tc>
                                <w:tcPr>
                                  <w:tcW w:w="691" w:type="dxa"/>
                                  <w:tcBorders>
                                    <w:top w:val="single" w:sz="4" w:space="0" w:color="000000"/>
                                    <w:left w:val="none" w:sz="6" w:space="0" w:color="auto"/>
                                    <w:bottom w:val="single" w:sz="12" w:space="0" w:color="000000"/>
                                    <w:right w:val="single" w:sz="4" w:space="0" w:color="000000"/>
                                  </w:tcBorders>
                                </w:tcPr>
                                <w:p w14:paraId="503E915D" w14:textId="77777777" w:rsidR="00765D0B" w:rsidRDefault="00765D0B">
                                  <w:pPr>
                                    <w:kinsoku w:val="0"/>
                                    <w:overflowPunct w:val="0"/>
                                    <w:ind w:left="196"/>
                                  </w:pPr>
                                  <w:r>
                                    <w:rPr>
                                      <w:szCs w:val="22"/>
                                    </w:rPr>
                                    <w:t>--</w:t>
                                  </w:r>
                                </w:p>
                              </w:tc>
                              <w:tc>
                                <w:tcPr>
                                  <w:tcW w:w="704" w:type="dxa"/>
                                  <w:tcBorders>
                                    <w:top w:val="single" w:sz="4" w:space="0" w:color="000000"/>
                                    <w:left w:val="single" w:sz="4" w:space="0" w:color="000000"/>
                                    <w:bottom w:val="single" w:sz="12" w:space="0" w:color="000000"/>
                                    <w:right w:val="none" w:sz="6" w:space="0" w:color="auto"/>
                                  </w:tcBorders>
                                </w:tcPr>
                                <w:p w14:paraId="0B5B6FBC" w14:textId="77777777" w:rsidR="00765D0B" w:rsidRDefault="00765D0B">
                                  <w:pPr>
                                    <w:kinsoku w:val="0"/>
                                    <w:overflowPunct w:val="0"/>
                                    <w:ind w:left="109"/>
                                  </w:pPr>
                                  <w:r>
                                    <w:rPr>
                                      <w:szCs w:val="22"/>
                                    </w:rPr>
                                    <w:t>--</w:t>
                                  </w:r>
                                </w:p>
                              </w:tc>
                              <w:tc>
                                <w:tcPr>
                                  <w:tcW w:w="737" w:type="dxa"/>
                                  <w:tcBorders>
                                    <w:top w:val="single" w:sz="4" w:space="0" w:color="000000"/>
                                    <w:left w:val="none" w:sz="6" w:space="0" w:color="auto"/>
                                    <w:bottom w:val="single" w:sz="12" w:space="0" w:color="000000"/>
                                    <w:right w:val="single" w:sz="4" w:space="0" w:color="000000"/>
                                  </w:tcBorders>
                                </w:tcPr>
                                <w:p w14:paraId="4DDA35B2" w14:textId="77777777" w:rsidR="00765D0B" w:rsidRDefault="00765D0B">
                                  <w:pPr>
                                    <w:kinsoku w:val="0"/>
                                    <w:overflowPunct w:val="0"/>
                                    <w:ind w:left="241"/>
                                  </w:pPr>
                                  <w:r>
                                    <w:rPr>
                                      <w:szCs w:val="22"/>
                                    </w:rPr>
                                    <w:t>--</w:t>
                                  </w:r>
                                </w:p>
                              </w:tc>
                              <w:tc>
                                <w:tcPr>
                                  <w:tcW w:w="807" w:type="dxa"/>
                                  <w:tcBorders>
                                    <w:top w:val="single" w:sz="4" w:space="0" w:color="000000"/>
                                    <w:left w:val="single" w:sz="4" w:space="0" w:color="000000"/>
                                    <w:bottom w:val="single" w:sz="12" w:space="0" w:color="000000"/>
                                    <w:right w:val="none" w:sz="6" w:space="0" w:color="auto"/>
                                  </w:tcBorders>
                                </w:tcPr>
                                <w:p w14:paraId="474AC28F" w14:textId="77777777" w:rsidR="00765D0B" w:rsidRDefault="00765D0B">
                                  <w:pPr>
                                    <w:kinsoku w:val="0"/>
                                    <w:overflowPunct w:val="0"/>
                                    <w:ind w:left="108"/>
                                  </w:pPr>
                                  <w:r>
                                    <w:rPr>
                                      <w:szCs w:val="22"/>
                                    </w:rPr>
                                    <w:t>pauza</w:t>
                                  </w:r>
                                </w:p>
                              </w:tc>
                            </w:tr>
                          </w:tbl>
                          <w:p w14:paraId="74ED215F" w14:textId="77777777" w:rsidR="00765D0B" w:rsidRDefault="00765D0B" w:rsidP="00DF2F42">
                            <w:pPr>
                              <w:pStyle w:val="BodyText"/>
                              <w:kinsoku w:val="0"/>
                              <w:overflowPunct w:val="0"/>
                              <w:rPr>
                                <w:b/>
                                <w:bCs/>
                                <w:sz w:val="24"/>
                              </w:rPr>
                            </w:pPr>
                          </w:p>
                        </w:txbxContent>
                      </wps:txbx>
                      <wps:bodyPr rot="0" vert="horz" wrap="square" lIns="0" tIns="0" rIns="0" bIns="0" anchor="t" anchorCtr="0" upright="1">
                        <a:noAutofit/>
                      </wps:bodyPr>
                    </wps:wsp>
                  </a:graphicData>
                </a:graphic>
              </wp:inline>
            </w:drawing>
          </mc:Choice>
          <mc:Fallback>
            <w:pict>
              <v:shape w14:anchorId="09557A8E" id="Text Box 2" o:spid="_x0000_s1027" type="#_x0000_t202" style="width:510.75pt;height:9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u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37"/>
                        <w:gridCol w:w="590"/>
                        <w:gridCol w:w="666"/>
                        <w:gridCol w:w="735"/>
                        <w:gridCol w:w="719"/>
                        <w:gridCol w:w="768"/>
                        <w:gridCol w:w="663"/>
                        <w:gridCol w:w="691"/>
                        <w:gridCol w:w="807"/>
                        <w:gridCol w:w="663"/>
                        <w:gridCol w:w="691"/>
                        <w:gridCol w:w="704"/>
                        <w:gridCol w:w="737"/>
                        <w:gridCol w:w="807"/>
                      </w:tblGrid>
                      <w:tr w:rsidR="00765D0B" w14:paraId="62CE01C5" w14:textId="77777777">
                        <w:trPr>
                          <w:trHeight w:val="253"/>
                        </w:trPr>
                        <w:tc>
                          <w:tcPr>
                            <w:tcW w:w="1527" w:type="dxa"/>
                            <w:gridSpan w:val="2"/>
                            <w:tcBorders>
                              <w:top w:val="single" w:sz="12" w:space="0" w:color="000000"/>
                              <w:left w:val="none" w:sz="6" w:space="0" w:color="auto"/>
                              <w:bottom w:val="single" w:sz="4" w:space="0" w:color="000000"/>
                              <w:right w:val="single" w:sz="4" w:space="0" w:color="000000"/>
                            </w:tcBorders>
                          </w:tcPr>
                          <w:p w14:paraId="2F4B4ABE" w14:textId="3353338B" w:rsidR="00765D0B" w:rsidRDefault="00765D0B">
                            <w:pPr>
                              <w:kinsoku w:val="0"/>
                              <w:overflowPunct w:val="0"/>
                              <w:spacing w:line="234" w:lineRule="exact"/>
                              <w:ind w:left="124"/>
                            </w:pPr>
                            <w:r>
                              <w:rPr>
                                <w:szCs w:val="22"/>
                              </w:rPr>
                              <w:t>Nedjelja</w:t>
                            </w:r>
                          </w:p>
                        </w:tc>
                        <w:tc>
                          <w:tcPr>
                            <w:tcW w:w="2888" w:type="dxa"/>
                            <w:gridSpan w:val="4"/>
                            <w:tcBorders>
                              <w:top w:val="single" w:sz="12" w:space="0" w:color="000000"/>
                              <w:left w:val="single" w:sz="4" w:space="0" w:color="000000"/>
                              <w:bottom w:val="single" w:sz="4" w:space="0" w:color="000000"/>
                              <w:right w:val="single" w:sz="4" w:space="0" w:color="000000"/>
                            </w:tcBorders>
                          </w:tcPr>
                          <w:p w14:paraId="767F147E" w14:textId="77777777" w:rsidR="00765D0B" w:rsidRDefault="00765D0B" w:rsidP="003E6BD8">
                            <w:pPr>
                              <w:kinsoku w:val="0"/>
                              <w:overflowPunct w:val="0"/>
                              <w:spacing w:line="234" w:lineRule="exact"/>
                              <w:ind w:left="119"/>
                              <w:jc w:val="center"/>
                            </w:pPr>
                            <w:r>
                              <w:rPr>
                                <w:szCs w:val="22"/>
                              </w:rPr>
                              <w:t>1</w:t>
                            </w:r>
                          </w:p>
                        </w:tc>
                        <w:tc>
                          <w:tcPr>
                            <w:tcW w:w="1354" w:type="dxa"/>
                            <w:gridSpan w:val="2"/>
                            <w:tcBorders>
                              <w:top w:val="single" w:sz="12" w:space="0" w:color="000000"/>
                              <w:left w:val="single" w:sz="4" w:space="0" w:color="000000"/>
                              <w:bottom w:val="single" w:sz="4" w:space="0" w:color="000000"/>
                              <w:right w:val="single" w:sz="4" w:space="0" w:color="000000"/>
                            </w:tcBorders>
                          </w:tcPr>
                          <w:p w14:paraId="04420BD4" w14:textId="77777777" w:rsidR="00765D0B" w:rsidRDefault="00765D0B" w:rsidP="003E6BD8">
                            <w:pPr>
                              <w:kinsoku w:val="0"/>
                              <w:overflowPunct w:val="0"/>
                              <w:spacing w:line="234" w:lineRule="exact"/>
                              <w:ind w:left="116"/>
                              <w:jc w:val="center"/>
                            </w:pPr>
                            <w:r>
                              <w:rPr>
                                <w:szCs w:val="22"/>
                              </w:rPr>
                              <w:t>2</w:t>
                            </w:r>
                          </w:p>
                        </w:tc>
                        <w:tc>
                          <w:tcPr>
                            <w:tcW w:w="807" w:type="dxa"/>
                            <w:tcBorders>
                              <w:top w:val="single" w:sz="12" w:space="0" w:color="000000"/>
                              <w:left w:val="single" w:sz="4" w:space="0" w:color="000000"/>
                              <w:bottom w:val="single" w:sz="4" w:space="0" w:color="000000"/>
                              <w:right w:val="single" w:sz="4" w:space="0" w:color="000000"/>
                            </w:tcBorders>
                          </w:tcPr>
                          <w:p w14:paraId="74CC86C6" w14:textId="77777777" w:rsidR="00765D0B" w:rsidRDefault="00765D0B" w:rsidP="003E6BD8">
                            <w:pPr>
                              <w:kinsoku w:val="0"/>
                              <w:overflowPunct w:val="0"/>
                              <w:spacing w:line="234" w:lineRule="exact"/>
                              <w:ind w:left="110"/>
                              <w:jc w:val="center"/>
                            </w:pPr>
                            <w:r>
                              <w:rPr>
                                <w:szCs w:val="22"/>
                              </w:rPr>
                              <w:t>3</w:t>
                            </w:r>
                          </w:p>
                        </w:tc>
                        <w:tc>
                          <w:tcPr>
                            <w:tcW w:w="1354" w:type="dxa"/>
                            <w:gridSpan w:val="2"/>
                            <w:tcBorders>
                              <w:top w:val="single" w:sz="12" w:space="0" w:color="000000"/>
                              <w:left w:val="single" w:sz="4" w:space="0" w:color="000000"/>
                              <w:bottom w:val="single" w:sz="4" w:space="0" w:color="000000"/>
                              <w:right w:val="single" w:sz="4" w:space="0" w:color="000000"/>
                            </w:tcBorders>
                          </w:tcPr>
                          <w:p w14:paraId="655B5410" w14:textId="77777777" w:rsidR="00765D0B" w:rsidRDefault="00765D0B" w:rsidP="003E6BD8">
                            <w:pPr>
                              <w:kinsoku w:val="0"/>
                              <w:overflowPunct w:val="0"/>
                              <w:spacing w:line="234" w:lineRule="exact"/>
                              <w:jc w:val="center"/>
                            </w:pPr>
                            <w:r>
                              <w:rPr>
                                <w:szCs w:val="22"/>
                              </w:rPr>
                              <w:t>4</w:t>
                            </w:r>
                          </w:p>
                        </w:tc>
                        <w:tc>
                          <w:tcPr>
                            <w:tcW w:w="1441" w:type="dxa"/>
                            <w:gridSpan w:val="2"/>
                            <w:tcBorders>
                              <w:top w:val="single" w:sz="12" w:space="0" w:color="000000"/>
                              <w:left w:val="single" w:sz="4" w:space="0" w:color="000000"/>
                              <w:bottom w:val="single" w:sz="4" w:space="0" w:color="000000"/>
                              <w:right w:val="single" w:sz="4" w:space="0" w:color="000000"/>
                            </w:tcBorders>
                          </w:tcPr>
                          <w:p w14:paraId="7BB4C6A5" w14:textId="77777777" w:rsidR="00765D0B" w:rsidRDefault="00765D0B" w:rsidP="003E6BD8">
                            <w:pPr>
                              <w:kinsoku w:val="0"/>
                              <w:overflowPunct w:val="0"/>
                              <w:spacing w:line="234" w:lineRule="exact"/>
                              <w:ind w:left="109"/>
                              <w:jc w:val="center"/>
                            </w:pPr>
                            <w:r>
                              <w:rPr>
                                <w:szCs w:val="22"/>
                              </w:rPr>
                              <w:t>5</w:t>
                            </w:r>
                          </w:p>
                        </w:tc>
                        <w:tc>
                          <w:tcPr>
                            <w:tcW w:w="807" w:type="dxa"/>
                            <w:tcBorders>
                              <w:top w:val="single" w:sz="12" w:space="0" w:color="000000"/>
                              <w:left w:val="single" w:sz="4" w:space="0" w:color="000000"/>
                              <w:bottom w:val="single" w:sz="4" w:space="0" w:color="000000"/>
                              <w:right w:val="none" w:sz="6" w:space="0" w:color="auto"/>
                            </w:tcBorders>
                          </w:tcPr>
                          <w:p w14:paraId="6135AA2A" w14:textId="77777777" w:rsidR="00765D0B" w:rsidRDefault="00765D0B" w:rsidP="003E6BD8">
                            <w:pPr>
                              <w:kinsoku w:val="0"/>
                              <w:overflowPunct w:val="0"/>
                              <w:spacing w:line="234" w:lineRule="exact"/>
                              <w:ind w:left="108"/>
                              <w:jc w:val="center"/>
                            </w:pPr>
                            <w:r>
                              <w:rPr>
                                <w:szCs w:val="22"/>
                              </w:rPr>
                              <w:t>6</w:t>
                            </w:r>
                          </w:p>
                        </w:tc>
                      </w:tr>
                      <w:tr w:rsidR="00765D0B" w14:paraId="02246545" w14:textId="77777777">
                        <w:trPr>
                          <w:trHeight w:val="508"/>
                        </w:trPr>
                        <w:tc>
                          <w:tcPr>
                            <w:tcW w:w="937" w:type="dxa"/>
                            <w:tcBorders>
                              <w:top w:val="single" w:sz="4" w:space="0" w:color="000000"/>
                              <w:left w:val="none" w:sz="6" w:space="0" w:color="auto"/>
                              <w:bottom w:val="single" w:sz="4" w:space="0" w:color="000000"/>
                              <w:right w:val="none" w:sz="6" w:space="0" w:color="auto"/>
                            </w:tcBorders>
                          </w:tcPr>
                          <w:p w14:paraId="1426CDB8" w14:textId="04554CFD" w:rsidR="00765D0B" w:rsidRDefault="00765D0B">
                            <w:pPr>
                              <w:kinsoku w:val="0"/>
                              <w:overflowPunct w:val="0"/>
                              <w:ind w:left="124"/>
                            </w:pPr>
                            <w:r>
                              <w:rPr>
                                <w:szCs w:val="22"/>
                              </w:rPr>
                              <w:t>Bz</w:t>
                            </w:r>
                          </w:p>
                          <w:p w14:paraId="2FAEB595" w14:textId="77777777" w:rsidR="00765D0B" w:rsidRDefault="00765D0B">
                            <w:pPr>
                              <w:kinsoku w:val="0"/>
                              <w:overflowPunct w:val="0"/>
                              <w:spacing w:before="1" w:line="243" w:lineRule="exact"/>
                              <w:ind w:left="124"/>
                            </w:pPr>
                            <w:r>
                              <w:rPr>
                                <w:szCs w:val="22"/>
                              </w:rPr>
                              <w:t>mg/m</w:t>
                            </w:r>
                            <w:r w:rsidRPr="00695513">
                              <w:rPr>
                                <w:szCs w:val="22"/>
                                <w:vertAlign w:val="superscript"/>
                              </w:rPr>
                              <w:t>2</w:t>
                            </w:r>
                            <w:r>
                              <w:rPr>
                                <w:szCs w:val="22"/>
                              </w:rPr>
                              <w:t>)</w:t>
                            </w:r>
                          </w:p>
                        </w:tc>
                        <w:tc>
                          <w:tcPr>
                            <w:tcW w:w="590" w:type="dxa"/>
                            <w:tcBorders>
                              <w:top w:val="single" w:sz="4" w:space="0" w:color="000000"/>
                              <w:left w:val="none" w:sz="6" w:space="0" w:color="auto"/>
                              <w:bottom w:val="single" w:sz="4" w:space="0" w:color="000000"/>
                              <w:right w:val="single" w:sz="4" w:space="0" w:color="000000"/>
                            </w:tcBorders>
                          </w:tcPr>
                          <w:p w14:paraId="5C78CF46" w14:textId="77777777" w:rsidR="00765D0B" w:rsidRDefault="00765D0B">
                            <w:pPr>
                              <w:kinsoku w:val="0"/>
                              <w:overflowPunct w:val="0"/>
                              <w:ind w:left="147"/>
                            </w:pPr>
                            <w:r>
                              <w:rPr>
                                <w:szCs w:val="22"/>
                              </w:rPr>
                              <w:t>(1,3</w:t>
                            </w:r>
                          </w:p>
                        </w:tc>
                        <w:tc>
                          <w:tcPr>
                            <w:tcW w:w="666" w:type="dxa"/>
                            <w:tcBorders>
                              <w:top w:val="single" w:sz="4" w:space="0" w:color="000000"/>
                              <w:left w:val="single" w:sz="4" w:space="0" w:color="000000"/>
                              <w:bottom w:val="single" w:sz="4" w:space="0" w:color="000000"/>
                              <w:right w:val="none" w:sz="6" w:space="0" w:color="auto"/>
                            </w:tcBorders>
                          </w:tcPr>
                          <w:p w14:paraId="21B48879" w14:textId="77777777" w:rsidR="00765D0B" w:rsidRDefault="00765D0B">
                            <w:pPr>
                              <w:kinsoku w:val="0"/>
                              <w:overflowPunct w:val="0"/>
                              <w:ind w:left="119"/>
                            </w:pPr>
                            <w:r>
                              <w:rPr>
                                <w:szCs w:val="22"/>
                              </w:rPr>
                              <w:t>Dan</w:t>
                            </w:r>
                          </w:p>
                          <w:p w14:paraId="25E44DD8" w14:textId="77777777" w:rsidR="00765D0B" w:rsidRDefault="00765D0B">
                            <w:pPr>
                              <w:kinsoku w:val="0"/>
                              <w:overflowPunct w:val="0"/>
                              <w:spacing w:before="1" w:line="243" w:lineRule="exact"/>
                              <w:ind w:left="119"/>
                            </w:pPr>
                            <w:r>
                              <w:rPr>
                                <w:szCs w:val="22"/>
                              </w:rPr>
                              <w:t>1</w:t>
                            </w:r>
                          </w:p>
                        </w:tc>
                        <w:tc>
                          <w:tcPr>
                            <w:tcW w:w="735" w:type="dxa"/>
                            <w:tcBorders>
                              <w:top w:val="single" w:sz="4" w:space="0" w:color="000000"/>
                              <w:left w:val="none" w:sz="6" w:space="0" w:color="auto"/>
                              <w:bottom w:val="single" w:sz="4" w:space="0" w:color="000000"/>
                              <w:right w:val="none" w:sz="6" w:space="0" w:color="auto"/>
                            </w:tcBorders>
                          </w:tcPr>
                          <w:p w14:paraId="428B20AD" w14:textId="77777777" w:rsidR="00765D0B" w:rsidRDefault="00765D0B">
                            <w:pPr>
                              <w:kinsoku w:val="0"/>
                              <w:overflowPunct w:val="0"/>
                              <w:ind w:left="202"/>
                            </w:pPr>
                            <w:r>
                              <w:rPr>
                                <w:szCs w:val="22"/>
                              </w:rPr>
                              <w:t>--</w:t>
                            </w:r>
                          </w:p>
                        </w:tc>
                        <w:tc>
                          <w:tcPr>
                            <w:tcW w:w="719" w:type="dxa"/>
                            <w:tcBorders>
                              <w:top w:val="single" w:sz="4" w:space="0" w:color="000000"/>
                              <w:left w:val="none" w:sz="6" w:space="0" w:color="auto"/>
                              <w:bottom w:val="single" w:sz="4" w:space="0" w:color="000000"/>
                              <w:right w:val="none" w:sz="6" w:space="0" w:color="auto"/>
                            </w:tcBorders>
                          </w:tcPr>
                          <w:p w14:paraId="6E715214" w14:textId="77777777" w:rsidR="00765D0B" w:rsidRDefault="00765D0B">
                            <w:pPr>
                              <w:kinsoku w:val="0"/>
                              <w:overflowPunct w:val="0"/>
                              <w:ind w:left="187"/>
                            </w:pPr>
                            <w:r>
                              <w:rPr>
                                <w:szCs w:val="22"/>
                              </w:rPr>
                              <w:t>--</w:t>
                            </w:r>
                          </w:p>
                        </w:tc>
                        <w:tc>
                          <w:tcPr>
                            <w:tcW w:w="768" w:type="dxa"/>
                            <w:tcBorders>
                              <w:top w:val="single" w:sz="4" w:space="0" w:color="000000"/>
                              <w:left w:val="none" w:sz="6" w:space="0" w:color="auto"/>
                              <w:bottom w:val="single" w:sz="4" w:space="0" w:color="000000"/>
                              <w:right w:val="single" w:sz="4" w:space="0" w:color="000000"/>
                            </w:tcBorders>
                          </w:tcPr>
                          <w:p w14:paraId="0C66C32D" w14:textId="77777777" w:rsidR="00765D0B" w:rsidRDefault="00765D0B">
                            <w:pPr>
                              <w:kinsoku w:val="0"/>
                              <w:overflowPunct w:val="0"/>
                              <w:ind w:left="188"/>
                            </w:pPr>
                            <w:r>
                              <w:rPr>
                                <w:szCs w:val="22"/>
                              </w:rPr>
                              <w:t>Dan</w:t>
                            </w:r>
                          </w:p>
                          <w:p w14:paraId="5D5A5D34" w14:textId="77777777" w:rsidR="00765D0B" w:rsidRDefault="00765D0B">
                            <w:pPr>
                              <w:kinsoku w:val="0"/>
                              <w:overflowPunct w:val="0"/>
                              <w:spacing w:before="1" w:line="243" w:lineRule="exact"/>
                              <w:ind w:left="188"/>
                            </w:pPr>
                            <w:r>
                              <w:rPr>
                                <w:szCs w:val="22"/>
                              </w:rPr>
                              <w:t>4</w:t>
                            </w:r>
                          </w:p>
                        </w:tc>
                        <w:tc>
                          <w:tcPr>
                            <w:tcW w:w="663" w:type="dxa"/>
                            <w:tcBorders>
                              <w:top w:val="single" w:sz="4" w:space="0" w:color="000000"/>
                              <w:left w:val="single" w:sz="4" w:space="0" w:color="000000"/>
                              <w:bottom w:val="single" w:sz="4" w:space="0" w:color="000000"/>
                              <w:right w:val="none" w:sz="6" w:space="0" w:color="auto"/>
                            </w:tcBorders>
                          </w:tcPr>
                          <w:p w14:paraId="6EB67525" w14:textId="77777777" w:rsidR="00765D0B" w:rsidRDefault="00765D0B">
                            <w:pPr>
                              <w:kinsoku w:val="0"/>
                              <w:overflowPunct w:val="0"/>
                              <w:ind w:left="116"/>
                            </w:pPr>
                            <w:r>
                              <w:rPr>
                                <w:szCs w:val="22"/>
                              </w:rPr>
                              <w:t>Dan</w:t>
                            </w:r>
                          </w:p>
                          <w:p w14:paraId="68B903CD" w14:textId="77777777" w:rsidR="00765D0B" w:rsidRDefault="00765D0B">
                            <w:pPr>
                              <w:kinsoku w:val="0"/>
                              <w:overflowPunct w:val="0"/>
                              <w:spacing w:before="1" w:line="243" w:lineRule="exact"/>
                              <w:ind w:left="116"/>
                            </w:pPr>
                            <w:r>
                              <w:rPr>
                                <w:szCs w:val="22"/>
                              </w:rPr>
                              <w:t>8</w:t>
                            </w:r>
                          </w:p>
                        </w:tc>
                        <w:tc>
                          <w:tcPr>
                            <w:tcW w:w="691" w:type="dxa"/>
                            <w:tcBorders>
                              <w:top w:val="single" w:sz="4" w:space="0" w:color="000000"/>
                              <w:left w:val="none" w:sz="6" w:space="0" w:color="auto"/>
                              <w:bottom w:val="single" w:sz="4" w:space="0" w:color="000000"/>
                              <w:right w:val="single" w:sz="4" w:space="0" w:color="000000"/>
                            </w:tcBorders>
                          </w:tcPr>
                          <w:p w14:paraId="1CD3B6F3" w14:textId="77777777" w:rsidR="00765D0B" w:rsidRDefault="00765D0B">
                            <w:pPr>
                              <w:kinsoku w:val="0"/>
                              <w:overflowPunct w:val="0"/>
                              <w:ind w:left="197"/>
                            </w:pPr>
                            <w:r>
                              <w:rPr>
                                <w:szCs w:val="22"/>
                              </w:rPr>
                              <w:t>Dan</w:t>
                            </w:r>
                          </w:p>
                          <w:p w14:paraId="011E5C34" w14:textId="77777777" w:rsidR="00765D0B" w:rsidRDefault="00765D0B">
                            <w:pPr>
                              <w:kinsoku w:val="0"/>
                              <w:overflowPunct w:val="0"/>
                              <w:spacing w:before="1" w:line="243" w:lineRule="exact"/>
                              <w:ind w:left="197"/>
                            </w:pPr>
                            <w:r>
                              <w:rPr>
                                <w:szCs w:val="22"/>
                              </w:rPr>
                              <w:t>11</w:t>
                            </w:r>
                          </w:p>
                        </w:tc>
                        <w:tc>
                          <w:tcPr>
                            <w:tcW w:w="807" w:type="dxa"/>
                            <w:tcBorders>
                              <w:top w:val="single" w:sz="4" w:space="0" w:color="000000"/>
                              <w:left w:val="single" w:sz="4" w:space="0" w:color="000000"/>
                              <w:bottom w:val="single" w:sz="4" w:space="0" w:color="000000"/>
                              <w:right w:val="single" w:sz="4" w:space="0" w:color="000000"/>
                            </w:tcBorders>
                          </w:tcPr>
                          <w:p w14:paraId="04C3D4CA" w14:textId="77777777" w:rsidR="00765D0B" w:rsidRDefault="00765D0B">
                            <w:pPr>
                              <w:kinsoku w:val="0"/>
                              <w:overflowPunct w:val="0"/>
                              <w:ind w:left="110"/>
                            </w:pPr>
                            <w:r>
                              <w:rPr>
                                <w:szCs w:val="22"/>
                              </w:rPr>
                              <w:t>pauza</w:t>
                            </w:r>
                          </w:p>
                        </w:tc>
                        <w:tc>
                          <w:tcPr>
                            <w:tcW w:w="663" w:type="dxa"/>
                            <w:tcBorders>
                              <w:top w:val="single" w:sz="4" w:space="0" w:color="000000"/>
                              <w:left w:val="single" w:sz="4" w:space="0" w:color="000000"/>
                              <w:bottom w:val="single" w:sz="4" w:space="0" w:color="000000"/>
                              <w:right w:val="none" w:sz="6" w:space="0" w:color="auto"/>
                            </w:tcBorders>
                          </w:tcPr>
                          <w:p w14:paraId="67C70F11" w14:textId="77777777" w:rsidR="00765D0B" w:rsidRDefault="00765D0B">
                            <w:pPr>
                              <w:kinsoku w:val="0"/>
                              <w:overflowPunct w:val="0"/>
                            </w:pPr>
                            <w:r>
                              <w:rPr>
                                <w:szCs w:val="22"/>
                              </w:rPr>
                              <w:t>Dan</w:t>
                            </w:r>
                          </w:p>
                          <w:p w14:paraId="5A99E1AA" w14:textId="77777777" w:rsidR="00765D0B" w:rsidRDefault="00765D0B">
                            <w:pPr>
                              <w:kinsoku w:val="0"/>
                              <w:overflowPunct w:val="0"/>
                              <w:spacing w:before="1" w:line="243" w:lineRule="exact"/>
                            </w:pPr>
                            <w:r>
                              <w:rPr>
                                <w:szCs w:val="22"/>
                              </w:rPr>
                              <w:t>22</w:t>
                            </w:r>
                          </w:p>
                        </w:tc>
                        <w:tc>
                          <w:tcPr>
                            <w:tcW w:w="691" w:type="dxa"/>
                            <w:tcBorders>
                              <w:top w:val="single" w:sz="4" w:space="0" w:color="000000"/>
                              <w:left w:val="none" w:sz="6" w:space="0" w:color="auto"/>
                              <w:bottom w:val="single" w:sz="4" w:space="0" w:color="000000"/>
                              <w:right w:val="single" w:sz="4" w:space="0" w:color="000000"/>
                            </w:tcBorders>
                          </w:tcPr>
                          <w:p w14:paraId="5C731338" w14:textId="77777777" w:rsidR="00765D0B" w:rsidRDefault="00765D0B">
                            <w:pPr>
                              <w:kinsoku w:val="0"/>
                              <w:overflowPunct w:val="0"/>
                              <w:ind w:left="196"/>
                            </w:pPr>
                            <w:r>
                              <w:rPr>
                                <w:szCs w:val="22"/>
                              </w:rPr>
                              <w:t>Dan</w:t>
                            </w:r>
                          </w:p>
                          <w:p w14:paraId="45B52ABA" w14:textId="77777777" w:rsidR="00765D0B" w:rsidRDefault="00765D0B">
                            <w:pPr>
                              <w:kinsoku w:val="0"/>
                              <w:overflowPunct w:val="0"/>
                              <w:spacing w:before="1" w:line="243" w:lineRule="exact"/>
                              <w:ind w:left="196"/>
                            </w:pPr>
                            <w:r>
                              <w:rPr>
                                <w:szCs w:val="22"/>
                              </w:rPr>
                              <w:t>25</w:t>
                            </w:r>
                          </w:p>
                        </w:tc>
                        <w:tc>
                          <w:tcPr>
                            <w:tcW w:w="704" w:type="dxa"/>
                            <w:tcBorders>
                              <w:top w:val="single" w:sz="4" w:space="0" w:color="000000"/>
                              <w:left w:val="single" w:sz="4" w:space="0" w:color="000000"/>
                              <w:bottom w:val="single" w:sz="4" w:space="0" w:color="000000"/>
                              <w:right w:val="none" w:sz="6" w:space="0" w:color="auto"/>
                            </w:tcBorders>
                          </w:tcPr>
                          <w:p w14:paraId="5235042D" w14:textId="77777777" w:rsidR="00765D0B" w:rsidRDefault="00765D0B">
                            <w:pPr>
                              <w:kinsoku w:val="0"/>
                              <w:overflowPunct w:val="0"/>
                              <w:ind w:left="109"/>
                            </w:pPr>
                            <w:r>
                              <w:rPr>
                                <w:szCs w:val="22"/>
                              </w:rPr>
                              <w:t>Dan</w:t>
                            </w:r>
                          </w:p>
                          <w:p w14:paraId="56EE0DAF" w14:textId="77777777" w:rsidR="00765D0B" w:rsidRDefault="00765D0B">
                            <w:pPr>
                              <w:kinsoku w:val="0"/>
                              <w:overflowPunct w:val="0"/>
                              <w:spacing w:before="1" w:line="243" w:lineRule="exact"/>
                              <w:ind w:left="109"/>
                            </w:pPr>
                            <w:r>
                              <w:rPr>
                                <w:szCs w:val="22"/>
                              </w:rPr>
                              <w:t>29</w:t>
                            </w:r>
                          </w:p>
                        </w:tc>
                        <w:tc>
                          <w:tcPr>
                            <w:tcW w:w="737" w:type="dxa"/>
                            <w:tcBorders>
                              <w:top w:val="single" w:sz="4" w:space="0" w:color="000000"/>
                              <w:left w:val="none" w:sz="6" w:space="0" w:color="auto"/>
                              <w:bottom w:val="single" w:sz="4" w:space="0" w:color="000000"/>
                              <w:right w:val="single" w:sz="4" w:space="0" w:color="000000"/>
                            </w:tcBorders>
                          </w:tcPr>
                          <w:p w14:paraId="058FDC87" w14:textId="77777777" w:rsidR="00765D0B" w:rsidRDefault="00765D0B">
                            <w:pPr>
                              <w:kinsoku w:val="0"/>
                              <w:overflowPunct w:val="0"/>
                              <w:ind w:left="241"/>
                            </w:pPr>
                            <w:r>
                              <w:rPr>
                                <w:szCs w:val="22"/>
                              </w:rPr>
                              <w:t>Dan</w:t>
                            </w:r>
                          </w:p>
                          <w:p w14:paraId="7B0BD45F" w14:textId="77777777" w:rsidR="00765D0B" w:rsidRDefault="00765D0B">
                            <w:pPr>
                              <w:kinsoku w:val="0"/>
                              <w:overflowPunct w:val="0"/>
                              <w:spacing w:before="1" w:line="243" w:lineRule="exact"/>
                              <w:ind w:left="241"/>
                            </w:pPr>
                            <w:r>
                              <w:rPr>
                                <w:szCs w:val="22"/>
                              </w:rPr>
                              <w:t>32</w:t>
                            </w:r>
                          </w:p>
                        </w:tc>
                        <w:tc>
                          <w:tcPr>
                            <w:tcW w:w="807" w:type="dxa"/>
                            <w:tcBorders>
                              <w:top w:val="single" w:sz="4" w:space="0" w:color="000000"/>
                              <w:left w:val="single" w:sz="4" w:space="0" w:color="000000"/>
                              <w:bottom w:val="single" w:sz="4" w:space="0" w:color="000000"/>
                              <w:right w:val="none" w:sz="6" w:space="0" w:color="auto"/>
                            </w:tcBorders>
                          </w:tcPr>
                          <w:p w14:paraId="0FDF3C99" w14:textId="77777777" w:rsidR="00765D0B" w:rsidRDefault="00765D0B">
                            <w:pPr>
                              <w:kinsoku w:val="0"/>
                              <w:overflowPunct w:val="0"/>
                              <w:ind w:left="108"/>
                            </w:pPr>
                            <w:r>
                              <w:rPr>
                                <w:szCs w:val="22"/>
                              </w:rPr>
                              <w:t>pauza</w:t>
                            </w:r>
                          </w:p>
                        </w:tc>
                      </w:tr>
                      <w:tr w:rsidR="00765D0B" w14:paraId="1A16BA13" w14:textId="77777777">
                        <w:trPr>
                          <w:trHeight w:val="1036"/>
                        </w:trPr>
                        <w:tc>
                          <w:tcPr>
                            <w:tcW w:w="1527" w:type="dxa"/>
                            <w:gridSpan w:val="2"/>
                            <w:tcBorders>
                              <w:top w:val="single" w:sz="4" w:space="0" w:color="000000"/>
                              <w:left w:val="none" w:sz="6" w:space="0" w:color="auto"/>
                              <w:bottom w:val="single" w:sz="12" w:space="0" w:color="000000"/>
                              <w:right w:val="single" w:sz="4" w:space="0" w:color="000000"/>
                            </w:tcBorders>
                          </w:tcPr>
                          <w:p w14:paraId="494DB792" w14:textId="77777777" w:rsidR="00765D0B" w:rsidRDefault="00765D0B">
                            <w:pPr>
                              <w:kinsoku w:val="0"/>
                              <w:overflowPunct w:val="0"/>
                              <w:spacing w:before="2"/>
                              <w:rPr>
                                <w:b/>
                                <w:bCs/>
                              </w:rPr>
                            </w:pPr>
                          </w:p>
                          <w:p w14:paraId="5C12AF8A" w14:textId="77777777" w:rsidR="00765D0B" w:rsidRDefault="00765D0B">
                            <w:pPr>
                              <w:kinsoku w:val="0"/>
                              <w:overflowPunct w:val="0"/>
                              <w:ind w:left="124"/>
                            </w:pPr>
                            <w:r>
                              <w:rPr>
                                <w:szCs w:val="22"/>
                              </w:rPr>
                              <w:t>M (9 mg/m</w:t>
                            </w:r>
                            <w:r>
                              <w:rPr>
                                <w:szCs w:val="22"/>
                                <w:vertAlign w:val="superscript"/>
                              </w:rPr>
                              <w:t>2</w:t>
                            </w:r>
                            <w:r>
                              <w:rPr>
                                <w:szCs w:val="22"/>
                              </w:rPr>
                              <w:t xml:space="preserve">) </w:t>
                            </w:r>
                          </w:p>
                          <w:p w14:paraId="45883C06" w14:textId="276EADEA" w:rsidR="00765D0B" w:rsidRDefault="00765D0B">
                            <w:pPr>
                              <w:kinsoku w:val="0"/>
                              <w:overflowPunct w:val="0"/>
                              <w:ind w:left="124"/>
                            </w:pPr>
                            <w:r>
                              <w:rPr>
                                <w:szCs w:val="22"/>
                              </w:rPr>
                              <w:t>P (60 mg/m</w:t>
                            </w:r>
                            <w:r>
                              <w:rPr>
                                <w:szCs w:val="22"/>
                                <w:vertAlign w:val="superscript"/>
                              </w:rPr>
                              <w:t>2</w:t>
                            </w:r>
                            <w:r>
                              <w:rPr>
                                <w:szCs w:val="22"/>
                              </w:rPr>
                              <w:t>)</w:t>
                            </w:r>
                          </w:p>
                        </w:tc>
                        <w:tc>
                          <w:tcPr>
                            <w:tcW w:w="666" w:type="dxa"/>
                            <w:tcBorders>
                              <w:top w:val="single" w:sz="4" w:space="0" w:color="000000"/>
                              <w:left w:val="single" w:sz="4" w:space="0" w:color="000000"/>
                              <w:bottom w:val="single" w:sz="12" w:space="0" w:color="000000"/>
                              <w:right w:val="none" w:sz="6" w:space="0" w:color="auto"/>
                            </w:tcBorders>
                          </w:tcPr>
                          <w:p w14:paraId="167396D0" w14:textId="77777777" w:rsidR="00765D0B" w:rsidRDefault="00765D0B">
                            <w:pPr>
                              <w:kinsoku w:val="0"/>
                              <w:overflowPunct w:val="0"/>
                              <w:spacing w:line="237" w:lineRule="auto"/>
                              <w:ind w:left="119" w:right="155"/>
                            </w:pPr>
                            <w:r>
                              <w:rPr>
                                <w:szCs w:val="22"/>
                              </w:rPr>
                              <w:t>Dan 1</w:t>
                            </w:r>
                          </w:p>
                        </w:tc>
                        <w:tc>
                          <w:tcPr>
                            <w:tcW w:w="735" w:type="dxa"/>
                            <w:tcBorders>
                              <w:top w:val="single" w:sz="4" w:space="0" w:color="000000"/>
                              <w:left w:val="none" w:sz="6" w:space="0" w:color="auto"/>
                              <w:bottom w:val="single" w:sz="12" w:space="0" w:color="000000"/>
                              <w:right w:val="none" w:sz="6" w:space="0" w:color="auto"/>
                            </w:tcBorders>
                          </w:tcPr>
                          <w:p w14:paraId="6B6D5ADD" w14:textId="77777777" w:rsidR="00765D0B" w:rsidRDefault="00765D0B">
                            <w:pPr>
                              <w:kinsoku w:val="0"/>
                              <w:overflowPunct w:val="0"/>
                              <w:spacing w:line="237" w:lineRule="auto"/>
                              <w:ind w:left="202" w:right="146"/>
                            </w:pPr>
                            <w:r>
                              <w:rPr>
                                <w:szCs w:val="22"/>
                              </w:rPr>
                              <w:t>Dan 2</w:t>
                            </w:r>
                          </w:p>
                        </w:tc>
                        <w:tc>
                          <w:tcPr>
                            <w:tcW w:w="719" w:type="dxa"/>
                            <w:tcBorders>
                              <w:top w:val="single" w:sz="4" w:space="0" w:color="000000"/>
                              <w:left w:val="none" w:sz="6" w:space="0" w:color="auto"/>
                              <w:bottom w:val="single" w:sz="12" w:space="0" w:color="000000"/>
                              <w:right w:val="none" w:sz="6" w:space="0" w:color="auto"/>
                            </w:tcBorders>
                          </w:tcPr>
                          <w:p w14:paraId="5D43BE0E" w14:textId="77777777" w:rsidR="00765D0B" w:rsidRDefault="00765D0B">
                            <w:pPr>
                              <w:kinsoku w:val="0"/>
                              <w:overflowPunct w:val="0"/>
                              <w:spacing w:line="237" w:lineRule="auto"/>
                              <w:ind w:left="187" w:right="145"/>
                            </w:pPr>
                            <w:r>
                              <w:rPr>
                                <w:szCs w:val="22"/>
                              </w:rPr>
                              <w:t>Dan 3</w:t>
                            </w:r>
                          </w:p>
                        </w:tc>
                        <w:tc>
                          <w:tcPr>
                            <w:tcW w:w="768" w:type="dxa"/>
                            <w:tcBorders>
                              <w:top w:val="single" w:sz="4" w:space="0" w:color="000000"/>
                              <w:left w:val="none" w:sz="6" w:space="0" w:color="auto"/>
                              <w:bottom w:val="single" w:sz="12" w:space="0" w:color="000000"/>
                              <w:right w:val="single" w:sz="4" w:space="0" w:color="000000"/>
                            </w:tcBorders>
                          </w:tcPr>
                          <w:p w14:paraId="0ADEFCFA" w14:textId="77777777" w:rsidR="00765D0B" w:rsidRDefault="00765D0B">
                            <w:pPr>
                              <w:kinsoku w:val="0"/>
                              <w:overflowPunct w:val="0"/>
                              <w:spacing w:line="237" w:lineRule="auto"/>
                              <w:ind w:left="188" w:right="188"/>
                            </w:pPr>
                            <w:r>
                              <w:rPr>
                                <w:szCs w:val="22"/>
                              </w:rPr>
                              <w:t>Dan 4</w:t>
                            </w:r>
                          </w:p>
                        </w:tc>
                        <w:tc>
                          <w:tcPr>
                            <w:tcW w:w="663" w:type="dxa"/>
                            <w:tcBorders>
                              <w:top w:val="single" w:sz="4" w:space="0" w:color="000000"/>
                              <w:left w:val="single" w:sz="4" w:space="0" w:color="000000"/>
                              <w:bottom w:val="single" w:sz="12" w:space="0" w:color="000000"/>
                              <w:right w:val="none" w:sz="6" w:space="0" w:color="auto"/>
                            </w:tcBorders>
                          </w:tcPr>
                          <w:p w14:paraId="279BA6CA" w14:textId="77777777" w:rsidR="00765D0B" w:rsidRDefault="00765D0B">
                            <w:pPr>
                              <w:kinsoku w:val="0"/>
                              <w:overflowPunct w:val="0"/>
                              <w:ind w:left="116"/>
                            </w:pPr>
                            <w:r>
                              <w:rPr>
                                <w:szCs w:val="22"/>
                              </w:rPr>
                              <w:t>--</w:t>
                            </w:r>
                          </w:p>
                        </w:tc>
                        <w:tc>
                          <w:tcPr>
                            <w:tcW w:w="691" w:type="dxa"/>
                            <w:tcBorders>
                              <w:top w:val="single" w:sz="4" w:space="0" w:color="000000"/>
                              <w:left w:val="none" w:sz="6" w:space="0" w:color="auto"/>
                              <w:bottom w:val="single" w:sz="12" w:space="0" w:color="000000"/>
                              <w:right w:val="single" w:sz="4" w:space="0" w:color="000000"/>
                            </w:tcBorders>
                          </w:tcPr>
                          <w:p w14:paraId="195A4E0E" w14:textId="77777777" w:rsidR="00765D0B" w:rsidRDefault="00765D0B">
                            <w:pPr>
                              <w:kinsoku w:val="0"/>
                              <w:overflowPunct w:val="0"/>
                              <w:ind w:left="197"/>
                            </w:pPr>
                            <w:r>
                              <w:rPr>
                                <w:szCs w:val="22"/>
                              </w:rPr>
                              <w:t>--</w:t>
                            </w:r>
                          </w:p>
                        </w:tc>
                        <w:tc>
                          <w:tcPr>
                            <w:tcW w:w="807" w:type="dxa"/>
                            <w:tcBorders>
                              <w:top w:val="single" w:sz="4" w:space="0" w:color="000000"/>
                              <w:left w:val="single" w:sz="4" w:space="0" w:color="000000"/>
                              <w:bottom w:val="single" w:sz="12" w:space="0" w:color="000000"/>
                              <w:right w:val="single" w:sz="4" w:space="0" w:color="000000"/>
                            </w:tcBorders>
                          </w:tcPr>
                          <w:p w14:paraId="38712B2E" w14:textId="77777777" w:rsidR="00765D0B" w:rsidRDefault="00765D0B">
                            <w:pPr>
                              <w:kinsoku w:val="0"/>
                              <w:overflowPunct w:val="0"/>
                              <w:ind w:left="110"/>
                            </w:pPr>
                            <w:r>
                              <w:rPr>
                                <w:szCs w:val="22"/>
                              </w:rPr>
                              <w:t>pauza</w:t>
                            </w:r>
                          </w:p>
                        </w:tc>
                        <w:tc>
                          <w:tcPr>
                            <w:tcW w:w="663" w:type="dxa"/>
                            <w:tcBorders>
                              <w:top w:val="single" w:sz="4" w:space="0" w:color="000000"/>
                              <w:left w:val="single" w:sz="4" w:space="0" w:color="000000"/>
                              <w:bottom w:val="single" w:sz="12" w:space="0" w:color="000000"/>
                              <w:right w:val="none" w:sz="6" w:space="0" w:color="auto"/>
                            </w:tcBorders>
                          </w:tcPr>
                          <w:p w14:paraId="6892511C" w14:textId="77777777" w:rsidR="00765D0B" w:rsidRDefault="00765D0B">
                            <w:pPr>
                              <w:kinsoku w:val="0"/>
                              <w:overflowPunct w:val="0"/>
                            </w:pPr>
                            <w:r>
                              <w:rPr>
                                <w:szCs w:val="22"/>
                              </w:rPr>
                              <w:t>--</w:t>
                            </w:r>
                          </w:p>
                        </w:tc>
                        <w:tc>
                          <w:tcPr>
                            <w:tcW w:w="691" w:type="dxa"/>
                            <w:tcBorders>
                              <w:top w:val="single" w:sz="4" w:space="0" w:color="000000"/>
                              <w:left w:val="none" w:sz="6" w:space="0" w:color="auto"/>
                              <w:bottom w:val="single" w:sz="12" w:space="0" w:color="000000"/>
                              <w:right w:val="single" w:sz="4" w:space="0" w:color="000000"/>
                            </w:tcBorders>
                          </w:tcPr>
                          <w:p w14:paraId="503E915D" w14:textId="77777777" w:rsidR="00765D0B" w:rsidRDefault="00765D0B">
                            <w:pPr>
                              <w:kinsoku w:val="0"/>
                              <w:overflowPunct w:val="0"/>
                              <w:ind w:left="196"/>
                            </w:pPr>
                            <w:r>
                              <w:rPr>
                                <w:szCs w:val="22"/>
                              </w:rPr>
                              <w:t>--</w:t>
                            </w:r>
                          </w:p>
                        </w:tc>
                        <w:tc>
                          <w:tcPr>
                            <w:tcW w:w="704" w:type="dxa"/>
                            <w:tcBorders>
                              <w:top w:val="single" w:sz="4" w:space="0" w:color="000000"/>
                              <w:left w:val="single" w:sz="4" w:space="0" w:color="000000"/>
                              <w:bottom w:val="single" w:sz="12" w:space="0" w:color="000000"/>
                              <w:right w:val="none" w:sz="6" w:space="0" w:color="auto"/>
                            </w:tcBorders>
                          </w:tcPr>
                          <w:p w14:paraId="0B5B6FBC" w14:textId="77777777" w:rsidR="00765D0B" w:rsidRDefault="00765D0B">
                            <w:pPr>
                              <w:kinsoku w:val="0"/>
                              <w:overflowPunct w:val="0"/>
                              <w:ind w:left="109"/>
                            </w:pPr>
                            <w:r>
                              <w:rPr>
                                <w:szCs w:val="22"/>
                              </w:rPr>
                              <w:t>--</w:t>
                            </w:r>
                          </w:p>
                        </w:tc>
                        <w:tc>
                          <w:tcPr>
                            <w:tcW w:w="737" w:type="dxa"/>
                            <w:tcBorders>
                              <w:top w:val="single" w:sz="4" w:space="0" w:color="000000"/>
                              <w:left w:val="none" w:sz="6" w:space="0" w:color="auto"/>
                              <w:bottom w:val="single" w:sz="12" w:space="0" w:color="000000"/>
                              <w:right w:val="single" w:sz="4" w:space="0" w:color="000000"/>
                            </w:tcBorders>
                          </w:tcPr>
                          <w:p w14:paraId="4DDA35B2" w14:textId="77777777" w:rsidR="00765D0B" w:rsidRDefault="00765D0B">
                            <w:pPr>
                              <w:kinsoku w:val="0"/>
                              <w:overflowPunct w:val="0"/>
                              <w:ind w:left="241"/>
                            </w:pPr>
                            <w:r>
                              <w:rPr>
                                <w:szCs w:val="22"/>
                              </w:rPr>
                              <w:t>--</w:t>
                            </w:r>
                          </w:p>
                        </w:tc>
                        <w:tc>
                          <w:tcPr>
                            <w:tcW w:w="807" w:type="dxa"/>
                            <w:tcBorders>
                              <w:top w:val="single" w:sz="4" w:space="0" w:color="000000"/>
                              <w:left w:val="single" w:sz="4" w:space="0" w:color="000000"/>
                              <w:bottom w:val="single" w:sz="12" w:space="0" w:color="000000"/>
                              <w:right w:val="none" w:sz="6" w:space="0" w:color="auto"/>
                            </w:tcBorders>
                          </w:tcPr>
                          <w:p w14:paraId="474AC28F" w14:textId="77777777" w:rsidR="00765D0B" w:rsidRDefault="00765D0B">
                            <w:pPr>
                              <w:kinsoku w:val="0"/>
                              <w:overflowPunct w:val="0"/>
                              <w:ind w:left="108"/>
                            </w:pPr>
                            <w:r>
                              <w:rPr>
                                <w:szCs w:val="22"/>
                              </w:rPr>
                              <w:t>pauza</w:t>
                            </w:r>
                          </w:p>
                        </w:tc>
                      </w:tr>
                    </w:tbl>
                    <w:p w14:paraId="74ED215F" w14:textId="77777777" w:rsidR="00765D0B" w:rsidRDefault="00765D0B" w:rsidP="00DF2F42">
                      <w:pPr>
                        <w:pStyle w:val="BodyText"/>
                        <w:kinsoku w:val="0"/>
                        <w:overflowPunct w:val="0"/>
                        <w:rPr>
                          <w:b/>
                          <w:bCs/>
                          <w:sz w:val="24"/>
                        </w:rPr>
                      </w:pPr>
                    </w:p>
                  </w:txbxContent>
                </v:textbox>
                <w10:anchorlock/>
              </v:shape>
            </w:pict>
          </mc:Fallback>
        </mc:AlternateContent>
      </w:r>
    </w:p>
    <w:p w14:paraId="77719D94" w14:textId="1810CD27" w:rsidR="00DF2F42" w:rsidRPr="000D3D7F" w:rsidRDefault="003E6BD8" w:rsidP="001E1F5A">
      <w:pPr>
        <w:rPr>
          <w:szCs w:val="22"/>
          <w:lang w:val="sr-Latn-ME"/>
        </w:rPr>
      </w:pPr>
      <w:r w:rsidRPr="000D3D7F">
        <w:rPr>
          <w:b/>
          <w:bCs/>
          <w:szCs w:val="22"/>
          <w:lang w:val="sr-Latn-ME"/>
        </w:rPr>
        <w:t>L</w:t>
      </w:r>
      <w:r w:rsidR="004C040C" w:rsidRPr="000D3D7F">
        <w:rPr>
          <w:b/>
          <w:bCs/>
          <w:szCs w:val="22"/>
          <w:lang w:val="sr-Latn-ME"/>
        </w:rPr>
        <w:t>ij</w:t>
      </w:r>
      <w:r w:rsidRPr="000D3D7F">
        <w:rPr>
          <w:b/>
          <w:bCs/>
          <w:szCs w:val="22"/>
          <w:lang w:val="sr-Latn-ME"/>
        </w:rPr>
        <w:t xml:space="preserve">ek </w:t>
      </w:r>
      <w:r w:rsidR="00353A78" w:rsidRPr="000D3D7F">
        <w:rPr>
          <w:b/>
          <w:bCs/>
          <w:szCs w:val="22"/>
          <w:lang w:val="sr-Latn-ME"/>
        </w:rPr>
        <w:t>Bortegaz</w:t>
      </w:r>
      <w:r w:rsidRPr="000D3D7F">
        <w:rPr>
          <w:b/>
          <w:bCs/>
          <w:szCs w:val="22"/>
          <w:lang w:val="sr-Latn-ME"/>
        </w:rPr>
        <w:t xml:space="preserve"> prim</w:t>
      </w:r>
      <w:r w:rsidR="004C040C" w:rsidRPr="000D3D7F">
        <w:rPr>
          <w:b/>
          <w:bCs/>
          <w:szCs w:val="22"/>
          <w:lang w:val="sr-Latn-ME"/>
        </w:rPr>
        <w:t>ij</w:t>
      </w:r>
      <w:r w:rsidRPr="000D3D7F">
        <w:rPr>
          <w:b/>
          <w:bCs/>
          <w:szCs w:val="22"/>
          <w:lang w:val="sr-Latn-ME"/>
        </w:rPr>
        <w:t>enjen jednom ned</w:t>
      </w:r>
      <w:r w:rsidR="004C040C" w:rsidRPr="000D3D7F">
        <w:rPr>
          <w:b/>
          <w:bCs/>
          <w:szCs w:val="22"/>
          <w:lang w:val="sr-Latn-ME"/>
        </w:rPr>
        <w:t>j</w:t>
      </w:r>
      <w:r w:rsidRPr="000D3D7F">
        <w:rPr>
          <w:b/>
          <w:bCs/>
          <w:szCs w:val="22"/>
          <w:lang w:val="sr-Latn-ME"/>
        </w:rPr>
        <w:t>eljno (Ciklus 5-9)</w:t>
      </w:r>
    </w:p>
    <w:tbl>
      <w:tblPr>
        <w:tblW w:w="10178" w:type="dxa"/>
        <w:tblLayout w:type="fixed"/>
        <w:tblCellMar>
          <w:left w:w="0" w:type="dxa"/>
          <w:right w:w="0" w:type="dxa"/>
        </w:tblCellMar>
        <w:tblLook w:val="0000" w:firstRow="0" w:lastRow="0" w:firstColumn="0" w:lastColumn="0" w:noHBand="0" w:noVBand="0"/>
      </w:tblPr>
      <w:tblGrid>
        <w:gridCol w:w="937"/>
        <w:gridCol w:w="590"/>
        <w:gridCol w:w="666"/>
        <w:gridCol w:w="735"/>
        <w:gridCol w:w="719"/>
        <w:gridCol w:w="768"/>
        <w:gridCol w:w="1354"/>
        <w:gridCol w:w="807"/>
        <w:gridCol w:w="1354"/>
        <w:gridCol w:w="1441"/>
        <w:gridCol w:w="807"/>
      </w:tblGrid>
      <w:tr w:rsidR="003E6BD8" w:rsidRPr="000D3D7F" w14:paraId="30A0E2DB" w14:textId="77777777" w:rsidTr="003E6BD8">
        <w:trPr>
          <w:trHeight w:val="253"/>
        </w:trPr>
        <w:tc>
          <w:tcPr>
            <w:tcW w:w="1527" w:type="dxa"/>
            <w:gridSpan w:val="2"/>
            <w:tcBorders>
              <w:top w:val="single" w:sz="12" w:space="0" w:color="000000"/>
              <w:left w:val="none" w:sz="6" w:space="0" w:color="auto"/>
              <w:bottom w:val="single" w:sz="4" w:space="0" w:color="000000"/>
              <w:right w:val="single" w:sz="4" w:space="0" w:color="000000"/>
            </w:tcBorders>
          </w:tcPr>
          <w:p w14:paraId="6245A99A" w14:textId="579B095D" w:rsidR="003E6BD8" w:rsidRPr="000D3D7F" w:rsidRDefault="003E6BD8" w:rsidP="001E1F5A">
            <w:pPr>
              <w:kinsoku w:val="0"/>
              <w:overflowPunct w:val="0"/>
              <w:spacing w:line="234" w:lineRule="exact"/>
              <w:ind w:left="124"/>
              <w:rPr>
                <w:lang w:val="sr-Latn-ME"/>
              </w:rPr>
            </w:pPr>
            <w:r w:rsidRPr="000D3D7F">
              <w:rPr>
                <w:szCs w:val="22"/>
                <w:lang w:val="sr-Latn-ME"/>
              </w:rPr>
              <w:t>Ned</w:t>
            </w:r>
            <w:r w:rsidR="004C040C" w:rsidRPr="000D3D7F">
              <w:rPr>
                <w:szCs w:val="22"/>
                <w:lang w:val="sr-Latn-ME"/>
              </w:rPr>
              <w:t>j</w:t>
            </w:r>
            <w:r w:rsidRPr="000D3D7F">
              <w:rPr>
                <w:szCs w:val="22"/>
                <w:lang w:val="sr-Latn-ME"/>
              </w:rPr>
              <w:t>elja</w:t>
            </w:r>
          </w:p>
        </w:tc>
        <w:tc>
          <w:tcPr>
            <w:tcW w:w="2888" w:type="dxa"/>
            <w:gridSpan w:val="4"/>
            <w:tcBorders>
              <w:top w:val="single" w:sz="12" w:space="0" w:color="000000"/>
              <w:left w:val="single" w:sz="4" w:space="0" w:color="000000"/>
              <w:bottom w:val="single" w:sz="4" w:space="0" w:color="000000"/>
              <w:right w:val="single" w:sz="4" w:space="0" w:color="000000"/>
            </w:tcBorders>
          </w:tcPr>
          <w:p w14:paraId="25886C7D" w14:textId="77777777" w:rsidR="003E6BD8" w:rsidRPr="000D3D7F" w:rsidRDefault="003E6BD8" w:rsidP="001E1F5A">
            <w:pPr>
              <w:kinsoku w:val="0"/>
              <w:overflowPunct w:val="0"/>
              <w:spacing w:line="234" w:lineRule="exact"/>
              <w:ind w:left="119"/>
              <w:rPr>
                <w:lang w:val="sr-Latn-ME"/>
              </w:rPr>
            </w:pPr>
            <w:r w:rsidRPr="000D3D7F">
              <w:rPr>
                <w:szCs w:val="22"/>
                <w:lang w:val="sr-Latn-ME"/>
              </w:rPr>
              <w:t>1</w:t>
            </w:r>
          </w:p>
        </w:tc>
        <w:tc>
          <w:tcPr>
            <w:tcW w:w="1354" w:type="dxa"/>
            <w:tcBorders>
              <w:top w:val="single" w:sz="12" w:space="0" w:color="000000"/>
              <w:left w:val="single" w:sz="4" w:space="0" w:color="000000"/>
              <w:bottom w:val="single" w:sz="4" w:space="0" w:color="000000"/>
              <w:right w:val="single" w:sz="4" w:space="0" w:color="000000"/>
            </w:tcBorders>
          </w:tcPr>
          <w:p w14:paraId="7DB6AE54" w14:textId="77777777" w:rsidR="003E6BD8" w:rsidRPr="000D3D7F" w:rsidRDefault="003E6BD8" w:rsidP="001E1F5A">
            <w:pPr>
              <w:kinsoku w:val="0"/>
              <w:overflowPunct w:val="0"/>
              <w:spacing w:line="234" w:lineRule="exact"/>
              <w:ind w:left="116"/>
              <w:rPr>
                <w:lang w:val="sr-Latn-ME"/>
              </w:rPr>
            </w:pPr>
            <w:r w:rsidRPr="000D3D7F">
              <w:rPr>
                <w:szCs w:val="22"/>
                <w:lang w:val="sr-Latn-ME"/>
              </w:rPr>
              <w:t>2</w:t>
            </w:r>
          </w:p>
        </w:tc>
        <w:tc>
          <w:tcPr>
            <w:tcW w:w="807" w:type="dxa"/>
            <w:tcBorders>
              <w:top w:val="single" w:sz="12" w:space="0" w:color="000000"/>
              <w:left w:val="single" w:sz="4" w:space="0" w:color="000000"/>
              <w:bottom w:val="single" w:sz="4" w:space="0" w:color="000000"/>
              <w:right w:val="single" w:sz="4" w:space="0" w:color="000000"/>
            </w:tcBorders>
          </w:tcPr>
          <w:p w14:paraId="644AD230" w14:textId="77777777" w:rsidR="003E6BD8" w:rsidRPr="000D3D7F" w:rsidRDefault="003E6BD8" w:rsidP="001E1F5A">
            <w:pPr>
              <w:kinsoku w:val="0"/>
              <w:overflowPunct w:val="0"/>
              <w:spacing w:line="234" w:lineRule="exact"/>
              <w:ind w:left="110"/>
              <w:rPr>
                <w:lang w:val="sr-Latn-ME"/>
              </w:rPr>
            </w:pPr>
            <w:r w:rsidRPr="000D3D7F">
              <w:rPr>
                <w:szCs w:val="22"/>
                <w:lang w:val="sr-Latn-ME"/>
              </w:rPr>
              <w:t>3</w:t>
            </w:r>
          </w:p>
        </w:tc>
        <w:tc>
          <w:tcPr>
            <w:tcW w:w="1354" w:type="dxa"/>
            <w:tcBorders>
              <w:top w:val="single" w:sz="12" w:space="0" w:color="000000"/>
              <w:left w:val="single" w:sz="4" w:space="0" w:color="000000"/>
              <w:bottom w:val="single" w:sz="4" w:space="0" w:color="000000"/>
              <w:right w:val="single" w:sz="4" w:space="0" w:color="000000"/>
            </w:tcBorders>
          </w:tcPr>
          <w:p w14:paraId="256E5714" w14:textId="77777777" w:rsidR="003E6BD8" w:rsidRPr="000D3D7F" w:rsidRDefault="003E6BD8" w:rsidP="001E1F5A">
            <w:pPr>
              <w:kinsoku w:val="0"/>
              <w:overflowPunct w:val="0"/>
              <w:spacing w:line="234" w:lineRule="exact"/>
              <w:rPr>
                <w:lang w:val="sr-Latn-ME"/>
              </w:rPr>
            </w:pPr>
            <w:r w:rsidRPr="000D3D7F">
              <w:rPr>
                <w:szCs w:val="22"/>
                <w:lang w:val="sr-Latn-ME"/>
              </w:rPr>
              <w:t>4</w:t>
            </w:r>
          </w:p>
        </w:tc>
        <w:tc>
          <w:tcPr>
            <w:tcW w:w="1441" w:type="dxa"/>
            <w:tcBorders>
              <w:top w:val="single" w:sz="12" w:space="0" w:color="000000"/>
              <w:left w:val="single" w:sz="4" w:space="0" w:color="000000"/>
              <w:bottom w:val="single" w:sz="4" w:space="0" w:color="000000"/>
              <w:right w:val="single" w:sz="4" w:space="0" w:color="000000"/>
            </w:tcBorders>
          </w:tcPr>
          <w:p w14:paraId="150F535D" w14:textId="77777777" w:rsidR="003E6BD8" w:rsidRPr="000D3D7F" w:rsidRDefault="003E6BD8" w:rsidP="001E1F5A">
            <w:pPr>
              <w:kinsoku w:val="0"/>
              <w:overflowPunct w:val="0"/>
              <w:spacing w:line="234" w:lineRule="exact"/>
              <w:ind w:left="109"/>
              <w:rPr>
                <w:lang w:val="sr-Latn-ME"/>
              </w:rPr>
            </w:pPr>
            <w:r w:rsidRPr="000D3D7F">
              <w:rPr>
                <w:szCs w:val="22"/>
                <w:lang w:val="sr-Latn-ME"/>
              </w:rPr>
              <w:t>5</w:t>
            </w:r>
          </w:p>
        </w:tc>
        <w:tc>
          <w:tcPr>
            <w:tcW w:w="807" w:type="dxa"/>
            <w:tcBorders>
              <w:top w:val="single" w:sz="12" w:space="0" w:color="000000"/>
              <w:left w:val="single" w:sz="4" w:space="0" w:color="000000"/>
              <w:bottom w:val="single" w:sz="4" w:space="0" w:color="000000"/>
              <w:right w:val="none" w:sz="6" w:space="0" w:color="auto"/>
            </w:tcBorders>
          </w:tcPr>
          <w:p w14:paraId="07FDDA00" w14:textId="77777777" w:rsidR="003E6BD8" w:rsidRPr="000D3D7F" w:rsidRDefault="003E6BD8" w:rsidP="001E1F5A">
            <w:pPr>
              <w:kinsoku w:val="0"/>
              <w:overflowPunct w:val="0"/>
              <w:spacing w:line="234" w:lineRule="exact"/>
              <w:ind w:left="108"/>
              <w:rPr>
                <w:lang w:val="sr-Latn-ME"/>
              </w:rPr>
            </w:pPr>
            <w:r w:rsidRPr="000D3D7F">
              <w:rPr>
                <w:szCs w:val="22"/>
                <w:lang w:val="sr-Latn-ME"/>
              </w:rPr>
              <w:t>6</w:t>
            </w:r>
          </w:p>
        </w:tc>
      </w:tr>
      <w:tr w:rsidR="003E6BD8" w:rsidRPr="000D3D7F" w14:paraId="4198502B" w14:textId="77777777" w:rsidTr="00353A78">
        <w:trPr>
          <w:trHeight w:val="508"/>
        </w:trPr>
        <w:tc>
          <w:tcPr>
            <w:tcW w:w="937" w:type="dxa"/>
            <w:tcBorders>
              <w:top w:val="single" w:sz="4" w:space="0" w:color="000000"/>
              <w:left w:val="none" w:sz="6" w:space="0" w:color="auto"/>
              <w:bottom w:val="single" w:sz="4" w:space="0" w:color="000000"/>
              <w:right w:val="none" w:sz="6" w:space="0" w:color="auto"/>
            </w:tcBorders>
          </w:tcPr>
          <w:p w14:paraId="272BAF85" w14:textId="57774779" w:rsidR="003E6BD8" w:rsidRPr="000D3D7F" w:rsidRDefault="00E41CA8" w:rsidP="001E1F5A">
            <w:pPr>
              <w:kinsoku w:val="0"/>
              <w:overflowPunct w:val="0"/>
              <w:ind w:left="124"/>
              <w:rPr>
                <w:lang w:val="sr-Latn-ME"/>
              </w:rPr>
            </w:pPr>
            <w:r w:rsidRPr="000D3D7F">
              <w:rPr>
                <w:szCs w:val="22"/>
                <w:lang w:val="sr-Latn-ME"/>
              </w:rPr>
              <w:t>B</w:t>
            </w:r>
            <w:r w:rsidR="00D81C8F" w:rsidRPr="000D3D7F">
              <w:rPr>
                <w:szCs w:val="22"/>
                <w:lang w:val="sr-Latn-ME"/>
              </w:rPr>
              <w:t>z</w:t>
            </w:r>
          </w:p>
          <w:p w14:paraId="51F9517D" w14:textId="77777777" w:rsidR="003E6BD8" w:rsidRPr="000D3D7F" w:rsidRDefault="003E6BD8" w:rsidP="001E1F5A">
            <w:pPr>
              <w:kinsoku w:val="0"/>
              <w:overflowPunct w:val="0"/>
              <w:spacing w:before="1" w:line="243" w:lineRule="exact"/>
              <w:ind w:left="124"/>
              <w:rPr>
                <w:lang w:val="sr-Latn-ME"/>
              </w:rPr>
            </w:pPr>
            <w:r w:rsidRPr="000D3D7F">
              <w:rPr>
                <w:szCs w:val="22"/>
                <w:lang w:val="sr-Latn-ME"/>
              </w:rPr>
              <w:t>mg/m</w:t>
            </w:r>
            <w:r w:rsidRPr="000D3D7F">
              <w:rPr>
                <w:szCs w:val="22"/>
                <w:vertAlign w:val="superscript"/>
                <w:lang w:val="sr-Latn-ME"/>
              </w:rPr>
              <w:t>2</w:t>
            </w:r>
            <w:r w:rsidRPr="000D3D7F">
              <w:rPr>
                <w:szCs w:val="22"/>
                <w:lang w:val="sr-Latn-ME"/>
              </w:rPr>
              <w:t>)</w:t>
            </w:r>
          </w:p>
        </w:tc>
        <w:tc>
          <w:tcPr>
            <w:tcW w:w="590" w:type="dxa"/>
            <w:tcBorders>
              <w:top w:val="single" w:sz="4" w:space="0" w:color="000000"/>
              <w:left w:val="none" w:sz="6" w:space="0" w:color="auto"/>
              <w:bottom w:val="single" w:sz="4" w:space="0" w:color="000000"/>
              <w:right w:val="single" w:sz="4" w:space="0" w:color="000000"/>
            </w:tcBorders>
          </w:tcPr>
          <w:p w14:paraId="64B80FE2" w14:textId="77777777" w:rsidR="003E6BD8" w:rsidRPr="000D3D7F" w:rsidRDefault="003E6BD8" w:rsidP="001E1F5A">
            <w:pPr>
              <w:kinsoku w:val="0"/>
              <w:overflowPunct w:val="0"/>
              <w:ind w:left="147"/>
              <w:rPr>
                <w:lang w:val="sr-Latn-ME"/>
              </w:rPr>
            </w:pPr>
            <w:r w:rsidRPr="000D3D7F">
              <w:rPr>
                <w:szCs w:val="22"/>
                <w:lang w:val="sr-Latn-ME"/>
              </w:rPr>
              <w:t>(1,3</w:t>
            </w:r>
          </w:p>
        </w:tc>
        <w:tc>
          <w:tcPr>
            <w:tcW w:w="666" w:type="dxa"/>
            <w:tcBorders>
              <w:top w:val="single" w:sz="4" w:space="0" w:color="000000"/>
              <w:left w:val="single" w:sz="4" w:space="0" w:color="000000"/>
              <w:bottom w:val="single" w:sz="4" w:space="0" w:color="000000"/>
              <w:right w:val="none" w:sz="6" w:space="0" w:color="auto"/>
            </w:tcBorders>
          </w:tcPr>
          <w:p w14:paraId="04464B63" w14:textId="77777777" w:rsidR="003E6BD8" w:rsidRPr="000D3D7F" w:rsidRDefault="003E6BD8" w:rsidP="001E1F5A">
            <w:pPr>
              <w:kinsoku w:val="0"/>
              <w:overflowPunct w:val="0"/>
              <w:ind w:left="119"/>
              <w:rPr>
                <w:lang w:val="sr-Latn-ME"/>
              </w:rPr>
            </w:pPr>
            <w:r w:rsidRPr="000D3D7F">
              <w:rPr>
                <w:szCs w:val="22"/>
                <w:lang w:val="sr-Latn-ME"/>
              </w:rPr>
              <w:t>Dan</w:t>
            </w:r>
          </w:p>
          <w:p w14:paraId="17C6D93A" w14:textId="77777777" w:rsidR="003E6BD8" w:rsidRPr="000D3D7F" w:rsidRDefault="003E6BD8" w:rsidP="001E1F5A">
            <w:pPr>
              <w:kinsoku w:val="0"/>
              <w:overflowPunct w:val="0"/>
              <w:spacing w:before="1" w:line="243" w:lineRule="exact"/>
              <w:ind w:left="119"/>
              <w:rPr>
                <w:lang w:val="sr-Latn-ME"/>
              </w:rPr>
            </w:pPr>
            <w:r w:rsidRPr="000D3D7F">
              <w:rPr>
                <w:szCs w:val="22"/>
                <w:lang w:val="sr-Latn-ME"/>
              </w:rPr>
              <w:t>1</w:t>
            </w:r>
          </w:p>
        </w:tc>
        <w:tc>
          <w:tcPr>
            <w:tcW w:w="735" w:type="dxa"/>
            <w:tcBorders>
              <w:top w:val="single" w:sz="4" w:space="0" w:color="000000"/>
              <w:left w:val="none" w:sz="6" w:space="0" w:color="auto"/>
              <w:bottom w:val="single" w:sz="4" w:space="0" w:color="000000"/>
              <w:right w:val="none" w:sz="6" w:space="0" w:color="auto"/>
            </w:tcBorders>
          </w:tcPr>
          <w:p w14:paraId="42884BC1" w14:textId="77777777" w:rsidR="003E6BD8" w:rsidRPr="000D3D7F" w:rsidRDefault="003E6BD8" w:rsidP="001E1F5A">
            <w:pPr>
              <w:kinsoku w:val="0"/>
              <w:overflowPunct w:val="0"/>
              <w:ind w:left="202"/>
              <w:rPr>
                <w:lang w:val="sr-Latn-ME"/>
              </w:rPr>
            </w:pPr>
            <w:r w:rsidRPr="000D3D7F">
              <w:rPr>
                <w:szCs w:val="22"/>
                <w:lang w:val="sr-Latn-ME"/>
              </w:rPr>
              <w:t>--</w:t>
            </w:r>
          </w:p>
        </w:tc>
        <w:tc>
          <w:tcPr>
            <w:tcW w:w="719" w:type="dxa"/>
            <w:tcBorders>
              <w:top w:val="single" w:sz="4" w:space="0" w:color="000000"/>
              <w:left w:val="none" w:sz="6" w:space="0" w:color="auto"/>
              <w:bottom w:val="single" w:sz="4" w:space="0" w:color="000000"/>
              <w:right w:val="none" w:sz="6" w:space="0" w:color="auto"/>
            </w:tcBorders>
          </w:tcPr>
          <w:p w14:paraId="01CF021C" w14:textId="77777777" w:rsidR="003E6BD8" w:rsidRPr="000D3D7F" w:rsidRDefault="003E6BD8" w:rsidP="001E1F5A">
            <w:pPr>
              <w:kinsoku w:val="0"/>
              <w:overflowPunct w:val="0"/>
              <w:ind w:left="187"/>
              <w:rPr>
                <w:lang w:val="sr-Latn-ME"/>
              </w:rPr>
            </w:pPr>
            <w:r w:rsidRPr="000D3D7F">
              <w:rPr>
                <w:szCs w:val="22"/>
                <w:lang w:val="sr-Latn-ME"/>
              </w:rPr>
              <w:t>--</w:t>
            </w:r>
          </w:p>
        </w:tc>
        <w:tc>
          <w:tcPr>
            <w:tcW w:w="768" w:type="dxa"/>
            <w:tcBorders>
              <w:top w:val="single" w:sz="4" w:space="0" w:color="000000"/>
              <w:left w:val="none" w:sz="6" w:space="0" w:color="auto"/>
              <w:bottom w:val="single" w:sz="4" w:space="0" w:color="000000"/>
              <w:right w:val="single" w:sz="4" w:space="0" w:color="000000"/>
            </w:tcBorders>
          </w:tcPr>
          <w:p w14:paraId="2F9FDC9C" w14:textId="0D7D5CBC" w:rsidR="003E6BD8" w:rsidRPr="000D3D7F" w:rsidRDefault="003E6BD8" w:rsidP="001E1F5A">
            <w:pPr>
              <w:kinsoku w:val="0"/>
              <w:overflowPunct w:val="0"/>
              <w:spacing w:before="1" w:line="243" w:lineRule="exact"/>
              <w:ind w:left="188"/>
              <w:rPr>
                <w:lang w:val="sr-Latn-ME"/>
              </w:rPr>
            </w:pPr>
            <w:r w:rsidRPr="000D3D7F">
              <w:rPr>
                <w:szCs w:val="22"/>
                <w:lang w:val="sr-Latn-ME"/>
              </w:rPr>
              <w:t>--</w:t>
            </w:r>
          </w:p>
        </w:tc>
        <w:tc>
          <w:tcPr>
            <w:tcW w:w="1354" w:type="dxa"/>
            <w:tcBorders>
              <w:top w:val="single" w:sz="4" w:space="0" w:color="000000"/>
              <w:left w:val="single" w:sz="4" w:space="0" w:color="000000"/>
              <w:bottom w:val="single" w:sz="4" w:space="0" w:color="000000"/>
              <w:right w:val="single" w:sz="4" w:space="0" w:color="000000"/>
            </w:tcBorders>
          </w:tcPr>
          <w:p w14:paraId="3F446C74" w14:textId="354A2F1E" w:rsidR="003E6BD8" w:rsidRPr="000D3D7F" w:rsidRDefault="003E6BD8" w:rsidP="001E1F5A">
            <w:pPr>
              <w:kinsoku w:val="0"/>
              <w:overflowPunct w:val="0"/>
              <w:spacing w:before="1" w:line="243" w:lineRule="exact"/>
              <w:ind w:left="197"/>
              <w:rPr>
                <w:lang w:val="sr-Latn-ME"/>
              </w:rPr>
            </w:pPr>
            <w:r w:rsidRPr="000D3D7F">
              <w:rPr>
                <w:szCs w:val="22"/>
                <w:lang w:val="sr-Latn-ME"/>
              </w:rPr>
              <w:t>Dan 8</w:t>
            </w:r>
          </w:p>
        </w:tc>
        <w:tc>
          <w:tcPr>
            <w:tcW w:w="807" w:type="dxa"/>
            <w:tcBorders>
              <w:top w:val="single" w:sz="4" w:space="0" w:color="000000"/>
              <w:left w:val="single" w:sz="4" w:space="0" w:color="000000"/>
              <w:bottom w:val="single" w:sz="4" w:space="0" w:color="000000"/>
              <w:right w:val="single" w:sz="4" w:space="0" w:color="000000"/>
            </w:tcBorders>
          </w:tcPr>
          <w:p w14:paraId="3F017CA0" w14:textId="77777777" w:rsidR="003E6BD8" w:rsidRPr="000D3D7F" w:rsidRDefault="003E6BD8" w:rsidP="001E1F5A">
            <w:pPr>
              <w:kinsoku w:val="0"/>
              <w:overflowPunct w:val="0"/>
              <w:ind w:left="110"/>
              <w:rPr>
                <w:lang w:val="sr-Latn-ME"/>
              </w:rPr>
            </w:pPr>
            <w:r w:rsidRPr="000D3D7F">
              <w:rPr>
                <w:szCs w:val="22"/>
                <w:lang w:val="sr-Latn-ME"/>
              </w:rPr>
              <w:t>pauza</w:t>
            </w:r>
          </w:p>
        </w:tc>
        <w:tc>
          <w:tcPr>
            <w:tcW w:w="1354" w:type="dxa"/>
            <w:tcBorders>
              <w:top w:val="single" w:sz="4" w:space="0" w:color="000000"/>
              <w:left w:val="single" w:sz="4" w:space="0" w:color="000000"/>
              <w:bottom w:val="single" w:sz="4" w:space="0" w:color="000000"/>
              <w:right w:val="single" w:sz="4" w:space="0" w:color="000000"/>
            </w:tcBorders>
          </w:tcPr>
          <w:p w14:paraId="47A1687E" w14:textId="1A2CEA27" w:rsidR="003E6BD8" w:rsidRPr="000D3D7F" w:rsidRDefault="003E6BD8" w:rsidP="001E1F5A">
            <w:pPr>
              <w:kinsoku w:val="0"/>
              <w:overflowPunct w:val="0"/>
              <w:spacing w:before="1" w:line="243" w:lineRule="exact"/>
              <w:ind w:left="196"/>
              <w:rPr>
                <w:lang w:val="sr-Latn-ME"/>
              </w:rPr>
            </w:pPr>
            <w:r w:rsidRPr="000D3D7F">
              <w:rPr>
                <w:szCs w:val="22"/>
                <w:lang w:val="sr-Latn-ME"/>
              </w:rPr>
              <w:t>Dan 22</w:t>
            </w:r>
          </w:p>
        </w:tc>
        <w:tc>
          <w:tcPr>
            <w:tcW w:w="1441" w:type="dxa"/>
            <w:tcBorders>
              <w:top w:val="single" w:sz="4" w:space="0" w:color="000000"/>
              <w:left w:val="single" w:sz="4" w:space="0" w:color="000000"/>
              <w:bottom w:val="single" w:sz="4" w:space="0" w:color="000000"/>
              <w:right w:val="single" w:sz="4" w:space="0" w:color="000000"/>
            </w:tcBorders>
          </w:tcPr>
          <w:p w14:paraId="4CF5A8BF" w14:textId="3D29B337" w:rsidR="003E6BD8" w:rsidRPr="000D3D7F" w:rsidRDefault="003E6BD8" w:rsidP="001E1F5A">
            <w:pPr>
              <w:kinsoku w:val="0"/>
              <w:overflowPunct w:val="0"/>
              <w:ind w:left="109"/>
              <w:rPr>
                <w:lang w:val="sr-Latn-ME"/>
              </w:rPr>
            </w:pPr>
            <w:r w:rsidRPr="000D3D7F">
              <w:rPr>
                <w:szCs w:val="22"/>
                <w:lang w:val="sr-Latn-ME"/>
              </w:rPr>
              <w:t>Dan 29</w:t>
            </w:r>
          </w:p>
        </w:tc>
        <w:tc>
          <w:tcPr>
            <w:tcW w:w="807" w:type="dxa"/>
            <w:tcBorders>
              <w:top w:val="single" w:sz="4" w:space="0" w:color="000000"/>
              <w:left w:val="single" w:sz="4" w:space="0" w:color="000000"/>
              <w:bottom w:val="single" w:sz="4" w:space="0" w:color="000000"/>
              <w:right w:val="none" w:sz="6" w:space="0" w:color="auto"/>
            </w:tcBorders>
          </w:tcPr>
          <w:p w14:paraId="075777B7" w14:textId="77777777" w:rsidR="003E6BD8" w:rsidRPr="000D3D7F" w:rsidRDefault="003E6BD8" w:rsidP="001E1F5A">
            <w:pPr>
              <w:kinsoku w:val="0"/>
              <w:overflowPunct w:val="0"/>
              <w:ind w:left="108"/>
              <w:rPr>
                <w:lang w:val="sr-Latn-ME"/>
              </w:rPr>
            </w:pPr>
            <w:r w:rsidRPr="000D3D7F">
              <w:rPr>
                <w:szCs w:val="22"/>
                <w:lang w:val="sr-Latn-ME"/>
              </w:rPr>
              <w:t>pauza</w:t>
            </w:r>
          </w:p>
        </w:tc>
      </w:tr>
      <w:tr w:rsidR="003E6BD8" w:rsidRPr="000D3D7F" w14:paraId="06AD2281" w14:textId="77777777" w:rsidTr="00353A78">
        <w:trPr>
          <w:trHeight w:val="1036"/>
        </w:trPr>
        <w:tc>
          <w:tcPr>
            <w:tcW w:w="1527" w:type="dxa"/>
            <w:gridSpan w:val="2"/>
            <w:tcBorders>
              <w:top w:val="single" w:sz="4" w:space="0" w:color="000000"/>
              <w:left w:val="none" w:sz="6" w:space="0" w:color="auto"/>
              <w:bottom w:val="single" w:sz="12" w:space="0" w:color="000000"/>
              <w:right w:val="single" w:sz="4" w:space="0" w:color="000000"/>
            </w:tcBorders>
          </w:tcPr>
          <w:p w14:paraId="0B484D4D" w14:textId="77777777" w:rsidR="003E6BD8" w:rsidRPr="000D3D7F" w:rsidRDefault="003E6BD8" w:rsidP="001E1F5A">
            <w:pPr>
              <w:kinsoku w:val="0"/>
              <w:overflowPunct w:val="0"/>
              <w:spacing w:before="2"/>
              <w:rPr>
                <w:b/>
                <w:bCs/>
                <w:lang w:val="sr-Latn-ME"/>
              </w:rPr>
            </w:pPr>
          </w:p>
          <w:p w14:paraId="1F0920A9" w14:textId="77777777" w:rsidR="003E6BD8" w:rsidRPr="000D3D7F" w:rsidRDefault="003E6BD8" w:rsidP="001E1F5A">
            <w:pPr>
              <w:kinsoku w:val="0"/>
              <w:overflowPunct w:val="0"/>
              <w:ind w:left="124"/>
              <w:rPr>
                <w:lang w:val="sr-Latn-ME"/>
              </w:rPr>
            </w:pPr>
            <w:r w:rsidRPr="000D3D7F">
              <w:rPr>
                <w:szCs w:val="22"/>
                <w:lang w:val="sr-Latn-ME"/>
              </w:rPr>
              <w:t>M (9 mg/m</w:t>
            </w:r>
            <w:r w:rsidRPr="000D3D7F">
              <w:rPr>
                <w:szCs w:val="22"/>
                <w:vertAlign w:val="superscript"/>
                <w:lang w:val="sr-Latn-ME"/>
              </w:rPr>
              <w:t>2</w:t>
            </w:r>
            <w:r w:rsidRPr="000D3D7F">
              <w:rPr>
                <w:szCs w:val="22"/>
                <w:lang w:val="sr-Latn-ME"/>
              </w:rPr>
              <w:t xml:space="preserve">) </w:t>
            </w:r>
          </w:p>
          <w:p w14:paraId="6FCA47FB" w14:textId="727C20F4" w:rsidR="003E6BD8" w:rsidRPr="000D3D7F" w:rsidRDefault="003E6BD8" w:rsidP="001E1F5A">
            <w:pPr>
              <w:kinsoku w:val="0"/>
              <w:overflowPunct w:val="0"/>
              <w:ind w:left="124"/>
              <w:rPr>
                <w:lang w:val="sr-Latn-ME"/>
              </w:rPr>
            </w:pPr>
            <w:r w:rsidRPr="000D3D7F">
              <w:rPr>
                <w:szCs w:val="22"/>
                <w:lang w:val="sr-Latn-ME"/>
              </w:rPr>
              <w:t>P (60 mg/m</w:t>
            </w:r>
            <w:r w:rsidRPr="000D3D7F">
              <w:rPr>
                <w:szCs w:val="22"/>
                <w:vertAlign w:val="superscript"/>
                <w:lang w:val="sr-Latn-ME"/>
              </w:rPr>
              <w:t>2</w:t>
            </w:r>
            <w:r w:rsidRPr="000D3D7F">
              <w:rPr>
                <w:szCs w:val="22"/>
                <w:lang w:val="sr-Latn-ME"/>
              </w:rPr>
              <w:t>)</w:t>
            </w:r>
          </w:p>
        </w:tc>
        <w:tc>
          <w:tcPr>
            <w:tcW w:w="666" w:type="dxa"/>
            <w:tcBorders>
              <w:top w:val="single" w:sz="4" w:space="0" w:color="000000"/>
              <w:left w:val="single" w:sz="4" w:space="0" w:color="000000"/>
              <w:bottom w:val="single" w:sz="12" w:space="0" w:color="000000"/>
              <w:right w:val="none" w:sz="6" w:space="0" w:color="auto"/>
            </w:tcBorders>
          </w:tcPr>
          <w:p w14:paraId="3E384D30" w14:textId="77777777" w:rsidR="003E6BD8" w:rsidRPr="000D3D7F" w:rsidRDefault="003E6BD8" w:rsidP="001E1F5A">
            <w:pPr>
              <w:kinsoku w:val="0"/>
              <w:overflowPunct w:val="0"/>
              <w:spacing w:line="237" w:lineRule="auto"/>
              <w:ind w:left="119" w:right="155"/>
              <w:rPr>
                <w:lang w:val="sr-Latn-ME"/>
              </w:rPr>
            </w:pPr>
            <w:r w:rsidRPr="000D3D7F">
              <w:rPr>
                <w:szCs w:val="22"/>
                <w:lang w:val="sr-Latn-ME"/>
              </w:rPr>
              <w:t>Dan 1</w:t>
            </w:r>
          </w:p>
        </w:tc>
        <w:tc>
          <w:tcPr>
            <w:tcW w:w="735" w:type="dxa"/>
            <w:tcBorders>
              <w:top w:val="single" w:sz="4" w:space="0" w:color="000000"/>
              <w:left w:val="none" w:sz="6" w:space="0" w:color="auto"/>
              <w:bottom w:val="single" w:sz="12" w:space="0" w:color="000000"/>
              <w:right w:val="none" w:sz="6" w:space="0" w:color="auto"/>
            </w:tcBorders>
          </w:tcPr>
          <w:p w14:paraId="10F5FE96" w14:textId="77777777" w:rsidR="003E6BD8" w:rsidRPr="000D3D7F" w:rsidRDefault="003E6BD8" w:rsidP="001E1F5A">
            <w:pPr>
              <w:kinsoku w:val="0"/>
              <w:overflowPunct w:val="0"/>
              <w:spacing w:line="237" w:lineRule="auto"/>
              <w:ind w:left="202" w:right="146"/>
              <w:rPr>
                <w:lang w:val="sr-Latn-ME"/>
              </w:rPr>
            </w:pPr>
            <w:r w:rsidRPr="000D3D7F">
              <w:rPr>
                <w:szCs w:val="22"/>
                <w:lang w:val="sr-Latn-ME"/>
              </w:rPr>
              <w:t>Dan 2</w:t>
            </w:r>
          </w:p>
        </w:tc>
        <w:tc>
          <w:tcPr>
            <w:tcW w:w="719" w:type="dxa"/>
            <w:tcBorders>
              <w:top w:val="single" w:sz="4" w:space="0" w:color="000000"/>
              <w:left w:val="none" w:sz="6" w:space="0" w:color="auto"/>
              <w:bottom w:val="single" w:sz="12" w:space="0" w:color="000000"/>
              <w:right w:val="none" w:sz="6" w:space="0" w:color="auto"/>
            </w:tcBorders>
          </w:tcPr>
          <w:p w14:paraId="4834734B" w14:textId="77777777" w:rsidR="003E6BD8" w:rsidRPr="000D3D7F" w:rsidRDefault="003E6BD8" w:rsidP="001E1F5A">
            <w:pPr>
              <w:kinsoku w:val="0"/>
              <w:overflowPunct w:val="0"/>
              <w:spacing w:line="237" w:lineRule="auto"/>
              <w:ind w:left="187" w:right="145"/>
              <w:rPr>
                <w:lang w:val="sr-Latn-ME"/>
              </w:rPr>
            </w:pPr>
            <w:r w:rsidRPr="000D3D7F">
              <w:rPr>
                <w:szCs w:val="22"/>
                <w:lang w:val="sr-Latn-ME"/>
              </w:rPr>
              <w:t>Dan 3</w:t>
            </w:r>
          </w:p>
        </w:tc>
        <w:tc>
          <w:tcPr>
            <w:tcW w:w="768" w:type="dxa"/>
            <w:tcBorders>
              <w:top w:val="single" w:sz="4" w:space="0" w:color="000000"/>
              <w:left w:val="none" w:sz="6" w:space="0" w:color="auto"/>
              <w:bottom w:val="single" w:sz="12" w:space="0" w:color="000000"/>
              <w:right w:val="single" w:sz="4" w:space="0" w:color="000000"/>
            </w:tcBorders>
          </w:tcPr>
          <w:p w14:paraId="1F37E3EF" w14:textId="77777777" w:rsidR="003E6BD8" w:rsidRPr="000D3D7F" w:rsidRDefault="003E6BD8" w:rsidP="001E1F5A">
            <w:pPr>
              <w:kinsoku w:val="0"/>
              <w:overflowPunct w:val="0"/>
              <w:spacing w:line="237" w:lineRule="auto"/>
              <w:ind w:left="188" w:right="188"/>
              <w:rPr>
                <w:lang w:val="sr-Latn-ME"/>
              </w:rPr>
            </w:pPr>
            <w:r w:rsidRPr="000D3D7F">
              <w:rPr>
                <w:szCs w:val="22"/>
                <w:lang w:val="sr-Latn-ME"/>
              </w:rPr>
              <w:t>Dan 4</w:t>
            </w:r>
          </w:p>
        </w:tc>
        <w:tc>
          <w:tcPr>
            <w:tcW w:w="1354" w:type="dxa"/>
            <w:tcBorders>
              <w:top w:val="single" w:sz="4" w:space="0" w:color="000000"/>
              <w:left w:val="single" w:sz="4" w:space="0" w:color="000000"/>
              <w:bottom w:val="single" w:sz="12" w:space="0" w:color="000000"/>
              <w:right w:val="single" w:sz="4" w:space="0" w:color="000000"/>
            </w:tcBorders>
          </w:tcPr>
          <w:p w14:paraId="51866D9E" w14:textId="5C54564F" w:rsidR="003E6BD8" w:rsidRPr="000D3D7F" w:rsidRDefault="003E6BD8" w:rsidP="001E1F5A">
            <w:pPr>
              <w:kinsoku w:val="0"/>
              <w:overflowPunct w:val="0"/>
              <w:ind w:left="197"/>
              <w:rPr>
                <w:lang w:val="sr-Latn-ME"/>
              </w:rPr>
            </w:pPr>
            <w:r w:rsidRPr="000D3D7F">
              <w:rPr>
                <w:szCs w:val="22"/>
                <w:lang w:val="sr-Latn-ME"/>
              </w:rPr>
              <w:t>--</w:t>
            </w:r>
          </w:p>
        </w:tc>
        <w:tc>
          <w:tcPr>
            <w:tcW w:w="807" w:type="dxa"/>
            <w:tcBorders>
              <w:top w:val="single" w:sz="4" w:space="0" w:color="000000"/>
              <w:left w:val="single" w:sz="4" w:space="0" w:color="000000"/>
              <w:bottom w:val="single" w:sz="12" w:space="0" w:color="000000"/>
              <w:right w:val="single" w:sz="4" w:space="0" w:color="000000"/>
            </w:tcBorders>
          </w:tcPr>
          <w:p w14:paraId="2D2831D9" w14:textId="77777777" w:rsidR="003E6BD8" w:rsidRPr="000D3D7F" w:rsidRDefault="003E6BD8" w:rsidP="001E1F5A">
            <w:pPr>
              <w:kinsoku w:val="0"/>
              <w:overflowPunct w:val="0"/>
              <w:ind w:left="110"/>
              <w:rPr>
                <w:lang w:val="sr-Latn-ME"/>
              </w:rPr>
            </w:pPr>
            <w:r w:rsidRPr="000D3D7F">
              <w:rPr>
                <w:szCs w:val="22"/>
                <w:lang w:val="sr-Latn-ME"/>
              </w:rPr>
              <w:t>pauza</w:t>
            </w:r>
          </w:p>
        </w:tc>
        <w:tc>
          <w:tcPr>
            <w:tcW w:w="1354" w:type="dxa"/>
            <w:tcBorders>
              <w:top w:val="single" w:sz="4" w:space="0" w:color="000000"/>
              <w:left w:val="single" w:sz="4" w:space="0" w:color="000000"/>
              <w:bottom w:val="single" w:sz="12" w:space="0" w:color="000000"/>
              <w:right w:val="single" w:sz="4" w:space="0" w:color="000000"/>
            </w:tcBorders>
          </w:tcPr>
          <w:p w14:paraId="63491A13" w14:textId="3B0DA834" w:rsidR="003E6BD8" w:rsidRPr="000D3D7F" w:rsidRDefault="003E6BD8" w:rsidP="001E1F5A">
            <w:pPr>
              <w:kinsoku w:val="0"/>
              <w:overflowPunct w:val="0"/>
              <w:ind w:left="196"/>
              <w:rPr>
                <w:lang w:val="sr-Latn-ME"/>
              </w:rPr>
            </w:pPr>
            <w:r w:rsidRPr="000D3D7F">
              <w:rPr>
                <w:szCs w:val="22"/>
                <w:lang w:val="sr-Latn-ME"/>
              </w:rPr>
              <w:t>--</w:t>
            </w:r>
          </w:p>
        </w:tc>
        <w:tc>
          <w:tcPr>
            <w:tcW w:w="1441" w:type="dxa"/>
            <w:tcBorders>
              <w:top w:val="single" w:sz="4" w:space="0" w:color="000000"/>
              <w:left w:val="single" w:sz="4" w:space="0" w:color="000000"/>
              <w:bottom w:val="single" w:sz="12" w:space="0" w:color="000000"/>
              <w:right w:val="single" w:sz="4" w:space="0" w:color="000000"/>
            </w:tcBorders>
          </w:tcPr>
          <w:p w14:paraId="16D4DF37" w14:textId="23DD4D17" w:rsidR="003E6BD8" w:rsidRPr="000D3D7F" w:rsidRDefault="003E6BD8" w:rsidP="001E1F5A">
            <w:pPr>
              <w:kinsoku w:val="0"/>
              <w:overflowPunct w:val="0"/>
              <w:ind w:left="241"/>
              <w:rPr>
                <w:lang w:val="sr-Latn-ME"/>
              </w:rPr>
            </w:pPr>
            <w:r w:rsidRPr="000D3D7F">
              <w:rPr>
                <w:szCs w:val="22"/>
                <w:lang w:val="sr-Latn-ME"/>
              </w:rPr>
              <w:t>--</w:t>
            </w:r>
          </w:p>
        </w:tc>
        <w:tc>
          <w:tcPr>
            <w:tcW w:w="807" w:type="dxa"/>
            <w:tcBorders>
              <w:top w:val="single" w:sz="4" w:space="0" w:color="000000"/>
              <w:left w:val="single" w:sz="4" w:space="0" w:color="000000"/>
              <w:bottom w:val="single" w:sz="12" w:space="0" w:color="000000"/>
              <w:right w:val="none" w:sz="6" w:space="0" w:color="auto"/>
            </w:tcBorders>
          </w:tcPr>
          <w:p w14:paraId="7F84047D" w14:textId="77777777" w:rsidR="003E6BD8" w:rsidRPr="000D3D7F" w:rsidRDefault="003E6BD8" w:rsidP="001E1F5A">
            <w:pPr>
              <w:kinsoku w:val="0"/>
              <w:overflowPunct w:val="0"/>
              <w:ind w:left="108"/>
              <w:rPr>
                <w:lang w:val="sr-Latn-ME"/>
              </w:rPr>
            </w:pPr>
            <w:r w:rsidRPr="000D3D7F">
              <w:rPr>
                <w:szCs w:val="22"/>
                <w:lang w:val="sr-Latn-ME"/>
              </w:rPr>
              <w:t>pauza</w:t>
            </w:r>
          </w:p>
        </w:tc>
      </w:tr>
    </w:tbl>
    <w:p w14:paraId="45972CA6" w14:textId="76AB28AC" w:rsidR="00DF2F42" w:rsidRPr="000D3D7F" w:rsidRDefault="00E41CA8" w:rsidP="001E1F5A">
      <w:pPr>
        <w:rPr>
          <w:szCs w:val="22"/>
          <w:lang w:val="sr-Latn-ME"/>
        </w:rPr>
      </w:pPr>
      <w:r w:rsidRPr="000D3D7F">
        <w:rPr>
          <w:szCs w:val="22"/>
          <w:lang w:val="sr-Latn-ME"/>
        </w:rPr>
        <w:t>B</w:t>
      </w:r>
      <w:r w:rsidR="00D81C8F" w:rsidRPr="000D3D7F">
        <w:rPr>
          <w:szCs w:val="22"/>
          <w:lang w:val="sr-Latn-ME"/>
        </w:rPr>
        <w:t>z</w:t>
      </w:r>
      <w:r w:rsidR="00B718D1" w:rsidRPr="000D3D7F">
        <w:rPr>
          <w:szCs w:val="22"/>
          <w:lang w:val="sr-Latn-ME"/>
        </w:rPr>
        <w:t xml:space="preserve"> = </w:t>
      </w:r>
      <w:r w:rsidR="00D81C8F" w:rsidRPr="000D3D7F">
        <w:rPr>
          <w:szCs w:val="22"/>
          <w:lang w:val="sr-Latn-ME"/>
        </w:rPr>
        <w:t>bortezomib</w:t>
      </w:r>
      <w:r w:rsidR="00DF2F42" w:rsidRPr="000D3D7F">
        <w:rPr>
          <w:szCs w:val="22"/>
          <w:lang w:val="sr-Latn-ME"/>
        </w:rPr>
        <w:t>; M = melfalan, P= prednizon</w:t>
      </w:r>
    </w:p>
    <w:p w14:paraId="5C920268" w14:textId="6873389B" w:rsidR="00DF2F42" w:rsidRPr="000D3D7F" w:rsidRDefault="00DF2F42" w:rsidP="001E1F5A">
      <w:pPr>
        <w:rPr>
          <w:szCs w:val="22"/>
          <w:lang w:val="sr-Latn-ME"/>
        </w:rPr>
      </w:pPr>
    </w:p>
    <w:p w14:paraId="78D6148D" w14:textId="441FD440" w:rsidR="00DF2F42" w:rsidRPr="000D3D7F" w:rsidRDefault="00DF2F42" w:rsidP="001E1F5A">
      <w:pPr>
        <w:rPr>
          <w:i/>
          <w:iCs/>
          <w:szCs w:val="22"/>
          <w:lang w:val="sr-Latn-ME"/>
        </w:rPr>
      </w:pPr>
      <w:r w:rsidRPr="000D3D7F">
        <w:rPr>
          <w:i/>
          <w:iCs/>
          <w:szCs w:val="22"/>
          <w:lang w:val="sr-Latn-ME"/>
        </w:rPr>
        <w:lastRenderedPageBreak/>
        <w:t>Preporuka za podešavanje doza prilikom terapije i ponovnog započinjanja kombinovane terapije sa</w:t>
      </w:r>
      <w:r w:rsidR="00EF29F8" w:rsidRPr="000D3D7F">
        <w:rPr>
          <w:i/>
          <w:iCs/>
          <w:szCs w:val="22"/>
          <w:lang w:val="sr-Latn-ME"/>
        </w:rPr>
        <w:t xml:space="preserve"> </w:t>
      </w:r>
      <w:r w:rsidRPr="000D3D7F">
        <w:rPr>
          <w:i/>
          <w:iCs/>
          <w:szCs w:val="22"/>
          <w:lang w:val="sr-Latn-ME"/>
        </w:rPr>
        <w:t>melfalanom i prednizonom</w:t>
      </w:r>
    </w:p>
    <w:p w14:paraId="47DF4DAC" w14:textId="64681289" w:rsidR="00DF2F42" w:rsidRPr="000D3D7F" w:rsidRDefault="00DF2F42" w:rsidP="001E1F5A">
      <w:pPr>
        <w:rPr>
          <w:szCs w:val="22"/>
          <w:lang w:val="sr-Latn-ME"/>
        </w:rPr>
      </w:pPr>
      <w:r w:rsidRPr="000D3D7F">
        <w:rPr>
          <w:szCs w:val="22"/>
          <w:lang w:val="sr-Latn-ME"/>
        </w:rPr>
        <w:t>Pr</w:t>
      </w:r>
      <w:r w:rsidR="004C040C" w:rsidRPr="000D3D7F">
        <w:rPr>
          <w:szCs w:val="22"/>
          <w:lang w:val="sr-Latn-ME"/>
        </w:rPr>
        <w:t>ij</w:t>
      </w:r>
      <w:r w:rsidRPr="000D3D7F">
        <w:rPr>
          <w:szCs w:val="22"/>
          <w:lang w:val="sr-Latn-ME"/>
        </w:rPr>
        <w:t>e započinjanja novog terapijskog ciklusa:</w:t>
      </w:r>
    </w:p>
    <w:p w14:paraId="5CB3A16A" w14:textId="23C87E1A" w:rsidR="00DF2F42" w:rsidRPr="000D3D7F" w:rsidRDefault="00DF2F42" w:rsidP="001E1F5A">
      <w:pPr>
        <w:numPr>
          <w:ilvl w:val="0"/>
          <w:numId w:val="9"/>
        </w:numPr>
        <w:rPr>
          <w:szCs w:val="22"/>
          <w:lang w:val="sr-Latn-ME"/>
        </w:rPr>
      </w:pPr>
      <w:r w:rsidRPr="000D3D7F">
        <w:rPr>
          <w:szCs w:val="22"/>
          <w:lang w:val="sr-Latn-ME"/>
        </w:rPr>
        <w:t>Broj trombocita mora biti ≥ 70 x 10</w:t>
      </w:r>
      <w:r w:rsidRPr="000D3D7F">
        <w:rPr>
          <w:szCs w:val="22"/>
          <w:vertAlign w:val="superscript"/>
          <w:lang w:val="sr-Latn-ME"/>
        </w:rPr>
        <w:t>9</w:t>
      </w:r>
      <w:r w:rsidRPr="000D3D7F">
        <w:rPr>
          <w:szCs w:val="22"/>
          <w:lang w:val="sr-Latn-ME"/>
        </w:rPr>
        <w:t>/L i apsolutni broj neutrofila mora biti ≥1,0 x 10</w:t>
      </w:r>
      <w:r w:rsidRPr="000D3D7F">
        <w:rPr>
          <w:szCs w:val="22"/>
          <w:vertAlign w:val="superscript"/>
          <w:lang w:val="sr-Latn-ME"/>
        </w:rPr>
        <w:t>9</w:t>
      </w:r>
      <w:r w:rsidRPr="000D3D7F">
        <w:rPr>
          <w:szCs w:val="22"/>
          <w:lang w:val="sr-Latn-ME"/>
        </w:rPr>
        <w:t>/L</w:t>
      </w:r>
    </w:p>
    <w:p w14:paraId="724448DB" w14:textId="62C99EFB" w:rsidR="00DF2F42" w:rsidRPr="000D3D7F" w:rsidRDefault="00DF2F42" w:rsidP="001E1F5A">
      <w:pPr>
        <w:numPr>
          <w:ilvl w:val="0"/>
          <w:numId w:val="9"/>
        </w:numPr>
        <w:rPr>
          <w:szCs w:val="22"/>
          <w:lang w:val="sr-Latn-ME"/>
        </w:rPr>
      </w:pPr>
      <w:r w:rsidRPr="000D3D7F">
        <w:rPr>
          <w:szCs w:val="22"/>
          <w:lang w:val="sr-Latn-ME"/>
        </w:rPr>
        <w:t>Nehematološka toksičnost mora biti svedena do 1. stepena ili osnovnog nivoa</w:t>
      </w:r>
    </w:p>
    <w:p w14:paraId="1D489EC2" w14:textId="77777777" w:rsidR="00A34C43" w:rsidRPr="000D3D7F" w:rsidRDefault="00A34C43" w:rsidP="001E1F5A">
      <w:pPr>
        <w:rPr>
          <w:i/>
          <w:iCs/>
          <w:szCs w:val="22"/>
          <w:lang w:val="sr-Latn-ME"/>
        </w:rPr>
      </w:pPr>
    </w:p>
    <w:p w14:paraId="2A23575B" w14:textId="77777777" w:rsidR="00A34C43" w:rsidRPr="000D3D7F" w:rsidRDefault="00A34C43" w:rsidP="001E1F5A">
      <w:pPr>
        <w:rPr>
          <w:i/>
          <w:iCs/>
          <w:szCs w:val="22"/>
          <w:lang w:val="sr-Latn-ME"/>
        </w:rPr>
      </w:pPr>
    </w:p>
    <w:p w14:paraId="768FD6FA" w14:textId="77777777" w:rsidR="00A34C43" w:rsidRPr="000D3D7F" w:rsidRDefault="00A34C43" w:rsidP="001E1F5A">
      <w:pPr>
        <w:rPr>
          <w:i/>
          <w:iCs/>
          <w:szCs w:val="22"/>
          <w:lang w:val="sr-Latn-ME"/>
        </w:rPr>
      </w:pPr>
    </w:p>
    <w:p w14:paraId="6978F5B0" w14:textId="77777777" w:rsidR="00A34C43" w:rsidRPr="000D3D7F" w:rsidRDefault="00A34C43" w:rsidP="001E1F5A">
      <w:pPr>
        <w:rPr>
          <w:i/>
          <w:iCs/>
          <w:szCs w:val="22"/>
          <w:lang w:val="sr-Latn-ME"/>
        </w:rPr>
      </w:pPr>
    </w:p>
    <w:p w14:paraId="38261780" w14:textId="77777777" w:rsidR="00A34C43" w:rsidRPr="000D3D7F" w:rsidRDefault="00A34C43" w:rsidP="001E1F5A">
      <w:pPr>
        <w:rPr>
          <w:i/>
          <w:iCs/>
          <w:szCs w:val="22"/>
          <w:lang w:val="sr-Latn-ME"/>
        </w:rPr>
      </w:pPr>
    </w:p>
    <w:p w14:paraId="15682B6D" w14:textId="77777777" w:rsidR="00A34C43" w:rsidRPr="000D3D7F" w:rsidRDefault="00A34C43" w:rsidP="001E1F5A">
      <w:pPr>
        <w:rPr>
          <w:i/>
          <w:iCs/>
          <w:szCs w:val="22"/>
          <w:lang w:val="sr-Latn-ME"/>
        </w:rPr>
      </w:pPr>
    </w:p>
    <w:p w14:paraId="112CBF0D" w14:textId="77777777" w:rsidR="00A34C43" w:rsidRPr="000D3D7F" w:rsidRDefault="00A34C43" w:rsidP="001E1F5A">
      <w:pPr>
        <w:rPr>
          <w:i/>
          <w:iCs/>
          <w:szCs w:val="22"/>
          <w:lang w:val="sr-Latn-ME"/>
        </w:rPr>
      </w:pPr>
    </w:p>
    <w:p w14:paraId="20D9AA97" w14:textId="77777777" w:rsidR="00A34C43" w:rsidRPr="000D3D7F" w:rsidRDefault="00A34C43" w:rsidP="001E1F5A">
      <w:pPr>
        <w:rPr>
          <w:i/>
          <w:iCs/>
          <w:szCs w:val="22"/>
          <w:lang w:val="sr-Latn-ME"/>
        </w:rPr>
      </w:pPr>
    </w:p>
    <w:p w14:paraId="40ABE23C" w14:textId="7CAA0047" w:rsidR="00DF2F42" w:rsidRPr="000D3D7F" w:rsidRDefault="00DF2F42" w:rsidP="001E1F5A">
      <w:pPr>
        <w:rPr>
          <w:i/>
          <w:iCs/>
          <w:szCs w:val="22"/>
          <w:lang w:val="sr-Latn-ME"/>
        </w:rPr>
      </w:pPr>
      <w:r w:rsidRPr="000D3D7F">
        <w:rPr>
          <w:i/>
          <w:iCs/>
          <w:szCs w:val="22"/>
          <w:lang w:val="sr-Latn-ME"/>
        </w:rPr>
        <w:t>Tabela 3 – Podešavanje doze u toku narednih ciklusa l</w:t>
      </w:r>
      <w:r w:rsidR="004C040C" w:rsidRPr="000D3D7F">
        <w:rPr>
          <w:i/>
          <w:iCs/>
          <w:szCs w:val="22"/>
          <w:lang w:val="sr-Latn-ME"/>
        </w:rPr>
        <w:t>ij</w:t>
      </w:r>
      <w:r w:rsidRPr="000D3D7F">
        <w:rPr>
          <w:i/>
          <w:iCs/>
          <w:szCs w:val="22"/>
          <w:lang w:val="sr-Latn-ME"/>
        </w:rPr>
        <w:t xml:space="preserve">eka </w:t>
      </w:r>
      <w:r w:rsidR="00353A78" w:rsidRPr="000D3D7F">
        <w:rPr>
          <w:i/>
          <w:iCs/>
          <w:szCs w:val="22"/>
          <w:lang w:val="sr-Latn-ME"/>
        </w:rPr>
        <w:t>Bortegaz</w:t>
      </w:r>
      <w:r w:rsidRPr="000D3D7F">
        <w:rPr>
          <w:i/>
          <w:iCs/>
          <w:szCs w:val="22"/>
          <w:lang w:val="sr-Latn-ME"/>
        </w:rPr>
        <w:t xml:space="preserve"> u kombinaciji sa melfalanom i</w:t>
      </w:r>
    </w:p>
    <w:p w14:paraId="274F7092" w14:textId="79629C2E" w:rsidR="00DF2F42" w:rsidRPr="000D3D7F" w:rsidRDefault="00DF2F42" w:rsidP="001E1F5A">
      <w:pPr>
        <w:rPr>
          <w:szCs w:val="22"/>
          <w:lang w:val="sr-Latn-ME"/>
        </w:rPr>
      </w:pPr>
      <w:r w:rsidRPr="000D3D7F">
        <w:rPr>
          <w:i/>
          <w:iCs/>
          <w:szCs w:val="22"/>
          <w:lang w:val="sr-Latn-ME"/>
        </w:rPr>
        <w:t>prednizonom</w:t>
      </w:r>
      <w:r w:rsidRPr="000D3D7F">
        <w:rPr>
          <w:szCs w:val="22"/>
          <w:lang w:val="sr-Latn-ME"/>
        </w:rPr>
        <w:t>:</w:t>
      </w:r>
    </w:p>
    <w:tbl>
      <w:tblPr>
        <w:tblW w:w="0" w:type="auto"/>
        <w:tblLayout w:type="fixed"/>
        <w:tblCellMar>
          <w:left w:w="0" w:type="dxa"/>
          <w:right w:w="0" w:type="dxa"/>
        </w:tblCellMar>
        <w:tblLook w:val="0000" w:firstRow="0" w:lastRow="0" w:firstColumn="0" w:lastColumn="0" w:noHBand="0" w:noVBand="0"/>
      </w:tblPr>
      <w:tblGrid>
        <w:gridCol w:w="4745"/>
        <w:gridCol w:w="4733"/>
      </w:tblGrid>
      <w:tr w:rsidR="00DF2F42" w:rsidRPr="000D3D7F" w14:paraId="62365544" w14:textId="77777777" w:rsidTr="00842007">
        <w:trPr>
          <w:trHeight w:val="402"/>
        </w:trPr>
        <w:tc>
          <w:tcPr>
            <w:tcW w:w="4745" w:type="dxa"/>
            <w:tcBorders>
              <w:top w:val="single" w:sz="12" w:space="0" w:color="000000"/>
              <w:left w:val="none" w:sz="6" w:space="0" w:color="auto"/>
              <w:bottom w:val="single" w:sz="12" w:space="0" w:color="000000"/>
              <w:right w:val="single" w:sz="4" w:space="0" w:color="000000"/>
            </w:tcBorders>
          </w:tcPr>
          <w:p w14:paraId="598D288D" w14:textId="77777777" w:rsidR="00DF2F42" w:rsidRPr="000D3D7F" w:rsidRDefault="00DF2F42" w:rsidP="001E1F5A">
            <w:pPr>
              <w:rPr>
                <w:b/>
                <w:bCs/>
                <w:lang w:val="sr-Latn-ME"/>
              </w:rPr>
            </w:pPr>
            <w:r w:rsidRPr="000D3D7F">
              <w:rPr>
                <w:b/>
                <w:bCs/>
                <w:szCs w:val="22"/>
                <w:lang w:val="sr-Latn-ME"/>
              </w:rPr>
              <w:t>Toksičnost</w:t>
            </w:r>
          </w:p>
        </w:tc>
        <w:tc>
          <w:tcPr>
            <w:tcW w:w="4733" w:type="dxa"/>
            <w:tcBorders>
              <w:top w:val="single" w:sz="12" w:space="0" w:color="000000"/>
              <w:left w:val="single" w:sz="4" w:space="0" w:color="000000"/>
              <w:bottom w:val="single" w:sz="12" w:space="0" w:color="000000"/>
              <w:right w:val="none" w:sz="6" w:space="0" w:color="auto"/>
            </w:tcBorders>
          </w:tcPr>
          <w:p w14:paraId="175991AD" w14:textId="77777777" w:rsidR="00DF2F42" w:rsidRPr="000D3D7F" w:rsidRDefault="00DF2F42" w:rsidP="001E1F5A">
            <w:pPr>
              <w:rPr>
                <w:b/>
                <w:bCs/>
                <w:lang w:val="sr-Latn-ME"/>
              </w:rPr>
            </w:pPr>
            <w:r w:rsidRPr="000D3D7F">
              <w:rPr>
                <w:b/>
                <w:bCs/>
                <w:szCs w:val="22"/>
                <w:lang w:val="sr-Latn-ME"/>
              </w:rPr>
              <w:t>Podešavanje doze ili odlaganje</w:t>
            </w:r>
          </w:p>
        </w:tc>
      </w:tr>
      <w:tr w:rsidR="00DF2F42" w:rsidRPr="000D3D7F" w14:paraId="2C1D0E06" w14:textId="77777777" w:rsidTr="00842007">
        <w:trPr>
          <w:trHeight w:val="1357"/>
        </w:trPr>
        <w:tc>
          <w:tcPr>
            <w:tcW w:w="4745" w:type="dxa"/>
            <w:tcBorders>
              <w:top w:val="single" w:sz="12" w:space="0" w:color="000000"/>
              <w:left w:val="none" w:sz="6" w:space="0" w:color="auto"/>
              <w:bottom w:val="single" w:sz="4" w:space="0" w:color="000000"/>
              <w:right w:val="single" w:sz="4" w:space="0" w:color="000000"/>
            </w:tcBorders>
          </w:tcPr>
          <w:p w14:paraId="5971ED1D" w14:textId="77777777" w:rsidR="00DF2F42" w:rsidRPr="000D3D7F" w:rsidRDefault="00DF2F42" w:rsidP="001E1F5A">
            <w:pPr>
              <w:ind w:left="166"/>
              <w:rPr>
                <w:i/>
                <w:iCs/>
                <w:lang w:val="sr-Latn-ME"/>
              </w:rPr>
            </w:pPr>
            <w:r w:rsidRPr="000D3D7F">
              <w:rPr>
                <w:i/>
                <w:iCs/>
                <w:szCs w:val="22"/>
                <w:lang w:val="sr-Latn-ME"/>
              </w:rPr>
              <w:t>Hematološka toksičnost u toku ciklusa:</w:t>
            </w:r>
          </w:p>
          <w:p w14:paraId="2AA7CBB7" w14:textId="0ACBE88E" w:rsidR="00DF2F42" w:rsidRPr="000D3D7F" w:rsidRDefault="00DF2F42" w:rsidP="001E1F5A">
            <w:pPr>
              <w:numPr>
                <w:ilvl w:val="0"/>
                <w:numId w:val="6"/>
              </w:numPr>
              <w:ind w:left="166" w:firstLine="0"/>
              <w:rPr>
                <w:lang w:val="sr-Latn-ME"/>
              </w:rPr>
            </w:pPr>
            <w:r w:rsidRPr="000D3D7F">
              <w:rPr>
                <w:szCs w:val="22"/>
                <w:lang w:val="sr-Latn-ME"/>
              </w:rPr>
              <w:t>Ukoliko je u toku prethodnog ciklusa zapažena produžena neutropenia stepena</w:t>
            </w:r>
            <w:r w:rsidR="003E6BD8" w:rsidRPr="000D3D7F">
              <w:rPr>
                <w:szCs w:val="22"/>
                <w:lang w:val="sr-Latn-ME"/>
              </w:rPr>
              <w:t xml:space="preserve"> </w:t>
            </w:r>
            <w:r w:rsidRPr="000D3D7F">
              <w:rPr>
                <w:szCs w:val="22"/>
                <w:lang w:val="sr-Latn-ME"/>
              </w:rPr>
              <w:t>4 ili trombocitopenija, ili trombocitopenija sa krvarenjem</w:t>
            </w:r>
          </w:p>
        </w:tc>
        <w:tc>
          <w:tcPr>
            <w:tcW w:w="4733" w:type="dxa"/>
            <w:tcBorders>
              <w:top w:val="single" w:sz="12" w:space="0" w:color="000000"/>
              <w:left w:val="single" w:sz="4" w:space="0" w:color="000000"/>
              <w:bottom w:val="single" w:sz="4" w:space="0" w:color="000000"/>
              <w:right w:val="none" w:sz="6" w:space="0" w:color="auto"/>
            </w:tcBorders>
          </w:tcPr>
          <w:p w14:paraId="023F0194" w14:textId="77777777" w:rsidR="00DF2F42" w:rsidRPr="000D3D7F" w:rsidRDefault="00DF2F42" w:rsidP="001E1F5A">
            <w:pPr>
              <w:rPr>
                <w:lang w:val="sr-Latn-ME"/>
              </w:rPr>
            </w:pPr>
          </w:p>
          <w:p w14:paraId="462C49EE" w14:textId="28758374" w:rsidR="00DF2F42" w:rsidRPr="000D3D7F" w:rsidRDefault="00DF2F42" w:rsidP="001E1F5A">
            <w:pPr>
              <w:rPr>
                <w:lang w:val="sr-Latn-ME"/>
              </w:rPr>
            </w:pPr>
            <w:r w:rsidRPr="000D3D7F">
              <w:rPr>
                <w:szCs w:val="22"/>
                <w:lang w:val="sr-Latn-ME"/>
              </w:rPr>
              <w:t>Razmotriti smanjenje doze melfalana za 25% u sl</w:t>
            </w:r>
            <w:r w:rsidR="004C040C" w:rsidRPr="000D3D7F">
              <w:rPr>
                <w:szCs w:val="22"/>
                <w:lang w:val="sr-Latn-ME"/>
              </w:rPr>
              <w:t>j</w:t>
            </w:r>
            <w:r w:rsidRPr="000D3D7F">
              <w:rPr>
                <w:szCs w:val="22"/>
                <w:lang w:val="sr-Latn-ME"/>
              </w:rPr>
              <w:t>edećem ciklusu.</w:t>
            </w:r>
          </w:p>
        </w:tc>
      </w:tr>
      <w:tr w:rsidR="00DF2F42" w:rsidRPr="000D3D7F" w14:paraId="7102EFED" w14:textId="77777777" w:rsidTr="00842007">
        <w:trPr>
          <w:trHeight w:val="791"/>
        </w:trPr>
        <w:tc>
          <w:tcPr>
            <w:tcW w:w="4745" w:type="dxa"/>
            <w:tcBorders>
              <w:top w:val="single" w:sz="4" w:space="0" w:color="000000"/>
              <w:left w:val="none" w:sz="6" w:space="0" w:color="auto"/>
              <w:bottom w:val="single" w:sz="4" w:space="0" w:color="000000"/>
              <w:right w:val="single" w:sz="4" w:space="0" w:color="000000"/>
            </w:tcBorders>
          </w:tcPr>
          <w:p w14:paraId="00B83ABE" w14:textId="059AC1F6" w:rsidR="00DF2F42" w:rsidRPr="000D3D7F" w:rsidRDefault="00DF2F42" w:rsidP="001E1F5A">
            <w:pPr>
              <w:numPr>
                <w:ilvl w:val="0"/>
                <w:numId w:val="5"/>
              </w:numPr>
              <w:ind w:left="166" w:firstLine="0"/>
              <w:rPr>
                <w:lang w:val="sr-Latn-ME"/>
              </w:rPr>
            </w:pPr>
            <w:r w:rsidRPr="000D3D7F">
              <w:rPr>
                <w:szCs w:val="22"/>
                <w:lang w:val="sr-Latn-ME"/>
              </w:rPr>
              <w:t xml:space="preserve">Ukoliko je broj trombocita </w:t>
            </w:r>
            <w:r w:rsidR="00E944D6" w:rsidRPr="000D3D7F">
              <w:rPr>
                <w:lang w:val="sr-Latn-ME"/>
              </w:rPr>
              <w:t>≤</w:t>
            </w:r>
            <w:r w:rsidR="006B397D" w:rsidRPr="000D3D7F">
              <w:rPr>
                <w:lang w:val="sr-Latn-ME"/>
              </w:rPr>
              <w:t xml:space="preserve"> </w:t>
            </w:r>
            <w:r w:rsidRPr="000D3D7F">
              <w:rPr>
                <w:szCs w:val="22"/>
                <w:lang w:val="sr-Latn-ME"/>
              </w:rPr>
              <w:t xml:space="preserve">30 </w:t>
            </w:r>
            <w:r w:rsidR="00E944D6" w:rsidRPr="000D3D7F">
              <w:rPr>
                <w:szCs w:val="22"/>
                <w:lang w:val="sr-Latn-ME"/>
              </w:rPr>
              <w:t>x</w:t>
            </w:r>
            <w:r w:rsidRPr="000D3D7F">
              <w:rPr>
                <w:szCs w:val="22"/>
                <w:lang w:val="sr-Latn-ME"/>
              </w:rPr>
              <w:t xml:space="preserve"> 10</w:t>
            </w:r>
            <w:r w:rsidRPr="000D3D7F">
              <w:rPr>
                <w:szCs w:val="22"/>
                <w:vertAlign w:val="superscript"/>
                <w:lang w:val="sr-Latn-ME"/>
              </w:rPr>
              <w:t>9</w:t>
            </w:r>
            <w:r w:rsidRPr="000D3D7F">
              <w:rPr>
                <w:szCs w:val="22"/>
                <w:lang w:val="sr-Latn-ME"/>
              </w:rPr>
              <w:t>/L</w:t>
            </w:r>
            <w:r w:rsidR="003E6BD8" w:rsidRPr="000D3D7F">
              <w:rPr>
                <w:szCs w:val="22"/>
                <w:lang w:val="sr-Latn-ME"/>
              </w:rPr>
              <w:t xml:space="preserve"> </w:t>
            </w:r>
            <w:r w:rsidRPr="000D3D7F">
              <w:rPr>
                <w:szCs w:val="22"/>
                <w:lang w:val="sr-Latn-ME"/>
              </w:rPr>
              <w:t xml:space="preserve">ili ANC </w:t>
            </w:r>
            <w:r w:rsidR="003E6BD8" w:rsidRPr="000D3D7F">
              <w:rPr>
                <w:szCs w:val="22"/>
                <w:lang w:val="sr-Latn-ME"/>
              </w:rPr>
              <w:t>≤</w:t>
            </w:r>
            <w:r w:rsidRPr="000D3D7F">
              <w:rPr>
                <w:szCs w:val="22"/>
                <w:lang w:val="sr-Latn-ME"/>
              </w:rPr>
              <w:t>0,75 x 10</w:t>
            </w:r>
            <w:r w:rsidRPr="000D3D7F">
              <w:rPr>
                <w:szCs w:val="22"/>
                <w:vertAlign w:val="superscript"/>
                <w:lang w:val="sr-Latn-ME"/>
              </w:rPr>
              <w:t>9</w:t>
            </w:r>
            <w:r w:rsidRPr="000D3D7F">
              <w:rPr>
                <w:szCs w:val="22"/>
                <w:lang w:val="sr-Latn-ME"/>
              </w:rPr>
              <w:t>/L na dan prim</w:t>
            </w:r>
            <w:r w:rsidR="004C040C" w:rsidRPr="000D3D7F">
              <w:rPr>
                <w:szCs w:val="22"/>
                <w:lang w:val="sr-Latn-ME"/>
              </w:rPr>
              <w:t>j</w:t>
            </w:r>
            <w:r w:rsidRPr="000D3D7F">
              <w:rPr>
                <w:szCs w:val="22"/>
                <w:lang w:val="sr-Latn-ME"/>
              </w:rPr>
              <w:t>ene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(izuzev dana 1)</w:t>
            </w:r>
          </w:p>
        </w:tc>
        <w:tc>
          <w:tcPr>
            <w:tcW w:w="4733" w:type="dxa"/>
            <w:tcBorders>
              <w:top w:val="single" w:sz="4" w:space="0" w:color="000000"/>
              <w:left w:val="single" w:sz="4" w:space="0" w:color="000000"/>
              <w:bottom w:val="single" w:sz="4" w:space="0" w:color="000000"/>
              <w:right w:val="none" w:sz="6" w:space="0" w:color="auto"/>
            </w:tcBorders>
          </w:tcPr>
          <w:p w14:paraId="36B24B63" w14:textId="5C122FB9" w:rsidR="00DF2F42" w:rsidRPr="000D3D7F" w:rsidRDefault="00DF2F42" w:rsidP="001E1F5A">
            <w:pPr>
              <w:rPr>
                <w:lang w:val="sr-Latn-ME"/>
              </w:rPr>
            </w:pPr>
            <w:r w:rsidRPr="000D3D7F">
              <w:rPr>
                <w:szCs w:val="22"/>
                <w:lang w:val="sr-Latn-ME"/>
              </w:rPr>
              <w:t>Terapiju l</w:t>
            </w:r>
            <w:r w:rsidR="004C040C"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obustaviti</w:t>
            </w:r>
          </w:p>
        </w:tc>
      </w:tr>
      <w:tr w:rsidR="00DF2F42" w:rsidRPr="000D3D7F" w14:paraId="5B238837" w14:textId="77777777" w:rsidTr="00842007">
        <w:trPr>
          <w:trHeight w:val="1026"/>
        </w:trPr>
        <w:tc>
          <w:tcPr>
            <w:tcW w:w="4745" w:type="dxa"/>
            <w:tcBorders>
              <w:top w:val="single" w:sz="4" w:space="0" w:color="000000"/>
              <w:left w:val="none" w:sz="6" w:space="0" w:color="auto"/>
              <w:bottom w:val="single" w:sz="4" w:space="0" w:color="000000"/>
              <w:right w:val="single" w:sz="4" w:space="0" w:color="000000"/>
            </w:tcBorders>
          </w:tcPr>
          <w:p w14:paraId="64FA2356" w14:textId="587D8BC4" w:rsidR="00DF2F42" w:rsidRPr="000D3D7F" w:rsidRDefault="00DF2F42" w:rsidP="001E1F5A">
            <w:pPr>
              <w:numPr>
                <w:ilvl w:val="0"/>
                <w:numId w:val="4"/>
              </w:numPr>
              <w:ind w:left="166" w:firstLine="0"/>
              <w:rPr>
                <w:lang w:val="sr-Latn-ME"/>
              </w:rPr>
            </w:pPr>
            <w:r w:rsidRPr="000D3D7F">
              <w:rPr>
                <w:szCs w:val="22"/>
                <w:lang w:val="sr-Latn-ME"/>
              </w:rPr>
              <w:t>Ukoliko više doza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u ciklusu nije prim</w:t>
            </w:r>
            <w:r w:rsidR="004C040C" w:rsidRPr="000D3D7F">
              <w:rPr>
                <w:szCs w:val="22"/>
                <w:lang w:val="sr-Latn-ME"/>
              </w:rPr>
              <w:t>ij</w:t>
            </w:r>
            <w:r w:rsidRPr="000D3D7F">
              <w:rPr>
                <w:szCs w:val="22"/>
                <w:lang w:val="sr-Latn-ME"/>
              </w:rPr>
              <w:t>enjeno (≥ 3 doze u toku dvoned</w:t>
            </w:r>
            <w:r w:rsidR="004C040C" w:rsidRPr="000D3D7F">
              <w:rPr>
                <w:szCs w:val="22"/>
                <w:lang w:val="sr-Latn-ME"/>
              </w:rPr>
              <w:t>j</w:t>
            </w:r>
            <w:r w:rsidRPr="000D3D7F">
              <w:rPr>
                <w:szCs w:val="22"/>
                <w:lang w:val="sr-Latn-ME"/>
              </w:rPr>
              <w:t>eljne prim</w:t>
            </w:r>
            <w:r w:rsidR="004C040C" w:rsidRPr="000D3D7F">
              <w:rPr>
                <w:szCs w:val="22"/>
                <w:lang w:val="sr-Latn-ME"/>
              </w:rPr>
              <w:t>j</w:t>
            </w:r>
            <w:r w:rsidRPr="000D3D7F">
              <w:rPr>
                <w:szCs w:val="22"/>
                <w:lang w:val="sr-Latn-ME"/>
              </w:rPr>
              <w:t>ene ili ≥ 2 doze u toku</w:t>
            </w:r>
            <w:r w:rsidR="003E6BD8" w:rsidRPr="000D3D7F">
              <w:rPr>
                <w:szCs w:val="22"/>
                <w:lang w:val="sr-Latn-ME"/>
              </w:rPr>
              <w:t xml:space="preserve"> </w:t>
            </w:r>
            <w:r w:rsidRPr="000D3D7F">
              <w:rPr>
                <w:szCs w:val="22"/>
                <w:lang w:val="sr-Latn-ME"/>
              </w:rPr>
              <w:t>jednoned</w:t>
            </w:r>
            <w:r w:rsidR="004C040C" w:rsidRPr="000D3D7F">
              <w:rPr>
                <w:szCs w:val="22"/>
                <w:lang w:val="sr-Latn-ME"/>
              </w:rPr>
              <w:t>j</w:t>
            </w:r>
            <w:r w:rsidRPr="000D3D7F">
              <w:rPr>
                <w:szCs w:val="22"/>
                <w:lang w:val="sr-Latn-ME"/>
              </w:rPr>
              <w:t>eljne prim</w:t>
            </w:r>
            <w:r w:rsidR="004C040C" w:rsidRPr="000D3D7F">
              <w:rPr>
                <w:szCs w:val="22"/>
                <w:lang w:val="sr-Latn-ME"/>
              </w:rPr>
              <w:t>j</w:t>
            </w:r>
            <w:r w:rsidRPr="000D3D7F">
              <w:rPr>
                <w:szCs w:val="22"/>
                <w:lang w:val="sr-Latn-ME"/>
              </w:rPr>
              <w:t>ene)</w:t>
            </w:r>
          </w:p>
        </w:tc>
        <w:tc>
          <w:tcPr>
            <w:tcW w:w="4733" w:type="dxa"/>
            <w:tcBorders>
              <w:top w:val="single" w:sz="4" w:space="0" w:color="000000"/>
              <w:left w:val="single" w:sz="4" w:space="0" w:color="000000"/>
              <w:bottom w:val="single" w:sz="4" w:space="0" w:color="000000"/>
              <w:right w:val="none" w:sz="6" w:space="0" w:color="auto"/>
            </w:tcBorders>
          </w:tcPr>
          <w:p w14:paraId="6B2A91AD" w14:textId="1ECCBB7F" w:rsidR="00DF2F42" w:rsidRPr="000D3D7F" w:rsidRDefault="00DF2F42" w:rsidP="001E1F5A">
            <w:pPr>
              <w:rPr>
                <w:lang w:val="sr-Latn-ME"/>
              </w:rPr>
            </w:pPr>
            <w:r w:rsidRPr="000D3D7F">
              <w:rPr>
                <w:szCs w:val="22"/>
                <w:lang w:val="sr-Latn-ME"/>
              </w:rPr>
              <w:t>Dozu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treba smanjiti za 1 dozni nivo (od 1,3 mg/m</w:t>
            </w:r>
            <w:r w:rsidRPr="000D3D7F">
              <w:rPr>
                <w:szCs w:val="22"/>
                <w:vertAlign w:val="superscript"/>
                <w:lang w:val="sr-Latn-ME"/>
              </w:rPr>
              <w:t>2</w:t>
            </w:r>
            <w:r w:rsidRPr="000D3D7F">
              <w:rPr>
                <w:szCs w:val="22"/>
                <w:lang w:val="sr-Latn-ME"/>
              </w:rPr>
              <w:t xml:space="preserve"> na 1 mg/m</w:t>
            </w:r>
            <w:r w:rsidRPr="000D3D7F">
              <w:rPr>
                <w:szCs w:val="22"/>
                <w:vertAlign w:val="superscript"/>
                <w:lang w:val="sr-Latn-ME"/>
              </w:rPr>
              <w:t>2</w:t>
            </w:r>
            <w:r w:rsidRPr="000D3D7F">
              <w:rPr>
                <w:szCs w:val="22"/>
                <w:lang w:val="sr-Latn-ME"/>
              </w:rPr>
              <w:t>, ili od 1 mg/m</w:t>
            </w:r>
            <w:r w:rsidRPr="000D3D7F">
              <w:rPr>
                <w:szCs w:val="22"/>
                <w:vertAlign w:val="superscript"/>
                <w:lang w:val="sr-Latn-ME"/>
              </w:rPr>
              <w:t>2</w:t>
            </w:r>
            <w:r w:rsidRPr="000D3D7F">
              <w:rPr>
                <w:szCs w:val="22"/>
                <w:lang w:val="sr-Latn-ME"/>
              </w:rPr>
              <w:t xml:space="preserve"> na 0,7 mg/m</w:t>
            </w:r>
            <w:r w:rsidRPr="000D3D7F">
              <w:rPr>
                <w:szCs w:val="22"/>
                <w:vertAlign w:val="superscript"/>
                <w:lang w:val="sr-Latn-ME"/>
              </w:rPr>
              <w:t>2</w:t>
            </w:r>
            <w:r w:rsidRPr="000D3D7F">
              <w:rPr>
                <w:szCs w:val="22"/>
                <w:lang w:val="sr-Latn-ME"/>
              </w:rPr>
              <w:t>)</w:t>
            </w:r>
          </w:p>
        </w:tc>
      </w:tr>
      <w:tr w:rsidR="008F670D" w:rsidRPr="000D3D7F" w14:paraId="18994660" w14:textId="77777777" w:rsidTr="00842007">
        <w:trPr>
          <w:trHeight w:val="1026"/>
        </w:trPr>
        <w:tc>
          <w:tcPr>
            <w:tcW w:w="4745" w:type="dxa"/>
            <w:tcBorders>
              <w:top w:val="single" w:sz="4" w:space="0" w:color="000000"/>
              <w:left w:val="none" w:sz="6" w:space="0" w:color="auto"/>
              <w:bottom w:val="single" w:sz="12" w:space="0" w:color="000000"/>
              <w:right w:val="single" w:sz="4" w:space="0" w:color="000000"/>
            </w:tcBorders>
          </w:tcPr>
          <w:p w14:paraId="1E68B773" w14:textId="77777777" w:rsidR="008F670D" w:rsidRPr="000D3D7F" w:rsidRDefault="008F670D" w:rsidP="001E1F5A">
            <w:pPr>
              <w:rPr>
                <w:i/>
                <w:iCs/>
                <w:lang w:val="sr-Latn-ME"/>
              </w:rPr>
            </w:pPr>
            <w:r w:rsidRPr="000D3D7F">
              <w:rPr>
                <w:i/>
                <w:iCs/>
                <w:szCs w:val="22"/>
                <w:lang w:val="sr-Latn-ME"/>
              </w:rPr>
              <w:t>Stepen ≥ 3 nehematološke toksičnosti</w:t>
            </w:r>
          </w:p>
          <w:p w14:paraId="7245D8D6" w14:textId="77777777" w:rsidR="008F670D" w:rsidRPr="000D3D7F" w:rsidRDefault="008F670D" w:rsidP="001E1F5A">
            <w:pPr>
              <w:rPr>
                <w:lang w:val="sr-Latn-ME"/>
              </w:rPr>
            </w:pPr>
          </w:p>
        </w:tc>
        <w:tc>
          <w:tcPr>
            <w:tcW w:w="4733" w:type="dxa"/>
            <w:tcBorders>
              <w:top w:val="single" w:sz="4" w:space="0" w:color="000000"/>
              <w:left w:val="single" w:sz="4" w:space="0" w:color="000000"/>
              <w:bottom w:val="single" w:sz="12" w:space="0" w:color="000000"/>
              <w:right w:val="none" w:sz="6" w:space="0" w:color="auto"/>
            </w:tcBorders>
          </w:tcPr>
          <w:p w14:paraId="7C9C709E" w14:textId="0AB35437" w:rsidR="008F670D" w:rsidRPr="000D3D7F" w:rsidRDefault="008F670D" w:rsidP="001E1F5A">
            <w:pPr>
              <w:rPr>
                <w:lang w:val="sr-Latn-ME"/>
              </w:rPr>
            </w:pPr>
            <w:r w:rsidRPr="000D3D7F">
              <w:rPr>
                <w:szCs w:val="22"/>
                <w:lang w:val="sr-Latn-ME"/>
              </w:rPr>
              <w:t>Terapiju l</w:t>
            </w:r>
            <w:r w:rsidR="004C040C"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obustaviti sve dok se simptomi toksičnosti ne svedu do 1. stepena ili osnovnog nivoa. Zatim se terapija l</w:t>
            </w:r>
            <w:r w:rsidR="004C040C"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može ponovo započeti sa dozom smanjenom za jedan dozni nivo (od 1,3 mg/m</w:t>
            </w:r>
            <w:r w:rsidRPr="000D3D7F">
              <w:rPr>
                <w:szCs w:val="22"/>
                <w:vertAlign w:val="superscript"/>
                <w:lang w:val="sr-Latn-ME"/>
              </w:rPr>
              <w:t>2</w:t>
            </w:r>
            <w:r w:rsidRPr="000D3D7F">
              <w:rPr>
                <w:szCs w:val="22"/>
                <w:lang w:val="sr-Latn-ME"/>
              </w:rPr>
              <w:t xml:space="preserve"> na 1 mg/m</w:t>
            </w:r>
            <w:r w:rsidRPr="000D3D7F">
              <w:rPr>
                <w:szCs w:val="22"/>
                <w:vertAlign w:val="superscript"/>
                <w:lang w:val="sr-Latn-ME"/>
              </w:rPr>
              <w:t>2</w:t>
            </w:r>
            <w:r w:rsidRPr="000D3D7F">
              <w:rPr>
                <w:szCs w:val="22"/>
                <w:lang w:val="sr-Latn-ME"/>
              </w:rPr>
              <w:t>, ili od 1 mg/m</w:t>
            </w:r>
            <w:r w:rsidRPr="000D3D7F">
              <w:rPr>
                <w:szCs w:val="22"/>
                <w:vertAlign w:val="superscript"/>
                <w:lang w:val="sr-Latn-ME"/>
              </w:rPr>
              <w:t>2</w:t>
            </w:r>
            <w:r w:rsidRPr="000D3D7F">
              <w:rPr>
                <w:szCs w:val="22"/>
                <w:lang w:val="sr-Latn-ME"/>
              </w:rPr>
              <w:t xml:space="preserve"> na 0,7 mg/m</w:t>
            </w:r>
            <w:r w:rsidRPr="000D3D7F">
              <w:rPr>
                <w:szCs w:val="22"/>
                <w:vertAlign w:val="superscript"/>
                <w:lang w:val="sr-Latn-ME"/>
              </w:rPr>
              <w:t>2</w:t>
            </w:r>
            <w:r w:rsidRPr="000D3D7F">
              <w:rPr>
                <w:szCs w:val="22"/>
                <w:lang w:val="sr-Latn-ME"/>
              </w:rPr>
              <w:t>). U slučaju neuropatskog bola izazvanog l</w:t>
            </w:r>
            <w:r w:rsidR="004C040C"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i/ili periferne neuropatije, održavati i/ili prilagođavati terapiju l</w:t>
            </w:r>
            <w:r w:rsidR="004C040C"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kao što je označeno u Tabeli 1.</w:t>
            </w:r>
          </w:p>
        </w:tc>
      </w:tr>
    </w:tbl>
    <w:p w14:paraId="7D2D953F" w14:textId="77777777" w:rsidR="00DF2F42" w:rsidRPr="000D3D7F" w:rsidRDefault="00DF2F42" w:rsidP="001E1F5A">
      <w:pPr>
        <w:rPr>
          <w:szCs w:val="22"/>
          <w:lang w:val="sr-Latn-ME"/>
        </w:rPr>
      </w:pPr>
    </w:p>
    <w:p w14:paraId="02D7C1F5" w14:textId="2D6852F5" w:rsidR="007C7147" w:rsidRPr="000D3D7F" w:rsidRDefault="007C7147" w:rsidP="001E1F5A">
      <w:pPr>
        <w:rPr>
          <w:szCs w:val="22"/>
          <w:lang w:val="sr-Latn-ME"/>
        </w:rPr>
      </w:pPr>
      <w:r w:rsidRPr="000D3D7F">
        <w:rPr>
          <w:szCs w:val="22"/>
          <w:lang w:val="sr-Latn-ME"/>
        </w:rPr>
        <w:t>Za dodatne informacije o melfalanu i prednizonu konsultovati Sažetak karakteristika l</w:t>
      </w:r>
      <w:r w:rsidR="004C040C" w:rsidRPr="000D3D7F">
        <w:rPr>
          <w:szCs w:val="22"/>
          <w:lang w:val="sr-Latn-ME"/>
        </w:rPr>
        <w:t>ij</w:t>
      </w:r>
      <w:r w:rsidRPr="000D3D7F">
        <w:rPr>
          <w:szCs w:val="22"/>
          <w:lang w:val="sr-Latn-ME"/>
        </w:rPr>
        <w:t>eka koji je odobren</w:t>
      </w:r>
      <w:r w:rsidR="00EF29F8" w:rsidRPr="000D3D7F">
        <w:rPr>
          <w:szCs w:val="22"/>
          <w:lang w:val="sr-Latn-ME"/>
        </w:rPr>
        <w:t xml:space="preserve"> </w:t>
      </w:r>
      <w:r w:rsidRPr="000D3D7F">
        <w:rPr>
          <w:szCs w:val="22"/>
          <w:lang w:val="sr-Latn-ME"/>
        </w:rPr>
        <w:t>nosiocu dozvole za stavljanje u promet ovih l</w:t>
      </w:r>
      <w:r w:rsidR="004C040C" w:rsidRPr="000D3D7F">
        <w:rPr>
          <w:szCs w:val="22"/>
          <w:lang w:val="sr-Latn-ME"/>
        </w:rPr>
        <w:t>j</w:t>
      </w:r>
      <w:r w:rsidRPr="000D3D7F">
        <w:rPr>
          <w:szCs w:val="22"/>
          <w:lang w:val="sr-Latn-ME"/>
        </w:rPr>
        <w:t>ekova.</w:t>
      </w:r>
    </w:p>
    <w:p w14:paraId="0DD1ABEF" w14:textId="77777777" w:rsidR="00842007" w:rsidRPr="000D3D7F" w:rsidRDefault="00842007" w:rsidP="001E1F5A">
      <w:pPr>
        <w:rPr>
          <w:szCs w:val="22"/>
          <w:lang w:val="sr-Latn-ME"/>
        </w:rPr>
      </w:pPr>
    </w:p>
    <w:p w14:paraId="52E0CBD1" w14:textId="2F26977B" w:rsidR="007C7147" w:rsidRPr="000D3D7F" w:rsidRDefault="007C7147" w:rsidP="001E1F5A">
      <w:pPr>
        <w:rPr>
          <w:szCs w:val="22"/>
          <w:u w:val="single"/>
          <w:lang w:val="sr-Latn-ME"/>
        </w:rPr>
      </w:pPr>
      <w:r w:rsidRPr="000D3D7F">
        <w:rPr>
          <w:szCs w:val="22"/>
          <w:u w:val="single"/>
          <w:lang w:val="sr-Latn-ME"/>
        </w:rPr>
        <w:t>Doziranje kod pacijenata sa prethodno nel</w:t>
      </w:r>
      <w:r w:rsidR="004C040C" w:rsidRPr="000D3D7F">
        <w:rPr>
          <w:szCs w:val="22"/>
          <w:u w:val="single"/>
          <w:lang w:val="sr-Latn-ME"/>
        </w:rPr>
        <w:t>ij</w:t>
      </w:r>
      <w:r w:rsidRPr="000D3D7F">
        <w:rPr>
          <w:szCs w:val="22"/>
          <w:u w:val="single"/>
          <w:lang w:val="sr-Latn-ME"/>
        </w:rPr>
        <w:t>ečenim mutiplim mijelomom koji su podobni za transplataciju</w:t>
      </w:r>
      <w:r w:rsidR="00EF29F8" w:rsidRPr="000D3D7F">
        <w:rPr>
          <w:szCs w:val="22"/>
          <w:u w:val="single"/>
          <w:lang w:val="sr-Latn-ME"/>
        </w:rPr>
        <w:t xml:space="preserve"> </w:t>
      </w:r>
      <w:r w:rsidRPr="000D3D7F">
        <w:rPr>
          <w:szCs w:val="22"/>
          <w:u w:val="single"/>
          <w:lang w:val="sr-Latn-ME"/>
        </w:rPr>
        <w:t>matičnih ćelija hematopoeze (indukciona terapija)</w:t>
      </w:r>
    </w:p>
    <w:p w14:paraId="14F7FFE6" w14:textId="77777777" w:rsidR="007C7147" w:rsidRPr="000D3D7F" w:rsidRDefault="007C7147" w:rsidP="001E1F5A">
      <w:pPr>
        <w:rPr>
          <w:i/>
          <w:iCs/>
          <w:szCs w:val="22"/>
          <w:lang w:val="sr-Latn-ME"/>
        </w:rPr>
      </w:pPr>
      <w:r w:rsidRPr="000D3D7F">
        <w:rPr>
          <w:i/>
          <w:iCs/>
          <w:szCs w:val="22"/>
          <w:lang w:val="sr-Latn-ME"/>
        </w:rPr>
        <w:t>Kombinovana terapija sa deksametazonom</w:t>
      </w:r>
    </w:p>
    <w:p w14:paraId="400A4A9C" w14:textId="7CBAF791" w:rsidR="007C7147" w:rsidRPr="000D3D7F" w:rsidRDefault="007C7147" w:rsidP="001E1F5A">
      <w:pPr>
        <w:rPr>
          <w:szCs w:val="22"/>
          <w:lang w:val="sr-Latn-ME"/>
        </w:rPr>
      </w:pPr>
      <w:r w:rsidRPr="000D3D7F">
        <w:rPr>
          <w:szCs w:val="22"/>
          <w:lang w:val="sr-Latn-ME"/>
        </w:rPr>
        <w:t>L</w:t>
      </w:r>
      <w:r w:rsidR="004C040C"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3,5mg prašak za rastvor za injekciju se prim</w:t>
      </w:r>
      <w:r w:rsidR="004C040C"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bortezomiba od 1,3 mg/m</w:t>
      </w:r>
      <w:r w:rsidRPr="000D3D7F">
        <w:rPr>
          <w:szCs w:val="22"/>
          <w:vertAlign w:val="superscript"/>
          <w:lang w:val="sr-Latn-ME"/>
        </w:rPr>
        <w:t>2</w:t>
      </w:r>
      <w:r w:rsidRPr="000D3D7F">
        <w:rPr>
          <w:szCs w:val="22"/>
          <w:lang w:val="sr-Latn-ME"/>
        </w:rPr>
        <w:t xml:space="preserve"> t</w:t>
      </w:r>
      <w:r w:rsidR="004C040C" w:rsidRPr="000D3D7F">
        <w:rPr>
          <w:szCs w:val="22"/>
          <w:lang w:val="sr-Latn-ME"/>
        </w:rPr>
        <w:t>j</w:t>
      </w:r>
      <w:r w:rsidRPr="000D3D7F">
        <w:rPr>
          <w:szCs w:val="22"/>
          <w:lang w:val="sr-Latn-ME"/>
        </w:rPr>
        <w:t>elesne površine dva puta ned</w:t>
      </w:r>
      <w:r w:rsidR="004C040C" w:rsidRPr="000D3D7F">
        <w:rPr>
          <w:szCs w:val="22"/>
          <w:lang w:val="sr-Latn-ME"/>
        </w:rPr>
        <w:t>j</w:t>
      </w:r>
      <w:r w:rsidRPr="000D3D7F">
        <w:rPr>
          <w:szCs w:val="22"/>
          <w:lang w:val="sr-Latn-ME"/>
        </w:rPr>
        <w:t>eljno tokom dv</w:t>
      </w:r>
      <w:r w:rsidR="004C040C" w:rsidRPr="000D3D7F">
        <w:rPr>
          <w:szCs w:val="22"/>
          <w:lang w:val="sr-Latn-ME"/>
        </w:rPr>
        <w:t>ij</w:t>
      </w:r>
      <w:r w:rsidRPr="000D3D7F">
        <w:rPr>
          <w:szCs w:val="22"/>
          <w:lang w:val="sr-Latn-ME"/>
        </w:rPr>
        <w:t>e ned</w:t>
      </w:r>
      <w:r w:rsidR="004C040C" w:rsidRPr="000D3D7F">
        <w:rPr>
          <w:szCs w:val="22"/>
          <w:lang w:val="sr-Latn-ME"/>
        </w:rPr>
        <w:t>j</w:t>
      </w:r>
      <w:r w:rsidRPr="000D3D7F">
        <w:rPr>
          <w:szCs w:val="22"/>
          <w:lang w:val="sr-Latn-ME"/>
        </w:rPr>
        <w:t>elje (1., 4., 8.</w:t>
      </w:r>
      <w:r w:rsidR="00EF29F8" w:rsidRPr="000D3D7F">
        <w:rPr>
          <w:szCs w:val="22"/>
          <w:lang w:val="sr-Latn-ME"/>
        </w:rPr>
        <w:t xml:space="preserve"> </w:t>
      </w:r>
      <w:r w:rsidRPr="000D3D7F">
        <w:rPr>
          <w:szCs w:val="22"/>
          <w:lang w:val="sr-Latn-ME"/>
        </w:rPr>
        <w:t>i 11. dan)) u terapijskom ciklusu koji traje 21 dan. Ovaj period od 3 ned</w:t>
      </w:r>
      <w:r w:rsidR="004C040C" w:rsidRPr="000D3D7F">
        <w:rPr>
          <w:szCs w:val="22"/>
          <w:lang w:val="sr-Latn-ME"/>
        </w:rPr>
        <w:t>j</w:t>
      </w:r>
      <w:r w:rsidRPr="000D3D7F">
        <w:rPr>
          <w:szCs w:val="22"/>
          <w:lang w:val="sr-Latn-ME"/>
        </w:rPr>
        <w:t>elje smatra se terapijskim ciklusom.</w:t>
      </w:r>
    </w:p>
    <w:p w14:paraId="65DD12C5" w14:textId="6018D8B1" w:rsidR="007C7147" w:rsidRPr="000D3D7F" w:rsidRDefault="007C7147" w:rsidP="001E1F5A">
      <w:pPr>
        <w:rPr>
          <w:szCs w:val="22"/>
          <w:lang w:val="sr-Latn-ME"/>
        </w:rPr>
      </w:pPr>
      <w:r w:rsidRPr="000D3D7F">
        <w:rPr>
          <w:szCs w:val="22"/>
          <w:lang w:val="sr-Latn-ME"/>
        </w:rPr>
        <w:t>Najmanje 72 sata treba da prođe između uzastopnih doza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6377E0F1" w14:textId="1B579E94" w:rsidR="007C7147" w:rsidRPr="000D3D7F" w:rsidRDefault="007C7147" w:rsidP="001E1F5A">
      <w:pPr>
        <w:rPr>
          <w:szCs w:val="22"/>
          <w:lang w:val="sr-Latn-ME"/>
        </w:rPr>
      </w:pPr>
      <w:r w:rsidRPr="000D3D7F">
        <w:rPr>
          <w:szCs w:val="22"/>
          <w:lang w:val="sr-Latn-ME"/>
        </w:rPr>
        <w:t>Deksametazon se prim</w:t>
      </w:r>
      <w:r w:rsidR="004C040C" w:rsidRPr="000D3D7F">
        <w:rPr>
          <w:szCs w:val="22"/>
          <w:lang w:val="sr-Latn-ME"/>
        </w:rPr>
        <w:t>j</w:t>
      </w:r>
      <w:r w:rsidRPr="000D3D7F">
        <w:rPr>
          <w:szCs w:val="22"/>
          <w:lang w:val="sr-Latn-ME"/>
        </w:rPr>
        <w:t xml:space="preserve">enjuje oralno u dozi od 40mg u danima 1,2,3,4,8,9,10 i 11 </w:t>
      </w:r>
      <w:r w:rsidR="007C1B2D" w:rsidRPr="000D3D7F">
        <w:rPr>
          <w:szCs w:val="22"/>
          <w:lang w:val="sr-Latn-ME"/>
        </w:rPr>
        <w:t xml:space="preserve">bortezomib </w:t>
      </w:r>
      <w:r w:rsidRPr="000D3D7F">
        <w:rPr>
          <w:szCs w:val="22"/>
          <w:lang w:val="sr-Latn-ME"/>
        </w:rPr>
        <w:t>terapijskog</w:t>
      </w:r>
      <w:r w:rsidR="00EF29F8" w:rsidRPr="000D3D7F">
        <w:rPr>
          <w:szCs w:val="22"/>
          <w:lang w:val="sr-Latn-ME"/>
        </w:rPr>
        <w:t xml:space="preserve"> </w:t>
      </w:r>
      <w:r w:rsidRPr="000D3D7F">
        <w:rPr>
          <w:szCs w:val="22"/>
          <w:lang w:val="sr-Latn-ME"/>
        </w:rPr>
        <w:t>ciklusa.</w:t>
      </w:r>
    </w:p>
    <w:p w14:paraId="08FD67E1" w14:textId="45293CC6" w:rsidR="007C7147" w:rsidRPr="000D3D7F" w:rsidRDefault="007C7147" w:rsidP="001E1F5A">
      <w:pPr>
        <w:rPr>
          <w:szCs w:val="22"/>
          <w:lang w:val="sr-Latn-ME"/>
        </w:rPr>
      </w:pPr>
      <w:r w:rsidRPr="000D3D7F">
        <w:rPr>
          <w:szCs w:val="22"/>
          <w:lang w:val="sr-Latn-ME"/>
        </w:rPr>
        <w:t>Prim</w:t>
      </w:r>
      <w:r w:rsidR="004C040C" w:rsidRPr="000D3D7F">
        <w:rPr>
          <w:szCs w:val="22"/>
          <w:lang w:val="sr-Latn-ME"/>
        </w:rPr>
        <w:t>j</w:t>
      </w:r>
      <w:r w:rsidRPr="000D3D7F">
        <w:rPr>
          <w:szCs w:val="22"/>
          <w:lang w:val="sr-Latn-ME"/>
        </w:rPr>
        <w:t>enjuju se 4 terapijska ciklusa ove kombinovane terapije.</w:t>
      </w:r>
    </w:p>
    <w:p w14:paraId="6A736407" w14:textId="77777777" w:rsidR="00842007" w:rsidRPr="000D3D7F" w:rsidRDefault="00842007" w:rsidP="001E1F5A">
      <w:pPr>
        <w:rPr>
          <w:szCs w:val="22"/>
          <w:lang w:val="sr-Latn-ME"/>
        </w:rPr>
      </w:pPr>
    </w:p>
    <w:p w14:paraId="60443F7C" w14:textId="3FBDABC4" w:rsidR="00DF2F42" w:rsidRPr="000D3D7F" w:rsidRDefault="007C7147" w:rsidP="001E1F5A">
      <w:pPr>
        <w:rPr>
          <w:i/>
          <w:iCs/>
          <w:szCs w:val="22"/>
          <w:lang w:val="sr-Latn-ME"/>
        </w:rPr>
      </w:pPr>
      <w:r w:rsidRPr="000D3D7F">
        <w:rPr>
          <w:i/>
          <w:iCs/>
          <w:szCs w:val="22"/>
          <w:lang w:val="sr-Latn-ME"/>
        </w:rPr>
        <w:t>Kombinovana terapija sa deksametazonom i talidomidom</w:t>
      </w:r>
    </w:p>
    <w:p w14:paraId="7D083F8E" w14:textId="4081BABA" w:rsidR="007C7147" w:rsidRPr="000D3D7F" w:rsidRDefault="007C7147" w:rsidP="001E1F5A">
      <w:pPr>
        <w:rPr>
          <w:szCs w:val="22"/>
          <w:lang w:val="sr-Latn-ME"/>
        </w:rPr>
      </w:pPr>
      <w:r w:rsidRPr="000D3D7F">
        <w:rPr>
          <w:szCs w:val="22"/>
          <w:lang w:val="sr-Latn-ME"/>
        </w:rPr>
        <w:lastRenderedPageBreak/>
        <w:t>L</w:t>
      </w:r>
      <w:r w:rsidR="004C040C"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3,5mg prašak za rastvor za injekciju se prim</w:t>
      </w:r>
      <w:r w:rsidR="004C040C"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bortezomiba od 1,3 mg/m</w:t>
      </w:r>
      <w:r w:rsidRPr="000D3D7F">
        <w:rPr>
          <w:szCs w:val="22"/>
          <w:vertAlign w:val="superscript"/>
          <w:lang w:val="sr-Latn-ME"/>
        </w:rPr>
        <w:t>2</w:t>
      </w:r>
      <w:r w:rsidRPr="000D3D7F">
        <w:rPr>
          <w:szCs w:val="22"/>
          <w:lang w:val="sr-Latn-ME"/>
        </w:rPr>
        <w:t xml:space="preserve"> t</w:t>
      </w:r>
      <w:r w:rsidR="004C040C" w:rsidRPr="000D3D7F">
        <w:rPr>
          <w:szCs w:val="22"/>
          <w:lang w:val="sr-Latn-ME"/>
        </w:rPr>
        <w:t>j</w:t>
      </w:r>
      <w:r w:rsidRPr="000D3D7F">
        <w:rPr>
          <w:szCs w:val="22"/>
          <w:lang w:val="sr-Latn-ME"/>
        </w:rPr>
        <w:t>elesne površine dva puta ned</w:t>
      </w:r>
      <w:r w:rsidR="004C040C" w:rsidRPr="000D3D7F">
        <w:rPr>
          <w:szCs w:val="22"/>
          <w:lang w:val="sr-Latn-ME"/>
        </w:rPr>
        <w:t>j</w:t>
      </w:r>
      <w:r w:rsidRPr="000D3D7F">
        <w:rPr>
          <w:szCs w:val="22"/>
          <w:lang w:val="sr-Latn-ME"/>
        </w:rPr>
        <w:t>eljno tokom dv</w:t>
      </w:r>
      <w:r w:rsidR="004C040C" w:rsidRPr="000D3D7F">
        <w:rPr>
          <w:szCs w:val="22"/>
          <w:lang w:val="sr-Latn-ME"/>
        </w:rPr>
        <w:t>ij</w:t>
      </w:r>
      <w:r w:rsidRPr="000D3D7F">
        <w:rPr>
          <w:szCs w:val="22"/>
          <w:lang w:val="sr-Latn-ME"/>
        </w:rPr>
        <w:t>e ned</w:t>
      </w:r>
      <w:r w:rsidR="004C040C" w:rsidRPr="000D3D7F">
        <w:rPr>
          <w:szCs w:val="22"/>
          <w:lang w:val="sr-Latn-ME"/>
        </w:rPr>
        <w:t>j</w:t>
      </w:r>
      <w:r w:rsidRPr="000D3D7F">
        <w:rPr>
          <w:szCs w:val="22"/>
          <w:lang w:val="sr-Latn-ME"/>
        </w:rPr>
        <w:t>elje (1., 4., 8.</w:t>
      </w:r>
      <w:r w:rsidR="00EF29F8" w:rsidRPr="000D3D7F">
        <w:rPr>
          <w:szCs w:val="22"/>
          <w:lang w:val="sr-Latn-ME"/>
        </w:rPr>
        <w:t xml:space="preserve"> </w:t>
      </w:r>
      <w:r w:rsidRPr="000D3D7F">
        <w:rPr>
          <w:szCs w:val="22"/>
          <w:lang w:val="sr-Latn-ME"/>
        </w:rPr>
        <w:t>i 11. dan) u terapijskom ciklusu koji traje 28 dana. Ovaj period od 4 ned</w:t>
      </w:r>
      <w:r w:rsidR="004C040C" w:rsidRPr="000D3D7F">
        <w:rPr>
          <w:szCs w:val="22"/>
          <w:lang w:val="sr-Latn-ME"/>
        </w:rPr>
        <w:t>j</w:t>
      </w:r>
      <w:r w:rsidRPr="000D3D7F">
        <w:rPr>
          <w:szCs w:val="22"/>
          <w:lang w:val="sr-Latn-ME"/>
        </w:rPr>
        <w:t>elje smatra se terapijskim ciklusom.</w:t>
      </w:r>
    </w:p>
    <w:p w14:paraId="407B1A01" w14:textId="37A1A046" w:rsidR="007C7147" w:rsidRPr="000D3D7F" w:rsidRDefault="007C7147" w:rsidP="001E1F5A">
      <w:pPr>
        <w:rPr>
          <w:szCs w:val="22"/>
          <w:lang w:val="sr-Latn-ME"/>
        </w:rPr>
      </w:pPr>
      <w:r w:rsidRPr="000D3D7F">
        <w:rPr>
          <w:szCs w:val="22"/>
          <w:lang w:val="sr-Latn-ME"/>
        </w:rPr>
        <w:t>Najmanje 72 sata treba da prođe između uzastopnih doza l</w:t>
      </w:r>
      <w:r w:rsidR="004C040C"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463C7FD6" w14:textId="31C35737" w:rsidR="007C7147" w:rsidRPr="000D3D7F" w:rsidRDefault="007C7147" w:rsidP="001E1F5A">
      <w:pPr>
        <w:rPr>
          <w:szCs w:val="22"/>
          <w:lang w:val="sr-Latn-ME"/>
        </w:rPr>
      </w:pPr>
      <w:r w:rsidRPr="000D3D7F">
        <w:rPr>
          <w:szCs w:val="22"/>
          <w:lang w:val="sr-Latn-ME"/>
        </w:rPr>
        <w:t>Deksametazon se prim</w:t>
      </w:r>
      <w:r w:rsidR="004C040C" w:rsidRPr="000D3D7F">
        <w:rPr>
          <w:szCs w:val="22"/>
          <w:lang w:val="sr-Latn-ME"/>
        </w:rPr>
        <w:t>j</w:t>
      </w:r>
      <w:r w:rsidRPr="000D3D7F">
        <w:rPr>
          <w:szCs w:val="22"/>
          <w:lang w:val="sr-Latn-ME"/>
        </w:rPr>
        <w:t>enjuje oralno u dozi od 40mg u danima 1,2,3,4, 8,9,10 i 11,</w:t>
      </w:r>
      <w:r w:rsidR="007C1B2D" w:rsidRPr="000D3D7F">
        <w:rPr>
          <w:szCs w:val="22"/>
          <w:lang w:val="sr-Latn-ME"/>
        </w:rPr>
        <w:t xml:space="preserve"> bortezomib</w:t>
      </w:r>
      <w:r w:rsidRPr="000D3D7F">
        <w:rPr>
          <w:szCs w:val="22"/>
          <w:lang w:val="sr-Latn-ME"/>
        </w:rPr>
        <w:t xml:space="preserve"> terapijskog</w:t>
      </w:r>
      <w:r w:rsidR="00EF29F8" w:rsidRPr="000D3D7F">
        <w:rPr>
          <w:szCs w:val="22"/>
          <w:lang w:val="sr-Latn-ME"/>
        </w:rPr>
        <w:t xml:space="preserve"> </w:t>
      </w:r>
      <w:r w:rsidRPr="000D3D7F">
        <w:rPr>
          <w:szCs w:val="22"/>
          <w:lang w:val="sr-Latn-ME"/>
        </w:rPr>
        <w:t>ciklusa.</w:t>
      </w:r>
    </w:p>
    <w:p w14:paraId="0F413658" w14:textId="546FB936" w:rsidR="007C7147" w:rsidRPr="000D3D7F" w:rsidRDefault="007C7147" w:rsidP="001E1F5A">
      <w:pPr>
        <w:rPr>
          <w:szCs w:val="22"/>
          <w:lang w:val="sr-Latn-ME"/>
        </w:rPr>
      </w:pPr>
      <w:r w:rsidRPr="000D3D7F">
        <w:rPr>
          <w:szCs w:val="22"/>
          <w:lang w:val="sr-Latn-ME"/>
        </w:rPr>
        <w:t>Talidomid se prim</w:t>
      </w:r>
      <w:r w:rsidR="004C040C" w:rsidRPr="000D3D7F">
        <w:rPr>
          <w:szCs w:val="22"/>
          <w:lang w:val="sr-Latn-ME"/>
        </w:rPr>
        <w:t>j</w:t>
      </w:r>
      <w:r w:rsidRPr="000D3D7F">
        <w:rPr>
          <w:szCs w:val="22"/>
          <w:lang w:val="sr-Latn-ME"/>
        </w:rPr>
        <w:t>enjuje oralno u dozi od 50mg dnevno u danima 1-14 i ukoliko se doza dobro podnosi,</w:t>
      </w:r>
      <w:r w:rsidR="00EF29F8" w:rsidRPr="000D3D7F">
        <w:rPr>
          <w:szCs w:val="22"/>
          <w:lang w:val="sr-Latn-ME"/>
        </w:rPr>
        <w:t xml:space="preserve"> </w:t>
      </w:r>
      <w:r w:rsidRPr="000D3D7F">
        <w:rPr>
          <w:szCs w:val="22"/>
          <w:lang w:val="sr-Latn-ME"/>
        </w:rPr>
        <w:t>nakon toga povećati dozu na 100mg u danima 15-28 i nakon toga može da se poveća na 200mg dnevno od 2.</w:t>
      </w:r>
      <w:r w:rsidR="00EF29F8" w:rsidRPr="000D3D7F">
        <w:rPr>
          <w:szCs w:val="22"/>
          <w:lang w:val="sr-Latn-ME"/>
        </w:rPr>
        <w:t xml:space="preserve"> </w:t>
      </w:r>
      <w:r w:rsidRPr="000D3D7F">
        <w:rPr>
          <w:szCs w:val="22"/>
          <w:lang w:val="sr-Latn-ME"/>
        </w:rPr>
        <w:t>ciklusa (vid</w:t>
      </w:r>
      <w:r w:rsidR="004C040C" w:rsidRPr="000D3D7F">
        <w:rPr>
          <w:szCs w:val="22"/>
          <w:lang w:val="sr-Latn-ME"/>
        </w:rPr>
        <w:t>j</w:t>
      </w:r>
      <w:r w:rsidRPr="000D3D7F">
        <w:rPr>
          <w:szCs w:val="22"/>
          <w:lang w:val="sr-Latn-ME"/>
        </w:rPr>
        <w:t>eti Tabelu 4).</w:t>
      </w:r>
    </w:p>
    <w:p w14:paraId="329C775B" w14:textId="5D213B23" w:rsidR="007C7147" w:rsidRPr="000D3D7F" w:rsidRDefault="007C7147" w:rsidP="001E1F5A">
      <w:pPr>
        <w:rPr>
          <w:szCs w:val="22"/>
          <w:lang w:val="sr-Latn-ME"/>
        </w:rPr>
      </w:pPr>
      <w:r w:rsidRPr="000D3D7F">
        <w:rPr>
          <w:szCs w:val="22"/>
          <w:lang w:val="sr-Latn-ME"/>
        </w:rPr>
        <w:t>Prim</w:t>
      </w:r>
      <w:r w:rsidR="004C040C" w:rsidRPr="000D3D7F">
        <w:rPr>
          <w:szCs w:val="22"/>
          <w:lang w:val="sr-Latn-ME"/>
        </w:rPr>
        <w:t>j</w:t>
      </w:r>
      <w:r w:rsidRPr="000D3D7F">
        <w:rPr>
          <w:szCs w:val="22"/>
          <w:lang w:val="sr-Latn-ME"/>
        </w:rPr>
        <w:t>enjuju se 4 terapijska ciklusa ove kombinovane terapije. Preporučuje se da pacijenti sa najmanje</w:t>
      </w:r>
      <w:r w:rsidR="00EF29F8" w:rsidRPr="000D3D7F">
        <w:rPr>
          <w:szCs w:val="22"/>
          <w:lang w:val="sr-Latn-ME"/>
        </w:rPr>
        <w:t xml:space="preserve"> </w:t>
      </w:r>
      <w:r w:rsidRPr="000D3D7F">
        <w:rPr>
          <w:szCs w:val="22"/>
          <w:lang w:val="sr-Latn-ME"/>
        </w:rPr>
        <w:t>parcijalnim odgovorom dobiju 2 dodatna ciklusa.</w:t>
      </w:r>
    </w:p>
    <w:p w14:paraId="245237B8" w14:textId="77777777" w:rsidR="00842007" w:rsidRPr="000D3D7F" w:rsidRDefault="00842007" w:rsidP="001E1F5A">
      <w:pPr>
        <w:rPr>
          <w:i/>
          <w:iCs/>
          <w:szCs w:val="22"/>
          <w:lang w:val="sr-Latn-ME"/>
        </w:rPr>
      </w:pPr>
    </w:p>
    <w:p w14:paraId="5D92116D" w14:textId="2565F910" w:rsidR="007C7147" w:rsidRPr="000D3D7F" w:rsidRDefault="007C7147" w:rsidP="001E1F5A">
      <w:pPr>
        <w:rPr>
          <w:szCs w:val="22"/>
          <w:lang w:val="sr-Latn-ME"/>
        </w:rPr>
      </w:pPr>
      <w:r w:rsidRPr="000D3D7F">
        <w:rPr>
          <w:i/>
          <w:iCs/>
          <w:szCs w:val="22"/>
          <w:lang w:val="sr-Latn-ME"/>
        </w:rPr>
        <w:t>Tabela 4: Doziranje l</w:t>
      </w:r>
      <w:r w:rsidR="004C040C" w:rsidRPr="000D3D7F">
        <w:rPr>
          <w:i/>
          <w:iCs/>
          <w:szCs w:val="22"/>
          <w:lang w:val="sr-Latn-ME"/>
        </w:rPr>
        <w:t>ij</w:t>
      </w:r>
      <w:r w:rsidRPr="000D3D7F">
        <w:rPr>
          <w:i/>
          <w:iCs/>
          <w:szCs w:val="22"/>
          <w:lang w:val="sr-Latn-ME"/>
        </w:rPr>
        <w:t xml:space="preserve">eka </w:t>
      </w:r>
      <w:r w:rsidR="00353A78" w:rsidRPr="000D3D7F">
        <w:rPr>
          <w:i/>
          <w:iCs/>
          <w:szCs w:val="22"/>
          <w:lang w:val="sr-Latn-ME"/>
        </w:rPr>
        <w:t>Bortegaz</w:t>
      </w:r>
      <w:r w:rsidRPr="000D3D7F">
        <w:rPr>
          <w:i/>
          <w:iCs/>
          <w:szCs w:val="22"/>
          <w:lang w:val="sr-Latn-ME"/>
        </w:rPr>
        <w:t xml:space="preserve"> u kombinovanoj terapiji kod pacijenata sa prethodno nel</w:t>
      </w:r>
      <w:r w:rsidR="004C040C" w:rsidRPr="000D3D7F">
        <w:rPr>
          <w:i/>
          <w:iCs/>
          <w:szCs w:val="22"/>
          <w:lang w:val="sr-Latn-ME"/>
        </w:rPr>
        <w:t>ij</w:t>
      </w:r>
      <w:r w:rsidRPr="000D3D7F">
        <w:rPr>
          <w:i/>
          <w:iCs/>
          <w:szCs w:val="22"/>
          <w:lang w:val="sr-Latn-ME"/>
        </w:rPr>
        <w:t>ečenim mutiplim</w:t>
      </w:r>
      <w:r w:rsidR="00EF29F8" w:rsidRPr="000D3D7F">
        <w:rPr>
          <w:i/>
          <w:iCs/>
          <w:szCs w:val="22"/>
          <w:lang w:val="sr-Latn-ME"/>
        </w:rPr>
        <w:t xml:space="preserve"> </w:t>
      </w:r>
      <w:r w:rsidRPr="000D3D7F">
        <w:rPr>
          <w:i/>
          <w:iCs/>
          <w:szCs w:val="22"/>
          <w:lang w:val="sr-Latn-ME"/>
        </w:rPr>
        <w:t>mijelomom koji su podobni za transplataciju matičnih ćelija hematopoeze</w:t>
      </w:r>
    </w:p>
    <w:tbl>
      <w:tblPr>
        <w:tblW w:w="9857" w:type="dxa"/>
        <w:tblInd w:w="-5" w:type="dxa"/>
        <w:tblLayout w:type="fixed"/>
        <w:tblCellMar>
          <w:left w:w="0" w:type="dxa"/>
          <w:right w:w="0" w:type="dxa"/>
        </w:tblCellMar>
        <w:tblLook w:val="0000" w:firstRow="0" w:lastRow="0" w:firstColumn="0" w:lastColumn="0" w:noHBand="0" w:noVBand="0"/>
      </w:tblPr>
      <w:tblGrid>
        <w:gridCol w:w="1637"/>
        <w:gridCol w:w="1651"/>
        <w:gridCol w:w="1641"/>
        <w:gridCol w:w="1641"/>
        <w:gridCol w:w="1646"/>
        <w:gridCol w:w="1641"/>
      </w:tblGrid>
      <w:tr w:rsidR="007C7147" w:rsidRPr="000D3D7F" w14:paraId="572F4E63" w14:textId="77777777" w:rsidTr="00F8315E">
        <w:trPr>
          <w:trHeight w:val="253"/>
        </w:trPr>
        <w:tc>
          <w:tcPr>
            <w:tcW w:w="1637" w:type="dxa"/>
            <w:vMerge w:val="restart"/>
            <w:tcBorders>
              <w:top w:val="single" w:sz="4" w:space="0" w:color="000000"/>
              <w:left w:val="single" w:sz="4" w:space="0" w:color="000000"/>
              <w:bottom w:val="single" w:sz="4" w:space="0" w:color="000000"/>
              <w:right w:val="single" w:sz="4" w:space="0" w:color="000000"/>
            </w:tcBorders>
          </w:tcPr>
          <w:p w14:paraId="47B37982" w14:textId="3F6634A5" w:rsidR="007C7147" w:rsidRPr="000D3D7F" w:rsidRDefault="00BA555C" w:rsidP="001E1F5A">
            <w:pPr>
              <w:rPr>
                <w:b/>
                <w:bCs/>
                <w:lang w:val="sr-Latn-ME"/>
              </w:rPr>
            </w:pPr>
            <w:r w:rsidRPr="000D3D7F">
              <w:rPr>
                <w:b/>
                <w:bCs/>
                <w:szCs w:val="22"/>
                <w:lang w:val="sr-Latn-ME"/>
              </w:rPr>
              <w:t>B</w:t>
            </w:r>
            <w:r w:rsidR="00D81C8F" w:rsidRPr="000D3D7F">
              <w:rPr>
                <w:b/>
                <w:bCs/>
                <w:szCs w:val="22"/>
                <w:lang w:val="sr-Latn-ME"/>
              </w:rPr>
              <w:t>z</w:t>
            </w:r>
            <w:r w:rsidR="007C7147" w:rsidRPr="000D3D7F">
              <w:rPr>
                <w:b/>
                <w:bCs/>
                <w:szCs w:val="22"/>
                <w:lang w:val="sr-Latn-ME"/>
              </w:rPr>
              <w:t>+ Dx</w:t>
            </w:r>
          </w:p>
        </w:tc>
        <w:tc>
          <w:tcPr>
            <w:tcW w:w="8220" w:type="dxa"/>
            <w:gridSpan w:val="5"/>
            <w:tcBorders>
              <w:top w:val="single" w:sz="4" w:space="0" w:color="000000"/>
              <w:left w:val="single" w:sz="4" w:space="0" w:color="000000"/>
              <w:bottom w:val="single" w:sz="4" w:space="0" w:color="000000"/>
              <w:right w:val="single" w:sz="4" w:space="0" w:color="000000"/>
            </w:tcBorders>
          </w:tcPr>
          <w:p w14:paraId="4B49542E" w14:textId="77777777" w:rsidR="007C7147" w:rsidRPr="000D3D7F" w:rsidRDefault="007C7147" w:rsidP="001E1F5A">
            <w:pPr>
              <w:rPr>
                <w:b/>
                <w:bCs/>
                <w:lang w:val="sr-Latn-ME"/>
              </w:rPr>
            </w:pPr>
            <w:r w:rsidRPr="000D3D7F">
              <w:rPr>
                <w:b/>
                <w:bCs/>
                <w:szCs w:val="22"/>
                <w:lang w:val="sr-Latn-ME"/>
              </w:rPr>
              <w:t>Ciklusi 1 do 4</w:t>
            </w:r>
          </w:p>
        </w:tc>
      </w:tr>
      <w:tr w:rsidR="007C7147" w:rsidRPr="000D3D7F" w14:paraId="7B959049" w14:textId="77777777" w:rsidTr="00F8315E">
        <w:trPr>
          <w:trHeight w:val="254"/>
        </w:trPr>
        <w:tc>
          <w:tcPr>
            <w:tcW w:w="1637" w:type="dxa"/>
            <w:vMerge/>
            <w:tcBorders>
              <w:top w:val="nil"/>
              <w:left w:val="single" w:sz="4" w:space="0" w:color="000000"/>
              <w:bottom w:val="single" w:sz="4" w:space="0" w:color="000000"/>
              <w:right w:val="single" w:sz="4" w:space="0" w:color="000000"/>
            </w:tcBorders>
          </w:tcPr>
          <w:p w14:paraId="4CDF1876"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25BA414F" w14:textId="54109D7F" w:rsidR="007C7147" w:rsidRPr="000D3D7F" w:rsidRDefault="007C7147" w:rsidP="001E1F5A">
            <w:pPr>
              <w:rPr>
                <w:b/>
                <w:bCs/>
                <w:lang w:val="sr-Latn-ME"/>
              </w:rPr>
            </w:pPr>
            <w:r w:rsidRPr="000D3D7F">
              <w:rPr>
                <w:b/>
                <w:bCs/>
                <w:szCs w:val="22"/>
                <w:lang w:val="sr-Latn-ME"/>
              </w:rPr>
              <w:t>Ned</w:t>
            </w:r>
            <w:r w:rsidR="004C040C" w:rsidRPr="000D3D7F">
              <w:rPr>
                <w:b/>
                <w:bCs/>
                <w:szCs w:val="22"/>
                <w:lang w:val="sr-Latn-ME"/>
              </w:rPr>
              <w:t>j</w:t>
            </w:r>
            <w:r w:rsidRPr="000D3D7F">
              <w:rPr>
                <w:b/>
                <w:bCs/>
                <w:szCs w:val="22"/>
                <w:lang w:val="sr-Latn-ME"/>
              </w:rPr>
              <w:t>elja</w:t>
            </w:r>
          </w:p>
        </w:tc>
        <w:tc>
          <w:tcPr>
            <w:tcW w:w="1641" w:type="dxa"/>
            <w:tcBorders>
              <w:top w:val="single" w:sz="4" w:space="0" w:color="000000"/>
              <w:left w:val="single" w:sz="4" w:space="0" w:color="000000"/>
              <w:bottom w:val="single" w:sz="4" w:space="0" w:color="000000"/>
              <w:right w:val="single" w:sz="4" w:space="0" w:color="000000"/>
            </w:tcBorders>
          </w:tcPr>
          <w:p w14:paraId="75683063" w14:textId="77777777" w:rsidR="007C7147" w:rsidRPr="000D3D7F" w:rsidRDefault="007C7147" w:rsidP="001E1F5A">
            <w:pPr>
              <w:rPr>
                <w:b/>
                <w:bCs/>
                <w:lang w:val="sr-Latn-ME"/>
              </w:rPr>
            </w:pPr>
            <w:r w:rsidRPr="000D3D7F">
              <w:rPr>
                <w:b/>
                <w:bCs/>
                <w:szCs w:val="22"/>
                <w:lang w:val="sr-Latn-ME"/>
              </w:rPr>
              <w:t>1</w:t>
            </w:r>
          </w:p>
        </w:tc>
        <w:tc>
          <w:tcPr>
            <w:tcW w:w="1641" w:type="dxa"/>
            <w:tcBorders>
              <w:top w:val="single" w:sz="4" w:space="0" w:color="000000"/>
              <w:left w:val="single" w:sz="4" w:space="0" w:color="000000"/>
              <w:bottom w:val="single" w:sz="4" w:space="0" w:color="000000"/>
              <w:right w:val="single" w:sz="4" w:space="0" w:color="000000"/>
            </w:tcBorders>
          </w:tcPr>
          <w:p w14:paraId="39154B1D" w14:textId="77777777" w:rsidR="007C7147" w:rsidRPr="000D3D7F" w:rsidRDefault="007C7147" w:rsidP="001E1F5A">
            <w:pPr>
              <w:rPr>
                <w:b/>
                <w:bCs/>
                <w:lang w:val="sr-Latn-ME"/>
              </w:rPr>
            </w:pPr>
            <w:r w:rsidRPr="000D3D7F">
              <w:rPr>
                <w:b/>
                <w:bCs/>
                <w:szCs w:val="22"/>
                <w:lang w:val="sr-Latn-ME"/>
              </w:rPr>
              <w:t>2</w:t>
            </w:r>
          </w:p>
        </w:tc>
        <w:tc>
          <w:tcPr>
            <w:tcW w:w="3287" w:type="dxa"/>
            <w:gridSpan w:val="2"/>
            <w:tcBorders>
              <w:top w:val="single" w:sz="4" w:space="0" w:color="000000"/>
              <w:left w:val="single" w:sz="4" w:space="0" w:color="000000"/>
              <w:bottom w:val="single" w:sz="4" w:space="0" w:color="000000"/>
              <w:right w:val="single" w:sz="4" w:space="0" w:color="000000"/>
            </w:tcBorders>
          </w:tcPr>
          <w:p w14:paraId="00EF68D6" w14:textId="77777777" w:rsidR="007C7147" w:rsidRPr="000D3D7F" w:rsidRDefault="007C7147" w:rsidP="001E1F5A">
            <w:pPr>
              <w:rPr>
                <w:b/>
                <w:bCs/>
                <w:lang w:val="sr-Latn-ME"/>
              </w:rPr>
            </w:pPr>
            <w:r w:rsidRPr="000D3D7F">
              <w:rPr>
                <w:b/>
                <w:bCs/>
                <w:szCs w:val="22"/>
                <w:lang w:val="sr-Latn-ME"/>
              </w:rPr>
              <w:t>3</w:t>
            </w:r>
          </w:p>
        </w:tc>
      </w:tr>
      <w:tr w:rsidR="007C7147" w:rsidRPr="000D3D7F" w14:paraId="77F87F3D"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33CD49B7"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6591C6F9" w14:textId="2DF5B7FE" w:rsidR="007C7147" w:rsidRPr="000D3D7F" w:rsidRDefault="00EF43F3" w:rsidP="001E1F5A">
            <w:pPr>
              <w:rPr>
                <w:vertAlign w:val="superscript"/>
                <w:lang w:val="sr-Latn-ME"/>
              </w:rPr>
            </w:pPr>
            <w:r w:rsidRPr="000D3D7F">
              <w:rPr>
                <w:szCs w:val="22"/>
                <w:lang w:val="sr-Latn-ME"/>
              </w:rPr>
              <w:t>B</w:t>
            </w:r>
            <w:r w:rsidR="0068011E" w:rsidRPr="000D3D7F">
              <w:rPr>
                <w:szCs w:val="22"/>
                <w:lang w:val="sr-Latn-ME"/>
              </w:rPr>
              <w:t>z</w:t>
            </w:r>
            <w:r w:rsidR="007C7147" w:rsidRPr="000D3D7F">
              <w:rPr>
                <w:szCs w:val="22"/>
                <w:lang w:val="sr-Latn-ME"/>
              </w:rPr>
              <w:t xml:space="preserve"> (1,3 mg/m</w:t>
            </w:r>
            <w:r w:rsidR="007C7147" w:rsidRPr="000D3D7F">
              <w:rPr>
                <w:szCs w:val="22"/>
                <w:vertAlign w:val="superscript"/>
                <w:lang w:val="sr-Latn-ME"/>
              </w:rPr>
              <w:t>2)</w:t>
            </w:r>
          </w:p>
        </w:tc>
        <w:tc>
          <w:tcPr>
            <w:tcW w:w="1641" w:type="dxa"/>
            <w:tcBorders>
              <w:top w:val="single" w:sz="4" w:space="0" w:color="000000"/>
              <w:left w:val="single" w:sz="4" w:space="0" w:color="000000"/>
              <w:bottom w:val="single" w:sz="4" w:space="0" w:color="000000"/>
              <w:right w:val="single" w:sz="4" w:space="0" w:color="000000"/>
            </w:tcBorders>
          </w:tcPr>
          <w:p w14:paraId="248B21F7" w14:textId="77777777" w:rsidR="007C7147" w:rsidRPr="000D3D7F" w:rsidRDefault="007C7147" w:rsidP="001E1F5A">
            <w:pPr>
              <w:rPr>
                <w:lang w:val="sr-Latn-ME"/>
              </w:rPr>
            </w:pPr>
            <w:r w:rsidRPr="000D3D7F">
              <w:rPr>
                <w:szCs w:val="22"/>
                <w:lang w:val="sr-Latn-ME"/>
              </w:rPr>
              <w:t>Dan 1, 4</w:t>
            </w:r>
          </w:p>
        </w:tc>
        <w:tc>
          <w:tcPr>
            <w:tcW w:w="1641" w:type="dxa"/>
            <w:tcBorders>
              <w:top w:val="single" w:sz="4" w:space="0" w:color="000000"/>
              <w:left w:val="single" w:sz="4" w:space="0" w:color="000000"/>
              <w:bottom w:val="single" w:sz="4" w:space="0" w:color="000000"/>
              <w:right w:val="single" w:sz="4" w:space="0" w:color="000000"/>
            </w:tcBorders>
          </w:tcPr>
          <w:p w14:paraId="08A2BC9A" w14:textId="77777777" w:rsidR="007C7147" w:rsidRPr="000D3D7F" w:rsidRDefault="007C7147" w:rsidP="001E1F5A">
            <w:pPr>
              <w:rPr>
                <w:lang w:val="sr-Latn-ME"/>
              </w:rPr>
            </w:pPr>
            <w:r w:rsidRPr="000D3D7F">
              <w:rPr>
                <w:szCs w:val="22"/>
                <w:lang w:val="sr-Latn-ME"/>
              </w:rPr>
              <w:t>Dan 8, 11</w:t>
            </w:r>
          </w:p>
        </w:tc>
        <w:tc>
          <w:tcPr>
            <w:tcW w:w="3287" w:type="dxa"/>
            <w:gridSpan w:val="2"/>
            <w:tcBorders>
              <w:top w:val="single" w:sz="4" w:space="0" w:color="000000"/>
              <w:left w:val="single" w:sz="4" w:space="0" w:color="000000"/>
              <w:bottom w:val="single" w:sz="4" w:space="0" w:color="000000"/>
              <w:right w:val="single" w:sz="4" w:space="0" w:color="000000"/>
            </w:tcBorders>
          </w:tcPr>
          <w:p w14:paraId="662A1870" w14:textId="1CECDEC8" w:rsidR="007C7147" w:rsidRPr="000D3D7F" w:rsidRDefault="007C7147" w:rsidP="001E1F5A">
            <w:pPr>
              <w:rPr>
                <w:lang w:val="sr-Latn-ME"/>
              </w:rPr>
            </w:pPr>
            <w:r w:rsidRPr="000D3D7F">
              <w:rPr>
                <w:szCs w:val="22"/>
                <w:lang w:val="sr-Latn-ME"/>
              </w:rPr>
              <w:t>Period bez l</w:t>
            </w:r>
            <w:r w:rsidR="004C040C" w:rsidRPr="000D3D7F">
              <w:rPr>
                <w:szCs w:val="22"/>
                <w:lang w:val="sr-Latn-ME"/>
              </w:rPr>
              <w:t>ij</w:t>
            </w:r>
            <w:r w:rsidRPr="000D3D7F">
              <w:rPr>
                <w:szCs w:val="22"/>
                <w:lang w:val="sr-Latn-ME"/>
              </w:rPr>
              <w:t>eka</w:t>
            </w:r>
          </w:p>
        </w:tc>
      </w:tr>
      <w:tr w:rsidR="007C7147" w:rsidRPr="000D3D7F" w14:paraId="5E7F3AFB" w14:textId="77777777" w:rsidTr="00F8315E">
        <w:trPr>
          <w:trHeight w:val="249"/>
        </w:trPr>
        <w:tc>
          <w:tcPr>
            <w:tcW w:w="1637" w:type="dxa"/>
            <w:vMerge/>
            <w:tcBorders>
              <w:top w:val="nil"/>
              <w:left w:val="single" w:sz="4" w:space="0" w:color="000000"/>
              <w:bottom w:val="single" w:sz="4" w:space="0" w:color="000000"/>
              <w:right w:val="single" w:sz="4" w:space="0" w:color="000000"/>
            </w:tcBorders>
          </w:tcPr>
          <w:p w14:paraId="13363F59"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2328FA4C" w14:textId="77777777" w:rsidR="007C7147" w:rsidRPr="000D3D7F" w:rsidRDefault="007C7147" w:rsidP="001E1F5A">
            <w:pPr>
              <w:rPr>
                <w:lang w:val="sr-Latn-ME"/>
              </w:rPr>
            </w:pPr>
            <w:r w:rsidRPr="000D3D7F">
              <w:rPr>
                <w:szCs w:val="22"/>
                <w:lang w:val="sr-Latn-ME"/>
              </w:rPr>
              <w:t>Dx 40 mg</w:t>
            </w:r>
          </w:p>
        </w:tc>
        <w:tc>
          <w:tcPr>
            <w:tcW w:w="1641" w:type="dxa"/>
            <w:tcBorders>
              <w:top w:val="single" w:sz="4" w:space="0" w:color="000000"/>
              <w:left w:val="single" w:sz="4" w:space="0" w:color="000000"/>
              <w:bottom w:val="single" w:sz="4" w:space="0" w:color="000000"/>
              <w:right w:val="single" w:sz="4" w:space="0" w:color="000000"/>
            </w:tcBorders>
          </w:tcPr>
          <w:p w14:paraId="7616FB97" w14:textId="77777777" w:rsidR="007C7147" w:rsidRPr="000D3D7F" w:rsidRDefault="007C7147" w:rsidP="001E1F5A">
            <w:pPr>
              <w:rPr>
                <w:lang w:val="sr-Latn-ME"/>
              </w:rPr>
            </w:pPr>
            <w:r w:rsidRPr="000D3D7F">
              <w:rPr>
                <w:szCs w:val="22"/>
                <w:lang w:val="sr-Latn-ME"/>
              </w:rPr>
              <w:t>Dan 1,2, 3, 4,</w:t>
            </w:r>
          </w:p>
        </w:tc>
        <w:tc>
          <w:tcPr>
            <w:tcW w:w="1641" w:type="dxa"/>
            <w:tcBorders>
              <w:top w:val="single" w:sz="4" w:space="0" w:color="000000"/>
              <w:left w:val="single" w:sz="4" w:space="0" w:color="000000"/>
              <w:bottom w:val="single" w:sz="4" w:space="0" w:color="000000"/>
              <w:right w:val="single" w:sz="4" w:space="0" w:color="000000"/>
            </w:tcBorders>
          </w:tcPr>
          <w:p w14:paraId="6ABEC2B8" w14:textId="77777777" w:rsidR="007C7147" w:rsidRPr="000D3D7F" w:rsidRDefault="007C7147" w:rsidP="001E1F5A">
            <w:pPr>
              <w:rPr>
                <w:lang w:val="sr-Latn-ME"/>
              </w:rPr>
            </w:pPr>
            <w:r w:rsidRPr="000D3D7F">
              <w:rPr>
                <w:szCs w:val="22"/>
                <w:lang w:val="sr-Latn-ME"/>
              </w:rPr>
              <w:t>Dan 8,9,10,11</w:t>
            </w:r>
          </w:p>
        </w:tc>
        <w:tc>
          <w:tcPr>
            <w:tcW w:w="3287" w:type="dxa"/>
            <w:gridSpan w:val="2"/>
            <w:tcBorders>
              <w:top w:val="single" w:sz="4" w:space="0" w:color="000000"/>
              <w:left w:val="single" w:sz="4" w:space="0" w:color="000000"/>
              <w:bottom w:val="single" w:sz="4" w:space="0" w:color="000000"/>
              <w:right w:val="single" w:sz="4" w:space="0" w:color="000000"/>
            </w:tcBorders>
          </w:tcPr>
          <w:p w14:paraId="3340F838" w14:textId="77777777" w:rsidR="007C7147" w:rsidRPr="000D3D7F" w:rsidRDefault="007C7147" w:rsidP="001E1F5A">
            <w:pPr>
              <w:rPr>
                <w:lang w:val="sr-Latn-ME"/>
              </w:rPr>
            </w:pPr>
            <w:r w:rsidRPr="000D3D7F">
              <w:rPr>
                <w:szCs w:val="22"/>
                <w:lang w:val="sr-Latn-ME"/>
              </w:rPr>
              <w:t>-</w:t>
            </w:r>
          </w:p>
        </w:tc>
      </w:tr>
      <w:tr w:rsidR="007C7147" w:rsidRPr="000D3D7F" w14:paraId="3985E8EA" w14:textId="77777777" w:rsidTr="00F8315E">
        <w:trPr>
          <w:trHeight w:val="253"/>
        </w:trPr>
        <w:tc>
          <w:tcPr>
            <w:tcW w:w="1637" w:type="dxa"/>
            <w:vMerge w:val="restart"/>
            <w:tcBorders>
              <w:top w:val="single" w:sz="4" w:space="0" w:color="000000"/>
              <w:left w:val="single" w:sz="4" w:space="0" w:color="000000"/>
              <w:bottom w:val="single" w:sz="4" w:space="0" w:color="000000"/>
              <w:right w:val="single" w:sz="4" w:space="0" w:color="000000"/>
            </w:tcBorders>
          </w:tcPr>
          <w:p w14:paraId="5206A9B1" w14:textId="4EFE6892" w:rsidR="007C7147" w:rsidRPr="000D3D7F" w:rsidRDefault="00BA555C" w:rsidP="001E1F5A">
            <w:pPr>
              <w:rPr>
                <w:b/>
                <w:bCs/>
                <w:lang w:val="sr-Latn-ME"/>
              </w:rPr>
            </w:pPr>
            <w:r w:rsidRPr="000D3D7F">
              <w:rPr>
                <w:b/>
                <w:bCs/>
                <w:szCs w:val="22"/>
                <w:lang w:val="sr-Latn-ME"/>
              </w:rPr>
              <w:t>B</w:t>
            </w:r>
            <w:r w:rsidR="00D81C8F" w:rsidRPr="000D3D7F">
              <w:rPr>
                <w:b/>
                <w:bCs/>
                <w:szCs w:val="22"/>
                <w:lang w:val="sr-Latn-ME"/>
              </w:rPr>
              <w:t>z</w:t>
            </w:r>
            <w:r w:rsidR="007C7147" w:rsidRPr="000D3D7F">
              <w:rPr>
                <w:b/>
                <w:bCs/>
                <w:szCs w:val="22"/>
                <w:lang w:val="sr-Latn-ME"/>
              </w:rPr>
              <w:t xml:space="preserve"> +Dx +T</w:t>
            </w:r>
          </w:p>
        </w:tc>
        <w:tc>
          <w:tcPr>
            <w:tcW w:w="8220" w:type="dxa"/>
            <w:gridSpan w:val="5"/>
            <w:tcBorders>
              <w:top w:val="single" w:sz="4" w:space="0" w:color="000000"/>
              <w:left w:val="single" w:sz="4" w:space="0" w:color="000000"/>
              <w:bottom w:val="single" w:sz="4" w:space="0" w:color="000000"/>
              <w:right w:val="single" w:sz="4" w:space="0" w:color="000000"/>
            </w:tcBorders>
          </w:tcPr>
          <w:p w14:paraId="64A8C477" w14:textId="77777777" w:rsidR="007C7147" w:rsidRPr="000D3D7F" w:rsidRDefault="007C7147" w:rsidP="001E1F5A">
            <w:pPr>
              <w:rPr>
                <w:b/>
                <w:bCs/>
                <w:lang w:val="sr-Latn-ME"/>
              </w:rPr>
            </w:pPr>
            <w:r w:rsidRPr="000D3D7F">
              <w:rPr>
                <w:b/>
                <w:bCs/>
                <w:szCs w:val="22"/>
                <w:lang w:val="sr-Latn-ME"/>
              </w:rPr>
              <w:t>Ciklus 1</w:t>
            </w:r>
          </w:p>
        </w:tc>
      </w:tr>
      <w:tr w:rsidR="007C7147" w:rsidRPr="000D3D7F" w14:paraId="2CC50BE3" w14:textId="77777777" w:rsidTr="00F8315E">
        <w:trPr>
          <w:trHeight w:val="254"/>
        </w:trPr>
        <w:tc>
          <w:tcPr>
            <w:tcW w:w="1637" w:type="dxa"/>
            <w:vMerge/>
            <w:tcBorders>
              <w:top w:val="nil"/>
              <w:left w:val="single" w:sz="4" w:space="0" w:color="000000"/>
              <w:bottom w:val="single" w:sz="4" w:space="0" w:color="000000"/>
              <w:right w:val="single" w:sz="4" w:space="0" w:color="000000"/>
            </w:tcBorders>
          </w:tcPr>
          <w:p w14:paraId="6145311F"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367A637B" w14:textId="462B6C35" w:rsidR="007C7147" w:rsidRPr="000D3D7F" w:rsidRDefault="007C7147" w:rsidP="001E1F5A">
            <w:pPr>
              <w:rPr>
                <w:b/>
                <w:bCs/>
                <w:lang w:val="sr-Latn-ME"/>
              </w:rPr>
            </w:pPr>
            <w:r w:rsidRPr="000D3D7F">
              <w:rPr>
                <w:b/>
                <w:bCs/>
                <w:szCs w:val="22"/>
                <w:lang w:val="sr-Latn-ME"/>
              </w:rPr>
              <w:t>Ned</w:t>
            </w:r>
            <w:r w:rsidR="004C040C" w:rsidRPr="000D3D7F">
              <w:rPr>
                <w:b/>
                <w:bCs/>
                <w:szCs w:val="22"/>
                <w:lang w:val="sr-Latn-ME"/>
              </w:rPr>
              <w:t>j</w:t>
            </w:r>
            <w:r w:rsidRPr="000D3D7F">
              <w:rPr>
                <w:b/>
                <w:bCs/>
                <w:szCs w:val="22"/>
                <w:lang w:val="sr-Latn-ME"/>
              </w:rPr>
              <w:t>elja</w:t>
            </w:r>
          </w:p>
        </w:tc>
        <w:tc>
          <w:tcPr>
            <w:tcW w:w="1641" w:type="dxa"/>
            <w:tcBorders>
              <w:top w:val="single" w:sz="4" w:space="0" w:color="000000"/>
              <w:left w:val="single" w:sz="4" w:space="0" w:color="000000"/>
              <w:bottom w:val="single" w:sz="4" w:space="0" w:color="000000"/>
              <w:right w:val="single" w:sz="4" w:space="0" w:color="000000"/>
            </w:tcBorders>
          </w:tcPr>
          <w:p w14:paraId="10472AC5" w14:textId="77777777" w:rsidR="007C7147" w:rsidRPr="000D3D7F" w:rsidRDefault="007C7147" w:rsidP="001E1F5A">
            <w:pPr>
              <w:rPr>
                <w:b/>
                <w:bCs/>
                <w:lang w:val="sr-Latn-ME"/>
              </w:rPr>
            </w:pPr>
            <w:r w:rsidRPr="000D3D7F">
              <w:rPr>
                <w:b/>
                <w:bCs/>
                <w:szCs w:val="22"/>
                <w:lang w:val="sr-Latn-ME"/>
              </w:rPr>
              <w:t>1</w:t>
            </w:r>
          </w:p>
        </w:tc>
        <w:tc>
          <w:tcPr>
            <w:tcW w:w="1641" w:type="dxa"/>
            <w:tcBorders>
              <w:top w:val="single" w:sz="4" w:space="0" w:color="000000"/>
              <w:left w:val="single" w:sz="4" w:space="0" w:color="000000"/>
              <w:bottom w:val="single" w:sz="4" w:space="0" w:color="000000"/>
              <w:right w:val="single" w:sz="4" w:space="0" w:color="000000"/>
            </w:tcBorders>
          </w:tcPr>
          <w:p w14:paraId="15408D2D" w14:textId="77777777" w:rsidR="007C7147" w:rsidRPr="000D3D7F" w:rsidRDefault="007C7147" w:rsidP="001E1F5A">
            <w:pPr>
              <w:rPr>
                <w:b/>
                <w:bCs/>
                <w:lang w:val="sr-Latn-ME"/>
              </w:rPr>
            </w:pPr>
            <w:r w:rsidRPr="000D3D7F">
              <w:rPr>
                <w:b/>
                <w:bCs/>
                <w:szCs w:val="22"/>
                <w:lang w:val="sr-Latn-ME"/>
              </w:rPr>
              <w:t>2</w:t>
            </w:r>
          </w:p>
        </w:tc>
        <w:tc>
          <w:tcPr>
            <w:tcW w:w="1646" w:type="dxa"/>
            <w:tcBorders>
              <w:top w:val="single" w:sz="4" w:space="0" w:color="000000"/>
              <w:left w:val="single" w:sz="4" w:space="0" w:color="000000"/>
              <w:bottom w:val="single" w:sz="4" w:space="0" w:color="000000"/>
              <w:right w:val="single" w:sz="4" w:space="0" w:color="000000"/>
            </w:tcBorders>
          </w:tcPr>
          <w:p w14:paraId="6874C75E" w14:textId="77777777" w:rsidR="007C7147" w:rsidRPr="000D3D7F" w:rsidRDefault="007C7147" w:rsidP="001E1F5A">
            <w:pPr>
              <w:rPr>
                <w:b/>
                <w:bCs/>
                <w:lang w:val="sr-Latn-ME"/>
              </w:rPr>
            </w:pPr>
            <w:r w:rsidRPr="000D3D7F">
              <w:rPr>
                <w:b/>
                <w:bCs/>
                <w:szCs w:val="22"/>
                <w:lang w:val="sr-Latn-ME"/>
              </w:rPr>
              <w:t>3</w:t>
            </w:r>
          </w:p>
        </w:tc>
        <w:tc>
          <w:tcPr>
            <w:tcW w:w="1641" w:type="dxa"/>
            <w:tcBorders>
              <w:top w:val="single" w:sz="4" w:space="0" w:color="000000"/>
              <w:left w:val="single" w:sz="4" w:space="0" w:color="000000"/>
              <w:bottom w:val="single" w:sz="4" w:space="0" w:color="000000"/>
              <w:right w:val="single" w:sz="4" w:space="0" w:color="000000"/>
            </w:tcBorders>
          </w:tcPr>
          <w:p w14:paraId="6311610D" w14:textId="77777777" w:rsidR="007C7147" w:rsidRPr="000D3D7F" w:rsidRDefault="007C7147" w:rsidP="001E1F5A">
            <w:pPr>
              <w:rPr>
                <w:b/>
                <w:bCs/>
                <w:lang w:val="sr-Latn-ME"/>
              </w:rPr>
            </w:pPr>
            <w:r w:rsidRPr="000D3D7F">
              <w:rPr>
                <w:b/>
                <w:bCs/>
                <w:szCs w:val="22"/>
                <w:lang w:val="sr-Latn-ME"/>
              </w:rPr>
              <w:t>4</w:t>
            </w:r>
          </w:p>
        </w:tc>
      </w:tr>
      <w:tr w:rsidR="007C7147" w:rsidRPr="000D3D7F" w14:paraId="42F356D6"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1E65C6FA"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418F318C" w14:textId="0E6B8837" w:rsidR="007C7147" w:rsidRPr="000D3D7F" w:rsidRDefault="00EF43F3" w:rsidP="001E1F5A">
            <w:pPr>
              <w:rPr>
                <w:vertAlign w:val="superscript"/>
                <w:lang w:val="sr-Latn-ME"/>
              </w:rPr>
            </w:pPr>
            <w:r w:rsidRPr="000D3D7F">
              <w:rPr>
                <w:szCs w:val="22"/>
                <w:lang w:val="sr-Latn-ME"/>
              </w:rPr>
              <w:t>B</w:t>
            </w:r>
            <w:r w:rsidR="0068011E" w:rsidRPr="000D3D7F">
              <w:rPr>
                <w:szCs w:val="22"/>
                <w:lang w:val="sr-Latn-ME"/>
              </w:rPr>
              <w:t>z</w:t>
            </w:r>
            <w:r w:rsidR="007C7147" w:rsidRPr="000D3D7F">
              <w:rPr>
                <w:szCs w:val="22"/>
                <w:lang w:val="sr-Latn-ME"/>
              </w:rPr>
              <w:t xml:space="preserve"> (1,3 mg/m</w:t>
            </w:r>
            <w:r w:rsidR="007C7147" w:rsidRPr="000D3D7F">
              <w:rPr>
                <w:szCs w:val="22"/>
                <w:vertAlign w:val="superscript"/>
                <w:lang w:val="sr-Latn-ME"/>
              </w:rPr>
              <w:t>2)</w:t>
            </w:r>
          </w:p>
        </w:tc>
        <w:tc>
          <w:tcPr>
            <w:tcW w:w="1641" w:type="dxa"/>
            <w:tcBorders>
              <w:top w:val="single" w:sz="4" w:space="0" w:color="000000"/>
              <w:left w:val="single" w:sz="4" w:space="0" w:color="000000"/>
              <w:bottom w:val="single" w:sz="4" w:space="0" w:color="000000"/>
              <w:right w:val="single" w:sz="4" w:space="0" w:color="000000"/>
            </w:tcBorders>
          </w:tcPr>
          <w:p w14:paraId="2D6CA1B3" w14:textId="77777777" w:rsidR="007C7147" w:rsidRPr="000D3D7F" w:rsidRDefault="007C7147" w:rsidP="001E1F5A">
            <w:pPr>
              <w:rPr>
                <w:lang w:val="sr-Latn-ME"/>
              </w:rPr>
            </w:pPr>
            <w:r w:rsidRPr="000D3D7F">
              <w:rPr>
                <w:szCs w:val="22"/>
                <w:lang w:val="sr-Latn-ME"/>
              </w:rPr>
              <w:t>Dan 1, 4</w:t>
            </w:r>
          </w:p>
        </w:tc>
        <w:tc>
          <w:tcPr>
            <w:tcW w:w="1641" w:type="dxa"/>
            <w:tcBorders>
              <w:top w:val="single" w:sz="4" w:space="0" w:color="000000"/>
              <w:left w:val="single" w:sz="4" w:space="0" w:color="000000"/>
              <w:bottom w:val="single" w:sz="4" w:space="0" w:color="000000"/>
              <w:right w:val="single" w:sz="4" w:space="0" w:color="000000"/>
            </w:tcBorders>
          </w:tcPr>
          <w:p w14:paraId="3B8421B3" w14:textId="77777777" w:rsidR="007C7147" w:rsidRPr="000D3D7F" w:rsidRDefault="007C7147" w:rsidP="001E1F5A">
            <w:pPr>
              <w:rPr>
                <w:lang w:val="sr-Latn-ME"/>
              </w:rPr>
            </w:pPr>
            <w:r w:rsidRPr="000D3D7F">
              <w:rPr>
                <w:szCs w:val="22"/>
                <w:lang w:val="sr-Latn-ME"/>
              </w:rPr>
              <w:t>Dan 8, 11</w:t>
            </w:r>
          </w:p>
        </w:tc>
        <w:tc>
          <w:tcPr>
            <w:tcW w:w="1646" w:type="dxa"/>
            <w:tcBorders>
              <w:top w:val="single" w:sz="4" w:space="0" w:color="000000"/>
              <w:left w:val="single" w:sz="4" w:space="0" w:color="000000"/>
              <w:bottom w:val="single" w:sz="4" w:space="0" w:color="000000"/>
              <w:right w:val="single" w:sz="4" w:space="0" w:color="000000"/>
            </w:tcBorders>
          </w:tcPr>
          <w:p w14:paraId="570DA96A" w14:textId="42911585" w:rsidR="007C7147" w:rsidRPr="000D3D7F" w:rsidRDefault="007C7147" w:rsidP="001E1F5A">
            <w:pPr>
              <w:rPr>
                <w:lang w:val="sr-Latn-ME"/>
              </w:rPr>
            </w:pPr>
            <w:r w:rsidRPr="000D3D7F">
              <w:rPr>
                <w:szCs w:val="22"/>
                <w:lang w:val="sr-Latn-ME"/>
              </w:rPr>
              <w:t>Period bez l</w:t>
            </w:r>
            <w:r w:rsidR="004C040C" w:rsidRPr="000D3D7F">
              <w:rPr>
                <w:szCs w:val="22"/>
                <w:lang w:val="sr-Latn-ME"/>
              </w:rPr>
              <w:t>ij</w:t>
            </w:r>
            <w:r w:rsidRPr="000D3D7F">
              <w:rPr>
                <w:szCs w:val="22"/>
                <w:lang w:val="sr-Latn-ME"/>
              </w:rPr>
              <w:t>eka</w:t>
            </w:r>
          </w:p>
        </w:tc>
        <w:tc>
          <w:tcPr>
            <w:tcW w:w="1641" w:type="dxa"/>
            <w:tcBorders>
              <w:top w:val="single" w:sz="4" w:space="0" w:color="000000"/>
              <w:left w:val="single" w:sz="4" w:space="0" w:color="000000"/>
              <w:bottom w:val="single" w:sz="4" w:space="0" w:color="000000"/>
              <w:right w:val="single" w:sz="4" w:space="0" w:color="000000"/>
            </w:tcBorders>
          </w:tcPr>
          <w:p w14:paraId="42293C19" w14:textId="5FA2CEDD" w:rsidR="007C7147" w:rsidRPr="000D3D7F" w:rsidRDefault="007C7147" w:rsidP="001E1F5A">
            <w:pPr>
              <w:rPr>
                <w:lang w:val="sr-Latn-ME"/>
              </w:rPr>
            </w:pPr>
            <w:r w:rsidRPr="000D3D7F">
              <w:rPr>
                <w:szCs w:val="22"/>
                <w:lang w:val="sr-Latn-ME"/>
              </w:rPr>
              <w:t>Period bez l</w:t>
            </w:r>
            <w:r w:rsidR="004C040C" w:rsidRPr="000D3D7F">
              <w:rPr>
                <w:szCs w:val="22"/>
                <w:lang w:val="sr-Latn-ME"/>
              </w:rPr>
              <w:t>ij</w:t>
            </w:r>
            <w:r w:rsidRPr="000D3D7F">
              <w:rPr>
                <w:szCs w:val="22"/>
                <w:lang w:val="sr-Latn-ME"/>
              </w:rPr>
              <w:t>eka</w:t>
            </w:r>
          </w:p>
        </w:tc>
      </w:tr>
      <w:tr w:rsidR="007C7147" w:rsidRPr="000D3D7F" w14:paraId="16894B4D"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0C571BB9"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04CF42BB" w14:textId="77777777" w:rsidR="007C7147" w:rsidRPr="000D3D7F" w:rsidRDefault="007C7147" w:rsidP="001E1F5A">
            <w:pPr>
              <w:rPr>
                <w:lang w:val="sr-Latn-ME"/>
              </w:rPr>
            </w:pPr>
            <w:r w:rsidRPr="000D3D7F">
              <w:rPr>
                <w:szCs w:val="22"/>
                <w:lang w:val="sr-Latn-ME"/>
              </w:rPr>
              <w:t>T 50mg</w:t>
            </w:r>
          </w:p>
        </w:tc>
        <w:tc>
          <w:tcPr>
            <w:tcW w:w="1641" w:type="dxa"/>
            <w:tcBorders>
              <w:top w:val="single" w:sz="4" w:space="0" w:color="000000"/>
              <w:left w:val="single" w:sz="4" w:space="0" w:color="000000"/>
              <w:bottom w:val="single" w:sz="4" w:space="0" w:color="000000"/>
              <w:right w:val="single" w:sz="4" w:space="0" w:color="000000"/>
            </w:tcBorders>
          </w:tcPr>
          <w:p w14:paraId="1E3FAE18" w14:textId="77777777" w:rsidR="007C7147" w:rsidRPr="000D3D7F" w:rsidRDefault="007C7147" w:rsidP="001E1F5A">
            <w:pPr>
              <w:rPr>
                <w:lang w:val="sr-Latn-ME"/>
              </w:rPr>
            </w:pPr>
            <w:r w:rsidRPr="000D3D7F">
              <w:rPr>
                <w:szCs w:val="22"/>
                <w:lang w:val="sr-Latn-ME"/>
              </w:rPr>
              <w:t>Dnevno</w:t>
            </w:r>
          </w:p>
        </w:tc>
        <w:tc>
          <w:tcPr>
            <w:tcW w:w="1641" w:type="dxa"/>
            <w:tcBorders>
              <w:top w:val="single" w:sz="4" w:space="0" w:color="000000"/>
              <w:left w:val="single" w:sz="4" w:space="0" w:color="000000"/>
              <w:bottom w:val="single" w:sz="4" w:space="0" w:color="000000"/>
              <w:right w:val="single" w:sz="4" w:space="0" w:color="000000"/>
            </w:tcBorders>
          </w:tcPr>
          <w:p w14:paraId="0C067E01" w14:textId="77777777" w:rsidR="007C7147" w:rsidRPr="000D3D7F" w:rsidRDefault="007C7147" w:rsidP="001E1F5A">
            <w:pPr>
              <w:rPr>
                <w:lang w:val="sr-Latn-ME"/>
              </w:rPr>
            </w:pPr>
            <w:r w:rsidRPr="000D3D7F">
              <w:rPr>
                <w:szCs w:val="22"/>
                <w:lang w:val="sr-Latn-ME"/>
              </w:rPr>
              <w:t>Dnevno</w:t>
            </w:r>
          </w:p>
        </w:tc>
        <w:tc>
          <w:tcPr>
            <w:tcW w:w="1646" w:type="dxa"/>
            <w:tcBorders>
              <w:top w:val="single" w:sz="4" w:space="0" w:color="000000"/>
              <w:left w:val="single" w:sz="4" w:space="0" w:color="000000"/>
              <w:bottom w:val="single" w:sz="4" w:space="0" w:color="000000"/>
              <w:right w:val="single" w:sz="4" w:space="0" w:color="000000"/>
            </w:tcBorders>
          </w:tcPr>
          <w:p w14:paraId="701C9113" w14:textId="77777777" w:rsidR="007C7147" w:rsidRPr="000D3D7F" w:rsidRDefault="007C7147" w:rsidP="001E1F5A">
            <w:pPr>
              <w:rPr>
                <w:lang w:val="sr-Latn-ME"/>
              </w:rPr>
            </w:pPr>
            <w:r w:rsidRPr="000D3D7F">
              <w:rPr>
                <w:szCs w:val="22"/>
                <w:lang w:val="sr-Latn-ME"/>
              </w:rPr>
              <w:t>-</w:t>
            </w:r>
          </w:p>
        </w:tc>
        <w:tc>
          <w:tcPr>
            <w:tcW w:w="1641" w:type="dxa"/>
            <w:tcBorders>
              <w:top w:val="single" w:sz="4" w:space="0" w:color="000000"/>
              <w:left w:val="single" w:sz="4" w:space="0" w:color="000000"/>
              <w:bottom w:val="single" w:sz="4" w:space="0" w:color="000000"/>
              <w:right w:val="single" w:sz="4" w:space="0" w:color="000000"/>
            </w:tcBorders>
          </w:tcPr>
          <w:p w14:paraId="12F68642" w14:textId="77777777" w:rsidR="007C7147" w:rsidRPr="000D3D7F" w:rsidRDefault="007C7147" w:rsidP="001E1F5A">
            <w:pPr>
              <w:rPr>
                <w:lang w:val="sr-Latn-ME"/>
              </w:rPr>
            </w:pPr>
            <w:r w:rsidRPr="000D3D7F">
              <w:rPr>
                <w:szCs w:val="22"/>
                <w:lang w:val="sr-Latn-ME"/>
              </w:rPr>
              <w:t>-</w:t>
            </w:r>
          </w:p>
        </w:tc>
      </w:tr>
      <w:tr w:rsidR="007C7147" w:rsidRPr="000D3D7F" w14:paraId="3C685BED" w14:textId="77777777" w:rsidTr="00F8315E">
        <w:trPr>
          <w:trHeight w:val="249"/>
        </w:trPr>
        <w:tc>
          <w:tcPr>
            <w:tcW w:w="1637" w:type="dxa"/>
            <w:vMerge/>
            <w:tcBorders>
              <w:top w:val="nil"/>
              <w:left w:val="single" w:sz="4" w:space="0" w:color="000000"/>
              <w:bottom w:val="single" w:sz="4" w:space="0" w:color="000000"/>
              <w:right w:val="single" w:sz="4" w:space="0" w:color="000000"/>
            </w:tcBorders>
          </w:tcPr>
          <w:p w14:paraId="2C1A7ABA"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0EE2FC6D" w14:textId="77777777" w:rsidR="007C7147" w:rsidRPr="000D3D7F" w:rsidRDefault="007C7147" w:rsidP="001E1F5A">
            <w:pPr>
              <w:rPr>
                <w:lang w:val="sr-Latn-ME"/>
              </w:rPr>
            </w:pPr>
            <w:r w:rsidRPr="000D3D7F">
              <w:rPr>
                <w:szCs w:val="22"/>
                <w:lang w:val="sr-Latn-ME"/>
              </w:rPr>
              <w:t>T 100mg*</w:t>
            </w:r>
          </w:p>
        </w:tc>
        <w:tc>
          <w:tcPr>
            <w:tcW w:w="1641" w:type="dxa"/>
            <w:tcBorders>
              <w:top w:val="single" w:sz="4" w:space="0" w:color="000000"/>
              <w:left w:val="single" w:sz="4" w:space="0" w:color="000000"/>
              <w:bottom w:val="single" w:sz="4" w:space="0" w:color="000000"/>
              <w:right w:val="single" w:sz="4" w:space="0" w:color="000000"/>
            </w:tcBorders>
          </w:tcPr>
          <w:p w14:paraId="34FAA6AF" w14:textId="77777777" w:rsidR="007C7147" w:rsidRPr="000D3D7F" w:rsidRDefault="007C7147" w:rsidP="001E1F5A">
            <w:pPr>
              <w:rPr>
                <w:lang w:val="sr-Latn-ME"/>
              </w:rPr>
            </w:pPr>
            <w:r w:rsidRPr="000D3D7F">
              <w:rPr>
                <w:szCs w:val="22"/>
                <w:lang w:val="sr-Latn-ME"/>
              </w:rPr>
              <w:t>-</w:t>
            </w:r>
          </w:p>
        </w:tc>
        <w:tc>
          <w:tcPr>
            <w:tcW w:w="1641" w:type="dxa"/>
            <w:tcBorders>
              <w:top w:val="single" w:sz="4" w:space="0" w:color="000000"/>
              <w:left w:val="single" w:sz="4" w:space="0" w:color="000000"/>
              <w:bottom w:val="single" w:sz="4" w:space="0" w:color="000000"/>
              <w:right w:val="single" w:sz="4" w:space="0" w:color="000000"/>
            </w:tcBorders>
          </w:tcPr>
          <w:p w14:paraId="0ED94D30" w14:textId="77777777" w:rsidR="007C7147" w:rsidRPr="000D3D7F" w:rsidRDefault="007C7147" w:rsidP="001E1F5A">
            <w:pPr>
              <w:rPr>
                <w:lang w:val="sr-Latn-ME"/>
              </w:rPr>
            </w:pPr>
            <w:r w:rsidRPr="000D3D7F">
              <w:rPr>
                <w:szCs w:val="22"/>
                <w:lang w:val="sr-Latn-ME"/>
              </w:rPr>
              <w:t>-</w:t>
            </w:r>
          </w:p>
        </w:tc>
        <w:tc>
          <w:tcPr>
            <w:tcW w:w="1646" w:type="dxa"/>
            <w:tcBorders>
              <w:top w:val="single" w:sz="4" w:space="0" w:color="000000"/>
              <w:left w:val="single" w:sz="4" w:space="0" w:color="000000"/>
              <w:bottom w:val="single" w:sz="4" w:space="0" w:color="000000"/>
              <w:right w:val="single" w:sz="4" w:space="0" w:color="000000"/>
            </w:tcBorders>
          </w:tcPr>
          <w:p w14:paraId="4172D419" w14:textId="77777777" w:rsidR="007C7147" w:rsidRPr="000D3D7F" w:rsidRDefault="007C7147" w:rsidP="001E1F5A">
            <w:pPr>
              <w:rPr>
                <w:lang w:val="sr-Latn-ME"/>
              </w:rPr>
            </w:pPr>
            <w:r w:rsidRPr="000D3D7F">
              <w:rPr>
                <w:szCs w:val="22"/>
                <w:lang w:val="sr-Latn-ME"/>
              </w:rPr>
              <w:t>Dnevno</w:t>
            </w:r>
          </w:p>
        </w:tc>
        <w:tc>
          <w:tcPr>
            <w:tcW w:w="1641" w:type="dxa"/>
            <w:tcBorders>
              <w:top w:val="single" w:sz="4" w:space="0" w:color="000000"/>
              <w:left w:val="single" w:sz="4" w:space="0" w:color="000000"/>
              <w:bottom w:val="single" w:sz="4" w:space="0" w:color="000000"/>
              <w:right w:val="single" w:sz="4" w:space="0" w:color="000000"/>
            </w:tcBorders>
          </w:tcPr>
          <w:p w14:paraId="6D3F9C9E" w14:textId="77777777" w:rsidR="007C7147" w:rsidRPr="000D3D7F" w:rsidRDefault="007C7147" w:rsidP="001E1F5A">
            <w:pPr>
              <w:rPr>
                <w:lang w:val="sr-Latn-ME"/>
              </w:rPr>
            </w:pPr>
            <w:r w:rsidRPr="000D3D7F">
              <w:rPr>
                <w:szCs w:val="22"/>
                <w:lang w:val="sr-Latn-ME"/>
              </w:rPr>
              <w:t>Dnevno</w:t>
            </w:r>
          </w:p>
        </w:tc>
      </w:tr>
      <w:tr w:rsidR="007C7147" w:rsidRPr="000D3D7F" w14:paraId="06357DF8" w14:textId="77777777" w:rsidTr="00F8315E">
        <w:trPr>
          <w:trHeight w:val="254"/>
        </w:trPr>
        <w:tc>
          <w:tcPr>
            <w:tcW w:w="1637" w:type="dxa"/>
            <w:vMerge/>
            <w:tcBorders>
              <w:top w:val="nil"/>
              <w:left w:val="single" w:sz="4" w:space="0" w:color="000000"/>
              <w:bottom w:val="single" w:sz="4" w:space="0" w:color="000000"/>
              <w:right w:val="single" w:sz="4" w:space="0" w:color="000000"/>
            </w:tcBorders>
          </w:tcPr>
          <w:p w14:paraId="0A9B56C3"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045C2B25" w14:textId="77777777" w:rsidR="007C7147" w:rsidRPr="000D3D7F" w:rsidRDefault="007C7147" w:rsidP="001E1F5A">
            <w:pPr>
              <w:rPr>
                <w:lang w:val="sr-Latn-ME"/>
              </w:rPr>
            </w:pPr>
            <w:r w:rsidRPr="000D3D7F">
              <w:rPr>
                <w:szCs w:val="22"/>
                <w:lang w:val="sr-Latn-ME"/>
              </w:rPr>
              <w:t>Dx 40 mg</w:t>
            </w:r>
          </w:p>
        </w:tc>
        <w:tc>
          <w:tcPr>
            <w:tcW w:w="1641" w:type="dxa"/>
            <w:tcBorders>
              <w:top w:val="single" w:sz="4" w:space="0" w:color="000000"/>
              <w:left w:val="single" w:sz="4" w:space="0" w:color="000000"/>
              <w:bottom w:val="single" w:sz="4" w:space="0" w:color="000000"/>
              <w:right w:val="single" w:sz="4" w:space="0" w:color="000000"/>
            </w:tcBorders>
          </w:tcPr>
          <w:p w14:paraId="5EEFD5AC" w14:textId="77777777" w:rsidR="007C7147" w:rsidRPr="000D3D7F" w:rsidRDefault="007C7147" w:rsidP="001E1F5A">
            <w:pPr>
              <w:rPr>
                <w:lang w:val="sr-Latn-ME"/>
              </w:rPr>
            </w:pPr>
            <w:r w:rsidRPr="000D3D7F">
              <w:rPr>
                <w:szCs w:val="22"/>
                <w:lang w:val="sr-Latn-ME"/>
              </w:rPr>
              <w:t>Dan 1,2, 3, 4,</w:t>
            </w:r>
          </w:p>
        </w:tc>
        <w:tc>
          <w:tcPr>
            <w:tcW w:w="1641" w:type="dxa"/>
            <w:tcBorders>
              <w:top w:val="single" w:sz="4" w:space="0" w:color="000000"/>
              <w:left w:val="single" w:sz="4" w:space="0" w:color="000000"/>
              <w:bottom w:val="single" w:sz="4" w:space="0" w:color="000000"/>
              <w:right w:val="single" w:sz="4" w:space="0" w:color="000000"/>
            </w:tcBorders>
          </w:tcPr>
          <w:p w14:paraId="31E52045" w14:textId="77777777" w:rsidR="007C7147" w:rsidRPr="000D3D7F" w:rsidRDefault="007C7147" w:rsidP="001E1F5A">
            <w:pPr>
              <w:rPr>
                <w:lang w:val="sr-Latn-ME"/>
              </w:rPr>
            </w:pPr>
            <w:r w:rsidRPr="000D3D7F">
              <w:rPr>
                <w:szCs w:val="22"/>
                <w:lang w:val="sr-Latn-ME"/>
              </w:rPr>
              <w:t>Dan 8,9,10,11</w:t>
            </w:r>
          </w:p>
        </w:tc>
        <w:tc>
          <w:tcPr>
            <w:tcW w:w="1646" w:type="dxa"/>
            <w:tcBorders>
              <w:top w:val="single" w:sz="4" w:space="0" w:color="000000"/>
              <w:left w:val="single" w:sz="4" w:space="0" w:color="000000"/>
              <w:bottom w:val="single" w:sz="4" w:space="0" w:color="000000"/>
              <w:right w:val="single" w:sz="4" w:space="0" w:color="000000"/>
            </w:tcBorders>
          </w:tcPr>
          <w:p w14:paraId="3E13C96A" w14:textId="77777777" w:rsidR="007C7147" w:rsidRPr="000D3D7F" w:rsidRDefault="007C7147" w:rsidP="001E1F5A">
            <w:pPr>
              <w:rPr>
                <w:lang w:val="sr-Latn-ME"/>
              </w:rPr>
            </w:pPr>
            <w:r w:rsidRPr="000D3D7F">
              <w:rPr>
                <w:szCs w:val="22"/>
                <w:lang w:val="sr-Latn-ME"/>
              </w:rPr>
              <w:t>-</w:t>
            </w:r>
          </w:p>
        </w:tc>
        <w:tc>
          <w:tcPr>
            <w:tcW w:w="1641" w:type="dxa"/>
            <w:tcBorders>
              <w:top w:val="single" w:sz="4" w:space="0" w:color="000000"/>
              <w:left w:val="single" w:sz="4" w:space="0" w:color="000000"/>
              <w:bottom w:val="single" w:sz="4" w:space="0" w:color="000000"/>
              <w:right w:val="single" w:sz="4" w:space="0" w:color="000000"/>
            </w:tcBorders>
          </w:tcPr>
          <w:p w14:paraId="1822B2E3" w14:textId="77777777" w:rsidR="007C7147" w:rsidRPr="000D3D7F" w:rsidRDefault="007C7147" w:rsidP="001E1F5A">
            <w:pPr>
              <w:rPr>
                <w:lang w:val="sr-Latn-ME"/>
              </w:rPr>
            </w:pPr>
            <w:r w:rsidRPr="000D3D7F">
              <w:rPr>
                <w:szCs w:val="22"/>
                <w:lang w:val="sr-Latn-ME"/>
              </w:rPr>
              <w:t>-</w:t>
            </w:r>
          </w:p>
        </w:tc>
      </w:tr>
      <w:tr w:rsidR="007C7147" w:rsidRPr="000D3D7F" w14:paraId="00DC9925"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4D2E3BDB" w14:textId="77777777" w:rsidR="007C7147" w:rsidRPr="000D3D7F" w:rsidRDefault="007C7147" w:rsidP="001E1F5A">
            <w:pPr>
              <w:rPr>
                <w:lang w:val="sr-Latn-ME"/>
              </w:rPr>
            </w:pPr>
          </w:p>
        </w:tc>
        <w:tc>
          <w:tcPr>
            <w:tcW w:w="8220" w:type="dxa"/>
            <w:gridSpan w:val="5"/>
            <w:tcBorders>
              <w:top w:val="single" w:sz="4" w:space="0" w:color="000000"/>
              <w:left w:val="single" w:sz="4" w:space="0" w:color="000000"/>
              <w:bottom w:val="single" w:sz="4" w:space="0" w:color="000000"/>
              <w:right w:val="single" w:sz="4" w:space="0" w:color="000000"/>
            </w:tcBorders>
          </w:tcPr>
          <w:p w14:paraId="01BB1335" w14:textId="77777777" w:rsidR="007C7147" w:rsidRPr="000D3D7F" w:rsidRDefault="007C7147" w:rsidP="001E1F5A">
            <w:pPr>
              <w:rPr>
                <w:b/>
                <w:bCs/>
                <w:vertAlign w:val="superscript"/>
                <w:lang w:val="sr-Latn-ME"/>
              </w:rPr>
            </w:pPr>
            <w:r w:rsidRPr="000D3D7F">
              <w:rPr>
                <w:b/>
                <w:bCs/>
                <w:szCs w:val="22"/>
                <w:lang w:val="sr-Latn-ME"/>
              </w:rPr>
              <w:t>Ciklus 2 do 4</w:t>
            </w:r>
            <w:r w:rsidRPr="000D3D7F">
              <w:rPr>
                <w:b/>
                <w:bCs/>
                <w:szCs w:val="22"/>
                <w:vertAlign w:val="superscript"/>
                <w:lang w:val="sr-Latn-ME"/>
              </w:rPr>
              <w:t>b</w:t>
            </w:r>
          </w:p>
        </w:tc>
      </w:tr>
      <w:tr w:rsidR="007C7147" w:rsidRPr="000D3D7F" w14:paraId="7CAEF6A7"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29EBDF76"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58E8731F" w14:textId="3D77D69B" w:rsidR="007C7147" w:rsidRPr="000D3D7F" w:rsidRDefault="00EF43F3" w:rsidP="001E1F5A">
            <w:pPr>
              <w:rPr>
                <w:vertAlign w:val="superscript"/>
                <w:lang w:val="sr-Latn-ME"/>
              </w:rPr>
            </w:pPr>
            <w:r w:rsidRPr="000D3D7F">
              <w:rPr>
                <w:b/>
                <w:szCs w:val="22"/>
                <w:lang w:val="sr-Latn-ME"/>
              </w:rPr>
              <w:t>B</w:t>
            </w:r>
            <w:r w:rsidR="0068011E" w:rsidRPr="000D3D7F">
              <w:rPr>
                <w:b/>
                <w:szCs w:val="22"/>
                <w:lang w:val="sr-Latn-ME"/>
              </w:rPr>
              <w:t>z</w:t>
            </w:r>
            <w:r w:rsidR="007C7147" w:rsidRPr="000D3D7F">
              <w:rPr>
                <w:b/>
                <w:szCs w:val="22"/>
                <w:lang w:val="sr-Latn-ME"/>
              </w:rPr>
              <w:t xml:space="preserve"> </w:t>
            </w:r>
            <w:r w:rsidR="007C7147" w:rsidRPr="000D3D7F">
              <w:rPr>
                <w:szCs w:val="22"/>
                <w:lang w:val="sr-Latn-ME"/>
              </w:rPr>
              <w:t>(1,3 mg/m</w:t>
            </w:r>
            <w:r w:rsidR="007C7147" w:rsidRPr="000D3D7F">
              <w:rPr>
                <w:szCs w:val="22"/>
                <w:vertAlign w:val="superscript"/>
                <w:lang w:val="sr-Latn-ME"/>
              </w:rPr>
              <w:t>2)</w:t>
            </w:r>
          </w:p>
        </w:tc>
        <w:tc>
          <w:tcPr>
            <w:tcW w:w="1641" w:type="dxa"/>
            <w:tcBorders>
              <w:top w:val="single" w:sz="4" w:space="0" w:color="000000"/>
              <w:left w:val="single" w:sz="4" w:space="0" w:color="000000"/>
              <w:bottom w:val="single" w:sz="4" w:space="0" w:color="000000"/>
              <w:right w:val="single" w:sz="4" w:space="0" w:color="000000"/>
            </w:tcBorders>
          </w:tcPr>
          <w:p w14:paraId="68956156" w14:textId="77777777" w:rsidR="007C7147" w:rsidRPr="000D3D7F" w:rsidRDefault="007C7147" w:rsidP="001E1F5A">
            <w:pPr>
              <w:rPr>
                <w:lang w:val="sr-Latn-ME"/>
              </w:rPr>
            </w:pPr>
            <w:r w:rsidRPr="000D3D7F">
              <w:rPr>
                <w:szCs w:val="22"/>
                <w:lang w:val="sr-Latn-ME"/>
              </w:rPr>
              <w:t>Dan 1, 4</w:t>
            </w:r>
          </w:p>
        </w:tc>
        <w:tc>
          <w:tcPr>
            <w:tcW w:w="1641" w:type="dxa"/>
            <w:tcBorders>
              <w:top w:val="single" w:sz="4" w:space="0" w:color="000000"/>
              <w:left w:val="single" w:sz="4" w:space="0" w:color="000000"/>
              <w:bottom w:val="single" w:sz="4" w:space="0" w:color="000000"/>
              <w:right w:val="single" w:sz="4" w:space="0" w:color="000000"/>
            </w:tcBorders>
          </w:tcPr>
          <w:p w14:paraId="45C40625" w14:textId="77777777" w:rsidR="007C7147" w:rsidRPr="000D3D7F" w:rsidRDefault="007C7147" w:rsidP="001E1F5A">
            <w:pPr>
              <w:rPr>
                <w:lang w:val="sr-Latn-ME"/>
              </w:rPr>
            </w:pPr>
            <w:r w:rsidRPr="000D3D7F">
              <w:rPr>
                <w:szCs w:val="22"/>
                <w:lang w:val="sr-Latn-ME"/>
              </w:rPr>
              <w:t>Dan 8, 11</w:t>
            </w:r>
          </w:p>
        </w:tc>
        <w:tc>
          <w:tcPr>
            <w:tcW w:w="1646" w:type="dxa"/>
            <w:tcBorders>
              <w:top w:val="single" w:sz="4" w:space="0" w:color="000000"/>
              <w:left w:val="single" w:sz="4" w:space="0" w:color="000000"/>
              <w:bottom w:val="single" w:sz="4" w:space="0" w:color="000000"/>
              <w:right w:val="single" w:sz="4" w:space="0" w:color="000000"/>
            </w:tcBorders>
          </w:tcPr>
          <w:p w14:paraId="0C2C947C" w14:textId="4CA8E351" w:rsidR="007C7147" w:rsidRPr="000D3D7F" w:rsidRDefault="007C7147" w:rsidP="001E1F5A">
            <w:pPr>
              <w:rPr>
                <w:lang w:val="sr-Latn-ME"/>
              </w:rPr>
            </w:pPr>
            <w:r w:rsidRPr="000D3D7F">
              <w:rPr>
                <w:szCs w:val="22"/>
                <w:lang w:val="sr-Latn-ME"/>
              </w:rPr>
              <w:t>Period bez l</w:t>
            </w:r>
            <w:r w:rsidR="004C040C" w:rsidRPr="000D3D7F">
              <w:rPr>
                <w:szCs w:val="22"/>
                <w:lang w:val="sr-Latn-ME"/>
              </w:rPr>
              <w:t>ij</w:t>
            </w:r>
            <w:r w:rsidRPr="000D3D7F">
              <w:rPr>
                <w:szCs w:val="22"/>
                <w:lang w:val="sr-Latn-ME"/>
              </w:rPr>
              <w:t>eka</w:t>
            </w:r>
          </w:p>
        </w:tc>
        <w:tc>
          <w:tcPr>
            <w:tcW w:w="1641" w:type="dxa"/>
            <w:tcBorders>
              <w:top w:val="single" w:sz="4" w:space="0" w:color="000000"/>
              <w:left w:val="single" w:sz="4" w:space="0" w:color="000000"/>
              <w:bottom w:val="single" w:sz="4" w:space="0" w:color="000000"/>
              <w:right w:val="single" w:sz="4" w:space="0" w:color="000000"/>
            </w:tcBorders>
          </w:tcPr>
          <w:p w14:paraId="254900C3" w14:textId="66B07D73" w:rsidR="007C7147" w:rsidRPr="000D3D7F" w:rsidRDefault="007C7147" w:rsidP="001E1F5A">
            <w:pPr>
              <w:rPr>
                <w:lang w:val="sr-Latn-ME"/>
              </w:rPr>
            </w:pPr>
            <w:r w:rsidRPr="000D3D7F">
              <w:rPr>
                <w:szCs w:val="22"/>
                <w:lang w:val="sr-Latn-ME"/>
              </w:rPr>
              <w:t>Period bez l</w:t>
            </w:r>
            <w:r w:rsidR="004C040C" w:rsidRPr="000D3D7F">
              <w:rPr>
                <w:szCs w:val="22"/>
                <w:lang w:val="sr-Latn-ME"/>
              </w:rPr>
              <w:t>ij</w:t>
            </w:r>
            <w:r w:rsidRPr="000D3D7F">
              <w:rPr>
                <w:szCs w:val="22"/>
                <w:lang w:val="sr-Latn-ME"/>
              </w:rPr>
              <w:t>eka</w:t>
            </w:r>
          </w:p>
        </w:tc>
      </w:tr>
      <w:tr w:rsidR="007C7147" w:rsidRPr="000D3D7F" w14:paraId="2729C684" w14:textId="77777777" w:rsidTr="00F8315E">
        <w:trPr>
          <w:trHeight w:val="249"/>
        </w:trPr>
        <w:tc>
          <w:tcPr>
            <w:tcW w:w="1637" w:type="dxa"/>
            <w:vMerge/>
            <w:tcBorders>
              <w:top w:val="nil"/>
              <w:left w:val="single" w:sz="4" w:space="0" w:color="000000"/>
              <w:bottom w:val="single" w:sz="4" w:space="0" w:color="000000"/>
              <w:right w:val="single" w:sz="4" w:space="0" w:color="000000"/>
            </w:tcBorders>
          </w:tcPr>
          <w:p w14:paraId="5F395F40"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3707FA62" w14:textId="77777777" w:rsidR="007C7147" w:rsidRPr="000D3D7F" w:rsidRDefault="007C7147" w:rsidP="001E1F5A">
            <w:pPr>
              <w:rPr>
                <w:lang w:val="sr-Latn-ME"/>
              </w:rPr>
            </w:pPr>
            <w:r w:rsidRPr="000D3D7F">
              <w:rPr>
                <w:szCs w:val="22"/>
                <w:lang w:val="sr-Latn-ME"/>
              </w:rPr>
              <w:t>T 200mg</w:t>
            </w:r>
          </w:p>
        </w:tc>
        <w:tc>
          <w:tcPr>
            <w:tcW w:w="1641" w:type="dxa"/>
            <w:tcBorders>
              <w:top w:val="single" w:sz="4" w:space="0" w:color="000000"/>
              <w:left w:val="single" w:sz="4" w:space="0" w:color="000000"/>
              <w:bottom w:val="single" w:sz="4" w:space="0" w:color="000000"/>
              <w:right w:val="single" w:sz="4" w:space="0" w:color="000000"/>
            </w:tcBorders>
          </w:tcPr>
          <w:p w14:paraId="481D5D2A" w14:textId="77777777" w:rsidR="007C7147" w:rsidRPr="000D3D7F" w:rsidRDefault="007C7147" w:rsidP="001E1F5A">
            <w:pPr>
              <w:rPr>
                <w:lang w:val="sr-Latn-ME"/>
              </w:rPr>
            </w:pPr>
            <w:r w:rsidRPr="000D3D7F">
              <w:rPr>
                <w:szCs w:val="22"/>
                <w:lang w:val="sr-Latn-ME"/>
              </w:rPr>
              <w:t>Dnevno</w:t>
            </w:r>
          </w:p>
        </w:tc>
        <w:tc>
          <w:tcPr>
            <w:tcW w:w="1641" w:type="dxa"/>
            <w:tcBorders>
              <w:top w:val="single" w:sz="4" w:space="0" w:color="000000"/>
              <w:left w:val="single" w:sz="4" w:space="0" w:color="000000"/>
              <w:bottom w:val="single" w:sz="4" w:space="0" w:color="000000"/>
              <w:right w:val="single" w:sz="4" w:space="0" w:color="000000"/>
            </w:tcBorders>
          </w:tcPr>
          <w:p w14:paraId="298BECC0" w14:textId="77777777" w:rsidR="007C7147" w:rsidRPr="000D3D7F" w:rsidRDefault="007C7147" w:rsidP="001E1F5A">
            <w:pPr>
              <w:rPr>
                <w:lang w:val="sr-Latn-ME"/>
              </w:rPr>
            </w:pPr>
            <w:r w:rsidRPr="000D3D7F">
              <w:rPr>
                <w:szCs w:val="22"/>
                <w:lang w:val="sr-Latn-ME"/>
              </w:rPr>
              <w:t>Dnevno</w:t>
            </w:r>
          </w:p>
        </w:tc>
        <w:tc>
          <w:tcPr>
            <w:tcW w:w="1646" w:type="dxa"/>
            <w:tcBorders>
              <w:top w:val="single" w:sz="4" w:space="0" w:color="000000"/>
              <w:left w:val="single" w:sz="4" w:space="0" w:color="000000"/>
              <w:bottom w:val="single" w:sz="4" w:space="0" w:color="000000"/>
              <w:right w:val="single" w:sz="4" w:space="0" w:color="000000"/>
            </w:tcBorders>
          </w:tcPr>
          <w:p w14:paraId="78064914" w14:textId="77777777" w:rsidR="007C7147" w:rsidRPr="000D3D7F" w:rsidRDefault="007C7147" w:rsidP="001E1F5A">
            <w:pPr>
              <w:rPr>
                <w:lang w:val="sr-Latn-ME"/>
              </w:rPr>
            </w:pPr>
            <w:r w:rsidRPr="000D3D7F">
              <w:rPr>
                <w:szCs w:val="22"/>
                <w:lang w:val="sr-Latn-ME"/>
              </w:rPr>
              <w:t>Dnevno</w:t>
            </w:r>
          </w:p>
        </w:tc>
        <w:tc>
          <w:tcPr>
            <w:tcW w:w="1641" w:type="dxa"/>
            <w:tcBorders>
              <w:top w:val="single" w:sz="4" w:space="0" w:color="000000"/>
              <w:left w:val="single" w:sz="4" w:space="0" w:color="000000"/>
              <w:bottom w:val="single" w:sz="4" w:space="0" w:color="000000"/>
              <w:right w:val="single" w:sz="4" w:space="0" w:color="000000"/>
            </w:tcBorders>
          </w:tcPr>
          <w:p w14:paraId="242E8179" w14:textId="77777777" w:rsidR="007C7147" w:rsidRPr="000D3D7F" w:rsidRDefault="007C7147" w:rsidP="001E1F5A">
            <w:pPr>
              <w:rPr>
                <w:lang w:val="sr-Latn-ME"/>
              </w:rPr>
            </w:pPr>
            <w:r w:rsidRPr="000D3D7F">
              <w:rPr>
                <w:szCs w:val="22"/>
                <w:lang w:val="sr-Latn-ME"/>
              </w:rPr>
              <w:t>Dnevno</w:t>
            </w:r>
          </w:p>
        </w:tc>
      </w:tr>
      <w:tr w:rsidR="007C7147" w:rsidRPr="000D3D7F" w14:paraId="015518FB" w14:textId="77777777" w:rsidTr="00F8315E">
        <w:trPr>
          <w:trHeight w:val="253"/>
        </w:trPr>
        <w:tc>
          <w:tcPr>
            <w:tcW w:w="1637" w:type="dxa"/>
            <w:vMerge/>
            <w:tcBorders>
              <w:top w:val="nil"/>
              <w:left w:val="single" w:sz="4" w:space="0" w:color="000000"/>
              <w:bottom w:val="single" w:sz="4" w:space="0" w:color="000000"/>
              <w:right w:val="single" w:sz="4" w:space="0" w:color="000000"/>
            </w:tcBorders>
          </w:tcPr>
          <w:p w14:paraId="08B17B57" w14:textId="77777777" w:rsidR="007C7147" w:rsidRPr="000D3D7F" w:rsidRDefault="007C7147" w:rsidP="001E1F5A">
            <w:pPr>
              <w:rPr>
                <w:lang w:val="sr-Latn-ME"/>
              </w:rPr>
            </w:pPr>
          </w:p>
        </w:tc>
        <w:tc>
          <w:tcPr>
            <w:tcW w:w="1651" w:type="dxa"/>
            <w:tcBorders>
              <w:top w:val="single" w:sz="4" w:space="0" w:color="000000"/>
              <w:left w:val="single" w:sz="4" w:space="0" w:color="000000"/>
              <w:bottom w:val="single" w:sz="4" w:space="0" w:color="000000"/>
              <w:right w:val="single" w:sz="4" w:space="0" w:color="000000"/>
            </w:tcBorders>
          </w:tcPr>
          <w:p w14:paraId="1BD573BA" w14:textId="77777777" w:rsidR="007C7147" w:rsidRPr="000D3D7F" w:rsidRDefault="007C7147" w:rsidP="001E1F5A">
            <w:pPr>
              <w:rPr>
                <w:lang w:val="sr-Latn-ME"/>
              </w:rPr>
            </w:pPr>
            <w:r w:rsidRPr="000D3D7F">
              <w:rPr>
                <w:szCs w:val="22"/>
                <w:lang w:val="sr-Latn-ME"/>
              </w:rPr>
              <w:t>Dx 40 mg</w:t>
            </w:r>
          </w:p>
        </w:tc>
        <w:tc>
          <w:tcPr>
            <w:tcW w:w="1641" w:type="dxa"/>
            <w:tcBorders>
              <w:top w:val="single" w:sz="4" w:space="0" w:color="000000"/>
              <w:left w:val="single" w:sz="4" w:space="0" w:color="000000"/>
              <w:bottom w:val="single" w:sz="4" w:space="0" w:color="000000"/>
              <w:right w:val="single" w:sz="4" w:space="0" w:color="000000"/>
            </w:tcBorders>
          </w:tcPr>
          <w:p w14:paraId="66C5661C" w14:textId="77777777" w:rsidR="007C7147" w:rsidRPr="000D3D7F" w:rsidRDefault="007C7147" w:rsidP="001E1F5A">
            <w:pPr>
              <w:rPr>
                <w:lang w:val="sr-Latn-ME"/>
              </w:rPr>
            </w:pPr>
            <w:r w:rsidRPr="000D3D7F">
              <w:rPr>
                <w:szCs w:val="22"/>
                <w:lang w:val="sr-Latn-ME"/>
              </w:rPr>
              <w:t>Dan 1,2, 3, 4,</w:t>
            </w:r>
          </w:p>
        </w:tc>
        <w:tc>
          <w:tcPr>
            <w:tcW w:w="1641" w:type="dxa"/>
            <w:tcBorders>
              <w:top w:val="single" w:sz="4" w:space="0" w:color="000000"/>
              <w:left w:val="single" w:sz="4" w:space="0" w:color="000000"/>
              <w:bottom w:val="single" w:sz="4" w:space="0" w:color="000000"/>
              <w:right w:val="single" w:sz="4" w:space="0" w:color="000000"/>
            </w:tcBorders>
          </w:tcPr>
          <w:p w14:paraId="3DEB1B36" w14:textId="77777777" w:rsidR="007C7147" w:rsidRPr="000D3D7F" w:rsidRDefault="007C7147" w:rsidP="001E1F5A">
            <w:pPr>
              <w:rPr>
                <w:lang w:val="sr-Latn-ME"/>
              </w:rPr>
            </w:pPr>
            <w:r w:rsidRPr="000D3D7F">
              <w:rPr>
                <w:szCs w:val="22"/>
                <w:lang w:val="sr-Latn-ME"/>
              </w:rPr>
              <w:t>Dan 8,9,10,11</w:t>
            </w:r>
          </w:p>
        </w:tc>
        <w:tc>
          <w:tcPr>
            <w:tcW w:w="1646" w:type="dxa"/>
            <w:tcBorders>
              <w:top w:val="single" w:sz="4" w:space="0" w:color="000000"/>
              <w:left w:val="single" w:sz="4" w:space="0" w:color="000000"/>
              <w:bottom w:val="single" w:sz="4" w:space="0" w:color="000000"/>
              <w:right w:val="single" w:sz="4" w:space="0" w:color="000000"/>
            </w:tcBorders>
          </w:tcPr>
          <w:p w14:paraId="7F7FB4B0" w14:textId="77777777" w:rsidR="007C7147" w:rsidRPr="000D3D7F" w:rsidRDefault="007C7147" w:rsidP="001E1F5A">
            <w:pPr>
              <w:rPr>
                <w:lang w:val="sr-Latn-ME"/>
              </w:rPr>
            </w:pPr>
            <w:r w:rsidRPr="000D3D7F">
              <w:rPr>
                <w:szCs w:val="22"/>
                <w:lang w:val="sr-Latn-ME"/>
              </w:rPr>
              <w:t>-</w:t>
            </w:r>
          </w:p>
        </w:tc>
        <w:tc>
          <w:tcPr>
            <w:tcW w:w="1641" w:type="dxa"/>
            <w:tcBorders>
              <w:top w:val="single" w:sz="4" w:space="0" w:color="000000"/>
              <w:left w:val="single" w:sz="4" w:space="0" w:color="000000"/>
              <w:bottom w:val="single" w:sz="4" w:space="0" w:color="000000"/>
              <w:right w:val="single" w:sz="4" w:space="0" w:color="000000"/>
            </w:tcBorders>
          </w:tcPr>
          <w:p w14:paraId="6143CE7A" w14:textId="77777777" w:rsidR="007C7147" w:rsidRPr="000D3D7F" w:rsidRDefault="007C7147" w:rsidP="001E1F5A">
            <w:pPr>
              <w:rPr>
                <w:lang w:val="sr-Latn-ME"/>
              </w:rPr>
            </w:pPr>
            <w:r w:rsidRPr="000D3D7F">
              <w:rPr>
                <w:szCs w:val="22"/>
                <w:lang w:val="sr-Latn-ME"/>
              </w:rPr>
              <w:t>-</w:t>
            </w:r>
          </w:p>
        </w:tc>
      </w:tr>
    </w:tbl>
    <w:p w14:paraId="77AEB94E" w14:textId="3970C1F7" w:rsidR="007C7147" w:rsidRPr="000D3D7F" w:rsidRDefault="00BA555C" w:rsidP="001E1F5A">
      <w:pPr>
        <w:rPr>
          <w:szCs w:val="22"/>
          <w:lang w:val="sr-Latn-ME"/>
        </w:rPr>
      </w:pPr>
      <w:r w:rsidRPr="000D3D7F">
        <w:rPr>
          <w:szCs w:val="22"/>
          <w:lang w:val="sr-Latn-ME"/>
        </w:rPr>
        <w:t>B</w:t>
      </w:r>
      <w:r w:rsidR="0068011E" w:rsidRPr="000D3D7F">
        <w:rPr>
          <w:szCs w:val="22"/>
          <w:lang w:val="sr-Latn-ME"/>
        </w:rPr>
        <w:t>z</w:t>
      </w:r>
      <w:r w:rsidR="00197B2D" w:rsidRPr="000D3D7F">
        <w:rPr>
          <w:szCs w:val="22"/>
          <w:lang w:val="sr-Latn-ME"/>
        </w:rPr>
        <w:t xml:space="preserve"> </w:t>
      </w:r>
      <w:r w:rsidR="007C7147" w:rsidRPr="000D3D7F">
        <w:rPr>
          <w:szCs w:val="22"/>
          <w:lang w:val="sr-Latn-ME"/>
        </w:rPr>
        <w:t>=</w:t>
      </w:r>
      <w:r w:rsidR="00197B2D" w:rsidRPr="000D3D7F">
        <w:rPr>
          <w:szCs w:val="22"/>
          <w:lang w:val="sr-Latn-ME"/>
        </w:rPr>
        <w:t xml:space="preserve"> </w:t>
      </w:r>
      <w:r w:rsidR="00D81C8F" w:rsidRPr="000D3D7F">
        <w:rPr>
          <w:szCs w:val="22"/>
          <w:lang w:val="sr-Latn-ME"/>
        </w:rPr>
        <w:t>bortezomib</w:t>
      </w:r>
      <w:r w:rsidR="007C7147" w:rsidRPr="000D3D7F">
        <w:rPr>
          <w:szCs w:val="22"/>
          <w:lang w:val="sr-Latn-ME"/>
        </w:rPr>
        <w:t>; Dx</w:t>
      </w:r>
      <w:r w:rsidR="00197B2D" w:rsidRPr="000D3D7F">
        <w:rPr>
          <w:szCs w:val="22"/>
          <w:lang w:val="sr-Latn-ME"/>
        </w:rPr>
        <w:t xml:space="preserve"> </w:t>
      </w:r>
      <w:r w:rsidR="007C7147" w:rsidRPr="000D3D7F">
        <w:rPr>
          <w:szCs w:val="22"/>
          <w:lang w:val="sr-Latn-ME"/>
        </w:rPr>
        <w:t>=</w:t>
      </w:r>
      <w:r w:rsidR="00197B2D" w:rsidRPr="000D3D7F">
        <w:rPr>
          <w:szCs w:val="22"/>
          <w:lang w:val="sr-Latn-ME"/>
        </w:rPr>
        <w:t xml:space="preserve"> </w:t>
      </w:r>
      <w:r w:rsidR="007C7147" w:rsidRPr="000D3D7F">
        <w:rPr>
          <w:szCs w:val="22"/>
          <w:lang w:val="sr-Latn-ME"/>
        </w:rPr>
        <w:t>deksametazon; T</w:t>
      </w:r>
      <w:r w:rsidR="00197B2D" w:rsidRPr="000D3D7F">
        <w:rPr>
          <w:szCs w:val="22"/>
          <w:lang w:val="sr-Latn-ME"/>
        </w:rPr>
        <w:t xml:space="preserve"> </w:t>
      </w:r>
      <w:r w:rsidR="007C7147" w:rsidRPr="000D3D7F">
        <w:rPr>
          <w:szCs w:val="22"/>
          <w:lang w:val="sr-Latn-ME"/>
        </w:rPr>
        <w:t>=</w:t>
      </w:r>
      <w:r w:rsidR="00197B2D" w:rsidRPr="000D3D7F">
        <w:rPr>
          <w:szCs w:val="22"/>
          <w:lang w:val="sr-Latn-ME"/>
        </w:rPr>
        <w:t xml:space="preserve"> </w:t>
      </w:r>
      <w:r w:rsidR="007C7147" w:rsidRPr="000D3D7F">
        <w:rPr>
          <w:szCs w:val="22"/>
          <w:lang w:val="sr-Latn-ME"/>
        </w:rPr>
        <w:t>talidomid</w:t>
      </w:r>
    </w:p>
    <w:p w14:paraId="1AFAD116" w14:textId="1BC994B9" w:rsidR="007C7147" w:rsidRPr="000D3D7F" w:rsidRDefault="007C7147" w:rsidP="001E1F5A">
      <w:pPr>
        <w:rPr>
          <w:szCs w:val="22"/>
          <w:lang w:val="sr-Latn-ME"/>
        </w:rPr>
      </w:pPr>
      <w:r w:rsidRPr="000D3D7F">
        <w:rPr>
          <w:szCs w:val="22"/>
          <w:vertAlign w:val="superscript"/>
          <w:lang w:val="sr-Latn-ME"/>
        </w:rPr>
        <w:t>a</w:t>
      </w:r>
      <w:r w:rsidRPr="000D3D7F">
        <w:rPr>
          <w:szCs w:val="22"/>
          <w:lang w:val="sr-Latn-ME"/>
        </w:rPr>
        <w:t xml:space="preserve"> Doza talidomida se može povećati na 100mg od 3. ned</w:t>
      </w:r>
      <w:r w:rsidR="004C040C" w:rsidRPr="000D3D7F">
        <w:rPr>
          <w:szCs w:val="22"/>
          <w:lang w:val="sr-Latn-ME"/>
        </w:rPr>
        <w:t>j</w:t>
      </w:r>
      <w:r w:rsidRPr="000D3D7F">
        <w:rPr>
          <w:szCs w:val="22"/>
          <w:lang w:val="sr-Latn-ME"/>
        </w:rPr>
        <w:t>elje 1. ciklusa samo ukoliko se 50mg dobro</w:t>
      </w:r>
      <w:r w:rsidR="00EF29F8" w:rsidRPr="000D3D7F">
        <w:rPr>
          <w:szCs w:val="22"/>
          <w:lang w:val="sr-Latn-ME"/>
        </w:rPr>
        <w:t xml:space="preserve"> </w:t>
      </w:r>
      <w:r w:rsidRPr="000D3D7F">
        <w:rPr>
          <w:szCs w:val="22"/>
          <w:lang w:val="sr-Latn-ME"/>
        </w:rPr>
        <w:t>podnosi i na 200mg od 2. ciklusa ako se 100mg dobro podnosi</w:t>
      </w:r>
    </w:p>
    <w:p w14:paraId="2333FE14" w14:textId="77777777" w:rsidR="007C7147" w:rsidRPr="000D3D7F" w:rsidRDefault="007C7147" w:rsidP="001E1F5A">
      <w:pPr>
        <w:rPr>
          <w:szCs w:val="22"/>
          <w:lang w:val="sr-Latn-ME"/>
        </w:rPr>
      </w:pPr>
      <w:r w:rsidRPr="000D3D7F">
        <w:rPr>
          <w:szCs w:val="22"/>
          <w:vertAlign w:val="superscript"/>
          <w:lang w:val="sr-Latn-ME"/>
        </w:rPr>
        <w:t>b</w:t>
      </w:r>
      <w:r w:rsidRPr="000D3D7F">
        <w:rPr>
          <w:szCs w:val="22"/>
          <w:lang w:val="sr-Latn-ME"/>
        </w:rPr>
        <w:t xml:space="preserve"> Do 6 ciklusa se može davati pacijentima koji dostignu najmanje parcijalan odgovor nakon 4 ciklusa.</w:t>
      </w:r>
    </w:p>
    <w:p w14:paraId="58EB6FBA" w14:textId="77777777" w:rsidR="00842007" w:rsidRPr="000D3D7F" w:rsidRDefault="00842007" w:rsidP="001E1F5A">
      <w:pPr>
        <w:rPr>
          <w:szCs w:val="22"/>
          <w:lang w:val="sr-Latn-ME"/>
        </w:rPr>
      </w:pPr>
    </w:p>
    <w:p w14:paraId="1CA70AE0" w14:textId="0E39C29B" w:rsidR="007C7147" w:rsidRPr="000D3D7F" w:rsidRDefault="007C7147" w:rsidP="001E1F5A">
      <w:pPr>
        <w:rPr>
          <w:i/>
          <w:iCs/>
          <w:szCs w:val="22"/>
          <w:lang w:val="sr-Latn-ME"/>
        </w:rPr>
      </w:pPr>
      <w:r w:rsidRPr="000D3D7F">
        <w:rPr>
          <w:i/>
          <w:iCs/>
          <w:szCs w:val="22"/>
          <w:lang w:val="sr-Latn-ME"/>
        </w:rPr>
        <w:t>Prilagođavanje doze kod pacijenata koji su podobni za transplantaciju</w:t>
      </w:r>
    </w:p>
    <w:p w14:paraId="24E43999" w14:textId="58177BB1" w:rsidR="007C7147" w:rsidRPr="000D3D7F" w:rsidRDefault="007C7147" w:rsidP="001E1F5A">
      <w:pPr>
        <w:rPr>
          <w:szCs w:val="22"/>
          <w:lang w:val="sr-Latn-ME"/>
        </w:rPr>
      </w:pPr>
      <w:r w:rsidRPr="000D3D7F">
        <w:rPr>
          <w:szCs w:val="22"/>
          <w:lang w:val="sr-Latn-ME"/>
        </w:rPr>
        <w:t>Za prilagodjavanje doziranja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potrebno je pratiti sm</w:t>
      </w:r>
      <w:r w:rsidR="001C1E5F" w:rsidRPr="000D3D7F">
        <w:rPr>
          <w:szCs w:val="22"/>
          <w:lang w:val="sr-Latn-ME"/>
        </w:rPr>
        <w:t>j</w:t>
      </w:r>
      <w:r w:rsidRPr="000D3D7F">
        <w:rPr>
          <w:szCs w:val="22"/>
          <w:lang w:val="sr-Latn-ME"/>
        </w:rPr>
        <w:t>ernice za izm</w:t>
      </w:r>
      <w:r w:rsidR="001C1E5F" w:rsidRPr="000D3D7F">
        <w:rPr>
          <w:szCs w:val="22"/>
          <w:lang w:val="sr-Latn-ME"/>
        </w:rPr>
        <w:t>j</w:t>
      </w:r>
      <w:r w:rsidRPr="000D3D7F">
        <w:rPr>
          <w:szCs w:val="22"/>
          <w:lang w:val="sr-Latn-ME"/>
        </w:rPr>
        <w:t>enu doze koje su opisane za</w:t>
      </w:r>
      <w:r w:rsidR="00EF29F8" w:rsidRPr="000D3D7F">
        <w:rPr>
          <w:szCs w:val="22"/>
          <w:lang w:val="sr-Latn-ME"/>
        </w:rPr>
        <w:t xml:space="preserve"> </w:t>
      </w:r>
      <w:r w:rsidRPr="000D3D7F">
        <w:rPr>
          <w:szCs w:val="22"/>
          <w:lang w:val="sr-Latn-ME"/>
        </w:rPr>
        <w:t>monoterapiju.</w:t>
      </w:r>
    </w:p>
    <w:p w14:paraId="426B0443" w14:textId="4C04CE57" w:rsidR="007C7147" w:rsidRPr="000D3D7F" w:rsidRDefault="007C7147" w:rsidP="001E1F5A">
      <w:pPr>
        <w:rPr>
          <w:szCs w:val="22"/>
          <w:lang w:val="sr-Latn-ME"/>
        </w:rPr>
      </w:pPr>
      <w:r w:rsidRPr="000D3D7F">
        <w:rPr>
          <w:szCs w:val="22"/>
          <w:lang w:val="sr-Latn-ME"/>
        </w:rPr>
        <w:t>Dodatno, kada se 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prim</w:t>
      </w:r>
      <w:r w:rsidR="001C1E5F" w:rsidRPr="000D3D7F">
        <w:rPr>
          <w:szCs w:val="22"/>
          <w:lang w:val="sr-Latn-ME"/>
        </w:rPr>
        <w:t>j</w:t>
      </w:r>
      <w:r w:rsidRPr="000D3D7F">
        <w:rPr>
          <w:szCs w:val="22"/>
          <w:lang w:val="sr-Latn-ME"/>
        </w:rPr>
        <w:t>enjuje u kombinaciji sa drugim hemioterapeuticima, treba razmotriti</w:t>
      </w:r>
      <w:r w:rsidR="00EF29F8" w:rsidRPr="000D3D7F">
        <w:rPr>
          <w:szCs w:val="22"/>
          <w:lang w:val="sr-Latn-ME"/>
        </w:rPr>
        <w:t xml:space="preserve"> </w:t>
      </w:r>
      <w:r w:rsidRPr="000D3D7F">
        <w:rPr>
          <w:szCs w:val="22"/>
          <w:lang w:val="sr-Latn-ME"/>
        </w:rPr>
        <w:t>adekvatno smanjenje doze ovih l</w:t>
      </w:r>
      <w:r w:rsidR="001C1E5F" w:rsidRPr="000D3D7F">
        <w:rPr>
          <w:szCs w:val="22"/>
          <w:lang w:val="sr-Latn-ME"/>
        </w:rPr>
        <w:t>j</w:t>
      </w:r>
      <w:r w:rsidRPr="000D3D7F">
        <w:rPr>
          <w:szCs w:val="22"/>
          <w:lang w:val="sr-Latn-ME"/>
        </w:rPr>
        <w:t>ekova u slučaju pojave toksičnosti, a u skladu sa preporukama iz</w:t>
      </w:r>
      <w:r w:rsidR="00EF29F8" w:rsidRPr="000D3D7F">
        <w:rPr>
          <w:szCs w:val="22"/>
          <w:lang w:val="sr-Latn-ME"/>
        </w:rPr>
        <w:t xml:space="preserve"> </w:t>
      </w:r>
      <w:r w:rsidRPr="000D3D7F">
        <w:rPr>
          <w:szCs w:val="22"/>
          <w:lang w:val="sr-Latn-ME"/>
        </w:rPr>
        <w:t>odgovarajućeg Sažetka karakteristika l</w:t>
      </w:r>
      <w:r w:rsidR="001C1E5F" w:rsidRPr="000D3D7F">
        <w:rPr>
          <w:szCs w:val="22"/>
          <w:lang w:val="sr-Latn-ME"/>
        </w:rPr>
        <w:t>j</w:t>
      </w:r>
      <w:r w:rsidRPr="000D3D7F">
        <w:rPr>
          <w:szCs w:val="22"/>
          <w:lang w:val="sr-Latn-ME"/>
        </w:rPr>
        <w:t>ekova.</w:t>
      </w:r>
    </w:p>
    <w:p w14:paraId="77674719" w14:textId="77777777" w:rsidR="00842007" w:rsidRPr="000D3D7F" w:rsidRDefault="00842007" w:rsidP="001E1F5A">
      <w:pPr>
        <w:rPr>
          <w:szCs w:val="22"/>
          <w:lang w:val="sr-Latn-ME"/>
        </w:rPr>
      </w:pPr>
    </w:p>
    <w:p w14:paraId="7C36AE61" w14:textId="3BD63C46" w:rsidR="007C7147" w:rsidRPr="000D3D7F" w:rsidRDefault="007C7147" w:rsidP="001E1F5A">
      <w:pPr>
        <w:rPr>
          <w:szCs w:val="22"/>
          <w:u w:val="single"/>
          <w:lang w:val="sr-Latn-ME"/>
        </w:rPr>
      </w:pPr>
      <w:r w:rsidRPr="000D3D7F">
        <w:rPr>
          <w:szCs w:val="22"/>
          <w:u w:val="single"/>
          <w:lang w:val="sr-Latn-ME"/>
        </w:rPr>
        <w:t>Doziranje kod pacijenata sa prethodno nel</w:t>
      </w:r>
      <w:r w:rsidR="001C1E5F" w:rsidRPr="000D3D7F">
        <w:rPr>
          <w:szCs w:val="22"/>
          <w:u w:val="single"/>
          <w:lang w:val="sr-Latn-ME"/>
        </w:rPr>
        <w:t>ij</w:t>
      </w:r>
      <w:r w:rsidRPr="000D3D7F">
        <w:rPr>
          <w:szCs w:val="22"/>
          <w:u w:val="single"/>
          <w:lang w:val="sr-Latn-ME"/>
        </w:rPr>
        <w:t>ečenim mantle ćelijskim limfomom (MCL, engl. mantle cell</w:t>
      </w:r>
      <w:r w:rsidR="00EF29F8" w:rsidRPr="000D3D7F">
        <w:rPr>
          <w:szCs w:val="22"/>
          <w:u w:val="single"/>
          <w:lang w:val="sr-Latn-ME"/>
        </w:rPr>
        <w:t xml:space="preserve"> </w:t>
      </w:r>
      <w:r w:rsidRPr="000D3D7F">
        <w:rPr>
          <w:szCs w:val="22"/>
          <w:u w:val="single"/>
          <w:lang w:val="sr-Latn-ME"/>
        </w:rPr>
        <w:t>lymphoma)</w:t>
      </w:r>
    </w:p>
    <w:p w14:paraId="637F160F" w14:textId="35CDE969" w:rsidR="00842007" w:rsidRPr="000D3D7F" w:rsidRDefault="007C7147" w:rsidP="001E1F5A">
      <w:pPr>
        <w:rPr>
          <w:szCs w:val="22"/>
          <w:lang w:val="sr-Latn-ME"/>
        </w:rPr>
      </w:pPr>
      <w:r w:rsidRPr="000D3D7F">
        <w:rPr>
          <w:i/>
          <w:iCs/>
          <w:szCs w:val="22"/>
          <w:lang w:val="sr-Latn-ME"/>
        </w:rPr>
        <w:t>Kombinovana terapija sa rituksimabom, ciklofosfamidom, doksorubicinom i prednizonom (</w:t>
      </w:r>
      <w:r w:rsidR="00AF2061" w:rsidRPr="000D3D7F">
        <w:rPr>
          <w:i/>
          <w:iCs/>
          <w:szCs w:val="22"/>
          <w:lang w:val="sr-Latn-ME"/>
        </w:rPr>
        <w:t>Bz</w:t>
      </w:r>
      <w:r w:rsidRPr="000D3D7F">
        <w:rPr>
          <w:i/>
          <w:iCs/>
          <w:szCs w:val="22"/>
          <w:lang w:val="sr-Latn-ME"/>
        </w:rPr>
        <w:t>R-CAP)</w:t>
      </w:r>
      <w:r w:rsidR="00EF29F8" w:rsidRPr="000D3D7F">
        <w:rPr>
          <w:szCs w:val="22"/>
          <w:lang w:val="sr-Latn-ME"/>
        </w:rPr>
        <w:t xml:space="preserve"> </w:t>
      </w:r>
    </w:p>
    <w:p w14:paraId="70A8699B" w14:textId="02DFE178" w:rsidR="007C7147" w:rsidRPr="000D3D7F" w:rsidRDefault="007C7147" w:rsidP="001E1F5A">
      <w:pPr>
        <w:rPr>
          <w:szCs w:val="22"/>
          <w:lang w:val="sr-Latn-ME"/>
        </w:rPr>
      </w:pPr>
      <w:r w:rsidRPr="000D3D7F">
        <w:rPr>
          <w:szCs w:val="22"/>
          <w:lang w:val="sr-Latn-ME"/>
        </w:rPr>
        <w:t>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 mg prašak za rastvor za injekciju se prim</w:t>
      </w:r>
      <w:r w:rsidR="001C1E5F" w:rsidRPr="000D3D7F">
        <w:rPr>
          <w:szCs w:val="22"/>
          <w:lang w:val="sr-Latn-ME"/>
        </w:rPr>
        <w:t>j</w:t>
      </w:r>
      <w:r w:rsidRPr="000D3D7F">
        <w:rPr>
          <w:szCs w:val="22"/>
          <w:lang w:val="sr-Latn-ME"/>
        </w:rPr>
        <w:t>enjuje intravenskom ili subkutanom injekcijom u</w:t>
      </w:r>
      <w:r w:rsidR="00EF29F8" w:rsidRPr="000D3D7F">
        <w:rPr>
          <w:szCs w:val="22"/>
          <w:lang w:val="sr-Latn-ME"/>
        </w:rPr>
        <w:t xml:space="preserve"> </w:t>
      </w:r>
      <w:r w:rsidRPr="000D3D7F">
        <w:rPr>
          <w:szCs w:val="22"/>
          <w:lang w:val="sr-Latn-ME"/>
        </w:rPr>
        <w:t>preporučenoj dozi od 1,3 mg/m</w:t>
      </w:r>
      <w:r w:rsidRPr="000D3D7F">
        <w:rPr>
          <w:szCs w:val="22"/>
          <w:vertAlign w:val="superscript"/>
          <w:lang w:val="sr-Latn-ME"/>
        </w:rPr>
        <w:t>2</w:t>
      </w:r>
      <w:r w:rsidRPr="000D3D7F">
        <w:rPr>
          <w:szCs w:val="22"/>
          <w:lang w:val="sr-Latn-ME"/>
        </w:rPr>
        <w:t xml:space="preserve"> t</w:t>
      </w:r>
      <w:r w:rsidR="001C1E5F" w:rsidRPr="000D3D7F">
        <w:rPr>
          <w:szCs w:val="22"/>
          <w:lang w:val="sr-Latn-ME"/>
        </w:rPr>
        <w:t>j</w:t>
      </w:r>
      <w:r w:rsidRPr="000D3D7F">
        <w:rPr>
          <w:szCs w:val="22"/>
          <w:lang w:val="sr-Latn-ME"/>
        </w:rPr>
        <w:t>elesne površine dva puta ned</w:t>
      </w:r>
      <w:r w:rsidR="001C1E5F" w:rsidRPr="000D3D7F">
        <w:rPr>
          <w:szCs w:val="22"/>
          <w:lang w:val="sr-Latn-ME"/>
        </w:rPr>
        <w:t>j</w:t>
      </w:r>
      <w:r w:rsidRPr="000D3D7F">
        <w:rPr>
          <w:szCs w:val="22"/>
          <w:lang w:val="sr-Latn-ME"/>
        </w:rPr>
        <w:t>eljno tokom dv</w:t>
      </w:r>
      <w:r w:rsidR="001C1E5F" w:rsidRPr="000D3D7F">
        <w:rPr>
          <w:szCs w:val="22"/>
          <w:lang w:val="sr-Latn-ME"/>
        </w:rPr>
        <w:t>ij</w:t>
      </w:r>
      <w:r w:rsidRPr="000D3D7F">
        <w:rPr>
          <w:szCs w:val="22"/>
          <w:lang w:val="sr-Latn-ME"/>
        </w:rPr>
        <w:t>e ned</w:t>
      </w:r>
      <w:r w:rsidR="001C1E5F" w:rsidRPr="000D3D7F">
        <w:rPr>
          <w:szCs w:val="22"/>
          <w:lang w:val="sr-Latn-ME"/>
        </w:rPr>
        <w:t>j</w:t>
      </w:r>
      <w:r w:rsidRPr="000D3D7F">
        <w:rPr>
          <w:szCs w:val="22"/>
          <w:lang w:val="sr-Latn-ME"/>
        </w:rPr>
        <w:t>elje u danima 1, 4, 8, i 11.</w:t>
      </w:r>
      <w:r w:rsidR="00EF29F8" w:rsidRPr="000D3D7F">
        <w:rPr>
          <w:szCs w:val="22"/>
          <w:lang w:val="sr-Latn-ME"/>
        </w:rPr>
        <w:t xml:space="preserve"> </w:t>
      </w:r>
      <w:r w:rsidRPr="000D3D7F">
        <w:rPr>
          <w:szCs w:val="22"/>
          <w:lang w:val="sr-Latn-ME"/>
        </w:rPr>
        <w:t>dana nakon čega sl</w:t>
      </w:r>
      <w:r w:rsidR="001C1E5F" w:rsidRPr="000D3D7F">
        <w:rPr>
          <w:szCs w:val="22"/>
          <w:lang w:val="sr-Latn-ME"/>
        </w:rPr>
        <w:t>ij</w:t>
      </w:r>
      <w:r w:rsidRPr="000D3D7F">
        <w:rPr>
          <w:szCs w:val="22"/>
          <w:lang w:val="sr-Latn-ME"/>
        </w:rPr>
        <w:t>edi period odmora od 10 dana u periodu od 12.-21. dana. Ovaj period od 3 ned</w:t>
      </w:r>
      <w:r w:rsidR="001C1E5F" w:rsidRPr="000D3D7F">
        <w:rPr>
          <w:szCs w:val="22"/>
          <w:lang w:val="sr-Latn-ME"/>
        </w:rPr>
        <w:t>j</w:t>
      </w:r>
      <w:r w:rsidRPr="000D3D7F">
        <w:rPr>
          <w:szCs w:val="22"/>
          <w:lang w:val="sr-Latn-ME"/>
        </w:rPr>
        <w:t>elje smatra</w:t>
      </w:r>
      <w:r w:rsidR="00EF29F8" w:rsidRPr="000D3D7F">
        <w:rPr>
          <w:szCs w:val="22"/>
          <w:lang w:val="sr-Latn-ME"/>
        </w:rPr>
        <w:t xml:space="preserve"> </w:t>
      </w:r>
      <w:r w:rsidRPr="000D3D7F">
        <w:rPr>
          <w:szCs w:val="22"/>
          <w:lang w:val="sr-Latn-ME"/>
        </w:rPr>
        <w:t>se terapijskim ciklusom. Preporučuje se 6 ciklusa, a u slučaju da je prvi odgovor zab</w:t>
      </w:r>
      <w:r w:rsidR="001C1E5F" w:rsidRPr="000D3D7F">
        <w:rPr>
          <w:szCs w:val="22"/>
          <w:lang w:val="sr-Latn-ME"/>
        </w:rPr>
        <w:t>i</w:t>
      </w:r>
      <w:r w:rsidRPr="000D3D7F">
        <w:rPr>
          <w:szCs w:val="22"/>
          <w:lang w:val="sr-Latn-ME"/>
        </w:rPr>
        <w:t>l</w:t>
      </w:r>
      <w:r w:rsidR="001C1E5F" w:rsidRPr="000D3D7F">
        <w:rPr>
          <w:szCs w:val="22"/>
          <w:lang w:val="sr-Latn-ME"/>
        </w:rPr>
        <w:t>j</w:t>
      </w:r>
      <w:r w:rsidRPr="000D3D7F">
        <w:rPr>
          <w:szCs w:val="22"/>
          <w:lang w:val="sr-Latn-ME"/>
        </w:rPr>
        <w:t>ežen u 6. ciklusu,</w:t>
      </w:r>
      <w:r w:rsidR="00EF29F8" w:rsidRPr="000D3D7F">
        <w:rPr>
          <w:szCs w:val="22"/>
          <w:lang w:val="sr-Latn-ME"/>
        </w:rPr>
        <w:t xml:space="preserve"> </w:t>
      </w:r>
      <w:r w:rsidRPr="000D3D7F">
        <w:rPr>
          <w:szCs w:val="22"/>
          <w:lang w:val="sr-Latn-ME"/>
        </w:rPr>
        <w:t>mogu se prim</w:t>
      </w:r>
      <w:r w:rsidR="001C1E5F" w:rsidRPr="000D3D7F">
        <w:rPr>
          <w:szCs w:val="22"/>
          <w:lang w:val="sr-Latn-ME"/>
        </w:rPr>
        <w:t>ij</w:t>
      </w:r>
      <w:r w:rsidRPr="000D3D7F">
        <w:rPr>
          <w:szCs w:val="22"/>
          <w:lang w:val="sr-Latn-ME"/>
        </w:rPr>
        <w:t>eniti dva dodatna cikusa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Najmanje 72 sata treba da prođe između dv</w:t>
      </w:r>
      <w:r w:rsidR="001C1E5F" w:rsidRPr="000D3D7F">
        <w:rPr>
          <w:szCs w:val="22"/>
          <w:lang w:val="sr-Latn-ME"/>
        </w:rPr>
        <w:t>ij</w:t>
      </w:r>
      <w:r w:rsidRPr="000D3D7F">
        <w:rPr>
          <w:szCs w:val="22"/>
          <w:lang w:val="sr-Latn-ME"/>
        </w:rPr>
        <w:t>e uzastopne</w:t>
      </w:r>
      <w:r w:rsidR="00EF29F8" w:rsidRPr="000D3D7F">
        <w:rPr>
          <w:szCs w:val="22"/>
          <w:lang w:val="sr-Latn-ME"/>
        </w:rPr>
        <w:t xml:space="preserve"> </w:t>
      </w:r>
      <w:r w:rsidRPr="000D3D7F">
        <w:rPr>
          <w:szCs w:val="22"/>
          <w:lang w:val="sr-Latn-ME"/>
        </w:rPr>
        <w:t>doze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7743662A" w14:textId="55E7724F" w:rsidR="007C7147" w:rsidRPr="000D3D7F" w:rsidRDefault="007C7147" w:rsidP="001E1F5A">
      <w:pPr>
        <w:rPr>
          <w:szCs w:val="22"/>
          <w:lang w:val="sr-Latn-ME"/>
        </w:rPr>
      </w:pPr>
      <w:r w:rsidRPr="000D3D7F">
        <w:rPr>
          <w:szCs w:val="22"/>
          <w:lang w:val="sr-Latn-ME"/>
        </w:rPr>
        <w:t>Sl</w:t>
      </w:r>
      <w:r w:rsidR="001C1E5F" w:rsidRPr="000D3D7F">
        <w:rPr>
          <w:szCs w:val="22"/>
          <w:lang w:val="sr-Latn-ME"/>
        </w:rPr>
        <w:t>j</w:t>
      </w:r>
      <w:r w:rsidRPr="000D3D7F">
        <w:rPr>
          <w:szCs w:val="22"/>
          <w:lang w:val="sr-Latn-ME"/>
        </w:rPr>
        <w:t>edeći l</w:t>
      </w:r>
      <w:r w:rsidR="001C1E5F" w:rsidRPr="000D3D7F">
        <w:rPr>
          <w:szCs w:val="22"/>
          <w:lang w:val="sr-Latn-ME"/>
        </w:rPr>
        <w:t>j</w:t>
      </w:r>
      <w:r w:rsidRPr="000D3D7F">
        <w:rPr>
          <w:szCs w:val="22"/>
          <w:lang w:val="sr-Latn-ME"/>
        </w:rPr>
        <w:t>ekovi se prim</w:t>
      </w:r>
      <w:r w:rsidR="001C1E5F" w:rsidRPr="000D3D7F">
        <w:rPr>
          <w:szCs w:val="22"/>
          <w:lang w:val="sr-Latn-ME"/>
        </w:rPr>
        <w:t>j</w:t>
      </w:r>
      <w:r w:rsidRPr="000D3D7F">
        <w:rPr>
          <w:szCs w:val="22"/>
          <w:lang w:val="sr-Latn-ME"/>
        </w:rPr>
        <w:t>enjuju prvog dana svakog troned</w:t>
      </w:r>
      <w:r w:rsidR="001C1E5F" w:rsidRPr="000D3D7F">
        <w:rPr>
          <w:szCs w:val="22"/>
          <w:lang w:val="sr-Latn-ME"/>
        </w:rPr>
        <w:t>j</w:t>
      </w:r>
      <w:r w:rsidRPr="000D3D7F">
        <w:rPr>
          <w:szCs w:val="22"/>
          <w:lang w:val="sr-Latn-ME"/>
        </w:rPr>
        <w:t>eljnog terapijskog ciklusa l</w:t>
      </w:r>
      <w:r w:rsidR="001C1E5F" w:rsidRPr="000D3D7F">
        <w:rPr>
          <w:szCs w:val="22"/>
          <w:lang w:val="sr-Latn-ME"/>
        </w:rPr>
        <w:t>ij</w:t>
      </w:r>
      <w:r w:rsidRPr="000D3D7F">
        <w:rPr>
          <w:szCs w:val="22"/>
          <w:lang w:val="sr-Latn-ME"/>
        </w:rPr>
        <w:t>ečenja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kao</w:t>
      </w:r>
      <w:r w:rsidR="00EF29F8" w:rsidRPr="000D3D7F">
        <w:rPr>
          <w:szCs w:val="22"/>
          <w:lang w:val="sr-Latn-ME"/>
        </w:rPr>
        <w:t xml:space="preserve"> </w:t>
      </w:r>
      <w:r w:rsidRPr="000D3D7F">
        <w:rPr>
          <w:szCs w:val="22"/>
          <w:lang w:val="sr-Latn-ME"/>
        </w:rPr>
        <w:t>intravenska infuzija: rituksimab 375 mg/m</w:t>
      </w:r>
      <w:r w:rsidRPr="000D3D7F">
        <w:rPr>
          <w:szCs w:val="22"/>
          <w:vertAlign w:val="superscript"/>
          <w:lang w:val="sr-Latn-ME"/>
        </w:rPr>
        <w:t>2</w:t>
      </w:r>
      <w:r w:rsidRPr="000D3D7F">
        <w:rPr>
          <w:szCs w:val="22"/>
          <w:lang w:val="sr-Latn-ME"/>
        </w:rPr>
        <w:t>, ciklofosfamid 750 mg/m</w:t>
      </w:r>
      <w:r w:rsidRPr="000D3D7F">
        <w:rPr>
          <w:szCs w:val="22"/>
          <w:vertAlign w:val="superscript"/>
          <w:lang w:val="sr-Latn-ME"/>
        </w:rPr>
        <w:t xml:space="preserve">2 </w:t>
      </w:r>
      <w:r w:rsidRPr="000D3D7F">
        <w:rPr>
          <w:szCs w:val="22"/>
          <w:lang w:val="sr-Latn-ME"/>
        </w:rPr>
        <w:t>i doksorubicin 50 mg/m</w:t>
      </w:r>
      <w:r w:rsidRPr="000D3D7F">
        <w:rPr>
          <w:szCs w:val="22"/>
          <w:vertAlign w:val="superscript"/>
          <w:lang w:val="sr-Latn-ME"/>
        </w:rPr>
        <w:t>2</w:t>
      </w:r>
      <w:r w:rsidRPr="000D3D7F">
        <w:rPr>
          <w:szCs w:val="22"/>
          <w:lang w:val="sr-Latn-ME"/>
        </w:rPr>
        <w:t>.</w:t>
      </w:r>
    </w:p>
    <w:p w14:paraId="4FA3E85E" w14:textId="4AADF665" w:rsidR="007C7147" w:rsidRPr="000D3D7F" w:rsidRDefault="007C7147" w:rsidP="001E1F5A">
      <w:pPr>
        <w:rPr>
          <w:szCs w:val="22"/>
          <w:lang w:val="sr-Latn-ME"/>
        </w:rPr>
      </w:pPr>
      <w:r w:rsidRPr="000D3D7F">
        <w:rPr>
          <w:szCs w:val="22"/>
          <w:lang w:val="sr-Latn-ME"/>
        </w:rPr>
        <w:t>Prednizon se daje oralno u dozi od 100 mg/m</w:t>
      </w:r>
      <w:r w:rsidRPr="000D3D7F">
        <w:rPr>
          <w:szCs w:val="22"/>
          <w:vertAlign w:val="superscript"/>
          <w:lang w:val="sr-Latn-ME"/>
        </w:rPr>
        <w:t>2</w:t>
      </w:r>
      <w:r w:rsidRPr="000D3D7F">
        <w:rPr>
          <w:szCs w:val="22"/>
          <w:lang w:val="sr-Latn-ME"/>
        </w:rPr>
        <w:t xml:space="preserve"> u danima 1,2,3,4 i 5. dana svakog terapijskog ciklusa l</w:t>
      </w:r>
      <w:r w:rsidR="001C1E5F" w:rsidRPr="000D3D7F">
        <w:rPr>
          <w:szCs w:val="22"/>
          <w:lang w:val="sr-Latn-ME"/>
        </w:rPr>
        <w:t>ij</w:t>
      </w:r>
      <w:r w:rsidRPr="000D3D7F">
        <w:rPr>
          <w:szCs w:val="22"/>
          <w:lang w:val="sr-Latn-ME"/>
        </w:rPr>
        <w:t>ečenja</w:t>
      </w:r>
      <w:r w:rsidR="00EF29F8" w:rsidRPr="000D3D7F">
        <w:rPr>
          <w:szCs w:val="22"/>
          <w:lang w:val="sr-Latn-ME"/>
        </w:rPr>
        <w:t xml:space="preserve"> </w:t>
      </w:r>
      <w:r w:rsidR="007F0785" w:rsidRPr="000D3D7F">
        <w:rPr>
          <w:szCs w:val="22"/>
          <w:lang w:val="sr-Latn-ME"/>
        </w:rPr>
        <w:t>bortezomibom</w:t>
      </w:r>
      <w:r w:rsidRPr="000D3D7F">
        <w:rPr>
          <w:szCs w:val="22"/>
          <w:lang w:val="sr-Latn-ME"/>
        </w:rPr>
        <w:t>.</w:t>
      </w:r>
    </w:p>
    <w:p w14:paraId="09B4DF08" w14:textId="77777777" w:rsidR="00842007" w:rsidRPr="000D3D7F" w:rsidRDefault="00842007" w:rsidP="001E1F5A">
      <w:pPr>
        <w:rPr>
          <w:szCs w:val="22"/>
          <w:lang w:val="sr-Latn-ME"/>
        </w:rPr>
      </w:pPr>
    </w:p>
    <w:p w14:paraId="09427725" w14:textId="08CC3E55" w:rsidR="00842007" w:rsidRPr="000D3D7F" w:rsidRDefault="007C7147" w:rsidP="001E1F5A">
      <w:pPr>
        <w:rPr>
          <w:i/>
          <w:iCs/>
          <w:szCs w:val="22"/>
          <w:lang w:val="sr-Latn-ME"/>
        </w:rPr>
      </w:pPr>
      <w:r w:rsidRPr="000D3D7F">
        <w:rPr>
          <w:i/>
          <w:iCs/>
          <w:szCs w:val="22"/>
          <w:lang w:val="sr-Latn-ME"/>
        </w:rPr>
        <w:lastRenderedPageBreak/>
        <w:t>Prilagodjavanje doze tokom terapije za pacijente sa prethodno nel</w:t>
      </w:r>
      <w:r w:rsidR="001C1E5F" w:rsidRPr="000D3D7F">
        <w:rPr>
          <w:i/>
          <w:iCs/>
          <w:szCs w:val="22"/>
          <w:lang w:val="sr-Latn-ME"/>
        </w:rPr>
        <w:t>ij</w:t>
      </w:r>
      <w:r w:rsidRPr="000D3D7F">
        <w:rPr>
          <w:i/>
          <w:iCs/>
          <w:szCs w:val="22"/>
          <w:lang w:val="sr-Latn-ME"/>
        </w:rPr>
        <w:t>ečenim mantle ćelijskim limfomom</w:t>
      </w:r>
      <w:r w:rsidR="00EF29F8" w:rsidRPr="000D3D7F">
        <w:rPr>
          <w:i/>
          <w:iCs/>
          <w:szCs w:val="22"/>
          <w:lang w:val="sr-Latn-ME"/>
        </w:rPr>
        <w:t xml:space="preserve"> </w:t>
      </w:r>
    </w:p>
    <w:p w14:paraId="17182372" w14:textId="30203B74" w:rsidR="007C7147" w:rsidRPr="000D3D7F" w:rsidRDefault="007C7147" w:rsidP="001E1F5A">
      <w:pPr>
        <w:rPr>
          <w:szCs w:val="22"/>
          <w:lang w:val="sr-Latn-ME"/>
        </w:rPr>
      </w:pPr>
      <w:r w:rsidRPr="000D3D7F">
        <w:rPr>
          <w:szCs w:val="22"/>
          <w:lang w:val="sr-Latn-ME"/>
        </w:rPr>
        <w:t>Pr</w:t>
      </w:r>
      <w:r w:rsidR="001C1E5F" w:rsidRPr="000D3D7F">
        <w:rPr>
          <w:szCs w:val="22"/>
          <w:lang w:val="sr-Latn-ME"/>
        </w:rPr>
        <w:t>ij</w:t>
      </w:r>
      <w:r w:rsidRPr="000D3D7F">
        <w:rPr>
          <w:szCs w:val="22"/>
          <w:lang w:val="sr-Latn-ME"/>
        </w:rPr>
        <w:t>e početka novog ciklusa:</w:t>
      </w:r>
    </w:p>
    <w:p w14:paraId="71FF598C" w14:textId="0ED24C99" w:rsidR="007C7147" w:rsidRPr="000D3D7F" w:rsidRDefault="007C7147" w:rsidP="001E1F5A">
      <w:pPr>
        <w:numPr>
          <w:ilvl w:val="0"/>
          <w:numId w:val="10"/>
        </w:numPr>
        <w:tabs>
          <w:tab w:val="clear" w:pos="284"/>
          <w:tab w:val="left" w:pos="450"/>
        </w:tabs>
        <w:ind w:left="450" w:hanging="270"/>
        <w:rPr>
          <w:szCs w:val="22"/>
          <w:lang w:val="sr-Latn-ME"/>
        </w:rPr>
      </w:pPr>
      <w:r w:rsidRPr="000D3D7F">
        <w:rPr>
          <w:szCs w:val="22"/>
          <w:lang w:val="sr-Latn-ME"/>
        </w:rPr>
        <w:t>Broj trombocita treba da bude ≥ 100000 ćelija/mikrolitru i a</w:t>
      </w:r>
      <w:r w:rsidR="00395F63" w:rsidRPr="000D3D7F">
        <w:rPr>
          <w:szCs w:val="22"/>
          <w:lang w:val="sr-Latn-ME"/>
        </w:rPr>
        <w:t>p</w:t>
      </w:r>
      <w:r w:rsidRPr="000D3D7F">
        <w:rPr>
          <w:szCs w:val="22"/>
          <w:lang w:val="sr-Latn-ME"/>
        </w:rPr>
        <w:t>solutni broj neutrofila (ANC) treba da</w:t>
      </w:r>
      <w:r w:rsidR="00EF29F8" w:rsidRPr="000D3D7F">
        <w:rPr>
          <w:szCs w:val="22"/>
          <w:lang w:val="sr-Latn-ME"/>
        </w:rPr>
        <w:t xml:space="preserve"> </w:t>
      </w:r>
      <w:r w:rsidRPr="000D3D7F">
        <w:rPr>
          <w:szCs w:val="22"/>
          <w:lang w:val="sr-Latn-ME"/>
        </w:rPr>
        <w:t>bude ≥ 1500 ćelija/ mikrolitru</w:t>
      </w:r>
    </w:p>
    <w:p w14:paraId="6F204474" w14:textId="4AEC9000" w:rsidR="007C7147" w:rsidRPr="000D3D7F" w:rsidRDefault="007C7147" w:rsidP="001E1F5A">
      <w:pPr>
        <w:numPr>
          <w:ilvl w:val="0"/>
          <w:numId w:val="10"/>
        </w:numPr>
        <w:tabs>
          <w:tab w:val="clear" w:pos="284"/>
          <w:tab w:val="left" w:pos="450"/>
        </w:tabs>
        <w:ind w:left="450" w:hanging="270"/>
        <w:rPr>
          <w:szCs w:val="22"/>
          <w:lang w:val="sr-Latn-ME"/>
        </w:rPr>
      </w:pPr>
      <w:r w:rsidRPr="000D3D7F">
        <w:rPr>
          <w:szCs w:val="22"/>
          <w:lang w:val="sr-Latn-ME"/>
        </w:rPr>
        <w:t>Broj trombocita treba da bude ≥ 75000 ćelija/mikrolitru kod pacijenata sa infiltracijom koštane srži</w:t>
      </w:r>
      <w:r w:rsidR="00EF29F8" w:rsidRPr="000D3D7F">
        <w:rPr>
          <w:szCs w:val="22"/>
          <w:lang w:val="sr-Latn-ME"/>
        </w:rPr>
        <w:t xml:space="preserve"> </w:t>
      </w:r>
      <w:r w:rsidRPr="000D3D7F">
        <w:rPr>
          <w:szCs w:val="22"/>
          <w:lang w:val="sr-Latn-ME"/>
        </w:rPr>
        <w:t>ili sekvestracijom slezine.</w:t>
      </w:r>
    </w:p>
    <w:p w14:paraId="43EF06C2" w14:textId="705D2950" w:rsidR="007C7147" w:rsidRPr="000D3D7F" w:rsidRDefault="007C7147" w:rsidP="001E1F5A">
      <w:pPr>
        <w:numPr>
          <w:ilvl w:val="0"/>
          <w:numId w:val="10"/>
        </w:numPr>
        <w:tabs>
          <w:tab w:val="clear" w:pos="284"/>
          <w:tab w:val="left" w:pos="450"/>
        </w:tabs>
        <w:ind w:left="450" w:hanging="270"/>
        <w:rPr>
          <w:szCs w:val="22"/>
          <w:lang w:val="sr-Latn-ME"/>
        </w:rPr>
      </w:pPr>
      <w:r w:rsidRPr="000D3D7F">
        <w:rPr>
          <w:szCs w:val="22"/>
          <w:lang w:val="sr-Latn-ME"/>
        </w:rPr>
        <w:t>Hemoglobin ≥ 8 g/dL</w:t>
      </w:r>
    </w:p>
    <w:p w14:paraId="43E31A9E" w14:textId="4106CFAF" w:rsidR="007C7147" w:rsidRPr="000D3D7F" w:rsidRDefault="007C7147" w:rsidP="001E1F5A">
      <w:pPr>
        <w:numPr>
          <w:ilvl w:val="0"/>
          <w:numId w:val="10"/>
        </w:numPr>
        <w:tabs>
          <w:tab w:val="clear" w:pos="284"/>
          <w:tab w:val="left" w:pos="450"/>
        </w:tabs>
        <w:ind w:left="450" w:hanging="270"/>
        <w:rPr>
          <w:szCs w:val="22"/>
          <w:lang w:val="sr-Latn-ME"/>
        </w:rPr>
      </w:pPr>
      <w:r w:rsidRPr="000D3D7F">
        <w:rPr>
          <w:szCs w:val="22"/>
          <w:lang w:val="sr-Latn-ME"/>
        </w:rPr>
        <w:t>Nehematološke toksičnosti treba da se povuku do prvog stepena ili na početno stanje.</w:t>
      </w:r>
    </w:p>
    <w:p w14:paraId="20204812" w14:textId="7040840B" w:rsidR="007C7147" w:rsidRPr="000D3D7F" w:rsidRDefault="007C7147" w:rsidP="001E1F5A">
      <w:pPr>
        <w:rPr>
          <w:szCs w:val="22"/>
          <w:lang w:val="sr-Latn-ME"/>
        </w:rPr>
      </w:pPr>
      <w:r w:rsidRPr="000D3D7F">
        <w:rPr>
          <w:szCs w:val="22"/>
          <w:lang w:val="sr-Latn-ME"/>
        </w:rPr>
        <w:t>Terapija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se mora obustaviti na početku bilo koje nehematološke toksičnosti ≥ stepena 3, koje</w:t>
      </w:r>
      <w:r w:rsidR="00EF29F8" w:rsidRPr="000D3D7F">
        <w:rPr>
          <w:szCs w:val="22"/>
          <w:lang w:val="sr-Latn-ME"/>
        </w:rPr>
        <w:t xml:space="preserve"> </w:t>
      </w:r>
      <w:r w:rsidRPr="000D3D7F">
        <w:rPr>
          <w:szCs w:val="22"/>
          <w:lang w:val="sr-Latn-ME"/>
        </w:rPr>
        <w:t>su povezane sa prim</w:t>
      </w:r>
      <w:r w:rsidR="001C1E5F" w:rsidRPr="000D3D7F">
        <w:rPr>
          <w:szCs w:val="22"/>
          <w:lang w:val="sr-Latn-ME"/>
        </w:rPr>
        <w:t>j</w:t>
      </w:r>
      <w:r w:rsidRPr="000D3D7F">
        <w:rPr>
          <w:szCs w:val="22"/>
          <w:lang w:val="sr-Latn-ME"/>
        </w:rPr>
        <w:t>enom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(isključujući neuropatiju) ili hematološke toksičnosti ≥ stepena 3</w:t>
      </w:r>
      <w:r w:rsidR="00EF29F8" w:rsidRPr="000D3D7F">
        <w:rPr>
          <w:szCs w:val="22"/>
          <w:lang w:val="sr-Latn-ME"/>
        </w:rPr>
        <w:t xml:space="preserve"> </w:t>
      </w:r>
      <w:r w:rsidRPr="000D3D7F">
        <w:rPr>
          <w:szCs w:val="22"/>
          <w:lang w:val="sr-Latn-ME"/>
        </w:rPr>
        <w:t>(vid</w:t>
      </w:r>
      <w:r w:rsidR="001C1E5F" w:rsidRPr="000D3D7F">
        <w:rPr>
          <w:szCs w:val="22"/>
          <w:lang w:val="sr-Latn-ME"/>
        </w:rPr>
        <w:t>j</w:t>
      </w:r>
      <w:r w:rsidRPr="000D3D7F">
        <w:rPr>
          <w:szCs w:val="22"/>
          <w:lang w:val="sr-Latn-ME"/>
        </w:rPr>
        <w:t xml:space="preserve">eti takođe </w:t>
      </w:r>
      <w:r w:rsidR="001B5D63" w:rsidRPr="000D3D7F">
        <w:rPr>
          <w:szCs w:val="22"/>
          <w:lang w:val="sr-Latn-ME"/>
        </w:rPr>
        <w:t>dio</w:t>
      </w:r>
      <w:r w:rsidRPr="000D3D7F">
        <w:rPr>
          <w:szCs w:val="22"/>
          <w:lang w:val="sr-Latn-ME"/>
        </w:rPr>
        <w:t xml:space="preserve"> 4.4). Za prilagođavanje doze vid</w:t>
      </w:r>
      <w:r w:rsidR="001C1E5F" w:rsidRPr="000D3D7F">
        <w:rPr>
          <w:szCs w:val="22"/>
          <w:lang w:val="sr-Latn-ME"/>
        </w:rPr>
        <w:t>j</w:t>
      </w:r>
      <w:r w:rsidRPr="000D3D7F">
        <w:rPr>
          <w:szCs w:val="22"/>
          <w:lang w:val="sr-Latn-ME"/>
        </w:rPr>
        <w:t>eti Tabelu 5 ispod.</w:t>
      </w:r>
    </w:p>
    <w:p w14:paraId="550FE01D" w14:textId="52A6C9B1" w:rsidR="007C7147" w:rsidRPr="000D3D7F" w:rsidRDefault="007C7147" w:rsidP="001E1F5A">
      <w:pPr>
        <w:rPr>
          <w:szCs w:val="22"/>
          <w:lang w:val="sr-Latn-ME"/>
        </w:rPr>
      </w:pPr>
      <w:r w:rsidRPr="000D3D7F">
        <w:rPr>
          <w:szCs w:val="22"/>
          <w:lang w:val="sr-Latn-ME"/>
        </w:rPr>
        <w:t>U skladu sa lokalnom standardnom praksom, faktori stimulacije granulocita mogu se prim</w:t>
      </w:r>
      <w:r w:rsidR="001C1E5F" w:rsidRPr="000D3D7F">
        <w:rPr>
          <w:szCs w:val="22"/>
          <w:lang w:val="sr-Latn-ME"/>
        </w:rPr>
        <w:t>ij</w:t>
      </w:r>
      <w:r w:rsidRPr="000D3D7F">
        <w:rPr>
          <w:szCs w:val="22"/>
          <w:lang w:val="sr-Latn-ME"/>
        </w:rPr>
        <w:t>eniti za</w:t>
      </w:r>
      <w:r w:rsidR="00EF29F8" w:rsidRPr="000D3D7F">
        <w:rPr>
          <w:szCs w:val="22"/>
          <w:lang w:val="sr-Latn-ME"/>
        </w:rPr>
        <w:t xml:space="preserve"> </w:t>
      </w:r>
      <w:r w:rsidRPr="000D3D7F">
        <w:rPr>
          <w:szCs w:val="22"/>
          <w:lang w:val="sr-Latn-ME"/>
        </w:rPr>
        <w:t>hematološke toksičnosti. Profilaksa upotrebom faktora stimulacije granulocita se treba uzeti u obzir u slučaju</w:t>
      </w:r>
      <w:r w:rsidR="00EF29F8" w:rsidRPr="000D3D7F">
        <w:rPr>
          <w:szCs w:val="22"/>
          <w:lang w:val="sr-Latn-ME"/>
        </w:rPr>
        <w:t xml:space="preserve"> </w:t>
      </w:r>
      <w:r w:rsidRPr="000D3D7F">
        <w:rPr>
          <w:szCs w:val="22"/>
          <w:lang w:val="sr-Latn-ME"/>
        </w:rPr>
        <w:t>ponavljanog odlaganja prim</w:t>
      </w:r>
      <w:r w:rsidR="001C1E5F" w:rsidRPr="000D3D7F">
        <w:rPr>
          <w:szCs w:val="22"/>
          <w:lang w:val="sr-Latn-ME"/>
        </w:rPr>
        <w:t>j</w:t>
      </w:r>
      <w:r w:rsidRPr="000D3D7F">
        <w:rPr>
          <w:szCs w:val="22"/>
          <w:lang w:val="sr-Latn-ME"/>
        </w:rPr>
        <w:t>ene terapijskog ciklusa. Treba razmotriti transfuziju trombocita za terapiju</w:t>
      </w:r>
      <w:r w:rsidR="00EF29F8" w:rsidRPr="000D3D7F">
        <w:rPr>
          <w:szCs w:val="22"/>
          <w:lang w:val="sr-Latn-ME"/>
        </w:rPr>
        <w:t xml:space="preserve"> </w:t>
      </w:r>
      <w:r w:rsidRPr="000D3D7F">
        <w:rPr>
          <w:szCs w:val="22"/>
          <w:lang w:val="sr-Latn-ME"/>
        </w:rPr>
        <w:t>trombocitopenije kada je klinički opravdano.</w:t>
      </w:r>
    </w:p>
    <w:p w14:paraId="6214D213" w14:textId="77777777" w:rsidR="00913F9C" w:rsidRPr="000D3D7F" w:rsidRDefault="00913F9C" w:rsidP="001E1F5A">
      <w:pPr>
        <w:rPr>
          <w:szCs w:val="22"/>
          <w:lang w:val="sr-Latn-ME"/>
        </w:rPr>
      </w:pPr>
    </w:p>
    <w:p w14:paraId="1B020C01" w14:textId="509F74BD" w:rsidR="007C7147" w:rsidRPr="000D3D7F" w:rsidRDefault="007C7147" w:rsidP="001E1F5A">
      <w:pPr>
        <w:rPr>
          <w:i/>
          <w:iCs/>
          <w:szCs w:val="22"/>
          <w:lang w:val="sr-Latn-ME"/>
        </w:rPr>
      </w:pPr>
      <w:r w:rsidRPr="000D3D7F">
        <w:rPr>
          <w:i/>
          <w:iCs/>
          <w:szCs w:val="22"/>
          <w:lang w:val="sr-Latn-ME"/>
        </w:rPr>
        <w:t>Tabela 5: Prilagođavanje doze tokom terapije kod pacijenata sa prethodno nel</w:t>
      </w:r>
      <w:r w:rsidR="001C1E5F" w:rsidRPr="000D3D7F">
        <w:rPr>
          <w:i/>
          <w:iCs/>
          <w:szCs w:val="22"/>
          <w:lang w:val="sr-Latn-ME"/>
        </w:rPr>
        <w:t>ij</w:t>
      </w:r>
      <w:r w:rsidRPr="000D3D7F">
        <w:rPr>
          <w:i/>
          <w:iCs/>
          <w:szCs w:val="22"/>
          <w:lang w:val="sr-Latn-ME"/>
        </w:rPr>
        <w:t>ečenim mantle ćelijskim</w:t>
      </w:r>
      <w:r w:rsidR="00EF29F8" w:rsidRPr="000D3D7F">
        <w:rPr>
          <w:i/>
          <w:iCs/>
          <w:szCs w:val="22"/>
          <w:lang w:val="sr-Latn-ME"/>
        </w:rPr>
        <w:t xml:space="preserve"> </w:t>
      </w:r>
      <w:r w:rsidRPr="000D3D7F">
        <w:rPr>
          <w:i/>
          <w:iCs/>
          <w:szCs w:val="22"/>
          <w:lang w:val="sr-Latn-ME"/>
        </w:rPr>
        <w:t>limfomom</w:t>
      </w:r>
    </w:p>
    <w:tbl>
      <w:tblPr>
        <w:tblW w:w="0" w:type="auto"/>
        <w:tblInd w:w="121" w:type="dxa"/>
        <w:tblLayout w:type="fixed"/>
        <w:tblCellMar>
          <w:left w:w="0" w:type="dxa"/>
          <w:right w:w="0" w:type="dxa"/>
        </w:tblCellMar>
        <w:tblLook w:val="0000" w:firstRow="0" w:lastRow="0" w:firstColumn="0" w:lastColumn="0" w:noHBand="0" w:noVBand="0"/>
      </w:tblPr>
      <w:tblGrid>
        <w:gridCol w:w="4536"/>
        <w:gridCol w:w="4836"/>
      </w:tblGrid>
      <w:tr w:rsidR="007C7147" w:rsidRPr="000D3D7F" w14:paraId="3E3CEBEA" w14:textId="77777777" w:rsidTr="001B5D63">
        <w:trPr>
          <w:trHeight w:val="249"/>
        </w:trPr>
        <w:tc>
          <w:tcPr>
            <w:tcW w:w="4536" w:type="dxa"/>
            <w:tcBorders>
              <w:top w:val="single" w:sz="4" w:space="0" w:color="000000"/>
              <w:left w:val="single" w:sz="4" w:space="0" w:color="000000"/>
              <w:bottom w:val="single" w:sz="4" w:space="0" w:color="000000"/>
              <w:right w:val="single" w:sz="4" w:space="0" w:color="000000"/>
            </w:tcBorders>
          </w:tcPr>
          <w:p w14:paraId="254A7075" w14:textId="77777777" w:rsidR="007C7147" w:rsidRPr="000D3D7F" w:rsidRDefault="007C7147" w:rsidP="001E1F5A">
            <w:pPr>
              <w:rPr>
                <w:b/>
                <w:bCs/>
                <w:lang w:val="sr-Latn-ME"/>
              </w:rPr>
            </w:pPr>
            <w:r w:rsidRPr="000D3D7F">
              <w:rPr>
                <w:b/>
                <w:bCs/>
                <w:szCs w:val="22"/>
                <w:lang w:val="sr-Latn-ME"/>
              </w:rPr>
              <w:t>Toksičnosti</w:t>
            </w:r>
          </w:p>
        </w:tc>
        <w:tc>
          <w:tcPr>
            <w:tcW w:w="4836" w:type="dxa"/>
            <w:tcBorders>
              <w:top w:val="single" w:sz="4" w:space="0" w:color="000000"/>
              <w:left w:val="single" w:sz="4" w:space="0" w:color="000000"/>
              <w:bottom w:val="single" w:sz="4" w:space="0" w:color="000000"/>
              <w:right w:val="single" w:sz="4" w:space="0" w:color="000000"/>
            </w:tcBorders>
          </w:tcPr>
          <w:p w14:paraId="33C8ED1B" w14:textId="77777777" w:rsidR="007C7147" w:rsidRPr="000D3D7F" w:rsidRDefault="007C7147" w:rsidP="001E1F5A">
            <w:pPr>
              <w:rPr>
                <w:b/>
                <w:bCs/>
                <w:lang w:val="sr-Latn-ME"/>
              </w:rPr>
            </w:pPr>
            <w:r w:rsidRPr="000D3D7F">
              <w:rPr>
                <w:b/>
                <w:bCs/>
                <w:szCs w:val="22"/>
                <w:lang w:val="sr-Latn-ME"/>
              </w:rPr>
              <w:t>Podešavanje doze ili odlaganje</w:t>
            </w:r>
          </w:p>
        </w:tc>
      </w:tr>
      <w:tr w:rsidR="007C7147" w:rsidRPr="000D3D7F" w14:paraId="46CFA28B" w14:textId="77777777" w:rsidTr="001B5D63">
        <w:trPr>
          <w:trHeight w:val="254"/>
        </w:trPr>
        <w:tc>
          <w:tcPr>
            <w:tcW w:w="9372" w:type="dxa"/>
            <w:gridSpan w:val="2"/>
            <w:tcBorders>
              <w:top w:val="single" w:sz="4" w:space="0" w:color="000000"/>
              <w:left w:val="single" w:sz="4" w:space="0" w:color="000000"/>
              <w:bottom w:val="single" w:sz="4" w:space="0" w:color="000000"/>
              <w:right w:val="single" w:sz="4" w:space="0" w:color="000000"/>
            </w:tcBorders>
          </w:tcPr>
          <w:p w14:paraId="4233584F" w14:textId="77777777" w:rsidR="007C7147" w:rsidRPr="000D3D7F" w:rsidRDefault="007C7147" w:rsidP="001E1F5A">
            <w:pPr>
              <w:rPr>
                <w:i/>
                <w:iCs/>
                <w:lang w:val="sr-Latn-ME"/>
              </w:rPr>
            </w:pPr>
            <w:r w:rsidRPr="000D3D7F">
              <w:rPr>
                <w:i/>
                <w:iCs/>
                <w:szCs w:val="22"/>
                <w:lang w:val="sr-Latn-ME"/>
              </w:rPr>
              <w:t>Hematološka toksičnost</w:t>
            </w:r>
          </w:p>
        </w:tc>
      </w:tr>
      <w:tr w:rsidR="007C7147" w:rsidRPr="000D3D7F" w14:paraId="7CAE98F2" w14:textId="77777777" w:rsidTr="001B5D63">
        <w:trPr>
          <w:trHeight w:val="4079"/>
        </w:trPr>
        <w:tc>
          <w:tcPr>
            <w:tcW w:w="4536" w:type="dxa"/>
            <w:tcBorders>
              <w:top w:val="single" w:sz="4" w:space="0" w:color="000000"/>
              <w:left w:val="single" w:sz="4" w:space="0" w:color="000000"/>
              <w:bottom w:val="single" w:sz="4" w:space="0" w:color="000000"/>
              <w:right w:val="single" w:sz="4" w:space="0" w:color="000000"/>
            </w:tcBorders>
          </w:tcPr>
          <w:p w14:paraId="3942ABF9" w14:textId="665D81AE" w:rsidR="007C7147" w:rsidRPr="000D3D7F" w:rsidRDefault="007C7147" w:rsidP="001E1F5A">
            <w:pPr>
              <w:numPr>
                <w:ilvl w:val="0"/>
                <w:numId w:val="6"/>
              </w:numPr>
              <w:tabs>
                <w:tab w:val="clear" w:pos="284"/>
                <w:tab w:val="left" w:pos="515"/>
              </w:tabs>
              <w:ind w:left="155" w:firstLine="0"/>
              <w:rPr>
                <w:lang w:val="sr-Latn-ME"/>
              </w:rPr>
            </w:pPr>
            <w:r w:rsidRPr="000D3D7F">
              <w:rPr>
                <w:szCs w:val="22"/>
                <w:lang w:val="sr-Latn-ME"/>
              </w:rPr>
              <w:t>Neutropenija ≥ stepena 3 sa groznicom, neutropenija stepena 4 koja traje duže od 7 dana, broj trombocita</w:t>
            </w:r>
            <w:r w:rsidR="00913F9C" w:rsidRPr="000D3D7F">
              <w:rPr>
                <w:szCs w:val="22"/>
                <w:lang w:val="sr-Latn-ME"/>
              </w:rPr>
              <w:t xml:space="preserve"> </w:t>
            </w:r>
            <w:r w:rsidRPr="000D3D7F">
              <w:rPr>
                <w:szCs w:val="22"/>
                <w:lang w:val="sr-Latn-ME"/>
              </w:rPr>
              <w:t>&lt; 10000 ćelija/mikrolitru</w:t>
            </w:r>
          </w:p>
        </w:tc>
        <w:tc>
          <w:tcPr>
            <w:tcW w:w="4836" w:type="dxa"/>
            <w:tcBorders>
              <w:top w:val="single" w:sz="4" w:space="0" w:color="000000"/>
              <w:left w:val="single" w:sz="4" w:space="0" w:color="000000"/>
              <w:bottom w:val="single" w:sz="4" w:space="0" w:color="000000"/>
              <w:right w:val="single" w:sz="4" w:space="0" w:color="000000"/>
            </w:tcBorders>
          </w:tcPr>
          <w:p w14:paraId="6040915D" w14:textId="06080856" w:rsidR="007C7147" w:rsidRPr="000D3D7F" w:rsidRDefault="007C7147" w:rsidP="001E1F5A">
            <w:pPr>
              <w:ind w:left="115"/>
              <w:rPr>
                <w:lang w:val="sr-Latn-ME"/>
              </w:rPr>
            </w:pPr>
            <w:r w:rsidRPr="000D3D7F">
              <w:rPr>
                <w:szCs w:val="22"/>
                <w:lang w:val="sr-Latn-ME"/>
              </w:rPr>
              <w:t>Terapiju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obustaviti do 2</w:t>
            </w:r>
            <w:r w:rsidR="00913F9C" w:rsidRPr="000D3D7F">
              <w:rPr>
                <w:szCs w:val="22"/>
                <w:lang w:val="sr-Latn-ME"/>
              </w:rPr>
              <w:t xml:space="preserve"> </w:t>
            </w:r>
            <w:r w:rsidRPr="000D3D7F">
              <w:rPr>
                <w:szCs w:val="22"/>
                <w:lang w:val="sr-Latn-ME"/>
              </w:rPr>
              <w:t>ned</w:t>
            </w:r>
            <w:r w:rsidR="001C1E5F" w:rsidRPr="000D3D7F">
              <w:rPr>
                <w:szCs w:val="22"/>
                <w:lang w:val="sr-Latn-ME"/>
              </w:rPr>
              <w:t>j</w:t>
            </w:r>
            <w:r w:rsidRPr="000D3D7F">
              <w:rPr>
                <w:szCs w:val="22"/>
                <w:lang w:val="sr-Latn-ME"/>
              </w:rPr>
              <w:t>elje dok se pacijentu ne dostigne apsolutni broj neutrofila (ANC)</w:t>
            </w:r>
            <w:r w:rsidR="00913F9C" w:rsidRPr="000D3D7F">
              <w:rPr>
                <w:szCs w:val="22"/>
                <w:lang w:val="sr-Latn-ME"/>
              </w:rPr>
              <w:t xml:space="preserve"> </w:t>
            </w:r>
            <w:r w:rsidRPr="000D3D7F">
              <w:rPr>
                <w:szCs w:val="22"/>
                <w:lang w:val="sr-Latn-ME"/>
              </w:rPr>
              <w:t>≥ 750 ćelija/mikrolitru i broj trombocita od</w:t>
            </w:r>
            <w:r w:rsidR="00913F9C" w:rsidRPr="000D3D7F">
              <w:rPr>
                <w:szCs w:val="22"/>
                <w:lang w:val="sr-Latn-ME"/>
              </w:rPr>
              <w:t xml:space="preserve"> </w:t>
            </w:r>
            <w:r w:rsidRPr="000D3D7F">
              <w:rPr>
                <w:szCs w:val="22"/>
                <w:lang w:val="sr-Latn-ME"/>
              </w:rPr>
              <w:t>≥ 25000 ćelija/ mikrolitru.</w:t>
            </w:r>
          </w:p>
          <w:p w14:paraId="28158CE1" w14:textId="1F5F4F32" w:rsidR="007C7147" w:rsidRPr="000D3D7F" w:rsidRDefault="007C7147" w:rsidP="001E1F5A">
            <w:pPr>
              <w:numPr>
                <w:ilvl w:val="0"/>
                <w:numId w:val="5"/>
              </w:numPr>
              <w:ind w:left="295" w:hanging="180"/>
              <w:rPr>
                <w:lang w:val="sr-Latn-ME"/>
              </w:rPr>
            </w:pPr>
            <w:r w:rsidRPr="000D3D7F">
              <w:rPr>
                <w:szCs w:val="22"/>
                <w:lang w:val="sr-Latn-ME"/>
              </w:rPr>
              <w:t>Ako se nakon obustave terapije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ne r</w:t>
            </w:r>
            <w:r w:rsidR="001C1E5F" w:rsidRPr="000D3D7F">
              <w:rPr>
                <w:szCs w:val="22"/>
                <w:lang w:val="sr-Latn-ME"/>
              </w:rPr>
              <w:t>ij</w:t>
            </w:r>
            <w:r w:rsidRPr="000D3D7F">
              <w:rPr>
                <w:szCs w:val="22"/>
                <w:lang w:val="sr-Latn-ME"/>
              </w:rPr>
              <w:t>eši toksičnost, kako je gore definisano, prim</w:t>
            </w:r>
            <w:r w:rsidR="001C1E5F" w:rsidRPr="000D3D7F">
              <w:rPr>
                <w:szCs w:val="22"/>
                <w:lang w:val="sr-Latn-ME"/>
              </w:rPr>
              <w:t>j</w:t>
            </w:r>
            <w:r w:rsidRPr="000D3D7F">
              <w:rPr>
                <w:szCs w:val="22"/>
                <w:lang w:val="sr-Latn-ME"/>
              </w:rPr>
              <w:t>ena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se mora obustaviti.</w:t>
            </w:r>
          </w:p>
          <w:p w14:paraId="3853AA07" w14:textId="02359950" w:rsidR="007C7147" w:rsidRPr="000D3D7F" w:rsidRDefault="007C7147" w:rsidP="001E1F5A">
            <w:pPr>
              <w:numPr>
                <w:ilvl w:val="0"/>
                <w:numId w:val="5"/>
              </w:numPr>
              <w:ind w:left="295" w:hanging="180"/>
              <w:rPr>
                <w:lang w:val="sr-Latn-ME"/>
              </w:rPr>
            </w:pPr>
            <w:r w:rsidRPr="000D3D7F">
              <w:rPr>
                <w:szCs w:val="22"/>
                <w:lang w:val="sr-Latn-ME"/>
              </w:rPr>
              <w:t>Ako se r</w:t>
            </w:r>
            <w:r w:rsidR="001C1E5F" w:rsidRPr="000D3D7F">
              <w:rPr>
                <w:szCs w:val="22"/>
                <w:lang w:val="sr-Latn-ME"/>
              </w:rPr>
              <w:t>ij</w:t>
            </w:r>
            <w:r w:rsidRPr="000D3D7F">
              <w:rPr>
                <w:szCs w:val="22"/>
                <w:lang w:val="sr-Latn-ME"/>
              </w:rPr>
              <w:t>eši toksičnost, tj. pacijent ima apsolutni broj neutrofila (ANC) ≥ 750 ćelija/ mikrolitru i broj trombocita ≥ 25000 ćelija/ mikrolitru, terapija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se može ponovo započeti dozom smanjenom za jedan</w:t>
            </w:r>
            <w:r w:rsidR="00913F9C" w:rsidRPr="000D3D7F">
              <w:rPr>
                <w:szCs w:val="22"/>
                <w:lang w:val="sr-Latn-ME"/>
              </w:rPr>
              <w:t xml:space="preserve"> </w:t>
            </w:r>
            <w:r w:rsidRPr="000D3D7F">
              <w:rPr>
                <w:szCs w:val="22"/>
                <w:lang w:val="sr-Latn-ME"/>
              </w:rPr>
              <w:t>dozni nivo (sa 1,3 mg/m</w:t>
            </w:r>
            <w:r w:rsidRPr="000D3D7F">
              <w:rPr>
                <w:szCs w:val="22"/>
                <w:vertAlign w:val="superscript"/>
                <w:lang w:val="sr-Latn-ME"/>
              </w:rPr>
              <w:t>2</w:t>
            </w:r>
            <w:r w:rsidRPr="000D3D7F">
              <w:rPr>
                <w:szCs w:val="22"/>
                <w:lang w:val="sr-Latn-ME"/>
              </w:rPr>
              <w:t xml:space="preserve"> na 1 mg/m</w:t>
            </w:r>
            <w:r w:rsidRPr="000D3D7F">
              <w:rPr>
                <w:szCs w:val="22"/>
                <w:vertAlign w:val="superscript"/>
                <w:lang w:val="sr-Latn-ME"/>
              </w:rPr>
              <w:t>2</w:t>
            </w:r>
            <w:r w:rsidRPr="000D3D7F">
              <w:rPr>
                <w:szCs w:val="22"/>
                <w:lang w:val="sr-Latn-ME"/>
              </w:rPr>
              <w:t>, ili sa 1 mg/m</w:t>
            </w:r>
            <w:r w:rsidRPr="000D3D7F">
              <w:rPr>
                <w:szCs w:val="22"/>
                <w:vertAlign w:val="superscript"/>
                <w:lang w:val="sr-Latn-ME"/>
              </w:rPr>
              <w:t>2</w:t>
            </w:r>
            <w:r w:rsidRPr="000D3D7F">
              <w:rPr>
                <w:szCs w:val="22"/>
                <w:lang w:val="sr-Latn-ME"/>
              </w:rPr>
              <w:t xml:space="preserve"> na 0,7 mg/m</w:t>
            </w:r>
            <w:r w:rsidRPr="000D3D7F">
              <w:rPr>
                <w:szCs w:val="22"/>
                <w:vertAlign w:val="superscript"/>
                <w:lang w:val="sr-Latn-ME"/>
              </w:rPr>
              <w:t>2</w:t>
            </w:r>
            <w:r w:rsidRPr="000D3D7F">
              <w:rPr>
                <w:szCs w:val="22"/>
                <w:lang w:val="sr-Latn-ME"/>
              </w:rPr>
              <w:t>).</w:t>
            </w:r>
          </w:p>
        </w:tc>
      </w:tr>
      <w:tr w:rsidR="007C7147" w:rsidRPr="000D3D7F" w14:paraId="210DB8D3" w14:textId="77777777" w:rsidTr="001B5D63">
        <w:trPr>
          <w:trHeight w:val="1280"/>
        </w:trPr>
        <w:tc>
          <w:tcPr>
            <w:tcW w:w="4536" w:type="dxa"/>
            <w:tcBorders>
              <w:top w:val="single" w:sz="4" w:space="0" w:color="000000"/>
              <w:left w:val="single" w:sz="4" w:space="0" w:color="000000"/>
              <w:bottom w:val="double" w:sz="2" w:space="0" w:color="000000"/>
              <w:right w:val="single" w:sz="4" w:space="0" w:color="000000"/>
            </w:tcBorders>
          </w:tcPr>
          <w:p w14:paraId="72808BBE" w14:textId="0FC0FDA0" w:rsidR="007C7147" w:rsidRPr="000D3D7F" w:rsidRDefault="007C7147" w:rsidP="001E1F5A">
            <w:pPr>
              <w:numPr>
                <w:ilvl w:val="0"/>
                <w:numId w:val="4"/>
              </w:numPr>
              <w:ind w:left="245" w:hanging="90"/>
              <w:rPr>
                <w:lang w:val="sr-Latn-ME"/>
              </w:rPr>
            </w:pPr>
            <w:r w:rsidRPr="000D3D7F">
              <w:rPr>
                <w:szCs w:val="22"/>
                <w:lang w:val="sr-Latn-ME"/>
              </w:rPr>
              <w:t>Ako je broj trombocita &lt; 25000 ćelija/ mikrolitru ili apsolutni broj neutrofila (ANC)</w:t>
            </w:r>
            <w:r w:rsidR="00913F9C" w:rsidRPr="000D3D7F">
              <w:rPr>
                <w:szCs w:val="22"/>
                <w:lang w:val="sr-Latn-ME"/>
              </w:rPr>
              <w:t xml:space="preserve"> </w:t>
            </w:r>
            <w:r w:rsidRPr="000D3D7F">
              <w:rPr>
                <w:szCs w:val="22"/>
                <w:lang w:val="sr-Latn-ME"/>
              </w:rPr>
              <w:t>&lt; 750 ćelija/ mikrolitru u danu kada treba da</w:t>
            </w:r>
            <w:r w:rsidR="00913F9C" w:rsidRPr="000D3D7F">
              <w:rPr>
                <w:szCs w:val="22"/>
                <w:lang w:val="sr-Latn-ME"/>
              </w:rPr>
              <w:t xml:space="preserve"> </w:t>
            </w:r>
            <w:r w:rsidRPr="000D3D7F">
              <w:rPr>
                <w:szCs w:val="22"/>
                <w:lang w:val="sr-Latn-ME"/>
              </w:rPr>
              <w:t>se prim</w:t>
            </w:r>
            <w:r w:rsidR="001C1E5F" w:rsidRPr="000D3D7F">
              <w:rPr>
                <w:szCs w:val="22"/>
                <w:lang w:val="sr-Latn-ME"/>
              </w:rPr>
              <w:t>ij</w:t>
            </w:r>
            <w:r w:rsidRPr="000D3D7F">
              <w:rPr>
                <w:szCs w:val="22"/>
                <w:lang w:val="sr-Latn-ME"/>
              </w:rPr>
              <w:t>eni 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(osim 1. dana svakog ciklusa)</w:t>
            </w:r>
          </w:p>
        </w:tc>
        <w:tc>
          <w:tcPr>
            <w:tcW w:w="4836" w:type="dxa"/>
            <w:tcBorders>
              <w:top w:val="single" w:sz="4" w:space="0" w:color="000000"/>
              <w:left w:val="single" w:sz="4" w:space="0" w:color="000000"/>
              <w:bottom w:val="double" w:sz="2" w:space="0" w:color="000000"/>
              <w:right w:val="single" w:sz="4" w:space="0" w:color="000000"/>
            </w:tcBorders>
          </w:tcPr>
          <w:p w14:paraId="487DE6D8" w14:textId="04662FC7" w:rsidR="007C7147" w:rsidRPr="000D3D7F" w:rsidRDefault="007C7147" w:rsidP="001E1F5A">
            <w:pPr>
              <w:ind w:left="205"/>
              <w:rPr>
                <w:lang w:val="sr-Latn-ME"/>
              </w:rPr>
            </w:pPr>
            <w:r w:rsidRPr="000D3D7F">
              <w:rPr>
                <w:szCs w:val="22"/>
                <w:lang w:val="sr-Latn-ME"/>
              </w:rPr>
              <w:t>Terapiju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obustaviti</w:t>
            </w:r>
          </w:p>
        </w:tc>
      </w:tr>
      <w:tr w:rsidR="007C7147" w:rsidRPr="000D3D7F" w14:paraId="07BF7A29" w14:textId="77777777" w:rsidTr="001B5D63">
        <w:trPr>
          <w:trHeight w:val="2279"/>
        </w:trPr>
        <w:tc>
          <w:tcPr>
            <w:tcW w:w="4536" w:type="dxa"/>
            <w:tcBorders>
              <w:top w:val="double" w:sz="2" w:space="0" w:color="000000"/>
              <w:left w:val="single" w:sz="4" w:space="0" w:color="000000"/>
              <w:bottom w:val="single" w:sz="4" w:space="0" w:color="000000"/>
              <w:right w:val="single" w:sz="4" w:space="0" w:color="000000"/>
            </w:tcBorders>
          </w:tcPr>
          <w:p w14:paraId="6B7C1F94" w14:textId="3FC7098C" w:rsidR="007C7147" w:rsidRPr="000D3D7F" w:rsidRDefault="007C7147" w:rsidP="001E1F5A">
            <w:pPr>
              <w:tabs>
                <w:tab w:val="clear" w:pos="284"/>
                <w:tab w:val="left" w:pos="155"/>
              </w:tabs>
              <w:ind w:left="155"/>
              <w:rPr>
                <w:i/>
                <w:iCs/>
                <w:lang w:val="sr-Latn-ME"/>
              </w:rPr>
            </w:pPr>
            <w:r w:rsidRPr="000D3D7F">
              <w:rPr>
                <w:i/>
                <w:iCs/>
                <w:szCs w:val="22"/>
                <w:lang w:val="sr-Latn-ME"/>
              </w:rPr>
              <w:t>Nehematološke toksičnosti ≥ stepena 3 za koje se</w:t>
            </w:r>
            <w:r w:rsidR="00913F9C" w:rsidRPr="000D3D7F">
              <w:rPr>
                <w:i/>
                <w:iCs/>
                <w:szCs w:val="22"/>
                <w:lang w:val="sr-Latn-ME"/>
              </w:rPr>
              <w:t xml:space="preserve"> </w:t>
            </w:r>
            <w:r w:rsidRPr="000D3D7F">
              <w:rPr>
                <w:i/>
                <w:iCs/>
                <w:szCs w:val="22"/>
                <w:lang w:val="sr-Latn-ME"/>
              </w:rPr>
              <w:t>smatra da su povezane sa l</w:t>
            </w:r>
            <w:r w:rsidR="001C1E5F" w:rsidRPr="000D3D7F">
              <w:rPr>
                <w:i/>
                <w:iCs/>
                <w:szCs w:val="22"/>
                <w:lang w:val="sr-Latn-ME"/>
              </w:rPr>
              <w:t>ij</w:t>
            </w:r>
            <w:r w:rsidRPr="000D3D7F">
              <w:rPr>
                <w:i/>
                <w:iCs/>
                <w:szCs w:val="22"/>
                <w:lang w:val="sr-Latn-ME"/>
              </w:rPr>
              <w:t xml:space="preserve">ekom </w:t>
            </w:r>
            <w:r w:rsidR="00353A78" w:rsidRPr="000D3D7F">
              <w:rPr>
                <w:i/>
                <w:iCs/>
                <w:szCs w:val="22"/>
                <w:lang w:val="sr-Latn-ME"/>
              </w:rPr>
              <w:t>Bortegaz</w:t>
            </w:r>
          </w:p>
        </w:tc>
        <w:tc>
          <w:tcPr>
            <w:tcW w:w="4836" w:type="dxa"/>
            <w:tcBorders>
              <w:top w:val="double" w:sz="2" w:space="0" w:color="000000"/>
              <w:left w:val="single" w:sz="4" w:space="0" w:color="000000"/>
              <w:bottom w:val="single" w:sz="4" w:space="0" w:color="000000"/>
              <w:right w:val="single" w:sz="4" w:space="0" w:color="000000"/>
            </w:tcBorders>
          </w:tcPr>
          <w:p w14:paraId="058984FC" w14:textId="61778F1C" w:rsidR="007C7147" w:rsidRPr="000D3D7F" w:rsidRDefault="007C7147" w:rsidP="001E1F5A">
            <w:pPr>
              <w:ind w:left="115"/>
              <w:rPr>
                <w:lang w:val="sr-Latn-ME"/>
              </w:rPr>
            </w:pPr>
            <w:r w:rsidRPr="000D3D7F">
              <w:rPr>
                <w:szCs w:val="22"/>
                <w:lang w:val="sr-Latn-ME"/>
              </w:rPr>
              <w:t>Terapiju l</w:t>
            </w:r>
            <w:r w:rsidR="001C1E5F" w:rsidRPr="000D3D7F">
              <w:rPr>
                <w:szCs w:val="22"/>
                <w:lang w:val="sr-Latn-ME"/>
              </w:rPr>
              <w:t>ij</w:t>
            </w:r>
            <w:r w:rsidRPr="000D3D7F">
              <w:rPr>
                <w:szCs w:val="22"/>
                <w:lang w:val="sr-Latn-ME"/>
              </w:rPr>
              <w:t xml:space="preserve">ekom </w:t>
            </w:r>
            <w:r w:rsidR="00353A78" w:rsidRPr="000D3D7F">
              <w:rPr>
                <w:szCs w:val="22"/>
                <w:lang w:val="sr-Latn-ME"/>
              </w:rPr>
              <w:t>Bortegaz</w:t>
            </w:r>
            <w:r w:rsidRPr="000D3D7F">
              <w:rPr>
                <w:szCs w:val="22"/>
                <w:lang w:val="sr-Latn-ME"/>
              </w:rPr>
              <w:t xml:space="preserve"> treba obustaviti dok se</w:t>
            </w:r>
            <w:r w:rsidR="00913F9C" w:rsidRPr="000D3D7F">
              <w:rPr>
                <w:szCs w:val="22"/>
                <w:lang w:val="sr-Latn-ME"/>
              </w:rPr>
              <w:t xml:space="preserve"> </w:t>
            </w:r>
            <w:r w:rsidRPr="000D3D7F">
              <w:rPr>
                <w:szCs w:val="22"/>
                <w:lang w:val="sr-Latn-ME"/>
              </w:rPr>
              <w:t>simptomi toksičnosti ne povuku do stepena 2 ili manje. Nakon toga, 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se može ponovo uvesti u dozi smanjenoj za jedan dozni nivo (sa 1,3 mg/m</w:t>
            </w:r>
            <w:r w:rsidRPr="000D3D7F">
              <w:rPr>
                <w:szCs w:val="22"/>
                <w:vertAlign w:val="superscript"/>
                <w:lang w:val="sr-Latn-ME"/>
              </w:rPr>
              <w:t>2</w:t>
            </w:r>
            <w:r w:rsidRPr="000D3D7F">
              <w:rPr>
                <w:szCs w:val="22"/>
                <w:lang w:val="sr-Latn-ME"/>
              </w:rPr>
              <w:t xml:space="preserve"> na 1 mg/m</w:t>
            </w:r>
            <w:r w:rsidRPr="000D3D7F">
              <w:rPr>
                <w:szCs w:val="22"/>
                <w:vertAlign w:val="superscript"/>
                <w:lang w:val="sr-Latn-ME"/>
              </w:rPr>
              <w:t>2</w:t>
            </w:r>
            <w:r w:rsidRPr="000D3D7F">
              <w:rPr>
                <w:szCs w:val="22"/>
                <w:lang w:val="sr-Latn-ME"/>
              </w:rPr>
              <w:t>, ili sa 1 mg/m</w:t>
            </w:r>
            <w:r w:rsidRPr="000D3D7F">
              <w:rPr>
                <w:szCs w:val="22"/>
                <w:vertAlign w:val="superscript"/>
                <w:lang w:val="sr-Latn-ME"/>
              </w:rPr>
              <w:t>2</w:t>
            </w:r>
            <w:r w:rsidRPr="000D3D7F">
              <w:rPr>
                <w:szCs w:val="22"/>
                <w:lang w:val="sr-Latn-ME"/>
              </w:rPr>
              <w:t xml:space="preserve"> na 0,7 mg/m</w:t>
            </w:r>
            <w:r w:rsidRPr="000D3D7F">
              <w:rPr>
                <w:szCs w:val="22"/>
                <w:vertAlign w:val="superscript"/>
                <w:lang w:val="sr-Latn-ME"/>
              </w:rPr>
              <w:t>2</w:t>
            </w:r>
            <w:r w:rsidRPr="000D3D7F">
              <w:rPr>
                <w:szCs w:val="22"/>
                <w:lang w:val="sr-Latn-ME"/>
              </w:rPr>
              <w:t>). Kod neuropatskog bola i/ili periferne neuropatije povezanih sa prim</w:t>
            </w:r>
            <w:r w:rsidR="001C1E5F" w:rsidRPr="000D3D7F">
              <w:rPr>
                <w:szCs w:val="22"/>
                <w:lang w:val="sr-Latn-ME"/>
              </w:rPr>
              <w:t>j</w:t>
            </w:r>
            <w:r w:rsidRPr="000D3D7F">
              <w:rPr>
                <w:szCs w:val="22"/>
                <w:lang w:val="sr-Latn-ME"/>
              </w:rPr>
              <w:t>enom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potrebno je obustaviti i/ili podesiti</w:t>
            </w:r>
            <w:r w:rsidR="00913F9C" w:rsidRPr="000D3D7F">
              <w:rPr>
                <w:szCs w:val="22"/>
                <w:lang w:val="sr-Latn-ME"/>
              </w:rPr>
              <w:t xml:space="preserve"> </w:t>
            </w:r>
            <w:r w:rsidRPr="000D3D7F">
              <w:rPr>
                <w:szCs w:val="22"/>
                <w:lang w:val="sr-Latn-ME"/>
              </w:rPr>
              <w:t>dozu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kako je navedeno u Tabeli 1.</w:t>
            </w:r>
          </w:p>
        </w:tc>
      </w:tr>
    </w:tbl>
    <w:p w14:paraId="34BE0D7C" w14:textId="4F92E6C6" w:rsidR="007C7147" w:rsidRPr="000D3D7F" w:rsidRDefault="007C7147" w:rsidP="001E1F5A">
      <w:pPr>
        <w:rPr>
          <w:szCs w:val="22"/>
          <w:lang w:val="sr-Latn-ME"/>
        </w:rPr>
      </w:pPr>
      <w:r w:rsidRPr="000D3D7F">
        <w:rPr>
          <w:szCs w:val="22"/>
          <w:lang w:val="sr-Latn-ME"/>
        </w:rPr>
        <w:t>Dodatno, kada se 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prim</w:t>
      </w:r>
      <w:r w:rsidR="001C1E5F" w:rsidRPr="000D3D7F">
        <w:rPr>
          <w:szCs w:val="22"/>
          <w:lang w:val="sr-Latn-ME"/>
        </w:rPr>
        <w:t>j</w:t>
      </w:r>
      <w:r w:rsidRPr="000D3D7F">
        <w:rPr>
          <w:szCs w:val="22"/>
          <w:lang w:val="sr-Latn-ME"/>
        </w:rPr>
        <w:t>enjuje u kombinaciji sa drugim hemioterapeuticima, treba razmotriti</w:t>
      </w:r>
      <w:r w:rsidR="00EF29F8" w:rsidRPr="000D3D7F">
        <w:rPr>
          <w:szCs w:val="22"/>
          <w:lang w:val="sr-Latn-ME"/>
        </w:rPr>
        <w:t xml:space="preserve"> </w:t>
      </w:r>
      <w:r w:rsidRPr="000D3D7F">
        <w:rPr>
          <w:szCs w:val="22"/>
          <w:lang w:val="sr-Latn-ME"/>
        </w:rPr>
        <w:t>adekvatno smanjenje doze ovih proizvoda u slučaju pojave toksičnosti, a u skladu sa preporukama iz</w:t>
      </w:r>
      <w:r w:rsidR="00EF29F8" w:rsidRPr="000D3D7F">
        <w:rPr>
          <w:szCs w:val="22"/>
          <w:lang w:val="sr-Latn-ME"/>
        </w:rPr>
        <w:t xml:space="preserve"> </w:t>
      </w:r>
      <w:r w:rsidRPr="000D3D7F">
        <w:rPr>
          <w:szCs w:val="22"/>
          <w:lang w:val="sr-Latn-ME"/>
        </w:rPr>
        <w:t>odgovarajućeg Sažetka karakteristika l</w:t>
      </w:r>
      <w:r w:rsidR="001C1E5F" w:rsidRPr="000D3D7F">
        <w:rPr>
          <w:szCs w:val="22"/>
          <w:lang w:val="sr-Latn-ME"/>
        </w:rPr>
        <w:t>ij</w:t>
      </w:r>
      <w:r w:rsidRPr="000D3D7F">
        <w:rPr>
          <w:szCs w:val="22"/>
          <w:lang w:val="sr-Latn-ME"/>
        </w:rPr>
        <w:t>eka.</w:t>
      </w:r>
    </w:p>
    <w:p w14:paraId="60CDCF53" w14:textId="77777777" w:rsidR="00353A78" w:rsidRPr="000D3D7F" w:rsidRDefault="00353A78" w:rsidP="001E1F5A">
      <w:pPr>
        <w:rPr>
          <w:szCs w:val="22"/>
          <w:lang w:val="sr-Latn-ME"/>
        </w:rPr>
      </w:pPr>
    </w:p>
    <w:p w14:paraId="7A182A81" w14:textId="4F468E4C" w:rsidR="007C7147" w:rsidRPr="000D3D7F" w:rsidRDefault="007C7147" w:rsidP="001E1F5A">
      <w:pPr>
        <w:rPr>
          <w:szCs w:val="22"/>
          <w:u w:val="single"/>
          <w:lang w:val="sr-Latn-ME"/>
        </w:rPr>
      </w:pPr>
      <w:r w:rsidRPr="000D3D7F">
        <w:rPr>
          <w:szCs w:val="22"/>
          <w:u w:val="single"/>
          <w:lang w:val="sr-Latn-ME"/>
        </w:rPr>
        <w:lastRenderedPageBreak/>
        <w:t>Posebne populacije</w:t>
      </w:r>
    </w:p>
    <w:p w14:paraId="0C239C9D" w14:textId="77777777" w:rsidR="007C7147" w:rsidRPr="000D3D7F" w:rsidRDefault="007C7147" w:rsidP="001E1F5A">
      <w:pPr>
        <w:rPr>
          <w:i/>
          <w:iCs/>
          <w:szCs w:val="22"/>
          <w:lang w:val="sr-Latn-ME"/>
        </w:rPr>
      </w:pPr>
      <w:r w:rsidRPr="000D3D7F">
        <w:rPr>
          <w:i/>
          <w:iCs/>
          <w:szCs w:val="22"/>
          <w:lang w:val="sr-Latn-ME"/>
        </w:rPr>
        <w:t>Stariji</w:t>
      </w:r>
    </w:p>
    <w:p w14:paraId="0F5A3201" w14:textId="7A31EA4F" w:rsidR="007C7147" w:rsidRPr="000D3D7F" w:rsidRDefault="007C7147" w:rsidP="001E1F5A">
      <w:pPr>
        <w:rPr>
          <w:szCs w:val="22"/>
          <w:lang w:val="sr-Latn-ME"/>
        </w:rPr>
      </w:pPr>
      <w:r w:rsidRPr="000D3D7F">
        <w:rPr>
          <w:szCs w:val="22"/>
          <w:lang w:val="sr-Latn-ME"/>
        </w:rPr>
        <w:t>Nema podataka koji bi ukazivali da je podešavanje doze neophodno kod pacijenata starijih od 65 godina sa</w:t>
      </w:r>
      <w:r w:rsidR="00EF29F8" w:rsidRPr="000D3D7F">
        <w:rPr>
          <w:szCs w:val="22"/>
          <w:lang w:val="sr-Latn-ME"/>
        </w:rPr>
        <w:t xml:space="preserve"> </w:t>
      </w:r>
      <w:r w:rsidRPr="000D3D7F">
        <w:rPr>
          <w:szCs w:val="22"/>
          <w:lang w:val="sr-Latn-ME"/>
        </w:rPr>
        <w:t>mutiplim mijelomom ili mantle ćelijskim limfomom.</w:t>
      </w:r>
    </w:p>
    <w:p w14:paraId="4B950C16" w14:textId="6E9F3F25" w:rsidR="007C7147" w:rsidRPr="000D3D7F" w:rsidRDefault="007C7147" w:rsidP="001E1F5A">
      <w:pPr>
        <w:rPr>
          <w:szCs w:val="22"/>
          <w:lang w:val="sr-Latn-ME"/>
        </w:rPr>
      </w:pPr>
      <w:r w:rsidRPr="000D3D7F">
        <w:rPr>
          <w:szCs w:val="22"/>
          <w:lang w:val="sr-Latn-ME"/>
        </w:rPr>
        <w:t>Nema kliničkih ispitivanja o upotrebi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kod starijih pacijenata sa prethodno nel</w:t>
      </w:r>
      <w:r w:rsidR="001C1E5F" w:rsidRPr="000D3D7F">
        <w:rPr>
          <w:szCs w:val="22"/>
          <w:lang w:val="sr-Latn-ME"/>
        </w:rPr>
        <w:t>ij</w:t>
      </w:r>
      <w:r w:rsidRPr="000D3D7F">
        <w:rPr>
          <w:szCs w:val="22"/>
          <w:lang w:val="sr-Latn-ME"/>
        </w:rPr>
        <w:t>ečenim multiplim</w:t>
      </w:r>
      <w:r w:rsidR="00EF29F8" w:rsidRPr="000D3D7F">
        <w:rPr>
          <w:szCs w:val="22"/>
          <w:lang w:val="sr-Latn-ME"/>
        </w:rPr>
        <w:t xml:space="preserve"> </w:t>
      </w:r>
      <w:r w:rsidRPr="000D3D7F">
        <w:rPr>
          <w:szCs w:val="22"/>
          <w:lang w:val="sr-Latn-ME"/>
        </w:rPr>
        <w:t>mijelomom koji su podobni za visokodoznu hemoterapiju sa transplantacijom matičnih ćelija hematopoeze.</w:t>
      </w:r>
    </w:p>
    <w:p w14:paraId="2FFD7A31" w14:textId="77777777" w:rsidR="007C7147" w:rsidRPr="000D3D7F" w:rsidRDefault="007C7147" w:rsidP="001E1F5A">
      <w:pPr>
        <w:rPr>
          <w:szCs w:val="22"/>
          <w:lang w:val="sr-Latn-ME"/>
        </w:rPr>
      </w:pPr>
      <w:r w:rsidRPr="000D3D7F">
        <w:rPr>
          <w:szCs w:val="22"/>
          <w:lang w:val="sr-Latn-ME"/>
        </w:rPr>
        <w:t>Zato se ne mogu preporučiti doze u ovoj populaciji.</w:t>
      </w:r>
    </w:p>
    <w:p w14:paraId="01B63815" w14:textId="34D13D22" w:rsidR="007C7147" w:rsidRPr="000D3D7F" w:rsidRDefault="007C7147" w:rsidP="001E1F5A">
      <w:pPr>
        <w:rPr>
          <w:szCs w:val="22"/>
          <w:lang w:val="sr-Latn-ME"/>
        </w:rPr>
      </w:pPr>
      <w:r w:rsidRPr="000D3D7F">
        <w:rPr>
          <w:szCs w:val="22"/>
          <w:lang w:val="sr-Latn-ME"/>
        </w:rPr>
        <w:t>U kliničkom ispitivanju sa pacijentima sa prethodno nel</w:t>
      </w:r>
      <w:r w:rsidR="001C1E5F" w:rsidRPr="000D3D7F">
        <w:rPr>
          <w:szCs w:val="22"/>
          <w:lang w:val="sr-Latn-ME"/>
        </w:rPr>
        <w:t>ij</w:t>
      </w:r>
      <w:r w:rsidRPr="000D3D7F">
        <w:rPr>
          <w:szCs w:val="22"/>
          <w:lang w:val="sr-Latn-ME"/>
        </w:rPr>
        <w:t>ečenim mantle ćelijskim limfomom, 42,9% i 10,4%</w:t>
      </w:r>
      <w:r w:rsidR="00EF29F8" w:rsidRPr="000D3D7F">
        <w:rPr>
          <w:szCs w:val="22"/>
          <w:lang w:val="sr-Latn-ME"/>
        </w:rPr>
        <w:t xml:space="preserve"> </w:t>
      </w:r>
      <w:r w:rsidRPr="000D3D7F">
        <w:rPr>
          <w:szCs w:val="22"/>
          <w:lang w:val="sr-Latn-ME"/>
        </w:rPr>
        <w:t>pacijenata izloženih l</w:t>
      </w:r>
      <w:r w:rsidR="001C1E5F" w:rsidRPr="000D3D7F">
        <w:rPr>
          <w:szCs w:val="22"/>
          <w:lang w:val="sr-Latn-ME"/>
        </w:rPr>
        <w:t>ij</w:t>
      </w:r>
      <w:r w:rsidRPr="000D3D7F">
        <w:rPr>
          <w:szCs w:val="22"/>
          <w:lang w:val="sr-Latn-ME"/>
        </w:rPr>
        <w:t xml:space="preserve">eku </w:t>
      </w:r>
      <w:r w:rsidR="00353A78" w:rsidRPr="000D3D7F">
        <w:rPr>
          <w:szCs w:val="22"/>
          <w:lang w:val="sr-Latn-ME"/>
        </w:rPr>
        <w:t>Bortegaz</w:t>
      </w:r>
      <w:r w:rsidRPr="000D3D7F">
        <w:rPr>
          <w:szCs w:val="22"/>
          <w:lang w:val="sr-Latn-ME"/>
        </w:rPr>
        <w:t xml:space="preserve"> je bilo starosti od 65-74 godina, odnosno ≥ 75 godina. Pacijenti starosti ≥</w:t>
      </w:r>
      <w:r w:rsidR="00EF29F8" w:rsidRPr="000D3D7F">
        <w:rPr>
          <w:szCs w:val="22"/>
          <w:lang w:val="sr-Latn-ME"/>
        </w:rPr>
        <w:t xml:space="preserve"> </w:t>
      </w:r>
      <w:r w:rsidRPr="000D3D7F">
        <w:rPr>
          <w:szCs w:val="22"/>
          <w:lang w:val="sr-Latn-ME"/>
        </w:rPr>
        <w:t xml:space="preserve">75 godina, su oba režima, </w:t>
      </w:r>
      <w:r w:rsidR="009F1FF7" w:rsidRPr="000D3D7F">
        <w:rPr>
          <w:szCs w:val="22"/>
          <w:lang w:val="sr-Latn-ME"/>
        </w:rPr>
        <w:t>Bz</w:t>
      </w:r>
      <w:r w:rsidRPr="000D3D7F">
        <w:rPr>
          <w:szCs w:val="22"/>
          <w:lang w:val="sr-Latn-ME"/>
        </w:rPr>
        <w:t>R-CAP kao i R-CHOP podnosili lošije (vid</w:t>
      </w:r>
      <w:r w:rsidR="001C1E5F"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4.8).</w:t>
      </w:r>
    </w:p>
    <w:p w14:paraId="1D37B92F" w14:textId="77777777" w:rsidR="00353A78" w:rsidRPr="000D3D7F" w:rsidRDefault="00353A78" w:rsidP="001E1F5A">
      <w:pPr>
        <w:rPr>
          <w:szCs w:val="22"/>
          <w:lang w:val="sr-Latn-ME"/>
        </w:rPr>
      </w:pPr>
    </w:p>
    <w:p w14:paraId="469230F4" w14:textId="52979B90" w:rsidR="007C7147" w:rsidRPr="000D3D7F" w:rsidRDefault="007C7147" w:rsidP="001E1F5A">
      <w:pPr>
        <w:rPr>
          <w:i/>
          <w:iCs/>
          <w:szCs w:val="22"/>
          <w:lang w:val="sr-Latn-ME"/>
        </w:rPr>
      </w:pPr>
      <w:r w:rsidRPr="000D3D7F">
        <w:rPr>
          <w:i/>
          <w:iCs/>
          <w:szCs w:val="22"/>
          <w:lang w:val="sr-Latn-ME"/>
        </w:rPr>
        <w:t>Oštećenje jetre</w:t>
      </w:r>
    </w:p>
    <w:p w14:paraId="6CBF8580" w14:textId="46B38131" w:rsidR="007C7147" w:rsidRPr="000D3D7F" w:rsidRDefault="007C7147" w:rsidP="001E1F5A">
      <w:pPr>
        <w:rPr>
          <w:szCs w:val="22"/>
          <w:lang w:val="sr-Latn-ME"/>
        </w:rPr>
      </w:pPr>
      <w:r w:rsidRPr="000D3D7F">
        <w:rPr>
          <w:szCs w:val="22"/>
          <w:lang w:val="sr-Latn-ME"/>
        </w:rPr>
        <w:t>Kod pacijenata sa blagim poremećajem funkcije jetre ne zaht</w:t>
      </w:r>
      <w:r w:rsidR="001C1E5F" w:rsidRPr="000D3D7F">
        <w:rPr>
          <w:szCs w:val="22"/>
          <w:lang w:val="sr-Latn-ME"/>
        </w:rPr>
        <w:t>ij</w:t>
      </w:r>
      <w:r w:rsidRPr="000D3D7F">
        <w:rPr>
          <w:szCs w:val="22"/>
          <w:lang w:val="sr-Latn-ME"/>
        </w:rPr>
        <w:t>eva se prilagođavanje doze i treba prim</w:t>
      </w:r>
      <w:r w:rsidR="001C1E5F" w:rsidRPr="000D3D7F">
        <w:rPr>
          <w:szCs w:val="22"/>
          <w:lang w:val="sr-Latn-ME"/>
        </w:rPr>
        <w:t>j</w:t>
      </w:r>
      <w:r w:rsidRPr="000D3D7F">
        <w:rPr>
          <w:szCs w:val="22"/>
          <w:lang w:val="sr-Latn-ME"/>
        </w:rPr>
        <w:t>enjivati</w:t>
      </w:r>
      <w:r w:rsidR="00EF29F8" w:rsidRPr="000D3D7F">
        <w:rPr>
          <w:szCs w:val="22"/>
          <w:lang w:val="sr-Latn-ME"/>
        </w:rPr>
        <w:t xml:space="preserve"> </w:t>
      </w:r>
      <w:r w:rsidRPr="000D3D7F">
        <w:rPr>
          <w:szCs w:val="22"/>
          <w:lang w:val="sr-Latn-ME"/>
        </w:rPr>
        <w:t>preporučeno doziranje. Kod pacijenata sa um</w:t>
      </w:r>
      <w:r w:rsidR="001C1E5F" w:rsidRPr="000D3D7F">
        <w:rPr>
          <w:szCs w:val="22"/>
          <w:lang w:val="sr-Latn-ME"/>
        </w:rPr>
        <w:t>j</w:t>
      </w:r>
      <w:r w:rsidRPr="000D3D7F">
        <w:rPr>
          <w:szCs w:val="22"/>
          <w:lang w:val="sr-Latn-ME"/>
        </w:rPr>
        <w:t>erenim ili teškim poremećajem funkcije jetre terapiju treba</w:t>
      </w:r>
      <w:r w:rsidR="00EF29F8" w:rsidRPr="000D3D7F">
        <w:rPr>
          <w:szCs w:val="22"/>
          <w:lang w:val="sr-Latn-ME"/>
        </w:rPr>
        <w:t xml:space="preserve"> </w:t>
      </w:r>
      <w:r w:rsidRPr="000D3D7F">
        <w:rPr>
          <w:szCs w:val="22"/>
          <w:lang w:val="sr-Latn-ME"/>
        </w:rPr>
        <w:t>započeti sa nižom dozom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koja iznosi 0,7 mg/m</w:t>
      </w:r>
      <w:r w:rsidRPr="000D3D7F">
        <w:rPr>
          <w:szCs w:val="22"/>
          <w:vertAlign w:val="superscript"/>
          <w:lang w:val="sr-Latn-ME"/>
        </w:rPr>
        <w:t>2</w:t>
      </w:r>
      <w:r w:rsidRPr="000D3D7F">
        <w:rPr>
          <w:szCs w:val="22"/>
          <w:lang w:val="sr-Latn-ME"/>
        </w:rPr>
        <w:t xml:space="preserve"> po injekciji tokom prvog ciklusa, a nakon toga</w:t>
      </w:r>
      <w:r w:rsidR="00EF29F8" w:rsidRPr="000D3D7F">
        <w:rPr>
          <w:szCs w:val="22"/>
          <w:lang w:val="sr-Latn-ME"/>
        </w:rPr>
        <w:t xml:space="preserve"> </w:t>
      </w:r>
      <w:r w:rsidRPr="000D3D7F">
        <w:rPr>
          <w:szCs w:val="22"/>
          <w:lang w:val="sr-Latn-ME"/>
        </w:rPr>
        <w:t>može se razmotriti povećanje doze do 1 mg/m</w:t>
      </w:r>
      <w:r w:rsidRPr="000D3D7F">
        <w:rPr>
          <w:szCs w:val="22"/>
          <w:vertAlign w:val="superscript"/>
          <w:lang w:val="sr-Latn-ME"/>
        </w:rPr>
        <w:t>2</w:t>
      </w:r>
      <w:r w:rsidRPr="000D3D7F">
        <w:rPr>
          <w:szCs w:val="22"/>
          <w:lang w:val="sr-Latn-ME"/>
        </w:rPr>
        <w:t xml:space="preserve"> ili dalje smanjenje doze do 0,5 mg/m</w:t>
      </w:r>
      <w:r w:rsidRPr="000D3D7F">
        <w:rPr>
          <w:szCs w:val="22"/>
          <w:vertAlign w:val="superscript"/>
          <w:lang w:val="sr-Latn-ME"/>
        </w:rPr>
        <w:t>2</w:t>
      </w:r>
      <w:r w:rsidRPr="000D3D7F">
        <w:rPr>
          <w:szCs w:val="22"/>
          <w:lang w:val="sr-Latn-ME"/>
        </w:rPr>
        <w:t>, na osnovu toga kako</w:t>
      </w:r>
      <w:r w:rsidR="00EF29F8" w:rsidRPr="000D3D7F">
        <w:rPr>
          <w:szCs w:val="22"/>
          <w:lang w:val="sr-Latn-ME"/>
        </w:rPr>
        <w:t xml:space="preserve"> </w:t>
      </w:r>
      <w:r w:rsidRPr="000D3D7F">
        <w:rPr>
          <w:szCs w:val="22"/>
          <w:lang w:val="sr-Latn-ME"/>
        </w:rPr>
        <w:t>pacijent podnosi terapiju. (vid</w:t>
      </w:r>
      <w:r w:rsidR="001C1E5F" w:rsidRPr="000D3D7F">
        <w:rPr>
          <w:szCs w:val="22"/>
          <w:lang w:val="sr-Latn-ME"/>
        </w:rPr>
        <w:t>j</w:t>
      </w:r>
      <w:r w:rsidRPr="000D3D7F">
        <w:rPr>
          <w:szCs w:val="22"/>
          <w:lang w:val="sr-Latn-ME"/>
        </w:rPr>
        <w:t xml:space="preserve">eti Tabelu 6 i </w:t>
      </w:r>
      <w:r w:rsidR="001B5D63" w:rsidRPr="000D3D7F">
        <w:rPr>
          <w:szCs w:val="22"/>
          <w:lang w:val="sr-Latn-ME"/>
        </w:rPr>
        <w:t>djelove</w:t>
      </w:r>
      <w:r w:rsidRPr="000D3D7F">
        <w:rPr>
          <w:szCs w:val="22"/>
          <w:lang w:val="sr-Latn-ME"/>
        </w:rPr>
        <w:t xml:space="preserve"> 4.4. i 5.2).</w:t>
      </w:r>
    </w:p>
    <w:p w14:paraId="79855040" w14:textId="08A636AE" w:rsidR="007C7147" w:rsidRPr="000D3D7F" w:rsidRDefault="007C7147" w:rsidP="001E1F5A">
      <w:pPr>
        <w:rPr>
          <w:i/>
          <w:iCs/>
          <w:szCs w:val="22"/>
          <w:lang w:val="sr-Latn-ME"/>
        </w:rPr>
      </w:pPr>
      <w:r w:rsidRPr="000D3D7F">
        <w:rPr>
          <w:i/>
          <w:iCs/>
          <w:szCs w:val="22"/>
          <w:lang w:val="sr-Latn-ME"/>
        </w:rPr>
        <w:t>Tabela 6: Preporučena modifikacija početne doze za l</w:t>
      </w:r>
      <w:r w:rsidR="001C1E5F" w:rsidRPr="000D3D7F">
        <w:rPr>
          <w:i/>
          <w:iCs/>
          <w:szCs w:val="22"/>
          <w:lang w:val="sr-Latn-ME"/>
        </w:rPr>
        <w:t>ij</w:t>
      </w:r>
      <w:r w:rsidRPr="000D3D7F">
        <w:rPr>
          <w:i/>
          <w:iCs/>
          <w:szCs w:val="22"/>
          <w:lang w:val="sr-Latn-ME"/>
        </w:rPr>
        <w:t xml:space="preserve">ek </w:t>
      </w:r>
      <w:r w:rsidR="00353A78" w:rsidRPr="000D3D7F">
        <w:rPr>
          <w:i/>
          <w:iCs/>
          <w:szCs w:val="22"/>
          <w:lang w:val="sr-Latn-ME"/>
        </w:rPr>
        <w:t>Bortegaz</w:t>
      </w:r>
      <w:r w:rsidRPr="000D3D7F">
        <w:rPr>
          <w:i/>
          <w:iCs/>
          <w:szCs w:val="22"/>
          <w:lang w:val="sr-Latn-ME"/>
        </w:rPr>
        <w:t xml:space="preserve"> kod pacijenata sa poremećajem funkcije</w:t>
      </w:r>
      <w:r w:rsidR="00EF29F8" w:rsidRPr="000D3D7F">
        <w:rPr>
          <w:i/>
          <w:iCs/>
          <w:szCs w:val="22"/>
          <w:lang w:val="sr-Latn-ME"/>
        </w:rPr>
        <w:t xml:space="preserve"> j</w:t>
      </w:r>
      <w:r w:rsidRPr="000D3D7F">
        <w:rPr>
          <w:i/>
          <w:iCs/>
          <w:szCs w:val="22"/>
          <w:lang w:val="sr-Latn-ME"/>
        </w:rPr>
        <w:t>etre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401"/>
        <w:gridCol w:w="2416"/>
        <w:gridCol w:w="2414"/>
      </w:tblGrid>
      <w:tr w:rsidR="007C7147" w:rsidRPr="000D3D7F" w14:paraId="1E7020AC" w14:textId="77777777" w:rsidTr="009D4805">
        <w:tc>
          <w:tcPr>
            <w:tcW w:w="2463" w:type="dxa"/>
            <w:shd w:val="clear" w:color="auto" w:fill="auto"/>
          </w:tcPr>
          <w:p w14:paraId="00516653" w14:textId="77777777" w:rsidR="007C7147" w:rsidRPr="000D3D7F" w:rsidRDefault="007C7147" w:rsidP="001E1F5A">
            <w:pPr>
              <w:rPr>
                <w:lang w:val="sr-Latn-ME"/>
              </w:rPr>
            </w:pPr>
            <w:r w:rsidRPr="000D3D7F">
              <w:rPr>
                <w:lang w:val="sr-Latn-ME"/>
              </w:rPr>
              <w:t>Stepen oštećenja</w:t>
            </w:r>
          </w:p>
          <w:p w14:paraId="314EC1D9" w14:textId="4DCF2663" w:rsidR="007C7147" w:rsidRPr="000D3D7F" w:rsidRDefault="007C7147" w:rsidP="001E1F5A">
            <w:pPr>
              <w:rPr>
                <w:lang w:val="sr-Latn-ME"/>
              </w:rPr>
            </w:pPr>
            <w:r w:rsidRPr="000D3D7F">
              <w:rPr>
                <w:lang w:val="sr-Latn-ME"/>
              </w:rPr>
              <w:t>jetre*</w:t>
            </w:r>
          </w:p>
        </w:tc>
        <w:tc>
          <w:tcPr>
            <w:tcW w:w="2464" w:type="dxa"/>
            <w:shd w:val="clear" w:color="auto" w:fill="auto"/>
          </w:tcPr>
          <w:p w14:paraId="356F73CE" w14:textId="6221CD2D" w:rsidR="007C7147" w:rsidRPr="000D3D7F" w:rsidRDefault="007C7147" w:rsidP="001E1F5A">
            <w:pPr>
              <w:rPr>
                <w:lang w:val="sr-Latn-ME"/>
              </w:rPr>
            </w:pPr>
            <w:r w:rsidRPr="000D3D7F">
              <w:rPr>
                <w:szCs w:val="22"/>
                <w:lang w:val="sr-Latn-ME"/>
              </w:rPr>
              <w:t>Nivo bilirubina</w:t>
            </w:r>
          </w:p>
        </w:tc>
        <w:tc>
          <w:tcPr>
            <w:tcW w:w="2464" w:type="dxa"/>
            <w:shd w:val="clear" w:color="auto" w:fill="auto"/>
          </w:tcPr>
          <w:p w14:paraId="1447D808" w14:textId="77777777" w:rsidR="007C7147" w:rsidRPr="000D3D7F" w:rsidRDefault="007C7147" w:rsidP="001E1F5A">
            <w:pPr>
              <w:rPr>
                <w:lang w:val="sr-Latn-ME"/>
              </w:rPr>
            </w:pPr>
            <w:r w:rsidRPr="000D3D7F">
              <w:rPr>
                <w:szCs w:val="22"/>
                <w:lang w:val="sr-Latn-ME"/>
              </w:rPr>
              <w:t>SGOT</w:t>
            </w:r>
          </w:p>
          <w:p w14:paraId="23375D7C" w14:textId="77777777" w:rsidR="007C7147" w:rsidRPr="000D3D7F" w:rsidRDefault="007C7147" w:rsidP="001E1F5A">
            <w:pPr>
              <w:rPr>
                <w:lang w:val="sr-Latn-ME"/>
              </w:rPr>
            </w:pPr>
            <w:r w:rsidRPr="000D3D7F">
              <w:rPr>
                <w:szCs w:val="22"/>
                <w:lang w:val="sr-Latn-ME"/>
              </w:rPr>
              <w:t>(AST)</w:t>
            </w:r>
          </w:p>
          <w:p w14:paraId="0FBA74BD" w14:textId="1E0A28D4" w:rsidR="007C7147" w:rsidRPr="000D3D7F" w:rsidRDefault="007C7147" w:rsidP="001E1F5A">
            <w:pPr>
              <w:rPr>
                <w:lang w:val="sr-Latn-ME"/>
              </w:rPr>
            </w:pPr>
            <w:r w:rsidRPr="000D3D7F">
              <w:rPr>
                <w:szCs w:val="22"/>
                <w:lang w:val="sr-Latn-ME"/>
              </w:rPr>
              <w:t>koncentracije</w:t>
            </w:r>
          </w:p>
        </w:tc>
        <w:tc>
          <w:tcPr>
            <w:tcW w:w="2464" w:type="dxa"/>
            <w:shd w:val="clear" w:color="auto" w:fill="auto"/>
          </w:tcPr>
          <w:p w14:paraId="7F1D3466" w14:textId="365D2135" w:rsidR="007C7147" w:rsidRPr="000D3D7F" w:rsidRDefault="007C7147" w:rsidP="001E1F5A">
            <w:pPr>
              <w:rPr>
                <w:lang w:val="sr-Latn-ME"/>
              </w:rPr>
            </w:pPr>
            <w:r w:rsidRPr="000D3D7F">
              <w:rPr>
                <w:szCs w:val="22"/>
                <w:lang w:val="sr-Latn-ME"/>
              </w:rPr>
              <w:t>Modifikacija početne doze</w:t>
            </w:r>
          </w:p>
        </w:tc>
      </w:tr>
      <w:tr w:rsidR="007C7147" w:rsidRPr="000D3D7F" w14:paraId="74D34231" w14:textId="77777777" w:rsidTr="009D4805">
        <w:tc>
          <w:tcPr>
            <w:tcW w:w="2463" w:type="dxa"/>
            <w:vMerge w:val="restart"/>
            <w:shd w:val="clear" w:color="auto" w:fill="auto"/>
          </w:tcPr>
          <w:p w14:paraId="4EA22473" w14:textId="47842494" w:rsidR="007C7147" w:rsidRPr="000D3D7F" w:rsidRDefault="007C7147" w:rsidP="001E1F5A">
            <w:pPr>
              <w:rPr>
                <w:lang w:val="sr-Latn-ME"/>
              </w:rPr>
            </w:pPr>
            <w:r w:rsidRPr="000D3D7F">
              <w:rPr>
                <w:szCs w:val="22"/>
                <w:lang w:val="sr-Latn-ME"/>
              </w:rPr>
              <w:t xml:space="preserve">Blag </w:t>
            </w:r>
          </w:p>
        </w:tc>
        <w:tc>
          <w:tcPr>
            <w:tcW w:w="2464" w:type="dxa"/>
            <w:shd w:val="clear" w:color="auto" w:fill="auto"/>
          </w:tcPr>
          <w:p w14:paraId="3D5D31EF" w14:textId="2827F1BC" w:rsidR="007C7147" w:rsidRPr="000D3D7F" w:rsidRDefault="007C7147" w:rsidP="001E1F5A">
            <w:pPr>
              <w:rPr>
                <w:lang w:val="sr-Latn-ME"/>
              </w:rPr>
            </w:pPr>
            <w:r w:rsidRPr="000D3D7F">
              <w:rPr>
                <w:szCs w:val="22"/>
                <w:lang w:val="sr-Latn-ME"/>
              </w:rPr>
              <w:t>≤ 1xULN</w:t>
            </w:r>
          </w:p>
        </w:tc>
        <w:tc>
          <w:tcPr>
            <w:tcW w:w="2464" w:type="dxa"/>
            <w:shd w:val="clear" w:color="auto" w:fill="auto"/>
          </w:tcPr>
          <w:p w14:paraId="3B5175B7" w14:textId="41DA2EA5" w:rsidR="007C7147" w:rsidRPr="000D3D7F" w:rsidRDefault="007C7147" w:rsidP="001E1F5A">
            <w:pPr>
              <w:rPr>
                <w:lang w:val="sr-Latn-ME"/>
              </w:rPr>
            </w:pPr>
            <w:r w:rsidRPr="000D3D7F">
              <w:rPr>
                <w:szCs w:val="22"/>
                <w:lang w:val="sr-Latn-ME"/>
              </w:rPr>
              <w:t>&gt; ULN</w:t>
            </w:r>
          </w:p>
        </w:tc>
        <w:tc>
          <w:tcPr>
            <w:tcW w:w="2464" w:type="dxa"/>
            <w:shd w:val="clear" w:color="auto" w:fill="auto"/>
          </w:tcPr>
          <w:p w14:paraId="3F1DC9CB" w14:textId="3DCA783E" w:rsidR="007C7147" w:rsidRPr="000D3D7F" w:rsidRDefault="007C7147" w:rsidP="001E1F5A">
            <w:pPr>
              <w:rPr>
                <w:lang w:val="sr-Latn-ME"/>
              </w:rPr>
            </w:pPr>
            <w:r w:rsidRPr="000D3D7F">
              <w:rPr>
                <w:lang w:val="sr-Latn-ME"/>
              </w:rPr>
              <w:t>Nema</w:t>
            </w:r>
          </w:p>
        </w:tc>
      </w:tr>
      <w:tr w:rsidR="007C7147" w:rsidRPr="000D3D7F" w14:paraId="518D84C1" w14:textId="77777777" w:rsidTr="009D4805">
        <w:tc>
          <w:tcPr>
            <w:tcW w:w="2463" w:type="dxa"/>
            <w:vMerge/>
            <w:shd w:val="clear" w:color="auto" w:fill="auto"/>
          </w:tcPr>
          <w:p w14:paraId="679F3CA5" w14:textId="77777777" w:rsidR="007C7147" w:rsidRPr="000D3D7F" w:rsidRDefault="007C7147" w:rsidP="001E1F5A">
            <w:pPr>
              <w:rPr>
                <w:lang w:val="sr-Latn-ME"/>
              </w:rPr>
            </w:pPr>
          </w:p>
        </w:tc>
        <w:tc>
          <w:tcPr>
            <w:tcW w:w="2464" w:type="dxa"/>
            <w:shd w:val="clear" w:color="auto" w:fill="auto"/>
          </w:tcPr>
          <w:p w14:paraId="62E6870B" w14:textId="44A53DD2" w:rsidR="007C7147" w:rsidRPr="000D3D7F" w:rsidRDefault="00532B31" w:rsidP="001E1F5A">
            <w:pPr>
              <w:rPr>
                <w:lang w:val="sr-Latn-ME"/>
              </w:rPr>
            </w:pPr>
            <w:r w:rsidRPr="000D3D7F">
              <w:rPr>
                <w:szCs w:val="22"/>
                <w:lang w:val="sr-Latn-ME"/>
              </w:rPr>
              <w:t>&gt;</w:t>
            </w:r>
            <w:r w:rsidR="007C7147" w:rsidRPr="000D3D7F">
              <w:rPr>
                <w:szCs w:val="22"/>
                <w:lang w:val="sr-Latn-ME"/>
              </w:rPr>
              <w:t>1x–1.5xULN</w:t>
            </w:r>
          </w:p>
        </w:tc>
        <w:tc>
          <w:tcPr>
            <w:tcW w:w="2464" w:type="dxa"/>
            <w:shd w:val="clear" w:color="auto" w:fill="auto"/>
          </w:tcPr>
          <w:p w14:paraId="40D78990" w14:textId="020A1DC4" w:rsidR="007C7147" w:rsidRPr="000D3D7F" w:rsidRDefault="007C7147" w:rsidP="001E1F5A">
            <w:pPr>
              <w:rPr>
                <w:lang w:val="sr-Latn-ME"/>
              </w:rPr>
            </w:pPr>
            <w:r w:rsidRPr="000D3D7F">
              <w:rPr>
                <w:lang w:val="sr-Latn-ME"/>
              </w:rPr>
              <w:t>Bilo koje vrednosti</w:t>
            </w:r>
          </w:p>
        </w:tc>
        <w:tc>
          <w:tcPr>
            <w:tcW w:w="2464" w:type="dxa"/>
            <w:shd w:val="clear" w:color="auto" w:fill="auto"/>
          </w:tcPr>
          <w:p w14:paraId="27C5279D" w14:textId="1B73AD87" w:rsidR="007C7147" w:rsidRPr="000D3D7F" w:rsidRDefault="007C7147" w:rsidP="001E1F5A">
            <w:pPr>
              <w:rPr>
                <w:lang w:val="sr-Latn-ME"/>
              </w:rPr>
            </w:pPr>
            <w:r w:rsidRPr="000D3D7F">
              <w:rPr>
                <w:lang w:val="sr-Latn-ME"/>
              </w:rPr>
              <w:t>Nema</w:t>
            </w:r>
          </w:p>
        </w:tc>
      </w:tr>
      <w:tr w:rsidR="007C7147" w:rsidRPr="000D3D7F" w14:paraId="646C1F44" w14:textId="77777777" w:rsidTr="009D4805">
        <w:tc>
          <w:tcPr>
            <w:tcW w:w="2463" w:type="dxa"/>
            <w:shd w:val="clear" w:color="auto" w:fill="auto"/>
          </w:tcPr>
          <w:p w14:paraId="3D2ACE55" w14:textId="6B8C5733" w:rsidR="007C7147" w:rsidRPr="000D3D7F" w:rsidRDefault="007C7147" w:rsidP="001E1F5A">
            <w:pPr>
              <w:rPr>
                <w:lang w:val="sr-Latn-ME"/>
              </w:rPr>
            </w:pPr>
            <w:r w:rsidRPr="000D3D7F">
              <w:rPr>
                <w:szCs w:val="22"/>
                <w:lang w:val="sr-Latn-ME"/>
              </w:rPr>
              <w:t>Um</w:t>
            </w:r>
            <w:r w:rsidR="001C1E5F" w:rsidRPr="000D3D7F">
              <w:rPr>
                <w:szCs w:val="22"/>
                <w:lang w:val="sr-Latn-ME"/>
              </w:rPr>
              <w:t>j</w:t>
            </w:r>
            <w:r w:rsidRPr="000D3D7F">
              <w:rPr>
                <w:szCs w:val="22"/>
                <w:lang w:val="sr-Latn-ME"/>
              </w:rPr>
              <w:t>eren</w:t>
            </w:r>
          </w:p>
        </w:tc>
        <w:tc>
          <w:tcPr>
            <w:tcW w:w="2464" w:type="dxa"/>
            <w:shd w:val="clear" w:color="auto" w:fill="auto"/>
          </w:tcPr>
          <w:p w14:paraId="2E3A7423" w14:textId="54757338" w:rsidR="007C7147" w:rsidRPr="000D3D7F" w:rsidRDefault="00D00258" w:rsidP="001E1F5A">
            <w:pPr>
              <w:rPr>
                <w:lang w:val="sr-Latn-ME"/>
              </w:rPr>
            </w:pPr>
            <w:r w:rsidRPr="000D3D7F">
              <w:rPr>
                <w:szCs w:val="22"/>
                <w:lang w:val="sr-Latn-ME"/>
              </w:rPr>
              <w:t>&gt;1,5x–3xULN</w:t>
            </w:r>
          </w:p>
        </w:tc>
        <w:tc>
          <w:tcPr>
            <w:tcW w:w="2464" w:type="dxa"/>
            <w:shd w:val="clear" w:color="auto" w:fill="auto"/>
          </w:tcPr>
          <w:p w14:paraId="138633B7" w14:textId="5924990E" w:rsidR="007C7147" w:rsidRPr="000D3D7F" w:rsidRDefault="007C7147" w:rsidP="001E1F5A">
            <w:pPr>
              <w:rPr>
                <w:lang w:val="sr-Latn-ME"/>
              </w:rPr>
            </w:pPr>
            <w:r w:rsidRPr="000D3D7F">
              <w:rPr>
                <w:lang w:val="sr-Latn-ME"/>
              </w:rPr>
              <w:t>Bilo koje vrednosti</w:t>
            </w:r>
          </w:p>
        </w:tc>
        <w:tc>
          <w:tcPr>
            <w:tcW w:w="2464" w:type="dxa"/>
            <w:shd w:val="clear" w:color="auto" w:fill="auto"/>
          </w:tcPr>
          <w:p w14:paraId="1378374F" w14:textId="76A53319" w:rsidR="00D00258" w:rsidRPr="000D3D7F" w:rsidRDefault="00D00258" w:rsidP="001E1F5A">
            <w:pPr>
              <w:rPr>
                <w:lang w:val="sr-Latn-ME"/>
              </w:rPr>
            </w:pPr>
            <w:r w:rsidRPr="000D3D7F">
              <w:rPr>
                <w:szCs w:val="22"/>
                <w:lang w:val="sr-Latn-ME"/>
              </w:rPr>
              <w:t>Smanjiti dozu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na</w:t>
            </w:r>
            <w:r w:rsidR="00353A78" w:rsidRPr="000D3D7F">
              <w:rPr>
                <w:szCs w:val="22"/>
                <w:lang w:val="sr-Latn-ME"/>
              </w:rPr>
              <w:t xml:space="preserve"> </w:t>
            </w:r>
            <w:r w:rsidRPr="000D3D7F">
              <w:rPr>
                <w:szCs w:val="22"/>
                <w:lang w:val="sr-Latn-ME"/>
              </w:rPr>
              <w:t>0,7 mg/m</w:t>
            </w:r>
            <w:r w:rsidRPr="000D3D7F">
              <w:rPr>
                <w:szCs w:val="22"/>
                <w:vertAlign w:val="superscript"/>
                <w:lang w:val="sr-Latn-ME"/>
              </w:rPr>
              <w:t>2</w:t>
            </w:r>
            <w:r w:rsidRPr="000D3D7F">
              <w:rPr>
                <w:szCs w:val="22"/>
                <w:lang w:val="sr-Latn-ME"/>
              </w:rPr>
              <w:t xml:space="preserve"> tokom prvog ciklusa.</w:t>
            </w:r>
          </w:p>
          <w:p w14:paraId="1E7AB485" w14:textId="23B391BA" w:rsidR="007C7147" w:rsidRPr="000D3D7F" w:rsidRDefault="00D00258" w:rsidP="001E1F5A">
            <w:pPr>
              <w:rPr>
                <w:lang w:val="sr-Latn-ME"/>
              </w:rPr>
            </w:pPr>
            <w:r w:rsidRPr="000D3D7F">
              <w:rPr>
                <w:szCs w:val="22"/>
                <w:lang w:val="sr-Latn-ME"/>
              </w:rPr>
              <w:t>Razmotriti povećanje doze do</w:t>
            </w:r>
            <w:r w:rsidR="00353A78" w:rsidRPr="000D3D7F">
              <w:rPr>
                <w:szCs w:val="22"/>
                <w:lang w:val="sr-Latn-ME"/>
              </w:rPr>
              <w:t xml:space="preserve"> </w:t>
            </w:r>
            <w:r w:rsidRPr="000D3D7F">
              <w:rPr>
                <w:szCs w:val="22"/>
                <w:lang w:val="sr-Latn-ME"/>
              </w:rPr>
              <w:t>1 mg/m</w:t>
            </w:r>
            <w:r w:rsidRPr="000D3D7F">
              <w:rPr>
                <w:szCs w:val="22"/>
                <w:vertAlign w:val="superscript"/>
                <w:lang w:val="sr-Latn-ME"/>
              </w:rPr>
              <w:t>2</w:t>
            </w:r>
            <w:r w:rsidRPr="000D3D7F">
              <w:rPr>
                <w:szCs w:val="22"/>
                <w:lang w:val="sr-Latn-ME"/>
              </w:rPr>
              <w:t xml:space="preserve"> ili dalje smanjenje doze</w:t>
            </w:r>
            <w:r w:rsidR="00353A78" w:rsidRPr="000D3D7F">
              <w:rPr>
                <w:szCs w:val="22"/>
                <w:lang w:val="sr-Latn-ME"/>
              </w:rPr>
              <w:t xml:space="preserve"> </w:t>
            </w:r>
            <w:r w:rsidRPr="000D3D7F">
              <w:rPr>
                <w:szCs w:val="22"/>
                <w:lang w:val="sr-Latn-ME"/>
              </w:rPr>
              <w:t>do 0,5 mg/m</w:t>
            </w:r>
            <w:r w:rsidRPr="000D3D7F">
              <w:rPr>
                <w:szCs w:val="22"/>
                <w:vertAlign w:val="superscript"/>
                <w:lang w:val="sr-Latn-ME"/>
              </w:rPr>
              <w:t>2</w:t>
            </w:r>
            <w:r w:rsidRPr="000D3D7F">
              <w:rPr>
                <w:szCs w:val="22"/>
                <w:lang w:val="sr-Latn-ME"/>
              </w:rPr>
              <w:t xml:space="preserve"> tokom narednih</w:t>
            </w:r>
            <w:r w:rsidR="00353A78" w:rsidRPr="000D3D7F">
              <w:rPr>
                <w:szCs w:val="22"/>
                <w:lang w:val="sr-Latn-ME"/>
              </w:rPr>
              <w:t xml:space="preserve"> </w:t>
            </w:r>
            <w:r w:rsidRPr="000D3D7F">
              <w:rPr>
                <w:szCs w:val="22"/>
                <w:lang w:val="sr-Latn-ME"/>
              </w:rPr>
              <w:t>ciklusa, na osnovu toga kako</w:t>
            </w:r>
            <w:r w:rsidR="00353A78" w:rsidRPr="000D3D7F">
              <w:rPr>
                <w:szCs w:val="22"/>
                <w:lang w:val="sr-Latn-ME"/>
              </w:rPr>
              <w:t xml:space="preserve"> </w:t>
            </w:r>
            <w:r w:rsidRPr="000D3D7F">
              <w:rPr>
                <w:szCs w:val="22"/>
                <w:lang w:val="sr-Latn-ME"/>
              </w:rPr>
              <w:t>pacijent podnosi terapiju.</w:t>
            </w:r>
          </w:p>
        </w:tc>
      </w:tr>
      <w:tr w:rsidR="007C7147" w:rsidRPr="000D3D7F" w14:paraId="734CFAA5" w14:textId="77777777" w:rsidTr="009D4805">
        <w:tc>
          <w:tcPr>
            <w:tcW w:w="2463" w:type="dxa"/>
            <w:shd w:val="clear" w:color="auto" w:fill="auto"/>
          </w:tcPr>
          <w:p w14:paraId="4FFE204F" w14:textId="05C87A66" w:rsidR="007C7147" w:rsidRPr="000D3D7F" w:rsidRDefault="007C7147" w:rsidP="001E1F5A">
            <w:pPr>
              <w:rPr>
                <w:lang w:val="sr-Latn-ME"/>
              </w:rPr>
            </w:pPr>
            <w:r w:rsidRPr="000D3D7F">
              <w:rPr>
                <w:szCs w:val="22"/>
                <w:lang w:val="sr-Latn-ME"/>
              </w:rPr>
              <w:t>Težak</w:t>
            </w:r>
          </w:p>
        </w:tc>
        <w:tc>
          <w:tcPr>
            <w:tcW w:w="2464" w:type="dxa"/>
            <w:shd w:val="clear" w:color="auto" w:fill="auto"/>
          </w:tcPr>
          <w:p w14:paraId="632A4F30" w14:textId="551E7517" w:rsidR="007C7147" w:rsidRPr="000D3D7F" w:rsidRDefault="00D00258" w:rsidP="001E1F5A">
            <w:pPr>
              <w:rPr>
                <w:lang w:val="sr-Latn-ME"/>
              </w:rPr>
            </w:pPr>
            <w:r w:rsidRPr="000D3D7F">
              <w:rPr>
                <w:szCs w:val="22"/>
                <w:lang w:val="sr-Latn-ME"/>
              </w:rPr>
              <w:t>&gt;3xULN</w:t>
            </w:r>
          </w:p>
        </w:tc>
        <w:tc>
          <w:tcPr>
            <w:tcW w:w="2464" w:type="dxa"/>
            <w:shd w:val="clear" w:color="auto" w:fill="auto"/>
          </w:tcPr>
          <w:p w14:paraId="692CD221" w14:textId="1864A174" w:rsidR="007C7147" w:rsidRPr="000D3D7F" w:rsidRDefault="007C7147" w:rsidP="001E1F5A">
            <w:pPr>
              <w:rPr>
                <w:lang w:val="sr-Latn-ME"/>
              </w:rPr>
            </w:pPr>
            <w:r w:rsidRPr="000D3D7F">
              <w:rPr>
                <w:lang w:val="sr-Latn-ME"/>
              </w:rPr>
              <w:t>Bilo koje vr</w:t>
            </w:r>
            <w:r w:rsidR="001C1E5F" w:rsidRPr="000D3D7F">
              <w:rPr>
                <w:lang w:val="sr-Latn-ME"/>
              </w:rPr>
              <w:t>ij</w:t>
            </w:r>
            <w:r w:rsidRPr="000D3D7F">
              <w:rPr>
                <w:lang w:val="sr-Latn-ME"/>
              </w:rPr>
              <w:t>ednosti</w:t>
            </w:r>
          </w:p>
        </w:tc>
        <w:tc>
          <w:tcPr>
            <w:tcW w:w="2464" w:type="dxa"/>
            <w:shd w:val="clear" w:color="auto" w:fill="auto"/>
          </w:tcPr>
          <w:p w14:paraId="568BBA68" w14:textId="7DA22279" w:rsidR="00D00258" w:rsidRPr="000D3D7F" w:rsidRDefault="00D00258" w:rsidP="001E1F5A">
            <w:pPr>
              <w:rPr>
                <w:lang w:val="sr-Latn-ME"/>
              </w:rPr>
            </w:pPr>
            <w:r w:rsidRPr="000D3D7F">
              <w:rPr>
                <w:szCs w:val="22"/>
                <w:lang w:val="sr-Latn-ME"/>
              </w:rPr>
              <w:t>Smanjiti dozu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na</w:t>
            </w:r>
            <w:r w:rsidR="00353A78" w:rsidRPr="000D3D7F">
              <w:rPr>
                <w:szCs w:val="22"/>
                <w:lang w:val="sr-Latn-ME"/>
              </w:rPr>
              <w:t xml:space="preserve"> </w:t>
            </w:r>
            <w:r w:rsidRPr="000D3D7F">
              <w:rPr>
                <w:szCs w:val="22"/>
                <w:lang w:val="sr-Latn-ME"/>
              </w:rPr>
              <w:t>0,7 mg/m</w:t>
            </w:r>
            <w:r w:rsidRPr="000D3D7F">
              <w:rPr>
                <w:szCs w:val="22"/>
                <w:vertAlign w:val="superscript"/>
                <w:lang w:val="sr-Latn-ME"/>
              </w:rPr>
              <w:t>2</w:t>
            </w:r>
            <w:r w:rsidRPr="000D3D7F">
              <w:rPr>
                <w:szCs w:val="22"/>
                <w:lang w:val="sr-Latn-ME"/>
              </w:rPr>
              <w:t xml:space="preserve"> tokom prvog ciklusa.</w:t>
            </w:r>
          </w:p>
          <w:p w14:paraId="77863931" w14:textId="644EA4EF" w:rsidR="007C7147" w:rsidRPr="000D3D7F" w:rsidRDefault="00D00258" w:rsidP="001E1F5A">
            <w:pPr>
              <w:rPr>
                <w:lang w:val="sr-Latn-ME"/>
              </w:rPr>
            </w:pPr>
            <w:r w:rsidRPr="000D3D7F">
              <w:rPr>
                <w:szCs w:val="22"/>
                <w:lang w:val="sr-Latn-ME"/>
              </w:rPr>
              <w:t>Razmotriti povećanje doze do</w:t>
            </w:r>
            <w:r w:rsidR="00353A78" w:rsidRPr="000D3D7F">
              <w:rPr>
                <w:szCs w:val="22"/>
                <w:lang w:val="sr-Latn-ME"/>
              </w:rPr>
              <w:t xml:space="preserve"> </w:t>
            </w:r>
            <w:r w:rsidRPr="000D3D7F">
              <w:rPr>
                <w:szCs w:val="22"/>
                <w:lang w:val="sr-Latn-ME"/>
              </w:rPr>
              <w:t>1 mg/m</w:t>
            </w:r>
            <w:r w:rsidRPr="000D3D7F">
              <w:rPr>
                <w:szCs w:val="22"/>
                <w:vertAlign w:val="superscript"/>
                <w:lang w:val="sr-Latn-ME"/>
              </w:rPr>
              <w:t>2</w:t>
            </w:r>
            <w:r w:rsidRPr="000D3D7F">
              <w:rPr>
                <w:szCs w:val="22"/>
                <w:lang w:val="sr-Latn-ME"/>
              </w:rPr>
              <w:t xml:space="preserve"> ili dalje smanjenje doze</w:t>
            </w:r>
            <w:r w:rsidR="00353A78" w:rsidRPr="000D3D7F">
              <w:rPr>
                <w:szCs w:val="22"/>
                <w:lang w:val="sr-Latn-ME"/>
              </w:rPr>
              <w:t xml:space="preserve"> </w:t>
            </w:r>
            <w:r w:rsidRPr="000D3D7F">
              <w:rPr>
                <w:szCs w:val="22"/>
                <w:lang w:val="sr-Latn-ME"/>
              </w:rPr>
              <w:t>do 0,5 mg/m</w:t>
            </w:r>
            <w:r w:rsidRPr="000D3D7F">
              <w:rPr>
                <w:szCs w:val="22"/>
                <w:vertAlign w:val="superscript"/>
                <w:lang w:val="sr-Latn-ME"/>
              </w:rPr>
              <w:t>2</w:t>
            </w:r>
            <w:r w:rsidRPr="000D3D7F">
              <w:rPr>
                <w:szCs w:val="22"/>
                <w:lang w:val="sr-Latn-ME"/>
              </w:rPr>
              <w:t xml:space="preserve"> tokom narednih</w:t>
            </w:r>
            <w:r w:rsidR="00353A78" w:rsidRPr="000D3D7F">
              <w:rPr>
                <w:szCs w:val="22"/>
                <w:lang w:val="sr-Latn-ME"/>
              </w:rPr>
              <w:t xml:space="preserve"> </w:t>
            </w:r>
            <w:r w:rsidRPr="000D3D7F">
              <w:rPr>
                <w:szCs w:val="22"/>
                <w:lang w:val="sr-Latn-ME"/>
              </w:rPr>
              <w:t>ciklusa, na osnovu toga kako</w:t>
            </w:r>
            <w:r w:rsidR="00353A78" w:rsidRPr="000D3D7F">
              <w:rPr>
                <w:szCs w:val="22"/>
                <w:lang w:val="sr-Latn-ME"/>
              </w:rPr>
              <w:t xml:space="preserve"> </w:t>
            </w:r>
            <w:r w:rsidRPr="000D3D7F">
              <w:rPr>
                <w:szCs w:val="22"/>
                <w:lang w:val="sr-Latn-ME"/>
              </w:rPr>
              <w:t>pacijent podnosi terapiju.</w:t>
            </w:r>
          </w:p>
        </w:tc>
      </w:tr>
    </w:tbl>
    <w:p w14:paraId="51A4264D" w14:textId="77777777" w:rsidR="00D00258" w:rsidRPr="000D3D7F" w:rsidRDefault="00D00258" w:rsidP="001E1F5A">
      <w:pPr>
        <w:rPr>
          <w:szCs w:val="22"/>
          <w:lang w:val="sr-Latn-ME"/>
        </w:rPr>
      </w:pPr>
      <w:r w:rsidRPr="000D3D7F">
        <w:rPr>
          <w:szCs w:val="22"/>
          <w:lang w:val="sr-Latn-ME"/>
        </w:rPr>
        <w:t>Skraćenice:</w:t>
      </w:r>
    </w:p>
    <w:p w14:paraId="215E2886" w14:textId="77777777" w:rsidR="00D00258" w:rsidRPr="000D3D7F" w:rsidRDefault="00D00258" w:rsidP="001E1F5A">
      <w:pPr>
        <w:rPr>
          <w:szCs w:val="22"/>
          <w:lang w:val="sr-Latn-ME"/>
        </w:rPr>
      </w:pPr>
      <w:r w:rsidRPr="000D3D7F">
        <w:rPr>
          <w:szCs w:val="22"/>
          <w:lang w:val="sr-Latn-ME"/>
        </w:rPr>
        <w:t>SGOT – serumska glutamat-oksaloacetatna transaminaza</w:t>
      </w:r>
    </w:p>
    <w:p w14:paraId="34455A46" w14:textId="77777777" w:rsidR="00D00258" w:rsidRPr="000D3D7F" w:rsidRDefault="00D00258" w:rsidP="001E1F5A">
      <w:pPr>
        <w:rPr>
          <w:szCs w:val="22"/>
          <w:lang w:val="sr-Latn-ME"/>
        </w:rPr>
      </w:pPr>
      <w:r w:rsidRPr="000D3D7F">
        <w:rPr>
          <w:szCs w:val="22"/>
          <w:lang w:val="sr-Latn-ME"/>
        </w:rPr>
        <w:t>AST – aspartat aminotransferaza</w:t>
      </w:r>
    </w:p>
    <w:p w14:paraId="63A4EEBE" w14:textId="77777777" w:rsidR="00D00258" w:rsidRPr="000D3D7F" w:rsidRDefault="00D00258" w:rsidP="001E1F5A">
      <w:pPr>
        <w:rPr>
          <w:szCs w:val="22"/>
          <w:lang w:val="sr-Latn-ME"/>
        </w:rPr>
      </w:pPr>
      <w:r w:rsidRPr="000D3D7F">
        <w:rPr>
          <w:szCs w:val="22"/>
          <w:lang w:val="sr-Latn-ME"/>
        </w:rPr>
        <w:t>ULN – gornja granica normalnog opsega</w:t>
      </w:r>
    </w:p>
    <w:p w14:paraId="4967DB85" w14:textId="5011695A" w:rsidR="00D00258" w:rsidRPr="000D3D7F" w:rsidRDefault="00D00258" w:rsidP="001E1F5A">
      <w:pPr>
        <w:rPr>
          <w:szCs w:val="22"/>
          <w:lang w:val="sr-Latn-ME"/>
        </w:rPr>
      </w:pPr>
      <w:r w:rsidRPr="000D3D7F">
        <w:rPr>
          <w:szCs w:val="22"/>
          <w:lang w:val="sr-Latn-ME"/>
        </w:rPr>
        <w:t>*Zasnovano na NCI klasifikaciji za kategorizaciju oštećenja jetre (blago, um</w:t>
      </w:r>
      <w:r w:rsidR="001C1E5F" w:rsidRPr="000D3D7F">
        <w:rPr>
          <w:szCs w:val="22"/>
          <w:lang w:val="sr-Latn-ME"/>
        </w:rPr>
        <w:t>j</w:t>
      </w:r>
      <w:r w:rsidRPr="000D3D7F">
        <w:rPr>
          <w:szCs w:val="22"/>
          <w:lang w:val="sr-Latn-ME"/>
        </w:rPr>
        <w:t>ereno, teško)</w:t>
      </w:r>
    </w:p>
    <w:p w14:paraId="7FE0B267" w14:textId="77777777" w:rsidR="00353A78" w:rsidRPr="000D3D7F" w:rsidRDefault="00353A78" w:rsidP="001E1F5A">
      <w:pPr>
        <w:rPr>
          <w:szCs w:val="22"/>
          <w:lang w:val="sr-Latn-ME"/>
        </w:rPr>
      </w:pPr>
    </w:p>
    <w:p w14:paraId="305D57C2" w14:textId="05895078" w:rsidR="00D00258" w:rsidRPr="000D3D7F" w:rsidRDefault="00D00258" w:rsidP="001E1F5A">
      <w:pPr>
        <w:rPr>
          <w:i/>
          <w:iCs/>
          <w:szCs w:val="22"/>
          <w:lang w:val="sr-Latn-ME"/>
        </w:rPr>
      </w:pPr>
      <w:r w:rsidRPr="000D3D7F">
        <w:rPr>
          <w:i/>
          <w:iCs/>
          <w:szCs w:val="22"/>
          <w:lang w:val="sr-Latn-ME"/>
        </w:rPr>
        <w:t>Oštećenje bubrega</w:t>
      </w:r>
    </w:p>
    <w:p w14:paraId="58291C49" w14:textId="058A5714" w:rsidR="00D00258" w:rsidRPr="000D3D7F" w:rsidRDefault="00D00258" w:rsidP="001E1F5A">
      <w:pPr>
        <w:rPr>
          <w:szCs w:val="22"/>
          <w:lang w:val="sr-Latn-ME"/>
        </w:rPr>
      </w:pPr>
      <w:r w:rsidRPr="000D3D7F">
        <w:rPr>
          <w:szCs w:val="22"/>
          <w:lang w:val="sr-Latn-ME"/>
        </w:rPr>
        <w:t>Farmakokinetika bortezomiba se ne m</w:t>
      </w:r>
      <w:r w:rsidR="001C1E5F" w:rsidRPr="000D3D7F">
        <w:rPr>
          <w:szCs w:val="22"/>
          <w:lang w:val="sr-Latn-ME"/>
        </w:rPr>
        <w:t>ij</w:t>
      </w:r>
      <w:r w:rsidRPr="000D3D7F">
        <w:rPr>
          <w:szCs w:val="22"/>
          <w:lang w:val="sr-Latn-ME"/>
        </w:rPr>
        <w:t>enja kod pacijenata sa blagom do um</w:t>
      </w:r>
      <w:r w:rsidR="001C1E5F" w:rsidRPr="000D3D7F">
        <w:rPr>
          <w:szCs w:val="22"/>
          <w:lang w:val="sr-Latn-ME"/>
        </w:rPr>
        <w:t>j</w:t>
      </w:r>
      <w:r w:rsidRPr="000D3D7F">
        <w:rPr>
          <w:szCs w:val="22"/>
          <w:lang w:val="sr-Latn-ME"/>
        </w:rPr>
        <w:t>erenom insuficijencijom bubrega</w:t>
      </w:r>
      <w:r w:rsidR="00EF29F8" w:rsidRPr="000D3D7F">
        <w:rPr>
          <w:szCs w:val="22"/>
          <w:lang w:val="sr-Latn-ME"/>
        </w:rPr>
        <w:t xml:space="preserve"> </w:t>
      </w:r>
      <w:r w:rsidRPr="000D3D7F">
        <w:rPr>
          <w:szCs w:val="22"/>
          <w:lang w:val="sr-Latn-ME"/>
        </w:rPr>
        <w:t>(klirens kreatinina (CrCl &gt; 20 m</w:t>
      </w:r>
      <w:r w:rsidR="00695513"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s toga, kod ovih pacijenata, nije potrebno prilagođavati</w:t>
      </w:r>
      <w:r w:rsidR="00EF29F8" w:rsidRPr="000D3D7F">
        <w:rPr>
          <w:szCs w:val="22"/>
          <w:lang w:val="sr-Latn-ME"/>
        </w:rPr>
        <w:t xml:space="preserve"> </w:t>
      </w:r>
      <w:r w:rsidRPr="000D3D7F">
        <w:rPr>
          <w:szCs w:val="22"/>
          <w:lang w:val="sr-Latn-ME"/>
        </w:rPr>
        <w:t xml:space="preserve">dozu. </w:t>
      </w:r>
      <w:r w:rsidRPr="000D3D7F">
        <w:rPr>
          <w:szCs w:val="22"/>
          <w:lang w:val="sr-Latn-ME"/>
        </w:rPr>
        <w:lastRenderedPageBreak/>
        <w:t>Nije poznato da li je farmakokinetika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izm</w:t>
      </w:r>
      <w:r w:rsidR="001C1E5F" w:rsidRPr="000D3D7F">
        <w:rPr>
          <w:szCs w:val="22"/>
          <w:lang w:val="sr-Latn-ME"/>
        </w:rPr>
        <w:t>ij</w:t>
      </w:r>
      <w:r w:rsidRPr="000D3D7F">
        <w:rPr>
          <w:szCs w:val="22"/>
          <w:lang w:val="sr-Latn-ME"/>
        </w:rPr>
        <w:t>enjena kod pacijenata sa teškom</w:t>
      </w:r>
      <w:r w:rsidR="00EF29F8" w:rsidRPr="000D3D7F">
        <w:rPr>
          <w:szCs w:val="22"/>
          <w:lang w:val="sr-Latn-ME"/>
        </w:rPr>
        <w:t xml:space="preserve"> </w:t>
      </w:r>
      <w:r w:rsidRPr="000D3D7F">
        <w:rPr>
          <w:szCs w:val="22"/>
          <w:lang w:val="sr-Latn-ME"/>
        </w:rPr>
        <w:t>insuficijencijom bubrega (CrCl &lt; 20 m</w:t>
      </w:r>
      <w:r w:rsidR="00695513"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koji ni</w:t>
      </w:r>
      <w:r w:rsidR="001E1F5A" w:rsidRPr="000D3D7F">
        <w:rPr>
          <w:szCs w:val="22"/>
          <w:lang w:val="sr-Latn-ME"/>
        </w:rPr>
        <w:t>je</w:t>
      </w:r>
      <w:r w:rsidRPr="000D3D7F">
        <w:rPr>
          <w:szCs w:val="22"/>
          <w:lang w:val="sr-Latn-ME"/>
        </w:rPr>
        <w:t>su na dijalizi. S obzirom da se koncentracija</w:t>
      </w:r>
      <w:r w:rsidR="00EF29F8" w:rsidRPr="000D3D7F">
        <w:rPr>
          <w:szCs w:val="22"/>
          <w:lang w:val="sr-Latn-ME"/>
        </w:rPr>
        <w:t xml:space="preserve"> </w:t>
      </w:r>
      <w:r w:rsidRPr="000D3D7F">
        <w:rPr>
          <w:szCs w:val="22"/>
          <w:lang w:val="sr-Latn-ME"/>
        </w:rPr>
        <w:t>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može smanjiti tokom dijalize, l</w:t>
      </w:r>
      <w:r w:rsidR="001C1E5F" w:rsidRPr="000D3D7F">
        <w:rPr>
          <w:szCs w:val="22"/>
          <w:lang w:val="sr-Latn-ME"/>
        </w:rPr>
        <w:t>ij</w:t>
      </w:r>
      <w:r w:rsidRPr="000D3D7F">
        <w:rPr>
          <w:szCs w:val="22"/>
          <w:lang w:val="sr-Latn-ME"/>
        </w:rPr>
        <w:t>ek treba prim</w:t>
      </w:r>
      <w:r w:rsidR="001C1E5F" w:rsidRPr="000D3D7F">
        <w:rPr>
          <w:szCs w:val="22"/>
          <w:lang w:val="sr-Latn-ME"/>
        </w:rPr>
        <w:t>ij</w:t>
      </w:r>
      <w:r w:rsidRPr="000D3D7F">
        <w:rPr>
          <w:szCs w:val="22"/>
          <w:lang w:val="sr-Latn-ME"/>
        </w:rPr>
        <w:t>eniti nakon završene dijalize (vid</w:t>
      </w:r>
      <w:r w:rsidR="001C1E5F"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5.2).</w:t>
      </w:r>
    </w:p>
    <w:p w14:paraId="464CF48F" w14:textId="77777777" w:rsidR="00353A78" w:rsidRPr="000D3D7F" w:rsidRDefault="00353A78" w:rsidP="001E1F5A">
      <w:pPr>
        <w:rPr>
          <w:szCs w:val="22"/>
          <w:lang w:val="sr-Latn-ME"/>
        </w:rPr>
      </w:pPr>
    </w:p>
    <w:p w14:paraId="3C2F0C63" w14:textId="6A291D11" w:rsidR="00D00258" w:rsidRPr="000D3D7F" w:rsidRDefault="00D00258" w:rsidP="001E1F5A">
      <w:pPr>
        <w:rPr>
          <w:i/>
          <w:iCs/>
          <w:szCs w:val="22"/>
          <w:lang w:val="sr-Latn-ME"/>
        </w:rPr>
      </w:pPr>
      <w:r w:rsidRPr="000D3D7F">
        <w:rPr>
          <w:i/>
          <w:iCs/>
          <w:szCs w:val="22"/>
          <w:lang w:val="sr-Latn-ME"/>
        </w:rPr>
        <w:t>Pedijatrijski pacijenti</w:t>
      </w:r>
    </w:p>
    <w:p w14:paraId="021782F8" w14:textId="26C69AEC" w:rsidR="00D00258" w:rsidRPr="000D3D7F" w:rsidRDefault="00D00258" w:rsidP="001E1F5A">
      <w:pPr>
        <w:rPr>
          <w:szCs w:val="22"/>
          <w:lang w:val="sr-Latn-ME"/>
        </w:rPr>
      </w:pPr>
      <w:r w:rsidRPr="000D3D7F">
        <w:rPr>
          <w:szCs w:val="22"/>
          <w:lang w:val="sr-Latn-ME"/>
        </w:rPr>
        <w:t>Bezb</w:t>
      </w:r>
      <w:r w:rsidR="001C1E5F" w:rsidRPr="000D3D7F">
        <w:rPr>
          <w:szCs w:val="22"/>
          <w:lang w:val="sr-Latn-ME"/>
        </w:rPr>
        <w:t>j</w:t>
      </w:r>
      <w:r w:rsidRPr="000D3D7F">
        <w:rPr>
          <w:szCs w:val="22"/>
          <w:lang w:val="sr-Latn-ME"/>
        </w:rPr>
        <w:t>ednost i efikasnost l</w:t>
      </w:r>
      <w:r w:rsidR="001C1E5F"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kod d</w:t>
      </w:r>
      <w:r w:rsidR="001C1E5F" w:rsidRPr="000D3D7F">
        <w:rPr>
          <w:szCs w:val="22"/>
          <w:lang w:val="sr-Latn-ME"/>
        </w:rPr>
        <w:t>j</w:t>
      </w:r>
      <w:r w:rsidRPr="000D3D7F">
        <w:rPr>
          <w:szCs w:val="22"/>
          <w:lang w:val="sr-Latn-ME"/>
        </w:rPr>
        <w:t>ece ispod 18 godina starosti nije utvrđena (vid</w:t>
      </w:r>
      <w:r w:rsidR="001C1E5F" w:rsidRPr="000D3D7F">
        <w:rPr>
          <w:szCs w:val="22"/>
          <w:lang w:val="sr-Latn-ME"/>
        </w:rPr>
        <w:t>j</w:t>
      </w:r>
      <w:r w:rsidRPr="000D3D7F">
        <w:rPr>
          <w:szCs w:val="22"/>
          <w:lang w:val="sr-Latn-ME"/>
        </w:rPr>
        <w:t xml:space="preserve">eti </w:t>
      </w:r>
      <w:r w:rsidR="001B5D63" w:rsidRPr="000D3D7F">
        <w:rPr>
          <w:szCs w:val="22"/>
          <w:lang w:val="sr-Latn-ME"/>
        </w:rPr>
        <w:t>djelove</w:t>
      </w:r>
      <w:r w:rsidRPr="000D3D7F">
        <w:rPr>
          <w:szCs w:val="22"/>
          <w:lang w:val="sr-Latn-ME"/>
        </w:rPr>
        <w:t xml:space="preserve"> 5.1 i</w:t>
      </w:r>
      <w:r w:rsidR="00EF29F8" w:rsidRPr="000D3D7F">
        <w:rPr>
          <w:szCs w:val="22"/>
          <w:lang w:val="sr-Latn-ME"/>
        </w:rPr>
        <w:t xml:space="preserve"> </w:t>
      </w:r>
      <w:r w:rsidRPr="000D3D7F">
        <w:rPr>
          <w:szCs w:val="22"/>
          <w:lang w:val="sr-Latn-ME"/>
        </w:rPr>
        <w:t>5.2). Trenutno dostupni podaci su opisani u d</w:t>
      </w:r>
      <w:r w:rsidR="001C1E5F" w:rsidRPr="000D3D7F">
        <w:rPr>
          <w:szCs w:val="22"/>
          <w:lang w:val="sr-Latn-ME"/>
        </w:rPr>
        <w:t>ij</w:t>
      </w:r>
      <w:r w:rsidRPr="000D3D7F">
        <w:rPr>
          <w:szCs w:val="22"/>
          <w:lang w:val="sr-Latn-ME"/>
        </w:rPr>
        <w:t>elu 5.1, ali se ne mogu dati preporuke za doziranje.</w:t>
      </w:r>
    </w:p>
    <w:p w14:paraId="1D08C6ED" w14:textId="77777777" w:rsidR="00353A78" w:rsidRPr="000D3D7F" w:rsidRDefault="00353A78" w:rsidP="001E1F5A">
      <w:pPr>
        <w:rPr>
          <w:szCs w:val="22"/>
          <w:lang w:val="sr-Latn-ME"/>
        </w:rPr>
      </w:pPr>
    </w:p>
    <w:p w14:paraId="5B080715" w14:textId="4C3A3AF9" w:rsidR="00D00258" w:rsidRPr="000D3D7F" w:rsidRDefault="00D00258" w:rsidP="001E1F5A">
      <w:pPr>
        <w:rPr>
          <w:szCs w:val="22"/>
          <w:u w:val="single"/>
          <w:lang w:val="sr-Latn-ME"/>
        </w:rPr>
      </w:pPr>
      <w:r w:rsidRPr="000D3D7F">
        <w:rPr>
          <w:szCs w:val="22"/>
          <w:u w:val="single"/>
          <w:lang w:val="sr-Latn-ME"/>
        </w:rPr>
        <w:t>Način prim</w:t>
      </w:r>
      <w:r w:rsidR="001C1E5F" w:rsidRPr="000D3D7F">
        <w:rPr>
          <w:szCs w:val="22"/>
          <w:u w:val="single"/>
          <w:lang w:val="sr-Latn-ME"/>
        </w:rPr>
        <w:t>j</w:t>
      </w:r>
      <w:r w:rsidRPr="000D3D7F">
        <w:rPr>
          <w:szCs w:val="22"/>
          <w:u w:val="single"/>
          <w:lang w:val="sr-Latn-ME"/>
        </w:rPr>
        <w:t>ene</w:t>
      </w:r>
    </w:p>
    <w:p w14:paraId="5E04AA2A" w14:textId="5D328354" w:rsidR="00D00258" w:rsidRPr="000D3D7F" w:rsidRDefault="00D00258" w:rsidP="001E1F5A">
      <w:pPr>
        <w:rPr>
          <w:szCs w:val="22"/>
          <w:lang w:val="sr-Latn-ME"/>
        </w:rPr>
      </w:pPr>
      <w:r w:rsidRPr="000D3D7F">
        <w:rPr>
          <w:szCs w:val="22"/>
          <w:lang w:val="sr-Latn-ME"/>
        </w:rPr>
        <w:t>L</w:t>
      </w:r>
      <w:r w:rsidR="001C1E5F"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 mg prašak za rastvor za injekciju je nam</w:t>
      </w:r>
      <w:r w:rsidR="001C1E5F" w:rsidRPr="000D3D7F">
        <w:rPr>
          <w:szCs w:val="22"/>
          <w:lang w:val="sr-Latn-ME"/>
        </w:rPr>
        <w:t>ij</w:t>
      </w:r>
      <w:r w:rsidRPr="000D3D7F">
        <w:rPr>
          <w:szCs w:val="22"/>
          <w:lang w:val="sr-Latn-ME"/>
        </w:rPr>
        <w:t>enjen za intravensku ili su</w:t>
      </w:r>
      <w:r w:rsidR="005E752C" w:rsidRPr="000D3D7F">
        <w:rPr>
          <w:szCs w:val="22"/>
          <w:lang w:val="sr-Latn-ME"/>
        </w:rPr>
        <w:t>b</w:t>
      </w:r>
      <w:r w:rsidRPr="000D3D7F">
        <w:rPr>
          <w:szCs w:val="22"/>
          <w:lang w:val="sr-Latn-ME"/>
        </w:rPr>
        <w:t>kutanu prim</w:t>
      </w:r>
      <w:r w:rsidR="001C1E5F" w:rsidRPr="000D3D7F">
        <w:rPr>
          <w:szCs w:val="22"/>
          <w:lang w:val="sr-Latn-ME"/>
        </w:rPr>
        <w:t>j</w:t>
      </w:r>
      <w:r w:rsidRPr="000D3D7F">
        <w:rPr>
          <w:szCs w:val="22"/>
          <w:lang w:val="sr-Latn-ME"/>
        </w:rPr>
        <w:t>enu.</w:t>
      </w:r>
      <w:r w:rsidR="00EF29F8" w:rsidRPr="000D3D7F">
        <w:rPr>
          <w:szCs w:val="22"/>
          <w:lang w:val="sr-Latn-ME"/>
        </w:rPr>
        <w:t xml:space="preserve"> </w:t>
      </w:r>
    </w:p>
    <w:p w14:paraId="62F34D23" w14:textId="094D41B8" w:rsidR="00D00258" w:rsidRPr="000D3D7F" w:rsidRDefault="00D00258" w:rsidP="001E1F5A">
      <w:pPr>
        <w:rPr>
          <w:szCs w:val="22"/>
          <w:lang w:val="sr-Latn-ME"/>
        </w:rPr>
      </w:pPr>
      <w:r w:rsidRPr="000D3D7F">
        <w:rPr>
          <w:szCs w:val="22"/>
          <w:lang w:val="sr-Latn-ME"/>
        </w:rPr>
        <w:t>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se ne sm</w:t>
      </w:r>
      <w:r w:rsidR="00BF4F4E" w:rsidRPr="000D3D7F">
        <w:rPr>
          <w:szCs w:val="22"/>
          <w:lang w:val="sr-Latn-ME"/>
        </w:rPr>
        <w:t>ij</w:t>
      </w:r>
      <w:r w:rsidRPr="000D3D7F">
        <w:rPr>
          <w:szCs w:val="22"/>
          <w:lang w:val="sr-Latn-ME"/>
        </w:rPr>
        <w:t>e davati drugim načinima prim</w:t>
      </w:r>
      <w:r w:rsidR="00BF4F4E" w:rsidRPr="000D3D7F">
        <w:rPr>
          <w:szCs w:val="22"/>
          <w:lang w:val="sr-Latn-ME"/>
        </w:rPr>
        <w:t>j</w:t>
      </w:r>
      <w:r w:rsidRPr="000D3D7F">
        <w:rPr>
          <w:szCs w:val="22"/>
          <w:lang w:val="sr-Latn-ME"/>
        </w:rPr>
        <w:t>ene. Intratekalna prim</w:t>
      </w:r>
      <w:r w:rsidR="00BF4F4E" w:rsidRPr="000D3D7F">
        <w:rPr>
          <w:szCs w:val="22"/>
          <w:lang w:val="sr-Latn-ME"/>
        </w:rPr>
        <w:t>j</w:t>
      </w:r>
      <w:r w:rsidRPr="000D3D7F">
        <w:rPr>
          <w:szCs w:val="22"/>
          <w:lang w:val="sr-Latn-ME"/>
        </w:rPr>
        <w:t>ena je dovela do smrti.</w:t>
      </w:r>
    </w:p>
    <w:p w14:paraId="73DEEF01" w14:textId="77777777" w:rsidR="00BF4F4E" w:rsidRPr="000D3D7F" w:rsidRDefault="00BF4F4E" w:rsidP="001E1F5A">
      <w:pPr>
        <w:rPr>
          <w:szCs w:val="22"/>
          <w:lang w:val="sr-Latn-ME"/>
        </w:rPr>
      </w:pPr>
    </w:p>
    <w:p w14:paraId="2AE33239" w14:textId="7CA00AEF" w:rsidR="00D00258" w:rsidRPr="000D3D7F" w:rsidRDefault="00D00258" w:rsidP="001E1F5A">
      <w:pPr>
        <w:rPr>
          <w:i/>
          <w:iCs/>
          <w:szCs w:val="22"/>
          <w:lang w:val="sr-Latn-ME"/>
        </w:rPr>
      </w:pPr>
      <w:r w:rsidRPr="000D3D7F">
        <w:rPr>
          <w:i/>
          <w:iCs/>
          <w:szCs w:val="22"/>
          <w:lang w:val="sr-Latn-ME"/>
        </w:rPr>
        <w:t>Intravenska injekcija</w:t>
      </w:r>
    </w:p>
    <w:p w14:paraId="003D50EA" w14:textId="20F2472E" w:rsidR="007C7147" w:rsidRPr="000D3D7F" w:rsidRDefault="00D00258" w:rsidP="001E1F5A">
      <w:pPr>
        <w:rPr>
          <w:szCs w:val="22"/>
          <w:lang w:val="sr-Latn-ME"/>
        </w:rPr>
      </w:pPr>
      <w:r w:rsidRPr="000D3D7F">
        <w:rPr>
          <w:szCs w:val="22"/>
          <w:lang w:val="sr-Latn-ME"/>
        </w:rPr>
        <w:t>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3,5mg rekonstituisani rastvor se prim</w:t>
      </w:r>
      <w:r w:rsidR="00BF4F4E" w:rsidRPr="000D3D7F">
        <w:rPr>
          <w:szCs w:val="22"/>
          <w:lang w:val="sr-Latn-ME"/>
        </w:rPr>
        <w:t>j</w:t>
      </w:r>
      <w:r w:rsidRPr="000D3D7F">
        <w:rPr>
          <w:szCs w:val="22"/>
          <w:lang w:val="sr-Latn-ME"/>
        </w:rPr>
        <w:t>enjuje u trajanju od 3-5 sekundi kao bolus injekcija kroz</w:t>
      </w:r>
      <w:r w:rsidR="00EF29F8" w:rsidRPr="000D3D7F">
        <w:rPr>
          <w:szCs w:val="22"/>
          <w:lang w:val="sr-Latn-ME"/>
        </w:rPr>
        <w:t xml:space="preserve"> </w:t>
      </w:r>
      <w:r w:rsidRPr="000D3D7F">
        <w:rPr>
          <w:szCs w:val="22"/>
          <w:lang w:val="sr-Latn-ME"/>
        </w:rPr>
        <w:t>periferni ili centralni venski kateter, nakon čega se kateter ispira 9 mg/m</w:t>
      </w:r>
      <w:r w:rsidR="00695513" w:rsidRPr="000D3D7F">
        <w:rPr>
          <w:szCs w:val="22"/>
          <w:lang w:val="sr-Latn-ME"/>
        </w:rPr>
        <w:t>l</w:t>
      </w:r>
      <w:r w:rsidRPr="000D3D7F">
        <w:rPr>
          <w:szCs w:val="22"/>
          <w:lang w:val="sr-Latn-ME"/>
        </w:rPr>
        <w:t xml:space="preserve"> (0,9%) rastvorom natrijum hlorida</w:t>
      </w:r>
      <w:r w:rsidR="00EF29F8" w:rsidRPr="000D3D7F">
        <w:rPr>
          <w:szCs w:val="22"/>
          <w:lang w:val="sr-Latn-ME"/>
        </w:rPr>
        <w:t xml:space="preserve"> </w:t>
      </w:r>
      <w:r w:rsidRPr="000D3D7F">
        <w:rPr>
          <w:szCs w:val="22"/>
          <w:lang w:val="sr-Latn-ME"/>
        </w:rPr>
        <w:t>za injekcije. Najmanje 72 sata treba da prođe između uzastopnih doza l</w:t>
      </w:r>
      <w:r w:rsidR="00BF4F4E"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w:t>
      </w:r>
    </w:p>
    <w:p w14:paraId="1D2570AD" w14:textId="40606275" w:rsidR="00D00258" w:rsidRPr="000D3D7F" w:rsidRDefault="00D00258" w:rsidP="001E1F5A">
      <w:pPr>
        <w:rPr>
          <w:szCs w:val="22"/>
          <w:lang w:val="sr-Latn-ME"/>
        </w:rPr>
      </w:pPr>
    </w:p>
    <w:p w14:paraId="699F2154" w14:textId="75E5167D" w:rsidR="00D00258" w:rsidRPr="000D3D7F" w:rsidRDefault="00D00258" w:rsidP="001E1F5A">
      <w:pPr>
        <w:rPr>
          <w:i/>
          <w:iCs/>
          <w:szCs w:val="22"/>
          <w:lang w:val="sr-Latn-ME"/>
        </w:rPr>
      </w:pPr>
      <w:r w:rsidRPr="000D3D7F">
        <w:rPr>
          <w:i/>
          <w:iCs/>
          <w:szCs w:val="22"/>
          <w:lang w:val="sr-Latn-ME"/>
        </w:rPr>
        <w:t>Su</w:t>
      </w:r>
      <w:r w:rsidR="005E752C" w:rsidRPr="000D3D7F">
        <w:rPr>
          <w:i/>
          <w:iCs/>
          <w:szCs w:val="22"/>
          <w:lang w:val="sr-Latn-ME"/>
        </w:rPr>
        <w:t>b</w:t>
      </w:r>
      <w:r w:rsidRPr="000D3D7F">
        <w:rPr>
          <w:i/>
          <w:iCs/>
          <w:szCs w:val="22"/>
          <w:lang w:val="sr-Latn-ME"/>
        </w:rPr>
        <w:t>kutana injekcija</w:t>
      </w:r>
    </w:p>
    <w:p w14:paraId="12647A0C" w14:textId="448A103D" w:rsidR="00D00258" w:rsidRPr="000D3D7F" w:rsidRDefault="00D00258" w:rsidP="001E1F5A">
      <w:pPr>
        <w:rPr>
          <w:szCs w:val="22"/>
          <w:lang w:val="sr-Latn-ME"/>
        </w:rPr>
      </w:pPr>
      <w:r w:rsidRPr="000D3D7F">
        <w:rPr>
          <w:szCs w:val="22"/>
          <w:lang w:val="sr-Latn-ME"/>
        </w:rPr>
        <w:t>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3,5mg rekonstituisan u rastvor se prim</w:t>
      </w:r>
      <w:r w:rsidR="00BF4F4E" w:rsidRPr="000D3D7F">
        <w:rPr>
          <w:szCs w:val="22"/>
          <w:lang w:val="sr-Latn-ME"/>
        </w:rPr>
        <w:t>j</w:t>
      </w:r>
      <w:r w:rsidRPr="000D3D7F">
        <w:rPr>
          <w:szCs w:val="22"/>
          <w:lang w:val="sr-Latn-ME"/>
        </w:rPr>
        <w:t>enjuje su</w:t>
      </w:r>
      <w:r w:rsidR="005E752C" w:rsidRPr="000D3D7F">
        <w:rPr>
          <w:szCs w:val="22"/>
          <w:lang w:val="sr-Latn-ME"/>
        </w:rPr>
        <w:t>b</w:t>
      </w:r>
      <w:r w:rsidRPr="000D3D7F">
        <w:rPr>
          <w:szCs w:val="22"/>
          <w:lang w:val="sr-Latn-ME"/>
        </w:rPr>
        <w:t>kutano u pred</w:t>
      </w:r>
      <w:r w:rsidR="00BF4F4E" w:rsidRPr="000D3D7F">
        <w:rPr>
          <w:szCs w:val="22"/>
          <w:lang w:val="sr-Latn-ME"/>
        </w:rPr>
        <w:t>i</w:t>
      </w:r>
      <w:r w:rsidRPr="000D3D7F">
        <w:rPr>
          <w:szCs w:val="22"/>
          <w:lang w:val="sr-Latn-ME"/>
        </w:rPr>
        <w:t>o butina (l</w:t>
      </w:r>
      <w:r w:rsidR="00BF4F4E" w:rsidRPr="000D3D7F">
        <w:rPr>
          <w:szCs w:val="22"/>
          <w:lang w:val="sr-Latn-ME"/>
        </w:rPr>
        <w:t>ij</w:t>
      </w:r>
      <w:r w:rsidRPr="000D3D7F">
        <w:rPr>
          <w:szCs w:val="22"/>
          <w:lang w:val="sr-Latn-ME"/>
        </w:rPr>
        <w:t>eva ili desna butina)</w:t>
      </w:r>
      <w:r w:rsidR="00EF29F8" w:rsidRPr="000D3D7F">
        <w:rPr>
          <w:szCs w:val="22"/>
          <w:lang w:val="sr-Latn-ME"/>
        </w:rPr>
        <w:t xml:space="preserve"> </w:t>
      </w:r>
      <w:r w:rsidRPr="000D3D7F">
        <w:rPr>
          <w:szCs w:val="22"/>
          <w:lang w:val="sr-Latn-ME"/>
        </w:rPr>
        <w:t>ili abdomena (sa l</w:t>
      </w:r>
      <w:r w:rsidR="00BF4F4E" w:rsidRPr="000D3D7F">
        <w:rPr>
          <w:szCs w:val="22"/>
          <w:lang w:val="sr-Latn-ME"/>
        </w:rPr>
        <w:t>ij</w:t>
      </w:r>
      <w:r w:rsidRPr="000D3D7F">
        <w:rPr>
          <w:szCs w:val="22"/>
          <w:lang w:val="sr-Latn-ME"/>
        </w:rPr>
        <w:t>eve ili desne strane). Rastvor treba dati injekcijom su</w:t>
      </w:r>
      <w:r w:rsidR="005E752C" w:rsidRPr="000D3D7F">
        <w:rPr>
          <w:szCs w:val="22"/>
          <w:lang w:val="sr-Latn-ME"/>
        </w:rPr>
        <w:t>b</w:t>
      </w:r>
      <w:r w:rsidRPr="000D3D7F">
        <w:rPr>
          <w:szCs w:val="22"/>
          <w:lang w:val="sr-Latn-ME"/>
        </w:rPr>
        <w:t>kutano po uglom od 45-90°. Treba</w:t>
      </w:r>
      <w:r w:rsidR="00EF29F8" w:rsidRPr="000D3D7F">
        <w:rPr>
          <w:szCs w:val="22"/>
          <w:lang w:val="sr-Latn-ME"/>
        </w:rPr>
        <w:t xml:space="preserve"> </w:t>
      </w:r>
      <w:r w:rsidRPr="000D3D7F">
        <w:rPr>
          <w:szCs w:val="22"/>
          <w:lang w:val="sr-Latn-ME"/>
        </w:rPr>
        <w:t>m</w:t>
      </w:r>
      <w:r w:rsidR="00BF4F4E" w:rsidRPr="000D3D7F">
        <w:rPr>
          <w:szCs w:val="22"/>
          <w:lang w:val="sr-Latn-ME"/>
        </w:rPr>
        <w:t>ij</w:t>
      </w:r>
      <w:r w:rsidRPr="000D3D7F">
        <w:rPr>
          <w:szCs w:val="22"/>
          <w:lang w:val="sr-Latn-ME"/>
        </w:rPr>
        <w:t>enjati (rotirati) m</w:t>
      </w:r>
      <w:r w:rsidR="00BF4F4E" w:rsidRPr="000D3D7F">
        <w:rPr>
          <w:szCs w:val="22"/>
          <w:lang w:val="sr-Latn-ME"/>
        </w:rPr>
        <w:t>j</w:t>
      </w:r>
      <w:r w:rsidRPr="000D3D7F">
        <w:rPr>
          <w:szCs w:val="22"/>
          <w:lang w:val="sr-Latn-ME"/>
        </w:rPr>
        <w:t>esto prim</w:t>
      </w:r>
      <w:r w:rsidR="00BF4F4E" w:rsidRPr="000D3D7F">
        <w:rPr>
          <w:szCs w:val="22"/>
          <w:lang w:val="sr-Latn-ME"/>
        </w:rPr>
        <w:t>j</w:t>
      </w:r>
      <w:r w:rsidRPr="000D3D7F">
        <w:rPr>
          <w:szCs w:val="22"/>
          <w:lang w:val="sr-Latn-ME"/>
        </w:rPr>
        <w:t>ene injekcije prilikom davanja uzastopnih injekcija.</w:t>
      </w:r>
    </w:p>
    <w:p w14:paraId="712C9774" w14:textId="7F9DC168" w:rsidR="00D00258" w:rsidRPr="000D3D7F" w:rsidRDefault="00D00258" w:rsidP="001E1F5A">
      <w:pPr>
        <w:rPr>
          <w:szCs w:val="22"/>
          <w:lang w:val="sr-Latn-ME"/>
        </w:rPr>
      </w:pPr>
      <w:r w:rsidRPr="000D3D7F">
        <w:rPr>
          <w:szCs w:val="22"/>
          <w:lang w:val="sr-Latn-ME"/>
        </w:rPr>
        <w:t>Ukoliko se jave lokalne reakcije na m</w:t>
      </w:r>
      <w:r w:rsidR="00BF4F4E" w:rsidRPr="000D3D7F">
        <w:rPr>
          <w:szCs w:val="22"/>
          <w:lang w:val="sr-Latn-ME"/>
        </w:rPr>
        <w:t>j</w:t>
      </w:r>
      <w:r w:rsidRPr="000D3D7F">
        <w:rPr>
          <w:szCs w:val="22"/>
          <w:lang w:val="sr-Latn-ME"/>
        </w:rPr>
        <w:t>estu su</w:t>
      </w:r>
      <w:r w:rsidR="005E752C" w:rsidRPr="000D3D7F">
        <w:rPr>
          <w:szCs w:val="22"/>
          <w:lang w:val="sr-Latn-ME"/>
        </w:rPr>
        <w:t>b</w:t>
      </w:r>
      <w:r w:rsidRPr="000D3D7F">
        <w:rPr>
          <w:szCs w:val="22"/>
          <w:lang w:val="sr-Latn-ME"/>
        </w:rPr>
        <w:t>kutane prim</w:t>
      </w:r>
      <w:r w:rsidR="00BF4F4E" w:rsidRPr="000D3D7F">
        <w:rPr>
          <w:szCs w:val="22"/>
          <w:lang w:val="sr-Latn-ME"/>
        </w:rPr>
        <w:t>j</w:t>
      </w:r>
      <w:r w:rsidRPr="000D3D7F">
        <w:rPr>
          <w:szCs w:val="22"/>
          <w:lang w:val="sr-Latn-ME"/>
        </w:rPr>
        <w:t>ene l</w:t>
      </w:r>
      <w:r w:rsidR="00BF4F4E"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preporučuje se da se smanji</w:t>
      </w:r>
      <w:r w:rsidR="00EF29F8" w:rsidRPr="000D3D7F">
        <w:rPr>
          <w:szCs w:val="22"/>
          <w:lang w:val="sr-Latn-ME"/>
        </w:rPr>
        <w:t xml:space="preserve"> </w:t>
      </w:r>
      <w:r w:rsidRPr="000D3D7F">
        <w:rPr>
          <w:szCs w:val="22"/>
          <w:lang w:val="sr-Latn-ME"/>
        </w:rPr>
        <w:t>koncentracija l</w:t>
      </w:r>
      <w:r w:rsidR="00BF4F4E" w:rsidRPr="000D3D7F">
        <w:rPr>
          <w:szCs w:val="22"/>
          <w:lang w:val="sr-Latn-ME"/>
        </w:rPr>
        <w:t>ij</w:t>
      </w:r>
      <w:r w:rsidRPr="000D3D7F">
        <w:rPr>
          <w:szCs w:val="22"/>
          <w:lang w:val="sr-Latn-ME"/>
        </w:rPr>
        <w:t xml:space="preserve">eka </w:t>
      </w:r>
      <w:r w:rsidR="00353A78" w:rsidRPr="000D3D7F">
        <w:rPr>
          <w:szCs w:val="22"/>
          <w:lang w:val="sr-Latn-ME"/>
        </w:rPr>
        <w:t>Bortegaz</w:t>
      </w:r>
      <w:r w:rsidRPr="000D3D7F">
        <w:rPr>
          <w:szCs w:val="22"/>
          <w:lang w:val="sr-Latn-ME"/>
        </w:rPr>
        <w:t xml:space="preserve"> u rastvoru prilikom davanja l</w:t>
      </w:r>
      <w:r w:rsidR="00BF4F4E" w:rsidRPr="000D3D7F">
        <w:rPr>
          <w:szCs w:val="22"/>
          <w:lang w:val="sr-Latn-ME"/>
        </w:rPr>
        <w:t>ij</w:t>
      </w:r>
      <w:r w:rsidRPr="000D3D7F">
        <w:rPr>
          <w:szCs w:val="22"/>
          <w:lang w:val="sr-Latn-ME"/>
        </w:rPr>
        <w:t>eka sukutano (</w:t>
      </w:r>
      <w:r w:rsidR="009F1FF7" w:rsidRPr="000D3D7F">
        <w:rPr>
          <w:szCs w:val="22"/>
          <w:lang w:val="sr-Latn-ME"/>
        </w:rPr>
        <w:t xml:space="preserve">lijek </w:t>
      </w:r>
      <w:r w:rsidR="00353A78" w:rsidRPr="000D3D7F">
        <w:rPr>
          <w:szCs w:val="22"/>
          <w:lang w:val="sr-Latn-ME"/>
        </w:rPr>
        <w:t>Bortegaz</w:t>
      </w:r>
      <w:r w:rsidRPr="000D3D7F">
        <w:rPr>
          <w:szCs w:val="22"/>
          <w:lang w:val="sr-Latn-ME"/>
        </w:rPr>
        <w:t xml:space="preserve"> 3,5mg rekonstituisati da</w:t>
      </w:r>
      <w:r w:rsidR="00EF29F8" w:rsidRPr="000D3D7F">
        <w:rPr>
          <w:szCs w:val="22"/>
          <w:lang w:val="sr-Latn-ME"/>
        </w:rPr>
        <w:t xml:space="preserve"> </w:t>
      </w:r>
      <w:r w:rsidRPr="000D3D7F">
        <w:rPr>
          <w:szCs w:val="22"/>
          <w:lang w:val="sr-Latn-ME"/>
        </w:rPr>
        <w:t>sadrži 1mg/m</w:t>
      </w:r>
      <w:r w:rsidR="00695513" w:rsidRPr="000D3D7F">
        <w:rPr>
          <w:szCs w:val="22"/>
          <w:lang w:val="sr-Latn-ME"/>
        </w:rPr>
        <w:t>l</w:t>
      </w:r>
      <w:r w:rsidRPr="000D3D7F">
        <w:rPr>
          <w:szCs w:val="22"/>
          <w:lang w:val="sr-Latn-ME"/>
        </w:rPr>
        <w:t xml:space="preserve"> um</w:t>
      </w:r>
      <w:r w:rsidR="00BF4F4E" w:rsidRPr="000D3D7F">
        <w:rPr>
          <w:szCs w:val="22"/>
          <w:lang w:val="sr-Latn-ME"/>
        </w:rPr>
        <w:t>j</w:t>
      </w:r>
      <w:r w:rsidRPr="000D3D7F">
        <w:rPr>
          <w:szCs w:val="22"/>
          <w:lang w:val="sr-Latn-ME"/>
        </w:rPr>
        <w:t>esto 2,5mg/m</w:t>
      </w:r>
      <w:r w:rsidR="00695513" w:rsidRPr="000D3D7F">
        <w:rPr>
          <w:szCs w:val="22"/>
          <w:lang w:val="sr-Latn-ME"/>
        </w:rPr>
        <w:t>l</w:t>
      </w:r>
      <w:r w:rsidRPr="000D3D7F">
        <w:rPr>
          <w:szCs w:val="22"/>
          <w:lang w:val="sr-Latn-ME"/>
        </w:rPr>
        <w:t>) ili se preporučuje prebacivanje na intravensku prim</w:t>
      </w:r>
      <w:r w:rsidR="00BF4F4E" w:rsidRPr="000D3D7F">
        <w:rPr>
          <w:szCs w:val="22"/>
          <w:lang w:val="sr-Latn-ME"/>
        </w:rPr>
        <w:t>j</w:t>
      </w:r>
      <w:r w:rsidRPr="000D3D7F">
        <w:rPr>
          <w:szCs w:val="22"/>
          <w:lang w:val="sr-Latn-ME"/>
        </w:rPr>
        <w:t>enu.</w:t>
      </w:r>
    </w:p>
    <w:p w14:paraId="4CADF287" w14:textId="4B6BE504" w:rsidR="00D00258" w:rsidRPr="000D3D7F" w:rsidRDefault="00D00258" w:rsidP="001E1F5A">
      <w:pPr>
        <w:rPr>
          <w:szCs w:val="22"/>
          <w:lang w:val="sr-Latn-ME"/>
        </w:rPr>
      </w:pPr>
      <w:r w:rsidRPr="000D3D7F">
        <w:rPr>
          <w:szCs w:val="22"/>
          <w:lang w:val="sr-Latn-ME"/>
        </w:rPr>
        <w:t>Kada se 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daje u kombinaciji sa drugim l</w:t>
      </w:r>
      <w:r w:rsidR="00BF4F4E" w:rsidRPr="000D3D7F">
        <w:rPr>
          <w:szCs w:val="22"/>
          <w:lang w:val="sr-Latn-ME"/>
        </w:rPr>
        <w:t>j</w:t>
      </w:r>
      <w:r w:rsidRPr="000D3D7F">
        <w:rPr>
          <w:szCs w:val="22"/>
          <w:lang w:val="sr-Latn-ME"/>
        </w:rPr>
        <w:t>ekovima, pogledati Sažetke karakteristika tih l</w:t>
      </w:r>
      <w:r w:rsidR="00BF4F4E" w:rsidRPr="000D3D7F">
        <w:rPr>
          <w:szCs w:val="22"/>
          <w:lang w:val="sr-Latn-ME"/>
        </w:rPr>
        <w:t>j</w:t>
      </w:r>
      <w:r w:rsidRPr="000D3D7F">
        <w:rPr>
          <w:szCs w:val="22"/>
          <w:lang w:val="sr-Latn-ME"/>
        </w:rPr>
        <w:t>ekova za</w:t>
      </w:r>
      <w:r w:rsidR="00EF29F8" w:rsidRPr="000D3D7F">
        <w:rPr>
          <w:szCs w:val="22"/>
          <w:lang w:val="sr-Latn-ME"/>
        </w:rPr>
        <w:t xml:space="preserve"> </w:t>
      </w:r>
      <w:r w:rsidRPr="000D3D7F">
        <w:rPr>
          <w:szCs w:val="22"/>
          <w:lang w:val="sr-Latn-ME"/>
        </w:rPr>
        <w:t>instrukcije za prim</w:t>
      </w:r>
      <w:r w:rsidR="00BF4F4E" w:rsidRPr="000D3D7F">
        <w:rPr>
          <w:szCs w:val="22"/>
          <w:lang w:val="sr-Latn-ME"/>
        </w:rPr>
        <w:t>j</w:t>
      </w:r>
      <w:r w:rsidRPr="000D3D7F">
        <w:rPr>
          <w:szCs w:val="22"/>
          <w:lang w:val="sr-Latn-ME"/>
        </w:rPr>
        <w:t>enu.</w:t>
      </w:r>
    </w:p>
    <w:p w14:paraId="3E6D67F9" w14:textId="77777777" w:rsidR="007C7147" w:rsidRPr="000D3D7F" w:rsidRDefault="007C7147" w:rsidP="001E1F5A">
      <w:pPr>
        <w:rPr>
          <w:szCs w:val="22"/>
          <w:lang w:val="sr-Latn-ME"/>
        </w:rPr>
      </w:pPr>
    </w:p>
    <w:p w14:paraId="17A3FEA0" w14:textId="77777777" w:rsidR="00007EF9" w:rsidRPr="000D3D7F" w:rsidRDefault="00007EF9" w:rsidP="001E1F5A">
      <w:pPr>
        <w:rPr>
          <w:b/>
          <w:bCs/>
          <w:szCs w:val="22"/>
          <w:lang w:val="sr-Latn-ME"/>
        </w:rPr>
      </w:pPr>
      <w:r w:rsidRPr="000D3D7F">
        <w:rPr>
          <w:b/>
          <w:bCs/>
          <w:szCs w:val="22"/>
          <w:lang w:val="sr-Latn-ME"/>
        </w:rPr>
        <w:t>4.3. Kontraindikacije</w:t>
      </w:r>
    </w:p>
    <w:p w14:paraId="7678D37C" w14:textId="118A2BF2" w:rsidR="00D00258" w:rsidRPr="000D3D7F" w:rsidRDefault="00D00258" w:rsidP="001E1F5A">
      <w:pPr>
        <w:rPr>
          <w:szCs w:val="22"/>
          <w:lang w:val="sr-Latn-ME"/>
        </w:rPr>
      </w:pPr>
      <w:r w:rsidRPr="000D3D7F">
        <w:rPr>
          <w:szCs w:val="22"/>
          <w:lang w:val="sr-Latn-ME"/>
        </w:rPr>
        <w:t>Preos</w:t>
      </w:r>
      <w:r w:rsidR="00BF4F4E" w:rsidRPr="000D3D7F">
        <w:rPr>
          <w:szCs w:val="22"/>
          <w:lang w:val="sr-Latn-ME"/>
        </w:rPr>
        <w:t>j</w:t>
      </w:r>
      <w:r w:rsidRPr="000D3D7F">
        <w:rPr>
          <w:szCs w:val="22"/>
          <w:lang w:val="sr-Latn-ME"/>
        </w:rPr>
        <w:t xml:space="preserve">etljivost na aktivnu supstancu, bor ili na bilo koju pomoćnu supstancu navedenu u </w:t>
      </w:r>
      <w:r w:rsidR="001B5D63" w:rsidRPr="000D3D7F">
        <w:rPr>
          <w:szCs w:val="22"/>
          <w:lang w:val="sr-Latn-ME"/>
        </w:rPr>
        <w:t>dijelu</w:t>
      </w:r>
      <w:r w:rsidRPr="000D3D7F">
        <w:rPr>
          <w:szCs w:val="22"/>
          <w:lang w:val="sr-Latn-ME"/>
        </w:rPr>
        <w:t xml:space="preserve"> 6.1.</w:t>
      </w:r>
    </w:p>
    <w:p w14:paraId="14563DC0" w14:textId="77777777" w:rsidR="00D00258" w:rsidRPr="000D3D7F" w:rsidRDefault="00D00258" w:rsidP="001E1F5A">
      <w:pPr>
        <w:rPr>
          <w:szCs w:val="22"/>
          <w:lang w:val="sr-Latn-ME"/>
        </w:rPr>
      </w:pPr>
      <w:r w:rsidRPr="000D3D7F">
        <w:rPr>
          <w:szCs w:val="22"/>
          <w:lang w:val="sr-Latn-ME"/>
        </w:rPr>
        <w:t>Akutna difuzna infiltrativna oboljenja pluća i perikarda.</w:t>
      </w:r>
    </w:p>
    <w:p w14:paraId="17A3FEA1" w14:textId="785C21F8" w:rsidR="00007EF9" w:rsidRPr="000D3D7F" w:rsidRDefault="00D00258" w:rsidP="001E1F5A">
      <w:pPr>
        <w:rPr>
          <w:szCs w:val="22"/>
          <w:lang w:val="sr-Latn-ME"/>
        </w:rPr>
      </w:pPr>
      <w:r w:rsidRPr="000D3D7F">
        <w:rPr>
          <w:szCs w:val="22"/>
          <w:lang w:val="sr-Latn-ME"/>
        </w:rPr>
        <w:t>Kada se 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Pr="000D3D7F">
        <w:rPr>
          <w:szCs w:val="22"/>
          <w:lang w:val="sr-Latn-ME"/>
        </w:rPr>
        <w:t xml:space="preserve"> daje u kombinaciji sa drugim l</w:t>
      </w:r>
      <w:r w:rsidR="00BF4F4E" w:rsidRPr="000D3D7F">
        <w:rPr>
          <w:szCs w:val="22"/>
          <w:lang w:val="sr-Latn-ME"/>
        </w:rPr>
        <w:t>j</w:t>
      </w:r>
      <w:r w:rsidRPr="000D3D7F">
        <w:rPr>
          <w:szCs w:val="22"/>
          <w:lang w:val="sr-Latn-ME"/>
        </w:rPr>
        <w:t>ekovima, pogledajte Sažetke karakteristika ovih l</w:t>
      </w:r>
      <w:r w:rsidR="00BF4F4E" w:rsidRPr="000D3D7F">
        <w:rPr>
          <w:szCs w:val="22"/>
          <w:lang w:val="sr-Latn-ME"/>
        </w:rPr>
        <w:t>j</w:t>
      </w:r>
      <w:r w:rsidRPr="000D3D7F">
        <w:rPr>
          <w:szCs w:val="22"/>
          <w:lang w:val="sr-Latn-ME"/>
        </w:rPr>
        <w:t>ekova</w:t>
      </w:r>
      <w:r w:rsidR="00EF29F8" w:rsidRPr="000D3D7F">
        <w:rPr>
          <w:szCs w:val="22"/>
          <w:lang w:val="sr-Latn-ME"/>
        </w:rPr>
        <w:t xml:space="preserve"> </w:t>
      </w:r>
      <w:r w:rsidRPr="000D3D7F">
        <w:rPr>
          <w:szCs w:val="22"/>
          <w:lang w:val="sr-Latn-ME"/>
        </w:rPr>
        <w:t>za dodatne kontraindikacije.</w:t>
      </w:r>
    </w:p>
    <w:p w14:paraId="17A3FEA2" w14:textId="77777777" w:rsidR="00007EF9" w:rsidRPr="000D3D7F" w:rsidRDefault="00007EF9" w:rsidP="001E1F5A">
      <w:pPr>
        <w:rPr>
          <w:szCs w:val="22"/>
          <w:lang w:val="sr-Latn-ME"/>
        </w:rPr>
      </w:pPr>
    </w:p>
    <w:p w14:paraId="17A3FEA3" w14:textId="0BEF0FAB" w:rsidR="00007EF9" w:rsidRPr="000D3D7F" w:rsidRDefault="00007EF9" w:rsidP="001E1F5A">
      <w:pPr>
        <w:rPr>
          <w:b/>
          <w:bCs/>
          <w:szCs w:val="22"/>
          <w:lang w:val="sr-Latn-ME"/>
        </w:rPr>
      </w:pPr>
      <w:r w:rsidRPr="000D3D7F">
        <w:rPr>
          <w:b/>
          <w:bCs/>
          <w:szCs w:val="22"/>
          <w:lang w:val="sr-Latn-ME"/>
        </w:rPr>
        <w:t>4.4. Posebna upozorenja i m</w:t>
      </w:r>
      <w:r w:rsidR="00BF4F4E" w:rsidRPr="000D3D7F">
        <w:rPr>
          <w:b/>
          <w:bCs/>
          <w:szCs w:val="22"/>
          <w:lang w:val="sr-Latn-ME"/>
        </w:rPr>
        <w:t>j</w:t>
      </w:r>
      <w:r w:rsidRPr="000D3D7F">
        <w:rPr>
          <w:b/>
          <w:bCs/>
          <w:szCs w:val="22"/>
          <w:lang w:val="sr-Latn-ME"/>
        </w:rPr>
        <w:t>ere opreza pri upotrebi l</w:t>
      </w:r>
      <w:r w:rsidR="00BF4F4E" w:rsidRPr="000D3D7F">
        <w:rPr>
          <w:b/>
          <w:bCs/>
          <w:szCs w:val="22"/>
          <w:lang w:val="sr-Latn-ME"/>
        </w:rPr>
        <w:t>ij</w:t>
      </w:r>
      <w:r w:rsidRPr="000D3D7F">
        <w:rPr>
          <w:b/>
          <w:bCs/>
          <w:szCs w:val="22"/>
          <w:lang w:val="sr-Latn-ME"/>
        </w:rPr>
        <w:t>eka</w:t>
      </w:r>
    </w:p>
    <w:p w14:paraId="68051701" w14:textId="54BAB8BB" w:rsidR="00D00258" w:rsidRPr="000D3D7F" w:rsidRDefault="00D00258" w:rsidP="001E1F5A">
      <w:pPr>
        <w:rPr>
          <w:szCs w:val="22"/>
          <w:lang w:val="sr-Latn-ME"/>
        </w:rPr>
      </w:pPr>
      <w:r w:rsidRPr="000D3D7F">
        <w:rPr>
          <w:szCs w:val="22"/>
          <w:lang w:val="sr-Latn-ME"/>
        </w:rPr>
        <w:t xml:space="preserve">Kada se </w:t>
      </w:r>
      <w:r w:rsidR="009F1FF7" w:rsidRPr="000D3D7F">
        <w:rPr>
          <w:szCs w:val="22"/>
          <w:lang w:val="sr-Latn-ME"/>
        </w:rPr>
        <w:t>bortezomib</w:t>
      </w:r>
      <w:r w:rsidRPr="000D3D7F">
        <w:rPr>
          <w:szCs w:val="22"/>
          <w:lang w:val="sr-Latn-ME"/>
        </w:rPr>
        <w:t xml:space="preserve"> daje u kombinaciji sa drugim l</w:t>
      </w:r>
      <w:r w:rsidR="00BF4F4E" w:rsidRPr="000D3D7F">
        <w:rPr>
          <w:szCs w:val="22"/>
          <w:lang w:val="sr-Latn-ME"/>
        </w:rPr>
        <w:t>j</w:t>
      </w:r>
      <w:r w:rsidRPr="000D3D7F">
        <w:rPr>
          <w:szCs w:val="22"/>
          <w:lang w:val="sr-Latn-ME"/>
        </w:rPr>
        <w:t>ekovima, potrebno je pročitati Sažetke karakteristika ovih</w:t>
      </w:r>
      <w:r w:rsidR="00EF29F8" w:rsidRPr="000D3D7F">
        <w:rPr>
          <w:szCs w:val="22"/>
          <w:lang w:val="sr-Latn-ME"/>
        </w:rPr>
        <w:t xml:space="preserve"> </w:t>
      </w:r>
      <w:r w:rsidRPr="000D3D7F">
        <w:rPr>
          <w:szCs w:val="22"/>
          <w:lang w:val="sr-Latn-ME"/>
        </w:rPr>
        <w:t>l</w:t>
      </w:r>
      <w:r w:rsidR="00BF4F4E" w:rsidRPr="000D3D7F">
        <w:rPr>
          <w:szCs w:val="22"/>
          <w:lang w:val="sr-Latn-ME"/>
        </w:rPr>
        <w:t>j</w:t>
      </w:r>
      <w:r w:rsidRPr="000D3D7F">
        <w:rPr>
          <w:szCs w:val="22"/>
          <w:lang w:val="sr-Latn-ME"/>
        </w:rPr>
        <w:t>ekova pr</w:t>
      </w:r>
      <w:r w:rsidR="00BF4F4E" w:rsidRPr="000D3D7F">
        <w:rPr>
          <w:szCs w:val="22"/>
          <w:lang w:val="sr-Latn-ME"/>
        </w:rPr>
        <w:t>ij</w:t>
      </w:r>
      <w:r w:rsidRPr="000D3D7F">
        <w:rPr>
          <w:szCs w:val="22"/>
          <w:lang w:val="sr-Latn-ME"/>
        </w:rPr>
        <w:t xml:space="preserve">e započinjanja terapije </w:t>
      </w:r>
      <w:r w:rsidR="009F1FF7" w:rsidRPr="000D3D7F">
        <w:rPr>
          <w:szCs w:val="22"/>
          <w:lang w:val="sr-Latn-ME"/>
        </w:rPr>
        <w:t>bortezomibom</w:t>
      </w:r>
      <w:r w:rsidRPr="000D3D7F">
        <w:rPr>
          <w:szCs w:val="22"/>
          <w:lang w:val="sr-Latn-ME"/>
        </w:rPr>
        <w:t>. Kada se prim</w:t>
      </w:r>
      <w:r w:rsidR="00BF4F4E" w:rsidRPr="000D3D7F">
        <w:rPr>
          <w:szCs w:val="22"/>
          <w:lang w:val="sr-Latn-ME"/>
        </w:rPr>
        <w:t>j</w:t>
      </w:r>
      <w:r w:rsidRPr="000D3D7F">
        <w:rPr>
          <w:szCs w:val="22"/>
          <w:lang w:val="sr-Latn-ME"/>
        </w:rPr>
        <w:t>enjuje talidomid, posebnu pažnju usm</w:t>
      </w:r>
      <w:r w:rsidR="00BF4F4E" w:rsidRPr="000D3D7F">
        <w:rPr>
          <w:szCs w:val="22"/>
          <w:lang w:val="sr-Latn-ME"/>
        </w:rPr>
        <w:t>j</w:t>
      </w:r>
      <w:r w:rsidRPr="000D3D7F">
        <w:rPr>
          <w:szCs w:val="22"/>
          <w:lang w:val="sr-Latn-ME"/>
        </w:rPr>
        <w:t>eriti na</w:t>
      </w:r>
      <w:r w:rsidR="00EF29F8" w:rsidRPr="000D3D7F">
        <w:rPr>
          <w:szCs w:val="22"/>
          <w:lang w:val="sr-Latn-ME"/>
        </w:rPr>
        <w:t xml:space="preserve"> </w:t>
      </w:r>
      <w:r w:rsidRPr="000D3D7F">
        <w:rPr>
          <w:szCs w:val="22"/>
          <w:lang w:val="sr-Latn-ME"/>
        </w:rPr>
        <w:t>testiranja na trudnoću i preventivne preporuke ukoliko je potrebno (vid</w:t>
      </w:r>
      <w:r w:rsidR="00BF4F4E"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4.6).</w:t>
      </w:r>
    </w:p>
    <w:p w14:paraId="26505CC7" w14:textId="6A3B1398" w:rsidR="00D00258" w:rsidRPr="000D3D7F" w:rsidRDefault="00D00258" w:rsidP="001E1F5A">
      <w:pPr>
        <w:rPr>
          <w:szCs w:val="22"/>
          <w:u w:val="single"/>
          <w:lang w:val="sr-Latn-ME"/>
        </w:rPr>
      </w:pPr>
      <w:r w:rsidRPr="000D3D7F">
        <w:rPr>
          <w:szCs w:val="22"/>
          <w:u w:val="single"/>
          <w:lang w:val="sr-Latn-ME"/>
        </w:rPr>
        <w:t>Intratekalna prim</w:t>
      </w:r>
      <w:r w:rsidR="00BF4F4E" w:rsidRPr="000D3D7F">
        <w:rPr>
          <w:szCs w:val="22"/>
          <w:u w:val="single"/>
          <w:lang w:val="sr-Latn-ME"/>
        </w:rPr>
        <w:t>j</w:t>
      </w:r>
      <w:r w:rsidRPr="000D3D7F">
        <w:rPr>
          <w:szCs w:val="22"/>
          <w:u w:val="single"/>
          <w:lang w:val="sr-Latn-ME"/>
        </w:rPr>
        <w:t>ena</w:t>
      </w:r>
    </w:p>
    <w:p w14:paraId="3E1E3806" w14:textId="6211BD66" w:rsidR="00D00258" w:rsidRPr="000D3D7F" w:rsidRDefault="00D00258" w:rsidP="001E1F5A">
      <w:pPr>
        <w:rPr>
          <w:szCs w:val="22"/>
          <w:lang w:val="sr-Latn-ME"/>
        </w:rPr>
      </w:pPr>
      <w:r w:rsidRPr="000D3D7F">
        <w:rPr>
          <w:szCs w:val="22"/>
          <w:lang w:val="sr-Latn-ME"/>
        </w:rPr>
        <w:t xml:space="preserve">Dogodili su se fatalni ishodi prilikom zadesnog intratekalnog davanja </w:t>
      </w:r>
      <w:r w:rsidR="009F1FF7" w:rsidRPr="000D3D7F">
        <w:rPr>
          <w:szCs w:val="22"/>
          <w:lang w:val="sr-Latn-ME"/>
        </w:rPr>
        <w:t>bortezomiba</w:t>
      </w:r>
      <w:r w:rsidRPr="000D3D7F">
        <w:rPr>
          <w:szCs w:val="22"/>
          <w:lang w:val="sr-Latn-ME"/>
        </w:rPr>
        <w:t xml:space="preserve">. </w:t>
      </w:r>
      <w:r w:rsidR="007C1B2D" w:rsidRPr="000D3D7F">
        <w:rPr>
          <w:szCs w:val="22"/>
          <w:lang w:val="sr-Latn-ME"/>
        </w:rPr>
        <w:t xml:space="preserve">Lijek </w:t>
      </w:r>
      <w:r w:rsidR="00353A78" w:rsidRPr="000D3D7F">
        <w:rPr>
          <w:szCs w:val="22"/>
          <w:lang w:val="sr-Latn-ME"/>
        </w:rPr>
        <w:t>Bortegaz</w:t>
      </w:r>
      <w:r w:rsidRPr="000D3D7F">
        <w:rPr>
          <w:szCs w:val="22"/>
          <w:lang w:val="sr-Latn-ME"/>
        </w:rPr>
        <w:t xml:space="preserve"> 3,5mg </w:t>
      </w:r>
      <w:r w:rsidR="00353A78" w:rsidRPr="000D3D7F">
        <w:rPr>
          <w:szCs w:val="22"/>
          <w:lang w:val="sr-Latn-ME"/>
        </w:rPr>
        <w:t>je nam</w:t>
      </w:r>
      <w:r w:rsidR="00BF4F4E" w:rsidRPr="000D3D7F">
        <w:rPr>
          <w:szCs w:val="22"/>
          <w:lang w:val="sr-Latn-ME"/>
        </w:rPr>
        <w:t>ij</w:t>
      </w:r>
      <w:r w:rsidR="00353A78" w:rsidRPr="000D3D7F">
        <w:rPr>
          <w:szCs w:val="22"/>
          <w:lang w:val="sr-Latn-ME"/>
        </w:rPr>
        <w:t xml:space="preserve">enjen </w:t>
      </w:r>
      <w:r w:rsidRPr="000D3D7F">
        <w:rPr>
          <w:szCs w:val="22"/>
          <w:lang w:val="sr-Latn-ME"/>
        </w:rPr>
        <w:t>za intravensku ili su</w:t>
      </w:r>
      <w:r w:rsidR="005E752C" w:rsidRPr="000D3D7F">
        <w:rPr>
          <w:szCs w:val="22"/>
          <w:lang w:val="sr-Latn-ME"/>
        </w:rPr>
        <w:t>b</w:t>
      </w:r>
      <w:r w:rsidRPr="000D3D7F">
        <w:rPr>
          <w:szCs w:val="22"/>
          <w:lang w:val="sr-Latn-ME"/>
        </w:rPr>
        <w:t>kutanu upotrebu. L</w:t>
      </w:r>
      <w:r w:rsidR="00BF4F4E" w:rsidRPr="000D3D7F">
        <w:rPr>
          <w:szCs w:val="22"/>
          <w:lang w:val="sr-Latn-ME"/>
        </w:rPr>
        <w:t>ij</w:t>
      </w:r>
      <w:r w:rsidRPr="000D3D7F">
        <w:rPr>
          <w:szCs w:val="22"/>
          <w:lang w:val="sr-Latn-ME"/>
        </w:rPr>
        <w:t xml:space="preserve">ek </w:t>
      </w:r>
      <w:r w:rsidR="00353A78" w:rsidRPr="000D3D7F">
        <w:rPr>
          <w:szCs w:val="22"/>
          <w:lang w:val="sr-Latn-ME"/>
        </w:rPr>
        <w:t>Bortegaz</w:t>
      </w:r>
      <w:r w:rsidR="00EF29F8" w:rsidRPr="000D3D7F">
        <w:rPr>
          <w:szCs w:val="22"/>
          <w:lang w:val="sr-Latn-ME"/>
        </w:rPr>
        <w:t xml:space="preserve"> </w:t>
      </w:r>
      <w:r w:rsidRPr="000D3D7F">
        <w:rPr>
          <w:szCs w:val="22"/>
          <w:lang w:val="sr-Latn-ME"/>
        </w:rPr>
        <w:t>se ne sm</w:t>
      </w:r>
      <w:r w:rsidR="00BF4F4E" w:rsidRPr="000D3D7F">
        <w:rPr>
          <w:szCs w:val="22"/>
          <w:lang w:val="sr-Latn-ME"/>
        </w:rPr>
        <w:t>ij</w:t>
      </w:r>
      <w:r w:rsidRPr="000D3D7F">
        <w:rPr>
          <w:szCs w:val="22"/>
          <w:lang w:val="sr-Latn-ME"/>
        </w:rPr>
        <w:t>e prim</w:t>
      </w:r>
      <w:r w:rsidR="00BF4F4E" w:rsidRPr="000D3D7F">
        <w:rPr>
          <w:szCs w:val="22"/>
          <w:lang w:val="sr-Latn-ME"/>
        </w:rPr>
        <w:t>j</w:t>
      </w:r>
      <w:r w:rsidRPr="000D3D7F">
        <w:rPr>
          <w:szCs w:val="22"/>
          <w:lang w:val="sr-Latn-ME"/>
        </w:rPr>
        <w:t>enjivati intra</w:t>
      </w:r>
      <w:r w:rsidR="00DC19F5" w:rsidRPr="000D3D7F">
        <w:rPr>
          <w:szCs w:val="22"/>
          <w:lang w:val="sr-Latn-ME"/>
        </w:rPr>
        <w:t>te</w:t>
      </w:r>
      <w:r w:rsidRPr="000D3D7F">
        <w:rPr>
          <w:szCs w:val="22"/>
          <w:lang w:val="sr-Latn-ME"/>
        </w:rPr>
        <w:t>kalno.</w:t>
      </w:r>
    </w:p>
    <w:p w14:paraId="28581AA5" w14:textId="77777777" w:rsidR="00D00258" w:rsidRPr="000D3D7F" w:rsidRDefault="00D00258" w:rsidP="001E1F5A">
      <w:pPr>
        <w:rPr>
          <w:szCs w:val="22"/>
          <w:u w:val="single"/>
          <w:lang w:val="sr-Latn-ME"/>
        </w:rPr>
      </w:pPr>
      <w:r w:rsidRPr="000D3D7F">
        <w:rPr>
          <w:szCs w:val="22"/>
          <w:u w:val="single"/>
          <w:lang w:val="sr-Latn-ME"/>
        </w:rPr>
        <w:t>Gastrointestinalna toksičnost</w:t>
      </w:r>
    </w:p>
    <w:p w14:paraId="6E3792CB" w14:textId="71EE432F" w:rsidR="00D00258" w:rsidRPr="000D3D7F" w:rsidRDefault="00D00258" w:rsidP="001E1F5A">
      <w:pPr>
        <w:rPr>
          <w:szCs w:val="22"/>
          <w:lang w:val="sr-Latn-ME"/>
        </w:rPr>
      </w:pPr>
      <w:r w:rsidRPr="000D3D7F">
        <w:rPr>
          <w:szCs w:val="22"/>
          <w:lang w:val="sr-Latn-ME"/>
        </w:rPr>
        <w:t>Gastrointestinalna toksičnost, uključujući mučninu, dijareju, povraćanje i opstipaciju, vrlo često se</w:t>
      </w:r>
      <w:r w:rsidR="00EF29F8" w:rsidRPr="000D3D7F">
        <w:rPr>
          <w:szCs w:val="22"/>
          <w:lang w:val="sr-Latn-ME"/>
        </w:rPr>
        <w:t xml:space="preserve"> </w:t>
      </w:r>
      <w:r w:rsidRPr="000D3D7F">
        <w:rPr>
          <w:szCs w:val="22"/>
          <w:lang w:val="sr-Latn-ME"/>
        </w:rPr>
        <w:t>javljaju kod l</w:t>
      </w:r>
      <w:r w:rsidR="00BF4F4E" w:rsidRPr="000D3D7F">
        <w:rPr>
          <w:szCs w:val="22"/>
          <w:lang w:val="sr-Latn-ME"/>
        </w:rPr>
        <w:t>ij</w:t>
      </w:r>
      <w:r w:rsidRPr="000D3D7F">
        <w:rPr>
          <w:szCs w:val="22"/>
          <w:lang w:val="sr-Latn-ME"/>
        </w:rPr>
        <w:t xml:space="preserve">ečenja </w:t>
      </w:r>
      <w:r w:rsidR="00DC19F5" w:rsidRPr="000D3D7F">
        <w:rPr>
          <w:szCs w:val="22"/>
          <w:lang w:val="sr-Latn-ME"/>
        </w:rPr>
        <w:t>bortezomibom</w:t>
      </w:r>
      <w:r w:rsidRPr="000D3D7F">
        <w:rPr>
          <w:szCs w:val="22"/>
          <w:lang w:val="sr-Latn-ME"/>
        </w:rPr>
        <w:t>. Prijavljivani su slučajevi ileusa (vid</w:t>
      </w:r>
      <w:r w:rsidR="00BF4F4E"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4.8), zbog toga, pacijente</w:t>
      </w:r>
      <w:r w:rsidR="00223077" w:rsidRPr="000D3D7F">
        <w:rPr>
          <w:szCs w:val="22"/>
          <w:lang w:val="sr-Latn-ME"/>
        </w:rPr>
        <w:t xml:space="preserve"> </w:t>
      </w:r>
      <w:r w:rsidRPr="000D3D7F">
        <w:rPr>
          <w:szCs w:val="22"/>
          <w:lang w:val="sr-Latn-ME"/>
        </w:rPr>
        <w:t>kod kojih se javi opstipacija treba pažljivo pratiti.</w:t>
      </w:r>
    </w:p>
    <w:p w14:paraId="65075FB1" w14:textId="77777777" w:rsidR="00D00258" w:rsidRPr="000D3D7F" w:rsidRDefault="00D00258" w:rsidP="001E1F5A">
      <w:pPr>
        <w:rPr>
          <w:szCs w:val="22"/>
          <w:u w:val="single"/>
          <w:lang w:val="sr-Latn-ME"/>
        </w:rPr>
      </w:pPr>
      <w:r w:rsidRPr="000D3D7F">
        <w:rPr>
          <w:szCs w:val="22"/>
          <w:u w:val="single"/>
          <w:lang w:val="sr-Latn-ME"/>
        </w:rPr>
        <w:t>Hematološka toksičnost</w:t>
      </w:r>
    </w:p>
    <w:p w14:paraId="64E237BC" w14:textId="36BFD8BA" w:rsidR="00D00258" w:rsidRPr="000D3D7F" w:rsidRDefault="00D00258" w:rsidP="001E1F5A">
      <w:pPr>
        <w:rPr>
          <w:szCs w:val="22"/>
          <w:lang w:val="sr-Latn-ME"/>
        </w:rPr>
      </w:pPr>
      <w:r w:rsidRPr="000D3D7F">
        <w:rPr>
          <w:szCs w:val="22"/>
          <w:lang w:val="sr-Latn-ME"/>
        </w:rPr>
        <w:t xml:space="preserve">Terapija </w:t>
      </w:r>
      <w:r w:rsidR="00DC19F5" w:rsidRPr="000D3D7F">
        <w:rPr>
          <w:szCs w:val="22"/>
          <w:lang w:val="sr-Latn-ME"/>
        </w:rPr>
        <w:t xml:space="preserve">bortezomibom </w:t>
      </w:r>
      <w:r w:rsidRPr="000D3D7F">
        <w:rPr>
          <w:szCs w:val="22"/>
          <w:lang w:val="sr-Latn-ME"/>
        </w:rPr>
        <w:t>je vrlo često povezana sa hematološkim poremećajima (trombocitopenija,</w:t>
      </w:r>
      <w:r w:rsidR="00223077" w:rsidRPr="000D3D7F">
        <w:rPr>
          <w:szCs w:val="22"/>
          <w:lang w:val="sr-Latn-ME"/>
        </w:rPr>
        <w:t xml:space="preserve"> </w:t>
      </w:r>
      <w:r w:rsidRPr="000D3D7F">
        <w:rPr>
          <w:szCs w:val="22"/>
          <w:lang w:val="sr-Latn-ME"/>
        </w:rPr>
        <w:t>neutropenija i anemija). U studijama sa pacijentima sa relapsom mutiplog mijeloma koji su l</w:t>
      </w:r>
      <w:r w:rsidR="00BF4F4E" w:rsidRPr="000D3D7F">
        <w:rPr>
          <w:szCs w:val="22"/>
          <w:lang w:val="sr-Latn-ME"/>
        </w:rPr>
        <w:t>ij</w:t>
      </w:r>
      <w:r w:rsidRPr="000D3D7F">
        <w:rPr>
          <w:szCs w:val="22"/>
          <w:lang w:val="sr-Latn-ME"/>
        </w:rPr>
        <w:t xml:space="preserve">ečeni </w:t>
      </w:r>
      <w:r w:rsidR="00DC19F5" w:rsidRPr="000D3D7F">
        <w:rPr>
          <w:szCs w:val="22"/>
          <w:lang w:val="sr-Latn-ME"/>
        </w:rPr>
        <w:t>bortezomibom</w:t>
      </w:r>
      <w:r w:rsidRPr="000D3D7F">
        <w:rPr>
          <w:szCs w:val="22"/>
          <w:lang w:val="sr-Latn-ME"/>
        </w:rPr>
        <w:t xml:space="preserve"> i kod pacijenata sa prethodno nel</w:t>
      </w:r>
      <w:r w:rsidR="00BF4F4E" w:rsidRPr="000D3D7F">
        <w:rPr>
          <w:szCs w:val="22"/>
          <w:lang w:val="sr-Latn-ME"/>
        </w:rPr>
        <w:t>ij</w:t>
      </w:r>
      <w:r w:rsidRPr="000D3D7F">
        <w:rPr>
          <w:szCs w:val="22"/>
          <w:lang w:val="sr-Latn-ME"/>
        </w:rPr>
        <w:t>ečenim MCL koji su l</w:t>
      </w:r>
      <w:r w:rsidR="00BF4F4E" w:rsidRPr="000D3D7F">
        <w:rPr>
          <w:szCs w:val="22"/>
          <w:lang w:val="sr-Latn-ME"/>
        </w:rPr>
        <w:t>ij</w:t>
      </w:r>
      <w:r w:rsidRPr="000D3D7F">
        <w:rPr>
          <w:szCs w:val="22"/>
          <w:lang w:val="sr-Latn-ME"/>
        </w:rPr>
        <w:t xml:space="preserve">ečeni </w:t>
      </w:r>
      <w:r w:rsidR="00DC19F5" w:rsidRPr="000D3D7F">
        <w:rPr>
          <w:szCs w:val="22"/>
          <w:lang w:val="sr-Latn-ME"/>
        </w:rPr>
        <w:t>bortezomibom</w:t>
      </w:r>
      <w:r w:rsidRPr="000D3D7F">
        <w:rPr>
          <w:szCs w:val="22"/>
          <w:lang w:val="sr-Latn-ME"/>
        </w:rPr>
        <w:t xml:space="preserve"> u kombinaciji sa</w:t>
      </w:r>
      <w:r w:rsidR="00223077" w:rsidRPr="000D3D7F">
        <w:rPr>
          <w:szCs w:val="22"/>
          <w:lang w:val="sr-Latn-ME"/>
        </w:rPr>
        <w:t xml:space="preserve"> </w:t>
      </w:r>
      <w:r w:rsidRPr="000D3D7F">
        <w:rPr>
          <w:szCs w:val="22"/>
          <w:lang w:val="sr-Latn-ME"/>
        </w:rPr>
        <w:t>rituksimabom, ciklofosfamidom, doksorubicinom i prednizonom (</w:t>
      </w:r>
      <w:r w:rsidR="00DC19F5" w:rsidRPr="000D3D7F">
        <w:rPr>
          <w:szCs w:val="22"/>
          <w:lang w:val="sr-Latn-ME"/>
        </w:rPr>
        <w:t>Bz</w:t>
      </w:r>
      <w:r w:rsidRPr="000D3D7F">
        <w:rPr>
          <w:szCs w:val="22"/>
          <w:lang w:val="sr-Latn-ME"/>
        </w:rPr>
        <w:t>R-CAP), jedna od najčešćih</w:t>
      </w:r>
      <w:r w:rsidR="00223077" w:rsidRPr="000D3D7F">
        <w:rPr>
          <w:szCs w:val="22"/>
          <w:lang w:val="sr-Latn-ME"/>
        </w:rPr>
        <w:t xml:space="preserve"> </w:t>
      </w:r>
      <w:r w:rsidRPr="000D3D7F">
        <w:rPr>
          <w:szCs w:val="22"/>
          <w:lang w:val="sr-Latn-ME"/>
        </w:rPr>
        <w:t>hematoloških toksičnosti je bila prolazna trombocitopenija. Broj trombocita je bio najniži 11. dana svakog</w:t>
      </w:r>
      <w:r w:rsidR="00223077" w:rsidRPr="000D3D7F">
        <w:rPr>
          <w:szCs w:val="22"/>
          <w:lang w:val="sr-Latn-ME"/>
        </w:rPr>
        <w:t xml:space="preserve"> </w:t>
      </w:r>
      <w:r w:rsidRPr="000D3D7F">
        <w:rPr>
          <w:szCs w:val="22"/>
          <w:lang w:val="sr-Latn-ME"/>
        </w:rPr>
        <w:t>terapijskog ciklusa i tipično se vraćao na početne vr</w:t>
      </w:r>
      <w:r w:rsidR="00BF4F4E" w:rsidRPr="000D3D7F">
        <w:rPr>
          <w:szCs w:val="22"/>
          <w:lang w:val="sr-Latn-ME"/>
        </w:rPr>
        <w:t>ij</w:t>
      </w:r>
      <w:r w:rsidRPr="000D3D7F">
        <w:rPr>
          <w:szCs w:val="22"/>
          <w:lang w:val="sr-Latn-ME"/>
        </w:rPr>
        <w:t>ednosti do sl</w:t>
      </w:r>
      <w:r w:rsidR="00007673" w:rsidRPr="000D3D7F">
        <w:rPr>
          <w:szCs w:val="22"/>
          <w:lang w:val="sr-Latn-ME"/>
        </w:rPr>
        <w:t>j</w:t>
      </w:r>
      <w:r w:rsidRPr="000D3D7F">
        <w:rPr>
          <w:szCs w:val="22"/>
          <w:lang w:val="sr-Latn-ME"/>
        </w:rPr>
        <w:t>edećeg ciklusa. Nije bilo dokaza o</w:t>
      </w:r>
      <w:r w:rsidR="00223077" w:rsidRPr="000D3D7F">
        <w:rPr>
          <w:szCs w:val="22"/>
          <w:lang w:val="sr-Latn-ME"/>
        </w:rPr>
        <w:t xml:space="preserve"> </w:t>
      </w:r>
      <w:r w:rsidRPr="000D3D7F">
        <w:rPr>
          <w:szCs w:val="22"/>
          <w:lang w:val="sr-Latn-ME"/>
        </w:rPr>
        <w:t>kumulativnoj trombocitopeniji. Najniži izm</w:t>
      </w:r>
      <w:r w:rsidR="00007673" w:rsidRPr="000D3D7F">
        <w:rPr>
          <w:szCs w:val="22"/>
          <w:lang w:val="sr-Latn-ME"/>
        </w:rPr>
        <w:t>j</w:t>
      </w:r>
      <w:r w:rsidRPr="000D3D7F">
        <w:rPr>
          <w:szCs w:val="22"/>
          <w:lang w:val="sr-Latn-ME"/>
        </w:rPr>
        <w:t>ereni pros</w:t>
      </w:r>
      <w:r w:rsidR="00007673" w:rsidRPr="000D3D7F">
        <w:rPr>
          <w:szCs w:val="22"/>
          <w:lang w:val="sr-Latn-ME"/>
        </w:rPr>
        <w:t>j</w:t>
      </w:r>
      <w:r w:rsidRPr="000D3D7F">
        <w:rPr>
          <w:szCs w:val="22"/>
          <w:lang w:val="sr-Latn-ME"/>
        </w:rPr>
        <w:t>ečan broj trombocita iznosio je približno 40% od</w:t>
      </w:r>
      <w:r w:rsidR="00223077" w:rsidRPr="000D3D7F">
        <w:rPr>
          <w:szCs w:val="22"/>
          <w:lang w:val="sr-Latn-ME"/>
        </w:rPr>
        <w:t xml:space="preserve"> </w:t>
      </w:r>
      <w:r w:rsidRPr="000D3D7F">
        <w:rPr>
          <w:szCs w:val="22"/>
          <w:lang w:val="sr-Latn-ME"/>
        </w:rPr>
        <w:t>početne vr</w:t>
      </w:r>
      <w:r w:rsidR="00007673" w:rsidRPr="000D3D7F">
        <w:rPr>
          <w:szCs w:val="22"/>
          <w:lang w:val="sr-Latn-ME"/>
        </w:rPr>
        <w:t>ij</w:t>
      </w:r>
      <w:r w:rsidRPr="000D3D7F">
        <w:rPr>
          <w:szCs w:val="22"/>
          <w:lang w:val="sr-Latn-ME"/>
        </w:rPr>
        <w:t>ednosti u studijama sa multiplim mijelomom sa jednim l</w:t>
      </w:r>
      <w:r w:rsidR="00007673" w:rsidRPr="000D3D7F">
        <w:rPr>
          <w:szCs w:val="22"/>
          <w:lang w:val="sr-Latn-ME"/>
        </w:rPr>
        <w:t>ij</w:t>
      </w:r>
      <w:r w:rsidRPr="000D3D7F">
        <w:rPr>
          <w:szCs w:val="22"/>
          <w:lang w:val="sr-Latn-ME"/>
        </w:rPr>
        <w:t>ekom i 50% u MCL studijama. Kod</w:t>
      </w:r>
      <w:r w:rsidR="00223077" w:rsidRPr="000D3D7F">
        <w:rPr>
          <w:szCs w:val="22"/>
          <w:lang w:val="sr-Latn-ME"/>
        </w:rPr>
        <w:t xml:space="preserve"> </w:t>
      </w:r>
      <w:r w:rsidRPr="000D3D7F">
        <w:rPr>
          <w:szCs w:val="22"/>
          <w:lang w:val="sr-Latn-ME"/>
        </w:rPr>
        <w:t>pacijenata sa uznapredovalim mijelomom težina trombocitopenije je bila povezana sa brojem trombocita pr</w:t>
      </w:r>
      <w:r w:rsidR="00007673" w:rsidRPr="000D3D7F">
        <w:rPr>
          <w:szCs w:val="22"/>
          <w:lang w:val="sr-Latn-ME"/>
        </w:rPr>
        <w:t>ij</w:t>
      </w:r>
      <w:r w:rsidRPr="000D3D7F">
        <w:rPr>
          <w:szCs w:val="22"/>
          <w:lang w:val="sr-Latn-ME"/>
        </w:rPr>
        <w:t>e</w:t>
      </w:r>
      <w:r w:rsidR="00223077" w:rsidRPr="000D3D7F">
        <w:rPr>
          <w:szCs w:val="22"/>
          <w:lang w:val="sr-Latn-ME"/>
        </w:rPr>
        <w:t xml:space="preserve"> </w:t>
      </w:r>
      <w:r w:rsidRPr="000D3D7F">
        <w:rPr>
          <w:szCs w:val="22"/>
          <w:lang w:val="sr-Latn-ME"/>
        </w:rPr>
        <w:t>l</w:t>
      </w:r>
      <w:r w:rsidR="00007673" w:rsidRPr="000D3D7F">
        <w:rPr>
          <w:szCs w:val="22"/>
          <w:lang w:val="sr-Latn-ME"/>
        </w:rPr>
        <w:t>ij</w:t>
      </w:r>
      <w:r w:rsidRPr="000D3D7F">
        <w:rPr>
          <w:szCs w:val="22"/>
          <w:lang w:val="sr-Latn-ME"/>
        </w:rPr>
        <w:t xml:space="preserve">ečenja: kod početnog broja trombocita </w:t>
      </w:r>
      <w:r w:rsidRPr="000D3D7F">
        <w:rPr>
          <w:szCs w:val="22"/>
          <w:lang w:val="sr-Latn-ME"/>
        </w:rPr>
        <w:lastRenderedPageBreak/>
        <w:t>&lt;75000/mikrolitru, 90% od 21 pacijenta imalo je broj trombocita</w:t>
      </w:r>
      <w:r w:rsidR="00223077" w:rsidRPr="000D3D7F">
        <w:rPr>
          <w:szCs w:val="22"/>
          <w:lang w:val="sr-Latn-ME"/>
        </w:rPr>
        <w:t xml:space="preserve"> </w:t>
      </w:r>
      <w:r w:rsidRPr="000D3D7F">
        <w:rPr>
          <w:szCs w:val="22"/>
          <w:lang w:val="sr-Latn-ME"/>
        </w:rPr>
        <w:t>≤25000/mikrolitru tokom studije, uključujući 14% &lt;10000/mikrolitru; za razliku od njih, kod početnog broja</w:t>
      </w:r>
      <w:r w:rsidR="00223077" w:rsidRPr="000D3D7F">
        <w:rPr>
          <w:szCs w:val="22"/>
          <w:lang w:val="sr-Latn-ME"/>
        </w:rPr>
        <w:t xml:space="preserve"> </w:t>
      </w:r>
      <w:r w:rsidRPr="000D3D7F">
        <w:rPr>
          <w:szCs w:val="22"/>
          <w:lang w:val="sr-Latn-ME"/>
        </w:rPr>
        <w:t>trombocita &gt;75000/mikrolitru, samo 14% od 309 pacijenata imalo je broj trombocita ≤ 25000/mikolitru</w:t>
      </w:r>
      <w:r w:rsidR="00223077" w:rsidRPr="000D3D7F">
        <w:rPr>
          <w:szCs w:val="22"/>
          <w:lang w:val="sr-Latn-ME"/>
        </w:rPr>
        <w:t xml:space="preserve"> </w:t>
      </w:r>
      <w:r w:rsidRPr="000D3D7F">
        <w:rPr>
          <w:szCs w:val="22"/>
          <w:lang w:val="sr-Latn-ME"/>
        </w:rPr>
        <w:t>tokom studije.</w:t>
      </w:r>
    </w:p>
    <w:p w14:paraId="0C7513F2" w14:textId="03F0DDA5" w:rsidR="00D00258" w:rsidRPr="000D3D7F" w:rsidRDefault="00D00258" w:rsidP="001E1F5A">
      <w:pPr>
        <w:rPr>
          <w:szCs w:val="22"/>
          <w:lang w:val="sr-Latn-ME"/>
        </w:rPr>
      </w:pPr>
      <w:r w:rsidRPr="000D3D7F">
        <w:rPr>
          <w:szCs w:val="22"/>
          <w:lang w:val="sr-Latn-ME"/>
        </w:rPr>
        <w:t>Kod pacijenata sa MCL (studija LYM-3002) javila se povećana incidenca (56,7% u odnosu na 5,8%)</w:t>
      </w:r>
      <w:r w:rsidR="00223077" w:rsidRPr="000D3D7F">
        <w:rPr>
          <w:szCs w:val="22"/>
          <w:lang w:val="sr-Latn-ME"/>
        </w:rPr>
        <w:t xml:space="preserve"> </w:t>
      </w:r>
      <w:r w:rsidRPr="000D3D7F">
        <w:rPr>
          <w:szCs w:val="22"/>
          <w:lang w:val="sr-Latn-ME"/>
        </w:rPr>
        <w:t>trombocitopenije ≥ stepena 3 u terapijskoj grupi koja je l</w:t>
      </w:r>
      <w:r w:rsidR="00007673" w:rsidRPr="000D3D7F">
        <w:rPr>
          <w:szCs w:val="22"/>
          <w:lang w:val="sr-Latn-ME"/>
        </w:rPr>
        <w:t>ij</w:t>
      </w:r>
      <w:r w:rsidRPr="000D3D7F">
        <w:rPr>
          <w:szCs w:val="22"/>
          <w:lang w:val="sr-Latn-ME"/>
        </w:rPr>
        <w:t xml:space="preserve">ečena </w:t>
      </w:r>
      <w:r w:rsidR="00D81C8F" w:rsidRPr="000D3D7F">
        <w:rPr>
          <w:szCs w:val="22"/>
          <w:lang w:val="sr-Latn-ME"/>
        </w:rPr>
        <w:t>bortezomibom</w:t>
      </w:r>
      <w:r w:rsidR="00D81C8F" w:rsidRPr="000D3D7F" w:rsidDel="00D81C8F">
        <w:rPr>
          <w:szCs w:val="22"/>
          <w:lang w:val="sr-Latn-ME"/>
        </w:rPr>
        <w:t xml:space="preserve"> </w:t>
      </w:r>
      <w:r w:rsidRPr="000D3D7F">
        <w:rPr>
          <w:szCs w:val="22"/>
          <w:lang w:val="sr-Latn-ME"/>
        </w:rPr>
        <w:t>(</w:t>
      </w:r>
      <w:r w:rsidR="00D81C8F" w:rsidRPr="000D3D7F">
        <w:rPr>
          <w:szCs w:val="22"/>
          <w:lang w:val="sr-Latn-ME"/>
        </w:rPr>
        <w:t>Bz</w:t>
      </w:r>
      <w:r w:rsidRPr="000D3D7F">
        <w:rPr>
          <w:szCs w:val="22"/>
          <w:lang w:val="sr-Latn-ME"/>
        </w:rPr>
        <w:t>R-CAP) u poređenju sa</w:t>
      </w:r>
      <w:r w:rsidR="00223077" w:rsidRPr="000D3D7F">
        <w:rPr>
          <w:szCs w:val="22"/>
          <w:lang w:val="sr-Latn-ME"/>
        </w:rPr>
        <w:t xml:space="preserve"> </w:t>
      </w:r>
      <w:r w:rsidRPr="000D3D7F">
        <w:rPr>
          <w:szCs w:val="22"/>
          <w:lang w:val="sr-Latn-ME"/>
        </w:rPr>
        <w:t xml:space="preserve">terapijskom grupom bez </w:t>
      </w:r>
      <w:r w:rsidR="00D81C8F" w:rsidRPr="000D3D7F">
        <w:rPr>
          <w:szCs w:val="22"/>
          <w:lang w:val="sr-Latn-ME"/>
        </w:rPr>
        <w:t>bortezomib</w:t>
      </w:r>
      <w:r w:rsidR="001B2C94" w:rsidRPr="000D3D7F">
        <w:rPr>
          <w:szCs w:val="22"/>
          <w:lang w:val="sr-Latn-ME"/>
        </w:rPr>
        <w:t>a</w:t>
      </w:r>
      <w:r w:rsidR="00D81C8F" w:rsidRPr="000D3D7F" w:rsidDel="00D81C8F">
        <w:rPr>
          <w:szCs w:val="22"/>
          <w:lang w:val="sr-Latn-ME"/>
        </w:rPr>
        <w:t xml:space="preserve"> </w:t>
      </w:r>
      <w:r w:rsidRPr="000D3D7F">
        <w:rPr>
          <w:szCs w:val="22"/>
          <w:lang w:val="sr-Latn-ME"/>
        </w:rPr>
        <w:t>(rituksimab, ciklofosfamid, doksorubicin, vinkristin i prednizon (RCHOP)).</w:t>
      </w:r>
    </w:p>
    <w:p w14:paraId="17DD436A" w14:textId="1A8FC017" w:rsidR="00D00258" w:rsidRPr="000D3D7F" w:rsidRDefault="00D00258" w:rsidP="001E1F5A">
      <w:pPr>
        <w:rPr>
          <w:szCs w:val="22"/>
          <w:lang w:val="sr-Latn-ME"/>
        </w:rPr>
      </w:pPr>
      <w:r w:rsidRPr="000D3D7F">
        <w:rPr>
          <w:szCs w:val="22"/>
          <w:lang w:val="sr-Latn-ME"/>
        </w:rPr>
        <w:t>Ob</w:t>
      </w:r>
      <w:r w:rsidR="00007673" w:rsidRPr="000D3D7F">
        <w:rPr>
          <w:szCs w:val="22"/>
          <w:lang w:val="sr-Latn-ME"/>
        </w:rPr>
        <w:t>j</w:t>
      </w:r>
      <w:r w:rsidRPr="000D3D7F">
        <w:rPr>
          <w:szCs w:val="22"/>
          <w:lang w:val="sr-Latn-ME"/>
        </w:rPr>
        <w:t xml:space="preserve">e grupe su bile slične u odnosu na ukupnu incidencu krvarenja svih stepena (6,3% u </w:t>
      </w:r>
      <w:r w:rsidR="00D81C8F" w:rsidRPr="000D3D7F">
        <w:rPr>
          <w:szCs w:val="22"/>
          <w:lang w:val="sr-Latn-ME"/>
        </w:rPr>
        <w:t>Bz</w:t>
      </w:r>
      <w:r w:rsidRPr="000D3D7F">
        <w:rPr>
          <w:szCs w:val="22"/>
          <w:lang w:val="sr-Latn-ME"/>
        </w:rPr>
        <w:t>R-CAP</w:t>
      </w:r>
      <w:r w:rsidR="00223077" w:rsidRPr="000D3D7F">
        <w:rPr>
          <w:szCs w:val="22"/>
          <w:lang w:val="sr-Latn-ME"/>
        </w:rPr>
        <w:t xml:space="preserve"> </w:t>
      </w:r>
      <w:r w:rsidRPr="000D3D7F">
        <w:rPr>
          <w:szCs w:val="22"/>
          <w:lang w:val="sr-Latn-ME"/>
        </w:rPr>
        <w:t>grupi i 5% u R-CHOP grupi) kao i u odnosu na krvarenja Stepena 3 i više (</w:t>
      </w:r>
      <w:r w:rsidR="00D81C8F" w:rsidRPr="000D3D7F">
        <w:rPr>
          <w:szCs w:val="22"/>
          <w:lang w:val="sr-Latn-ME"/>
        </w:rPr>
        <w:t>Bz</w:t>
      </w:r>
      <w:r w:rsidRPr="000D3D7F">
        <w:rPr>
          <w:szCs w:val="22"/>
          <w:lang w:val="sr-Latn-ME"/>
        </w:rPr>
        <w:t>R-CAP: 4 pacijenta (1,7%); RCHOP:</w:t>
      </w:r>
      <w:r w:rsidR="00223077" w:rsidRPr="000D3D7F">
        <w:rPr>
          <w:szCs w:val="22"/>
          <w:lang w:val="sr-Latn-ME"/>
        </w:rPr>
        <w:t xml:space="preserve"> </w:t>
      </w:r>
      <w:r w:rsidRPr="000D3D7F">
        <w:rPr>
          <w:szCs w:val="22"/>
          <w:lang w:val="sr-Latn-ME"/>
        </w:rPr>
        <w:t xml:space="preserve">3 pacijenta (1,2%). U </w:t>
      </w:r>
      <w:r w:rsidR="00D81C8F" w:rsidRPr="000D3D7F">
        <w:rPr>
          <w:szCs w:val="22"/>
          <w:lang w:val="sr-Latn-ME"/>
        </w:rPr>
        <w:t>Bz</w:t>
      </w:r>
      <w:r w:rsidRPr="000D3D7F">
        <w:rPr>
          <w:szCs w:val="22"/>
          <w:lang w:val="sr-Latn-ME"/>
        </w:rPr>
        <w:t>R-CAP grupi, 22,5% pacijenata je dobijalo transfuziju trombocita u odnosu</w:t>
      </w:r>
      <w:r w:rsidR="00223077" w:rsidRPr="000D3D7F">
        <w:rPr>
          <w:szCs w:val="22"/>
          <w:lang w:val="sr-Latn-ME"/>
        </w:rPr>
        <w:t xml:space="preserve"> </w:t>
      </w:r>
      <w:r w:rsidRPr="000D3D7F">
        <w:rPr>
          <w:szCs w:val="22"/>
          <w:lang w:val="sr-Latn-ME"/>
        </w:rPr>
        <w:t>na 2,9% pacijenata u R-CHOP grupi.</w:t>
      </w:r>
    </w:p>
    <w:p w14:paraId="5323DC28" w14:textId="7B040426" w:rsidR="00D00258" w:rsidRPr="000D3D7F" w:rsidRDefault="00D00258" w:rsidP="001E1F5A">
      <w:pPr>
        <w:rPr>
          <w:szCs w:val="22"/>
          <w:lang w:val="sr-Latn-ME"/>
        </w:rPr>
      </w:pPr>
      <w:r w:rsidRPr="000D3D7F">
        <w:rPr>
          <w:szCs w:val="22"/>
          <w:lang w:val="sr-Latn-ME"/>
        </w:rPr>
        <w:t xml:space="preserve">Gastrointestinalna i intracerebralna krvarenja su bila prijavljena u vezi sa terapijom </w:t>
      </w:r>
      <w:r w:rsidR="00D81C8F" w:rsidRPr="000D3D7F">
        <w:rPr>
          <w:szCs w:val="22"/>
          <w:lang w:val="sr-Latn-ME"/>
        </w:rPr>
        <w:t>bortezomibom</w:t>
      </w:r>
      <w:r w:rsidRPr="000D3D7F">
        <w:rPr>
          <w:szCs w:val="22"/>
          <w:lang w:val="sr-Latn-ME"/>
        </w:rPr>
        <w:t>. Zato, broj</w:t>
      </w:r>
      <w:r w:rsidR="00223077" w:rsidRPr="000D3D7F">
        <w:rPr>
          <w:szCs w:val="22"/>
          <w:lang w:val="sr-Latn-ME"/>
        </w:rPr>
        <w:t xml:space="preserve"> </w:t>
      </w:r>
      <w:r w:rsidRPr="000D3D7F">
        <w:rPr>
          <w:szCs w:val="22"/>
          <w:lang w:val="sr-Latn-ME"/>
        </w:rPr>
        <w:t>trombocita treba prov</w:t>
      </w:r>
      <w:r w:rsidR="00007673" w:rsidRPr="000D3D7F">
        <w:rPr>
          <w:szCs w:val="22"/>
          <w:lang w:val="sr-Latn-ME"/>
        </w:rPr>
        <w:t>j</w:t>
      </w:r>
      <w:r w:rsidRPr="000D3D7F">
        <w:rPr>
          <w:szCs w:val="22"/>
          <w:lang w:val="sr-Latn-ME"/>
        </w:rPr>
        <w:t>eriti pr</w:t>
      </w:r>
      <w:r w:rsidR="00007673" w:rsidRPr="000D3D7F">
        <w:rPr>
          <w:szCs w:val="22"/>
          <w:lang w:val="sr-Latn-ME"/>
        </w:rPr>
        <w:t>ij</w:t>
      </w:r>
      <w:r w:rsidRPr="000D3D7F">
        <w:rPr>
          <w:szCs w:val="22"/>
          <w:lang w:val="sr-Latn-ME"/>
        </w:rPr>
        <w:t xml:space="preserve">e svake doze </w:t>
      </w:r>
      <w:r w:rsidR="00D81C8F" w:rsidRPr="000D3D7F">
        <w:rPr>
          <w:szCs w:val="22"/>
          <w:lang w:val="sr-Latn-ME"/>
        </w:rPr>
        <w:t>bortezomiba</w:t>
      </w:r>
      <w:r w:rsidRPr="000D3D7F">
        <w:rPr>
          <w:szCs w:val="22"/>
          <w:lang w:val="sr-Latn-ME"/>
        </w:rPr>
        <w:t>. Terapiju treba prekinuti kada broj trombocita iznosi</w:t>
      </w:r>
      <w:r w:rsidR="00223077" w:rsidRPr="000D3D7F">
        <w:rPr>
          <w:szCs w:val="22"/>
          <w:lang w:val="sr-Latn-ME"/>
        </w:rPr>
        <w:t xml:space="preserve"> </w:t>
      </w:r>
      <w:r w:rsidRPr="000D3D7F">
        <w:rPr>
          <w:szCs w:val="22"/>
          <w:lang w:val="sr-Latn-ME"/>
        </w:rPr>
        <w:t>&lt;25000/mikrolitru ili kada je u kombinaciji sa melfalanom i prednizonom broj trombocita ≤30000/mikrolitru</w:t>
      </w:r>
      <w:r w:rsidR="00223077" w:rsidRPr="000D3D7F">
        <w:rPr>
          <w:szCs w:val="22"/>
          <w:lang w:val="sr-Latn-ME"/>
        </w:rPr>
        <w:t xml:space="preserve"> </w:t>
      </w:r>
      <w:r w:rsidRPr="000D3D7F">
        <w:rPr>
          <w:szCs w:val="22"/>
          <w:lang w:val="sr-Latn-ME"/>
        </w:rPr>
        <w:t>(vid</w:t>
      </w:r>
      <w:r w:rsidR="00007673"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4.2). Potencijalnu korist od l</w:t>
      </w:r>
      <w:r w:rsidR="00007673" w:rsidRPr="000D3D7F">
        <w:rPr>
          <w:szCs w:val="22"/>
          <w:lang w:val="sr-Latn-ME"/>
        </w:rPr>
        <w:t>ij</w:t>
      </w:r>
      <w:r w:rsidRPr="000D3D7F">
        <w:rPr>
          <w:szCs w:val="22"/>
          <w:lang w:val="sr-Latn-ME"/>
        </w:rPr>
        <w:t>ečenja treba pažljivo proc</w:t>
      </w:r>
      <w:r w:rsidR="00007673" w:rsidRPr="000D3D7F">
        <w:rPr>
          <w:szCs w:val="22"/>
          <w:lang w:val="sr-Latn-ME"/>
        </w:rPr>
        <w:t>ij</w:t>
      </w:r>
      <w:r w:rsidRPr="000D3D7F">
        <w:rPr>
          <w:szCs w:val="22"/>
          <w:lang w:val="sr-Latn-ME"/>
        </w:rPr>
        <w:t>eniti u odnosu na rizik, posebno u</w:t>
      </w:r>
      <w:r w:rsidR="00223077" w:rsidRPr="000D3D7F">
        <w:rPr>
          <w:szCs w:val="22"/>
          <w:lang w:val="sr-Latn-ME"/>
        </w:rPr>
        <w:t xml:space="preserve"> </w:t>
      </w:r>
      <w:r w:rsidRPr="000D3D7F">
        <w:rPr>
          <w:szCs w:val="22"/>
          <w:lang w:val="sr-Latn-ME"/>
        </w:rPr>
        <w:t>slučaju um</w:t>
      </w:r>
      <w:r w:rsidR="00007673" w:rsidRPr="000D3D7F">
        <w:rPr>
          <w:szCs w:val="22"/>
          <w:lang w:val="sr-Latn-ME"/>
        </w:rPr>
        <w:t>j</w:t>
      </w:r>
      <w:r w:rsidRPr="000D3D7F">
        <w:rPr>
          <w:szCs w:val="22"/>
          <w:lang w:val="sr-Latn-ME"/>
        </w:rPr>
        <w:t>erene do teške trombocitopenije i faktora rizika u pogledu krvarenja.</w:t>
      </w:r>
    </w:p>
    <w:p w14:paraId="36CDF48C" w14:textId="465CE65C" w:rsidR="00D00258" w:rsidRPr="000D3D7F" w:rsidRDefault="00D00258" w:rsidP="001E1F5A">
      <w:pPr>
        <w:rPr>
          <w:szCs w:val="22"/>
          <w:lang w:val="sr-Latn-ME"/>
        </w:rPr>
      </w:pPr>
      <w:r w:rsidRPr="000D3D7F">
        <w:rPr>
          <w:szCs w:val="22"/>
          <w:lang w:val="sr-Latn-ME"/>
        </w:rPr>
        <w:t>Kompletna krvna slika uključujući i broj trombocita treba da se prati tokom l</w:t>
      </w:r>
      <w:r w:rsidR="00007673" w:rsidRPr="000D3D7F">
        <w:rPr>
          <w:szCs w:val="22"/>
          <w:lang w:val="sr-Latn-ME"/>
        </w:rPr>
        <w:t>ij</w:t>
      </w:r>
      <w:r w:rsidRPr="000D3D7F">
        <w:rPr>
          <w:szCs w:val="22"/>
          <w:lang w:val="sr-Latn-ME"/>
        </w:rPr>
        <w:t xml:space="preserve">ečenja </w:t>
      </w:r>
      <w:r w:rsidR="00D81C8F" w:rsidRPr="000D3D7F">
        <w:rPr>
          <w:szCs w:val="22"/>
          <w:lang w:val="sr-Latn-ME"/>
        </w:rPr>
        <w:t>bortezomibom</w:t>
      </w:r>
      <w:r w:rsidRPr="000D3D7F">
        <w:rPr>
          <w:szCs w:val="22"/>
          <w:lang w:val="sr-Latn-ME"/>
        </w:rPr>
        <w:t>. Treba</w:t>
      </w:r>
      <w:r w:rsidR="00223077" w:rsidRPr="000D3D7F">
        <w:rPr>
          <w:szCs w:val="22"/>
          <w:lang w:val="sr-Latn-ME"/>
        </w:rPr>
        <w:t xml:space="preserve"> </w:t>
      </w:r>
      <w:r w:rsidRPr="000D3D7F">
        <w:rPr>
          <w:szCs w:val="22"/>
          <w:lang w:val="sr-Latn-ME"/>
        </w:rPr>
        <w:t>razmotriti transfuziju trombocita za terapiju trombocitopenije kada je klinički opravdano. (vid</w:t>
      </w:r>
      <w:r w:rsidR="00007673" w:rsidRPr="000D3D7F">
        <w:rPr>
          <w:szCs w:val="22"/>
          <w:lang w:val="sr-Latn-ME"/>
        </w:rPr>
        <w:t>j</w:t>
      </w:r>
      <w:r w:rsidRPr="000D3D7F">
        <w:rPr>
          <w:szCs w:val="22"/>
          <w:lang w:val="sr-Latn-ME"/>
        </w:rPr>
        <w:t xml:space="preserve">eti </w:t>
      </w:r>
      <w:r w:rsidR="001B5D63" w:rsidRPr="000D3D7F">
        <w:rPr>
          <w:szCs w:val="22"/>
          <w:lang w:val="sr-Latn-ME"/>
        </w:rPr>
        <w:t>dio</w:t>
      </w:r>
      <w:r w:rsidR="00223077" w:rsidRPr="000D3D7F">
        <w:rPr>
          <w:szCs w:val="22"/>
          <w:lang w:val="sr-Latn-ME"/>
        </w:rPr>
        <w:t xml:space="preserve"> </w:t>
      </w:r>
      <w:r w:rsidRPr="000D3D7F">
        <w:rPr>
          <w:szCs w:val="22"/>
          <w:lang w:val="sr-Latn-ME"/>
        </w:rPr>
        <w:t>4.2).</w:t>
      </w:r>
    </w:p>
    <w:p w14:paraId="54C7E878" w14:textId="58C87116" w:rsidR="00D00258" w:rsidRPr="000D3D7F" w:rsidRDefault="00D00258" w:rsidP="001E1F5A">
      <w:pPr>
        <w:rPr>
          <w:szCs w:val="22"/>
          <w:lang w:val="sr-Latn-ME"/>
        </w:rPr>
      </w:pPr>
      <w:r w:rsidRPr="000D3D7F">
        <w:rPr>
          <w:szCs w:val="22"/>
          <w:lang w:val="sr-Latn-ME"/>
        </w:rPr>
        <w:t>Kod pacijenata sa MCL bila je prim</w:t>
      </w:r>
      <w:r w:rsidR="00F7514A" w:rsidRPr="000D3D7F">
        <w:rPr>
          <w:szCs w:val="22"/>
          <w:lang w:val="sr-Latn-ME"/>
        </w:rPr>
        <w:t>ij</w:t>
      </w:r>
      <w:r w:rsidRPr="000D3D7F">
        <w:rPr>
          <w:szCs w:val="22"/>
          <w:lang w:val="sr-Latn-ME"/>
        </w:rPr>
        <w:t>ećena prolazna, reverzibilna neutropenija između ciklusa, bez dokaza o</w:t>
      </w:r>
      <w:r w:rsidR="00223077" w:rsidRPr="000D3D7F">
        <w:rPr>
          <w:szCs w:val="22"/>
          <w:lang w:val="sr-Latn-ME"/>
        </w:rPr>
        <w:t xml:space="preserve"> </w:t>
      </w:r>
      <w:r w:rsidRPr="000D3D7F">
        <w:rPr>
          <w:szCs w:val="22"/>
          <w:lang w:val="sr-Latn-ME"/>
        </w:rPr>
        <w:t xml:space="preserve">kumulativnoj neutropeniji. Broj neutrofila je bio najniži u 11. dana svakog </w:t>
      </w:r>
      <w:r w:rsidR="00D81C8F" w:rsidRPr="000D3D7F">
        <w:rPr>
          <w:szCs w:val="22"/>
          <w:lang w:val="sr-Latn-ME"/>
        </w:rPr>
        <w:t>bortezomib</w:t>
      </w:r>
      <w:r w:rsidRPr="000D3D7F">
        <w:rPr>
          <w:szCs w:val="22"/>
          <w:lang w:val="sr-Latn-ME"/>
        </w:rPr>
        <w:t xml:space="preserve"> terapijskog ciklusa i</w:t>
      </w:r>
      <w:r w:rsidR="00223077" w:rsidRPr="000D3D7F">
        <w:rPr>
          <w:szCs w:val="22"/>
          <w:lang w:val="sr-Latn-ME"/>
        </w:rPr>
        <w:t xml:space="preserve"> </w:t>
      </w:r>
      <w:r w:rsidRPr="000D3D7F">
        <w:rPr>
          <w:szCs w:val="22"/>
          <w:lang w:val="sr-Latn-ME"/>
        </w:rPr>
        <w:t>obično su se vraćali na početne vr</w:t>
      </w:r>
      <w:r w:rsidR="00F7514A" w:rsidRPr="000D3D7F">
        <w:rPr>
          <w:szCs w:val="22"/>
          <w:lang w:val="sr-Latn-ME"/>
        </w:rPr>
        <w:t>ij</w:t>
      </w:r>
      <w:r w:rsidRPr="000D3D7F">
        <w:rPr>
          <w:szCs w:val="22"/>
          <w:lang w:val="sr-Latn-ME"/>
        </w:rPr>
        <w:t>ednosti do sl</w:t>
      </w:r>
      <w:r w:rsidR="00F7514A" w:rsidRPr="000D3D7F">
        <w:rPr>
          <w:szCs w:val="22"/>
          <w:lang w:val="sr-Latn-ME"/>
        </w:rPr>
        <w:t>j</w:t>
      </w:r>
      <w:r w:rsidRPr="000D3D7F">
        <w:rPr>
          <w:szCs w:val="22"/>
          <w:lang w:val="sr-Latn-ME"/>
        </w:rPr>
        <w:t>edećeg ciklusa. U studiji LYM-3002, faktori stimulacije su bili</w:t>
      </w:r>
      <w:r w:rsidR="00223077" w:rsidRPr="000D3D7F">
        <w:rPr>
          <w:szCs w:val="22"/>
          <w:lang w:val="sr-Latn-ME"/>
        </w:rPr>
        <w:t xml:space="preserve"> </w:t>
      </w:r>
      <w:r w:rsidRPr="000D3D7F">
        <w:rPr>
          <w:szCs w:val="22"/>
          <w:lang w:val="sr-Latn-ME"/>
        </w:rPr>
        <w:t>prim</w:t>
      </w:r>
      <w:r w:rsidR="00F7514A" w:rsidRPr="000D3D7F">
        <w:rPr>
          <w:szCs w:val="22"/>
          <w:lang w:val="sr-Latn-ME"/>
        </w:rPr>
        <w:t>ij</w:t>
      </w:r>
      <w:r w:rsidRPr="000D3D7F">
        <w:rPr>
          <w:szCs w:val="22"/>
          <w:lang w:val="sr-Latn-ME"/>
        </w:rPr>
        <w:t xml:space="preserve">enjeni kod 78% pacijenata u </w:t>
      </w:r>
      <w:r w:rsidR="00D81C8F" w:rsidRPr="000D3D7F">
        <w:rPr>
          <w:szCs w:val="22"/>
          <w:lang w:val="sr-Latn-ME"/>
        </w:rPr>
        <w:t>Bz</w:t>
      </w:r>
      <w:r w:rsidRPr="000D3D7F">
        <w:rPr>
          <w:szCs w:val="22"/>
          <w:lang w:val="sr-Latn-ME"/>
        </w:rPr>
        <w:t>R-CAP grupi i kod 61% pacijenata u R-CHOP grupi. Obzirom da su</w:t>
      </w:r>
      <w:r w:rsidR="00223077" w:rsidRPr="000D3D7F">
        <w:rPr>
          <w:szCs w:val="22"/>
          <w:lang w:val="sr-Latn-ME"/>
        </w:rPr>
        <w:t xml:space="preserve"> </w:t>
      </w:r>
      <w:r w:rsidRPr="000D3D7F">
        <w:rPr>
          <w:szCs w:val="22"/>
          <w:lang w:val="sr-Latn-ME"/>
        </w:rPr>
        <w:t>pacijenti sa neutropenijom u povećanom riziku od infekcije, treba ih pratiti na znake i simptome infekcije i</w:t>
      </w:r>
      <w:r w:rsidR="00223077" w:rsidRPr="000D3D7F">
        <w:rPr>
          <w:szCs w:val="22"/>
          <w:lang w:val="sr-Latn-ME"/>
        </w:rPr>
        <w:t xml:space="preserve"> </w:t>
      </w:r>
      <w:r w:rsidRPr="000D3D7F">
        <w:rPr>
          <w:szCs w:val="22"/>
          <w:lang w:val="sr-Latn-ME"/>
        </w:rPr>
        <w:t>l</w:t>
      </w:r>
      <w:r w:rsidR="00F7514A" w:rsidRPr="000D3D7F">
        <w:rPr>
          <w:szCs w:val="22"/>
          <w:lang w:val="sr-Latn-ME"/>
        </w:rPr>
        <w:t>ij</w:t>
      </w:r>
      <w:r w:rsidRPr="000D3D7F">
        <w:rPr>
          <w:szCs w:val="22"/>
          <w:lang w:val="sr-Latn-ME"/>
        </w:rPr>
        <w:t>ečiti ih bez odlaganja. U skladu sa lokalnom standardnom praksom, faktori stimulacije granulocita mogu se</w:t>
      </w:r>
      <w:r w:rsidR="00223077" w:rsidRPr="000D3D7F">
        <w:rPr>
          <w:szCs w:val="22"/>
          <w:lang w:val="sr-Latn-ME"/>
        </w:rPr>
        <w:t xml:space="preserve"> </w:t>
      </w:r>
      <w:r w:rsidRPr="000D3D7F">
        <w:rPr>
          <w:szCs w:val="22"/>
          <w:lang w:val="sr-Latn-ME"/>
        </w:rPr>
        <w:t>prim</w:t>
      </w:r>
      <w:r w:rsidR="00F7514A" w:rsidRPr="000D3D7F">
        <w:rPr>
          <w:szCs w:val="22"/>
          <w:lang w:val="sr-Latn-ME"/>
        </w:rPr>
        <w:t>ij</w:t>
      </w:r>
      <w:r w:rsidRPr="000D3D7F">
        <w:rPr>
          <w:szCs w:val="22"/>
          <w:lang w:val="sr-Latn-ME"/>
        </w:rPr>
        <w:t>eniti za hematološke toksičnosti. Profilaksa upotrebom faktora stimulacije granulocita se treba uzeti u</w:t>
      </w:r>
      <w:r w:rsidR="00223077" w:rsidRPr="000D3D7F">
        <w:rPr>
          <w:szCs w:val="22"/>
          <w:lang w:val="sr-Latn-ME"/>
        </w:rPr>
        <w:t xml:space="preserve"> </w:t>
      </w:r>
      <w:r w:rsidRPr="000D3D7F">
        <w:rPr>
          <w:szCs w:val="22"/>
          <w:lang w:val="sr-Latn-ME"/>
        </w:rPr>
        <w:t>obzir ukoliko se ponavlja odlaganje u prim</w:t>
      </w:r>
      <w:r w:rsidR="00F7514A" w:rsidRPr="000D3D7F">
        <w:rPr>
          <w:szCs w:val="22"/>
          <w:lang w:val="sr-Latn-ME"/>
        </w:rPr>
        <w:t>j</w:t>
      </w:r>
      <w:r w:rsidRPr="000D3D7F">
        <w:rPr>
          <w:szCs w:val="22"/>
          <w:lang w:val="sr-Latn-ME"/>
        </w:rPr>
        <w:t>eni terapijskog ciklusa (vid</w:t>
      </w:r>
      <w:r w:rsidR="00F7514A"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4.2)</w:t>
      </w:r>
    </w:p>
    <w:p w14:paraId="142E31AB" w14:textId="5402C636" w:rsidR="00D00258" w:rsidRPr="000D3D7F" w:rsidRDefault="00D00258" w:rsidP="001E1F5A">
      <w:pPr>
        <w:rPr>
          <w:szCs w:val="22"/>
          <w:u w:val="single"/>
          <w:lang w:val="sr-Latn-ME"/>
        </w:rPr>
      </w:pPr>
      <w:r w:rsidRPr="000D3D7F">
        <w:rPr>
          <w:szCs w:val="22"/>
          <w:u w:val="single"/>
          <w:lang w:val="sr-Latn-ME"/>
        </w:rPr>
        <w:t>Reaktivacija herpes zoster virusa</w:t>
      </w:r>
    </w:p>
    <w:p w14:paraId="72D524F2" w14:textId="151AFBBC" w:rsidR="00D00258" w:rsidRPr="000D3D7F" w:rsidRDefault="00D00258" w:rsidP="001E1F5A">
      <w:pPr>
        <w:rPr>
          <w:szCs w:val="22"/>
          <w:lang w:val="sr-Latn-ME"/>
        </w:rPr>
      </w:pPr>
      <w:r w:rsidRPr="000D3D7F">
        <w:rPr>
          <w:szCs w:val="22"/>
          <w:lang w:val="sr-Latn-ME"/>
        </w:rPr>
        <w:t>Preporučuje se upotreba antivirusne profilakse kod pacijenata koji su l</w:t>
      </w:r>
      <w:r w:rsidR="00F7514A" w:rsidRPr="000D3D7F">
        <w:rPr>
          <w:szCs w:val="22"/>
          <w:lang w:val="sr-Latn-ME"/>
        </w:rPr>
        <w:t>ij</w:t>
      </w:r>
      <w:r w:rsidRPr="000D3D7F">
        <w:rPr>
          <w:szCs w:val="22"/>
          <w:lang w:val="sr-Latn-ME"/>
        </w:rPr>
        <w:t xml:space="preserve">ečeni </w:t>
      </w:r>
      <w:r w:rsidR="003110E9" w:rsidRPr="000D3D7F">
        <w:rPr>
          <w:szCs w:val="22"/>
          <w:lang w:val="sr-Latn-ME"/>
        </w:rPr>
        <w:t>bortezomibom</w:t>
      </w:r>
      <w:r w:rsidRPr="000D3D7F">
        <w:rPr>
          <w:szCs w:val="22"/>
          <w:lang w:val="sr-Latn-ME"/>
        </w:rPr>
        <w:t>. U kliničkom</w:t>
      </w:r>
      <w:r w:rsidR="00223077" w:rsidRPr="000D3D7F">
        <w:rPr>
          <w:szCs w:val="22"/>
          <w:lang w:val="sr-Latn-ME"/>
        </w:rPr>
        <w:t xml:space="preserve"> </w:t>
      </w:r>
      <w:r w:rsidRPr="000D3D7F">
        <w:rPr>
          <w:szCs w:val="22"/>
          <w:lang w:val="sr-Latn-ME"/>
        </w:rPr>
        <w:t>ispitivanju Faze III kod pacijenata sa prethodno nel</w:t>
      </w:r>
      <w:r w:rsidR="00F7514A" w:rsidRPr="000D3D7F">
        <w:rPr>
          <w:szCs w:val="22"/>
          <w:lang w:val="sr-Latn-ME"/>
        </w:rPr>
        <w:t>ij</w:t>
      </w:r>
      <w:r w:rsidRPr="000D3D7F">
        <w:rPr>
          <w:szCs w:val="22"/>
          <w:lang w:val="sr-Latn-ME"/>
        </w:rPr>
        <w:t>ečenim multiplim mijelomom, ukupna incidenca</w:t>
      </w:r>
      <w:r w:rsidR="00223077" w:rsidRPr="000D3D7F">
        <w:rPr>
          <w:szCs w:val="22"/>
          <w:lang w:val="sr-Latn-ME"/>
        </w:rPr>
        <w:t xml:space="preserve"> </w:t>
      </w:r>
      <w:r w:rsidRPr="000D3D7F">
        <w:rPr>
          <w:szCs w:val="22"/>
          <w:lang w:val="sr-Latn-ME"/>
        </w:rPr>
        <w:t>reaktivacije herpes zoster virusa je bila češća kod pacijenata koji su l</w:t>
      </w:r>
      <w:r w:rsidR="00F7514A" w:rsidRPr="000D3D7F">
        <w:rPr>
          <w:szCs w:val="22"/>
          <w:lang w:val="sr-Latn-ME"/>
        </w:rPr>
        <w:t>ij</w:t>
      </w:r>
      <w:r w:rsidRPr="000D3D7F">
        <w:rPr>
          <w:szCs w:val="22"/>
          <w:lang w:val="sr-Latn-ME"/>
        </w:rPr>
        <w:t xml:space="preserve">ečeni </w:t>
      </w:r>
      <w:r w:rsidR="00AA1842" w:rsidRPr="000D3D7F">
        <w:rPr>
          <w:szCs w:val="22"/>
          <w:lang w:val="sr-Latn-ME"/>
        </w:rPr>
        <w:t>bortezomib</w:t>
      </w:r>
      <w:r w:rsidRPr="000D3D7F">
        <w:rPr>
          <w:szCs w:val="22"/>
          <w:lang w:val="sr-Latn-ME"/>
        </w:rPr>
        <w:t>+melfalan+prednizon u</w:t>
      </w:r>
      <w:r w:rsidR="00223077" w:rsidRPr="000D3D7F">
        <w:rPr>
          <w:szCs w:val="22"/>
          <w:lang w:val="sr-Latn-ME"/>
        </w:rPr>
        <w:t xml:space="preserve"> </w:t>
      </w:r>
      <w:r w:rsidRPr="000D3D7F">
        <w:rPr>
          <w:szCs w:val="22"/>
          <w:lang w:val="sr-Latn-ME"/>
        </w:rPr>
        <w:t>odnosu na pacijente koji su dobijali melfalan+prednizon (14% prema 4%)</w:t>
      </w:r>
    </w:p>
    <w:p w14:paraId="2ACBC1CA" w14:textId="47381E95" w:rsidR="00D00258" w:rsidRPr="000D3D7F" w:rsidRDefault="00D00258" w:rsidP="001E1F5A">
      <w:pPr>
        <w:rPr>
          <w:szCs w:val="22"/>
          <w:lang w:val="sr-Latn-ME"/>
        </w:rPr>
      </w:pPr>
      <w:r w:rsidRPr="000D3D7F">
        <w:rPr>
          <w:szCs w:val="22"/>
          <w:lang w:val="sr-Latn-ME"/>
        </w:rPr>
        <w:t xml:space="preserve">Kod pacijenata sa MCL (studija LYM-3002), incidenca herpes zoster infekcije je bila 6,7% u </w:t>
      </w:r>
      <w:r w:rsidR="001B2C94" w:rsidRPr="000D3D7F">
        <w:rPr>
          <w:szCs w:val="22"/>
          <w:lang w:val="sr-Latn-ME"/>
        </w:rPr>
        <w:t>Bz</w:t>
      </w:r>
      <w:r w:rsidRPr="000D3D7F">
        <w:rPr>
          <w:szCs w:val="22"/>
          <w:lang w:val="sr-Latn-ME"/>
        </w:rPr>
        <w:t>R-CAP</w:t>
      </w:r>
      <w:r w:rsidR="00223077" w:rsidRPr="000D3D7F">
        <w:rPr>
          <w:szCs w:val="22"/>
          <w:lang w:val="sr-Latn-ME"/>
        </w:rPr>
        <w:t xml:space="preserve"> </w:t>
      </w:r>
      <w:r w:rsidRPr="000D3D7F">
        <w:rPr>
          <w:szCs w:val="22"/>
          <w:lang w:val="sr-Latn-ME"/>
        </w:rPr>
        <w:t>grupi i 1,2% u R-CHOP grupi (vid</w:t>
      </w:r>
      <w:r w:rsidR="00F7514A"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4.8).</w:t>
      </w:r>
    </w:p>
    <w:p w14:paraId="65D639D2" w14:textId="4D2E36E5" w:rsidR="00D00258" w:rsidRPr="000D3D7F" w:rsidRDefault="00D00258" w:rsidP="001E1F5A">
      <w:pPr>
        <w:rPr>
          <w:szCs w:val="22"/>
          <w:u w:val="single"/>
          <w:lang w:val="sr-Latn-ME"/>
        </w:rPr>
      </w:pPr>
      <w:r w:rsidRPr="000D3D7F">
        <w:rPr>
          <w:szCs w:val="22"/>
          <w:u w:val="single"/>
          <w:lang w:val="sr-Latn-ME"/>
        </w:rPr>
        <w:t>Hepatitis B Virus (HBV) reaktivacija i infekcija</w:t>
      </w:r>
    </w:p>
    <w:p w14:paraId="53E134C4" w14:textId="3CCE3D88" w:rsidR="00D00258" w:rsidRPr="000D3D7F" w:rsidRDefault="00D00258" w:rsidP="001E1F5A">
      <w:pPr>
        <w:rPr>
          <w:szCs w:val="22"/>
          <w:lang w:val="sr-Latn-ME"/>
        </w:rPr>
      </w:pPr>
      <w:r w:rsidRPr="000D3D7F">
        <w:rPr>
          <w:szCs w:val="22"/>
          <w:lang w:val="sr-Latn-ME"/>
        </w:rPr>
        <w:t>Kada se ritukskimab prim</w:t>
      </w:r>
      <w:r w:rsidR="00F7514A" w:rsidRPr="000D3D7F">
        <w:rPr>
          <w:szCs w:val="22"/>
          <w:lang w:val="sr-Latn-ME"/>
        </w:rPr>
        <w:t>j</w:t>
      </w:r>
      <w:r w:rsidRPr="000D3D7F">
        <w:rPr>
          <w:szCs w:val="22"/>
          <w:lang w:val="sr-Latn-ME"/>
        </w:rPr>
        <w:t xml:space="preserve">enjuje u kombinaciji sa </w:t>
      </w:r>
      <w:r w:rsidR="00AA1842" w:rsidRPr="000D3D7F">
        <w:rPr>
          <w:szCs w:val="22"/>
          <w:lang w:val="sr-Latn-ME"/>
        </w:rPr>
        <w:t>bortezomibom</w:t>
      </w:r>
      <w:r w:rsidRPr="000D3D7F">
        <w:rPr>
          <w:szCs w:val="22"/>
          <w:lang w:val="sr-Latn-ME"/>
        </w:rPr>
        <w:t>, HBV skrining se uv</w:t>
      </w:r>
      <w:r w:rsidR="00F7514A" w:rsidRPr="000D3D7F">
        <w:rPr>
          <w:szCs w:val="22"/>
          <w:lang w:val="sr-Latn-ME"/>
        </w:rPr>
        <w:t>ij</w:t>
      </w:r>
      <w:r w:rsidRPr="000D3D7F">
        <w:rPr>
          <w:szCs w:val="22"/>
          <w:lang w:val="sr-Latn-ME"/>
        </w:rPr>
        <w:t>ek mora obaviti kod</w:t>
      </w:r>
      <w:r w:rsidR="00223077" w:rsidRPr="000D3D7F">
        <w:rPr>
          <w:szCs w:val="22"/>
          <w:lang w:val="sr-Latn-ME"/>
        </w:rPr>
        <w:t xml:space="preserve"> </w:t>
      </w:r>
      <w:r w:rsidRPr="000D3D7F">
        <w:rPr>
          <w:szCs w:val="22"/>
          <w:lang w:val="sr-Latn-ME"/>
        </w:rPr>
        <w:t>pacijenata koji su pod rizikom od HBV infekcije pr</w:t>
      </w:r>
      <w:r w:rsidR="00F7514A" w:rsidRPr="000D3D7F">
        <w:rPr>
          <w:szCs w:val="22"/>
          <w:lang w:val="sr-Latn-ME"/>
        </w:rPr>
        <w:t>ij</w:t>
      </w:r>
      <w:r w:rsidRPr="000D3D7F">
        <w:rPr>
          <w:szCs w:val="22"/>
          <w:lang w:val="sr-Latn-ME"/>
        </w:rPr>
        <w:t>e započinjanja terapije. Nosioci hepatitisa B i pacijenti sa</w:t>
      </w:r>
      <w:r w:rsidR="00223077" w:rsidRPr="000D3D7F">
        <w:rPr>
          <w:szCs w:val="22"/>
          <w:lang w:val="sr-Latn-ME"/>
        </w:rPr>
        <w:t xml:space="preserve"> </w:t>
      </w:r>
      <w:r w:rsidRPr="000D3D7F">
        <w:rPr>
          <w:szCs w:val="22"/>
          <w:lang w:val="sr-Latn-ME"/>
        </w:rPr>
        <w:t>hepatitisom B u anamnezi se moraju pažljivo pratiti za kliničke i laboratoriske znake aktivne hepatitis B</w:t>
      </w:r>
      <w:r w:rsidR="00223077" w:rsidRPr="000D3D7F">
        <w:rPr>
          <w:szCs w:val="22"/>
          <w:lang w:val="sr-Latn-ME"/>
        </w:rPr>
        <w:t xml:space="preserve"> </w:t>
      </w:r>
      <w:r w:rsidRPr="000D3D7F">
        <w:rPr>
          <w:szCs w:val="22"/>
          <w:lang w:val="sr-Latn-ME"/>
        </w:rPr>
        <w:t xml:space="preserve">infekcije tokom i nakon terapije rituksimabom u kombinaciji sa </w:t>
      </w:r>
      <w:r w:rsidR="00AA1842" w:rsidRPr="000D3D7F">
        <w:rPr>
          <w:szCs w:val="22"/>
          <w:lang w:val="sr-Latn-ME"/>
        </w:rPr>
        <w:t>bortezomibom</w:t>
      </w:r>
      <w:r w:rsidRPr="000D3D7F">
        <w:rPr>
          <w:szCs w:val="22"/>
          <w:lang w:val="sr-Latn-ME"/>
        </w:rPr>
        <w:t>. Treba razmotriti antivirusnu</w:t>
      </w:r>
      <w:r w:rsidR="00223077" w:rsidRPr="000D3D7F">
        <w:rPr>
          <w:szCs w:val="22"/>
          <w:lang w:val="sr-Latn-ME"/>
        </w:rPr>
        <w:t xml:space="preserve"> </w:t>
      </w:r>
      <w:r w:rsidRPr="000D3D7F">
        <w:rPr>
          <w:szCs w:val="22"/>
          <w:lang w:val="sr-Latn-ME"/>
        </w:rPr>
        <w:t>profilaksu. Pročitajte Sažetak karakteristika l</w:t>
      </w:r>
      <w:r w:rsidR="00401E9C" w:rsidRPr="000D3D7F">
        <w:rPr>
          <w:szCs w:val="22"/>
          <w:lang w:val="sr-Latn-ME"/>
        </w:rPr>
        <w:t>ij</w:t>
      </w:r>
      <w:r w:rsidRPr="000D3D7F">
        <w:rPr>
          <w:szCs w:val="22"/>
          <w:lang w:val="sr-Latn-ME"/>
        </w:rPr>
        <w:t>eka za rituksimab za više informacija.</w:t>
      </w:r>
    </w:p>
    <w:p w14:paraId="01B234E0" w14:textId="7DD2BCE7" w:rsidR="00D00258" w:rsidRPr="000D3D7F" w:rsidRDefault="00D00258" w:rsidP="001E1F5A">
      <w:pPr>
        <w:rPr>
          <w:szCs w:val="22"/>
          <w:u w:val="single"/>
          <w:lang w:val="sr-Latn-ME"/>
        </w:rPr>
      </w:pPr>
      <w:r w:rsidRPr="000D3D7F">
        <w:rPr>
          <w:szCs w:val="22"/>
          <w:u w:val="single"/>
          <w:lang w:val="sr-Latn-ME"/>
        </w:rPr>
        <w:t>Progresivna multifokalna leukoencefalopatija (PML)</w:t>
      </w:r>
    </w:p>
    <w:p w14:paraId="3F854D94" w14:textId="0FA812F6" w:rsidR="00D00258" w:rsidRPr="000D3D7F" w:rsidRDefault="00D00258" w:rsidP="001E1F5A">
      <w:pPr>
        <w:rPr>
          <w:szCs w:val="22"/>
          <w:lang w:val="sr-Latn-ME"/>
        </w:rPr>
      </w:pPr>
      <w:r w:rsidRPr="000D3D7F">
        <w:rPr>
          <w:szCs w:val="22"/>
          <w:lang w:val="sr-Latn-ME"/>
        </w:rPr>
        <w:t>Vrlo r</w:t>
      </w:r>
      <w:r w:rsidR="00486A79" w:rsidRPr="000D3D7F">
        <w:rPr>
          <w:szCs w:val="22"/>
          <w:lang w:val="sr-Latn-ME"/>
        </w:rPr>
        <w:t>ij</w:t>
      </w:r>
      <w:r w:rsidRPr="000D3D7F">
        <w:rPr>
          <w:szCs w:val="22"/>
          <w:lang w:val="sr-Latn-ME"/>
        </w:rPr>
        <w:t>etki slučajevi sa nepoznatim uzrokom virusne infekcije John Cunningham (JC) koji su doveli do</w:t>
      </w:r>
      <w:r w:rsidR="00223077" w:rsidRPr="000D3D7F">
        <w:rPr>
          <w:szCs w:val="22"/>
          <w:lang w:val="sr-Latn-ME"/>
        </w:rPr>
        <w:t xml:space="preserve"> </w:t>
      </w:r>
      <w:r w:rsidRPr="000D3D7F">
        <w:rPr>
          <w:szCs w:val="22"/>
          <w:lang w:val="sr-Latn-ME"/>
        </w:rPr>
        <w:t>progresivne multifokalne leukoencefalopatije (PML) i smrti, prijavljeni su kod pacijenata l</w:t>
      </w:r>
      <w:r w:rsidR="00486A79" w:rsidRPr="000D3D7F">
        <w:rPr>
          <w:szCs w:val="22"/>
          <w:lang w:val="sr-Latn-ME"/>
        </w:rPr>
        <w:t>ij</w:t>
      </w:r>
      <w:r w:rsidRPr="000D3D7F">
        <w:rPr>
          <w:szCs w:val="22"/>
          <w:lang w:val="sr-Latn-ME"/>
        </w:rPr>
        <w:t xml:space="preserve">ečenih </w:t>
      </w:r>
      <w:r w:rsidR="00AA1842" w:rsidRPr="000D3D7F">
        <w:rPr>
          <w:szCs w:val="22"/>
          <w:lang w:val="sr-Latn-ME"/>
        </w:rPr>
        <w:t>bortezomibom</w:t>
      </w:r>
      <w:r w:rsidRPr="000D3D7F">
        <w:rPr>
          <w:szCs w:val="22"/>
          <w:lang w:val="sr-Latn-ME"/>
        </w:rPr>
        <w:t>. Pacijenti kod kojih je dijagnostikovana PML su prethodno ili istovremeno dobijali</w:t>
      </w:r>
      <w:r w:rsidR="00223077" w:rsidRPr="000D3D7F">
        <w:rPr>
          <w:szCs w:val="22"/>
          <w:lang w:val="sr-Latn-ME"/>
        </w:rPr>
        <w:t xml:space="preserve"> </w:t>
      </w:r>
      <w:r w:rsidRPr="000D3D7F">
        <w:rPr>
          <w:szCs w:val="22"/>
          <w:lang w:val="sr-Latn-ME"/>
        </w:rPr>
        <w:t>imunosupresivnu terapiju. Na</w:t>
      </w:r>
      <w:r w:rsidR="00486A79" w:rsidRPr="000D3D7F">
        <w:rPr>
          <w:szCs w:val="22"/>
          <w:lang w:val="sr-Latn-ME"/>
        </w:rPr>
        <w:t>j</w:t>
      </w:r>
      <w:r w:rsidRPr="000D3D7F">
        <w:rPr>
          <w:szCs w:val="22"/>
          <w:lang w:val="sr-Latn-ME"/>
        </w:rPr>
        <w:t>veći broj slučajeva je dijagnostikovan unutar 12 m</w:t>
      </w:r>
      <w:r w:rsidR="00486A79" w:rsidRPr="000D3D7F">
        <w:rPr>
          <w:szCs w:val="22"/>
          <w:lang w:val="sr-Latn-ME"/>
        </w:rPr>
        <w:t>j</w:t>
      </w:r>
      <w:r w:rsidRPr="000D3D7F">
        <w:rPr>
          <w:szCs w:val="22"/>
          <w:lang w:val="sr-Latn-ME"/>
        </w:rPr>
        <w:t xml:space="preserve">eseci od prve doze </w:t>
      </w:r>
      <w:r w:rsidR="00AA1842" w:rsidRPr="000D3D7F">
        <w:rPr>
          <w:szCs w:val="22"/>
          <w:lang w:val="sr-Latn-ME"/>
        </w:rPr>
        <w:t>bortezomiba</w:t>
      </w:r>
      <w:r w:rsidRPr="000D3D7F">
        <w:rPr>
          <w:szCs w:val="22"/>
          <w:lang w:val="sr-Latn-ME"/>
        </w:rPr>
        <w:t>. Pacijente treba pratiti u regularnim intervalima na pojavu bilo kog novog ili pogoršanje postojećih</w:t>
      </w:r>
      <w:r w:rsidR="00223077" w:rsidRPr="000D3D7F">
        <w:rPr>
          <w:szCs w:val="22"/>
          <w:lang w:val="sr-Latn-ME"/>
        </w:rPr>
        <w:t xml:space="preserve"> </w:t>
      </w:r>
      <w:r w:rsidRPr="000D3D7F">
        <w:rPr>
          <w:szCs w:val="22"/>
          <w:lang w:val="sr-Latn-ME"/>
        </w:rPr>
        <w:t>neuroloških simptoma ili znakova koji mogu da nagoveste PML kao d</w:t>
      </w:r>
      <w:r w:rsidR="0019469E" w:rsidRPr="000D3D7F">
        <w:rPr>
          <w:szCs w:val="22"/>
          <w:lang w:val="sr-Latn-ME"/>
        </w:rPr>
        <w:t>i</w:t>
      </w:r>
      <w:r w:rsidRPr="000D3D7F">
        <w:rPr>
          <w:szCs w:val="22"/>
          <w:lang w:val="sr-Latn-ME"/>
        </w:rPr>
        <w:t>o diferencijalne dijagnoze problema</w:t>
      </w:r>
      <w:r w:rsidR="00223077" w:rsidRPr="000D3D7F">
        <w:rPr>
          <w:szCs w:val="22"/>
          <w:lang w:val="sr-Latn-ME"/>
        </w:rPr>
        <w:t xml:space="preserve"> </w:t>
      </w:r>
      <w:r w:rsidRPr="000D3D7F">
        <w:rPr>
          <w:szCs w:val="22"/>
          <w:lang w:val="sr-Latn-ME"/>
        </w:rPr>
        <w:t>sa CNS-om. Ukoliko se sumnja na dijagnozu PML, pacijente treba uputiti kod specijaliste za PML i treba</w:t>
      </w:r>
      <w:r w:rsidR="00223077" w:rsidRPr="000D3D7F">
        <w:rPr>
          <w:szCs w:val="22"/>
          <w:lang w:val="sr-Latn-ME"/>
        </w:rPr>
        <w:t xml:space="preserve"> </w:t>
      </w:r>
      <w:r w:rsidRPr="000D3D7F">
        <w:rPr>
          <w:szCs w:val="22"/>
          <w:lang w:val="sr-Latn-ME"/>
        </w:rPr>
        <w:t>inicirati odgovarajuće dijagnostičke m</w:t>
      </w:r>
      <w:r w:rsidR="0019469E" w:rsidRPr="000D3D7F">
        <w:rPr>
          <w:szCs w:val="22"/>
          <w:lang w:val="sr-Latn-ME"/>
        </w:rPr>
        <w:t>j</w:t>
      </w:r>
      <w:r w:rsidRPr="000D3D7F">
        <w:rPr>
          <w:szCs w:val="22"/>
          <w:lang w:val="sr-Latn-ME"/>
        </w:rPr>
        <w:t xml:space="preserve">ere za PML. Ako se dijagnostikuje PML, obustaviti </w:t>
      </w:r>
      <w:r w:rsidR="00AA1842" w:rsidRPr="000D3D7F">
        <w:rPr>
          <w:szCs w:val="22"/>
          <w:lang w:val="sr-Latn-ME"/>
        </w:rPr>
        <w:t>prim</w:t>
      </w:r>
      <w:r w:rsidR="006B79BB" w:rsidRPr="000D3D7F">
        <w:rPr>
          <w:szCs w:val="22"/>
          <w:lang w:val="sr-Latn-ME"/>
        </w:rPr>
        <w:t>j</w:t>
      </w:r>
      <w:r w:rsidR="00AA1842" w:rsidRPr="000D3D7F">
        <w:rPr>
          <w:szCs w:val="22"/>
          <w:lang w:val="sr-Latn-ME"/>
        </w:rPr>
        <w:t>enu bortezomiba</w:t>
      </w:r>
      <w:r w:rsidRPr="000D3D7F">
        <w:rPr>
          <w:szCs w:val="22"/>
          <w:lang w:val="sr-Latn-ME"/>
        </w:rPr>
        <w:t>.</w:t>
      </w:r>
    </w:p>
    <w:p w14:paraId="77FDF4D6" w14:textId="7C18BBB8" w:rsidR="00D00258" w:rsidRPr="000D3D7F" w:rsidRDefault="00D00258" w:rsidP="001E1F5A">
      <w:pPr>
        <w:rPr>
          <w:szCs w:val="22"/>
          <w:u w:val="single"/>
          <w:lang w:val="sr-Latn-ME"/>
        </w:rPr>
      </w:pPr>
      <w:r w:rsidRPr="000D3D7F">
        <w:rPr>
          <w:szCs w:val="22"/>
          <w:u w:val="single"/>
          <w:lang w:val="sr-Latn-ME"/>
        </w:rPr>
        <w:t>Periferna neuropatija</w:t>
      </w:r>
    </w:p>
    <w:p w14:paraId="64A6C048" w14:textId="695AA78B" w:rsidR="00D00258" w:rsidRPr="000D3D7F" w:rsidRDefault="00D00258" w:rsidP="001E1F5A">
      <w:pPr>
        <w:rPr>
          <w:szCs w:val="22"/>
          <w:lang w:val="sr-Latn-ME"/>
        </w:rPr>
      </w:pPr>
      <w:r w:rsidRPr="000D3D7F">
        <w:rPr>
          <w:szCs w:val="22"/>
          <w:lang w:val="sr-Latn-ME"/>
        </w:rPr>
        <w:t xml:space="preserve">Terapija </w:t>
      </w:r>
      <w:r w:rsidR="00AA1842" w:rsidRPr="000D3D7F">
        <w:rPr>
          <w:szCs w:val="22"/>
          <w:lang w:val="sr-Latn-ME"/>
        </w:rPr>
        <w:t>bortezomibom</w:t>
      </w:r>
      <w:r w:rsidR="007C1B2D" w:rsidRPr="000D3D7F">
        <w:rPr>
          <w:szCs w:val="22"/>
          <w:lang w:val="sr-Latn-ME"/>
        </w:rPr>
        <w:t xml:space="preserve"> </w:t>
      </w:r>
      <w:r w:rsidRPr="000D3D7F">
        <w:rPr>
          <w:szCs w:val="22"/>
          <w:lang w:val="sr-Latn-ME"/>
        </w:rPr>
        <w:t>veoma često je udružena sa perifernom neuropatijom, uglavnom senzornom.</w:t>
      </w:r>
    </w:p>
    <w:p w14:paraId="654D4A3A" w14:textId="76FF7C2E" w:rsidR="00D00258" w:rsidRPr="000D3D7F" w:rsidRDefault="00D00258" w:rsidP="001E1F5A">
      <w:pPr>
        <w:rPr>
          <w:szCs w:val="22"/>
          <w:lang w:val="sr-Latn-ME"/>
        </w:rPr>
      </w:pPr>
      <w:r w:rsidRPr="000D3D7F">
        <w:rPr>
          <w:szCs w:val="22"/>
          <w:lang w:val="sr-Latn-ME"/>
        </w:rPr>
        <w:t>Međutim, zab</w:t>
      </w:r>
      <w:r w:rsidR="0019469E" w:rsidRPr="000D3D7F">
        <w:rPr>
          <w:szCs w:val="22"/>
          <w:lang w:val="sr-Latn-ME"/>
        </w:rPr>
        <w:t>i</w:t>
      </w:r>
      <w:r w:rsidRPr="000D3D7F">
        <w:rPr>
          <w:szCs w:val="22"/>
          <w:lang w:val="sr-Latn-ME"/>
        </w:rPr>
        <w:t>l</w:t>
      </w:r>
      <w:r w:rsidR="0019469E" w:rsidRPr="000D3D7F">
        <w:rPr>
          <w:szCs w:val="22"/>
          <w:lang w:val="sr-Latn-ME"/>
        </w:rPr>
        <w:t>j</w:t>
      </w:r>
      <w:r w:rsidRPr="000D3D7F">
        <w:rPr>
          <w:szCs w:val="22"/>
          <w:lang w:val="sr-Latn-ME"/>
        </w:rPr>
        <w:t>eženi su i slučajevi teške motorne neuropatije sa ili bez senzorne periferne neuropatije.</w:t>
      </w:r>
    </w:p>
    <w:p w14:paraId="0B8B3A79" w14:textId="7391B358" w:rsidR="00D00258" w:rsidRPr="000D3D7F" w:rsidRDefault="00223077" w:rsidP="001E1F5A">
      <w:pPr>
        <w:rPr>
          <w:szCs w:val="22"/>
          <w:lang w:val="sr-Latn-ME"/>
        </w:rPr>
      </w:pPr>
      <w:r w:rsidRPr="000D3D7F">
        <w:rPr>
          <w:szCs w:val="22"/>
          <w:lang w:val="sr-Latn-ME"/>
        </w:rPr>
        <w:t>I</w:t>
      </w:r>
      <w:r w:rsidR="00D00258" w:rsidRPr="000D3D7F">
        <w:rPr>
          <w:szCs w:val="22"/>
          <w:lang w:val="sr-Latn-ME"/>
        </w:rPr>
        <w:t>ncidenca periferne neuropatije raste na početku l</w:t>
      </w:r>
      <w:r w:rsidR="0019469E" w:rsidRPr="000D3D7F">
        <w:rPr>
          <w:szCs w:val="22"/>
          <w:lang w:val="sr-Latn-ME"/>
        </w:rPr>
        <w:t>ij</w:t>
      </w:r>
      <w:r w:rsidR="00D00258" w:rsidRPr="000D3D7F">
        <w:rPr>
          <w:szCs w:val="22"/>
          <w:lang w:val="sr-Latn-ME"/>
        </w:rPr>
        <w:t>ečenja, a zapaženo je da dostiže maksimum tokom 5.</w:t>
      </w:r>
      <w:r w:rsidRPr="000D3D7F">
        <w:rPr>
          <w:szCs w:val="22"/>
          <w:lang w:val="sr-Latn-ME"/>
        </w:rPr>
        <w:t xml:space="preserve"> </w:t>
      </w:r>
      <w:r w:rsidR="00D00258" w:rsidRPr="000D3D7F">
        <w:rPr>
          <w:szCs w:val="22"/>
          <w:lang w:val="sr-Latn-ME"/>
        </w:rPr>
        <w:t>ciklusa.</w:t>
      </w:r>
    </w:p>
    <w:p w14:paraId="2BFF9D3E" w14:textId="379A1A06" w:rsidR="00D00258" w:rsidRPr="000D3D7F" w:rsidRDefault="00D00258" w:rsidP="001E1F5A">
      <w:pPr>
        <w:rPr>
          <w:szCs w:val="22"/>
          <w:lang w:val="sr-Latn-ME"/>
        </w:rPr>
      </w:pPr>
      <w:r w:rsidRPr="000D3D7F">
        <w:rPr>
          <w:szCs w:val="22"/>
          <w:lang w:val="sr-Latn-ME"/>
        </w:rPr>
        <w:lastRenderedPageBreak/>
        <w:t>Preporučuje se pažljivo praćenje pacijenata na simptome neuropatije, kao što su os</w:t>
      </w:r>
      <w:r w:rsidR="0019469E" w:rsidRPr="000D3D7F">
        <w:rPr>
          <w:szCs w:val="22"/>
          <w:lang w:val="sr-Latn-ME"/>
        </w:rPr>
        <w:t>j</w:t>
      </w:r>
      <w:r w:rsidRPr="000D3D7F">
        <w:rPr>
          <w:szCs w:val="22"/>
          <w:lang w:val="sr-Latn-ME"/>
        </w:rPr>
        <w:t>ećaj žarenja, hiperestezija,</w:t>
      </w:r>
      <w:r w:rsidR="00223077" w:rsidRPr="000D3D7F">
        <w:rPr>
          <w:szCs w:val="22"/>
          <w:lang w:val="sr-Latn-ME"/>
        </w:rPr>
        <w:t xml:space="preserve"> </w:t>
      </w:r>
      <w:r w:rsidRPr="000D3D7F">
        <w:rPr>
          <w:szCs w:val="22"/>
          <w:lang w:val="sr-Latn-ME"/>
        </w:rPr>
        <w:t>hipoestezija, parestezija, nelagodnost, neuropatski bol ili slabost.</w:t>
      </w:r>
    </w:p>
    <w:p w14:paraId="4252029F" w14:textId="110AFA7E" w:rsidR="00D00258" w:rsidRPr="000D3D7F" w:rsidRDefault="00D00258" w:rsidP="001E1F5A">
      <w:pPr>
        <w:rPr>
          <w:szCs w:val="22"/>
          <w:lang w:val="sr-Latn-ME"/>
        </w:rPr>
      </w:pPr>
      <w:r w:rsidRPr="000D3D7F">
        <w:rPr>
          <w:szCs w:val="22"/>
          <w:lang w:val="sr-Latn-ME"/>
        </w:rPr>
        <w:t xml:space="preserve">U Fazi III kliničkog ispitivanja kada se upoređivao </w:t>
      </w:r>
      <w:r w:rsidR="00AA1842" w:rsidRPr="000D3D7F">
        <w:rPr>
          <w:szCs w:val="22"/>
          <w:lang w:val="sr-Latn-ME"/>
        </w:rPr>
        <w:t>bortezomib</w:t>
      </w:r>
      <w:r w:rsidRPr="000D3D7F">
        <w:rPr>
          <w:szCs w:val="22"/>
          <w:lang w:val="sr-Latn-ME"/>
        </w:rPr>
        <w:t xml:space="preserve"> prim</w:t>
      </w:r>
      <w:r w:rsidR="0019469E" w:rsidRPr="000D3D7F">
        <w:rPr>
          <w:szCs w:val="22"/>
          <w:lang w:val="sr-Latn-ME"/>
        </w:rPr>
        <w:t>ij</w:t>
      </w:r>
      <w:r w:rsidRPr="000D3D7F">
        <w:rPr>
          <w:szCs w:val="22"/>
          <w:lang w:val="sr-Latn-ME"/>
        </w:rPr>
        <w:t>enjen intravenski u odnosu na prim</w:t>
      </w:r>
      <w:r w:rsidR="0019469E" w:rsidRPr="000D3D7F">
        <w:rPr>
          <w:szCs w:val="22"/>
          <w:lang w:val="sr-Latn-ME"/>
        </w:rPr>
        <w:t>ij</w:t>
      </w:r>
      <w:r w:rsidRPr="000D3D7F">
        <w:rPr>
          <w:szCs w:val="22"/>
          <w:lang w:val="sr-Latn-ME"/>
        </w:rPr>
        <w:t>enjen</w:t>
      </w:r>
      <w:r w:rsidR="00223077" w:rsidRPr="000D3D7F">
        <w:rPr>
          <w:szCs w:val="22"/>
          <w:lang w:val="sr-Latn-ME"/>
        </w:rPr>
        <w:t xml:space="preserve"> </w:t>
      </w:r>
      <w:r w:rsidRPr="000D3D7F">
        <w:rPr>
          <w:szCs w:val="22"/>
          <w:lang w:val="sr-Latn-ME"/>
        </w:rPr>
        <w:t>su</w:t>
      </w:r>
      <w:r w:rsidR="005E752C" w:rsidRPr="000D3D7F">
        <w:rPr>
          <w:szCs w:val="22"/>
          <w:lang w:val="sr-Latn-ME"/>
        </w:rPr>
        <w:t>b</w:t>
      </w:r>
      <w:r w:rsidRPr="000D3D7F">
        <w:rPr>
          <w:szCs w:val="22"/>
          <w:lang w:val="sr-Latn-ME"/>
        </w:rPr>
        <w:t>kutano, incidenca događaja periferne neuropatije stepena ≥2 je bila 24% kod pacijenata u grupi koja je</w:t>
      </w:r>
      <w:r w:rsidR="00223077" w:rsidRPr="000D3D7F">
        <w:rPr>
          <w:szCs w:val="22"/>
          <w:lang w:val="sr-Latn-ME"/>
        </w:rPr>
        <w:t xml:space="preserve"> </w:t>
      </w:r>
      <w:r w:rsidRPr="000D3D7F">
        <w:rPr>
          <w:szCs w:val="22"/>
          <w:lang w:val="sr-Latn-ME"/>
        </w:rPr>
        <w:t>primala l</w:t>
      </w:r>
      <w:r w:rsidR="0019469E" w:rsidRPr="000D3D7F">
        <w:rPr>
          <w:szCs w:val="22"/>
          <w:lang w:val="sr-Latn-ME"/>
        </w:rPr>
        <w:t>ij</w:t>
      </w:r>
      <w:r w:rsidRPr="000D3D7F">
        <w:rPr>
          <w:szCs w:val="22"/>
          <w:lang w:val="sr-Latn-ME"/>
        </w:rPr>
        <w:t>ek su</w:t>
      </w:r>
      <w:r w:rsidR="005E752C" w:rsidRPr="000D3D7F">
        <w:rPr>
          <w:szCs w:val="22"/>
          <w:lang w:val="sr-Latn-ME"/>
        </w:rPr>
        <w:t>b</w:t>
      </w:r>
      <w:r w:rsidRPr="000D3D7F">
        <w:rPr>
          <w:szCs w:val="22"/>
          <w:lang w:val="sr-Latn-ME"/>
        </w:rPr>
        <w:t>kutano u odnosu 41% grupe koja je primala l</w:t>
      </w:r>
      <w:r w:rsidR="0019469E" w:rsidRPr="000D3D7F">
        <w:rPr>
          <w:szCs w:val="22"/>
          <w:lang w:val="sr-Latn-ME"/>
        </w:rPr>
        <w:t>ij</w:t>
      </w:r>
      <w:r w:rsidRPr="000D3D7F">
        <w:rPr>
          <w:szCs w:val="22"/>
          <w:lang w:val="sr-Latn-ME"/>
        </w:rPr>
        <w:t>ek intravenski. (p=0,0124). Periferne</w:t>
      </w:r>
      <w:r w:rsidR="00223077" w:rsidRPr="000D3D7F">
        <w:rPr>
          <w:szCs w:val="22"/>
          <w:lang w:val="sr-Latn-ME"/>
        </w:rPr>
        <w:t xml:space="preserve"> </w:t>
      </w:r>
      <w:r w:rsidRPr="000D3D7F">
        <w:rPr>
          <w:szCs w:val="22"/>
          <w:lang w:val="sr-Latn-ME"/>
        </w:rPr>
        <w:t>neuropatije stepena ≥3 su se javile kod 6% pacijenata koji su bili u grupi koja je l</w:t>
      </w:r>
      <w:r w:rsidR="0019469E" w:rsidRPr="000D3D7F">
        <w:rPr>
          <w:szCs w:val="22"/>
          <w:lang w:val="sr-Latn-ME"/>
        </w:rPr>
        <w:t>ij</w:t>
      </w:r>
      <w:r w:rsidRPr="000D3D7F">
        <w:rPr>
          <w:szCs w:val="22"/>
          <w:lang w:val="sr-Latn-ME"/>
        </w:rPr>
        <w:t>ek primala su</w:t>
      </w:r>
      <w:r w:rsidR="005E752C" w:rsidRPr="000D3D7F">
        <w:rPr>
          <w:szCs w:val="22"/>
          <w:lang w:val="sr-Latn-ME"/>
        </w:rPr>
        <w:t>b</w:t>
      </w:r>
      <w:r w:rsidRPr="000D3D7F">
        <w:rPr>
          <w:szCs w:val="22"/>
          <w:lang w:val="sr-Latn-ME"/>
        </w:rPr>
        <w:t>kutano u</w:t>
      </w:r>
      <w:r w:rsidR="00223077" w:rsidRPr="000D3D7F">
        <w:rPr>
          <w:szCs w:val="22"/>
          <w:lang w:val="sr-Latn-ME"/>
        </w:rPr>
        <w:t xml:space="preserve"> </w:t>
      </w:r>
      <w:r w:rsidRPr="000D3D7F">
        <w:rPr>
          <w:szCs w:val="22"/>
          <w:lang w:val="sr-Latn-ME"/>
        </w:rPr>
        <w:t>odnosu na 16% pacijenata koji su l</w:t>
      </w:r>
      <w:r w:rsidR="0019469E" w:rsidRPr="000D3D7F">
        <w:rPr>
          <w:szCs w:val="22"/>
          <w:lang w:val="sr-Latn-ME"/>
        </w:rPr>
        <w:t>ij</w:t>
      </w:r>
      <w:r w:rsidRPr="000D3D7F">
        <w:rPr>
          <w:szCs w:val="22"/>
          <w:lang w:val="sr-Latn-ME"/>
        </w:rPr>
        <w:t>ek primali intravenski (p=0,0264). Incidenca svih stepena periferne</w:t>
      </w:r>
      <w:r w:rsidR="00223077" w:rsidRPr="000D3D7F">
        <w:rPr>
          <w:szCs w:val="22"/>
          <w:lang w:val="sr-Latn-ME"/>
        </w:rPr>
        <w:t xml:space="preserve"> </w:t>
      </w:r>
      <w:r w:rsidRPr="000D3D7F">
        <w:rPr>
          <w:szCs w:val="22"/>
          <w:lang w:val="sr-Latn-ME"/>
        </w:rPr>
        <w:t xml:space="preserve">neuropatije sa </w:t>
      </w:r>
      <w:r w:rsidR="00AA1842" w:rsidRPr="000D3D7F">
        <w:rPr>
          <w:szCs w:val="22"/>
          <w:lang w:val="sr-Latn-ME"/>
        </w:rPr>
        <w:t>bortezomibom</w:t>
      </w:r>
      <w:r w:rsidRPr="000D3D7F">
        <w:rPr>
          <w:szCs w:val="22"/>
          <w:lang w:val="sr-Latn-ME"/>
        </w:rPr>
        <w:t xml:space="preserve"> prim</w:t>
      </w:r>
      <w:r w:rsidR="0019469E" w:rsidRPr="000D3D7F">
        <w:rPr>
          <w:szCs w:val="22"/>
          <w:lang w:val="sr-Latn-ME"/>
        </w:rPr>
        <w:t>ij</w:t>
      </w:r>
      <w:r w:rsidRPr="000D3D7F">
        <w:rPr>
          <w:szCs w:val="22"/>
          <w:lang w:val="sr-Latn-ME"/>
        </w:rPr>
        <w:t xml:space="preserve">enjenim intravenski je bila niža u prethodnim ispitivanjima kada je </w:t>
      </w:r>
      <w:r w:rsidR="00AA1842" w:rsidRPr="000D3D7F">
        <w:rPr>
          <w:szCs w:val="22"/>
          <w:lang w:val="sr-Latn-ME"/>
        </w:rPr>
        <w:t xml:space="preserve">bortezomib </w:t>
      </w:r>
      <w:r w:rsidRPr="000D3D7F">
        <w:rPr>
          <w:szCs w:val="22"/>
          <w:lang w:val="sr-Latn-ME"/>
        </w:rPr>
        <w:t>bio prim</w:t>
      </w:r>
      <w:r w:rsidR="0019469E" w:rsidRPr="000D3D7F">
        <w:rPr>
          <w:szCs w:val="22"/>
          <w:lang w:val="sr-Latn-ME"/>
        </w:rPr>
        <w:t>ij</w:t>
      </w:r>
      <w:r w:rsidRPr="000D3D7F">
        <w:rPr>
          <w:szCs w:val="22"/>
          <w:lang w:val="sr-Latn-ME"/>
        </w:rPr>
        <w:t>enjen intravenski nego u kliničkom ispitivanju MMY-3021.</w:t>
      </w:r>
    </w:p>
    <w:p w14:paraId="218787AE" w14:textId="6D386320" w:rsidR="00D00258" w:rsidRPr="000D3D7F" w:rsidRDefault="00D00258" w:rsidP="001E1F5A">
      <w:pPr>
        <w:rPr>
          <w:szCs w:val="22"/>
          <w:lang w:val="sr-Latn-ME"/>
        </w:rPr>
      </w:pPr>
      <w:r w:rsidRPr="000D3D7F">
        <w:rPr>
          <w:szCs w:val="22"/>
          <w:lang w:val="sr-Latn-ME"/>
        </w:rPr>
        <w:t>Pacijente kod kojih se javi ili im se pogorša već postojeća periferna neuropatija, treba podvrgnuti</w:t>
      </w:r>
      <w:r w:rsidR="00223077" w:rsidRPr="000D3D7F">
        <w:rPr>
          <w:szCs w:val="22"/>
          <w:lang w:val="sr-Latn-ME"/>
        </w:rPr>
        <w:t xml:space="preserve"> </w:t>
      </w:r>
      <w:r w:rsidRPr="000D3D7F">
        <w:rPr>
          <w:szCs w:val="22"/>
          <w:lang w:val="sr-Latn-ME"/>
        </w:rPr>
        <w:t>neurološkom pregledu i kod njih može biti neophodna izm</w:t>
      </w:r>
      <w:r w:rsidR="0019469E" w:rsidRPr="000D3D7F">
        <w:rPr>
          <w:szCs w:val="22"/>
          <w:lang w:val="sr-Latn-ME"/>
        </w:rPr>
        <w:t>j</w:t>
      </w:r>
      <w:r w:rsidRPr="000D3D7F">
        <w:rPr>
          <w:szCs w:val="22"/>
          <w:lang w:val="sr-Latn-ME"/>
        </w:rPr>
        <w:t>ena doze, režima doziranja ili prelazak na</w:t>
      </w:r>
      <w:r w:rsidR="00223077" w:rsidRPr="000D3D7F">
        <w:rPr>
          <w:szCs w:val="22"/>
          <w:lang w:val="sr-Latn-ME"/>
        </w:rPr>
        <w:t xml:space="preserve"> </w:t>
      </w:r>
      <w:r w:rsidRPr="000D3D7F">
        <w:rPr>
          <w:szCs w:val="22"/>
          <w:lang w:val="sr-Latn-ME"/>
        </w:rPr>
        <w:t>su</w:t>
      </w:r>
      <w:r w:rsidR="005E752C" w:rsidRPr="000D3D7F">
        <w:rPr>
          <w:szCs w:val="22"/>
          <w:lang w:val="sr-Latn-ME"/>
        </w:rPr>
        <w:t>b</w:t>
      </w:r>
      <w:r w:rsidRPr="000D3D7F">
        <w:rPr>
          <w:szCs w:val="22"/>
          <w:lang w:val="sr-Latn-ME"/>
        </w:rPr>
        <w:t>kutanu prim</w:t>
      </w:r>
      <w:r w:rsidR="0019469E" w:rsidRPr="000D3D7F">
        <w:rPr>
          <w:szCs w:val="22"/>
          <w:lang w:val="sr-Latn-ME"/>
        </w:rPr>
        <w:t>j</w:t>
      </w:r>
      <w:r w:rsidRPr="000D3D7F">
        <w:rPr>
          <w:szCs w:val="22"/>
          <w:lang w:val="sr-Latn-ME"/>
        </w:rPr>
        <w:t>enu(vid</w:t>
      </w:r>
      <w:r w:rsidR="0019469E"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4.2).</w:t>
      </w:r>
    </w:p>
    <w:p w14:paraId="676CD4D5" w14:textId="60420672" w:rsidR="00D00258" w:rsidRPr="000D3D7F" w:rsidRDefault="00D00258" w:rsidP="001E1F5A">
      <w:pPr>
        <w:rPr>
          <w:szCs w:val="22"/>
          <w:lang w:val="sr-Latn-ME"/>
        </w:rPr>
      </w:pPr>
      <w:r w:rsidRPr="000D3D7F">
        <w:rPr>
          <w:szCs w:val="22"/>
          <w:lang w:val="sr-Latn-ME"/>
        </w:rPr>
        <w:t>Neuropatija se l</w:t>
      </w:r>
      <w:r w:rsidR="0019469E" w:rsidRPr="000D3D7F">
        <w:rPr>
          <w:szCs w:val="22"/>
          <w:lang w:val="sr-Latn-ME"/>
        </w:rPr>
        <w:t>ij</w:t>
      </w:r>
      <w:r w:rsidRPr="000D3D7F">
        <w:rPr>
          <w:szCs w:val="22"/>
          <w:lang w:val="sr-Latn-ME"/>
        </w:rPr>
        <w:t>eči suportivnim m</w:t>
      </w:r>
      <w:r w:rsidR="0019469E" w:rsidRPr="000D3D7F">
        <w:rPr>
          <w:szCs w:val="22"/>
          <w:lang w:val="sr-Latn-ME"/>
        </w:rPr>
        <w:t>j</w:t>
      </w:r>
      <w:r w:rsidRPr="000D3D7F">
        <w:rPr>
          <w:szCs w:val="22"/>
          <w:lang w:val="sr-Latn-ME"/>
        </w:rPr>
        <w:t>erama i drugim terapijskim metodama</w:t>
      </w:r>
      <w:r w:rsidR="00223077" w:rsidRPr="000D3D7F">
        <w:rPr>
          <w:szCs w:val="22"/>
          <w:lang w:val="sr-Latn-ME"/>
        </w:rPr>
        <w:t xml:space="preserve"> </w:t>
      </w:r>
    </w:p>
    <w:p w14:paraId="7CECA4E1" w14:textId="65059385" w:rsidR="00D00258" w:rsidRPr="000D3D7F" w:rsidRDefault="00D00258" w:rsidP="001E1F5A">
      <w:pPr>
        <w:rPr>
          <w:szCs w:val="22"/>
          <w:lang w:val="sr-Latn-ME"/>
        </w:rPr>
      </w:pPr>
      <w:r w:rsidRPr="000D3D7F">
        <w:rPr>
          <w:szCs w:val="22"/>
          <w:lang w:val="sr-Latn-ME"/>
        </w:rPr>
        <w:t>Treba razmotriti rano i redovno praćenje simptoma neuropatije koja zaht</w:t>
      </w:r>
      <w:r w:rsidR="0019469E" w:rsidRPr="000D3D7F">
        <w:rPr>
          <w:szCs w:val="22"/>
          <w:lang w:val="sr-Latn-ME"/>
        </w:rPr>
        <w:t>ij</w:t>
      </w:r>
      <w:r w:rsidRPr="000D3D7F">
        <w:rPr>
          <w:szCs w:val="22"/>
          <w:lang w:val="sr-Latn-ME"/>
        </w:rPr>
        <w:t>eva hitno l</w:t>
      </w:r>
      <w:r w:rsidR="0019469E" w:rsidRPr="000D3D7F">
        <w:rPr>
          <w:szCs w:val="22"/>
          <w:lang w:val="sr-Latn-ME"/>
        </w:rPr>
        <w:t>ij</w:t>
      </w:r>
      <w:r w:rsidRPr="000D3D7F">
        <w:rPr>
          <w:szCs w:val="22"/>
          <w:lang w:val="sr-Latn-ME"/>
        </w:rPr>
        <w:t>ečenje sa neurološkom</w:t>
      </w:r>
      <w:r w:rsidR="00223077" w:rsidRPr="000D3D7F">
        <w:rPr>
          <w:szCs w:val="22"/>
          <w:lang w:val="sr-Latn-ME"/>
        </w:rPr>
        <w:t xml:space="preserve"> </w:t>
      </w:r>
      <w:r w:rsidRPr="000D3D7F">
        <w:rPr>
          <w:szCs w:val="22"/>
          <w:lang w:val="sr-Latn-ME"/>
        </w:rPr>
        <w:t xml:space="preserve">evaluacijom kod pacijentata koji primaju </w:t>
      </w:r>
      <w:r w:rsidR="00AA1842" w:rsidRPr="000D3D7F">
        <w:rPr>
          <w:szCs w:val="22"/>
          <w:lang w:val="sr-Latn-ME"/>
        </w:rPr>
        <w:t>bortezomib</w:t>
      </w:r>
      <w:r w:rsidRPr="000D3D7F">
        <w:rPr>
          <w:szCs w:val="22"/>
          <w:lang w:val="sr-Latn-ME"/>
        </w:rPr>
        <w:t xml:space="preserve"> u kombinaciji sa drugim l</w:t>
      </w:r>
      <w:r w:rsidR="0019469E" w:rsidRPr="000D3D7F">
        <w:rPr>
          <w:szCs w:val="22"/>
          <w:lang w:val="sr-Latn-ME"/>
        </w:rPr>
        <w:t>j</w:t>
      </w:r>
      <w:r w:rsidRPr="000D3D7F">
        <w:rPr>
          <w:szCs w:val="22"/>
          <w:lang w:val="sr-Latn-ME"/>
        </w:rPr>
        <w:t>ekovima za koje je poznato</w:t>
      </w:r>
      <w:r w:rsidR="00223077" w:rsidRPr="000D3D7F">
        <w:rPr>
          <w:szCs w:val="22"/>
          <w:lang w:val="sr-Latn-ME"/>
        </w:rPr>
        <w:t xml:space="preserve"> </w:t>
      </w:r>
      <w:r w:rsidRPr="000D3D7F">
        <w:rPr>
          <w:szCs w:val="22"/>
          <w:lang w:val="sr-Latn-ME"/>
        </w:rPr>
        <w:t>da su udruženi sa neuropatijom (na prim</w:t>
      </w:r>
      <w:r w:rsidR="0019469E" w:rsidRPr="000D3D7F">
        <w:rPr>
          <w:szCs w:val="22"/>
          <w:lang w:val="sr-Latn-ME"/>
        </w:rPr>
        <w:t>j</w:t>
      </w:r>
      <w:r w:rsidRPr="000D3D7F">
        <w:rPr>
          <w:szCs w:val="22"/>
          <w:lang w:val="sr-Latn-ME"/>
        </w:rPr>
        <w:t>er talidomid) i takođe treba razmotriti smanjenje doze ili</w:t>
      </w:r>
      <w:r w:rsidR="00223077" w:rsidRPr="000D3D7F">
        <w:rPr>
          <w:szCs w:val="22"/>
          <w:lang w:val="sr-Latn-ME"/>
        </w:rPr>
        <w:t xml:space="preserve"> </w:t>
      </w:r>
      <w:r w:rsidRPr="000D3D7F">
        <w:rPr>
          <w:szCs w:val="22"/>
          <w:lang w:val="sr-Latn-ME"/>
        </w:rPr>
        <w:t>obustavljanje terapije.</w:t>
      </w:r>
    </w:p>
    <w:p w14:paraId="316E5960" w14:textId="5500B1DD" w:rsidR="00D00258" w:rsidRPr="000D3D7F" w:rsidRDefault="00D00258" w:rsidP="001E1F5A">
      <w:pPr>
        <w:rPr>
          <w:szCs w:val="22"/>
          <w:lang w:val="sr-Latn-ME"/>
        </w:rPr>
      </w:pPr>
      <w:r w:rsidRPr="000D3D7F">
        <w:rPr>
          <w:szCs w:val="22"/>
          <w:lang w:val="sr-Latn-ME"/>
        </w:rPr>
        <w:t>Pored periferne neuropatije, neuropatija autonomnog nervnog sistema može da doprinese pojavi nekih drugih</w:t>
      </w:r>
      <w:r w:rsidR="00223077" w:rsidRPr="000D3D7F">
        <w:rPr>
          <w:szCs w:val="22"/>
          <w:lang w:val="sr-Latn-ME"/>
        </w:rPr>
        <w:t xml:space="preserve"> </w:t>
      </w:r>
      <w:r w:rsidRPr="000D3D7F">
        <w:rPr>
          <w:szCs w:val="22"/>
          <w:lang w:val="sr-Latn-ME"/>
        </w:rPr>
        <w:t>neželjenih dejstava, kao što su posturalna hipotenzija i teška opstipacija sa ileusom. O neuropatiji</w:t>
      </w:r>
      <w:r w:rsidR="00223077" w:rsidRPr="000D3D7F">
        <w:rPr>
          <w:szCs w:val="22"/>
          <w:lang w:val="sr-Latn-ME"/>
        </w:rPr>
        <w:t xml:space="preserve"> </w:t>
      </w:r>
      <w:r w:rsidRPr="000D3D7F">
        <w:rPr>
          <w:szCs w:val="22"/>
          <w:lang w:val="sr-Latn-ME"/>
        </w:rPr>
        <w:t>autonomnog nervnog sistema i njenom uticaju na razvoj neželjenih reakcija postoji malo podataka.</w:t>
      </w:r>
    </w:p>
    <w:p w14:paraId="716791B6" w14:textId="5EFFBD43" w:rsidR="00D00258" w:rsidRPr="000D3D7F" w:rsidRDefault="00D00258" w:rsidP="001E1F5A">
      <w:pPr>
        <w:rPr>
          <w:szCs w:val="22"/>
          <w:u w:val="single"/>
          <w:lang w:val="sr-Latn-ME"/>
        </w:rPr>
      </w:pPr>
      <w:r w:rsidRPr="000D3D7F">
        <w:rPr>
          <w:szCs w:val="22"/>
          <w:u w:val="single"/>
          <w:lang w:val="sr-Latn-ME"/>
        </w:rPr>
        <w:t>Napadi</w:t>
      </w:r>
    </w:p>
    <w:p w14:paraId="214310B6" w14:textId="56EA3DF4" w:rsidR="00D00258" w:rsidRPr="000D3D7F" w:rsidRDefault="00D00258" w:rsidP="001E1F5A">
      <w:pPr>
        <w:rPr>
          <w:szCs w:val="22"/>
          <w:lang w:val="sr-Latn-ME"/>
        </w:rPr>
      </w:pPr>
      <w:r w:rsidRPr="000D3D7F">
        <w:rPr>
          <w:szCs w:val="22"/>
          <w:lang w:val="sr-Latn-ME"/>
        </w:rPr>
        <w:t>Napadi su r</w:t>
      </w:r>
      <w:r w:rsidR="0019469E" w:rsidRPr="000D3D7F">
        <w:rPr>
          <w:szCs w:val="22"/>
          <w:lang w:val="sr-Latn-ME"/>
        </w:rPr>
        <w:t>ij</w:t>
      </w:r>
      <w:r w:rsidRPr="000D3D7F">
        <w:rPr>
          <w:szCs w:val="22"/>
          <w:lang w:val="sr-Latn-ME"/>
        </w:rPr>
        <w:t>etko b</w:t>
      </w:r>
      <w:r w:rsidR="0019469E" w:rsidRPr="000D3D7F">
        <w:rPr>
          <w:szCs w:val="22"/>
          <w:lang w:val="sr-Latn-ME"/>
        </w:rPr>
        <w:t>i</w:t>
      </w:r>
      <w:r w:rsidRPr="000D3D7F">
        <w:rPr>
          <w:szCs w:val="22"/>
          <w:lang w:val="sr-Latn-ME"/>
        </w:rPr>
        <w:t>l</w:t>
      </w:r>
      <w:r w:rsidR="0019469E" w:rsidRPr="000D3D7F">
        <w:rPr>
          <w:szCs w:val="22"/>
          <w:lang w:val="sr-Latn-ME"/>
        </w:rPr>
        <w:t>j</w:t>
      </w:r>
      <w:r w:rsidRPr="000D3D7F">
        <w:rPr>
          <w:szCs w:val="22"/>
          <w:lang w:val="sr-Latn-ME"/>
        </w:rPr>
        <w:t>eženi kod pacijenata bez prethodne istorije napada ili epilepsije. Posebna pažnja je</w:t>
      </w:r>
      <w:r w:rsidR="00223077" w:rsidRPr="000D3D7F">
        <w:rPr>
          <w:szCs w:val="22"/>
          <w:lang w:val="sr-Latn-ME"/>
        </w:rPr>
        <w:t xml:space="preserve"> </w:t>
      </w:r>
      <w:r w:rsidRPr="000D3D7F">
        <w:rPr>
          <w:szCs w:val="22"/>
          <w:lang w:val="sr-Latn-ME"/>
        </w:rPr>
        <w:t>potrebna kod l</w:t>
      </w:r>
      <w:r w:rsidR="0019469E" w:rsidRPr="000D3D7F">
        <w:rPr>
          <w:szCs w:val="22"/>
          <w:lang w:val="sr-Latn-ME"/>
        </w:rPr>
        <w:t>ij</w:t>
      </w:r>
      <w:r w:rsidRPr="000D3D7F">
        <w:rPr>
          <w:szCs w:val="22"/>
          <w:lang w:val="sr-Latn-ME"/>
        </w:rPr>
        <w:t>ečenja pacijenata sa bilo kakvim faktorima rizika za epileptičke napade.</w:t>
      </w:r>
    </w:p>
    <w:p w14:paraId="24E4CBEB" w14:textId="41F83F38" w:rsidR="00D00258" w:rsidRPr="000D3D7F" w:rsidRDefault="00D00258" w:rsidP="001E1F5A">
      <w:pPr>
        <w:rPr>
          <w:szCs w:val="22"/>
          <w:u w:val="single"/>
          <w:lang w:val="sr-Latn-ME"/>
        </w:rPr>
      </w:pPr>
      <w:r w:rsidRPr="000D3D7F">
        <w:rPr>
          <w:szCs w:val="22"/>
          <w:u w:val="single"/>
          <w:lang w:val="sr-Latn-ME"/>
        </w:rPr>
        <w:t>Hipotenzija</w:t>
      </w:r>
    </w:p>
    <w:p w14:paraId="64594854" w14:textId="52F71E36" w:rsidR="00D00258" w:rsidRPr="000D3D7F" w:rsidRDefault="00D00258" w:rsidP="001E1F5A">
      <w:pPr>
        <w:rPr>
          <w:szCs w:val="22"/>
          <w:lang w:val="sr-Latn-ME"/>
        </w:rPr>
      </w:pPr>
      <w:r w:rsidRPr="000D3D7F">
        <w:rPr>
          <w:szCs w:val="22"/>
          <w:lang w:val="sr-Latn-ME"/>
        </w:rPr>
        <w:t xml:space="preserve">Terapija </w:t>
      </w:r>
      <w:r w:rsidR="00AA1842" w:rsidRPr="000D3D7F">
        <w:rPr>
          <w:szCs w:val="22"/>
          <w:lang w:val="sr-Latn-ME"/>
        </w:rPr>
        <w:t>bortezomibom</w:t>
      </w:r>
      <w:r w:rsidRPr="000D3D7F">
        <w:rPr>
          <w:szCs w:val="22"/>
          <w:lang w:val="sr-Latn-ME"/>
        </w:rPr>
        <w:t xml:space="preserve"> je često povezana sa ortostatskom/posturalnom hipotenzijom. U većini slučajeva,</w:t>
      </w:r>
      <w:r w:rsidR="00223077" w:rsidRPr="000D3D7F">
        <w:rPr>
          <w:szCs w:val="22"/>
          <w:lang w:val="sr-Latn-ME"/>
        </w:rPr>
        <w:t xml:space="preserve"> </w:t>
      </w:r>
      <w:r w:rsidRPr="000D3D7F">
        <w:rPr>
          <w:szCs w:val="22"/>
          <w:lang w:val="sr-Latn-ME"/>
        </w:rPr>
        <w:t>neželjene rekacije su po svojoj prirodi blag</w:t>
      </w:r>
      <w:r w:rsidR="00B04B5A" w:rsidRPr="000D3D7F">
        <w:rPr>
          <w:szCs w:val="22"/>
          <w:lang w:val="sr-Latn-ME"/>
        </w:rPr>
        <w:t>e</w:t>
      </w:r>
      <w:r w:rsidRPr="000D3D7F">
        <w:rPr>
          <w:szCs w:val="22"/>
          <w:lang w:val="sr-Latn-ME"/>
        </w:rPr>
        <w:t xml:space="preserve"> do um</w:t>
      </w:r>
      <w:r w:rsidR="0019469E" w:rsidRPr="000D3D7F">
        <w:rPr>
          <w:szCs w:val="22"/>
          <w:lang w:val="sr-Latn-ME"/>
        </w:rPr>
        <w:t>j</w:t>
      </w:r>
      <w:r w:rsidRPr="000D3D7F">
        <w:rPr>
          <w:szCs w:val="22"/>
          <w:lang w:val="sr-Latn-ME"/>
        </w:rPr>
        <w:t>eren</w:t>
      </w:r>
      <w:r w:rsidR="00B04B5A" w:rsidRPr="000D3D7F">
        <w:rPr>
          <w:szCs w:val="22"/>
          <w:lang w:val="sr-Latn-ME"/>
        </w:rPr>
        <w:t>e</w:t>
      </w:r>
      <w:r w:rsidRPr="000D3D7F">
        <w:rPr>
          <w:szCs w:val="22"/>
          <w:lang w:val="sr-Latn-ME"/>
        </w:rPr>
        <w:t>i zapažaju se tokom c</w:t>
      </w:r>
      <w:r w:rsidR="0019469E" w:rsidRPr="000D3D7F">
        <w:rPr>
          <w:szCs w:val="22"/>
          <w:lang w:val="sr-Latn-ME"/>
        </w:rPr>
        <w:t>ij</w:t>
      </w:r>
      <w:r w:rsidRPr="000D3D7F">
        <w:rPr>
          <w:szCs w:val="22"/>
          <w:lang w:val="sr-Latn-ME"/>
        </w:rPr>
        <w:t>elog toka l</w:t>
      </w:r>
      <w:r w:rsidR="0019469E" w:rsidRPr="000D3D7F">
        <w:rPr>
          <w:szCs w:val="22"/>
          <w:lang w:val="sr-Latn-ME"/>
        </w:rPr>
        <w:t>ij</w:t>
      </w:r>
      <w:r w:rsidRPr="000D3D7F">
        <w:rPr>
          <w:szCs w:val="22"/>
          <w:lang w:val="sr-Latn-ME"/>
        </w:rPr>
        <w:t>ečenja. Pacijenti</w:t>
      </w:r>
      <w:r w:rsidR="00223077" w:rsidRPr="000D3D7F">
        <w:rPr>
          <w:szCs w:val="22"/>
          <w:lang w:val="sr-Latn-ME"/>
        </w:rPr>
        <w:t xml:space="preserve"> </w:t>
      </w:r>
      <w:r w:rsidRPr="000D3D7F">
        <w:rPr>
          <w:szCs w:val="22"/>
          <w:lang w:val="sr-Latn-ME"/>
        </w:rPr>
        <w:t>kod kojih se javila ortostatska hipotenzija prilikom</w:t>
      </w:r>
      <w:r w:rsidR="00AA1842" w:rsidRPr="000D3D7F">
        <w:rPr>
          <w:szCs w:val="22"/>
          <w:lang w:val="sr-Latn-ME"/>
        </w:rPr>
        <w:t xml:space="preserve"> prim</w:t>
      </w:r>
      <w:r w:rsidR="006B79BB" w:rsidRPr="000D3D7F">
        <w:rPr>
          <w:szCs w:val="22"/>
          <w:lang w:val="sr-Latn-ME"/>
        </w:rPr>
        <w:t>j</w:t>
      </w:r>
      <w:r w:rsidR="00AA1842" w:rsidRPr="000D3D7F">
        <w:rPr>
          <w:szCs w:val="22"/>
          <w:lang w:val="sr-Latn-ME"/>
        </w:rPr>
        <w:t>ene</w:t>
      </w:r>
      <w:r w:rsidRPr="000D3D7F">
        <w:rPr>
          <w:szCs w:val="22"/>
          <w:lang w:val="sr-Latn-ME"/>
        </w:rPr>
        <w:t xml:space="preserve"> </w:t>
      </w:r>
      <w:r w:rsidR="00AA1842" w:rsidRPr="000D3D7F">
        <w:rPr>
          <w:szCs w:val="22"/>
          <w:lang w:val="sr-Latn-ME"/>
        </w:rPr>
        <w:t>bortezomiba</w:t>
      </w:r>
      <w:r w:rsidRPr="000D3D7F">
        <w:rPr>
          <w:szCs w:val="22"/>
          <w:lang w:val="sr-Latn-ME"/>
        </w:rPr>
        <w:t xml:space="preserve"> (prim</w:t>
      </w:r>
      <w:r w:rsidR="0019469E" w:rsidRPr="000D3D7F">
        <w:rPr>
          <w:szCs w:val="22"/>
          <w:lang w:val="sr-Latn-ME"/>
        </w:rPr>
        <w:t>ij</w:t>
      </w:r>
      <w:r w:rsidRPr="000D3D7F">
        <w:rPr>
          <w:szCs w:val="22"/>
          <w:lang w:val="sr-Latn-ME"/>
        </w:rPr>
        <w:t>enjen intravenski) ni</w:t>
      </w:r>
      <w:r w:rsidR="001E1F5A" w:rsidRPr="000D3D7F">
        <w:rPr>
          <w:szCs w:val="22"/>
          <w:lang w:val="sr-Latn-ME"/>
        </w:rPr>
        <w:t>je</w:t>
      </w:r>
      <w:r w:rsidRPr="000D3D7F">
        <w:rPr>
          <w:szCs w:val="22"/>
          <w:lang w:val="sr-Latn-ME"/>
        </w:rPr>
        <w:t>su imali</w:t>
      </w:r>
      <w:r w:rsidR="00223077" w:rsidRPr="000D3D7F">
        <w:rPr>
          <w:szCs w:val="22"/>
          <w:lang w:val="sr-Latn-ME"/>
        </w:rPr>
        <w:t xml:space="preserve"> </w:t>
      </w:r>
      <w:r w:rsidRPr="000D3D7F">
        <w:rPr>
          <w:szCs w:val="22"/>
          <w:lang w:val="sr-Latn-ME"/>
        </w:rPr>
        <w:t>znake ortostatske hipotenzije pr</w:t>
      </w:r>
      <w:r w:rsidR="00BB3814" w:rsidRPr="000D3D7F">
        <w:rPr>
          <w:szCs w:val="22"/>
          <w:lang w:val="sr-Latn-ME"/>
        </w:rPr>
        <w:t>ij</w:t>
      </w:r>
      <w:r w:rsidRPr="000D3D7F">
        <w:rPr>
          <w:szCs w:val="22"/>
          <w:lang w:val="sr-Latn-ME"/>
        </w:rPr>
        <w:t>e terapije ovim l</w:t>
      </w:r>
      <w:r w:rsidR="00BB3814" w:rsidRPr="000D3D7F">
        <w:rPr>
          <w:szCs w:val="22"/>
          <w:lang w:val="sr-Latn-ME"/>
        </w:rPr>
        <w:t>ij</w:t>
      </w:r>
      <w:r w:rsidRPr="000D3D7F">
        <w:rPr>
          <w:szCs w:val="22"/>
          <w:lang w:val="sr-Latn-ME"/>
        </w:rPr>
        <w:t>ekom. Većini pacijenata je bilo potrebno l</w:t>
      </w:r>
      <w:r w:rsidR="00BB3814" w:rsidRPr="000D3D7F">
        <w:rPr>
          <w:szCs w:val="22"/>
          <w:lang w:val="sr-Latn-ME"/>
        </w:rPr>
        <w:t>ij</w:t>
      </w:r>
      <w:r w:rsidRPr="000D3D7F">
        <w:rPr>
          <w:szCs w:val="22"/>
          <w:lang w:val="sr-Latn-ME"/>
        </w:rPr>
        <w:t>ečenje ortostatske</w:t>
      </w:r>
      <w:r w:rsidR="00223077" w:rsidRPr="000D3D7F">
        <w:rPr>
          <w:szCs w:val="22"/>
          <w:lang w:val="sr-Latn-ME"/>
        </w:rPr>
        <w:t xml:space="preserve"> </w:t>
      </w:r>
      <w:r w:rsidRPr="000D3D7F">
        <w:rPr>
          <w:szCs w:val="22"/>
          <w:lang w:val="sr-Latn-ME"/>
        </w:rPr>
        <w:t>hipotenzije. Mali broj pacijenata sa ortostatskom hipotenzijom imao je sinkope. Ortostatska/posturalna</w:t>
      </w:r>
      <w:r w:rsidR="00223077" w:rsidRPr="000D3D7F">
        <w:rPr>
          <w:szCs w:val="22"/>
          <w:lang w:val="sr-Latn-ME"/>
        </w:rPr>
        <w:t xml:space="preserve"> </w:t>
      </w:r>
      <w:r w:rsidRPr="000D3D7F">
        <w:rPr>
          <w:szCs w:val="22"/>
          <w:lang w:val="sr-Latn-ME"/>
        </w:rPr>
        <w:t xml:space="preserve">hipotenzija nije bila direktno izazvana bolusnom infuzijom </w:t>
      </w:r>
      <w:r w:rsidR="00AA1842" w:rsidRPr="000D3D7F">
        <w:rPr>
          <w:szCs w:val="22"/>
          <w:lang w:val="sr-Latn-ME"/>
        </w:rPr>
        <w:t>bortezomiba</w:t>
      </w:r>
      <w:r w:rsidRPr="000D3D7F">
        <w:rPr>
          <w:szCs w:val="22"/>
          <w:lang w:val="sr-Latn-ME"/>
        </w:rPr>
        <w:t>. Mehanizam ovog događaja nije</w:t>
      </w:r>
      <w:r w:rsidR="00223077" w:rsidRPr="000D3D7F">
        <w:rPr>
          <w:szCs w:val="22"/>
          <w:lang w:val="sr-Latn-ME"/>
        </w:rPr>
        <w:t xml:space="preserve"> </w:t>
      </w:r>
      <w:r w:rsidRPr="000D3D7F">
        <w:rPr>
          <w:szCs w:val="22"/>
          <w:lang w:val="sr-Latn-ME"/>
        </w:rPr>
        <w:t>poznat, mada d</w:t>
      </w:r>
      <w:r w:rsidR="00BB3814" w:rsidRPr="000D3D7F">
        <w:rPr>
          <w:szCs w:val="22"/>
          <w:lang w:val="sr-Latn-ME"/>
        </w:rPr>
        <w:t>j</w:t>
      </w:r>
      <w:r w:rsidRPr="000D3D7F">
        <w:rPr>
          <w:szCs w:val="22"/>
          <w:lang w:val="sr-Latn-ME"/>
        </w:rPr>
        <w:t>elimično može da bude posl</w:t>
      </w:r>
      <w:r w:rsidR="00BB3814" w:rsidRPr="000D3D7F">
        <w:rPr>
          <w:szCs w:val="22"/>
          <w:lang w:val="sr-Latn-ME"/>
        </w:rPr>
        <w:t>j</w:t>
      </w:r>
      <w:r w:rsidRPr="000D3D7F">
        <w:rPr>
          <w:szCs w:val="22"/>
          <w:lang w:val="sr-Latn-ME"/>
        </w:rPr>
        <w:t>edica neuropatije autonomnog nervnog sistema. Neuropatija</w:t>
      </w:r>
      <w:r w:rsidR="00223077" w:rsidRPr="000D3D7F">
        <w:rPr>
          <w:szCs w:val="22"/>
          <w:lang w:val="sr-Latn-ME"/>
        </w:rPr>
        <w:t xml:space="preserve"> </w:t>
      </w:r>
      <w:r w:rsidRPr="000D3D7F">
        <w:rPr>
          <w:szCs w:val="22"/>
          <w:lang w:val="sr-Latn-ME"/>
        </w:rPr>
        <w:t>autonomnog nervnog sistema može biti povezana sa bortezomibom ili bortezomib može pogoršati neko već</w:t>
      </w:r>
      <w:r w:rsidR="00223077" w:rsidRPr="000D3D7F">
        <w:rPr>
          <w:szCs w:val="22"/>
          <w:lang w:val="sr-Latn-ME"/>
        </w:rPr>
        <w:t xml:space="preserve"> </w:t>
      </w:r>
      <w:r w:rsidRPr="000D3D7F">
        <w:rPr>
          <w:szCs w:val="22"/>
          <w:lang w:val="sr-Latn-ME"/>
        </w:rPr>
        <w:t>postojeće stanje, kao što je dijabetesna ili amiloidna neuropatija. Sav</w:t>
      </w:r>
      <w:r w:rsidR="00BB3814" w:rsidRPr="000D3D7F">
        <w:rPr>
          <w:szCs w:val="22"/>
          <w:lang w:val="sr-Latn-ME"/>
        </w:rPr>
        <w:t>j</w:t>
      </w:r>
      <w:r w:rsidRPr="000D3D7F">
        <w:rPr>
          <w:szCs w:val="22"/>
          <w:lang w:val="sr-Latn-ME"/>
        </w:rPr>
        <w:t>etuje se oprez kod l</w:t>
      </w:r>
      <w:r w:rsidR="00BB3814" w:rsidRPr="000D3D7F">
        <w:rPr>
          <w:szCs w:val="22"/>
          <w:lang w:val="sr-Latn-ME"/>
        </w:rPr>
        <w:t>ij</w:t>
      </w:r>
      <w:r w:rsidRPr="000D3D7F">
        <w:rPr>
          <w:szCs w:val="22"/>
          <w:lang w:val="sr-Latn-ME"/>
        </w:rPr>
        <w:t>ečenja pacijenata sa</w:t>
      </w:r>
      <w:r w:rsidR="00223077" w:rsidRPr="000D3D7F">
        <w:rPr>
          <w:szCs w:val="22"/>
          <w:lang w:val="sr-Latn-ME"/>
        </w:rPr>
        <w:t xml:space="preserve"> </w:t>
      </w:r>
      <w:r w:rsidRPr="000D3D7F">
        <w:rPr>
          <w:szCs w:val="22"/>
          <w:lang w:val="sr-Latn-ME"/>
        </w:rPr>
        <w:t>sinkopom u anamnezi kada primaju l</w:t>
      </w:r>
      <w:r w:rsidR="00BB3814" w:rsidRPr="000D3D7F">
        <w:rPr>
          <w:szCs w:val="22"/>
          <w:lang w:val="sr-Latn-ME"/>
        </w:rPr>
        <w:t>j</w:t>
      </w:r>
      <w:r w:rsidRPr="000D3D7F">
        <w:rPr>
          <w:szCs w:val="22"/>
          <w:lang w:val="sr-Latn-ME"/>
        </w:rPr>
        <w:t>ekove za koje se zna da izazivaju hipotenziju, kao i kod dehidriranih</w:t>
      </w:r>
      <w:r w:rsidR="00223077" w:rsidRPr="000D3D7F">
        <w:rPr>
          <w:szCs w:val="22"/>
          <w:lang w:val="sr-Latn-ME"/>
        </w:rPr>
        <w:t xml:space="preserve"> </w:t>
      </w:r>
      <w:r w:rsidRPr="000D3D7F">
        <w:rPr>
          <w:szCs w:val="22"/>
          <w:lang w:val="sr-Latn-ME"/>
        </w:rPr>
        <w:t>bolesnika usl</w:t>
      </w:r>
      <w:r w:rsidR="00BB3814" w:rsidRPr="000D3D7F">
        <w:rPr>
          <w:szCs w:val="22"/>
          <w:lang w:val="sr-Latn-ME"/>
        </w:rPr>
        <w:t>j</w:t>
      </w:r>
      <w:r w:rsidRPr="000D3D7F">
        <w:rPr>
          <w:szCs w:val="22"/>
          <w:lang w:val="sr-Latn-ME"/>
        </w:rPr>
        <w:t>ed ponovljenih dijareja ili povraćanja. Kod ortostatske/posturalne hipotenzije može se</w:t>
      </w:r>
      <w:r w:rsidR="00223077" w:rsidRPr="000D3D7F">
        <w:rPr>
          <w:szCs w:val="22"/>
          <w:lang w:val="sr-Latn-ME"/>
        </w:rPr>
        <w:t xml:space="preserve"> </w:t>
      </w:r>
      <w:r w:rsidRPr="000D3D7F">
        <w:rPr>
          <w:szCs w:val="22"/>
          <w:lang w:val="sr-Latn-ME"/>
        </w:rPr>
        <w:t>prilagoditi doza antihipertenziva, rehidr</w:t>
      </w:r>
      <w:r w:rsidR="00BB3814" w:rsidRPr="000D3D7F">
        <w:rPr>
          <w:szCs w:val="22"/>
          <w:lang w:val="sr-Latn-ME"/>
        </w:rPr>
        <w:t>ir</w:t>
      </w:r>
      <w:r w:rsidRPr="000D3D7F">
        <w:rPr>
          <w:szCs w:val="22"/>
          <w:lang w:val="sr-Latn-ME"/>
        </w:rPr>
        <w:t>ati pacijent ili prim</w:t>
      </w:r>
      <w:r w:rsidR="00BB3814" w:rsidRPr="000D3D7F">
        <w:rPr>
          <w:szCs w:val="22"/>
          <w:lang w:val="sr-Latn-ME"/>
        </w:rPr>
        <w:t>ij</w:t>
      </w:r>
      <w:r w:rsidRPr="000D3D7F">
        <w:rPr>
          <w:szCs w:val="22"/>
          <w:lang w:val="sr-Latn-ME"/>
        </w:rPr>
        <w:t>eniti mineralokortikosteroidi i/ili</w:t>
      </w:r>
      <w:r w:rsidR="00223077" w:rsidRPr="000D3D7F">
        <w:rPr>
          <w:szCs w:val="22"/>
          <w:lang w:val="sr-Latn-ME"/>
        </w:rPr>
        <w:t xml:space="preserve"> </w:t>
      </w:r>
      <w:r w:rsidRPr="000D3D7F">
        <w:rPr>
          <w:szCs w:val="22"/>
          <w:lang w:val="sr-Latn-ME"/>
        </w:rPr>
        <w:t>simpatomimetici. Pacijente treba uputiti da zatraže sav</w:t>
      </w:r>
      <w:r w:rsidR="00BB3814" w:rsidRPr="000D3D7F">
        <w:rPr>
          <w:szCs w:val="22"/>
          <w:lang w:val="sr-Latn-ME"/>
        </w:rPr>
        <w:t>j</w:t>
      </w:r>
      <w:r w:rsidRPr="000D3D7F">
        <w:rPr>
          <w:szCs w:val="22"/>
          <w:lang w:val="sr-Latn-ME"/>
        </w:rPr>
        <w:t>et l</w:t>
      </w:r>
      <w:r w:rsidR="00BB3814" w:rsidRPr="000D3D7F">
        <w:rPr>
          <w:szCs w:val="22"/>
          <w:lang w:val="sr-Latn-ME"/>
        </w:rPr>
        <w:t>j</w:t>
      </w:r>
      <w:r w:rsidRPr="000D3D7F">
        <w:rPr>
          <w:szCs w:val="22"/>
          <w:lang w:val="sr-Latn-ME"/>
        </w:rPr>
        <w:t>ekara ukoliko imaju simptome vrtoglavice,</w:t>
      </w:r>
      <w:r w:rsidR="00223077" w:rsidRPr="000D3D7F">
        <w:rPr>
          <w:szCs w:val="22"/>
          <w:lang w:val="sr-Latn-ME"/>
        </w:rPr>
        <w:t xml:space="preserve"> </w:t>
      </w:r>
      <w:r w:rsidRPr="000D3D7F">
        <w:rPr>
          <w:szCs w:val="22"/>
          <w:lang w:val="sr-Latn-ME"/>
        </w:rPr>
        <w:t>ošamućenosti ili napade nesv</w:t>
      </w:r>
      <w:r w:rsidR="00BB3814" w:rsidRPr="000D3D7F">
        <w:rPr>
          <w:szCs w:val="22"/>
          <w:lang w:val="sr-Latn-ME"/>
        </w:rPr>
        <w:t>j</w:t>
      </w:r>
      <w:r w:rsidRPr="000D3D7F">
        <w:rPr>
          <w:szCs w:val="22"/>
          <w:lang w:val="sr-Latn-ME"/>
        </w:rPr>
        <w:t>estice.</w:t>
      </w:r>
    </w:p>
    <w:p w14:paraId="5038B26E" w14:textId="29E516D9" w:rsidR="00D00258" w:rsidRPr="000D3D7F" w:rsidRDefault="00D00258" w:rsidP="001E1F5A">
      <w:pPr>
        <w:rPr>
          <w:szCs w:val="22"/>
          <w:u w:val="single"/>
          <w:lang w:val="sr-Latn-ME"/>
        </w:rPr>
      </w:pPr>
      <w:r w:rsidRPr="000D3D7F">
        <w:rPr>
          <w:szCs w:val="22"/>
          <w:u w:val="single"/>
          <w:lang w:val="sr-Latn-ME"/>
        </w:rPr>
        <w:t>Sindrom posteriorne reverzibine leukoencefalopatije (PRES)</w:t>
      </w:r>
    </w:p>
    <w:p w14:paraId="238D0681" w14:textId="01292CF0" w:rsidR="00D00258" w:rsidRPr="000D3D7F" w:rsidRDefault="00D00258" w:rsidP="001E1F5A">
      <w:pPr>
        <w:rPr>
          <w:szCs w:val="22"/>
          <w:lang w:val="sr-Latn-ME"/>
        </w:rPr>
      </w:pPr>
      <w:r w:rsidRPr="000D3D7F">
        <w:rPr>
          <w:szCs w:val="22"/>
          <w:lang w:val="sr-Latn-ME"/>
        </w:rPr>
        <w:t xml:space="preserve">Sindrom posteriorne reverzibilne leukoencefalopatije (PRES) je prijavljen kod pacijenata koji su primali </w:t>
      </w:r>
      <w:r w:rsidR="00AA1842" w:rsidRPr="000D3D7F">
        <w:rPr>
          <w:szCs w:val="22"/>
          <w:lang w:val="sr-Latn-ME"/>
        </w:rPr>
        <w:t>bortezomib</w:t>
      </w:r>
      <w:r w:rsidRPr="000D3D7F">
        <w:rPr>
          <w:szCs w:val="22"/>
          <w:lang w:val="sr-Latn-ME"/>
        </w:rPr>
        <w:t>. Sindrom posteriorne reverzibine leukoencefalopatije (PRES</w:t>
      </w:r>
      <w:r w:rsidR="00BF5A7B" w:rsidRPr="000D3D7F">
        <w:rPr>
          <w:szCs w:val="22"/>
          <w:lang w:val="sr-Latn-ME"/>
        </w:rPr>
        <w:t>)</w:t>
      </w:r>
      <w:r w:rsidRPr="000D3D7F">
        <w:rPr>
          <w:szCs w:val="22"/>
          <w:lang w:val="sr-Latn-ME"/>
        </w:rPr>
        <w:t xml:space="preserve"> je r</w:t>
      </w:r>
      <w:r w:rsidR="00BB3814" w:rsidRPr="000D3D7F">
        <w:rPr>
          <w:szCs w:val="22"/>
          <w:lang w:val="sr-Latn-ME"/>
        </w:rPr>
        <w:t>ij</w:t>
      </w:r>
      <w:r w:rsidRPr="000D3D7F">
        <w:rPr>
          <w:szCs w:val="22"/>
          <w:lang w:val="sr-Latn-ME"/>
        </w:rPr>
        <w:t>etko neurološko stanje koje je često</w:t>
      </w:r>
      <w:r w:rsidR="00223077" w:rsidRPr="000D3D7F">
        <w:rPr>
          <w:szCs w:val="22"/>
          <w:lang w:val="sr-Latn-ME"/>
        </w:rPr>
        <w:t xml:space="preserve"> </w:t>
      </w:r>
      <w:r w:rsidRPr="000D3D7F">
        <w:rPr>
          <w:szCs w:val="22"/>
          <w:lang w:val="sr-Latn-ME"/>
        </w:rPr>
        <w:t>reverzibilno, brzo se razvija, a simptomi bolesti uključuju napade, hipertenziju, glavobolju, letargiju,</w:t>
      </w:r>
      <w:r w:rsidR="00223077" w:rsidRPr="000D3D7F">
        <w:rPr>
          <w:szCs w:val="22"/>
          <w:lang w:val="sr-Latn-ME"/>
        </w:rPr>
        <w:t xml:space="preserve"> </w:t>
      </w:r>
      <w:r w:rsidRPr="000D3D7F">
        <w:rPr>
          <w:szCs w:val="22"/>
          <w:lang w:val="sr-Latn-ME"/>
        </w:rPr>
        <w:t>konfuziju, sl</w:t>
      </w:r>
      <w:r w:rsidR="00BB3814" w:rsidRPr="000D3D7F">
        <w:rPr>
          <w:szCs w:val="22"/>
          <w:lang w:val="sr-Latn-ME"/>
        </w:rPr>
        <w:t>j</w:t>
      </w:r>
      <w:r w:rsidRPr="000D3D7F">
        <w:rPr>
          <w:szCs w:val="22"/>
          <w:lang w:val="sr-Latn-ME"/>
        </w:rPr>
        <w:t>epilo i druge vizuelne i neurološke poremećaje. Snimanje mozga, naročito MRI (magnetna</w:t>
      </w:r>
      <w:r w:rsidR="00223077" w:rsidRPr="000D3D7F">
        <w:rPr>
          <w:szCs w:val="22"/>
          <w:lang w:val="sr-Latn-ME"/>
        </w:rPr>
        <w:t xml:space="preserve"> </w:t>
      </w:r>
      <w:r w:rsidRPr="000D3D7F">
        <w:rPr>
          <w:szCs w:val="22"/>
          <w:lang w:val="sr-Latn-ME"/>
        </w:rPr>
        <w:t>rezonanca) se koristi za potvrđivanje dijagnoze. Kod pacijenata kod kojih se razvija sindrom posteriorne</w:t>
      </w:r>
      <w:r w:rsidR="00223077" w:rsidRPr="000D3D7F">
        <w:rPr>
          <w:szCs w:val="22"/>
          <w:lang w:val="sr-Latn-ME"/>
        </w:rPr>
        <w:t xml:space="preserve"> </w:t>
      </w:r>
      <w:r w:rsidRPr="000D3D7F">
        <w:rPr>
          <w:szCs w:val="22"/>
          <w:lang w:val="sr-Latn-ME"/>
        </w:rPr>
        <w:t xml:space="preserve">reverzibine leukoencefalopatije (PRES), prekinuti sa terapijom </w:t>
      </w:r>
      <w:r w:rsidR="00CF2839" w:rsidRPr="000D3D7F">
        <w:rPr>
          <w:szCs w:val="22"/>
          <w:lang w:val="sr-Latn-ME"/>
        </w:rPr>
        <w:t>bortezomibom</w:t>
      </w:r>
      <w:r w:rsidRPr="000D3D7F">
        <w:rPr>
          <w:szCs w:val="22"/>
          <w:lang w:val="sr-Latn-ME"/>
        </w:rPr>
        <w:t>.</w:t>
      </w:r>
    </w:p>
    <w:p w14:paraId="0CF03D21" w14:textId="21DDFBC5" w:rsidR="00D00258" w:rsidRPr="000D3D7F" w:rsidRDefault="00D00258" w:rsidP="001E1F5A">
      <w:pPr>
        <w:rPr>
          <w:szCs w:val="22"/>
          <w:u w:val="single"/>
          <w:lang w:val="sr-Latn-ME"/>
        </w:rPr>
      </w:pPr>
      <w:r w:rsidRPr="000D3D7F">
        <w:rPr>
          <w:szCs w:val="22"/>
          <w:u w:val="single"/>
          <w:lang w:val="sr-Latn-ME"/>
        </w:rPr>
        <w:t>Srčana insuficijencija</w:t>
      </w:r>
    </w:p>
    <w:p w14:paraId="33644850" w14:textId="3CB74155" w:rsidR="00D00258" w:rsidRPr="000D3D7F" w:rsidRDefault="00D00258" w:rsidP="001E1F5A">
      <w:pPr>
        <w:rPr>
          <w:szCs w:val="22"/>
          <w:lang w:val="sr-Latn-ME"/>
        </w:rPr>
      </w:pPr>
      <w:r w:rsidRPr="000D3D7F">
        <w:rPr>
          <w:szCs w:val="22"/>
          <w:lang w:val="sr-Latn-ME"/>
        </w:rPr>
        <w:t>Tokom l</w:t>
      </w:r>
      <w:r w:rsidR="00BB3814" w:rsidRPr="000D3D7F">
        <w:rPr>
          <w:szCs w:val="22"/>
          <w:lang w:val="sr-Latn-ME"/>
        </w:rPr>
        <w:t>ij</w:t>
      </w:r>
      <w:r w:rsidRPr="000D3D7F">
        <w:rPr>
          <w:szCs w:val="22"/>
          <w:lang w:val="sr-Latn-ME"/>
        </w:rPr>
        <w:t>ečenja bortezomibom uočen je akutni nastanak ili pogoršanje kongestivne srčane insuficijencije, i/ili</w:t>
      </w:r>
      <w:r w:rsidR="00223077" w:rsidRPr="000D3D7F">
        <w:rPr>
          <w:szCs w:val="22"/>
          <w:lang w:val="sr-Latn-ME"/>
        </w:rPr>
        <w:t xml:space="preserve"> </w:t>
      </w:r>
      <w:r w:rsidRPr="000D3D7F">
        <w:rPr>
          <w:szCs w:val="22"/>
          <w:lang w:val="sr-Latn-ME"/>
        </w:rPr>
        <w:t>smanjenje ejekcione frakcije l</w:t>
      </w:r>
      <w:r w:rsidR="00BB3814" w:rsidRPr="000D3D7F">
        <w:rPr>
          <w:szCs w:val="22"/>
          <w:lang w:val="sr-Latn-ME"/>
        </w:rPr>
        <w:t>ij</w:t>
      </w:r>
      <w:r w:rsidRPr="000D3D7F">
        <w:rPr>
          <w:szCs w:val="22"/>
          <w:lang w:val="sr-Latn-ME"/>
        </w:rPr>
        <w:t>eve komore. Retencija tečnosti može biti predisponirajući faktor za nastanak</w:t>
      </w:r>
      <w:r w:rsidR="00223077" w:rsidRPr="000D3D7F">
        <w:rPr>
          <w:szCs w:val="22"/>
          <w:lang w:val="sr-Latn-ME"/>
        </w:rPr>
        <w:t xml:space="preserve"> </w:t>
      </w:r>
      <w:r w:rsidRPr="000D3D7F">
        <w:rPr>
          <w:szCs w:val="22"/>
          <w:lang w:val="sr-Latn-ME"/>
        </w:rPr>
        <w:t>znakova i simptoma srčane insuficijencije. Pacijente sa faktorima rizika za dobijanje srčanog oboljenja ili</w:t>
      </w:r>
      <w:r w:rsidR="00223077" w:rsidRPr="000D3D7F">
        <w:rPr>
          <w:szCs w:val="22"/>
          <w:lang w:val="sr-Latn-ME"/>
        </w:rPr>
        <w:t xml:space="preserve"> </w:t>
      </w:r>
      <w:r w:rsidRPr="000D3D7F">
        <w:rPr>
          <w:szCs w:val="22"/>
          <w:lang w:val="sr-Latn-ME"/>
        </w:rPr>
        <w:t>već postojećim srčanim oboljenjem treba pažljivo pratiti.</w:t>
      </w:r>
    </w:p>
    <w:p w14:paraId="2936EF2B" w14:textId="7D7CB3C4" w:rsidR="00D00258" w:rsidRPr="000D3D7F" w:rsidRDefault="00D00258" w:rsidP="001E1F5A">
      <w:pPr>
        <w:rPr>
          <w:szCs w:val="22"/>
          <w:u w:val="single"/>
          <w:lang w:val="sr-Latn-ME"/>
        </w:rPr>
      </w:pPr>
      <w:r w:rsidRPr="000D3D7F">
        <w:rPr>
          <w:szCs w:val="22"/>
          <w:u w:val="single"/>
          <w:lang w:val="sr-Latn-ME"/>
        </w:rPr>
        <w:t>EKG</w:t>
      </w:r>
    </w:p>
    <w:p w14:paraId="07C95E36" w14:textId="1125258A" w:rsidR="00D00258" w:rsidRPr="000D3D7F" w:rsidRDefault="00D00258" w:rsidP="001E1F5A">
      <w:pPr>
        <w:rPr>
          <w:szCs w:val="22"/>
          <w:lang w:val="sr-Latn-ME"/>
        </w:rPr>
      </w:pPr>
      <w:r w:rsidRPr="000D3D7F">
        <w:rPr>
          <w:szCs w:val="22"/>
          <w:lang w:val="sr-Latn-ME"/>
        </w:rPr>
        <w:t>Zab</w:t>
      </w:r>
      <w:r w:rsidR="00BB3814" w:rsidRPr="000D3D7F">
        <w:rPr>
          <w:szCs w:val="22"/>
          <w:lang w:val="sr-Latn-ME"/>
        </w:rPr>
        <w:t>i</w:t>
      </w:r>
      <w:r w:rsidRPr="000D3D7F">
        <w:rPr>
          <w:szCs w:val="22"/>
          <w:lang w:val="sr-Latn-ME"/>
        </w:rPr>
        <w:t>l</w:t>
      </w:r>
      <w:r w:rsidR="00BB3814" w:rsidRPr="000D3D7F">
        <w:rPr>
          <w:szCs w:val="22"/>
          <w:lang w:val="sr-Latn-ME"/>
        </w:rPr>
        <w:t>j</w:t>
      </w:r>
      <w:r w:rsidRPr="000D3D7F">
        <w:rPr>
          <w:szCs w:val="22"/>
          <w:lang w:val="sr-Latn-ME"/>
        </w:rPr>
        <w:t>eženi su izolovani slučajevi produženja QT-intervala u kliničkim studijama, ali uzročnost nije</w:t>
      </w:r>
      <w:r w:rsidR="00223077" w:rsidRPr="000D3D7F">
        <w:rPr>
          <w:szCs w:val="22"/>
          <w:lang w:val="sr-Latn-ME"/>
        </w:rPr>
        <w:t xml:space="preserve"> </w:t>
      </w:r>
      <w:r w:rsidRPr="000D3D7F">
        <w:rPr>
          <w:szCs w:val="22"/>
          <w:lang w:val="sr-Latn-ME"/>
        </w:rPr>
        <w:t>potvrdjena.</w:t>
      </w:r>
    </w:p>
    <w:p w14:paraId="532FE388" w14:textId="6845AE8B" w:rsidR="00D00258" w:rsidRPr="000D3D7F" w:rsidRDefault="00D00258" w:rsidP="001E1F5A">
      <w:pPr>
        <w:rPr>
          <w:szCs w:val="22"/>
          <w:u w:val="single"/>
          <w:lang w:val="sr-Latn-ME"/>
        </w:rPr>
      </w:pPr>
      <w:r w:rsidRPr="000D3D7F">
        <w:rPr>
          <w:szCs w:val="22"/>
          <w:u w:val="single"/>
          <w:lang w:val="sr-Latn-ME"/>
        </w:rPr>
        <w:t>Plućne bolesti</w:t>
      </w:r>
    </w:p>
    <w:p w14:paraId="5BD15A1A" w14:textId="7FED27EC" w:rsidR="00D00258" w:rsidRPr="000D3D7F" w:rsidRDefault="00D00258" w:rsidP="001E1F5A">
      <w:pPr>
        <w:rPr>
          <w:szCs w:val="22"/>
          <w:lang w:val="sr-Latn-ME"/>
        </w:rPr>
      </w:pPr>
      <w:r w:rsidRPr="000D3D7F">
        <w:rPr>
          <w:szCs w:val="22"/>
          <w:lang w:val="sr-Latn-ME"/>
        </w:rPr>
        <w:lastRenderedPageBreak/>
        <w:t xml:space="preserve">Kod pacijenata na terapiji </w:t>
      </w:r>
      <w:r w:rsidR="00CF2839" w:rsidRPr="000D3D7F">
        <w:rPr>
          <w:szCs w:val="22"/>
          <w:lang w:val="sr-Latn-ME"/>
        </w:rPr>
        <w:t>bortezomibom</w:t>
      </w:r>
      <w:r w:rsidRPr="000D3D7F">
        <w:rPr>
          <w:szCs w:val="22"/>
          <w:lang w:val="sr-Latn-ME"/>
        </w:rPr>
        <w:t>, prijavljeni su r</w:t>
      </w:r>
      <w:r w:rsidR="00BB3814" w:rsidRPr="000D3D7F">
        <w:rPr>
          <w:szCs w:val="22"/>
          <w:lang w:val="sr-Latn-ME"/>
        </w:rPr>
        <w:t>ij</w:t>
      </w:r>
      <w:r w:rsidRPr="000D3D7F">
        <w:rPr>
          <w:szCs w:val="22"/>
          <w:lang w:val="sr-Latn-ME"/>
        </w:rPr>
        <w:t>etki slučajevi akutnih difuznih infiltrativnih</w:t>
      </w:r>
      <w:r w:rsidR="00223077" w:rsidRPr="000D3D7F">
        <w:rPr>
          <w:szCs w:val="22"/>
          <w:lang w:val="sr-Latn-ME"/>
        </w:rPr>
        <w:t xml:space="preserve"> </w:t>
      </w:r>
      <w:r w:rsidRPr="000D3D7F">
        <w:rPr>
          <w:szCs w:val="22"/>
          <w:lang w:val="sr-Latn-ME"/>
        </w:rPr>
        <w:t>oboljenja pluća nepoznate etiologije, kao što su pneumonitis, intersticijalna pneumonija, infiltracija pluća i</w:t>
      </w:r>
      <w:r w:rsidR="00223077" w:rsidRPr="000D3D7F">
        <w:rPr>
          <w:szCs w:val="22"/>
          <w:lang w:val="sr-Latn-ME"/>
        </w:rPr>
        <w:t xml:space="preserve"> </w:t>
      </w:r>
      <w:r w:rsidRPr="000D3D7F">
        <w:rPr>
          <w:szCs w:val="22"/>
          <w:lang w:val="sr-Latn-ME"/>
        </w:rPr>
        <w:t>akutni respiratorni distres sindrom (ARDS) (vid</w:t>
      </w:r>
      <w:r w:rsidR="00BB3814" w:rsidRPr="000D3D7F">
        <w:rPr>
          <w:szCs w:val="22"/>
          <w:lang w:val="sr-Latn-ME"/>
        </w:rPr>
        <w:t>j</w:t>
      </w:r>
      <w:r w:rsidRPr="000D3D7F">
        <w:rPr>
          <w:szCs w:val="22"/>
          <w:lang w:val="sr-Latn-ME"/>
        </w:rPr>
        <w:t xml:space="preserve">eti </w:t>
      </w:r>
      <w:r w:rsidR="001B5D63" w:rsidRPr="000D3D7F">
        <w:rPr>
          <w:szCs w:val="22"/>
          <w:lang w:val="sr-Latn-ME"/>
        </w:rPr>
        <w:t>dio</w:t>
      </w:r>
      <w:r w:rsidRPr="000D3D7F">
        <w:rPr>
          <w:szCs w:val="22"/>
          <w:lang w:val="sr-Latn-ME"/>
        </w:rPr>
        <w:t xml:space="preserve"> 4.8). Neki od ovih događaja su bili fatalni. Pr</w:t>
      </w:r>
      <w:r w:rsidR="00BB3814" w:rsidRPr="000D3D7F">
        <w:rPr>
          <w:szCs w:val="22"/>
          <w:lang w:val="sr-Latn-ME"/>
        </w:rPr>
        <w:t>ij</w:t>
      </w:r>
      <w:r w:rsidRPr="000D3D7F">
        <w:rPr>
          <w:szCs w:val="22"/>
          <w:lang w:val="sr-Latn-ME"/>
        </w:rPr>
        <w:t>e</w:t>
      </w:r>
      <w:r w:rsidR="00223077" w:rsidRPr="000D3D7F">
        <w:rPr>
          <w:szCs w:val="22"/>
          <w:lang w:val="sr-Latn-ME"/>
        </w:rPr>
        <w:t xml:space="preserve"> </w:t>
      </w:r>
      <w:r w:rsidRPr="000D3D7F">
        <w:rPr>
          <w:szCs w:val="22"/>
          <w:lang w:val="sr-Latn-ME"/>
        </w:rPr>
        <w:t>započinjanja terapije preporučuje se radiografija grudnog koša da bi poslužio kao osnov za praćenje</w:t>
      </w:r>
      <w:r w:rsidR="00223077" w:rsidRPr="000D3D7F">
        <w:rPr>
          <w:szCs w:val="22"/>
          <w:lang w:val="sr-Latn-ME"/>
        </w:rPr>
        <w:t xml:space="preserve"> </w:t>
      </w:r>
      <w:r w:rsidRPr="000D3D7F">
        <w:rPr>
          <w:szCs w:val="22"/>
          <w:lang w:val="sr-Latn-ME"/>
        </w:rPr>
        <w:t>eventualnih postterapijskih prom</w:t>
      </w:r>
      <w:r w:rsidR="00BB3814" w:rsidRPr="000D3D7F">
        <w:rPr>
          <w:szCs w:val="22"/>
          <w:lang w:val="sr-Latn-ME"/>
        </w:rPr>
        <w:t>j</w:t>
      </w:r>
      <w:r w:rsidRPr="000D3D7F">
        <w:rPr>
          <w:szCs w:val="22"/>
          <w:lang w:val="sr-Latn-ME"/>
        </w:rPr>
        <w:t>ena na plućima.</w:t>
      </w:r>
    </w:p>
    <w:p w14:paraId="3C3452AF" w14:textId="55931FF9" w:rsidR="00D00258" w:rsidRPr="000D3D7F" w:rsidRDefault="00D00258" w:rsidP="001E1F5A">
      <w:pPr>
        <w:rPr>
          <w:szCs w:val="22"/>
          <w:lang w:val="sr-Latn-ME"/>
        </w:rPr>
      </w:pPr>
      <w:r w:rsidRPr="000D3D7F">
        <w:rPr>
          <w:szCs w:val="22"/>
          <w:lang w:val="sr-Latn-ME"/>
        </w:rPr>
        <w:t>U slučaju pojave novih ili pogoršanja već postojećih simptoma (npr. kašalj, dispneja), neophodno je obaviti</w:t>
      </w:r>
      <w:r w:rsidR="00223077" w:rsidRPr="000D3D7F">
        <w:rPr>
          <w:szCs w:val="22"/>
          <w:lang w:val="sr-Latn-ME"/>
        </w:rPr>
        <w:t xml:space="preserve"> </w:t>
      </w:r>
      <w:r w:rsidRPr="000D3D7F">
        <w:rPr>
          <w:szCs w:val="22"/>
          <w:lang w:val="sr-Latn-ME"/>
        </w:rPr>
        <w:t>hitnu dijagnostičku evaluaciju i pacijenta treba odgovarajuće l</w:t>
      </w:r>
      <w:r w:rsidR="00BB3814" w:rsidRPr="000D3D7F">
        <w:rPr>
          <w:szCs w:val="22"/>
          <w:lang w:val="sr-Latn-ME"/>
        </w:rPr>
        <w:t>ij</w:t>
      </w:r>
      <w:r w:rsidRPr="000D3D7F">
        <w:rPr>
          <w:szCs w:val="22"/>
          <w:lang w:val="sr-Latn-ME"/>
        </w:rPr>
        <w:t>ečiti. Pr</w:t>
      </w:r>
      <w:r w:rsidR="00BB3814" w:rsidRPr="000D3D7F">
        <w:rPr>
          <w:szCs w:val="22"/>
          <w:lang w:val="sr-Latn-ME"/>
        </w:rPr>
        <w:t>ij</w:t>
      </w:r>
      <w:r w:rsidRPr="000D3D7F">
        <w:rPr>
          <w:szCs w:val="22"/>
          <w:lang w:val="sr-Latn-ME"/>
        </w:rPr>
        <w:t xml:space="preserve">e nastavka terapije </w:t>
      </w:r>
      <w:r w:rsidR="00CF2839" w:rsidRPr="000D3D7F">
        <w:rPr>
          <w:szCs w:val="22"/>
          <w:lang w:val="sr-Latn-ME"/>
        </w:rPr>
        <w:t>bortezomibom</w:t>
      </w:r>
      <w:r w:rsidR="007C1B2D" w:rsidRPr="000D3D7F">
        <w:rPr>
          <w:szCs w:val="22"/>
          <w:lang w:val="sr-Latn-ME"/>
        </w:rPr>
        <w:t xml:space="preserve"> </w:t>
      </w:r>
      <w:r w:rsidRPr="000D3D7F">
        <w:rPr>
          <w:szCs w:val="22"/>
          <w:lang w:val="sr-Latn-ME"/>
        </w:rPr>
        <w:t>treba dobro razmotriti odnos koristi i rizika.</w:t>
      </w:r>
    </w:p>
    <w:p w14:paraId="499B39DC" w14:textId="416D532C" w:rsidR="00D00258" w:rsidRPr="000D3D7F" w:rsidRDefault="00D00258" w:rsidP="001E1F5A">
      <w:pPr>
        <w:rPr>
          <w:szCs w:val="22"/>
          <w:lang w:val="sr-Latn-ME"/>
        </w:rPr>
      </w:pPr>
      <w:r w:rsidRPr="000D3D7F">
        <w:rPr>
          <w:szCs w:val="22"/>
          <w:lang w:val="sr-Latn-ME"/>
        </w:rPr>
        <w:t>U kliničkom ispitivanju (kod dva pacijenta) koji su dobijali visoke doze citarabina (2 g/m</w:t>
      </w:r>
      <w:r w:rsidRPr="000D3D7F">
        <w:rPr>
          <w:szCs w:val="22"/>
          <w:vertAlign w:val="superscript"/>
          <w:lang w:val="sr-Latn-ME"/>
        </w:rPr>
        <w:t>2</w:t>
      </w:r>
      <w:r w:rsidRPr="000D3D7F">
        <w:rPr>
          <w:szCs w:val="22"/>
          <w:lang w:val="sr-Latn-ME"/>
        </w:rPr>
        <w:t xml:space="preserve"> dnevno)</w:t>
      </w:r>
      <w:r w:rsidR="00223077" w:rsidRPr="000D3D7F">
        <w:rPr>
          <w:szCs w:val="22"/>
          <w:lang w:val="sr-Latn-ME"/>
        </w:rPr>
        <w:t xml:space="preserve"> </w:t>
      </w:r>
      <w:r w:rsidRPr="000D3D7F">
        <w:rPr>
          <w:szCs w:val="22"/>
          <w:lang w:val="sr-Latn-ME"/>
        </w:rPr>
        <w:t xml:space="preserve">kontinuiranom infuzijom u toku 24 sata sa danorubicinom i </w:t>
      </w:r>
      <w:r w:rsidR="00CF2839" w:rsidRPr="000D3D7F">
        <w:rPr>
          <w:szCs w:val="22"/>
          <w:lang w:val="sr-Latn-ME"/>
        </w:rPr>
        <w:t>bortezomibom</w:t>
      </w:r>
      <w:r w:rsidRPr="000D3D7F">
        <w:rPr>
          <w:szCs w:val="22"/>
          <w:lang w:val="sr-Latn-ME"/>
        </w:rPr>
        <w:t xml:space="preserve"> zbog relapsne akutne mijelocitne</w:t>
      </w:r>
      <w:r w:rsidR="00223077" w:rsidRPr="000D3D7F">
        <w:rPr>
          <w:szCs w:val="22"/>
          <w:lang w:val="sr-Latn-ME"/>
        </w:rPr>
        <w:t xml:space="preserve"> </w:t>
      </w:r>
      <w:r w:rsidRPr="000D3D7F">
        <w:rPr>
          <w:szCs w:val="22"/>
          <w:lang w:val="sr-Latn-ME"/>
        </w:rPr>
        <w:t>leukemije umrli su usl</w:t>
      </w:r>
      <w:r w:rsidR="00BB3814" w:rsidRPr="000D3D7F">
        <w:rPr>
          <w:szCs w:val="22"/>
          <w:lang w:val="sr-Latn-ME"/>
        </w:rPr>
        <w:t>j</w:t>
      </w:r>
      <w:r w:rsidRPr="000D3D7F">
        <w:rPr>
          <w:szCs w:val="22"/>
          <w:lang w:val="sr-Latn-ME"/>
        </w:rPr>
        <w:t>ed akutnog respiratornog distres sindroma (ARDS) u ranim fazama terapije i studija je</w:t>
      </w:r>
      <w:r w:rsidR="00223077" w:rsidRPr="000D3D7F">
        <w:rPr>
          <w:szCs w:val="22"/>
          <w:lang w:val="sr-Latn-ME"/>
        </w:rPr>
        <w:t xml:space="preserve"> </w:t>
      </w:r>
      <w:r w:rsidRPr="000D3D7F">
        <w:rPr>
          <w:szCs w:val="22"/>
          <w:lang w:val="sr-Latn-ME"/>
        </w:rPr>
        <w:t>završena. Zbog toga se ovaj režim, sa istovremenom prim</w:t>
      </w:r>
      <w:r w:rsidR="00BB3814" w:rsidRPr="000D3D7F">
        <w:rPr>
          <w:szCs w:val="22"/>
          <w:lang w:val="sr-Latn-ME"/>
        </w:rPr>
        <w:t>j</w:t>
      </w:r>
      <w:r w:rsidRPr="000D3D7F">
        <w:rPr>
          <w:szCs w:val="22"/>
          <w:lang w:val="sr-Latn-ME"/>
        </w:rPr>
        <w:t>enom visokih doza citarabina (2 g/m</w:t>
      </w:r>
      <w:r w:rsidRPr="000D3D7F">
        <w:rPr>
          <w:szCs w:val="22"/>
          <w:vertAlign w:val="superscript"/>
          <w:lang w:val="sr-Latn-ME"/>
        </w:rPr>
        <w:t xml:space="preserve">2 </w:t>
      </w:r>
      <w:r w:rsidRPr="000D3D7F">
        <w:rPr>
          <w:szCs w:val="22"/>
          <w:lang w:val="sr-Latn-ME"/>
        </w:rPr>
        <w:t>dnevno)</w:t>
      </w:r>
      <w:r w:rsidR="00223077" w:rsidRPr="000D3D7F">
        <w:rPr>
          <w:szCs w:val="22"/>
          <w:lang w:val="sr-Latn-ME"/>
        </w:rPr>
        <w:t xml:space="preserve"> </w:t>
      </w:r>
      <w:r w:rsidRPr="000D3D7F">
        <w:rPr>
          <w:szCs w:val="22"/>
          <w:lang w:val="sr-Latn-ME"/>
        </w:rPr>
        <w:t>kontinuiranom infuzijom u toku 24 sata, ne preporučuje.</w:t>
      </w:r>
    </w:p>
    <w:p w14:paraId="630799F1" w14:textId="77777777" w:rsidR="00D00258" w:rsidRPr="000D3D7F" w:rsidRDefault="00D00258" w:rsidP="001E1F5A">
      <w:pPr>
        <w:rPr>
          <w:szCs w:val="22"/>
          <w:u w:val="single"/>
          <w:lang w:val="sr-Latn-ME"/>
        </w:rPr>
      </w:pPr>
      <w:r w:rsidRPr="000D3D7F">
        <w:rPr>
          <w:szCs w:val="22"/>
          <w:u w:val="single"/>
          <w:lang w:val="sr-Latn-ME"/>
        </w:rPr>
        <w:t>Oštećenje bubrega</w:t>
      </w:r>
    </w:p>
    <w:p w14:paraId="462236FD" w14:textId="42FF9E59" w:rsidR="00D00258" w:rsidRPr="000D3D7F" w:rsidRDefault="00D00258" w:rsidP="001E1F5A">
      <w:pPr>
        <w:rPr>
          <w:szCs w:val="22"/>
          <w:lang w:val="sr-Latn-ME"/>
        </w:rPr>
      </w:pPr>
      <w:r w:rsidRPr="000D3D7F">
        <w:rPr>
          <w:szCs w:val="22"/>
          <w:lang w:val="sr-Latn-ME"/>
        </w:rPr>
        <w:t>Bubrežne komplikacije su česte kod pacijenata sa multiplim mijelomom. Pacijente sa insuficijencijom</w:t>
      </w:r>
      <w:r w:rsidR="00223077" w:rsidRPr="000D3D7F">
        <w:rPr>
          <w:szCs w:val="22"/>
          <w:lang w:val="sr-Latn-ME"/>
        </w:rPr>
        <w:t xml:space="preserve"> </w:t>
      </w:r>
      <w:r w:rsidRPr="000D3D7F">
        <w:rPr>
          <w:szCs w:val="22"/>
          <w:lang w:val="sr-Latn-ME"/>
        </w:rPr>
        <w:t>bubrega treba pažljivo pratiti (vid</w:t>
      </w:r>
      <w:r w:rsidR="00BB3814" w:rsidRPr="000D3D7F">
        <w:rPr>
          <w:szCs w:val="22"/>
          <w:lang w:val="sr-Latn-ME"/>
        </w:rPr>
        <w:t>j</w:t>
      </w:r>
      <w:r w:rsidRPr="000D3D7F">
        <w:rPr>
          <w:szCs w:val="22"/>
          <w:lang w:val="sr-Latn-ME"/>
        </w:rPr>
        <w:t xml:space="preserve">eti </w:t>
      </w:r>
      <w:r w:rsidR="001B5D63" w:rsidRPr="000D3D7F">
        <w:rPr>
          <w:szCs w:val="22"/>
          <w:lang w:val="sr-Latn-ME"/>
        </w:rPr>
        <w:t>djelove</w:t>
      </w:r>
      <w:r w:rsidRPr="000D3D7F">
        <w:rPr>
          <w:szCs w:val="22"/>
          <w:lang w:val="sr-Latn-ME"/>
        </w:rPr>
        <w:t xml:space="preserve"> 4.2 i 5.2).</w:t>
      </w:r>
    </w:p>
    <w:p w14:paraId="29A46952" w14:textId="1A74D079" w:rsidR="00D00258" w:rsidRPr="000D3D7F" w:rsidRDefault="00D00258" w:rsidP="001E1F5A">
      <w:pPr>
        <w:rPr>
          <w:szCs w:val="22"/>
          <w:u w:val="single"/>
          <w:lang w:val="sr-Latn-ME"/>
        </w:rPr>
      </w:pPr>
      <w:r w:rsidRPr="000D3D7F">
        <w:rPr>
          <w:szCs w:val="22"/>
          <w:u w:val="single"/>
          <w:lang w:val="sr-Latn-ME"/>
        </w:rPr>
        <w:t>Oštećenje jetre</w:t>
      </w:r>
    </w:p>
    <w:p w14:paraId="711CC8D4" w14:textId="1B27D8A5" w:rsidR="00D00258" w:rsidRPr="000D3D7F" w:rsidRDefault="00D00258" w:rsidP="001E1F5A">
      <w:pPr>
        <w:rPr>
          <w:szCs w:val="22"/>
          <w:lang w:val="sr-Latn-ME"/>
        </w:rPr>
      </w:pPr>
      <w:r w:rsidRPr="000D3D7F">
        <w:rPr>
          <w:szCs w:val="22"/>
          <w:lang w:val="sr-Latn-ME"/>
        </w:rPr>
        <w:t>Metabolizam bortezomiba se odvija u jetri dejstvom jetrinih enzima. Izloženost bortezomibu je povećana</w:t>
      </w:r>
      <w:r w:rsidR="00223077" w:rsidRPr="000D3D7F">
        <w:rPr>
          <w:szCs w:val="22"/>
          <w:lang w:val="sr-Latn-ME"/>
        </w:rPr>
        <w:t xml:space="preserve"> </w:t>
      </w:r>
      <w:r w:rsidRPr="000D3D7F">
        <w:rPr>
          <w:szCs w:val="22"/>
          <w:lang w:val="sr-Latn-ME"/>
        </w:rPr>
        <w:t>kod pacijenata sa um</w:t>
      </w:r>
      <w:r w:rsidR="00BB3814" w:rsidRPr="000D3D7F">
        <w:rPr>
          <w:szCs w:val="22"/>
          <w:lang w:val="sr-Latn-ME"/>
        </w:rPr>
        <w:t>j</w:t>
      </w:r>
      <w:r w:rsidRPr="000D3D7F">
        <w:rPr>
          <w:szCs w:val="22"/>
          <w:lang w:val="sr-Latn-ME"/>
        </w:rPr>
        <w:t>erenom ili teškom insuficijencijom jetre; kod ovih pacijenata je potrebno smanjiti doze</w:t>
      </w:r>
      <w:r w:rsidR="00223077" w:rsidRPr="000D3D7F">
        <w:rPr>
          <w:szCs w:val="22"/>
          <w:lang w:val="sr-Latn-ME"/>
        </w:rPr>
        <w:t xml:space="preserve"> </w:t>
      </w:r>
      <w:r w:rsidR="00CF2839" w:rsidRPr="000D3D7F">
        <w:rPr>
          <w:szCs w:val="22"/>
          <w:lang w:val="sr-Latn-ME"/>
        </w:rPr>
        <w:t>bortezomiba</w:t>
      </w:r>
      <w:r w:rsidRPr="000D3D7F">
        <w:rPr>
          <w:szCs w:val="22"/>
          <w:lang w:val="sr-Latn-ME"/>
        </w:rPr>
        <w:t xml:space="preserve"> i potrebno ih je pažljivo pratiti u smislu ispoljavanja toksičnih uticaja (vid</w:t>
      </w:r>
      <w:r w:rsidR="00BB3814" w:rsidRPr="000D3D7F">
        <w:rPr>
          <w:szCs w:val="22"/>
          <w:lang w:val="sr-Latn-ME"/>
        </w:rPr>
        <w:t>j</w:t>
      </w:r>
      <w:r w:rsidRPr="000D3D7F">
        <w:rPr>
          <w:szCs w:val="22"/>
          <w:lang w:val="sr-Latn-ME"/>
        </w:rPr>
        <w:t xml:space="preserve">eti </w:t>
      </w:r>
      <w:r w:rsidR="00A34C43" w:rsidRPr="000D3D7F">
        <w:rPr>
          <w:szCs w:val="22"/>
          <w:lang w:val="sr-Latn-ME"/>
        </w:rPr>
        <w:t>djelove</w:t>
      </w:r>
      <w:r w:rsidRPr="000D3D7F">
        <w:rPr>
          <w:szCs w:val="22"/>
          <w:lang w:val="sr-Latn-ME"/>
        </w:rPr>
        <w:t xml:space="preserve"> 4.2 i 5.2).</w:t>
      </w:r>
    </w:p>
    <w:p w14:paraId="785154B7" w14:textId="4027179A" w:rsidR="00D00258" w:rsidRPr="000D3D7F" w:rsidRDefault="00D00258" w:rsidP="001E1F5A">
      <w:pPr>
        <w:rPr>
          <w:szCs w:val="22"/>
          <w:u w:val="single"/>
          <w:lang w:val="sr-Latn-ME"/>
        </w:rPr>
      </w:pPr>
      <w:r w:rsidRPr="000D3D7F">
        <w:rPr>
          <w:szCs w:val="22"/>
          <w:u w:val="single"/>
          <w:lang w:val="sr-Latn-ME"/>
        </w:rPr>
        <w:t>Reakcije jetre</w:t>
      </w:r>
    </w:p>
    <w:p w14:paraId="179351A6" w14:textId="594E4819" w:rsidR="00D00258" w:rsidRPr="000D3D7F" w:rsidRDefault="00D00258" w:rsidP="001E1F5A">
      <w:pPr>
        <w:rPr>
          <w:szCs w:val="22"/>
          <w:lang w:val="sr-Latn-ME"/>
        </w:rPr>
      </w:pPr>
      <w:r w:rsidRPr="000D3D7F">
        <w:rPr>
          <w:szCs w:val="22"/>
          <w:lang w:val="sr-Latn-ME"/>
        </w:rPr>
        <w:t>R</w:t>
      </w:r>
      <w:r w:rsidR="00BB3814" w:rsidRPr="000D3D7F">
        <w:rPr>
          <w:szCs w:val="22"/>
          <w:lang w:val="sr-Latn-ME"/>
        </w:rPr>
        <w:t>ij</w:t>
      </w:r>
      <w:r w:rsidRPr="000D3D7F">
        <w:rPr>
          <w:szCs w:val="22"/>
          <w:lang w:val="sr-Latn-ME"/>
        </w:rPr>
        <w:t>etki slučajevi akutne insuficijencije jetre su zab</w:t>
      </w:r>
      <w:r w:rsidR="00BB3814" w:rsidRPr="000D3D7F">
        <w:rPr>
          <w:szCs w:val="22"/>
          <w:lang w:val="sr-Latn-ME"/>
        </w:rPr>
        <w:t>i</w:t>
      </w:r>
      <w:r w:rsidRPr="000D3D7F">
        <w:rPr>
          <w:szCs w:val="22"/>
          <w:lang w:val="sr-Latn-ME"/>
        </w:rPr>
        <w:t>l</w:t>
      </w:r>
      <w:r w:rsidR="00BB3814" w:rsidRPr="000D3D7F">
        <w:rPr>
          <w:szCs w:val="22"/>
          <w:lang w:val="sr-Latn-ME"/>
        </w:rPr>
        <w:t>j</w:t>
      </w:r>
      <w:r w:rsidRPr="000D3D7F">
        <w:rPr>
          <w:szCs w:val="22"/>
          <w:lang w:val="sr-Latn-ME"/>
        </w:rPr>
        <w:t xml:space="preserve">eženi kod pacijenata koji istovremeno primaju </w:t>
      </w:r>
      <w:r w:rsidR="00CF2839" w:rsidRPr="000D3D7F">
        <w:rPr>
          <w:szCs w:val="22"/>
          <w:lang w:val="sr-Latn-ME"/>
        </w:rPr>
        <w:t>bortezomib</w:t>
      </w:r>
      <w:r w:rsidRPr="000D3D7F">
        <w:rPr>
          <w:szCs w:val="22"/>
          <w:lang w:val="sr-Latn-ME"/>
        </w:rPr>
        <w:t xml:space="preserve"> i druge l</w:t>
      </w:r>
      <w:r w:rsidR="00BB3814" w:rsidRPr="000D3D7F">
        <w:rPr>
          <w:szCs w:val="22"/>
          <w:lang w:val="sr-Latn-ME"/>
        </w:rPr>
        <w:t>j</w:t>
      </w:r>
      <w:r w:rsidRPr="000D3D7F">
        <w:rPr>
          <w:szCs w:val="22"/>
          <w:lang w:val="sr-Latn-ME"/>
        </w:rPr>
        <w:t>ekove i koji imaju ozbiljna osnovna oboljenja. Zab</w:t>
      </w:r>
      <w:r w:rsidR="00BB3814" w:rsidRPr="000D3D7F">
        <w:rPr>
          <w:szCs w:val="22"/>
          <w:lang w:val="sr-Latn-ME"/>
        </w:rPr>
        <w:t>i</w:t>
      </w:r>
      <w:r w:rsidRPr="000D3D7F">
        <w:rPr>
          <w:szCs w:val="22"/>
          <w:lang w:val="sr-Latn-ME"/>
        </w:rPr>
        <w:t>l</w:t>
      </w:r>
      <w:r w:rsidR="00BB3814" w:rsidRPr="000D3D7F">
        <w:rPr>
          <w:szCs w:val="22"/>
          <w:lang w:val="sr-Latn-ME"/>
        </w:rPr>
        <w:t>j</w:t>
      </w:r>
      <w:r w:rsidRPr="000D3D7F">
        <w:rPr>
          <w:szCs w:val="22"/>
          <w:lang w:val="sr-Latn-ME"/>
        </w:rPr>
        <w:t>eženi su i porast enzima jetre,</w:t>
      </w:r>
      <w:r w:rsidR="00223077" w:rsidRPr="000D3D7F">
        <w:rPr>
          <w:szCs w:val="22"/>
          <w:lang w:val="sr-Latn-ME"/>
        </w:rPr>
        <w:t xml:space="preserve"> </w:t>
      </w:r>
      <w:r w:rsidRPr="000D3D7F">
        <w:rPr>
          <w:szCs w:val="22"/>
          <w:lang w:val="sr-Latn-ME"/>
        </w:rPr>
        <w:t>hiperbilirubinemija i hepatitis. Ove prom</w:t>
      </w:r>
      <w:r w:rsidR="00BB3814" w:rsidRPr="000D3D7F">
        <w:rPr>
          <w:szCs w:val="22"/>
          <w:lang w:val="sr-Latn-ME"/>
        </w:rPr>
        <w:t>j</w:t>
      </w:r>
      <w:r w:rsidRPr="000D3D7F">
        <w:rPr>
          <w:szCs w:val="22"/>
          <w:lang w:val="sr-Latn-ME"/>
        </w:rPr>
        <w:t>ene mogu biti reverzibilne posl</w:t>
      </w:r>
      <w:r w:rsidR="00BB3814" w:rsidRPr="000D3D7F">
        <w:rPr>
          <w:szCs w:val="22"/>
          <w:lang w:val="sr-Latn-ME"/>
        </w:rPr>
        <w:t>ij</w:t>
      </w:r>
      <w:r w:rsidRPr="000D3D7F">
        <w:rPr>
          <w:szCs w:val="22"/>
          <w:lang w:val="sr-Latn-ME"/>
        </w:rPr>
        <w:t>e prestanka prim</w:t>
      </w:r>
      <w:r w:rsidR="00BB3814" w:rsidRPr="000D3D7F">
        <w:rPr>
          <w:szCs w:val="22"/>
          <w:lang w:val="sr-Latn-ME"/>
        </w:rPr>
        <w:t>j</w:t>
      </w:r>
      <w:r w:rsidRPr="000D3D7F">
        <w:rPr>
          <w:szCs w:val="22"/>
          <w:lang w:val="sr-Latn-ME"/>
        </w:rPr>
        <w:t>ene bortezomiba</w:t>
      </w:r>
      <w:r w:rsidR="00223077" w:rsidRPr="000D3D7F">
        <w:rPr>
          <w:szCs w:val="22"/>
          <w:lang w:val="sr-Latn-ME"/>
        </w:rPr>
        <w:t xml:space="preserve"> </w:t>
      </w:r>
      <w:r w:rsidRPr="000D3D7F">
        <w:rPr>
          <w:szCs w:val="22"/>
          <w:lang w:val="sr-Latn-ME"/>
        </w:rPr>
        <w:t>(vid</w:t>
      </w:r>
      <w:r w:rsidR="00BB3814"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4.8).</w:t>
      </w:r>
    </w:p>
    <w:p w14:paraId="09B00BA6" w14:textId="31B2E5F1" w:rsidR="00D00258" w:rsidRPr="000D3D7F" w:rsidRDefault="00D00258" w:rsidP="001E1F5A">
      <w:pPr>
        <w:rPr>
          <w:szCs w:val="22"/>
          <w:u w:val="single"/>
          <w:lang w:val="sr-Latn-ME"/>
        </w:rPr>
      </w:pPr>
      <w:r w:rsidRPr="000D3D7F">
        <w:rPr>
          <w:szCs w:val="22"/>
          <w:u w:val="single"/>
          <w:lang w:val="sr-Latn-ME"/>
        </w:rPr>
        <w:t>Sindrom lize tumora</w:t>
      </w:r>
    </w:p>
    <w:p w14:paraId="576F667B" w14:textId="015F4D71" w:rsidR="00D00258" w:rsidRPr="000D3D7F" w:rsidRDefault="00D00258" w:rsidP="001E1F5A">
      <w:pPr>
        <w:rPr>
          <w:szCs w:val="22"/>
          <w:lang w:val="sr-Latn-ME"/>
        </w:rPr>
      </w:pPr>
      <w:r w:rsidRPr="000D3D7F">
        <w:rPr>
          <w:szCs w:val="22"/>
          <w:lang w:val="sr-Latn-ME"/>
        </w:rPr>
        <w:t>Budući da je bortezomib citotoksičan agens koji može brzo da uništi maligne plazma ćelije i MCL ćelije,</w:t>
      </w:r>
      <w:r w:rsidR="00223077" w:rsidRPr="000D3D7F">
        <w:rPr>
          <w:szCs w:val="22"/>
          <w:lang w:val="sr-Latn-ME"/>
        </w:rPr>
        <w:t xml:space="preserve"> </w:t>
      </w:r>
      <w:r w:rsidRPr="000D3D7F">
        <w:rPr>
          <w:szCs w:val="22"/>
          <w:lang w:val="sr-Latn-ME"/>
        </w:rPr>
        <w:t>mogu se pojaviti komplikacije u vidu sindroma lize tumora. Pacijenti kod kojih postoji rizik od pojave</w:t>
      </w:r>
      <w:r w:rsidR="00223077" w:rsidRPr="000D3D7F">
        <w:rPr>
          <w:szCs w:val="22"/>
          <w:lang w:val="sr-Latn-ME"/>
        </w:rPr>
        <w:t xml:space="preserve"> </w:t>
      </w:r>
      <w:r w:rsidRPr="000D3D7F">
        <w:rPr>
          <w:szCs w:val="22"/>
          <w:lang w:val="sr-Latn-ME"/>
        </w:rPr>
        <w:t>sindroma lize tumora su oni sa velikom tumorskom masom pr</w:t>
      </w:r>
      <w:r w:rsidR="00BB3814" w:rsidRPr="000D3D7F">
        <w:rPr>
          <w:szCs w:val="22"/>
          <w:lang w:val="sr-Latn-ME"/>
        </w:rPr>
        <w:t>ij</w:t>
      </w:r>
      <w:r w:rsidRPr="000D3D7F">
        <w:rPr>
          <w:szCs w:val="22"/>
          <w:lang w:val="sr-Latn-ME"/>
        </w:rPr>
        <w:t>e l</w:t>
      </w:r>
      <w:r w:rsidR="00BB3814" w:rsidRPr="000D3D7F">
        <w:rPr>
          <w:szCs w:val="22"/>
          <w:lang w:val="sr-Latn-ME"/>
        </w:rPr>
        <w:t>ij</w:t>
      </w:r>
      <w:r w:rsidRPr="000D3D7F">
        <w:rPr>
          <w:szCs w:val="22"/>
          <w:lang w:val="sr-Latn-ME"/>
        </w:rPr>
        <w:t>ečenja. Ove pacijente treba pažljivo pratiti i</w:t>
      </w:r>
      <w:r w:rsidR="00223077" w:rsidRPr="000D3D7F">
        <w:rPr>
          <w:szCs w:val="22"/>
          <w:lang w:val="sr-Latn-ME"/>
        </w:rPr>
        <w:t xml:space="preserve"> </w:t>
      </w:r>
      <w:r w:rsidRPr="000D3D7F">
        <w:rPr>
          <w:szCs w:val="22"/>
          <w:lang w:val="sr-Latn-ME"/>
        </w:rPr>
        <w:t>preduzeti odgovarajuće m</w:t>
      </w:r>
      <w:r w:rsidR="00BB3814" w:rsidRPr="000D3D7F">
        <w:rPr>
          <w:szCs w:val="22"/>
          <w:lang w:val="sr-Latn-ME"/>
        </w:rPr>
        <w:t>j</w:t>
      </w:r>
      <w:r w:rsidRPr="000D3D7F">
        <w:rPr>
          <w:szCs w:val="22"/>
          <w:lang w:val="sr-Latn-ME"/>
        </w:rPr>
        <w:t>ere opreza.</w:t>
      </w:r>
    </w:p>
    <w:p w14:paraId="67BB7398" w14:textId="70FD5146" w:rsidR="00D00258" w:rsidRPr="000D3D7F" w:rsidRDefault="00D00258" w:rsidP="001E1F5A">
      <w:pPr>
        <w:rPr>
          <w:szCs w:val="22"/>
          <w:u w:val="single"/>
          <w:lang w:val="sr-Latn-ME"/>
        </w:rPr>
      </w:pPr>
      <w:r w:rsidRPr="000D3D7F">
        <w:rPr>
          <w:szCs w:val="22"/>
          <w:u w:val="single"/>
          <w:lang w:val="sr-Latn-ME"/>
        </w:rPr>
        <w:t>M</w:t>
      </w:r>
      <w:r w:rsidR="00BB3814" w:rsidRPr="000D3D7F">
        <w:rPr>
          <w:szCs w:val="22"/>
          <w:u w:val="single"/>
          <w:lang w:val="sr-Latn-ME"/>
        </w:rPr>
        <w:t>j</w:t>
      </w:r>
      <w:r w:rsidRPr="000D3D7F">
        <w:rPr>
          <w:szCs w:val="22"/>
          <w:u w:val="single"/>
          <w:lang w:val="sr-Latn-ME"/>
        </w:rPr>
        <w:t>ere opreza kod istovremene prim</w:t>
      </w:r>
      <w:r w:rsidR="00BB3814" w:rsidRPr="000D3D7F">
        <w:rPr>
          <w:szCs w:val="22"/>
          <w:u w:val="single"/>
          <w:lang w:val="sr-Latn-ME"/>
        </w:rPr>
        <w:t>j</w:t>
      </w:r>
      <w:r w:rsidRPr="000D3D7F">
        <w:rPr>
          <w:szCs w:val="22"/>
          <w:u w:val="single"/>
          <w:lang w:val="sr-Latn-ME"/>
        </w:rPr>
        <w:t>ene drugih l</w:t>
      </w:r>
      <w:r w:rsidR="00BB3814" w:rsidRPr="000D3D7F">
        <w:rPr>
          <w:szCs w:val="22"/>
          <w:u w:val="single"/>
          <w:lang w:val="sr-Latn-ME"/>
        </w:rPr>
        <w:t>j</w:t>
      </w:r>
      <w:r w:rsidRPr="000D3D7F">
        <w:rPr>
          <w:szCs w:val="22"/>
          <w:u w:val="single"/>
          <w:lang w:val="sr-Latn-ME"/>
        </w:rPr>
        <w:t>ekova</w:t>
      </w:r>
    </w:p>
    <w:p w14:paraId="657EE7A9" w14:textId="67D491AC" w:rsidR="00D00258" w:rsidRPr="000D3D7F" w:rsidRDefault="00D00258" w:rsidP="001E1F5A">
      <w:pPr>
        <w:rPr>
          <w:szCs w:val="22"/>
          <w:lang w:val="sr-Latn-ME"/>
        </w:rPr>
      </w:pPr>
      <w:r w:rsidRPr="000D3D7F">
        <w:rPr>
          <w:szCs w:val="22"/>
          <w:lang w:val="sr-Latn-ME"/>
        </w:rPr>
        <w:t>Pacijente koji primaju bortezomib u kombinaciji sa jakim inhibitorima CYP3A4 treba pažljivo pratiti. Oprez</w:t>
      </w:r>
      <w:r w:rsidR="00223077" w:rsidRPr="000D3D7F">
        <w:rPr>
          <w:szCs w:val="22"/>
          <w:lang w:val="sr-Latn-ME"/>
        </w:rPr>
        <w:t xml:space="preserve"> </w:t>
      </w:r>
      <w:r w:rsidRPr="000D3D7F">
        <w:rPr>
          <w:szCs w:val="22"/>
          <w:lang w:val="sr-Latn-ME"/>
        </w:rPr>
        <w:t>je potreban kada se bortezomib kombinuje sa supstratima CYP3A4 ili CYP2C19 (vid</w:t>
      </w:r>
      <w:r w:rsidR="00BB3814"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4.5).</w:t>
      </w:r>
    </w:p>
    <w:p w14:paraId="40670F94" w14:textId="1D6C5F76" w:rsidR="00D00258" w:rsidRPr="000D3D7F" w:rsidRDefault="00D00258" w:rsidP="001E1F5A">
      <w:pPr>
        <w:rPr>
          <w:szCs w:val="22"/>
          <w:lang w:val="sr-Latn-ME"/>
        </w:rPr>
      </w:pPr>
      <w:r w:rsidRPr="000D3D7F">
        <w:rPr>
          <w:szCs w:val="22"/>
          <w:lang w:val="sr-Latn-ME"/>
        </w:rPr>
        <w:t>Kod pacijenata koji primaju oralne hipoglikemike treba potvrditi normalnu funkciju jetre i te bolesnike</w:t>
      </w:r>
      <w:r w:rsidR="00223077" w:rsidRPr="000D3D7F">
        <w:rPr>
          <w:szCs w:val="22"/>
          <w:lang w:val="sr-Latn-ME"/>
        </w:rPr>
        <w:t xml:space="preserve"> </w:t>
      </w:r>
      <w:r w:rsidRPr="000D3D7F">
        <w:rPr>
          <w:szCs w:val="22"/>
          <w:lang w:val="sr-Latn-ME"/>
        </w:rPr>
        <w:t>pažljivo pratiti (vid</w:t>
      </w:r>
      <w:r w:rsidR="00BB3814"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4.5).</w:t>
      </w:r>
    </w:p>
    <w:p w14:paraId="49649436" w14:textId="0349D886" w:rsidR="00D00258" w:rsidRPr="000D3D7F" w:rsidRDefault="00D00258" w:rsidP="001E1F5A">
      <w:pPr>
        <w:rPr>
          <w:szCs w:val="22"/>
          <w:u w:val="single"/>
          <w:lang w:val="sr-Latn-ME"/>
        </w:rPr>
      </w:pPr>
      <w:r w:rsidRPr="000D3D7F">
        <w:rPr>
          <w:szCs w:val="22"/>
          <w:u w:val="single"/>
          <w:lang w:val="sr-Latn-ME"/>
        </w:rPr>
        <w:t>Potencijalne reakcije posredovane imunskim kompleksima</w:t>
      </w:r>
    </w:p>
    <w:p w14:paraId="4A7C9743" w14:textId="54F8D9C8" w:rsidR="00D00258" w:rsidRPr="000D3D7F" w:rsidRDefault="00D00258" w:rsidP="001E1F5A">
      <w:pPr>
        <w:rPr>
          <w:szCs w:val="22"/>
          <w:lang w:val="sr-Latn-ME"/>
        </w:rPr>
      </w:pPr>
      <w:r w:rsidRPr="000D3D7F">
        <w:rPr>
          <w:szCs w:val="22"/>
          <w:lang w:val="sr-Latn-ME"/>
        </w:rPr>
        <w:t>Potencijalne reakcije posredovane imunim kompleksima, kao što su serumska bolest, poliartritis sa osipom i</w:t>
      </w:r>
      <w:r w:rsidR="00223077" w:rsidRPr="000D3D7F">
        <w:rPr>
          <w:szCs w:val="22"/>
          <w:lang w:val="sr-Latn-ME"/>
        </w:rPr>
        <w:t xml:space="preserve"> </w:t>
      </w:r>
      <w:r w:rsidRPr="000D3D7F">
        <w:rPr>
          <w:szCs w:val="22"/>
          <w:lang w:val="sr-Latn-ME"/>
        </w:rPr>
        <w:t>proliferativni glomerulonefritis, r</w:t>
      </w:r>
      <w:r w:rsidR="00BB3814" w:rsidRPr="000D3D7F">
        <w:rPr>
          <w:szCs w:val="22"/>
          <w:lang w:val="sr-Latn-ME"/>
        </w:rPr>
        <w:t>ij</w:t>
      </w:r>
      <w:r w:rsidRPr="000D3D7F">
        <w:rPr>
          <w:szCs w:val="22"/>
          <w:lang w:val="sr-Latn-ME"/>
        </w:rPr>
        <w:t>etko su prijavljivane. Terapiju bortezomibom treba prekinuti u slučaju</w:t>
      </w:r>
      <w:r w:rsidR="00223077" w:rsidRPr="000D3D7F">
        <w:rPr>
          <w:szCs w:val="22"/>
          <w:lang w:val="sr-Latn-ME"/>
        </w:rPr>
        <w:t xml:space="preserve"> </w:t>
      </w:r>
      <w:r w:rsidRPr="000D3D7F">
        <w:rPr>
          <w:szCs w:val="22"/>
          <w:lang w:val="sr-Latn-ME"/>
        </w:rPr>
        <w:t>pojave ozbiljnih reakcija.</w:t>
      </w:r>
    </w:p>
    <w:p w14:paraId="17A3FEA5" w14:textId="77777777" w:rsidR="00007EF9" w:rsidRPr="000D3D7F" w:rsidRDefault="00007EF9" w:rsidP="001E1F5A">
      <w:pPr>
        <w:rPr>
          <w:szCs w:val="22"/>
          <w:lang w:val="sr-Latn-ME"/>
        </w:rPr>
      </w:pPr>
    </w:p>
    <w:p w14:paraId="17A3FEA6" w14:textId="69C7ABFD" w:rsidR="00007EF9" w:rsidRPr="000D3D7F" w:rsidRDefault="00007EF9" w:rsidP="001E1F5A">
      <w:pPr>
        <w:rPr>
          <w:b/>
          <w:bCs/>
          <w:szCs w:val="22"/>
          <w:lang w:val="sr-Latn-ME"/>
        </w:rPr>
      </w:pPr>
      <w:r w:rsidRPr="000D3D7F">
        <w:rPr>
          <w:b/>
          <w:bCs/>
          <w:szCs w:val="22"/>
          <w:lang w:val="sr-Latn-ME"/>
        </w:rPr>
        <w:t>4.5. Interakcije sa drugim l</w:t>
      </w:r>
      <w:r w:rsidR="00BB3814" w:rsidRPr="000D3D7F">
        <w:rPr>
          <w:b/>
          <w:bCs/>
          <w:szCs w:val="22"/>
          <w:lang w:val="sr-Latn-ME"/>
        </w:rPr>
        <w:t>j</w:t>
      </w:r>
      <w:r w:rsidRPr="000D3D7F">
        <w:rPr>
          <w:b/>
          <w:bCs/>
          <w:szCs w:val="22"/>
          <w:lang w:val="sr-Latn-ME"/>
        </w:rPr>
        <w:t>ekovima i druge vrste interakcija</w:t>
      </w:r>
    </w:p>
    <w:p w14:paraId="33C581E1" w14:textId="67EFC111" w:rsidR="00D00258" w:rsidRPr="000D3D7F" w:rsidRDefault="00D00258" w:rsidP="001E1F5A">
      <w:pPr>
        <w:rPr>
          <w:szCs w:val="22"/>
          <w:lang w:val="sr-Latn-ME"/>
        </w:rPr>
      </w:pPr>
      <w:r w:rsidRPr="000D3D7F">
        <w:rPr>
          <w:szCs w:val="22"/>
          <w:lang w:val="sr-Latn-ME"/>
        </w:rPr>
        <w:t>Ispitivanja in vitro ukazuju da je bortezomib slab inhibitor citohrom P450 (CYP) izozima 1A2, 2C9, 2C19,</w:t>
      </w:r>
      <w:r w:rsidR="00223077" w:rsidRPr="000D3D7F">
        <w:rPr>
          <w:szCs w:val="22"/>
          <w:lang w:val="sr-Latn-ME"/>
        </w:rPr>
        <w:t xml:space="preserve"> </w:t>
      </w:r>
      <w:r w:rsidRPr="000D3D7F">
        <w:rPr>
          <w:szCs w:val="22"/>
          <w:lang w:val="sr-Latn-ME"/>
        </w:rPr>
        <w:t>2D6 i 3A4. Na osnovu ograničenog učešća (7%) CYP2D6 u metabolizmu bortezomiba, ne očekuje se da</w:t>
      </w:r>
      <w:r w:rsidR="00223077" w:rsidRPr="000D3D7F">
        <w:rPr>
          <w:szCs w:val="22"/>
          <w:lang w:val="sr-Latn-ME"/>
        </w:rPr>
        <w:t xml:space="preserve"> </w:t>
      </w:r>
      <w:r w:rsidRPr="000D3D7F">
        <w:rPr>
          <w:szCs w:val="22"/>
          <w:lang w:val="sr-Latn-ME"/>
        </w:rPr>
        <w:t>fenotip slabog metabolizera CYP2D6 utiče na ukupnu raspoloživost bortezomiba.</w:t>
      </w:r>
    </w:p>
    <w:p w14:paraId="2B12B3C0" w14:textId="5CB43579" w:rsidR="00D00258" w:rsidRPr="000D3D7F" w:rsidRDefault="00D00258" w:rsidP="001E1F5A">
      <w:pPr>
        <w:rPr>
          <w:szCs w:val="22"/>
          <w:lang w:val="sr-Latn-ME"/>
        </w:rPr>
      </w:pPr>
      <w:r w:rsidRPr="000D3D7F">
        <w:rPr>
          <w:szCs w:val="22"/>
          <w:lang w:val="sr-Latn-ME"/>
        </w:rPr>
        <w:t>Studija interakcije ''l</w:t>
      </w:r>
      <w:r w:rsidR="00BB3814" w:rsidRPr="000D3D7F">
        <w:rPr>
          <w:szCs w:val="22"/>
          <w:lang w:val="sr-Latn-ME"/>
        </w:rPr>
        <w:t>ij</w:t>
      </w:r>
      <w:r w:rsidRPr="000D3D7F">
        <w:rPr>
          <w:szCs w:val="22"/>
          <w:lang w:val="sr-Latn-ME"/>
        </w:rPr>
        <w:t>ek-l</w:t>
      </w:r>
      <w:r w:rsidR="00BB3814" w:rsidRPr="000D3D7F">
        <w:rPr>
          <w:szCs w:val="22"/>
          <w:lang w:val="sr-Latn-ME"/>
        </w:rPr>
        <w:t>ij</w:t>
      </w:r>
      <w:r w:rsidRPr="000D3D7F">
        <w:rPr>
          <w:szCs w:val="22"/>
          <w:lang w:val="sr-Latn-ME"/>
        </w:rPr>
        <w:t>ek'' je proc</w:t>
      </w:r>
      <w:r w:rsidR="00254082" w:rsidRPr="000D3D7F">
        <w:rPr>
          <w:szCs w:val="22"/>
          <w:lang w:val="sr-Latn-ME"/>
        </w:rPr>
        <w:t>j</w:t>
      </w:r>
      <w:r w:rsidRPr="000D3D7F">
        <w:rPr>
          <w:szCs w:val="22"/>
          <w:lang w:val="sr-Latn-ME"/>
        </w:rPr>
        <w:t>enjivala uticaj ketokonazola, snažnog inhibitora CYP3A4, na</w:t>
      </w:r>
      <w:r w:rsidR="00223077" w:rsidRPr="000D3D7F">
        <w:rPr>
          <w:szCs w:val="22"/>
          <w:lang w:val="sr-Latn-ME"/>
        </w:rPr>
        <w:t xml:space="preserve"> </w:t>
      </w:r>
      <w:r w:rsidRPr="000D3D7F">
        <w:rPr>
          <w:szCs w:val="22"/>
          <w:lang w:val="sr-Latn-ME"/>
        </w:rPr>
        <w:t>farmakokintetiku bortezomiba (prim</w:t>
      </w:r>
      <w:r w:rsidR="00254082" w:rsidRPr="000D3D7F">
        <w:rPr>
          <w:szCs w:val="22"/>
          <w:lang w:val="sr-Latn-ME"/>
        </w:rPr>
        <w:t>ij</w:t>
      </w:r>
      <w:r w:rsidRPr="000D3D7F">
        <w:rPr>
          <w:szCs w:val="22"/>
          <w:lang w:val="sr-Latn-ME"/>
        </w:rPr>
        <w:t>enjenog intravenski), rezultati su pokazali povećanje srednje vr</w:t>
      </w:r>
      <w:r w:rsidR="00254082" w:rsidRPr="000D3D7F">
        <w:rPr>
          <w:szCs w:val="22"/>
          <w:lang w:val="sr-Latn-ME"/>
        </w:rPr>
        <w:t>ij</w:t>
      </w:r>
      <w:r w:rsidRPr="000D3D7F">
        <w:rPr>
          <w:szCs w:val="22"/>
          <w:lang w:val="sr-Latn-ME"/>
        </w:rPr>
        <w:t>ednosti</w:t>
      </w:r>
      <w:r w:rsidR="00223077" w:rsidRPr="000D3D7F">
        <w:rPr>
          <w:szCs w:val="22"/>
          <w:lang w:val="sr-Latn-ME"/>
        </w:rPr>
        <w:t xml:space="preserve"> </w:t>
      </w:r>
      <w:r w:rsidRPr="000D3D7F">
        <w:rPr>
          <w:szCs w:val="22"/>
          <w:lang w:val="sr-Latn-ME"/>
        </w:rPr>
        <w:t>PIK bortezomiba od 35% (CI</w:t>
      </w:r>
      <w:r w:rsidRPr="000D3D7F">
        <w:rPr>
          <w:szCs w:val="22"/>
          <w:vertAlign w:val="subscript"/>
          <w:lang w:val="sr-Latn-ME"/>
        </w:rPr>
        <w:t>90</w:t>
      </w:r>
      <w:r w:rsidR="0001683B" w:rsidRPr="000D3D7F">
        <w:rPr>
          <w:szCs w:val="22"/>
          <w:vertAlign w:val="subscript"/>
          <w:lang w:val="sr-Latn-ME"/>
        </w:rPr>
        <w:t>%</w:t>
      </w:r>
      <w:r w:rsidRPr="000D3D7F">
        <w:rPr>
          <w:szCs w:val="22"/>
          <w:lang w:val="sr-Latn-ME"/>
        </w:rPr>
        <w:t xml:space="preserve"> [1,032 do 1,772]), bazirano na podacima na 12 pacijenata. Zbog toga je</w:t>
      </w:r>
      <w:r w:rsidR="00223077" w:rsidRPr="000D3D7F">
        <w:rPr>
          <w:szCs w:val="22"/>
          <w:lang w:val="sr-Latn-ME"/>
        </w:rPr>
        <w:t xml:space="preserve"> </w:t>
      </w:r>
      <w:r w:rsidRPr="000D3D7F">
        <w:rPr>
          <w:szCs w:val="22"/>
          <w:lang w:val="sr-Latn-ME"/>
        </w:rPr>
        <w:t>potrebno pažljivo praćenje pacijenata kada se bortezomib daje u kombinaciji sa jakim inhibitorom CYP3A4</w:t>
      </w:r>
      <w:r w:rsidR="00223077" w:rsidRPr="000D3D7F">
        <w:rPr>
          <w:szCs w:val="22"/>
          <w:lang w:val="sr-Latn-ME"/>
        </w:rPr>
        <w:t xml:space="preserve"> </w:t>
      </w:r>
      <w:r w:rsidRPr="000D3D7F">
        <w:rPr>
          <w:szCs w:val="22"/>
          <w:lang w:val="sr-Latn-ME"/>
        </w:rPr>
        <w:t>(npr. ketokonazol, ritonavir).</w:t>
      </w:r>
    </w:p>
    <w:p w14:paraId="3007121B" w14:textId="1A6997AA" w:rsidR="00D00258" w:rsidRPr="000D3D7F" w:rsidRDefault="00D00258" w:rsidP="001E1F5A">
      <w:pPr>
        <w:rPr>
          <w:szCs w:val="22"/>
          <w:lang w:val="sr-Latn-ME"/>
        </w:rPr>
      </w:pPr>
      <w:r w:rsidRPr="000D3D7F">
        <w:rPr>
          <w:szCs w:val="22"/>
          <w:lang w:val="sr-Latn-ME"/>
        </w:rPr>
        <w:t>Studija interakcije ''l</w:t>
      </w:r>
      <w:r w:rsidR="00254082" w:rsidRPr="000D3D7F">
        <w:rPr>
          <w:szCs w:val="22"/>
          <w:lang w:val="sr-Latn-ME"/>
        </w:rPr>
        <w:t>ij</w:t>
      </w:r>
      <w:r w:rsidRPr="000D3D7F">
        <w:rPr>
          <w:szCs w:val="22"/>
          <w:lang w:val="sr-Latn-ME"/>
        </w:rPr>
        <w:t>ek-l</w:t>
      </w:r>
      <w:r w:rsidR="00254082" w:rsidRPr="000D3D7F">
        <w:rPr>
          <w:szCs w:val="22"/>
          <w:lang w:val="sr-Latn-ME"/>
        </w:rPr>
        <w:t>ij</w:t>
      </w:r>
      <w:r w:rsidRPr="000D3D7F">
        <w:rPr>
          <w:szCs w:val="22"/>
          <w:lang w:val="sr-Latn-ME"/>
        </w:rPr>
        <w:t>ek'' je proc</w:t>
      </w:r>
      <w:r w:rsidR="00254082" w:rsidRPr="000D3D7F">
        <w:rPr>
          <w:szCs w:val="22"/>
          <w:lang w:val="sr-Latn-ME"/>
        </w:rPr>
        <w:t>j</w:t>
      </w:r>
      <w:r w:rsidRPr="000D3D7F">
        <w:rPr>
          <w:szCs w:val="22"/>
          <w:lang w:val="sr-Latn-ME"/>
        </w:rPr>
        <w:t>enjivala uticaj omeprazola jakog CYP2C19 inhibitora, na</w:t>
      </w:r>
      <w:r w:rsidR="00223077" w:rsidRPr="000D3D7F">
        <w:rPr>
          <w:szCs w:val="22"/>
          <w:lang w:val="sr-Latn-ME"/>
        </w:rPr>
        <w:t xml:space="preserve"> </w:t>
      </w:r>
      <w:r w:rsidRPr="000D3D7F">
        <w:rPr>
          <w:szCs w:val="22"/>
          <w:lang w:val="sr-Latn-ME"/>
        </w:rPr>
        <w:t>farmakokinetiku bortezomiba (prim</w:t>
      </w:r>
      <w:r w:rsidR="00254082" w:rsidRPr="000D3D7F">
        <w:rPr>
          <w:szCs w:val="22"/>
          <w:lang w:val="sr-Latn-ME"/>
        </w:rPr>
        <w:t>ij</w:t>
      </w:r>
      <w:r w:rsidRPr="000D3D7F">
        <w:rPr>
          <w:szCs w:val="22"/>
          <w:lang w:val="sr-Latn-ME"/>
        </w:rPr>
        <w:t>enjenog intravenski), rezultati su pokazali da nije bilo značajnog uticaja</w:t>
      </w:r>
      <w:r w:rsidR="00223077" w:rsidRPr="000D3D7F">
        <w:rPr>
          <w:szCs w:val="22"/>
          <w:lang w:val="sr-Latn-ME"/>
        </w:rPr>
        <w:t xml:space="preserve"> </w:t>
      </w:r>
      <w:r w:rsidRPr="000D3D7F">
        <w:rPr>
          <w:szCs w:val="22"/>
          <w:lang w:val="sr-Latn-ME"/>
        </w:rPr>
        <w:t>na farmakokinetiku bortezomiba, bazirano na podacima na 17 pacijenata.</w:t>
      </w:r>
      <w:r w:rsidR="00223077" w:rsidRPr="000D3D7F">
        <w:rPr>
          <w:szCs w:val="22"/>
          <w:lang w:val="sr-Latn-ME"/>
        </w:rPr>
        <w:t xml:space="preserve"> </w:t>
      </w:r>
    </w:p>
    <w:p w14:paraId="1340FECB" w14:textId="04AC729B" w:rsidR="00D00258" w:rsidRPr="000D3D7F" w:rsidRDefault="00D00258" w:rsidP="001E1F5A">
      <w:pPr>
        <w:rPr>
          <w:szCs w:val="22"/>
          <w:lang w:val="sr-Latn-ME"/>
        </w:rPr>
      </w:pPr>
      <w:r w:rsidRPr="000D3D7F">
        <w:rPr>
          <w:szCs w:val="22"/>
          <w:lang w:val="sr-Latn-ME"/>
        </w:rPr>
        <w:t>Studija interakcije ''l</w:t>
      </w:r>
      <w:r w:rsidR="00254082" w:rsidRPr="000D3D7F">
        <w:rPr>
          <w:szCs w:val="22"/>
          <w:lang w:val="sr-Latn-ME"/>
        </w:rPr>
        <w:t>ij</w:t>
      </w:r>
      <w:r w:rsidRPr="000D3D7F">
        <w:rPr>
          <w:szCs w:val="22"/>
          <w:lang w:val="sr-Latn-ME"/>
        </w:rPr>
        <w:t>ek-l</w:t>
      </w:r>
      <w:r w:rsidR="00254082" w:rsidRPr="000D3D7F">
        <w:rPr>
          <w:szCs w:val="22"/>
          <w:lang w:val="sr-Latn-ME"/>
        </w:rPr>
        <w:t>ij</w:t>
      </w:r>
      <w:r w:rsidRPr="000D3D7F">
        <w:rPr>
          <w:szCs w:val="22"/>
          <w:lang w:val="sr-Latn-ME"/>
        </w:rPr>
        <w:t>ek'' je proc</w:t>
      </w:r>
      <w:r w:rsidR="00254082" w:rsidRPr="000D3D7F">
        <w:rPr>
          <w:szCs w:val="22"/>
          <w:lang w:val="sr-Latn-ME"/>
        </w:rPr>
        <w:t>j</w:t>
      </w:r>
      <w:r w:rsidRPr="000D3D7F">
        <w:rPr>
          <w:szCs w:val="22"/>
          <w:lang w:val="sr-Latn-ME"/>
        </w:rPr>
        <w:t>enjivala uticaj rifampicina, snažnog induktora CYP3A4 na</w:t>
      </w:r>
      <w:r w:rsidR="00223077" w:rsidRPr="000D3D7F">
        <w:rPr>
          <w:szCs w:val="22"/>
          <w:lang w:val="sr-Latn-ME"/>
        </w:rPr>
        <w:t xml:space="preserve"> </w:t>
      </w:r>
      <w:r w:rsidRPr="000D3D7F">
        <w:rPr>
          <w:szCs w:val="22"/>
          <w:lang w:val="sr-Latn-ME"/>
        </w:rPr>
        <w:t>farmakokinetiku bortezomiba (prim</w:t>
      </w:r>
      <w:r w:rsidR="00254082" w:rsidRPr="000D3D7F">
        <w:rPr>
          <w:szCs w:val="22"/>
          <w:lang w:val="sr-Latn-ME"/>
        </w:rPr>
        <w:t>ij</w:t>
      </w:r>
      <w:r w:rsidRPr="000D3D7F">
        <w:rPr>
          <w:szCs w:val="22"/>
          <w:lang w:val="sr-Latn-ME"/>
        </w:rPr>
        <w:t>enjenog intravenski), pokazano je da dolazi do srednjeg smanjenja</w:t>
      </w:r>
      <w:r w:rsidR="00223077" w:rsidRPr="000D3D7F">
        <w:rPr>
          <w:szCs w:val="22"/>
          <w:lang w:val="sr-Latn-ME"/>
        </w:rPr>
        <w:t xml:space="preserve"> </w:t>
      </w:r>
      <w:r w:rsidRPr="000D3D7F">
        <w:rPr>
          <w:szCs w:val="22"/>
          <w:lang w:val="sr-Latn-ME"/>
        </w:rPr>
        <w:t>vr</w:t>
      </w:r>
      <w:r w:rsidR="00254082" w:rsidRPr="000D3D7F">
        <w:rPr>
          <w:szCs w:val="22"/>
          <w:lang w:val="sr-Latn-ME"/>
        </w:rPr>
        <w:t>ij</w:t>
      </w:r>
      <w:r w:rsidRPr="000D3D7F">
        <w:rPr>
          <w:szCs w:val="22"/>
          <w:lang w:val="sr-Latn-ME"/>
        </w:rPr>
        <w:t>ednosti PIK bortezomiba od 45%. Ovi podaci su dobijeni na grupi od 6 pacijenata. Prema tome,</w:t>
      </w:r>
      <w:r w:rsidR="00223077" w:rsidRPr="000D3D7F">
        <w:rPr>
          <w:szCs w:val="22"/>
          <w:lang w:val="sr-Latn-ME"/>
        </w:rPr>
        <w:t xml:space="preserve"> </w:t>
      </w:r>
      <w:r w:rsidRPr="000D3D7F">
        <w:rPr>
          <w:szCs w:val="22"/>
          <w:lang w:val="sr-Latn-ME"/>
        </w:rPr>
        <w:lastRenderedPageBreak/>
        <w:t>istovremena prim</w:t>
      </w:r>
      <w:r w:rsidR="00254082" w:rsidRPr="000D3D7F">
        <w:rPr>
          <w:szCs w:val="22"/>
          <w:lang w:val="sr-Latn-ME"/>
        </w:rPr>
        <w:t>j</w:t>
      </w:r>
      <w:r w:rsidRPr="000D3D7F">
        <w:rPr>
          <w:szCs w:val="22"/>
          <w:lang w:val="sr-Latn-ME"/>
        </w:rPr>
        <w:t xml:space="preserve">ena </w:t>
      </w:r>
      <w:r w:rsidR="00EF43F3" w:rsidRPr="000D3D7F">
        <w:rPr>
          <w:szCs w:val="22"/>
          <w:lang w:val="sr-Latn-ME"/>
        </w:rPr>
        <w:t>bortezomib</w:t>
      </w:r>
      <w:r w:rsidR="00CF2839" w:rsidRPr="000D3D7F">
        <w:rPr>
          <w:szCs w:val="22"/>
          <w:lang w:val="sr-Latn-ME"/>
        </w:rPr>
        <w:t xml:space="preserve">a </w:t>
      </w:r>
      <w:r w:rsidRPr="000D3D7F">
        <w:rPr>
          <w:szCs w:val="22"/>
          <w:lang w:val="sr-Latn-ME"/>
        </w:rPr>
        <w:t>sa snažnim induktorima CYP3A4 (rifampicin, karbamazepin, fenitoin,</w:t>
      </w:r>
      <w:r w:rsidR="00223077" w:rsidRPr="000D3D7F">
        <w:rPr>
          <w:szCs w:val="22"/>
          <w:lang w:val="sr-Latn-ME"/>
        </w:rPr>
        <w:t xml:space="preserve"> </w:t>
      </w:r>
      <w:r w:rsidRPr="000D3D7F">
        <w:rPr>
          <w:szCs w:val="22"/>
          <w:lang w:val="sr-Latn-ME"/>
        </w:rPr>
        <w:t>fenobarbiton i kantarion (St. John's Wort)) se ne preporučuje, jer efikasnost l</w:t>
      </w:r>
      <w:r w:rsidR="00254082" w:rsidRPr="000D3D7F">
        <w:rPr>
          <w:szCs w:val="22"/>
          <w:lang w:val="sr-Latn-ME"/>
        </w:rPr>
        <w:t>ij</w:t>
      </w:r>
      <w:r w:rsidRPr="000D3D7F">
        <w:rPr>
          <w:szCs w:val="22"/>
          <w:lang w:val="sr-Latn-ME"/>
        </w:rPr>
        <w:t>eka može biti oslabljena. U istoj</w:t>
      </w:r>
      <w:r w:rsidR="00223077" w:rsidRPr="000D3D7F">
        <w:rPr>
          <w:szCs w:val="22"/>
          <w:lang w:val="sr-Latn-ME"/>
        </w:rPr>
        <w:t xml:space="preserve"> </w:t>
      </w:r>
      <w:r w:rsidRPr="000D3D7F">
        <w:rPr>
          <w:szCs w:val="22"/>
          <w:lang w:val="sr-Latn-ME"/>
        </w:rPr>
        <w:t>studiji interakcije ''l</w:t>
      </w:r>
      <w:r w:rsidR="00254082" w:rsidRPr="000D3D7F">
        <w:rPr>
          <w:szCs w:val="22"/>
          <w:lang w:val="sr-Latn-ME"/>
        </w:rPr>
        <w:t>ij</w:t>
      </w:r>
      <w:r w:rsidRPr="000D3D7F">
        <w:rPr>
          <w:szCs w:val="22"/>
          <w:lang w:val="sr-Latn-ME"/>
        </w:rPr>
        <w:t>ek-l</w:t>
      </w:r>
      <w:r w:rsidR="00254082" w:rsidRPr="000D3D7F">
        <w:rPr>
          <w:szCs w:val="22"/>
          <w:lang w:val="sr-Latn-ME"/>
        </w:rPr>
        <w:t>ij</w:t>
      </w:r>
      <w:r w:rsidRPr="000D3D7F">
        <w:rPr>
          <w:szCs w:val="22"/>
          <w:lang w:val="sr-Latn-ME"/>
        </w:rPr>
        <w:t>ek'' proc</w:t>
      </w:r>
      <w:r w:rsidR="00254082" w:rsidRPr="000D3D7F">
        <w:rPr>
          <w:szCs w:val="22"/>
          <w:lang w:val="sr-Latn-ME"/>
        </w:rPr>
        <w:t>j</w:t>
      </w:r>
      <w:r w:rsidRPr="000D3D7F">
        <w:rPr>
          <w:szCs w:val="22"/>
          <w:lang w:val="sr-Latn-ME"/>
        </w:rPr>
        <w:t>enjivan je uticaj deksametazona, slabijeg induktora CYP3A4, na</w:t>
      </w:r>
      <w:r w:rsidR="00223077" w:rsidRPr="000D3D7F">
        <w:rPr>
          <w:szCs w:val="22"/>
          <w:lang w:val="sr-Latn-ME"/>
        </w:rPr>
        <w:t xml:space="preserve"> </w:t>
      </w:r>
      <w:r w:rsidRPr="000D3D7F">
        <w:rPr>
          <w:szCs w:val="22"/>
          <w:lang w:val="sr-Latn-ME"/>
        </w:rPr>
        <w:t>farmakokinetiku bortezomiba (prim</w:t>
      </w:r>
      <w:r w:rsidR="00254082" w:rsidRPr="000D3D7F">
        <w:rPr>
          <w:szCs w:val="22"/>
          <w:lang w:val="sr-Latn-ME"/>
        </w:rPr>
        <w:t>ij</w:t>
      </w:r>
      <w:r w:rsidRPr="000D3D7F">
        <w:rPr>
          <w:szCs w:val="22"/>
          <w:lang w:val="sr-Latn-ME"/>
        </w:rPr>
        <w:t>enjenog intravenski), pokazano je da nije bilo značajnog uticaja na</w:t>
      </w:r>
      <w:r w:rsidR="00223077" w:rsidRPr="000D3D7F">
        <w:rPr>
          <w:szCs w:val="22"/>
          <w:lang w:val="sr-Latn-ME"/>
        </w:rPr>
        <w:t xml:space="preserve"> </w:t>
      </w:r>
      <w:r w:rsidRPr="000D3D7F">
        <w:rPr>
          <w:szCs w:val="22"/>
          <w:lang w:val="sr-Latn-ME"/>
        </w:rPr>
        <w:t>farmakokinetiku bortezomiba, bazirano na podacima na 7 pacijenata.</w:t>
      </w:r>
    </w:p>
    <w:p w14:paraId="1F44FB11" w14:textId="54CFC962" w:rsidR="00D00258" w:rsidRPr="000D3D7F" w:rsidRDefault="00D00258" w:rsidP="001E1F5A">
      <w:pPr>
        <w:rPr>
          <w:szCs w:val="22"/>
          <w:lang w:val="sr-Latn-ME"/>
        </w:rPr>
      </w:pPr>
      <w:r w:rsidRPr="000D3D7F">
        <w:rPr>
          <w:szCs w:val="22"/>
          <w:lang w:val="sr-Latn-ME"/>
        </w:rPr>
        <w:t>Studija interakcije ''l</w:t>
      </w:r>
      <w:r w:rsidR="00254082" w:rsidRPr="000D3D7F">
        <w:rPr>
          <w:szCs w:val="22"/>
          <w:lang w:val="sr-Latn-ME"/>
        </w:rPr>
        <w:t>ij</w:t>
      </w:r>
      <w:r w:rsidRPr="000D3D7F">
        <w:rPr>
          <w:szCs w:val="22"/>
          <w:lang w:val="sr-Latn-ME"/>
        </w:rPr>
        <w:t>ek-l</w:t>
      </w:r>
      <w:r w:rsidR="00254082" w:rsidRPr="000D3D7F">
        <w:rPr>
          <w:szCs w:val="22"/>
          <w:lang w:val="sr-Latn-ME"/>
        </w:rPr>
        <w:t>ij</w:t>
      </w:r>
      <w:r w:rsidRPr="000D3D7F">
        <w:rPr>
          <w:szCs w:val="22"/>
          <w:lang w:val="sr-Latn-ME"/>
        </w:rPr>
        <w:t>ek'' je proc</w:t>
      </w:r>
      <w:r w:rsidR="00254082" w:rsidRPr="000D3D7F">
        <w:rPr>
          <w:szCs w:val="22"/>
          <w:lang w:val="sr-Latn-ME"/>
        </w:rPr>
        <w:t>j</w:t>
      </w:r>
      <w:r w:rsidRPr="000D3D7F">
        <w:rPr>
          <w:szCs w:val="22"/>
          <w:lang w:val="sr-Latn-ME"/>
        </w:rPr>
        <w:t>enjivala je uticaj melfalan-prednizon na farmakokinetiku bortezomiba</w:t>
      </w:r>
      <w:r w:rsidR="00223077" w:rsidRPr="000D3D7F">
        <w:rPr>
          <w:szCs w:val="22"/>
          <w:lang w:val="sr-Latn-ME"/>
        </w:rPr>
        <w:t xml:space="preserve"> </w:t>
      </w:r>
      <w:r w:rsidRPr="000D3D7F">
        <w:rPr>
          <w:szCs w:val="22"/>
          <w:lang w:val="sr-Latn-ME"/>
        </w:rPr>
        <w:t>(prim</w:t>
      </w:r>
      <w:r w:rsidR="00254082" w:rsidRPr="000D3D7F">
        <w:rPr>
          <w:szCs w:val="22"/>
          <w:lang w:val="sr-Latn-ME"/>
        </w:rPr>
        <w:t>ij</w:t>
      </w:r>
      <w:r w:rsidRPr="000D3D7F">
        <w:rPr>
          <w:szCs w:val="22"/>
          <w:lang w:val="sr-Latn-ME"/>
        </w:rPr>
        <w:t>enjenog intravenski), pokazano je da se srednja vr</w:t>
      </w:r>
      <w:r w:rsidR="00254082" w:rsidRPr="000D3D7F">
        <w:rPr>
          <w:szCs w:val="22"/>
          <w:lang w:val="sr-Latn-ME"/>
        </w:rPr>
        <w:t>ij</w:t>
      </w:r>
      <w:r w:rsidRPr="000D3D7F">
        <w:rPr>
          <w:szCs w:val="22"/>
          <w:lang w:val="sr-Latn-ME"/>
        </w:rPr>
        <w:t>ednost PIK bortezomiba povećava 17%, bazirano na</w:t>
      </w:r>
      <w:r w:rsidR="00223077" w:rsidRPr="000D3D7F">
        <w:rPr>
          <w:szCs w:val="22"/>
          <w:lang w:val="sr-Latn-ME"/>
        </w:rPr>
        <w:t xml:space="preserve"> </w:t>
      </w:r>
      <w:r w:rsidRPr="000D3D7F">
        <w:rPr>
          <w:szCs w:val="22"/>
          <w:lang w:val="sr-Latn-ME"/>
        </w:rPr>
        <w:t>podacima kod 21 pacijenta, što se ne smatra klinički značajnim.</w:t>
      </w:r>
    </w:p>
    <w:p w14:paraId="17A3FEA7" w14:textId="3323BC22" w:rsidR="00007EF9" w:rsidRPr="000D3D7F" w:rsidRDefault="00D00258" w:rsidP="001E1F5A">
      <w:pPr>
        <w:rPr>
          <w:szCs w:val="22"/>
          <w:lang w:val="sr-Latn-ME"/>
        </w:rPr>
      </w:pPr>
      <w:r w:rsidRPr="000D3D7F">
        <w:rPr>
          <w:szCs w:val="22"/>
          <w:lang w:val="sr-Latn-ME"/>
        </w:rPr>
        <w:t>Tokom kliničkih ispitivanja, hipoglikemija i hiperglikemija su bile prijavljene kao česte i povremene kod</w:t>
      </w:r>
      <w:r w:rsidR="00223077" w:rsidRPr="000D3D7F">
        <w:rPr>
          <w:szCs w:val="22"/>
          <w:lang w:val="sr-Latn-ME"/>
        </w:rPr>
        <w:t xml:space="preserve"> </w:t>
      </w:r>
      <w:r w:rsidRPr="000D3D7F">
        <w:rPr>
          <w:szCs w:val="22"/>
          <w:lang w:val="sr-Latn-ME"/>
        </w:rPr>
        <w:t>pacijenata sa dijabetesom koji primaju oralne hipoglikemike. Kod pacijenata na oralnim antidijabeticima koji</w:t>
      </w:r>
      <w:r w:rsidR="00223077" w:rsidRPr="000D3D7F">
        <w:rPr>
          <w:szCs w:val="22"/>
          <w:lang w:val="sr-Latn-ME"/>
        </w:rPr>
        <w:t xml:space="preserve"> </w:t>
      </w:r>
      <w:r w:rsidRPr="000D3D7F">
        <w:rPr>
          <w:szCs w:val="22"/>
          <w:lang w:val="sr-Latn-ME"/>
        </w:rPr>
        <w:t xml:space="preserve">primaju </w:t>
      </w:r>
      <w:r w:rsidR="00EF43F3" w:rsidRPr="000D3D7F">
        <w:rPr>
          <w:szCs w:val="22"/>
          <w:lang w:val="sr-Latn-ME"/>
        </w:rPr>
        <w:t xml:space="preserve"> bortezomib </w:t>
      </w:r>
      <w:r w:rsidRPr="000D3D7F">
        <w:rPr>
          <w:szCs w:val="22"/>
          <w:lang w:val="sr-Latn-ME"/>
        </w:rPr>
        <w:t>trebalo bi pažljivo pratiti nivo glukoze u krvi i po potrebi prilagoditi dozu antidijabetika.</w:t>
      </w:r>
    </w:p>
    <w:p w14:paraId="17A3FEA8" w14:textId="7874BF16" w:rsidR="00007EF9" w:rsidRPr="000D3D7F" w:rsidRDefault="00007EF9" w:rsidP="001E1F5A">
      <w:pPr>
        <w:rPr>
          <w:szCs w:val="22"/>
          <w:lang w:val="sr-Latn-ME"/>
        </w:rPr>
      </w:pPr>
    </w:p>
    <w:p w14:paraId="31D3A768" w14:textId="77777777" w:rsidR="00254082" w:rsidRPr="000D3D7F" w:rsidRDefault="00254082" w:rsidP="001E1F5A">
      <w:pPr>
        <w:rPr>
          <w:szCs w:val="22"/>
          <w:lang w:val="sr-Latn-ME"/>
        </w:rPr>
      </w:pPr>
    </w:p>
    <w:p w14:paraId="17A3FEA9" w14:textId="77777777" w:rsidR="00007EF9" w:rsidRPr="000D3D7F" w:rsidRDefault="00007EF9" w:rsidP="001E1F5A">
      <w:pPr>
        <w:rPr>
          <w:b/>
          <w:bCs/>
          <w:szCs w:val="22"/>
          <w:lang w:val="sr-Latn-ME"/>
        </w:rPr>
      </w:pPr>
      <w:r w:rsidRPr="000D3D7F">
        <w:rPr>
          <w:b/>
          <w:bCs/>
          <w:szCs w:val="22"/>
          <w:lang w:val="sr-Latn-ME"/>
        </w:rPr>
        <w:t>4.6. Plodnost, trudnoća i dojenje</w:t>
      </w:r>
    </w:p>
    <w:p w14:paraId="4C31A8B8" w14:textId="77777777" w:rsidR="00D00258" w:rsidRPr="000D3D7F" w:rsidRDefault="00D00258" w:rsidP="001E1F5A">
      <w:pPr>
        <w:rPr>
          <w:szCs w:val="22"/>
          <w:u w:val="single"/>
          <w:lang w:val="sr-Latn-ME"/>
        </w:rPr>
      </w:pPr>
      <w:r w:rsidRPr="000D3D7F">
        <w:rPr>
          <w:szCs w:val="22"/>
          <w:u w:val="single"/>
          <w:lang w:val="sr-Latn-ME"/>
        </w:rPr>
        <w:t>Kontracepcija kod žena i muškaraca</w:t>
      </w:r>
    </w:p>
    <w:p w14:paraId="4A9E895F" w14:textId="0FBA2D08" w:rsidR="00D00258" w:rsidRPr="000D3D7F" w:rsidRDefault="00D00258" w:rsidP="001E1F5A">
      <w:pPr>
        <w:rPr>
          <w:szCs w:val="22"/>
          <w:lang w:val="sr-Latn-ME"/>
        </w:rPr>
      </w:pPr>
      <w:r w:rsidRPr="000D3D7F">
        <w:rPr>
          <w:szCs w:val="22"/>
          <w:lang w:val="sr-Latn-ME"/>
        </w:rPr>
        <w:t>Muškarci i žene u reproduktivnom period</w:t>
      </w:r>
      <w:r w:rsidR="00EF43F3" w:rsidRPr="000D3D7F">
        <w:rPr>
          <w:szCs w:val="22"/>
          <w:lang w:val="sr-Latn-ME"/>
        </w:rPr>
        <w:t>u</w:t>
      </w:r>
      <w:r w:rsidRPr="000D3D7F">
        <w:rPr>
          <w:szCs w:val="22"/>
          <w:lang w:val="sr-Latn-ME"/>
        </w:rPr>
        <w:t xml:space="preserve"> moraju da koriste efikasne m</w:t>
      </w:r>
      <w:r w:rsidR="00254082" w:rsidRPr="000D3D7F">
        <w:rPr>
          <w:szCs w:val="22"/>
          <w:lang w:val="sr-Latn-ME"/>
        </w:rPr>
        <w:t>j</w:t>
      </w:r>
      <w:r w:rsidRPr="000D3D7F">
        <w:rPr>
          <w:szCs w:val="22"/>
          <w:lang w:val="sr-Latn-ME"/>
        </w:rPr>
        <w:t>ere kontracepcije tokom l</w:t>
      </w:r>
      <w:r w:rsidR="00254082" w:rsidRPr="000D3D7F">
        <w:rPr>
          <w:szCs w:val="22"/>
          <w:lang w:val="sr-Latn-ME"/>
        </w:rPr>
        <w:t>ij</w:t>
      </w:r>
      <w:r w:rsidRPr="000D3D7F">
        <w:rPr>
          <w:szCs w:val="22"/>
          <w:lang w:val="sr-Latn-ME"/>
        </w:rPr>
        <w:t>ečenja i</w:t>
      </w:r>
      <w:r w:rsidR="004B33C6" w:rsidRPr="000D3D7F">
        <w:rPr>
          <w:szCs w:val="22"/>
          <w:lang w:val="sr-Latn-ME"/>
        </w:rPr>
        <w:t xml:space="preserve"> </w:t>
      </w:r>
      <w:r w:rsidRPr="000D3D7F">
        <w:rPr>
          <w:szCs w:val="22"/>
          <w:lang w:val="sr-Latn-ME"/>
        </w:rPr>
        <w:t>tokom perioda od 3 m</w:t>
      </w:r>
      <w:r w:rsidR="00254082" w:rsidRPr="000D3D7F">
        <w:rPr>
          <w:szCs w:val="22"/>
          <w:lang w:val="sr-Latn-ME"/>
        </w:rPr>
        <w:t>j</w:t>
      </w:r>
      <w:r w:rsidRPr="000D3D7F">
        <w:rPr>
          <w:szCs w:val="22"/>
          <w:lang w:val="sr-Latn-ME"/>
        </w:rPr>
        <w:t>eseca posl</w:t>
      </w:r>
      <w:r w:rsidR="00254082" w:rsidRPr="000D3D7F">
        <w:rPr>
          <w:szCs w:val="22"/>
          <w:lang w:val="sr-Latn-ME"/>
        </w:rPr>
        <w:t>ij</w:t>
      </w:r>
      <w:r w:rsidRPr="000D3D7F">
        <w:rPr>
          <w:szCs w:val="22"/>
          <w:lang w:val="sr-Latn-ME"/>
        </w:rPr>
        <w:t xml:space="preserve">e terapije </w:t>
      </w:r>
      <w:r w:rsidR="004334D9" w:rsidRPr="000D3D7F">
        <w:rPr>
          <w:szCs w:val="22"/>
          <w:lang w:val="sr-Latn-ME"/>
        </w:rPr>
        <w:t>bortezomibom</w:t>
      </w:r>
      <w:r w:rsidRPr="000D3D7F">
        <w:rPr>
          <w:szCs w:val="22"/>
          <w:lang w:val="sr-Latn-ME"/>
        </w:rPr>
        <w:t>.</w:t>
      </w:r>
    </w:p>
    <w:p w14:paraId="3F08CF5D" w14:textId="77777777" w:rsidR="00D00258" w:rsidRPr="000D3D7F" w:rsidRDefault="00D00258" w:rsidP="001E1F5A">
      <w:pPr>
        <w:rPr>
          <w:szCs w:val="22"/>
          <w:u w:val="single"/>
          <w:lang w:val="sr-Latn-ME"/>
        </w:rPr>
      </w:pPr>
      <w:r w:rsidRPr="000D3D7F">
        <w:rPr>
          <w:szCs w:val="22"/>
          <w:u w:val="single"/>
          <w:lang w:val="sr-Latn-ME"/>
        </w:rPr>
        <w:t>Trudnoća</w:t>
      </w:r>
    </w:p>
    <w:p w14:paraId="5BDE0A08" w14:textId="7E4A7738" w:rsidR="00D00258" w:rsidRPr="000D3D7F" w:rsidRDefault="00D00258" w:rsidP="001E1F5A">
      <w:pPr>
        <w:rPr>
          <w:szCs w:val="22"/>
          <w:lang w:val="sr-Latn-ME"/>
        </w:rPr>
      </w:pPr>
      <w:r w:rsidRPr="000D3D7F">
        <w:rPr>
          <w:szCs w:val="22"/>
          <w:lang w:val="sr-Latn-ME"/>
        </w:rPr>
        <w:t xml:space="preserve">Za </w:t>
      </w:r>
      <w:r w:rsidR="008C1EBE" w:rsidRPr="000D3D7F">
        <w:rPr>
          <w:szCs w:val="22"/>
          <w:lang w:val="sr-Latn-ME"/>
        </w:rPr>
        <w:t>bortezomib</w:t>
      </w:r>
      <w:r w:rsidRPr="000D3D7F">
        <w:rPr>
          <w:szCs w:val="22"/>
          <w:lang w:val="sr-Latn-ME"/>
        </w:rPr>
        <w:t xml:space="preserve"> ne postoje klinički podaci o izlaganju tokom trudnoće. Teratogeni potencijal bortezomiba</w:t>
      </w:r>
      <w:r w:rsidR="004B33C6" w:rsidRPr="000D3D7F">
        <w:rPr>
          <w:szCs w:val="22"/>
          <w:lang w:val="sr-Latn-ME"/>
        </w:rPr>
        <w:t xml:space="preserve"> </w:t>
      </w:r>
      <w:r w:rsidRPr="000D3D7F">
        <w:rPr>
          <w:szCs w:val="22"/>
          <w:lang w:val="sr-Latn-ME"/>
        </w:rPr>
        <w:t>nije u potpunosti ispitan.</w:t>
      </w:r>
    </w:p>
    <w:p w14:paraId="46B65B31" w14:textId="7CCEF935" w:rsidR="00D00258" w:rsidRPr="000D3D7F" w:rsidRDefault="00D00258" w:rsidP="001E1F5A">
      <w:pPr>
        <w:rPr>
          <w:szCs w:val="22"/>
          <w:lang w:val="sr-Latn-ME"/>
        </w:rPr>
      </w:pPr>
      <w:r w:rsidRPr="000D3D7F">
        <w:rPr>
          <w:szCs w:val="22"/>
          <w:lang w:val="sr-Latn-ME"/>
        </w:rPr>
        <w:t>U pretkliničkim ispitivanjima, bortezomib nije uticao na embrionalni/fetalni razvoj fetusa pacova i kunića,</w:t>
      </w:r>
      <w:r w:rsidR="004B33C6" w:rsidRPr="000D3D7F">
        <w:rPr>
          <w:szCs w:val="22"/>
          <w:lang w:val="sr-Latn-ME"/>
        </w:rPr>
        <w:t xml:space="preserve"> </w:t>
      </w:r>
      <w:r w:rsidRPr="000D3D7F">
        <w:rPr>
          <w:szCs w:val="22"/>
          <w:lang w:val="sr-Latn-ME"/>
        </w:rPr>
        <w:t>pri najvišim podnošljivim dozama po majku. Ni</w:t>
      </w:r>
      <w:r w:rsidR="001E1F5A" w:rsidRPr="000D3D7F">
        <w:rPr>
          <w:szCs w:val="22"/>
          <w:lang w:val="sr-Latn-ME"/>
        </w:rPr>
        <w:t>je</w:t>
      </w:r>
      <w:r w:rsidRPr="000D3D7F">
        <w:rPr>
          <w:szCs w:val="22"/>
          <w:lang w:val="sr-Latn-ME"/>
        </w:rPr>
        <w:t>su sprovedena ispitivanja na životinjama koja bi utvrdila</w:t>
      </w:r>
      <w:r w:rsidR="004B33C6" w:rsidRPr="000D3D7F">
        <w:rPr>
          <w:szCs w:val="22"/>
          <w:lang w:val="sr-Latn-ME"/>
        </w:rPr>
        <w:t xml:space="preserve"> </w:t>
      </w:r>
      <w:r w:rsidRPr="000D3D7F">
        <w:rPr>
          <w:szCs w:val="22"/>
          <w:lang w:val="sr-Latn-ME"/>
        </w:rPr>
        <w:t>uticaj l</w:t>
      </w:r>
      <w:r w:rsidR="00254082" w:rsidRPr="000D3D7F">
        <w:rPr>
          <w:szCs w:val="22"/>
          <w:lang w:val="sr-Latn-ME"/>
        </w:rPr>
        <w:t>ij</w:t>
      </w:r>
      <w:r w:rsidRPr="000D3D7F">
        <w:rPr>
          <w:szCs w:val="22"/>
          <w:lang w:val="sr-Latn-ME"/>
        </w:rPr>
        <w:t>eka na porođaj i postnatalni razvoj (vid</w:t>
      </w:r>
      <w:r w:rsidR="00254082"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5.3). </w:t>
      </w:r>
      <w:r w:rsidR="008C1EBE" w:rsidRPr="000D3D7F">
        <w:rPr>
          <w:szCs w:val="22"/>
          <w:lang w:val="sr-Latn-ME"/>
        </w:rPr>
        <w:t xml:space="preserve">Bortezomib </w:t>
      </w:r>
      <w:r w:rsidRPr="000D3D7F">
        <w:rPr>
          <w:szCs w:val="22"/>
          <w:lang w:val="sr-Latn-ME"/>
        </w:rPr>
        <w:t xml:space="preserve"> ne treba davati tokom trudnoće</w:t>
      </w:r>
      <w:r w:rsidR="004B33C6" w:rsidRPr="000D3D7F">
        <w:rPr>
          <w:szCs w:val="22"/>
          <w:lang w:val="sr-Latn-ME"/>
        </w:rPr>
        <w:t xml:space="preserve"> </w:t>
      </w:r>
      <w:r w:rsidRPr="000D3D7F">
        <w:rPr>
          <w:szCs w:val="22"/>
          <w:lang w:val="sr-Latn-ME"/>
        </w:rPr>
        <w:t>osim ukoliko kliničko stanje žene zaht</w:t>
      </w:r>
      <w:r w:rsidR="00254082" w:rsidRPr="000D3D7F">
        <w:rPr>
          <w:szCs w:val="22"/>
          <w:lang w:val="sr-Latn-ME"/>
        </w:rPr>
        <w:t>ij</w:t>
      </w:r>
      <w:r w:rsidRPr="000D3D7F">
        <w:rPr>
          <w:szCs w:val="22"/>
          <w:lang w:val="sr-Latn-ME"/>
        </w:rPr>
        <w:t xml:space="preserve">eva terapiju </w:t>
      </w:r>
      <w:r w:rsidR="008C1EBE" w:rsidRPr="000D3D7F">
        <w:rPr>
          <w:szCs w:val="22"/>
          <w:lang w:val="sr-Latn-ME"/>
        </w:rPr>
        <w:t>bortezomibom</w:t>
      </w:r>
      <w:r w:rsidRPr="000D3D7F">
        <w:rPr>
          <w:szCs w:val="22"/>
          <w:lang w:val="sr-Latn-ME"/>
        </w:rPr>
        <w:t>.</w:t>
      </w:r>
    </w:p>
    <w:p w14:paraId="17A3FEAA" w14:textId="16B9DD62" w:rsidR="00007EF9" w:rsidRPr="000D3D7F" w:rsidRDefault="00D00258" w:rsidP="001E1F5A">
      <w:pPr>
        <w:rPr>
          <w:szCs w:val="22"/>
          <w:lang w:val="sr-Latn-ME"/>
        </w:rPr>
      </w:pPr>
      <w:r w:rsidRPr="000D3D7F">
        <w:rPr>
          <w:szCs w:val="22"/>
          <w:lang w:val="sr-Latn-ME"/>
        </w:rPr>
        <w:t xml:space="preserve">Ukoliko se </w:t>
      </w:r>
      <w:r w:rsidR="008C1EBE" w:rsidRPr="000D3D7F">
        <w:rPr>
          <w:szCs w:val="22"/>
          <w:lang w:val="sr-Latn-ME"/>
        </w:rPr>
        <w:t>bortezomib</w:t>
      </w:r>
      <w:r w:rsidRPr="000D3D7F">
        <w:rPr>
          <w:szCs w:val="22"/>
          <w:lang w:val="sr-Latn-ME"/>
        </w:rPr>
        <w:t xml:space="preserve"> koristi tokom trudnoće ili ukoliko pacijentkinja ostane u drugom stanju dok prima</w:t>
      </w:r>
      <w:r w:rsidR="004B33C6" w:rsidRPr="000D3D7F">
        <w:rPr>
          <w:szCs w:val="22"/>
          <w:lang w:val="sr-Latn-ME"/>
        </w:rPr>
        <w:t xml:space="preserve"> </w:t>
      </w:r>
      <w:r w:rsidRPr="000D3D7F">
        <w:rPr>
          <w:szCs w:val="22"/>
          <w:lang w:val="sr-Latn-ME"/>
        </w:rPr>
        <w:t>ovaj l</w:t>
      </w:r>
      <w:r w:rsidR="00254082" w:rsidRPr="000D3D7F">
        <w:rPr>
          <w:szCs w:val="22"/>
          <w:lang w:val="sr-Latn-ME"/>
        </w:rPr>
        <w:t>ij</w:t>
      </w:r>
      <w:r w:rsidRPr="000D3D7F">
        <w:rPr>
          <w:szCs w:val="22"/>
          <w:lang w:val="sr-Latn-ME"/>
        </w:rPr>
        <w:t>ek, treba je obav</w:t>
      </w:r>
      <w:r w:rsidR="00254082" w:rsidRPr="000D3D7F">
        <w:rPr>
          <w:szCs w:val="22"/>
          <w:lang w:val="sr-Latn-ME"/>
        </w:rPr>
        <w:t>ij</w:t>
      </w:r>
      <w:r w:rsidRPr="000D3D7F">
        <w:rPr>
          <w:szCs w:val="22"/>
          <w:lang w:val="sr-Latn-ME"/>
        </w:rPr>
        <w:t>estiti o potencijalnim opasnostima po fetus.</w:t>
      </w:r>
    </w:p>
    <w:p w14:paraId="42C1B16A" w14:textId="2624957D" w:rsidR="00D00258" w:rsidRPr="000D3D7F" w:rsidRDefault="00D00258" w:rsidP="001E1F5A">
      <w:pPr>
        <w:rPr>
          <w:szCs w:val="22"/>
          <w:lang w:val="sr-Latn-ME"/>
        </w:rPr>
      </w:pPr>
      <w:r w:rsidRPr="000D3D7F">
        <w:rPr>
          <w:szCs w:val="22"/>
          <w:lang w:val="sr-Latn-ME"/>
        </w:rPr>
        <w:t>Talidomid je poznata humana teratogena aktivna supstanca koja izaziva teške životno ugrožavajuće defekte</w:t>
      </w:r>
      <w:r w:rsidR="004B33C6" w:rsidRPr="000D3D7F">
        <w:rPr>
          <w:szCs w:val="22"/>
          <w:lang w:val="sr-Latn-ME"/>
        </w:rPr>
        <w:t xml:space="preserve"> </w:t>
      </w:r>
      <w:r w:rsidRPr="000D3D7F">
        <w:rPr>
          <w:szCs w:val="22"/>
          <w:lang w:val="sr-Latn-ME"/>
        </w:rPr>
        <w:t>novorođenčeta. Talidomid je kontraindikovan tokom trudnoće i kod žena u generativnom periodu osim</w:t>
      </w:r>
      <w:r w:rsidR="004B33C6" w:rsidRPr="000D3D7F">
        <w:rPr>
          <w:szCs w:val="22"/>
          <w:lang w:val="sr-Latn-ME"/>
        </w:rPr>
        <w:t xml:space="preserve"> </w:t>
      </w:r>
      <w:r w:rsidRPr="000D3D7F">
        <w:rPr>
          <w:szCs w:val="22"/>
          <w:lang w:val="sr-Latn-ME"/>
        </w:rPr>
        <w:t>ukoliko ni</w:t>
      </w:r>
      <w:r w:rsidR="001E1F5A" w:rsidRPr="000D3D7F">
        <w:rPr>
          <w:szCs w:val="22"/>
          <w:lang w:val="sr-Latn-ME"/>
        </w:rPr>
        <w:t>je</w:t>
      </w:r>
      <w:r w:rsidRPr="000D3D7F">
        <w:rPr>
          <w:szCs w:val="22"/>
          <w:lang w:val="sr-Latn-ME"/>
        </w:rPr>
        <w:t>su ispunjeni svi uslovi predviđeni talidomid programom prevencije trudnoće. Pacijenti koji</w:t>
      </w:r>
      <w:r w:rsidR="004B33C6" w:rsidRPr="000D3D7F">
        <w:rPr>
          <w:szCs w:val="22"/>
          <w:lang w:val="sr-Latn-ME"/>
        </w:rPr>
        <w:t xml:space="preserve"> </w:t>
      </w:r>
      <w:r w:rsidRPr="000D3D7F">
        <w:rPr>
          <w:szCs w:val="22"/>
          <w:lang w:val="sr-Latn-ME"/>
        </w:rPr>
        <w:t xml:space="preserve">primaju </w:t>
      </w:r>
      <w:r w:rsidR="008C1EBE" w:rsidRPr="000D3D7F">
        <w:rPr>
          <w:szCs w:val="22"/>
          <w:lang w:val="sr-Latn-ME"/>
        </w:rPr>
        <w:t>bortezomib</w:t>
      </w:r>
      <w:r w:rsidRPr="000D3D7F">
        <w:rPr>
          <w:szCs w:val="22"/>
          <w:lang w:val="sr-Latn-ME"/>
        </w:rPr>
        <w:t xml:space="preserve"> u kombinaciji sa talidomidom treba da se pridržavaju talidomid preventivnog programa</w:t>
      </w:r>
      <w:r w:rsidR="004B33C6" w:rsidRPr="000D3D7F">
        <w:rPr>
          <w:szCs w:val="22"/>
          <w:lang w:val="sr-Latn-ME"/>
        </w:rPr>
        <w:t xml:space="preserve"> </w:t>
      </w:r>
      <w:r w:rsidRPr="000D3D7F">
        <w:rPr>
          <w:szCs w:val="22"/>
          <w:lang w:val="sr-Latn-ME"/>
        </w:rPr>
        <w:t>za sprečavanje trudnoće . Pogledati Sažetak karakteristika l</w:t>
      </w:r>
      <w:r w:rsidR="00254082" w:rsidRPr="000D3D7F">
        <w:rPr>
          <w:szCs w:val="22"/>
          <w:lang w:val="sr-Latn-ME"/>
        </w:rPr>
        <w:t>ij</w:t>
      </w:r>
      <w:r w:rsidRPr="000D3D7F">
        <w:rPr>
          <w:szCs w:val="22"/>
          <w:lang w:val="sr-Latn-ME"/>
        </w:rPr>
        <w:t>eka talidomida za dodatne informacije.</w:t>
      </w:r>
    </w:p>
    <w:p w14:paraId="1BC012A4" w14:textId="77777777" w:rsidR="00D00258" w:rsidRPr="000D3D7F" w:rsidRDefault="00D00258" w:rsidP="001E1F5A">
      <w:pPr>
        <w:rPr>
          <w:szCs w:val="22"/>
          <w:u w:val="single"/>
          <w:lang w:val="sr-Latn-ME"/>
        </w:rPr>
      </w:pPr>
      <w:r w:rsidRPr="000D3D7F">
        <w:rPr>
          <w:szCs w:val="22"/>
          <w:u w:val="single"/>
          <w:lang w:val="sr-Latn-ME"/>
        </w:rPr>
        <w:t>Dojenje</w:t>
      </w:r>
    </w:p>
    <w:p w14:paraId="0704E333" w14:textId="552848D8" w:rsidR="00D00258" w:rsidRPr="000D3D7F" w:rsidRDefault="00D00258" w:rsidP="001E1F5A">
      <w:pPr>
        <w:rPr>
          <w:szCs w:val="22"/>
          <w:lang w:val="sr-Latn-ME"/>
        </w:rPr>
      </w:pPr>
      <w:r w:rsidRPr="000D3D7F">
        <w:rPr>
          <w:szCs w:val="22"/>
          <w:lang w:val="sr-Latn-ME"/>
        </w:rPr>
        <w:t>Nije poznato da li se bortezomib izlučuje u humanom ml</w:t>
      </w:r>
      <w:r w:rsidR="00254082" w:rsidRPr="000D3D7F">
        <w:rPr>
          <w:szCs w:val="22"/>
          <w:lang w:val="sr-Latn-ME"/>
        </w:rPr>
        <w:t>ij</w:t>
      </w:r>
      <w:r w:rsidRPr="000D3D7F">
        <w:rPr>
          <w:szCs w:val="22"/>
          <w:lang w:val="sr-Latn-ME"/>
        </w:rPr>
        <w:t>eku. Budući da postoji mogućnost ozbiljnih</w:t>
      </w:r>
      <w:r w:rsidR="004B33C6" w:rsidRPr="000D3D7F">
        <w:rPr>
          <w:szCs w:val="22"/>
          <w:lang w:val="sr-Latn-ME"/>
        </w:rPr>
        <w:t xml:space="preserve"> </w:t>
      </w:r>
      <w:r w:rsidRPr="000D3D7F">
        <w:rPr>
          <w:szCs w:val="22"/>
          <w:lang w:val="sr-Latn-ME"/>
        </w:rPr>
        <w:t xml:space="preserve">neželjenih rekacija </w:t>
      </w:r>
      <w:r w:rsidR="008C1EBE" w:rsidRPr="000D3D7F">
        <w:rPr>
          <w:szCs w:val="22"/>
          <w:lang w:val="sr-Latn-ME"/>
        </w:rPr>
        <w:t>bortezomiba</w:t>
      </w:r>
      <w:r w:rsidRPr="000D3D7F">
        <w:rPr>
          <w:szCs w:val="22"/>
          <w:lang w:val="sr-Latn-ME"/>
        </w:rPr>
        <w:t xml:space="preserve"> na odojče, potrebno je prekinuti dojenje tokom prim</w:t>
      </w:r>
      <w:r w:rsidR="00254082" w:rsidRPr="000D3D7F">
        <w:rPr>
          <w:szCs w:val="22"/>
          <w:lang w:val="sr-Latn-ME"/>
        </w:rPr>
        <w:t>j</w:t>
      </w:r>
      <w:r w:rsidRPr="000D3D7F">
        <w:rPr>
          <w:szCs w:val="22"/>
          <w:lang w:val="sr-Latn-ME"/>
        </w:rPr>
        <w:t xml:space="preserve">ene </w:t>
      </w:r>
      <w:r w:rsidR="008C1EBE" w:rsidRPr="000D3D7F">
        <w:rPr>
          <w:szCs w:val="22"/>
          <w:lang w:val="sr-Latn-ME"/>
        </w:rPr>
        <w:t>bortezomiba</w:t>
      </w:r>
      <w:r w:rsidRPr="000D3D7F">
        <w:rPr>
          <w:szCs w:val="22"/>
          <w:lang w:val="sr-Latn-ME"/>
        </w:rPr>
        <w:t>.</w:t>
      </w:r>
    </w:p>
    <w:p w14:paraId="325EC053" w14:textId="7804F947" w:rsidR="00653D14" w:rsidRPr="000D3D7F" w:rsidRDefault="00653D14" w:rsidP="001E1F5A">
      <w:pPr>
        <w:rPr>
          <w:szCs w:val="22"/>
          <w:lang w:val="sr-Latn-ME"/>
        </w:rPr>
      </w:pPr>
    </w:p>
    <w:p w14:paraId="4A98B5D6" w14:textId="77777777" w:rsidR="00653D14" w:rsidRPr="000D3D7F" w:rsidRDefault="00653D14" w:rsidP="001E1F5A">
      <w:pPr>
        <w:rPr>
          <w:szCs w:val="22"/>
          <w:u w:val="single"/>
          <w:lang w:val="sr-Latn-ME"/>
        </w:rPr>
      </w:pPr>
      <w:r w:rsidRPr="000D3D7F">
        <w:rPr>
          <w:szCs w:val="22"/>
          <w:u w:val="single"/>
          <w:lang w:val="sr-Latn-ME"/>
        </w:rPr>
        <w:t>Plodnost</w:t>
      </w:r>
    </w:p>
    <w:p w14:paraId="71DC23C8" w14:textId="057F754B" w:rsidR="00653D14" w:rsidRPr="000D3D7F" w:rsidRDefault="00653D14" w:rsidP="001E1F5A">
      <w:pPr>
        <w:rPr>
          <w:szCs w:val="22"/>
          <w:lang w:val="sr-Latn-ME"/>
        </w:rPr>
      </w:pPr>
      <w:r w:rsidRPr="000D3D7F">
        <w:rPr>
          <w:szCs w:val="22"/>
          <w:lang w:val="sr-Latn-ME"/>
        </w:rPr>
        <w:t>Studije fertiliteta ni</w:t>
      </w:r>
      <w:r w:rsidR="001E1F5A" w:rsidRPr="000D3D7F">
        <w:rPr>
          <w:szCs w:val="22"/>
          <w:lang w:val="sr-Latn-ME"/>
        </w:rPr>
        <w:t>je</w:t>
      </w:r>
      <w:r w:rsidRPr="000D3D7F">
        <w:rPr>
          <w:szCs w:val="22"/>
          <w:lang w:val="sr-Latn-ME"/>
        </w:rPr>
        <w:t xml:space="preserve">su sprovedene sa </w:t>
      </w:r>
      <w:r w:rsidR="008C1EBE" w:rsidRPr="000D3D7F">
        <w:rPr>
          <w:szCs w:val="22"/>
          <w:lang w:val="sr-Latn-ME"/>
        </w:rPr>
        <w:t>bortezomibom</w:t>
      </w:r>
      <w:r w:rsidRPr="000D3D7F">
        <w:rPr>
          <w:szCs w:val="22"/>
          <w:lang w:val="sr-Latn-ME"/>
        </w:rPr>
        <w:t xml:space="preserve"> (vidjeti </w:t>
      </w:r>
      <w:r w:rsidR="00A34C43" w:rsidRPr="000D3D7F">
        <w:rPr>
          <w:szCs w:val="22"/>
          <w:lang w:val="sr-Latn-ME"/>
        </w:rPr>
        <w:t>dio</w:t>
      </w:r>
      <w:r w:rsidRPr="000D3D7F">
        <w:rPr>
          <w:szCs w:val="22"/>
          <w:lang w:val="sr-Latn-ME"/>
        </w:rPr>
        <w:t xml:space="preserve"> 5.3).</w:t>
      </w:r>
    </w:p>
    <w:p w14:paraId="17A3FEAB" w14:textId="77777777" w:rsidR="00007EF9" w:rsidRPr="000D3D7F" w:rsidRDefault="00007EF9" w:rsidP="001E1F5A">
      <w:pPr>
        <w:rPr>
          <w:szCs w:val="22"/>
          <w:lang w:val="sr-Latn-ME"/>
        </w:rPr>
      </w:pPr>
    </w:p>
    <w:p w14:paraId="17A3FEAC" w14:textId="1BA14093" w:rsidR="00007EF9" w:rsidRPr="000D3D7F" w:rsidRDefault="00007EF9" w:rsidP="001E1F5A">
      <w:pPr>
        <w:rPr>
          <w:b/>
          <w:bCs/>
          <w:spacing w:val="-8"/>
          <w:szCs w:val="22"/>
          <w:lang w:val="sr-Latn-ME"/>
        </w:rPr>
      </w:pPr>
      <w:r w:rsidRPr="000D3D7F">
        <w:rPr>
          <w:b/>
          <w:bCs/>
          <w:spacing w:val="-8"/>
          <w:szCs w:val="22"/>
          <w:lang w:val="sr-Latn-ME"/>
        </w:rPr>
        <w:t>4.7. Uticaj l</w:t>
      </w:r>
      <w:r w:rsidR="00254082" w:rsidRPr="000D3D7F">
        <w:rPr>
          <w:b/>
          <w:bCs/>
          <w:spacing w:val="-8"/>
          <w:szCs w:val="22"/>
          <w:lang w:val="sr-Latn-ME"/>
        </w:rPr>
        <w:t>ij</w:t>
      </w:r>
      <w:r w:rsidRPr="000D3D7F">
        <w:rPr>
          <w:b/>
          <w:bCs/>
          <w:spacing w:val="-8"/>
          <w:szCs w:val="22"/>
          <w:lang w:val="sr-Latn-ME"/>
        </w:rPr>
        <w:t>eka na sposobnost upravljanja vozilima i rukovanja mašinama</w:t>
      </w:r>
    </w:p>
    <w:p w14:paraId="17A3FEAD" w14:textId="3F09AFAA" w:rsidR="00007EF9" w:rsidRPr="000D3D7F" w:rsidRDefault="008C1EBE" w:rsidP="001E1F5A">
      <w:pPr>
        <w:rPr>
          <w:szCs w:val="22"/>
          <w:lang w:val="sr-Latn-ME"/>
        </w:rPr>
      </w:pPr>
      <w:r w:rsidRPr="000D3D7F">
        <w:rPr>
          <w:szCs w:val="22"/>
          <w:lang w:val="sr-Latn-ME"/>
        </w:rPr>
        <w:t>Bortezomib</w:t>
      </w:r>
      <w:r w:rsidR="00D00258" w:rsidRPr="000D3D7F">
        <w:rPr>
          <w:szCs w:val="22"/>
          <w:lang w:val="sr-Latn-ME"/>
        </w:rPr>
        <w:t xml:space="preserve"> može da ima um</w:t>
      </w:r>
      <w:r w:rsidR="00254082" w:rsidRPr="000D3D7F">
        <w:rPr>
          <w:szCs w:val="22"/>
          <w:lang w:val="sr-Latn-ME"/>
        </w:rPr>
        <w:t>j</w:t>
      </w:r>
      <w:r w:rsidR="00D00258" w:rsidRPr="000D3D7F">
        <w:rPr>
          <w:szCs w:val="22"/>
          <w:lang w:val="sr-Latn-ME"/>
        </w:rPr>
        <w:t xml:space="preserve">eren uticaj na sposobnost upravljanja vozilom i mašinama. </w:t>
      </w:r>
      <w:r w:rsidRPr="000D3D7F">
        <w:rPr>
          <w:szCs w:val="22"/>
          <w:lang w:val="sr-Latn-ME"/>
        </w:rPr>
        <w:t>Bortezomib</w:t>
      </w:r>
      <w:r w:rsidR="00D00258" w:rsidRPr="000D3D7F">
        <w:rPr>
          <w:szCs w:val="22"/>
          <w:lang w:val="sr-Latn-ME"/>
        </w:rPr>
        <w:t xml:space="preserve"> može</w:t>
      </w:r>
      <w:r w:rsidR="004B33C6" w:rsidRPr="000D3D7F">
        <w:rPr>
          <w:szCs w:val="22"/>
          <w:lang w:val="sr-Latn-ME"/>
        </w:rPr>
        <w:t xml:space="preserve"> </w:t>
      </w:r>
      <w:r w:rsidR="00D00258" w:rsidRPr="000D3D7F">
        <w:rPr>
          <w:szCs w:val="22"/>
          <w:lang w:val="sr-Latn-ME"/>
        </w:rPr>
        <w:t>izazvati zamor (veoma često), vrtoglavicu (često), sinkopu (povremeno) i ortostatsku/posturalnu hipotenziju</w:t>
      </w:r>
      <w:r w:rsidR="004B33C6" w:rsidRPr="000D3D7F">
        <w:rPr>
          <w:szCs w:val="22"/>
          <w:lang w:val="sr-Latn-ME"/>
        </w:rPr>
        <w:t xml:space="preserve"> </w:t>
      </w:r>
      <w:r w:rsidR="00D00258" w:rsidRPr="000D3D7F">
        <w:rPr>
          <w:szCs w:val="22"/>
          <w:lang w:val="sr-Latn-ME"/>
        </w:rPr>
        <w:t xml:space="preserve">ili zamagljen vid (često). Zbog toga, pacijenti na terapiji </w:t>
      </w:r>
      <w:r w:rsidRPr="000D3D7F">
        <w:rPr>
          <w:szCs w:val="22"/>
          <w:lang w:val="sr-Latn-ME"/>
        </w:rPr>
        <w:t>bortezomibom</w:t>
      </w:r>
      <w:r w:rsidR="00D00258" w:rsidRPr="000D3D7F">
        <w:rPr>
          <w:szCs w:val="22"/>
          <w:lang w:val="sr-Latn-ME"/>
        </w:rPr>
        <w:t>, moraju biti oprezni pri vožnji ili</w:t>
      </w:r>
      <w:r w:rsidR="004B33C6" w:rsidRPr="000D3D7F">
        <w:rPr>
          <w:szCs w:val="22"/>
          <w:lang w:val="sr-Latn-ME"/>
        </w:rPr>
        <w:t xml:space="preserve"> </w:t>
      </w:r>
      <w:r w:rsidR="00D00258" w:rsidRPr="000D3D7F">
        <w:rPr>
          <w:szCs w:val="22"/>
          <w:lang w:val="sr-Latn-ME"/>
        </w:rPr>
        <w:t>rukovanju mašinama i treba im sav</w:t>
      </w:r>
      <w:r w:rsidR="00254082" w:rsidRPr="000D3D7F">
        <w:rPr>
          <w:szCs w:val="22"/>
          <w:lang w:val="sr-Latn-ME"/>
        </w:rPr>
        <w:t>j</w:t>
      </w:r>
      <w:r w:rsidR="00D00258" w:rsidRPr="000D3D7F">
        <w:rPr>
          <w:szCs w:val="22"/>
          <w:lang w:val="sr-Latn-ME"/>
        </w:rPr>
        <w:t>etovati da ne voze i ne rukuju mašinama ako os</w:t>
      </w:r>
      <w:r w:rsidR="00254082" w:rsidRPr="000D3D7F">
        <w:rPr>
          <w:szCs w:val="22"/>
          <w:lang w:val="sr-Latn-ME"/>
        </w:rPr>
        <w:t>j</w:t>
      </w:r>
      <w:r w:rsidR="00D00258" w:rsidRPr="000D3D7F">
        <w:rPr>
          <w:szCs w:val="22"/>
          <w:lang w:val="sr-Latn-ME"/>
        </w:rPr>
        <w:t>ete ove simptome (vid</w:t>
      </w:r>
      <w:r w:rsidR="00254082" w:rsidRPr="000D3D7F">
        <w:rPr>
          <w:szCs w:val="22"/>
          <w:lang w:val="sr-Latn-ME"/>
        </w:rPr>
        <w:t>j</w:t>
      </w:r>
      <w:r w:rsidR="00D00258" w:rsidRPr="000D3D7F">
        <w:rPr>
          <w:szCs w:val="22"/>
          <w:lang w:val="sr-Latn-ME"/>
        </w:rPr>
        <w:t>eti</w:t>
      </w:r>
      <w:r w:rsidR="004B33C6" w:rsidRPr="000D3D7F">
        <w:rPr>
          <w:szCs w:val="22"/>
          <w:lang w:val="sr-Latn-ME"/>
        </w:rPr>
        <w:t xml:space="preserve"> </w:t>
      </w:r>
      <w:r w:rsidR="00A34C43" w:rsidRPr="000D3D7F">
        <w:rPr>
          <w:szCs w:val="22"/>
          <w:lang w:val="sr-Latn-ME"/>
        </w:rPr>
        <w:t>dio</w:t>
      </w:r>
      <w:r w:rsidR="00D00258" w:rsidRPr="000D3D7F">
        <w:rPr>
          <w:szCs w:val="22"/>
          <w:lang w:val="sr-Latn-ME"/>
        </w:rPr>
        <w:t xml:space="preserve"> 4.8).</w:t>
      </w:r>
    </w:p>
    <w:p w14:paraId="17A3FEAE" w14:textId="77777777" w:rsidR="00007EF9" w:rsidRPr="000D3D7F" w:rsidRDefault="00007EF9" w:rsidP="001E1F5A">
      <w:pPr>
        <w:rPr>
          <w:szCs w:val="22"/>
          <w:lang w:val="sr-Latn-ME"/>
        </w:rPr>
      </w:pPr>
    </w:p>
    <w:p w14:paraId="17A3FEAF" w14:textId="77777777" w:rsidR="00007EF9" w:rsidRPr="000D3D7F" w:rsidRDefault="00007EF9" w:rsidP="001E1F5A">
      <w:pPr>
        <w:rPr>
          <w:b/>
          <w:bCs/>
          <w:szCs w:val="22"/>
          <w:lang w:val="sr-Latn-ME"/>
        </w:rPr>
      </w:pPr>
      <w:r w:rsidRPr="000D3D7F">
        <w:rPr>
          <w:b/>
          <w:bCs/>
          <w:szCs w:val="22"/>
          <w:lang w:val="sr-Latn-ME"/>
        </w:rPr>
        <w:t>4.8. Neželjena dejstva</w:t>
      </w:r>
    </w:p>
    <w:p w14:paraId="17A3FEB0" w14:textId="77777777" w:rsidR="00007EF9" w:rsidRPr="000D3D7F" w:rsidRDefault="00007EF9" w:rsidP="001E1F5A">
      <w:pPr>
        <w:rPr>
          <w:noProof/>
          <w:szCs w:val="22"/>
          <w:u w:val="single"/>
          <w:lang w:val="sr-Latn-ME"/>
        </w:rPr>
      </w:pPr>
    </w:p>
    <w:p w14:paraId="270FDCED" w14:textId="77777777" w:rsidR="00D00258" w:rsidRPr="000D3D7F" w:rsidRDefault="00D00258" w:rsidP="001E1F5A">
      <w:pPr>
        <w:rPr>
          <w:noProof/>
          <w:szCs w:val="22"/>
          <w:u w:val="single"/>
          <w:lang w:val="sr-Latn-ME"/>
        </w:rPr>
      </w:pPr>
      <w:r w:rsidRPr="000D3D7F">
        <w:rPr>
          <w:noProof/>
          <w:szCs w:val="22"/>
          <w:u w:val="single"/>
          <w:lang w:val="sr-Latn-ME"/>
        </w:rPr>
        <w:t>Sažetak neželjenih dejstava</w:t>
      </w:r>
    </w:p>
    <w:p w14:paraId="4CC3CF15" w14:textId="51B590C2" w:rsidR="00D00258" w:rsidRPr="000D3D7F" w:rsidRDefault="00D00258" w:rsidP="001E1F5A">
      <w:pPr>
        <w:rPr>
          <w:noProof/>
          <w:szCs w:val="22"/>
          <w:lang w:val="sr-Latn-ME"/>
        </w:rPr>
      </w:pPr>
      <w:r w:rsidRPr="000D3D7F">
        <w:rPr>
          <w:noProof/>
          <w:szCs w:val="22"/>
          <w:lang w:val="sr-Latn-ME"/>
        </w:rPr>
        <w:t xml:space="preserve">Ozbiljne neželjene reakcije koje su povremeno prijavljivanje tokom terapije </w:t>
      </w:r>
      <w:r w:rsidR="008C1EBE" w:rsidRPr="000D3D7F">
        <w:rPr>
          <w:noProof/>
          <w:szCs w:val="22"/>
          <w:lang w:val="sr-Latn-ME"/>
        </w:rPr>
        <w:t>bortezomibom</w:t>
      </w:r>
      <w:r w:rsidRPr="000D3D7F">
        <w:rPr>
          <w:noProof/>
          <w:szCs w:val="22"/>
          <w:lang w:val="sr-Latn-ME"/>
        </w:rPr>
        <w:t xml:space="preserve"> uključuju srčanu</w:t>
      </w:r>
      <w:r w:rsidR="004B33C6" w:rsidRPr="000D3D7F">
        <w:rPr>
          <w:noProof/>
          <w:szCs w:val="22"/>
          <w:lang w:val="sr-Latn-ME"/>
        </w:rPr>
        <w:t xml:space="preserve"> </w:t>
      </w:r>
      <w:r w:rsidRPr="000D3D7F">
        <w:rPr>
          <w:noProof/>
          <w:szCs w:val="22"/>
          <w:lang w:val="sr-Latn-ME"/>
        </w:rPr>
        <w:t>insuficijenciju, sindrom lize tumora, plućnu hipertenziju, sindrom posteriorne reverzibilne</w:t>
      </w:r>
      <w:r w:rsidR="004B33C6" w:rsidRPr="000D3D7F">
        <w:rPr>
          <w:noProof/>
          <w:szCs w:val="22"/>
          <w:lang w:val="sr-Latn-ME"/>
        </w:rPr>
        <w:t xml:space="preserve"> </w:t>
      </w:r>
      <w:r w:rsidRPr="000D3D7F">
        <w:rPr>
          <w:noProof/>
          <w:szCs w:val="22"/>
          <w:lang w:val="sr-Latn-ME"/>
        </w:rPr>
        <w:t>leukoencefalopatije, akutno difuzno infiltrativno oboljenje pluća i r</w:t>
      </w:r>
      <w:r w:rsidR="00254082" w:rsidRPr="000D3D7F">
        <w:rPr>
          <w:noProof/>
          <w:szCs w:val="22"/>
          <w:lang w:val="sr-Latn-ME"/>
        </w:rPr>
        <w:t>ij</w:t>
      </w:r>
      <w:r w:rsidRPr="000D3D7F">
        <w:rPr>
          <w:noProof/>
          <w:szCs w:val="22"/>
          <w:lang w:val="sr-Latn-ME"/>
        </w:rPr>
        <w:t>etko, autonomnu neuropatiju. Najčešće</w:t>
      </w:r>
      <w:r w:rsidR="004B33C6" w:rsidRPr="000D3D7F">
        <w:rPr>
          <w:noProof/>
          <w:szCs w:val="22"/>
          <w:lang w:val="sr-Latn-ME"/>
        </w:rPr>
        <w:t xml:space="preserve"> </w:t>
      </w:r>
      <w:r w:rsidRPr="000D3D7F">
        <w:rPr>
          <w:noProof/>
          <w:szCs w:val="22"/>
          <w:lang w:val="sr-Latn-ME"/>
        </w:rPr>
        <w:t xml:space="preserve">neželjene reakcije tokom terapije </w:t>
      </w:r>
      <w:r w:rsidR="008C1EBE" w:rsidRPr="000D3D7F">
        <w:rPr>
          <w:noProof/>
          <w:szCs w:val="22"/>
          <w:lang w:val="sr-Latn-ME"/>
        </w:rPr>
        <w:t>bortezomibom</w:t>
      </w:r>
      <w:r w:rsidRPr="000D3D7F">
        <w:rPr>
          <w:noProof/>
          <w:szCs w:val="22"/>
          <w:lang w:val="sr-Latn-ME"/>
        </w:rPr>
        <w:t xml:space="preserve"> su mučnina, dijareja, opstipacija, povraćanje, umor,</w:t>
      </w:r>
      <w:r w:rsidR="004B33C6" w:rsidRPr="000D3D7F">
        <w:rPr>
          <w:noProof/>
          <w:szCs w:val="22"/>
          <w:lang w:val="sr-Latn-ME"/>
        </w:rPr>
        <w:t xml:space="preserve"> </w:t>
      </w:r>
      <w:r w:rsidRPr="000D3D7F">
        <w:rPr>
          <w:noProof/>
          <w:szCs w:val="22"/>
          <w:lang w:val="sr-Latn-ME"/>
        </w:rPr>
        <w:t>pireksija, trombocitopenija, anemija, neutropenija, periferna neuropatija (uključujući i senzornu), glavobolja,</w:t>
      </w:r>
      <w:r w:rsidR="004B33C6" w:rsidRPr="000D3D7F">
        <w:rPr>
          <w:noProof/>
          <w:szCs w:val="22"/>
          <w:lang w:val="sr-Latn-ME"/>
        </w:rPr>
        <w:t xml:space="preserve"> </w:t>
      </w:r>
      <w:r w:rsidRPr="000D3D7F">
        <w:rPr>
          <w:noProof/>
          <w:szCs w:val="22"/>
          <w:lang w:val="sr-Latn-ME"/>
        </w:rPr>
        <w:t>parestezija, smanjen apetit, dispneja, osip, herpes zoster i mijalgija.</w:t>
      </w:r>
    </w:p>
    <w:p w14:paraId="3B8B59F1" w14:textId="77777777" w:rsidR="009B4DFD" w:rsidRPr="000D3D7F" w:rsidRDefault="009B4DFD" w:rsidP="001E1F5A">
      <w:pPr>
        <w:rPr>
          <w:noProof/>
          <w:szCs w:val="22"/>
          <w:lang w:val="sr-Latn-ME"/>
        </w:rPr>
      </w:pPr>
    </w:p>
    <w:p w14:paraId="0EEC4222" w14:textId="44383663" w:rsidR="00D00258" w:rsidRPr="000D3D7F" w:rsidRDefault="00D00258" w:rsidP="001E1F5A">
      <w:pPr>
        <w:rPr>
          <w:noProof/>
          <w:szCs w:val="22"/>
          <w:u w:val="single"/>
          <w:lang w:val="sr-Latn-ME"/>
        </w:rPr>
      </w:pPr>
      <w:r w:rsidRPr="000D3D7F">
        <w:rPr>
          <w:noProof/>
          <w:szCs w:val="22"/>
          <w:u w:val="single"/>
          <w:lang w:val="sr-Latn-ME"/>
        </w:rPr>
        <w:t>Tabelarni sažetak neželjenih dejstava</w:t>
      </w:r>
    </w:p>
    <w:p w14:paraId="18B1BC3D" w14:textId="77777777" w:rsidR="00D00258" w:rsidRPr="000D3D7F" w:rsidRDefault="00D00258" w:rsidP="001E1F5A">
      <w:pPr>
        <w:rPr>
          <w:i/>
          <w:iCs/>
          <w:noProof/>
          <w:szCs w:val="22"/>
          <w:lang w:val="sr-Latn-ME"/>
        </w:rPr>
      </w:pPr>
      <w:r w:rsidRPr="000D3D7F">
        <w:rPr>
          <w:i/>
          <w:iCs/>
          <w:noProof/>
          <w:szCs w:val="22"/>
          <w:lang w:val="sr-Latn-ME"/>
        </w:rPr>
        <w:t>Multipli mijelom</w:t>
      </w:r>
    </w:p>
    <w:p w14:paraId="04264D6B" w14:textId="5E1F9B22" w:rsidR="00D00258" w:rsidRPr="000D3D7F" w:rsidRDefault="00D00258" w:rsidP="001E1F5A">
      <w:pPr>
        <w:rPr>
          <w:noProof/>
          <w:szCs w:val="22"/>
          <w:lang w:val="sr-Latn-ME"/>
        </w:rPr>
      </w:pPr>
      <w:r w:rsidRPr="000D3D7F">
        <w:rPr>
          <w:noProof/>
          <w:szCs w:val="22"/>
          <w:lang w:val="sr-Latn-ME"/>
        </w:rPr>
        <w:t>U tabeli 7 navedena su neželjena dejstva za koje istraživači smatraju da imaju bar moguću ili v</w:t>
      </w:r>
      <w:r w:rsidR="00254082" w:rsidRPr="000D3D7F">
        <w:rPr>
          <w:noProof/>
          <w:szCs w:val="22"/>
          <w:lang w:val="sr-Latn-ME"/>
        </w:rPr>
        <w:t>j</w:t>
      </w:r>
      <w:r w:rsidRPr="000D3D7F">
        <w:rPr>
          <w:noProof/>
          <w:szCs w:val="22"/>
          <w:lang w:val="sr-Latn-ME"/>
        </w:rPr>
        <w:t>erovatnu</w:t>
      </w:r>
      <w:r w:rsidR="004B33C6" w:rsidRPr="000D3D7F">
        <w:rPr>
          <w:noProof/>
          <w:szCs w:val="22"/>
          <w:lang w:val="sr-Latn-ME"/>
        </w:rPr>
        <w:t xml:space="preserve"> </w:t>
      </w:r>
      <w:r w:rsidRPr="000D3D7F">
        <w:rPr>
          <w:noProof/>
          <w:szCs w:val="22"/>
          <w:lang w:val="sr-Latn-ME"/>
        </w:rPr>
        <w:t>uzročno- posl</w:t>
      </w:r>
      <w:r w:rsidR="00254082" w:rsidRPr="000D3D7F">
        <w:rPr>
          <w:noProof/>
          <w:szCs w:val="22"/>
          <w:lang w:val="sr-Latn-ME"/>
        </w:rPr>
        <w:t>j</w:t>
      </w:r>
      <w:r w:rsidRPr="000D3D7F">
        <w:rPr>
          <w:noProof/>
          <w:szCs w:val="22"/>
          <w:lang w:val="sr-Latn-ME"/>
        </w:rPr>
        <w:t xml:space="preserve">edičnu povezanost sa upotrebom </w:t>
      </w:r>
      <w:r w:rsidR="008C1EBE" w:rsidRPr="000D3D7F">
        <w:rPr>
          <w:noProof/>
          <w:szCs w:val="22"/>
          <w:lang w:val="sr-Latn-ME"/>
        </w:rPr>
        <w:t>bortezomiba</w:t>
      </w:r>
      <w:r w:rsidRPr="000D3D7F">
        <w:rPr>
          <w:noProof/>
          <w:szCs w:val="22"/>
          <w:lang w:val="sr-Latn-ME"/>
        </w:rPr>
        <w:t>. Spisak neželjenih reakcija je zasnovan na</w:t>
      </w:r>
      <w:r w:rsidR="004B33C6" w:rsidRPr="000D3D7F">
        <w:rPr>
          <w:noProof/>
          <w:szCs w:val="22"/>
          <w:lang w:val="sr-Latn-ME"/>
        </w:rPr>
        <w:t xml:space="preserve"> </w:t>
      </w:r>
      <w:r w:rsidRPr="000D3D7F">
        <w:rPr>
          <w:noProof/>
          <w:szCs w:val="22"/>
          <w:lang w:val="sr-Latn-ME"/>
        </w:rPr>
        <w:t>integrisanim podacima dobijenih od 5476 pacijenata od kojih su 3996 bili l</w:t>
      </w:r>
      <w:r w:rsidR="00254082" w:rsidRPr="000D3D7F">
        <w:rPr>
          <w:noProof/>
          <w:szCs w:val="22"/>
          <w:lang w:val="sr-Latn-ME"/>
        </w:rPr>
        <w:t>ij</w:t>
      </w:r>
      <w:r w:rsidRPr="000D3D7F">
        <w:rPr>
          <w:noProof/>
          <w:szCs w:val="22"/>
          <w:lang w:val="sr-Latn-ME"/>
        </w:rPr>
        <w:t xml:space="preserve">ečeni </w:t>
      </w:r>
      <w:r w:rsidR="008C1EBE" w:rsidRPr="000D3D7F">
        <w:rPr>
          <w:noProof/>
          <w:szCs w:val="22"/>
          <w:lang w:val="sr-Latn-ME"/>
        </w:rPr>
        <w:t>bortezomibom</w:t>
      </w:r>
      <w:r w:rsidRPr="000D3D7F">
        <w:rPr>
          <w:noProof/>
          <w:szCs w:val="22"/>
          <w:lang w:val="sr-Latn-ME"/>
        </w:rPr>
        <w:t xml:space="preserve"> </w:t>
      </w:r>
      <w:r w:rsidR="009B4DFD" w:rsidRPr="000D3D7F">
        <w:rPr>
          <w:noProof/>
          <w:szCs w:val="22"/>
          <w:lang w:val="sr-Latn-ME"/>
        </w:rPr>
        <w:t xml:space="preserve">u dozi od </w:t>
      </w:r>
      <w:r w:rsidRPr="000D3D7F">
        <w:rPr>
          <w:noProof/>
          <w:szCs w:val="22"/>
          <w:lang w:val="sr-Latn-ME"/>
        </w:rPr>
        <w:t>1,3mg/m</w:t>
      </w:r>
      <w:r w:rsidR="009B4DFD" w:rsidRPr="000D3D7F">
        <w:rPr>
          <w:noProof/>
          <w:szCs w:val="22"/>
          <w:vertAlign w:val="superscript"/>
          <w:lang w:val="sr-Latn-ME"/>
        </w:rPr>
        <w:t>2</w:t>
      </w:r>
      <w:r w:rsidRPr="000D3D7F">
        <w:rPr>
          <w:noProof/>
          <w:szCs w:val="22"/>
          <w:lang w:val="sr-Latn-ME"/>
        </w:rPr>
        <w:t xml:space="preserve"> i</w:t>
      </w:r>
      <w:r w:rsidR="004B33C6" w:rsidRPr="000D3D7F">
        <w:rPr>
          <w:noProof/>
          <w:szCs w:val="22"/>
          <w:lang w:val="sr-Latn-ME"/>
        </w:rPr>
        <w:t xml:space="preserve"> </w:t>
      </w:r>
      <w:r w:rsidRPr="000D3D7F">
        <w:rPr>
          <w:noProof/>
          <w:szCs w:val="22"/>
          <w:lang w:val="sr-Latn-ME"/>
        </w:rPr>
        <w:t>uključen u Tabelu 7.</w:t>
      </w:r>
    </w:p>
    <w:p w14:paraId="4C74C023" w14:textId="3FE6A016" w:rsidR="00D00258" w:rsidRPr="000D3D7F" w:rsidRDefault="00D00258" w:rsidP="001E1F5A">
      <w:pPr>
        <w:rPr>
          <w:noProof/>
          <w:szCs w:val="22"/>
          <w:lang w:val="sr-Latn-ME"/>
        </w:rPr>
      </w:pPr>
      <w:r w:rsidRPr="000D3D7F">
        <w:rPr>
          <w:noProof/>
          <w:szCs w:val="22"/>
          <w:lang w:val="sr-Latn-ME"/>
        </w:rPr>
        <w:t xml:space="preserve">Ukupno, </w:t>
      </w:r>
      <w:r w:rsidR="008C1EBE" w:rsidRPr="000D3D7F">
        <w:rPr>
          <w:noProof/>
          <w:szCs w:val="22"/>
          <w:lang w:val="sr-Latn-ME"/>
        </w:rPr>
        <w:t>bortezomib</w:t>
      </w:r>
      <w:r w:rsidRPr="000D3D7F">
        <w:rPr>
          <w:noProof/>
          <w:szCs w:val="22"/>
          <w:lang w:val="sr-Latn-ME"/>
        </w:rPr>
        <w:t xml:space="preserve"> je prim</w:t>
      </w:r>
      <w:r w:rsidR="00254082" w:rsidRPr="000D3D7F">
        <w:rPr>
          <w:noProof/>
          <w:szCs w:val="22"/>
          <w:lang w:val="sr-Latn-ME"/>
        </w:rPr>
        <w:t>ij</w:t>
      </w:r>
      <w:r w:rsidRPr="000D3D7F">
        <w:rPr>
          <w:noProof/>
          <w:szCs w:val="22"/>
          <w:lang w:val="sr-Latn-ME"/>
        </w:rPr>
        <w:t>enjen kod 3974 pacijenata sa multiplim mijelomom.</w:t>
      </w:r>
    </w:p>
    <w:p w14:paraId="6AAC507E" w14:textId="4AB3D145" w:rsidR="00D00258" w:rsidRPr="000D3D7F" w:rsidRDefault="00D00258" w:rsidP="001E1F5A">
      <w:pPr>
        <w:rPr>
          <w:noProof/>
          <w:szCs w:val="22"/>
          <w:lang w:val="sr-Latn-ME"/>
        </w:rPr>
      </w:pPr>
      <w:r w:rsidRPr="000D3D7F">
        <w:rPr>
          <w:noProof/>
          <w:szCs w:val="22"/>
          <w:lang w:val="sr-Latn-ME"/>
        </w:rPr>
        <w:t>Neželjena dejstva su navedena prema MedDRA konvenciji o učestalosti. Učestalost neželjenih dejstava je</w:t>
      </w:r>
      <w:r w:rsidR="004B33C6" w:rsidRPr="000D3D7F">
        <w:rPr>
          <w:noProof/>
          <w:szCs w:val="22"/>
          <w:lang w:val="sr-Latn-ME"/>
        </w:rPr>
        <w:t xml:space="preserve"> </w:t>
      </w:r>
      <w:r w:rsidRPr="000D3D7F">
        <w:rPr>
          <w:noProof/>
          <w:szCs w:val="22"/>
          <w:lang w:val="sr-Latn-ME"/>
        </w:rPr>
        <w:t>izražena kao: Veoma često (&gt;1/10); Često (&gt;1/100 do &lt;1/10); Povremeno (&gt;1/1000 do &lt;1/100); R</w:t>
      </w:r>
      <w:r w:rsidR="00973B2E" w:rsidRPr="000D3D7F">
        <w:rPr>
          <w:noProof/>
          <w:szCs w:val="22"/>
          <w:lang w:val="sr-Latn-ME"/>
        </w:rPr>
        <w:t>ij</w:t>
      </w:r>
      <w:r w:rsidRPr="000D3D7F">
        <w:rPr>
          <w:noProof/>
          <w:szCs w:val="22"/>
          <w:lang w:val="sr-Latn-ME"/>
        </w:rPr>
        <w:t>etko</w:t>
      </w:r>
      <w:r w:rsidR="004B33C6" w:rsidRPr="000D3D7F">
        <w:rPr>
          <w:noProof/>
          <w:szCs w:val="22"/>
          <w:lang w:val="sr-Latn-ME"/>
        </w:rPr>
        <w:t xml:space="preserve"> </w:t>
      </w:r>
      <w:r w:rsidRPr="000D3D7F">
        <w:rPr>
          <w:noProof/>
          <w:szCs w:val="22"/>
          <w:lang w:val="sr-Latn-ME"/>
        </w:rPr>
        <w:t>(&gt;1/10000 do &lt;1/1000); Veoma r</w:t>
      </w:r>
      <w:r w:rsidR="00973B2E" w:rsidRPr="000D3D7F">
        <w:rPr>
          <w:noProof/>
          <w:szCs w:val="22"/>
          <w:lang w:val="sr-Latn-ME"/>
        </w:rPr>
        <w:t>ij</w:t>
      </w:r>
      <w:r w:rsidRPr="000D3D7F">
        <w:rPr>
          <w:noProof/>
          <w:szCs w:val="22"/>
          <w:lang w:val="sr-Latn-ME"/>
        </w:rPr>
        <w:t>etko (&lt;1/10000), Nepoznato (ne može se proc</w:t>
      </w:r>
      <w:r w:rsidR="00973B2E" w:rsidRPr="000D3D7F">
        <w:rPr>
          <w:noProof/>
          <w:szCs w:val="22"/>
          <w:lang w:val="sr-Latn-ME"/>
        </w:rPr>
        <w:t>ij</w:t>
      </w:r>
      <w:r w:rsidRPr="000D3D7F">
        <w:rPr>
          <w:noProof/>
          <w:szCs w:val="22"/>
          <w:lang w:val="sr-Latn-ME"/>
        </w:rPr>
        <w:t>eniti na osnovu dostupnih</w:t>
      </w:r>
      <w:r w:rsidR="004B33C6" w:rsidRPr="000D3D7F">
        <w:rPr>
          <w:noProof/>
          <w:szCs w:val="22"/>
          <w:lang w:val="sr-Latn-ME"/>
        </w:rPr>
        <w:t xml:space="preserve"> </w:t>
      </w:r>
      <w:r w:rsidRPr="000D3D7F">
        <w:rPr>
          <w:noProof/>
          <w:szCs w:val="22"/>
          <w:lang w:val="sr-Latn-ME"/>
        </w:rPr>
        <w:t>podataka) uključujući pojedinačne prijave.</w:t>
      </w:r>
    </w:p>
    <w:p w14:paraId="557A2FA4" w14:textId="2EDBE17F" w:rsidR="00D00258" w:rsidRPr="000D3D7F" w:rsidRDefault="00D00258" w:rsidP="001E1F5A">
      <w:pPr>
        <w:rPr>
          <w:noProof/>
          <w:szCs w:val="22"/>
          <w:lang w:val="sr-Latn-ME"/>
        </w:rPr>
      </w:pPr>
      <w:r w:rsidRPr="000D3D7F">
        <w:rPr>
          <w:noProof/>
          <w:szCs w:val="22"/>
          <w:lang w:val="sr-Latn-ME"/>
        </w:rPr>
        <w:t>Unutar svake grupe, neželjena dejstva su navedena prema ozbiljnosti, po opadajućem redosledu.</w:t>
      </w:r>
      <w:r w:rsidR="009B4DFD" w:rsidRPr="000D3D7F">
        <w:rPr>
          <w:noProof/>
          <w:szCs w:val="22"/>
          <w:lang w:val="sr-Latn-ME"/>
        </w:rPr>
        <w:t xml:space="preserve"> </w:t>
      </w:r>
      <w:r w:rsidRPr="000D3D7F">
        <w:rPr>
          <w:noProof/>
          <w:szCs w:val="22"/>
          <w:lang w:val="sr-Latn-ME"/>
        </w:rPr>
        <w:t>Tabela 7 je napravljana upotrebom verzije 14.1 MedDRA.</w:t>
      </w:r>
    </w:p>
    <w:p w14:paraId="4B8295FF" w14:textId="4EFB4637" w:rsidR="00D00258" w:rsidRPr="000D3D7F" w:rsidRDefault="00D00258" w:rsidP="001E1F5A">
      <w:pPr>
        <w:rPr>
          <w:noProof/>
          <w:szCs w:val="22"/>
          <w:lang w:val="sr-Latn-ME"/>
        </w:rPr>
      </w:pPr>
      <w:r w:rsidRPr="000D3D7F">
        <w:rPr>
          <w:noProof/>
          <w:szCs w:val="22"/>
          <w:lang w:val="sr-Latn-ME"/>
        </w:rPr>
        <w:t>U tabelu su takođe uključeni postmarketinški podaci koji ni</w:t>
      </w:r>
      <w:r w:rsidR="001E1F5A" w:rsidRPr="000D3D7F">
        <w:rPr>
          <w:noProof/>
          <w:szCs w:val="22"/>
          <w:lang w:val="sr-Latn-ME"/>
        </w:rPr>
        <w:t>je</w:t>
      </w:r>
      <w:r w:rsidRPr="000D3D7F">
        <w:rPr>
          <w:noProof/>
          <w:szCs w:val="22"/>
          <w:lang w:val="sr-Latn-ME"/>
        </w:rPr>
        <w:t>su uočeni u kliničkim ispitivanjima</w:t>
      </w:r>
    </w:p>
    <w:p w14:paraId="66F1614D" w14:textId="77777777" w:rsidR="00787214" w:rsidRPr="000D3D7F" w:rsidRDefault="00787214" w:rsidP="001E1F5A">
      <w:pPr>
        <w:rPr>
          <w:i/>
          <w:iCs/>
          <w:noProof/>
          <w:szCs w:val="22"/>
          <w:lang w:val="sr-Latn-ME"/>
        </w:rPr>
      </w:pPr>
    </w:p>
    <w:p w14:paraId="585F4E71" w14:textId="77777777" w:rsidR="00787214" w:rsidRPr="000D3D7F" w:rsidRDefault="00787214" w:rsidP="001E1F5A">
      <w:pPr>
        <w:rPr>
          <w:i/>
          <w:iCs/>
          <w:noProof/>
          <w:szCs w:val="22"/>
          <w:lang w:val="sr-Latn-ME"/>
        </w:rPr>
      </w:pPr>
    </w:p>
    <w:p w14:paraId="54038C83" w14:textId="77777777" w:rsidR="00787214" w:rsidRPr="000D3D7F" w:rsidRDefault="00787214" w:rsidP="001E1F5A">
      <w:pPr>
        <w:rPr>
          <w:i/>
          <w:iCs/>
          <w:noProof/>
          <w:szCs w:val="22"/>
          <w:lang w:val="sr-Latn-ME"/>
        </w:rPr>
      </w:pPr>
    </w:p>
    <w:p w14:paraId="557E3886" w14:textId="77777777" w:rsidR="00787214" w:rsidRPr="000D3D7F" w:rsidRDefault="00787214" w:rsidP="001E1F5A">
      <w:pPr>
        <w:rPr>
          <w:i/>
          <w:iCs/>
          <w:noProof/>
          <w:szCs w:val="22"/>
          <w:lang w:val="sr-Latn-ME"/>
        </w:rPr>
      </w:pPr>
    </w:p>
    <w:p w14:paraId="17A3FEB1" w14:textId="4DB59265" w:rsidR="00007EF9" w:rsidRPr="000D3D7F" w:rsidRDefault="00D00258" w:rsidP="001E1F5A">
      <w:pPr>
        <w:rPr>
          <w:i/>
          <w:iCs/>
          <w:noProof/>
          <w:szCs w:val="22"/>
          <w:lang w:val="sr-Latn-ME"/>
        </w:rPr>
      </w:pPr>
      <w:r w:rsidRPr="000D3D7F">
        <w:rPr>
          <w:i/>
          <w:iCs/>
          <w:noProof/>
          <w:szCs w:val="22"/>
          <w:lang w:val="sr-Latn-ME"/>
        </w:rPr>
        <w:t>Tabela 7: Neželjena dejstva kod pacijenata sa multipliom mijelomom l</w:t>
      </w:r>
      <w:r w:rsidR="00973B2E" w:rsidRPr="000D3D7F">
        <w:rPr>
          <w:i/>
          <w:iCs/>
          <w:noProof/>
          <w:szCs w:val="22"/>
          <w:lang w:val="sr-Latn-ME"/>
        </w:rPr>
        <w:t>ij</w:t>
      </w:r>
      <w:r w:rsidRPr="000D3D7F">
        <w:rPr>
          <w:i/>
          <w:iCs/>
          <w:noProof/>
          <w:szCs w:val="22"/>
          <w:lang w:val="sr-Latn-ME"/>
        </w:rPr>
        <w:t xml:space="preserve">ečenih </w:t>
      </w:r>
      <w:r w:rsidR="008C1EBE" w:rsidRPr="000D3D7F">
        <w:rPr>
          <w:i/>
          <w:iCs/>
          <w:noProof/>
          <w:szCs w:val="22"/>
          <w:lang w:val="sr-Latn-ME"/>
        </w:rPr>
        <w:t>bortezomibom</w:t>
      </w:r>
      <w:r w:rsidRPr="000D3D7F">
        <w:rPr>
          <w:i/>
          <w:iCs/>
          <w:noProof/>
          <w:szCs w:val="22"/>
          <w:lang w:val="sr-Latn-ME"/>
        </w:rPr>
        <w:t xml:space="preserve"> u kliničkim</w:t>
      </w:r>
      <w:r w:rsidR="004B33C6" w:rsidRPr="000D3D7F">
        <w:rPr>
          <w:i/>
          <w:iCs/>
          <w:noProof/>
          <w:szCs w:val="22"/>
          <w:lang w:val="sr-Latn-ME"/>
        </w:rPr>
        <w:t xml:space="preserve"> </w:t>
      </w:r>
      <w:r w:rsidRPr="000D3D7F">
        <w:rPr>
          <w:i/>
          <w:iCs/>
          <w:noProof/>
          <w:szCs w:val="22"/>
          <w:lang w:val="sr-Latn-ME"/>
        </w:rPr>
        <w:t>ispitivanjima i neželjena dejstva nakon stavljanja l</w:t>
      </w:r>
      <w:r w:rsidR="00973B2E" w:rsidRPr="000D3D7F">
        <w:rPr>
          <w:i/>
          <w:iCs/>
          <w:noProof/>
          <w:szCs w:val="22"/>
          <w:lang w:val="sr-Latn-ME"/>
        </w:rPr>
        <w:t>ij</w:t>
      </w:r>
      <w:r w:rsidRPr="000D3D7F">
        <w:rPr>
          <w:i/>
          <w:iCs/>
          <w:noProof/>
          <w:szCs w:val="22"/>
          <w:lang w:val="sr-Latn-ME"/>
        </w:rPr>
        <w:t>eka u promet nezavisno od indikacije#</w:t>
      </w:r>
    </w:p>
    <w:tbl>
      <w:tblPr>
        <w:tblW w:w="10357" w:type="dxa"/>
        <w:tblInd w:w="-431" w:type="dxa"/>
        <w:tblLayout w:type="fixed"/>
        <w:tblCellMar>
          <w:left w:w="0" w:type="dxa"/>
          <w:right w:w="0" w:type="dxa"/>
        </w:tblCellMar>
        <w:tblLook w:val="0000" w:firstRow="0" w:lastRow="0" w:firstColumn="0" w:lastColumn="0" w:noHBand="0" w:noVBand="0"/>
      </w:tblPr>
      <w:tblGrid>
        <w:gridCol w:w="1932"/>
        <w:gridCol w:w="9"/>
        <w:gridCol w:w="287"/>
        <w:gridCol w:w="1829"/>
        <w:gridCol w:w="1377"/>
        <w:gridCol w:w="1026"/>
        <w:gridCol w:w="1013"/>
        <w:gridCol w:w="1276"/>
        <w:gridCol w:w="1608"/>
      </w:tblGrid>
      <w:tr w:rsidR="00D00258" w:rsidRPr="000D3D7F" w14:paraId="03CFF6C5" w14:textId="77777777" w:rsidTr="00787214">
        <w:trPr>
          <w:trHeight w:val="253"/>
        </w:trPr>
        <w:tc>
          <w:tcPr>
            <w:tcW w:w="2228" w:type="dxa"/>
            <w:gridSpan w:val="3"/>
            <w:tcBorders>
              <w:top w:val="single" w:sz="4" w:space="0" w:color="000000"/>
              <w:left w:val="single" w:sz="4" w:space="0" w:color="000000"/>
              <w:bottom w:val="single" w:sz="4" w:space="0" w:color="000000"/>
              <w:right w:val="single" w:sz="4" w:space="0" w:color="000000"/>
            </w:tcBorders>
          </w:tcPr>
          <w:p w14:paraId="03628589" w14:textId="77777777" w:rsidR="00D00258" w:rsidRPr="000D3D7F" w:rsidRDefault="00D00258" w:rsidP="001E1F5A">
            <w:pPr>
              <w:rPr>
                <w:noProof/>
                <w:lang w:val="sr-Latn-ME"/>
              </w:rPr>
            </w:pPr>
            <w:r w:rsidRPr="000D3D7F">
              <w:rPr>
                <w:noProof/>
                <w:szCs w:val="22"/>
                <w:lang w:val="sr-Latn-ME"/>
              </w:rPr>
              <w:t>Klasa sistema organa</w:t>
            </w:r>
          </w:p>
        </w:tc>
        <w:tc>
          <w:tcPr>
            <w:tcW w:w="1829" w:type="dxa"/>
            <w:tcBorders>
              <w:top w:val="single" w:sz="4" w:space="0" w:color="000000"/>
              <w:left w:val="single" w:sz="4" w:space="0" w:color="000000"/>
              <w:bottom w:val="single" w:sz="4" w:space="0" w:color="000000"/>
              <w:right w:val="single" w:sz="4" w:space="0" w:color="000000"/>
            </w:tcBorders>
          </w:tcPr>
          <w:p w14:paraId="75A97EFB" w14:textId="77777777" w:rsidR="00D00258" w:rsidRPr="000D3D7F" w:rsidRDefault="00D00258" w:rsidP="001E1F5A">
            <w:pPr>
              <w:rPr>
                <w:noProof/>
                <w:lang w:val="sr-Latn-ME"/>
              </w:rPr>
            </w:pPr>
            <w:r w:rsidRPr="000D3D7F">
              <w:rPr>
                <w:noProof/>
                <w:szCs w:val="22"/>
                <w:lang w:val="sr-Latn-ME"/>
              </w:rPr>
              <w:t>Incidenca</w:t>
            </w:r>
          </w:p>
        </w:tc>
        <w:tc>
          <w:tcPr>
            <w:tcW w:w="6300" w:type="dxa"/>
            <w:gridSpan w:val="5"/>
            <w:tcBorders>
              <w:top w:val="single" w:sz="4" w:space="0" w:color="000000"/>
              <w:left w:val="single" w:sz="4" w:space="0" w:color="000000"/>
              <w:bottom w:val="single" w:sz="4" w:space="0" w:color="000000"/>
              <w:right w:val="single" w:sz="4" w:space="0" w:color="000000"/>
            </w:tcBorders>
          </w:tcPr>
          <w:p w14:paraId="02795574" w14:textId="77777777" w:rsidR="00D00258" w:rsidRPr="000D3D7F" w:rsidRDefault="00D00258" w:rsidP="001E1F5A">
            <w:pPr>
              <w:rPr>
                <w:noProof/>
                <w:lang w:val="sr-Latn-ME"/>
              </w:rPr>
            </w:pPr>
            <w:r w:rsidRPr="000D3D7F">
              <w:rPr>
                <w:noProof/>
                <w:szCs w:val="22"/>
                <w:lang w:val="sr-Latn-ME"/>
              </w:rPr>
              <w:t>Neželjena dejstva</w:t>
            </w:r>
          </w:p>
        </w:tc>
      </w:tr>
      <w:tr w:rsidR="00D00258" w:rsidRPr="000D3D7F" w14:paraId="66F00F9B" w14:textId="77777777" w:rsidTr="00787214">
        <w:trPr>
          <w:trHeight w:val="503"/>
        </w:trPr>
        <w:tc>
          <w:tcPr>
            <w:tcW w:w="2228" w:type="dxa"/>
            <w:gridSpan w:val="3"/>
            <w:tcBorders>
              <w:top w:val="single" w:sz="4" w:space="0" w:color="000000"/>
              <w:left w:val="single" w:sz="4" w:space="0" w:color="000000"/>
              <w:bottom w:val="single" w:sz="4" w:space="0" w:color="000000"/>
              <w:right w:val="single" w:sz="4" w:space="0" w:color="000000"/>
            </w:tcBorders>
          </w:tcPr>
          <w:p w14:paraId="5C3A9CD0" w14:textId="77777777" w:rsidR="00D00258" w:rsidRPr="000D3D7F" w:rsidRDefault="00D00258" w:rsidP="001E1F5A">
            <w:pPr>
              <w:rPr>
                <w:noProof/>
                <w:lang w:val="sr-Latn-ME"/>
              </w:rPr>
            </w:pPr>
            <w:r w:rsidRPr="000D3D7F">
              <w:rPr>
                <w:noProof/>
                <w:szCs w:val="22"/>
                <w:lang w:val="sr-Latn-ME"/>
              </w:rPr>
              <w:t>Infekcije i infestacije</w:t>
            </w:r>
          </w:p>
        </w:tc>
        <w:tc>
          <w:tcPr>
            <w:tcW w:w="1829" w:type="dxa"/>
            <w:tcBorders>
              <w:top w:val="single" w:sz="4" w:space="0" w:color="000000"/>
              <w:left w:val="single" w:sz="4" w:space="0" w:color="000000"/>
              <w:bottom w:val="single" w:sz="4" w:space="0" w:color="000000"/>
              <w:right w:val="single" w:sz="4" w:space="0" w:color="000000"/>
            </w:tcBorders>
          </w:tcPr>
          <w:p w14:paraId="4F9EBFB4"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182D3961" w14:textId="77777777" w:rsidR="00D00258" w:rsidRPr="000D3D7F" w:rsidRDefault="00D00258" w:rsidP="001E1F5A">
            <w:pPr>
              <w:rPr>
                <w:noProof/>
                <w:lang w:val="sr-Latn-ME"/>
              </w:rPr>
            </w:pPr>
            <w:r w:rsidRPr="000D3D7F">
              <w:rPr>
                <w:noProof/>
                <w:szCs w:val="22"/>
                <w:lang w:val="sr-Latn-ME"/>
              </w:rPr>
              <w:t>herpes zoster (uključujući i diseminovani i oftalmički oblik),</w:t>
            </w:r>
          </w:p>
          <w:p w14:paraId="19FF01AD" w14:textId="77777777" w:rsidR="00D00258" w:rsidRPr="000D3D7F" w:rsidRDefault="00D00258" w:rsidP="001E1F5A">
            <w:pPr>
              <w:rPr>
                <w:noProof/>
                <w:lang w:val="sr-Latn-ME"/>
              </w:rPr>
            </w:pPr>
            <w:r w:rsidRPr="000D3D7F">
              <w:rPr>
                <w:noProof/>
                <w:szCs w:val="22"/>
                <w:lang w:val="sr-Latn-ME"/>
              </w:rPr>
              <w:t>pneumonija*, herpes simpleks* gljivična infekcija*</w:t>
            </w:r>
          </w:p>
        </w:tc>
      </w:tr>
      <w:tr w:rsidR="00D00258" w:rsidRPr="000D3D7F" w14:paraId="07B351C7" w14:textId="77777777" w:rsidTr="00787214">
        <w:trPr>
          <w:trHeight w:val="1770"/>
        </w:trPr>
        <w:tc>
          <w:tcPr>
            <w:tcW w:w="2228" w:type="dxa"/>
            <w:gridSpan w:val="3"/>
            <w:vMerge w:val="restart"/>
            <w:tcBorders>
              <w:top w:val="none" w:sz="6" w:space="0" w:color="auto"/>
              <w:left w:val="single" w:sz="4" w:space="0" w:color="000000"/>
              <w:bottom w:val="single" w:sz="4" w:space="0" w:color="000000"/>
              <w:right w:val="single" w:sz="4" w:space="0" w:color="000000"/>
            </w:tcBorders>
          </w:tcPr>
          <w:p w14:paraId="68261D29"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939AB07"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7206BDFC" w14:textId="1F5090A7" w:rsidR="00D00258" w:rsidRPr="000D3D7F" w:rsidRDefault="00D00258" w:rsidP="001E1F5A">
            <w:pPr>
              <w:rPr>
                <w:noProof/>
                <w:lang w:val="sr-Latn-ME"/>
              </w:rPr>
            </w:pPr>
            <w:r w:rsidRPr="000D3D7F">
              <w:rPr>
                <w:noProof/>
                <w:szCs w:val="22"/>
                <w:lang w:val="sr-Latn-ME"/>
              </w:rPr>
              <w:t>infekcije*, bakterijske infekcije*, virusne infekcije*, sepsa*(uključujući septički šok), bronhopneumonija, herpes virus infekcija*, herpetični meningoencefalitis</w:t>
            </w:r>
            <w:r w:rsidRPr="000D3D7F">
              <w:rPr>
                <w:noProof/>
                <w:szCs w:val="22"/>
                <w:vertAlign w:val="superscript"/>
                <w:lang w:val="sr-Latn-ME"/>
              </w:rPr>
              <w:t>#</w:t>
            </w:r>
            <w:r w:rsidRPr="000D3D7F">
              <w:rPr>
                <w:noProof/>
                <w:szCs w:val="22"/>
                <w:lang w:val="sr-Latn-ME"/>
              </w:rPr>
              <w:t>, bakterijemija (uključujući stafilokoknu), čmičak, influenca, ceululitis, infekcija povezana sa prim</w:t>
            </w:r>
            <w:r w:rsidR="00973B2E" w:rsidRPr="000D3D7F">
              <w:rPr>
                <w:noProof/>
                <w:szCs w:val="22"/>
                <w:lang w:val="sr-Latn-ME"/>
              </w:rPr>
              <w:t>ij</w:t>
            </w:r>
            <w:r w:rsidRPr="000D3D7F">
              <w:rPr>
                <w:noProof/>
                <w:szCs w:val="22"/>
                <w:lang w:val="sr-Latn-ME"/>
              </w:rPr>
              <w:t>enjenim medicinskim sredstvom, infekcija kože*, infekcija uha*, stafilokokna infekcija, infekcija</w:t>
            </w:r>
            <w:r w:rsidR="0042442E" w:rsidRPr="000D3D7F">
              <w:rPr>
                <w:noProof/>
                <w:szCs w:val="22"/>
                <w:lang w:val="sr-Latn-ME"/>
              </w:rPr>
              <w:t xml:space="preserve"> </w:t>
            </w:r>
            <w:r w:rsidRPr="000D3D7F">
              <w:rPr>
                <w:noProof/>
                <w:szCs w:val="22"/>
                <w:lang w:val="sr-Latn-ME"/>
              </w:rPr>
              <w:t>zuba*</w:t>
            </w:r>
          </w:p>
        </w:tc>
      </w:tr>
      <w:tr w:rsidR="00D00258" w:rsidRPr="000D3D7F" w14:paraId="23A763CF" w14:textId="77777777" w:rsidTr="00787214">
        <w:trPr>
          <w:trHeight w:val="762"/>
        </w:trPr>
        <w:tc>
          <w:tcPr>
            <w:tcW w:w="2228" w:type="dxa"/>
            <w:gridSpan w:val="3"/>
            <w:vMerge/>
            <w:tcBorders>
              <w:top w:val="nil"/>
              <w:left w:val="single" w:sz="4" w:space="0" w:color="000000"/>
              <w:bottom w:val="single" w:sz="4" w:space="0" w:color="000000"/>
              <w:right w:val="single" w:sz="4" w:space="0" w:color="000000"/>
            </w:tcBorders>
          </w:tcPr>
          <w:p w14:paraId="0555020F"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93CA6DC" w14:textId="16608C29"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43AECAD0" w14:textId="4762921D" w:rsidR="00D00258" w:rsidRPr="000D3D7F" w:rsidRDefault="00D00258" w:rsidP="001E1F5A">
            <w:pPr>
              <w:rPr>
                <w:noProof/>
                <w:lang w:val="sr-Latn-ME"/>
              </w:rPr>
            </w:pPr>
            <w:r w:rsidRPr="000D3D7F">
              <w:rPr>
                <w:noProof/>
                <w:szCs w:val="22"/>
                <w:lang w:val="sr-Latn-ME"/>
              </w:rPr>
              <w:t>meningitis (uključujući bakterijski), infekcija Epstein-Barr virusom, genitalni herpes, tonzilitis, mastoiditis, sindrom</w:t>
            </w:r>
            <w:r w:rsidR="0042442E" w:rsidRPr="000D3D7F">
              <w:rPr>
                <w:noProof/>
                <w:szCs w:val="22"/>
                <w:lang w:val="sr-Latn-ME"/>
              </w:rPr>
              <w:t xml:space="preserve"> </w:t>
            </w:r>
            <w:r w:rsidRPr="000D3D7F">
              <w:rPr>
                <w:noProof/>
                <w:szCs w:val="22"/>
                <w:lang w:val="sr-Latn-ME"/>
              </w:rPr>
              <w:t>postvirusnog umora</w:t>
            </w:r>
          </w:p>
        </w:tc>
      </w:tr>
      <w:tr w:rsidR="00D00258" w:rsidRPr="000D3D7F" w14:paraId="2B1BC7DA" w14:textId="77777777" w:rsidTr="00787214">
        <w:trPr>
          <w:trHeight w:val="876"/>
        </w:trPr>
        <w:tc>
          <w:tcPr>
            <w:tcW w:w="2228" w:type="dxa"/>
            <w:gridSpan w:val="3"/>
            <w:tcBorders>
              <w:top w:val="single" w:sz="4" w:space="0" w:color="000000"/>
              <w:left w:val="single" w:sz="4" w:space="0" w:color="000000"/>
              <w:bottom w:val="single" w:sz="4" w:space="0" w:color="000000"/>
              <w:right w:val="single" w:sz="4" w:space="0" w:color="000000"/>
            </w:tcBorders>
          </w:tcPr>
          <w:p w14:paraId="6740ECFE" w14:textId="25A12252" w:rsidR="00D00258" w:rsidRPr="000D3D7F" w:rsidRDefault="00D00258" w:rsidP="001E1F5A">
            <w:pPr>
              <w:rPr>
                <w:noProof/>
                <w:lang w:val="sr-Latn-ME"/>
              </w:rPr>
            </w:pPr>
            <w:r w:rsidRPr="000D3D7F">
              <w:rPr>
                <w:noProof/>
                <w:szCs w:val="22"/>
                <w:lang w:val="sr-Latn-ME"/>
              </w:rPr>
              <w:t>Neoplazme – benigne, maligne (uključujući ciste i</w:t>
            </w:r>
            <w:r w:rsidR="004B33C6" w:rsidRPr="000D3D7F">
              <w:rPr>
                <w:noProof/>
                <w:szCs w:val="22"/>
                <w:lang w:val="sr-Latn-ME"/>
              </w:rPr>
              <w:t xml:space="preserve"> </w:t>
            </w:r>
            <w:r w:rsidRPr="000D3D7F">
              <w:rPr>
                <w:noProof/>
                <w:szCs w:val="22"/>
                <w:lang w:val="sr-Latn-ME"/>
              </w:rPr>
              <w:t>polipe)</w:t>
            </w:r>
          </w:p>
        </w:tc>
        <w:tc>
          <w:tcPr>
            <w:tcW w:w="1829" w:type="dxa"/>
            <w:tcBorders>
              <w:top w:val="single" w:sz="4" w:space="0" w:color="000000"/>
              <w:left w:val="single" w:sz="4" w:space="0" w:color="000000"/>
              <w:bottom w:val="single" w:sz="4" w:space="0" w:color="000000"/>
              <w:right w:val="single" w:sz="4" w:space="0" w:color="000000"/>
            </w:tcBorders>
          </w:tcPr>
          <w:p w14:paraId="40D0AEE1" w14:textId="0DFEC637"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20D1C914" w14:textId="77777777" w:rsidR="00D00258" w:rsidRPr="000D3D7F" w:rsidRDefault="00D00258" w:rsidP="001E1F5A">
            <w:pPr>
              <w:rPr>
                <w:noProof/>
                <w:lang w:val="sr-Latn-ME"/>
              </w:rPr>
            </w:pPr>
            <w:r w:rsidRPr="000D3D7F">
              <w:rPr>
                <w:noProof/>
                <w:szCs w:val="22"/>
                <w:lang w:val="sr-Latn-ME"/>
              </w:rPr>
              <w:t>maligna neoplazma, plazmocitna leukemija, karcinom renalnih ćelija, masa, gljivična mikoza, benigna neoplazma*</w:t>
            </w:r>
          </w:p>
        </w:tc>
      </w:tr>
      <w:tr w:rsidR="00D00258" w:rsidRPr="000D3D7F" w14:paraId="0FFAC8F1" w14:textId="77777777" w:rsidTr="00787214">
        <w:trPr>
          <w:trHeight w:val="253"/>
        </w:trPr>
        <w:tc>
          <w:tcPr>
            <w:tcW w:w="1941" w:type="dxa"/>
            <w:gridSpan w:val="2"/>
            <w:vMerge w:val="restart"/>
            <w:tcBorders>
              <w:top w:val="single" w:sz="4" w:space="0" w:color="000000"/>
              <w:left w:val="single" w:sz="4" w:space="0" w:color="000000"/>
              <w:bottom w:val="single" w:sz="4" w:space="0" w:color="000000"/>
              <w:right w:val="none" w:sz="6" w:space="0" w:color="auto"/>
            </w:tcBorders>
          </w:tcPr>
          <w:p w14:paraId="63CEC9E3" w14:textId="06682764" w:rsidR="00D00258" w:rsidRPr="000D3D7F" w:rsidRDefault="00D00258" w:rsidP="001E1F5A">
            <w:pPr>
              <w:rPr>
                <w:noProof/>
                <w:lang w:val="sr-Latn-ME"/>
              </w:rPr>
            </w:pPr>
            <w:r w:rsidRPr="000D3D7F">
              <w:rPr>
                <w:noProof/>
                <w:szCs w:val="22"/>
                <w:lang w:val="sr-Latn-ME"/>
              </w:rPr>
              <w:t>Poremećaji krvi</w:t>
            </w:r>
            <w:r w:rsidR="00094727" w:rsidRPr="000D3D7F">
              <w:rPr>
                <w:noProof/>
                <w:szCs w:val="22"/>
                <w:lang w:val="sr-Latn-ME"/>
              </w:rPr>
              <w:t xml:space="preserve"> </w:t>
            </w:r>
            <w:r w:rsidRPr="000D3D7F">
              <w:rPr>
                <w:noProof/>
                <w:szCs w:val="22"/>
                <w:lang w:val="sr-Latn-ME"/>
              </w:rPr>
              <w:t xml:space="preserve"> limfnog sistema</w:t>
            </w:r>
          </w:p>
        </w:tc>
        <w:tc>
          <w:tcPr>
            <w:tcW w:w="287" w:type="dxa"/>
            <w:vMerge w:val="restart"/>
            <w:tcBorders>
              <w:top w:val="single" w:sz="4" w:space="0" w:color="000000"/>
              <w:left w:val="none" w:sz="6" w:space="0" w:color="auto"/>
              <w:bottom w:val="single" w:sz="4" w:space="0" w:color="000000"/>
              <w:right w:val="single" w:sz="4" w:space="0" w:color="000000"/>
            </w:tcBorders>
          </w:tcPr>
          <w:p w14:paraId="0F24058D" w14:textId="0AD94C09" w:rsidR="00D00258" w:rsidRPr="000D3D7F" w:rsidRDefault="00094727" w:rsidP="001E1F5A">
            <w:pPr>
              <w:rPr>
                <w:noProof/>
                <w:lang w:val="sr-Latn-ME"/>
              </w:rPr>
            </w:pPr>
            <w:r w:rsidRPr="000D3D7F">
              <w:rPr>
                <w:noProof/>
                <w:szCs w:val="22"/>
                <w:lang w:val="sr-Latn-ME"/>
              </w:rPr>
              <w:t xml:space="preserve"> </w:t>
            </w:r>
            <w:r w:rsidR="00D00258" w:rsidRPr="000D3D7F">
              <w:rPr>
                <w:noProof/>
                <w:szCs w:val="22"/>
                <w:lang w:val="sr-Latn-ME"/>
              </w:rPr>
              <w:t>i</w:t>
            </w:r>
          </w:p>
        </w:tc>
        <w:tc>
          <w:tcPr>
            <w:tcW w:w="1829" w:type="dxa"/>
            <w:tcBorders>
              <w:top w:val="single" w:sz="4" w:space="0" w:color="000000"/>
              <w:left w:val="single" w:sz="4" w:space="0" w:color="000000"/>
              <w:bottom w:val="single" w:sz="4" w:space="0" w:color="000000"/>
              <w:right w:val="single" w:sz="4" w:space="0" w:color="000000"/>
            </w:tcBorders>
          </w:tcPr>
          <w:p w14:paraId="73F59DE7" w14:textId="2968A8B5" w:rsidR="00D00258" w:rsidRPr="000D3D7F" w:rsidRDefault="00094727" w:rsidP="001E1F5A">
            <w:pPr>
              <w:rPr>
                <w:noProof/>
                <w:lang w:val="sr-Latn-ME"/>
              </w:rPr>
            </w:pPr>
            <w:r w:rsidRPr="000D3D7F">
              <w:rPr>
                <w:noProof/>
                <w:szCs w:val="22"/>
                <w:lang w:val="sr-Latn-ME"/>
              </w:rPr>
              <w:t>v</w:t>
            </w:r>
            <w:r w:rsidR="00D00258" w:rsidRPr="000D3D7F">
              <w:rPr>
                <w:noProof/>
                <w:szCs w:val="22"/>
                <w:lang w:val="sr-Latn-ME"/>
              </w:rPr>
              <w:t>eoma 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30B7A326" w14:textId="77777777" w:rsidR="00D00258" w:rsidRPr="000D3D7F" w:rsidRDefault="00D00258" w:rsidP="001E1F5A">
            <w:pPr>
              <w:rPr>
                <w:noProof/>
                <w:lang w:val="sr-Latn-ME"/>
              </w:rPr>
            </w:pPr>
            <w:r w:rsidRPr="000D3D7F">
              <w:rPr>
                <w:noProof/>
                <w:szCs w:val="22"/>
                <w:lang w:val="sr-Latn-ME"/>
              </w:rPr>
              <w:t>trombocitopenija*, neutropenija*, anemija*</w:t>
            </w:r>
          </w:p>
        </w:tc>
      </w:tr>
      <w:tr w:rsidR="00D00258" w:rsidRPr="000D3D7F" w14:paraId="422747E6" w14:textId="77777777" w:rsidTr="00787214">
        <w:trPr>
          <w:trHeight w:val="378"/>
        </w:trPr>
        <w:tc>
          <w:tcPr>
            <w:tcW w:w="1941" w:type="dxa"/>
            <w:gridSpan w:val="2"/>
            <w:vMerge/>
            <w:tcBorders>
              <w:top w:val="nil"/>
              <w:left w:val="single" w:sz="4" w:space="0" w:color="000000"/>
              <w:bottom w:val="single" w:sz="4" w:space="0" w:color="000000"/>
              <w:right w:val="none" w:sz="6" w:space="0" w:color="auto"/>
            </w:tcBorders>
          </w:tcPr>
          <w:p w14:paraId="22FB7AC1"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24A0F03E"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D2D41DB"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5C444566" w14:textId="77777777" w:rsidR="00D00258" w:rsidRPr="000D3D7F" w:rsidRDefault="00D00258" w:rsidP="001E1F5A">
            <w:pPr>
              <w:rPr>
                <w:noProof/>
                <w:lang w:val="sr-Latn-ME"/>
              </w:rPr>
            </w:pPr>
            <w:r w:rsidRPr="000D3D7F">
              <w:rPr>
                <w:noProof/>
                <w:szCs w:val="22"/>
                <w:lang w:val="sr-Latn-ME"/>
              </w:rPr>
              <w:t>leukopenija*, limfopenija*</w:t>
            </w:r>
          </w:p>
        </w:tc>
      </w:tr>
      <w:tr w:rsidR="00D00258" w:rsidRPr="000D3D7F" w14:paraId="3AB4FCBD" w14:textId="77777777" w:rsidTr="00787214">
        <w:trPr>
          <w:trHeight w:val="508"/>
        </w:trPr>
        <w:tc>
          <w:tcPr>
            <w:tcW w:w="1941" w:type="dxa"/>
            <w:gridSpan w:val="2"/>
            <w:vMerge/>
            <w:tcBorders>
              <w:top w:val="nil"/>
              <w:left w:val="single" w:sz="4" w:space="0" w:color="000000"/>
              <w:bottom w:val="single" w:sz="4" w:space="0" w:color="000000"/>
              <w:right w:val="none" w:sz="6" w:space="0" w:color="auto"/>
            </w:tcBorders>
          </w:tcPr>
          <w:p w14:paraId="77FE2755"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6C37CD7B"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33D2CD36"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39176F41" w14:textId="77777777" w:rsidR="00D00258" w:rsidRPr="000D3D7F" w:rsidRDefault="00D00258" w:rsidP="001E1F5A">
            <w:pPr>
              <w:rPr>
                <w:noProof/>
                <w:lang w:val="sr-Latn-ME"/>
              </w:rPr>
            </w:pPr>
            <w:r w:rsidRPr="000D3D7F">
              <w:rPr>
                <w:noProof/>
                <w:szCs w:val="22"/>
                <w:lang w:val="sr-Latn-ME"/>
              </w:rPr>
              <w:t>pancitopenija*, febrilna neutropenija, koagulopatija*,</w:t>
            </w:r>
          </w:p>
          <w:p w14:paraId="5313D3E6" w14:textId="77777777" w:rsidR="00D00258" w:rsidRPr="000D3D7F" w:rsidRDefault="00D00258" w:rsidP="001E1F5A">
            <w:pPr>
              <w:rPr>
                <w:noProof/>
                <w:vertAlign w:val="superscript"/>
                <w:lang w:val="sr-Latn-ME"/>
              </w:rPr>
            </w:pPr>
            <w:r w:rsidRPr="000D3D7F">
              <w:rPr>
                <w:noProof/>
                <w:szCs w:val="22"/>
                <w:lang w:val="sr-Latn-ME"/>
              </w:rPr>
              <w:t>leukocitoza*, limfadenopatija, hemolitična anemija</w:t>
            </w:r>
            <w:r w:rsidRPr="000D3D7F">
              <w:rPr>
                <w:noProof/>
                <w:szCs w:val="22"/>
                <w:vertAlign w:val="superscript"/>
                <w:lang w:val="sr-Latn-ME"/>
              </w:rPr>
              <w:t>#</w:t>
            </w:r>
          </w:p>
        </w:tc>
      </w:tr>
      <w:tr w:rsidR="00D00258" w:rsidRPr="000D3D7F" w14:paraId="5C7DE311" w14:textId="77777777" w:rsidTr="00787214">
        <w:trPr>
          <w:trHeight w:val="1262"/>
        </w:trPr>
        <w:tc>
          <w:tcPr>
            <w:tcW w:w="1941" w:type="dxa"/>
            <w:gridSpan w:val="2"/>
            <w:vMerge/>
            <w:tcBorders>
              <w:top w:val="nil"/>
              <w:left w:val="single" w:sz="4" w:space="0" w:color="000000"/>
              <w:bottom w:val="single" w:sz="4" w:space="0" w:color="000000"/>
              <w:right w:val="none" w:sz="6" w:space="0" w:color="auto"/>
            </w:tcBorders>
          </w:tcPr>
          <w:p w14:paraId="4C50C4DD"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519D22D5"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44E2956" w14:textId="5F637E65"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1594878F" w14:textId="77777777" w:rsidR="00D00258" w:rsidRPr="000D3D7F" w:rsidRDefault="00D00258" w:rsidP="001E1F5A">
            <w:pPr>
              <w:rPr>
                <w:noProof/>
                <w:lang w:val="sr-Latn-ME"/>
              </w:rPr>
            </w:pPr>
            <w:r w:rsidRPr="000D3D7F">
              <w:rPr>
                <w:noProof/>
                <w:szCs w:val="22"/>
                <w:lang w:val="sr-Latn-ME"/>
              </w:rPr>
              <w:t>diseminovana intravaskularna koagulacija, trombocitoza*, sindrom hiperviskoznosti, nespecifični poremećaj trombocita, trombotska mikroangiopatija (uključujući trombocitopenijsku purpuru)</w:t>
            </w:r>
            <w:r w:rsidRPr="000D3D7F">
              <w:rPr>
                <w:noProof/>
                <w:szCs w:val="22"/>
                <w:vertAlign w:val="superscript"/>
                <w:lang w:val="sr-Latn-ME"/>
              </w:rPr>
              <w:t>#</w:t>
            </w:r>
            <w:r w:rsidRPr="000D3D7F">
              <w:rPr>
                <w:noProof/>
                <w:szCs w:val="22"/>
                <w:lang w:val="sr-Latn-ME"/>
              </w:rPr>
              <w:t>, nespecifična oboljenja krvi, hemoragijska dijateza,</w:t>
            </w:r>
          </w:p>
          <w:p w14:paraId="7E213F14" w14:textId="77777777" w:rsidR="00D00258" w:rsidRPr="000D3D7F" w:rsidRDefault="00D00258" w:rsidP="001E1F5A">
            <w:pPr>
              <w:rPr>
                <w:noProof/>
                <w:lang w:val="sr-Latn-ME"/>
              </w:rPr>
            </w:pPr>
            <w:r w:rsidRPr="000D3D7F">
              <w:rPr>
                <w:noProof/>
                <w:szCs w:val="22"/>
                <w:lang w:val="sr-Latn-ME"/>
              </w:rPr>
              <w:t>limfocitna infiltracija</w:t>
            </w:r>
          </w:p>
        </w:tc>
      </w:tr>
      <w:tr w:rsidR="00D00258" w:rsidRPr="000D3D7F" w14:paraId="4C8B85D2" w14:textId="77777777" w:rsidTr="00787214">
        <w:trPr>
          <w:trHeight w:val="253"/>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647CE64E" w14:textId="77777777" w:rsidR="00D00258" w:rsidRPr="000D3D7F" w:rsidRDefault="00D00258" w:rsidP="001E1F5A">
            <w:pPr>
              <w:rPr>
                <w:noProof/>
                <w:lang w:val="sr-Latn-ME"/>
              </w:rPr>
            </w:pPr>
            <w:r w:rsidRPr="000D3D7F">
              <w:rPr>
                <w:noProof/>
                <w:szCs w:val="22"/>
                <w:lang w:val="sr-Latn-ME"/>
              </w:rPr>
              <w:t>Poremećaji imunskog sistema</w:t>
            </w:r>
          </w:p>
        </w:tc>
        <w:tc>
          <w:tcPr>
            <w:tcW w:w="1829" w:type="dxa"/>
            <w:tcBorders>
              <w:top w:val="single" w:sz="4" w:space="0" w:color="000000"/>
              <w:left w:val="single" w:sz="4" w:space="0" w:color="000000"/>
              <w:bottom w:val="single" w:sz="4" w:space="0" w:color="000000"/>
              <w:right w:val="single" w:sz="4" w:space="0" w:color="000000"/>
            </w:tcBorders>
          </w:tcPr>
          <w:p w14:paraId="269C2417"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4F215375" w14:textId="77777777" w:rsidR="00D00258" w:rsidRPr="000D3D7F" w:rsidRDefault="00D00258" w:rsidP="001E1F5A">
            <w:pPr>
              <w:rPr>
                <w:noProof/>
                <w:lang w:val="sr-Latn-ME"/>
              </w:rPr>
            </w:pPr>
            <w:r w:rsidRPr="000D3D7F">
              <w:rPr>
                <w:noProof/>
                <w:szCs w:val="22"/>
                <w:lang w:val="sr-Latn-ME"/>
              </w:rPr>
              <w:t>angioedem</w:t>
            </w:r>
            <w:r w:rsidRPr="000D3D7F">
              <w:rPr>
                <w:noProof/>
                <w:szCs w:val="22"/>
                <w:vertAlign w:val="superscript"/>
                <w:lang w:val="sr-Latn-ME"/>
              </w:rPr>
              <w:t>#</w:t>
            </w:r>
            <w:r w:rsidRPr="000D3D7F">
              <w:rPr>
                <w:noProof/>
                <w:szCs w:val="22"/>
                <w:lang w:val="sr-Latn-ME"/>
              </w:rPr>
              <w:t>, hipersenzitivnost*</w:t>
            </w:r>
          </w:p>
        </w:tc>
      </w:tr>
      <w:tr w:rsidR="00D00258" w:rsidRPr="000D3D7F" w14:paraId="1A7072E0" w14:textId="77777777" w:rsidTr="00787214">
        <w:trPr>
          <w:trHeight w:val="508"/>
        </w:trPr>
        <w:tc>
          <w:tcPr>
            <w:tcW w:w="2228" w:type="dxa"/>
            <w:gridSpan w:val="3"/>
            <w:vMerge/>
            <w:tcBorders>
              <w:top w:val="nil"/>
              <w:left w:val="single" w:sz="4" w:space="0" w:color="000000"/>
              <w:bottom w:val="single" w:sz="4" w:space="0" w:color="000000"/>
              <w:right w:val="single" w:sz="4" w:space="0" w:color="000000"/>
            </w:tcBorders>
          </w:tcPr>
          <w:p w14:paraId="1F99ACB9"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6583EA1B" w14:textId="7944A825"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10B8F0CB" w14:textId="59F38256" w:rsidR="00D00258" w:rsidRPr="000D3D7F" w:rsidRDefault="00D00258" w:rsidP="001E1F5A">
            <w:pPr>
              <w:rPr>
                <w:noProof/>
                <w:lang w:val="sr-Latn-ME"/>
              </w:rPr>
            </w:pPr>
            <w:r w:rsidRPr="000D3D7F">
              <w:rPr>
                <w:noProof/>
                <w:szCs w:val="22"/>
                <w:lang w:val="sr-Latn-ME"/>
              </w:rPr>
              <w:t>anafilaktički šok, amiloidoza, reakcija preos</w:t>
            </w:r>
            <w:r w:rsidR="00973B2E" w:rsidRPr="000D3D7F">
              <w:rPr>
                <w:noProof/>
                <w:szCs w:val="22"/>
                <w:lang w:val="sr-Latn-ME"/>
              </w:rPr>
              <w:t>j</w:t>
            </w:r>
            <w:r w:rsidRPr="000D3D7F">
              <w:rPr>
                <w:noProof/>
                <w:szCs w:val="22"/>
                <w:lang w:val="sr-Latn-ME"/>
              </w:rPr>
              <w:t>etljivosti</w:t>
            </w:r>
          </w:p>
          <w:p w14:paraId="21FA4D33" w14:textId="77777777" w:rsidR="00D00258" w:rsidRPr="000D3D7F" w:rsidRDefault="00D00258" w:rsidP="001E1F5A">
            <w:pPr>
              <w:rPr>
                <w:noProof/>
                <w:lang w:val="sr-Latn-ME"/>
              </w:rPr>
            </w:pPr>
            <w:r w:rsidRPr="000D3D7F">
              <w:rPr>
                <w:noProof/>
                <w:szCs w:val="22"/>
                <w:lang w:val="sr-Latn-ME"/>
              </w:rPr>
              <w:t>posredovana imunim kompleksima Tip III</w:t>
            </w:r>
          </w:p>
        </w:tc>
      </w:tr>
      <w:tr w:rsidR="00D00258" w:rsidRPr="000D3D7F" w14:paraId="770FD0A3" w14:textId="77777777" w:rsidTr="00787214">
        <w:trPr>
          <w:trHeight w:val="503"/>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66F3AA94" w14:textId="77777777" w:rsidR="00D00258" w:rsidRPr="000D3D7F" w:rsidRDefault="00D00258" w:rsidP="001E1F5A">
            <w:pPr>
              <w:rPr>
                <w:noProof/>
                <w:lang w:val="sr-Latn-ME"/>
              </w:rPr>
            </w:pPr>
            <w:r w:rsidRPr="000D3D7F">
              <w:rPr>
                <w:noProof/>
                <w:szCs w:val="22"/>
                <w:lang w:val="sr-Latn-ME"/>
              </w:rPr>
              <w:t>Poremećaj endokrinog sistema</w:t>
            </w:r>
          </w:p>
        </w:tc>
        <w:tc>
          <w:tcPr>
            <w:tcW w:w="1829" w:type="dxa"/>
            <w:tcBorders>
              <w:top w:val="single" w:sz="4" w:space="0" w:color="000000"/>
              <w:left w:val="single" w:sz="4" w:space="0" w:color="000000"/>
              <w:bottom w:val="single" w:sz="4" w:space="0" w:color="000000"/>
              <w:right w:val="single" w:sz="4" w:space="0" w:color="000000"/>
            </w:tcBorders>
          </w:tcPr>
          <w:p w14:paraId="2CE3DA3D"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3C383445" w14:textId="77777777" w:rsidR="00D00258" w:rsidRPr="000D3D7F" w:rsidRDefault="00D00258" w:rsidP="001E1F5A">
            <w:pPr>
              <w:rPr>
                <w:noProof/>
                <w:lang w:val="sr-Latn-ME"/>
              </w:rPr>
            </w:pPr>
            <w:r w:rsidRPr="000D3D7F">
              <w:rPr>
                <w:noProof/>
                <w:szCs w:val="22"/>
                <w:lang w:val="sr-Latn-ME"/>
              </w:rPr>
              <w:t>kušingov sindrom*, hipertireoidizam*, neadekvatna sekrecija</w:t>
            </w:r>
          </w:p>
          <w:p w14:paraId="533A1A4D" w14:textId="77777777" w:rsidR="00D00258" w:rsidRPr="000D3D7F" w:rsidRDefault="00D00258" w:rsidP="001E1F5A">
            <w:pPr>
              <w:rPr>
                <w:noProof/>
                <w:lang w:val="sr-Latn-ME"/>
              </w:rPr>
            </w:pPr>
            <w:r w:rsidRPr="000D3D7F">
              <w:rPr>
                <w:noProof/>
                <w:szCs w:val="22"/>
                <w:lang w:val="sr-Latn-ME"/>
              </w:rPr>
              <w:t>antidiuretskog hormona</w:t>
            </w:r>
          </w:p>
        </w:tc>
      </w:tr>
      <w:tr w:rsidR="00D00258" w:rsidRPr="000D3D7F" w14:paraId="7A34EAF0" w14:textId="77777777" w:rsidTr="00787214">
        <w:trPr>
          <w:trHeight w:val="253"/>
        </w:trPr>
        <w:tc>
          <w:tcPr>
            <w:tcW w:w="2228" w:type="dxa"/>
            <w:gridSpan w:val="3"/>
            <w:vMerge/>
            <w:tcBorders>
              <w:top w:val="nil"/>
              <w:left w:val="single" w:sz="4" w:space="0" w:color="000000"/>
              <w:bottom w:val="single" w:sz="4" w:space="0" w:color="000000"/>
              <w:right w:val="single" w:sz="4" w:space="0" w:color="000000"/>
            </w:tcBorders>
          </w:tcPr>
          <w:p w14:paraId="34C40729"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5F5372CE" w14:textId="29A5BDAF"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1F682A8B" w14:textId="77777777" w:rsidR="00D00258" w:rsidRPr="000D3D7F" w:rsidRDefault="00D00258" w:rsidP="001E1F5A">
            <w:pPr>
              <w:rPr>
                <w:noProof/>
                <w:lang w:val="sr-Latn-ME"/>
              </w:rPr>
            </w:pPr>
            <w:r w:rsidRPr="000D3D7F">
              <w:rPr>
                <w:noProof/>
                <w:szCs w:val="22"/>
                <w:lang w:val="sr-Latn-ME"/>
              </w:rPr>
              <w:t>hipotireoidizam</w:t>
            </w:r>
          </w:p>
        </w:tc>
      </w:tr>
      <w:tr w:rsidR="00D00258" w:rsidRPr="000D3D7F" w14:paraId="725E0442" w14:textId="77777777" w:rsidTr="00787214">
        <w:trPr>
          <w:trHeight w:val="253"/>
        </w:trPr>
        <w:tc>
          <w:tcPr>
            <w:tcW w:w="1941" w:type="dxa"/>
            <w:gridSpan w:val="2"/>
            <w:vMerge w:val="restart"/>
            <w:tcBorders>
              <w:top w:val="single" w:sz="4" w:space="0" w:color="000000"/>
              <w:left w:val="single" w:sz="4" w:space="0" w:color="000000"/>
              <w:bottom w:val="single" w:sz="4" w:space="0" w:color="000000"/>
              <w:right w:val="none" w:sz="6" w:space="0" w:color="auto"/>
            </w:tcBorders>
          </w:tcPr>
          <w:p w14:paraId="5B25EE39" w14:textId="77777777" w:rsidR="00D00258" w:rsidRPr="000D3D7F" w:rsidRDefault="00D00258" w:rsidP="001E1F5A">
            <w:pPr>
              <w:rPr>
                <w:noProof/>
                <w:lang w:val="sr-Latn-ME"/>
              </w:rPr>
            </w:pPr>
            <w:r w:rsidRPr="000D3D7F">
              <w:rPr>
                <w:noProof/>
                <w:szCs w:val="22"/>
                <w:lang w:val="sr-Latn-ME"/>
              </w:rPr>
              <w:t>Poremećaj metabolizma ishrane</w:t>
            </w:r>
          </w:p>
        </w:tc>
        <w:tc>
          <w:tcPr>
            <w:tcW w:w="287" w:type="dxa"/>
            <w:vMerge w:val="restart"/>
            <w:tcBorders>
              <w:top w:val="single" w:sz="4" w:space="0" w:color="000000"/>
              <w:left w:val="none" w:sz="6" w:space="0" w:color="auto"/>
              <w:bottom w:val="single" w:sz="4" w:space="0" w:color="000000"/>
              <w:right w:val="single" w:sz="4" w:space="0" w:color="000000"/>
            </w:tcBorders>
          </w:tcPr>
          <w:p w14:paraId="466A4E6C" w14:textId="3A0C283B"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74F601F" w14:textId="77777777" w:rsidR="00D00258" w:rsidRPr="000D3D7F" w:rsidRDefault="00D00258" w:rsidP="001E1F5A">
            <w:pPr>
              <w:rPr>
                <w:noProof/>
                <w:lang w:val="sr-Latn-ME"/>
              </w:rPr>
            </w:pPr>
            <w:r w:rsidRPr="000D3D7F">
              <w:rPr>
                <w:noProof/>
                <w:szCs w:val="22"/>
                <w:lang w:val="sr-Latn-ME"/>
              </w:rPr>
              <w:t>veoma 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3B276BC4" w14:textId="77777777" w:rsidR="00D00258" w:rsidRPr="000D3D7F" w:rsidRDefault="00D00258" w:rsidP="001E1F5A">
            <w:pPr>
              <w:rPr>
                <w:noProof/>
                <w:lang w:val="sr-Latn-ME"/>
              </w:rPr>
            </w:pPr>
            <w:r w:rsidRPr="000D3D7F">
              <w:rPr>
                <w:noProof/>
                <w:szCs w:val="22"/>
                <w:lang w:val="sr-Latn-ME"/>
              </w:rPr>
              <w:t>smanjen apetit</w:t>
            </w:r>
          </w:p>
        </w:tc>
      </w:tr>
      <w:tr w:rsidR="00D00258" w:rsidRPr="000D3D7F" w14:paraId="2C1EEE5C" w14:textId="77777777" w:rsidTr="00787214">
        <w:trPr>
          <w:trHeight w:val="757"/>
        </w:trPr>
        <w:tc>
          <w:tcPr>
            <w:tcW w:w="1941" w:type="dxa"/>
            <w:gridSpan w:val="2"/>
            <w:vMerge/>
            <w:tcBorders>
              <w:top w:val="nil"/>
              <w:left w:val="single" w:sz="4" w:space="0" w:color="000000"/>
              <w:bottom w:val="single" w:sz="4" w:space="0" w:color="000000"/>
              <w:right w:val="none" w:sz="6" w:space="0" w:color="auto"/>
            </w:tcBorders>
          </w:tcPr>
          <w:p w14:paraId="1BD651D0"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080D5987"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03305608"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7061170B" w14:textId="77777777" w:rsidR="00D00258" w:rsidRPr="000D3D7F" w:rsidRDefault="00D00258" w:rsidP="001E1F5A">
            <w:pPr>
              <w:rPr>
                <w:noProof/>
                <w:lang w:val="sr-Latn-ME"/>
              </w:rPr>
            </w:pPr>
            <w:r w:rsidRPr="000D3D7F">
              <w:rPr>
                <w:noProof/>
                <w:szCs w:val="22"/>
                <w:lang w:val="sr-Latn-ME"/>
              </w:rPr>
              <w:t>dehidracija, hipokalemija*, hiponatremija*, abnormalna</w:t>
            </w:r>
          </w:p>
          <w:p w14:paraId="57BDEC4B" w14:textId="77777777" w:rsidR="00D00258" w:rsidRPr="000D3D7F" w:rsidRDefault="00D00258" w:rsidP="001E1F5A">
            <w:pPr>
              <w:rPr>
                <w:noProof/>
                <w:lang w:val="sr-Latn-ME"/>
              </w:rPr>
            </w:pPr>
            <w:r w:rsidRPr="000D3D7F">
              <w:rPr>
                <w:noProof/>
                <w:szCs w:val="22"/>
                <w:lang w:val="sr-Latn-ME"/>
              </w:rPr>
              <w:t>koncentracija glukoze u krvi*, hipokalcemija*, abnormalnost enzima*</w:t>
            </w:r>
          </w:p>
        </w:tc>
      </w:tr>
      <w:tr w:rsidR="00D00258" w:rsidRPr="000D3D7F" w14:paraId="3A499D90" w14:textId="77777777" w:rsidTr="00787214">
        <w:trPr>
          <w:trHeight w:val="1012"/>
        </w:trPr>
        <w:tc>
          <w:tcPr>
            <w:tcW w:w="1941" w:type="dxa"/>
            <w:gridSpan w:val="2"/>
            <w:vMerge/>
            <w:tcBorders>
              <w:top w:val="nil"/>
              <w:left w:val="single" w:sz="4" w:space="0" w:color="000000"/>
              <w:bottom w:val="single" w:sz="4" w:space="0" w:color="000000"/>
              <w:right w:val="none" w:sz="6" w:space="0" w:color="auto"/>
            </w:tcBorders>
          </w:tcPr>
          <w:p w14:paraId="39AB1597"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73681759"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B5494D5"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76DEB7F8" w14:textId="77777777" w:rsidR="00D00258" w:rsidRPr="000D3D7F" w:rsidRDefault="00D00258" w:rsidP="001E1F5A">
            <w:pPr>
              <w:rPr>
                <w:noProof/>
                <w:lang w:val="sr-Latn-ME"/>
              </w:rPr>
            </w:pPr>
            <w:r w:rsidRPr="000D3D7F">
              <w:rPr>
                <w:noProof/>
                <w:szCs w:val="22"/>
                <w:lang w:val="sr-Latn-ME"/>
              </w:rPr>
              <w:t>sindrom lize tumora, nemogućnost dobrog rasta*, hipomagnezijemija*, hipofosfatemija*, hiperkalijemija*, hiperkalcemija*, hipernatremija*, abnormalna koncentracija</w:t>
            </w:r>
          </w:p>
          <w:p w14:paraId="5944AA64" w14:textId="77777777" w:rsidR="00D00258" w:rsidRPr="000D3D7F" w:rsidRDefault="00D00258" w:rsidP="001E1F5A">
            <w:pPr>
              <w:rPr>
                <w:noProof/>
                <w:lang w:val="sr-Latn-ME"/>
              </w:rPr>
            </w:pPr>
            <w:r w:rsidRPr="000D3D7F">
              <w:rPr>
                <w:noProof/>
                <w:szCs w:val="22"/>
                <w:lang w:val="sr-Latn-ME"/>
              </w:rPr>
              <w:t>mokraćne kiseline*, dijabetes melitus*, retencija tečnosti</w:t>
            </w:r>
          </w:p>
        </w:tc>
      </w:tr>
      <w:tr w:rsidR="00D00258" w:rsidRPr="000D3D7F" w14:paraId="18D2DF92" w14:textId="77777777" w:rsidTr="00787214">
        <w:trPr>
          <w:trHeight w:val="1262"/>
        </w:trPr>
        <w:tc>
          <w:tcPr>
            <w:tcW w:w="1941" w:type="dxa"/>
            <w:gridSpan w:val="2"/>
            <w:vMerge/>
            <w:tcBorders>
              <w:top w:val="nil"/>
              <w:left w:val="single" w:sz="4" w:space="0" w:color="000000"/>
              <w:bottom w:val="single" w:sz="4" w:space="0" w:color="000000"/>
              <w:right w:val="none" w:sz="6" w:space="0" w:color="auto"/>
            </w:tcBorders>
          </w:tcPr>
          <w:p w14:paraId="352E71FC" w14:textId="77777777" w:rsidR="00D00258" w:rsidRPr="000D3D7F" w:rsidRDefault="00D00258" w:rsidP="001E1F5A">
            <w:pPr>
              <w:rPr>
                <w:noProof/>
                <w:lang w:val="sr-Latn-ME"/>
              </w:rPr>
            </w:pPr>
          </w:p>
        </w:tc>
        <w:tc>
          <w:tcPr>
            <w:tcW w:w="287" w:type="dxa"/>
            <w:vMerge/>
            <w:tcBorders>
              <w:top w:val="nil"/>
              <w:left w:val="none" w:sz="6" w:space="0" w:color="auto"/>
              <w:bottom w:val="single" w:sz="4" w:space="0" w:color="000000"/>
              <w:right w:val="single" w:sz="4" w:space="0" w:color="000000"/>
            </w:tcBorders>
          </w:tcPr>
          <w:p w14:paraId="51D78DC3"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55665B0A" w14:textId="549AA4E8"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52BF695F" w14:textId="77777777" w:rsidR="00D00258" w:rsidRPr="000D3D7F" w:rsidRDefault="00D00258" w:rsidP="001E1F5A">
            <w:pPr>
              <w:rPr>
                <w:noProof/>
                <w:lang w:val="sr-Latn-ME"/>
              </w:rPr>
            </w:pPr>
            <w:r w:rsidRPr="000D3D7F">
              <w:rPr>
                <w:noProof/>
                <w:szCs w:val="22"/>
                <w:lang w:val="sr-Latn-ME"/>
              </w:rPr>
              <w:t>hipermagnezijemija*, acidoza, elektrolitni disbalans*, preopterećenost tečnostima, hipohloremija*, hipovolemija, hiperhloremija, hiperfosfatemija*, metabolički poremećaji,</w:t>
            </w:r>
          </w:p>
          <w:p w14:paraId="143A3A14" w14:textId="77777777" w:rsidR="00D00258" w:rsidRPr="000D3D7F" w:rsidRDefault="00D00258" w:rsidP="001E1F5A">
            <w:pPr>
              <w:rPr>
                <w:noProof/>
                <w:lang w:val="sr-Latn-ME"/>
              </w:rPr>
            </w:pPr>
            <w:r w:rsidRPr="000D3D7F">
              <w:rPr>
                <w:noProof/>
                <w:szCs w:val="22"/>
                <w:lang w:val="sr-Latn-ME"/>
              </w:rPr>
              <w:t>deficijencija vitamina B kompleksa, deficijencija vitamina B12, giht, povećan apetit, netolerancija alkohola</w:t>
            </w:r>
          </w:p>
        </w:tc>
      </w:tr>
      <w:tr w:rsidR="00D00258" w:rsidRPr="000D3D7F" w14:paraId="3D3F6DC9" w14:textId="77777777" w:rsidTr="00787214">
        <w:trPr>
          <w:trHeight w:val="248"/>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6CD79065" w14:textId="77777777" w:rsidR="00D00258" w:rsidRPr="000D3D7F" w:rsidRDefault="00D00258" w:rsidP="001E1F5A">
            <w:pPr>
              <w:rPr>
                <w:noProof/>
                <w:lang w:val="sr-Latn-ME"/>
              </w:rPr>
            </w:pPr>
            <w:r w:rsidRPr="000D3D7F">
              <w:rPr>
                <w:noProof/>
                <w:szCs w:val="22"/>
                <w:lang w:val="sr-Latn-ME"/>
              </w:rPr>
              <w:t>Psihijatrijski poremećaji</w:t>
            </w:r>
          </w:p>
        </w:tc>
        <w:tc>
          <w:tcPr>
            <w:tcW w:w="1829" w:type="dxa"/>
            <w:tcBorders>
              <w:top w:val="single" w:sz="4" w:space="0" w:color="000000"/>
              <w:left w:val="single" w:sz="4" w:space="0" w:color="000000"/>
              <w:bottom w:val="single" w:sz="4" w:space="0" w:color="000000"/>
              <w:right w:val="single" w:sz="4" w:space="0" w:color="000000"/>
            </w:tcBorders>
          </w:tcPr>
          <w:p w14:paraId="24CB60EA"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2951ABFA" w14:textId="77777777" w:rsidR="00D00258" w:rsidRPr="000D3D7F" w:rsidRDefault="00D00258" w:rsidP="001E1F5A">
            <w:pPr>
              <w:rPr>
                <w:noProof/>
                <w:lang w:val="sr-Latn-ME"/>
              </w:rPr>
            </w:pPr>
            <w:r w:rsidRPr="000D3D7F">
              <w:rPr>
                <w:noProof/>
                <w:szCs w:val="22"/>
                <w:lang w:val="sr-Latn-ME"/>
              </w:rPr>
              <w:t>poremećaji raspoloženja*, anksioznost*, poremećaji spavanja*</w:t>
            </w:r>
          </w:p>
        </w:tc>
      </w:tr>
      <w:tr w:rsidR="00D00258" w:rsidRPr="000D3D7F" w14:paraId="62F7E7CD" w14:textId="77777777" w:rsidTr="00787214">
        <w:trPr>
          <w:trHeight w:val="508"/>
        </w:trPr>
        <w:tc>
          <w:tcPr>
            <w:tcW w:w="2228" w:type="dxa"/>
            <w:gridSpan w:val="3"/>
            <w:vMerge/>
            <w:tcBorders>
              <w:top w:val="nil"/>
              <w:left w:val="single" w:sz="4" w:space="0" w:color="000000"/>
              <w:bottom w:val="single" w:sz="4" w:space="0" w:color="000000"/>
              <w:right w:val="single" w:sz="4" w:space="0" w:color="000000"/>
            </w:tcBorders>
          </w:tcPr>
          <w:p w14:paraId="45639B4D"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949A64D"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397D9CD5" w14:textId="77777777" w:rsidR="00D00258" w:rsidRPr="000D3D7F" w:rsidRDefault="00D00258" w:rsidP="001E1F5A">
            <w:pPr>
              <w:rPr>
                <w:noProof/>
                <w:lang w:val="sr-Latn-ME"/>
              </w:rPr>
            </w:pPr>
            <w:r w:rsidRPr="000D3D7F">
              <w:rPr>
                <w:noProof/>
                <w:szCs w:val="22"/>
                <w:lang w:val="sr-Latn-ME"/>
              </w:rPr>
              <w:t>mentalni poremećaji*, halucinacije*, psihotični poremećaji*</w:t>
            </w:r>
          </w:p>
          <w:p w14:paraId="22F66E73" w14:textId="77777777" w:rsidR="00D00258" w:rsidRPr="000D3D7F" w:rsidRDefault="00D00258" w:rsidP="001E1F5A">
            <w:pPr>
              <w:rPr>
                <w:noProof/>
                <w:lang w:val="sr-Latn-ME"/>
              </w:rPr>
            </w:pPr>
            <w:r w:rsidRPr="000D3D7F">
              <w:rPr>
                <w:noProof/>
                <w:szCs w:val="22"/>
                <w:lang w:val="sr-Latn-ME"/>
              </w:rPr>
              <w:t>konfuzija*, uznemirenost</w:t>
            </w:r>
          </w:p>
        </w:tc>
      </w:tr>
      <w:tr w:rsidR="00D00258" w:rsidRPr="000D3D7F" w14:paraId="79F9D0FF" w14:textId="77777777" w:rsidTr="00787214">
        <w:trPr>
          <w:trHeight w:val="503"/>
        </w:trPr>
        <w:tc>
          <w:tcPr>
            <w:tcW w:w="2228" w:type="dxa"/>
            <w:gridSpan w:val="3"/>
            <w:vMerge/>
            <w:tcBorders>
              <w:top w:val="nil"/>
              <w:left w:val="single" w:sz="4" w:space="0" w:color="000000"/>
              <w:bottom w:val="single" w:sz="4" w:space="0" w:color="000000"/>
              <w:right w:val="single" w:sz="4" w:space="0" w:color="000000"/>
            </w:tcBorders>
          </w:tcPr>
          <w:p w14:paraId="5B847BE3"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04919A32" w14:textId="042AC017"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60D524C3" w14:textId="6D4EE491" w:rsidR="00D00258" w:rsidRPr="000D3D7F" w:rsidRDefault="00D00258" w:rsidP="001E1F5A">
            <w:pPr>
              <w:rPr>
                <w:noProof/>
                <w:lang w:val="sr-Latn-ME"/>
              </w:rPr>
            </w:pPr>
            <w:r w:rsidRPr="000D3D7F">
              <w:rPr>
                <w:noProof/>
                <w:szCs w:val="22"/>
                <w:lang w:val="sr-Latn-ME"/>
              </w:rPr>
              <w:t xml:space="preserve">suicidalne </w:t>
            </w:r>
            <w:r w:rsidR="00B04B5A" w:rsidRPr="000D3D7F">
              <w:rPr>
                <w:noProof/>
                <w:szCs w:val="22"/>
                <w:lang w:val="sr-Latn-ME"/>
              </w:rPr>
              <w:t xml:space="preserve">misli </w:t>
            </w:r>
            <w:r w:rsidRPr="000D3D7F">
              <w:rPr>
                <w:noProof/>
                <w:szCs w:val="22"/>
                <w:lang w:val="sr-Latn-ME"/>
              </w:rPr>
              <w:t>*, poremećaj prilagođavanja, delirijum,</w:t>
            </w:r>
          </w:p>
          <w:p w14:paraId="5BCBEE21" w14:textId="77777777" w:rsidR="00D00258" w:rsidRPr="000D3D7F" w:rsidRDefault="00D00258" w:rsidP="001E1F5A">
            <w:pPr>
              <w:rPr>
                <w:noProof/>
                <w:szCs w:val="22"/>
                <w:lang w:val="sr-Latn-ME"/>
              </w:rPr>
            </w:pPr>
            <w:r w:rsidRPr="000D3D7F">
              <w:rPr>
                <w:noProof/>
                <w:szCs w:val="22"/>
                <w:lang w:val="sr-Latn-ME"/>
              </w:rPr>
              <w:t>smanjenje libida</w:t>
            </w:r>
          </w:p>
          <w:p w14:paraId="6BF03A4F" w14:textId="0B872CBC" w:rsidR="00787214" w:rsidRPr="000D3D7F" w:rsidRDefault="00787214" w:rsidP="001E1F5A">
            <w:pPr>
              <w:rPr>
                <w:noProof/>
                <w:lang w:val="sr-Latn-ME"/>
              </w:rPr>
            </w:pPr>
          </w:p>
        </w:tc>
      </w:tr>
      <w:tr w:rsidR="00D00258" w:rsidRPr="000D3D7F" w14:paraId="6064867E" w14:textId="77777777" w:rsidTr="00787214">
        <w:trPr>
          <w:trHeight w:val="758"/>
        </w:trPr>
        <w:tc>
          <w:tcPr>
            <w:tcW w:w="2228" w:type="dxa"/>
            <w:gridSpan w:val="3"/>
            <w:vMerge w:val="restart"/>
            <w:tcBorders>
              <w:top w:val="single" w:sz="4" w:space="0" w:color="000000"/>
              <w:left w:val="single" w:sz="4" w:space="0" w:color="000000"/>
              <w:bottom w:val="none" w:sz="6" w:space="0" w:color="auto"/>
              <w:right w:val="single" w:sz="4" w:space="0" w:color="000000"/>
            </w:tcBorders>
          </w:tcPr>
          <w:p w14:paraId="7FD3C0D7" w14:textId="77777777" w:rsidR="00D00258" w:rsidRPr="000D3D7F" w:rsidRDefault="00D00258" w:rsidP="001E1F5A">
            <w:pPr>
              <w:rPr>
                <w:noProof/>
                <w:lang w:val="sr-Latn-ME"/>
              </w:rPr>
            </w:pPr>
            <w:r w:rsidRPr="000D3D7F">
              <w:rPr>
                <w:noProof/>
                <w:szCs w:val="22"/>
                <w:lang w:val="sr-Latn-ME"/>
              </w:rPr>
              <w:t>Poremećaji nervnog sistema</w:t>
            </w:r>
          </w:p>
        </w:tc>
        <w:tc>
          <w:tcPr>
            <w:tcW w:w="1829" w:type="dxa"/>
            <w:tcBorders>
              <w:top w:val="single" w:sz="4" w:space="0" w:color="000000"/>
              <w:left w:val="single" w:sz="4" w:space="0" w:color="000000"/>
              <w:bottom w:val="single" w:sz="4" w:space="0" w:color="000000"/>
              <w:right w:val="single" w:sz="4" w:space="0" w:color="000000"/>
            </w:tcBorders>
          </w:tcPr>
          <w:p w14:paraId="799A0232" w14:textId="77777777" w:rsidR="00D00258" w:rsidRPr="000D3D7F" w:rsidRDefault="00D00258" w:rsidP="001E1F5A">
            <w:pPr>
              <w:rPr>
                <w:noProof/>
                <w:lang w:val="sr-Latn-ME"/>
              </w:rPr>
            </w:pPr>
            <w:r w:rsidRPr="000D3D7F">
              <w:rPr>
                <w:noProof/>
                <w:szCs w:val="22"/>
                <w:lang w:val="sr-Latn-ME"/>
              </w:rPr>
              <w:t>veoma često</w:t>
            </w:r>
          </w:p>
        </w:tc>
        <w:tc>
          <w:tcPr>
            <w:tcW w:w="1377" w:type="dxa"/>
            <w:tcBorders>
              <w:top w:val="single" w:sz="4" w:space="0" w:color="000000"/>
              <w:left w:val="single" w:sz="4" w:space="0" w:color="000000"/>
              <w:bottom w:val="single" w:sz="4" w:space="0" w:color="000000"/>
              <w:right w:val="none" w:sz="6" w:space="0" w:color="auto"/>
            </w:tcBorders>
          </w:tcPr>
          <w:p w14:paraId="24532F61" w14:textId="77777777" w:rsidR="00D00258" w:rsidRPr="000D3D7F" w:rsidRDefault="00D00258" w:rsidP="001E1F5A">
            <w:pPr>
              <w:rPr>
                <w:noProof/>
                <w:lang w:val="sr-Latn-ME"/>
              </w:rPr>
            </w:pPr>
            <w:r w:rsidRPr="000D3D7F">
              <w:rPr>
                <w:noProof/>
                <w:szCs w:val="22"/>
                <w:lang w:val="sr-Latn-ME"/>
              </w:rPr>
              <w:t>neuropatije*, neuralgija*</w:t>
            </w:r>
          </w:p>
        </w:tc>
        <w:tc>
          <w:tcPr>
            <w:tcW w:w="1026" w:type="dxa"/>
            <w:tcBorders>
              <w:top w:val="single" w:sz="4" w:space="0" w:color="000000"/>
              <w:left w:val="none" w:sz="6" w:space="0" w:color="auto"/>
              <w:bottom w:val="single" w:sz="4" w:space="0" w:color="000000"/>
              <w:right w:val="none" w:sz="6" w:space="0" w:color="auto"/>
            </w:tcBorders>
          </w:tcPr>
          <w:p w14:paraId="264D4F6B" w14:textId="77777777" w:rsidR="00D00258" w:rsidRPr="000D3D7F" w:rsidRDefault="00D00258" w:rsidP="001E1F5A">
            <w:pPr>
              <w:rPr>
                <w:noProof/>
                <w:lang w:val="sr-Latn-ME"/>
              </w:rPr>
            </w:pPr>
            <w:r w:rsidRPr="000D3D7F">
              <w:rPr>
                <w:noProof/>
                <w:szCs w:val="22"/>
                <w:lang w:val="sr-Latn-ME"/>
              </w:rPr>
              <w:t>periferna</w:t>
            </w:r>
          </w:p>
        </w:tc>
        <w:tc>
          <w:tcPr>
            <w:tcW w:w="1013" w:type="dxa"/>
            <w:tcBorders>
              <w:top w:val="single" w:sz="4" w:space="0" w:color="000000"/>
              <w:left w:val="none" w:sz="6" w:space="0" w:color="auto"/>
              <w:bottom w:val="single" w:sz="4" w:space="0" w:color="000000"/>
              <w:right w:val="none" w:sz="6" w:space="0" w:color="auto"/>
            </w:tcBorders>
          </w:tcPr>
          <w:p w14:paraId="7EEC71AB" w14:textId="77777777" w:rsidR="00D00258" w:rsidRPr="000D3D7F" w:rsidRDefault="00D00258" w:rsidP="001E1F5A">
            <w:pPr>
              <w:rPr>
                <w:noProof/>
                <w:lang w:val="sr-Latn-ME"/>
              </w:rPr>
            </w:pPr>
            <w:r w:rsidRPr="000D3D7F">
              <w:rPr>
                <w:noProof/>
                <w:szCs w:val="22"/>
                <w:lang w:val="sr-Latn-ME"/>
              </w:rPr>
              <w:t>senzorna</w:t>
            </w:r>
          </w:p>
        </w:tc>
        <w:tc>
          <w:tcPr>
            <w:tcW w:w="1276" w:type="dxa"/>
            <w:tcBorders>
              <w:top w:val="single" w:sz="4" w:space="0" w:color="000000"/>
              <w:left w:val="none" w:sz="6" w:space="0" w:color="auto"/>
              <w:bottom w:val="single" w:sz="4" w:space="0" w:color="000000"/>
              <w:right w:val="none" w:sz="6" w:space="0" w:color="auto"/>
            </w:tcBorders>
          </w:tcPr>
          <w:p w14:paraId="4FD196FE" w14:textId="77777777" w:rsidR="00D00258" w:rsidRPr="000D3D7F" w:rsidRDefault="00D00258" w:rsidP="001E1F5A">
            <w:pPr>
              <w:rPr>
                <w:noProof/>
                <w:lang w:val="sr-Latn-ME"/>
              </w:rPr>
            </w:pPr>
            <w:r w:rsidRPr="000D3D7F">
              <w:rPr>
                <w:noProof/>
                <w:szCs w:val="22"/>
                <w:lang w:val="sr-Latn-ME"/>
              </w:rPr>
              <w:t>neuropatija,</w:t>
            </w:r>
          </w:p>
        </w:tc>
        <w:tc>
          <w:tcPr>
            <w:tcW w:w="1608" w:type="dxa"/>
            <w:tcBorders>
              <w:top w:val="single" w:sz="4" w:space="0" w:color="000000"/>
              <w:left w:val="none" w:sz="6" w:space="0" w:color="auto"/>
              <w:bottom w:val="single" w:sz="4" w:space="0" w:color="000000"/>
              <w:right w:val="single" w:sz="4" w:space="0" w:color="000000"/>
            </w:tcBorders>
          </w:tcPr>
          <w:p w14:paraId="369A8170" w14:textId="77777777" w:rsidR="00D00258" w:rsidRPr="000D3D7F" w:rsidRDefault="00D00258" w:rsidP="001E1F5A">
            <w:pPr>
              <w:rPr>
                <w:noProof/>
                <w:lang w:val="sr-Latn-ME"/>
              </w:rPr>
            </w:pPr>
            <w:r w:rsidRPr="000D3D7F">
              <w:rPr>
                <w:noProof/>
                <w:szCs w:val="22"/>
                <w:lang w:val="sr-Latn-ME"/>
              </w:rPr>
              <w:t>disestezija*</w:t>
            </w:r>
          </w:p>
        </w:tc>
      </w:tr>
      <w:tr w:rsidR="00D00258" w:rsidRPr="000D3D7F" w14:paraId="067DFA3C" w14:textId="77777777" w:rsidTr="00787214">
        <w:trPr>
          <w:trHeight w:val="618"/>
        </w:trPr>
        <w:tc>
          <w:tcPr>
            <w:tcW w:w="2228" w:type="dxa"/>
            <w:gridSpan w:val="3"/>
            <w:vMerge/>
            <w:tcBorders>
              <w:top w:val="nil"/>
              <w:left w:val="single" w:sz="4" w:space="0" w:color="000000"/>
              <w:bottom w:val="none" w:sz="6" w:space="0" w:color="auto"/>
              <w:right w:val="single" w:sz="4" w:space="0" w:color="000000"/>
            </w:tcBorders>
          </w:tcPr>
          <w:p w14:paraId="0B8883B1"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none" w:sz="6" w:space="0" w:color="auto"/>
              <w:right w:val="single" w:sz="4" w:space="0" w:color="000000"/>
            </w:tcBorders>
          </w:tcPr>
          <w:p w14:paraId="0F30D0B4"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none" w:sz="6" w:space="0" w:color="auto"/>
              <w:right w:val="single" w:sz="4" w:space="0" w:color="000000"/>
            </w:tcBorders>
          </w:tcPr>
          <w:p w14:paraId="5EC35418" w14:textId="311DB25E" w:rsidR="00D00258" w:rsidRPr="000D3D7F" w:rsidRDefault="00D00258" w:rsidP="001E1F5A">
            <w:pPr>
              <w:rPr>
                <w:noProof/>
                <w:lang w:val="sr-Latn-ME"/>
              </w:rPr>
            </w:pPr>
            <w:r w:rsidRPr="000D3D7F">
              <w:rPr>
                <w:noProof/>
                <w:szCs w:val="22"/>
                <w:lang w:val="sr-Latn-ME"/>
              </w:rPr>
              <w:t>motorna neuropatija*, gubitak sv</w:t>
            </w:r>
            <w:r w:rsidR="00973B2E" w:rsidRPr="000D3D7F">
              <w:rPr>
                <w:noProof/>
                <w:szCs w:val="22"/>
                <w:lang w:val="sr-Latn-ME"/>
              </w:rPr>
              <w:t>ij</w:t>
            </w:r>
            <w:r w:rsidRPr="000D3D7F">
              <w:rPr>
                <w:noProof/>
                <w:szCs w:val="22"/>
                <w:lang w:val="sr-Latn-ME"/>
              </w:rPr>
              <w:t>esti (uključujući sinkopu), vrtoglavica*, poremećaj ukusa*, letargija, glavobolja*</w:t>
            </w:r>
          </w:p>
        </w:tc>
      </w:tr>
      <w:tr w:rsidR="00D00258" w:rsidRPr="000D3D7F" w14:paraId="40BF2670" w14:textId="77777777" w:rsidTr="00787214">
        <w:trPr>
          <w:trHeight w:val="1770"/>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54369445"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CE2F701"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3A2AB655" w14:textId="77777777" w:rsidR="00D00258" w:rsidRPr="000D3D7F" w:rsidRDefault="00D00258" w:rsidP="001E1F5A">
            <w:pPr>
              <w:rPr>
                <w:noProof/>
                <w:lang w:val="sr-Latn-ME"/>
              </w:rPr>
            </w:pPr>
            <w:r w:rsidRPr="000D3D7F">
              <w:rPr>
                <w:noProof/>
                <w:szCs w:val="22"/>
                <w:lang w:val="sr-Latn-ME"/>
              </w:rPr>
              <w:t>tremor, periferna senzo-motorna neuropatija, diskinezija*, poremećaji cerebelarne koordinacije i poremećaji ravnoteže*,</w:t>
            </w:r>
          </w:p>
          <w:p w14:paraId="13A1B3F9" w14:textId="18D2E66A" w:rsidR="00D00258" w:rsidRPr="000D3D7F" w:rsidRDefault="00D00258" w:rsidP="001E1F5A">
            <w:pPr>
              <w:rPr>
                <w:noProof/>
                <w:lang w:val="sr-Latn-ME"/>
              </w:rPr>
            </w:pPr>
            <w:r w:rsidRPr="000D3D7F">
              <w:rPr>
                <w:noProof/>
                <w:szCs w:val="22"/>
                <w:lang w:val="sr-Latn-ME"/>
              </w:rPr>
              <w:t>oštećenje memorije (ne uključujući demenciju)*, encefalopatija*, sindrom reverzibilne posteriorne encefalopatije</w:t>
            </w:r>
            <w:r w:rsidRPr="000D3D7F">
              <w:rPr>
                <w:noProof/>
                <w:szCs w:val="22"/>
                <w:vertAlign w:val="superscript"/>
                <w:lang w:val="sr-Latn-ME"/>
              </w:rPr>
              <w:t>#</w:t>
            </w:r>
            <w:r w:rsidR="00C26DCA" w:rsidRPr="000D3D7F">
              <w:rPr>
                <w:noProof/>
                <w:szCs w:val="22"/>
                <w:lang w:val="sr-Latn-ME"/>
              </w:rPr>
              <w:t>,</w:t>
            </w:r>
          </w:p>
          <w:p w14:paraId="3D8209CF" w14:textId="59CC973D" w:rsidR="00D00258" w:rsidRPr="000D3D7F" w:rsidRDefault="00D00258" w:rsidP="001E1F5A">
            <w:pPr>
              <w:rPr>
                <w:noProof/>
                <w:lang w:val="sr-Latn-ME"/>
              </w:rPr>
            </w:pPr>
            <w:r w:rsidRPr="000D3D7F">
              <w:rPr>
                <w:noProof/>
                <w:szCs w:val="22"/>
                <w:lang w:val="sr-Latn-ME"/>
              </w:rPr>
              <w:t>neurotoksičnost, epileptički napadi*, postherpetična neuralgija, poremećaj govora*, sindrom nemirnih nogu, migrena, ishijalgija, poremećaj pažnje, abnormalni refleksi*, parosmija</w:t>
            </w:r>
          </w:p>
        </w:tc>
      </w:tr>
      <w:tr w:rsidR="00D00258" w:rsidRPr="000D3D7F" w14:paraId="145F1D2D" w14:textId="77777777" w:rsidTr="00787214">
        <w:trPr>
          <w:trHeight w:val="2274"/>
        </w:trPr>
        <w:tc>
          <w:tcPr>
            <w:tcW w:w="2228" w:type="dxa"/>
            <w:gridSpan w:val="3"/>
            <w:vMerge/>
            <w:tcBorders>
              <w:top w:val="nil"/>
              <w:left w:val="single" w:sz="4" w:space="0" w:color="000000"/>
              <w:bottom w:val="single" w:sz="4" w:space="0" w:color="000000"/>
              <w:right w:val="single" w:sz="4" w:space="0" w:color="000000"/>
            </w:tcBorders>
          </w:tcPr>
          <w:p w14:paraId="0032612C"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7C6773A" w14:textId="4A7841AE"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4483EE70" w14:textId="44DF01A7" w:rsidR="00D00258" w:rsidRPr="000D3D7F" w:rsidRDefault="00D00258" w:rsidP="001E1F5A">
            <w:pPr>
              <w:rPr>
                <w:noProof/>
                <w:lang w:val="sr-Latn-ME"/>
              </w:rPr>
            </w:pPr>
            <w:r w:rsidRPr="000D3D7F">
              <w:rPr>
                <w:noProof/>
                <w:szCs w:val="22"/>
                <w:lang w:val="sr-Latn-ME"/>
              </w:rPr>
              <w:t>cerebralna hemoragija*, intrakranijalna hemoragija* (uključujući subarahnoidalnu)*, edem mozga, tranzitorni</w:t>
            </w:r>
            <w:r w:rsidR="00C26DCA" w:rsidRPr="000D3D7F">
              <w:rPr>
                <w:noProof/>
                <w:szCs w:val="22"/>
                <w:lang w:val="sr-Latn-ME"/>
              </w:rPr>
              <w:t xml:space="preserve"> </w:t>
            </w:r>
            <w:r w:rsidRPr="000D3D7F">
              <w:rPr>
                <w:noProof/>
                <w:szCs w:val="22"/>
                <w:lang w:val="sr-Latn-ME"/>
              </w:rPr>
              <w:t>ishemijski atak, koma, disbalans autonomnog nervnog sistema, autonomna neuropatija, kranijalna paraliza*, paraliza*, pareza*, presinkopa, sindrom moždanog stabla, cerebrovaskularni poremećaji, lezija korena nerva, psihomotorna hiperaktivnost, kompresija kičmene moždine, nespecifični kognitivni</w:t>
            </w:r>
            <w:r w:rsidR="00C26DCA" w:rsidRPr="000D3D7F">
              <w:rPr>
                <w:noProof/>
                <w:szCs w:val="22"/>
                <w:lang w:val="sr-Latn-ME"/>
              </w:rPr>
              <w:t xml:space="preserve"> </w:t>
            </w:r>
            <w:r w:rsidRPr="000D3D7F">
              <w:rPr>
                <w:noProof/>
                <w:szCs w:val="22"/>
                <w:lang w:val="sr-Latn-ME"/>
              </w:rPr>
              <w:t>poremećaji, motorna disfunkcija, nespecifični poremećaji nervnog sistema, radikulitis, balavljenje, hipotonija</w:t>
            </w:r>
            <w:r w:rsidR="00171F0A" w:rsidRPr="000D3D7F">
              <w:rPr>
                <w:noProof/>
                <w:szCs w:val="22"/>
                <w:lang w:val="sr-Latn-ME"/>
              </w:rPr>
              <w:t xml:space="preserve">, </w:t>
            </w:r>
            <w:r w:rsidR="00171F0A" w:rsidRPr="000D3D7F">
              <w:rPr>
                <w:i/>
                <w:iCs/>
                <w:noProof/>
                <w:szCs w:val="22"/>
                <w:lang w:val="sr-Latn-ME"/>
              </w:rPr>
              <w:t>Guilliain-Barré-ov sindrom</w:t>
            </w:r>
            <w:r w:rsidR="00171F0A" w:rsidRPr="000D3D7F">
              <w:rPr>
                <w:lang w:val="sr-Latn-ME"/>
              </w:rPr>
              <w:t xml:space="preserve"> </w:t>
            </w:r>
            <w:r w:rsidR="00171F0A" w:rsidRPr="000D3D7F">
              <w:rPr>
                <w:vertAlign w:val="superscript"/>
                <w:lang w:val="sr-Latn-ME"/>
              </w:rPr>
              <w:t>#</w:t>
            </w:r>
            <w:r w:rsidR="00171F0A" w:rsidRPr="000D3D7F">
              <w:rPr>
                <w:lang w:val="sr-Latn-ME"/>
              </w:rPr>
              <w:t>, Demijelinizirajuća polineuropatija</w:t>
            </w:r>
            <w:r w:rsidR="00171F0A" w:rsidRPr="000D3D7F">
              <w:rPr>
                <w:vertAlign w:val="superscript"/>
                <w:lang w:val="sr-Latn-ME"/>
              </w:rPr>
              <w:t>#</w:t>
            </w:r>
          </w:p>
        </w:tc>
      </w:tr>
      <w:tr w:rsidR="00D00258" w:rsidRPr="000D3D7F" w14:paraId="1C29CECB" w14:textId="77777777" w:rsidTr="00787214">
        <w:trPr>
          <w:trHeight w:val="503"/>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1FEEFCB3" w14:textId="77777777" w:rsidR="00D00258" w:rsidRPr="000D3D7F" w:rsidRDefault="00D00258" w:rsidP="001E1F5A">
            <w:pPr>
              <w:rPr>
                <w:noProof/>
                <w:lang w:val="sr-Latn-ME"/>
              </w:rPr>
            </w:pPr>
            <w:r w:rsidRPr="000D3D7F">
              <w:rPr>
                <w:noProof/>
                <w:szCs w:val="22"/>
                <w:lang w:val="sr-Latn-ME"/>
              </w:rPr>
              <w:t>Poremećaji oka</w:t>
            </w:r>
          </w:p>
        </w:tc>
        <w:tc>
          <w:tcPr>
            <w:tcW w:w="1829" w:type="dxa"/>
            <w:tcBorders>
              <w:top w:val="single" w:sz="4" w:space="0" w:color="000000"/>
              <w:left w:val="single" w:sz="4" w:space="0" w:color="000000"/>
              <w:bottom w:val="single" w:sz="4" w:space="0" w:color="000000"/>
              <w:right w:val="single" w:sz="4" w:space="0" w:color="000000"/>
            </w:tcBorders>
          </w:tcPr>
          <w:p w14:paraId="2E611F18"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5EF29ACF" w14:textId="77777777" w:rsidR="00D00258" w:rsidRPr="000D3D7F" w:rsidRDefault="00D00258" w:rsidP="001E1F5A">
            <w:pPr>
              <w:rPr>
                <w:noProof/>
                <w:lang w:val="sr-Latn-ME"/>
              </w:rPr>
            </w:pPr>
            <w:r w:rsidRPr="000D3D7F">
              <w:rPr>
                <w:noProof/>
                <w:szCs w:val="22"/>
                <w:lang w:val="sr-Latn-ME"/>
              </w:rPr>
              <w:t>otok oka*, abnormalan vid*, konjunktivitis*</w:t>
            </w:r>
          </w:p>
        </w:tc>
      </w:tr>
      <w:tr w:rsidR="00D00258" w:rsidRPr="000D3D7F" w14:paraId="4865FC25" w14:textId="77777777" w:rsidTr="00787214">
        <w:trPr>
          <w:trHeight w:val="762"/>
        </w:trPr>
        <w:tc>
          <w:tcPr>
            <w:tcW w:w="2228" w:type="dxa"/>
            <w:gridSpan w:val="3"/>
            <w:vMerge/>
            <w:tcBorders>
              <w:top w:val="nil"/>
              <w:left w:val="single" w:sz="4" w:space="0" w:color="000000"/>
              <w:bottom w:val="single" w:sz="4" w:space="0" w:color="000000"/>
              <w:right w:val="single" w:sz="4" w:space="0" w:color="000000"/>
            </w:tcBorders>
          </w:tcPr>
          <w:p w14:paraId="0AEF0230"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0E33A702"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6E9ABAB6" w14:textId="1D97CB11" w:rsidR="00D00258" w:rsidRPr="000D3D7F" w:rsidRDefault="00D00258" w:rsidP="001E1F5A">
            <w:pPr>
              <w:rPr>
                <w:noProof/>
                <w:lang w:val="sr-Latn-ME"/>
              </w:rPr>
            </w:pPr>
            <w:r w:rsidRPr="000D3D7F">
              <w:rPr>
                <w:noProof/>
                <w:szCs w:val="22"/>
                <w:lang w:val="sr-Latn-ME"/>
              </w:rPr>
              <w:t>očna hemoragija*, infekcija očnog kapka*, halacion</w:t>
            </w:r>
            <w:r w:rsidR="0042442E" w:rsidRPr="000D3D7F">
              <w:rPr>
                <w:noProof/>
                <w:szCs w:val="22"/>
                <w:lang w:val="sr-Latn-ME"/>
              </w:rPr>
              <w:t>#</w:t>
            </w:r>
            <w:r w:rsidRPr="000D3D7F">
              <w:rPr>
                <w:noProof/>
                <w:szCs w:val="22"/>
                <w:lang w:val="sr-Latn-ME"/>
              </w:rPr>
              <w:t>, blefaritis</w:t>
            </w:r>
            <w:r w:rsidR="0042442E" w:rsidRPr="000D3D7F">
              <w:rPr>
                <w:noProof/>
                <w:szCs w:val="22"/>
                <w:lang w:val="sr-Latn-ME"/>
              </w:rPr>
              <w:t>#</w:t>
            </w:r>
            <w:r w:rsidRPr="000D3D7F">
              <w:rPr>
                <w:noProof/>
                <w:szCs w:val="22"/>
                <w:lang w:val="sr-Latn-ME"/>
              </w:rPr>
              <w:t>, zapaljenje oka*, diplopija, suve oči*, iritacija oka*, bol u oku,</w:t>
            </w:r>
          </w:p>
          <w:p w14:paraId="40F9C0CB" w14:textId="327E5540" w:rsidR="00D00258" w:rsidRPr="000D3D7F" w:rsidRDefault="00D00258" w:rsidP="001E1F5A">
            <w:pPr>
              <w:rPr>
                <w:noProof/>
                <w:lang w:val="sr-Latn-ME"/>
              </w:rPr>
            </w:pPr>
            <w:r w:rsidRPr="000D3D7F">
              <w:rPr>
                <w:noProof/>
                <w:szCs w:val="22"/>
                <w:lang w:val="sr-Latn-ME"/>
              </w:rPr>
              <w:t>pojačano suzenje, isc</w:t>
            </w:r>
            <w:r w:rsidR="00973B2E" w:rsidRPr="000D3D7F">
              <w:rPr>
                <w:noProof/>
                <w:szCs w:val="22"/>
                <w:lang w:val="sr-Latn-ME"/>
              </w:rPr>
              <w:t>ij</w:t>
            </w:r>
            <w:r w:rsidRPr="000D3D7F">
              <w:rPr>
                <w:noProof/>
                <w:szCs w:val="22"/>
                <w:lang w:val="sr-Latn-ME"/>
              </w:rPr>
              <w:t>edak iz oka</w:t>
            </w:r>
          </w:p>
        </w:tc>
      </w:tr>
      <w:tr w:rsidR="00D00258" w:rsidRPr="000D3D7F" w14:paraId="0F885ABD" w14:textId="77777777" w:rsidTr="00787214">
        <w:trPr>
          <w:trHeight w:val="1012"/>
        </w:trPr>
        <w:tc>
          <w:tcPr>
            <w:tcW w:w="2228" w:type="dxa"/>
            <w:gridSpan w:val="3"/>
            <w:vMerge/>
            <w:tcBorders>
              <w:top w:val="nil"/>
              <w:left w:val="single" w:sz="4" w:space="0" w:color="000000"/>
              <w:bottom w:val="single" w:sz="4" w:space="0" w:color="000000"/>
              <w:right w:val="single" w:sz="4" w:space="0" w:color="000000"/>
            </w:tcBorders>
          </w:tcPr>
          <w:p w14:paraId="0B86ED76"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52508F6C" w14:textId="05D0B361" w:rsidR="00D00258" w:rsidRPr="000D3D7F" w:rsidRDefault="00D00258" w:rsidP="001E1F5A">
            <w:pPr>
              <w:rPr>
                <w:noProof/>
                <w:lang w:val="sr-Latn-ME"/>
              </w:rPr>
            </w:pPr>
            <w:r w:rsidRPr="000D3D7F">
              <w:rPr>
                <w:noProof/>
                <w:szCs w:val="22"/>
                <w:lang w:val="sr-Latn-ME"/>
              </w:rPr>
              <w:t>r</w:t>
            </w:r>
            <w:r w:rsidR="00973B2E"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779B0DFA" w14:textId="77777777" w:rsidR="00D00258" w:rsidRPr="000D3D7F" w:rsidRDefault="00D00258" w:rsidP="001E1F5A">
            <w:pPr>
              <w:rPr>
                <w:noProof/>
                <w:lang w:val="sr-Latn-ME"/>
              </w:rPr>
            </w:pPr>
            <w:r w:rsidRPr="000D3D7F">
              <w:rPr>
                <w:noProof/>
                <w:szCs w:val="22"/>
                <w:lang w:val="sr-Latn-ME"/>
              </w:rPr>
              <w:t>kornealna lezija*, egzoftalmus, retinitis, skotom, nespecifični poremećaj oka (uključujući očni kapak), stečeno zapaljenje</w:t>
            </w:r>
          </w:p>
          <w:p w14:paraId="127437AB" w14:textId="5F21D59F" w:rsidR="00D00258" w:rsidRPr="000D3D7F" w:rsidRDefault="00D00258" w:rsidP="001E1F5A">
            <w:pPr>
              <w:rPr>
                <w:noProof/>
                <w:lang w:val="sr-Latn-ME"/>
              </w:rPr>
            </w:pPr>
            <w:r w:rsidRPr="000D3D7F">
              <w:rPr>
                <w:noProof/>
                <w:szCs w:val="22"/>
                <w:lang w:val="sr-Latn-ME"/>
              </w:rPr>
              <w:t>očnih žl</w:t>
            </w:r>
            <w:r w:rsidR="00973B2E" w:rsidRPr="000D3D7F">
              <w:rPr>
                <w:noProof/>
                <w:szCs w:val="22"/>
                <w:lang w:val="sr-Latn-ME"/>
              </w:rPr>
              <w:t>ij</w:t>
            </w:r>
            <w:r w:rsidRPr="000D3D7F">
              <w:rPr>
                <w:noProof/>
                <w:szCs w:val="22"/>
                <w:lang w:val="sr-Latn-ME"/>
              </w:rPr>
              <w:t>ezda, fotofobija, fotopsija, optička neuropatija</w:t>
            </w:r>
            <w:r w:rsidRPr="000D3D7F">
              <w:rPr>
                <w:noProof/>
                <w:szCs w:val="22"/>
                <w:vertAlign w:val="superscript"/>
                <w:lang w:val="sr-Latn-ME"/>
              </w:rPr>
              <w:t>#</w:t>
            </w:r>
            <w:r w:rsidRPr="000D3D7F">
              <w:rPr>
                <w:noProof/>
                <w:szCs w:val="22"/>
                <w:lang w:val="sr-Latn-ME"/>
              </w:rPr>
              <w:t>, različiti stepeni oštećenja vida (do pojave sl</w:t>
            </w:r>
            <w:r w:rsidR="00973B2E" w:rsidRPr="000D3D7F">
              <w:rPr>
                <w:noProof/>
                <w:szCs w:val="22"/>
                <w:lang w:val="sr-Latn-ME"/>
              </w:rPr>
              <w:t>j</w:t>
            </w:r>
            <w:r w:rsidRPr="000D3D7F">
              <w:rPr>
                <w:noProof/>
                <w:szCs w:val="22"/>
                <w:lang w:val="sr-Latn-ME"/>
              </w:rPr>
              <w:t>epila)*</w:t>
            </w:r>
          </w:p>
        </w:tc>
      </w:tr>
      <w:tr w:rsidR="00D00258" w:rsidRPr="000D3D7F" w14:paraId="5C3FD562" w14:textId="77777777" w:rsidTr="00787214">
        <w:trPr>
          <w:trHeight w:val="249"/>
        </w:trPr>
        <w:tc>
          <w:tcPr>
            <w:tcW w:w="1932" w:type="dxa"/>
            <w:vMerge w:val="restart"/>
            <w:tcBorders>
              <w:top w:val="single" w:sz="4" w:space="0" w:color="000000"/>
              <w:left w:val="single" w:sz="4" w:space="0" w:color="000000"/>
              <w:bottom w:val="single" w:sz="4" w:space="0" w:color="000000"/>
              <w:right w:val="none" w:sz="6" w:space="0" w:color="auto"/>
            </w:tcBorders>
          </w:tcPr>
          <w:p w14:paraId="7D0DC04D" w14:textId="77777777" w:rsidR="00D00258" w:rsidRPr="000D3D7F" w:rsidRDefault="00D00258" w:rsidP="001E1F5A">
            <w:pPr>
              <w:rPr>
                <w:noProof/>
                <w:lang w:val="sr-Latn-ME"/>
              </w:rPr>
            </w:pPr>
            <w:r w:rsidRPr="000D3D7F">
              <w:rPr>
                <w:noProof/>
                <w:szCs w:val="22"/>
                <w:lang w:val="sr-Latn-ME"/>
              </w:rPr>
              <w:t>Poremećaji uha labirinta</w:t>
            </w:r>
          </w:p>
        </w:tc>
        <w:tc>
          <w:tcPr>
            <w:tcW w:w="296" w:type="dxa"/>
            <w:gridSpan w:val="2"/>
            <w:vMerge w:val="restart"/>
            <w:tcBorders>
              <w:top w:val="single" w:sz="4" w:space="0" w:color="000000"/>
              <w:left w:val="none" w:sz="6" w:space="0" w:color="auto"/>
              <w:bottom w:val="single" w:sz="4" w:space="0" w:color="000000"/>
              <w:right w:val="single" w:sz="4" w:space="0" w:color="000000"/>
            </w:tcBorders>
          </w:tcPr>
          <w:p w14:paraId="13973A4B" w14:textId="300D1472" w:rsidR="00D00258" w:rsidRPr="000D3D7F" w:rsidRDefault="00973B2E" w:rsidP="001E1F5A">
            <w:pPr>
              <w:rPr>
                <w:noProof/>
                <w:lang w:val="sr-Latn-ME"/>
              </w:rPr>
            </w:pPr>
            <w:r w:rsidRPr="000D3D7F">
              <w:rPr>
                <w:noProof/>
                <w:szCs w:val="22"/>
                <w:lang w:val="sr-Latn-ME"/>
              </w:rPr>
              <w:t xml:space="preserve"> </w:t>
            </w:r>
            <w:r w:rsidR="00D00258" w:rsidRPr="000D3D7F">
              <w:rPr>
                <w:noProof/>
                <w:szCs w:val="22"/>
                <w:lang w:val="sr-Latn-ME"/>
              </w:rPr>
              <w:t>i</w:t>
            </w:r>
          </w:p>
        </w:tc>
        <w:tc>
          <w:tcPr>
            <w:tcW w:w="1829" w:type="dxa"/>
            <w:tcBorders>
              <w:top w:val="single" w:sz="4" w:space="0" w:color="000000"/>
              <w:left w:val="single" w:sz="4" w:space="0" w:color="000000"/>
              <w:bottom w:val="single" w:sz="4" w:space="0" w:color="000000"/>
              <w:right w:val="single" w:sz="4" w:space="0" w:color="000000"/>
            </w:tcBorders>
          </w:tcPr>
          <w:p w14:paraId="2BA40D83"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4FA73241" w14:textId="77777777" w:rsidR="00D00258" w:rsidRPr="000D3D7F" w:rsidRDefault="00D00258" w:rsidP="001E1F5A">
            <w:pPr>
              <w:rPr>
                <w:noProof/>
                <w:lang w:val="sr-Latn-ME"/>
              </w:rPr>
            </w:pPr>
            <w:r w:rsidRPr="000D3D7F">
              <w:rPr>
                <w:noProof/>
                <w:szCs w:val="22"/>
                <w:lang w:val="sr-Latn-ME"/>
              </w:rPr>
              <w:t>vertigo*</w:t>
            </w:r>
          </w:p>
        </w:tc>
      </w:tr>
      <w:tr w:rsidR="00D00258" w:rsidRPr="000D3D7F" w14:paraId="500ED5A9" w14:textId="77777777" w:rsidTr="00787214">
        <w:trPr>
          <w:trHeight w:val="508"/>
        </w:trPr>
        <w:tc>
          <w:tcPr>
            <w:tcW w:w="1932" w:type="dxa"/>
            <w:vMerge/>
            <w:tcBorders>
              <w:top w:val="nil"/>
              <w:left w:val="single" w:sz="4" w:space="0" w:color="000000"/>
              <w:bottom w:val="single" w:sz="4" w:space="0" w:color="000000"/>
              <w:right w:val="none" w:sz="6" w:space="0" w:color="auto"/>
            </w:tcBorders>
          </w:tcPr>
          <w:p w14:paraId="17E9EE6A" w14:textId="77777777" w:rsidR="00D00258" w:rsidRPr="000D3D7F" w:rsidRDefault="00D00258" w:rsidP="001E1F5A">
            <w:pPr>
              <w:rPr>
                <w:noProof/>
                <w:lang w:val="sr-Latn-ME"/>
              </w:rPr>
            </w:pPr>
          </w:p>
        </w:tc>
        <w:tc>
          <w:tcPr>
            <w:tcW w:w="296" w:type="dxa"/>
            <w:gridSpan w:val="2"/>
            <w:vMerge/>
            <w:tcBorders>
              <w:top w:val="nil"/>
              <w:left w:val="none" w:sz="6" w:space="0" w:color="auto"/>
              <w:bottom w:val="single" w:sz="4" w:space="0" w:color="000000"/>
              <w:right w:val="single" w:sz="4" w:space="0" w:color="000000"/>
            </w:tcBorders>
          </w:tcPr>
          <w:p w14:paraId="046C1BDF"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275F8CD"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42D6B28E" w14:textId="77777777" w:rsidR="00D00258" w:rsidRPr="000D3D7F" w:rsidRDefault="00D00258" w:rsidP="001E1F5A">
            <w:pPr>
              <w:rPr>
                <w:noProof/>
                <w:lang w:val="sr-Latn-ME"/>
              </w:rPr>
            </w:pPr>
            <w:r w:rsidRPr="000D3D7F">
              <w:rPr>
                <w:noProof/>
                <w:szCs w:val="22"/>
                <w:lang w:val="sr-Latn-ME"/>
              </w:rPr>
              <w:t>disakuzija (uključujući tinitus)*, oštećenje sluha (do pojave</w:t>
            </w:r>
          </w:p>
          <w:p w14:paraId="418CC282" w14:textId="77777777" w:rsidR="00D00258" w:rsidRPr="000D3D7F" w:rsidRDefault="00D00258" w:rsidP="001E1F5A">
            <w:pPr>
              <w:rPr>
                <w:noProof/>
                <w:lang w:val="sr-Latn-ME"/>
              </w:rPr>
            </w:pPr>
            <w:r w:rsidRPr="000D3D7F">
              <w:rPr>
                <w:noProof/>
                <w:szCs w:val="22"/>
                <w:lang w:val="sr-Latn-ME"/>
              </w:rPr>
              <w:t>gluvoće i uključujući gluvoću), nelagodnost u ušima*</w:t>
            </w:r>
          </w:p>
        </w:tc>
      </w:tr>
      <w:tr w:rsidR="00C26DCA" w:rsidRPr="000D3D7F" w14:paraId="5401F459" w14:textId="77777777" w:rsidTr="00787214">
        <w:trPr>
          <w:trHeight w:val="503"/>
        </w:trPr>
        <w:tc>
          <w:tcPr>
            <w:tcW w:w="1932" w:type="dxa"/>
            <w:vMerge/>
            <w:tcBorders>
              <w:top w:val="nil"/>
              <w:left w:val="single" w:sz="4" w:space="0" w:color="000000"/>
              <w:bottom w:val="single" w:sz="4" w:space="0" w:color="000000"/>
              <w:right w:val="none" w:sz="6" w:space="0" w:color="auto"/>
            </w:tcBorders>
          </w:tcPr>
          <w:p w14:paraId="64278577" w14:textId="77777777" w:rsidR="00C26DCA" w:rsidRPr="000D3D7F" w:rsidRDefault="00C26DCA" w:rsidP="001E1F5A">
            <w:pPr>
              <w:rPr>
                <w:noProof/>
                <w:lang w:val="sr-Latn-ME"/>
              </w:rPr>
            </w:pPr>
          </w:p>
        </w:tc>
        <w:tc>
          <w:tcPr>
            <w:tcW w:w="296" w:type="dxa"/>
            <w:gridSpan w:val="2"/>
            <w:vMerge/>
            <w:tcBorders>
              <w:top w:val="nil"/>
              <w:left w:val="none" w:sz="6" w:space="0" w:color="auto"/>
              <w:bottom w:val="single" w:sz="4" w:space="0" w:color="000000"/>
              <w:right w:val="single" w:sz="4" w:space="0" w:color="000000"/>
            </w:tcBorders>
          </w:tcPr>
          <w:p w14:paraId="5B381499" w14:textId="77777777" w:rsidR="00C26DCA" w:rsidRPr="000D3D7F" w:rsidRDefault="00C26DCA"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17B20C7" w14:textId="0B8232C1" w:rsidR="00C26DCA" w:rsidRPr="000D3D7F" w:rsidRDefault="00C26DCA"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5F54D1D0" w14:textId="239884C8" w:rsidR="00C26DCA" w:rsidRPr="000D3D7F" w:rsidRDefault="00C26DCA" w:rsidP="001E1F5A">
            <w:pPr>
              <w:rPr>
                <w:noProof/>
                <w:lang w:val="sr-Latn-ME"/>
              </w:rPr>
            </w:pPr>
            <w:r w:rsidRPr="000D3D7F">
              <w:rPr>
                <w:noProof/>
                <w:szCs w:val="22"/>
                <w:lang w:val="sr-Latn-ME"/>
              </w:rPr>
              <w:t>Hemoragija u uhu, vestibularni neuronitis, nespecifični poremećaji sluha</w:t>
            </w:r>
          </w:p>
        </w:tc>
      </w:tr>
      <w:tr w:rsidR="00D00258" w:rsidRPr="000D3D7F" w14:paraId="1844D2C0" w14:textId="77777777" w:rsidTr="00787214">
        <w:trPr>
          <w:trHeight w:val="1521"/>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6A07E7BA" w14:textId="77777777" w:rsidR="00D00258" w:rsidRPr="000D3D7F" w:rsidRDefault="00D00258" w:rsidP="001E1F5A">
            <w:pPr>
              <w:rPr>
                <w:noProof/>
                <w:lang w:val="sr-Latn-ME"/>
              </w:rPr>
            </w:pPr>
            <w:r w:rsidRPr="000D3D7F">
              <w:rPr>
                <w:noProof/>
                <w:szCs w:val="22"/>
                <w:lang w:val="sr-Latn-ME"/>
              </w:rPr>
              <w:lastRenderedPageBreak/>
              <w:t>Kardiološki</w:t>
            </w:r>
          </w:p>
          <w:p w14:paraId="4C51ABE7" w14:textId="77777777" w:rsidR="00D00258" w:rsidRPr="000D3D7F" w:rsidRDefault="00D00258" w:rsidP="001E1F5A">
            <w:pPr>
              <w:rPr>
                <w:noProof/>
                <w:lang w:val="sr-Latn-ME"/>
              </w:rPr>
            </w:pPr>
            <w:r w:rsidRPr="000D3D7F">
              <w:rPr>
                <w:noProof/>
                <w:szCs w:val="22"/>
                <w:lang w:val="sr-Latn-ME"/>
              </w:rPr>
              <w:t>poremećaji</w:t>
            </w:r>
          </w:p>
        </w:tc>
        <w:tc>
          <w:tcPr>
            <w:tcW w:w="1829" w:type="dxa"/>
            <w:tcBorders>
              <w:top w:val="single" w:sz="4" w:space="0" w:color="000000"/>
              <w:left w:val="single" w:sz="4" w:space="0" w:color="000000"/>
              <w:bottom w:val="single" w:sz="4" w:space="0" w:color="000000"/>
              <w:right w:val="single" w:sz="4" w:space="0" w:color="000000"/>
            </w:tcBorders>
          </w:tcPr>
          <w:p w14:paraId="743C94E2"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53288561" w14:textId="77777777" w:rsidR="00D00258" w:rsidRPr="000D3D7F" w:rsidRDefault="00D00258" w:rsidP="001E1F5A">
            <w:pPr>
              <w:rPr>
                <w:noProof/>
                <w:lang w:val="sr-Latn-ME"/>
              </w:rPr>
            </w:pPr>
            <w:r w:rsidRPr="000D3D7F">
              <w:rPr>
                <w:noProof/>
                <w:szCs w:val="22"/>
                <w:lang w:val="sr-Latn-ME"/>
              </w:rPr>
              <w:t>tamponada srca</w:t>
            </w:r>
            <w:r w:rsidRPr="000D3D7F">
              <w:rPr>
                <w:noProof/>
                <w:szCs w:val="22"/>
                <w:vertAlign w:val="superscript"/>
                <w:lang w:val="sr-Latn-ME"/>
              </w:rPr>
              <w:t>#</w:t>
            </w:r>
            <w:r w:rsidRPr="000D3D7F">
              <w:rPr>
                <w:noProof/>
                <w:szCs w:val="22"/>
                <w:lang w:val="sr-Latn-ME"/>
              </w:rPr>
              <w:t>, kardio-pulmonarni zastoj*, kardijalna</w:t>
            </w:r>
          </w:p>
          <w:p w14:paraId="5491CE00" w14:textId="4F8BFDEB" w:rsidR="00D00258" w:rsidRPr="000D3D7F" w:rsidRDefault="00D00258" w:rsidP="001E1F5A">
            <w:pPr>
              <w:rPr>
                <w:noProof/>
                <w:lang w:val="sr-Latn-ME"/>
              </w:rPr>
            </w:pPr>
            <w:r w:rsidRPr="000D3D7F">
              <w:rPr>
                <w:noProof/>
                <w:szCs w:val="22"/>
                <w:lang w:val="sr-Latn-ME"/>
              </w:rPr>
              <w:t>fibrilacija (uključujući atrijalnu), srčana insuficijencija (uključujući insuficijenciju l</w:t>
            </w:r>
            <w:r w:rsidR="00B96684" w:rsidRPr="000D3D7F">
              <w:rPr>
                <w:noProof/>
                <w:szCs w:val="22"/>
                <w:lang w:val="sr-Latn-ME"/>
              </w:rPr>
              <w:t>ij</w:t>
            </w:r>
            <w:r w:rsidRPr="000D3D7F">
              <w:rPr>
                <w:noProof/>
                <w:szCs w:val="22"/>
                <w:lang w:val="sr-Latn-ME"/>
              </w:rPr>
              <w:t>eve i desne komore)*, aritmije*, tahikardija*, palpitacije, angina pektoris, perikarditis (uključujući  perikardijalnu efuziju)*, kardiomiopatija*,</w:t>
            </w:r>
          </w:p>
          <w:p w14:paraId="7898C830" w14:textId="77777777" w:rsidR="00D00258" w:rsidRPr="000D3D7F" w:rsidRDefault="00D00258" w:rsidP="001E1F5A">
            <w:pPr>
              <w:rPr>
                <w:noProof/>
                <w:lang w:val="sr-Latn-ME"/>
              </w:rPr>
            </w:pPr>
            <w:r w:rsidRPr="000D3D7F">
              <w:rPr>
                <w:noProof/>
                <w:szCs w:val="22"/>
                <w:lang w:val="sr-Latn-ME"/>
              </w:rPr>
              <w:t>ventrikularna disfunkcija*, bradikardija</w:t>
            </w:r>
          </w:p>
        </w:tc>
      </w:tr>
      <w:tr w:rsidR="00D00258" w:rsidRPr="000D3D7F" w14:paraId="7846ADCE" w14:textId="77777777" w:rsidTr="00787214">
        <w:trPr>
          <w:trHeight w:val="1012"/>
        </w:trPr>
        <w:tc>
          <w:tcPr>
            <w:tcW w:w="2228" w:type="dxa"/>
            <w:gridSpan w:val="3"/>
            <w:vMerge/>
            <w:tcBorders>
              <w:top w:val="nil"/>
              <w:left w:val="single" w:sz="4" w:space="0" w:color="000000"/>
              <w:bottom w:val="single" w:sz="4" w:space="0" w:color="000000"/>
              <w:right w:val="single" w:sz="4" w:space="0" w:color="000000"/>
            </w:tcBorders>
          </w:tcPr>
          <w:p w14:paraId="2355C63A"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CA25492" w14:textId="538F90E0" w:rsidR="00D00258" w:rsidRPr="000D3D7F" w:rsidRDefault="00D00258"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6A93330A" w14:textId="77777777" w:rsidR="00D00258" w:rsidRPr="000D3D7F" w:rsidRDefault="00D00258" w:rsidP="001E1F5A">
            <w:pPr>
              <w:rPr>
                <w:noProof/>
                <w:lang w:val="sr-Latn-ME"/>
              </w:rPr>
            </w:pPr>
            <w:r w:rsidRPr="000D3D7F">
              <w:rPr>
                <w:noProof/>
                <w:szCs w:val="22"/>
                <w:lang w:val="sr-Latn-ME"/>
              </w:rPr>
              <w:t>atrijalni flater, infarkt miokarda*, atrioventrikularni blok*, kardiovaskularni poremećaji (kardiogeni šok), Torsade de</w:t>
            </w:r>
          </w:p>
          <w:p w14:paraId="2C19E3D8" w14:textId="77777777" w:rsidR="00D00258" w:rsidRPr="000D3D7F" w:rsidRDefault="00D00258" w:rsidP="001E1F5A">
            <w:pPr>
              <w:rPr>
                <w:noProof/>
                <w:lang w:val="sr-Latn-ME"/>
              </w:rPr>
            </w:pPr>
            <w:r w:rsidRPr="000D3D7F">
              <w:rPr>
                <w:noProof/>
                <w:szCs w:val="22"/>
                <w:lang w:val="sr-Latn-ME"/>
              </w:rPr>
              <w:t>pointes, nestablina angina, poremećaji srčane valvule</w:t>
            </w:r>
            <w:r w:rsidRPr="000D3D7F">
              <w:rPr>
                <w:noProof/>
                <w:szCs w:val="22"/>
                <w:vertAlign w:val="superscript"/>
                <w:lang w:val="sr-Latn-ME"/>
              </w:rPr>
              <w:t>*</w:t>
            </w:r>
            <w:r w:rsidRPr="000D3D7F">
              <w:rPr>
                <w:noProof/>
                <w:szCs w:val="22"/>
                <w:lang w:val="sr-Latn-ME"/>
              </w:rPr>
              <w:t>, insuficijancija koronarnih arterija, sinusni arest</w:t>
            </w:r>
          </w:p>
        </w:tc>
      </w:tr>
      <w:tr w:rsidR="00D00258" w:rsidRPr="000D3D7F" w14:paraId="13EE3799" w14:textId="77777777" w:rsidTr="00787214">
        <w:trPr>
          <w:trHeight w:val="249"/>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4A86BDF5" w14:textId="77777777" w:rsidR="00D00258" w:rsidRPr="000D3D7F" w:rsidRDefault="00D00258" w:rsidP="001E1F5A">
            <w:pPr>
              <w:rPr>
                <w:noProof/>
                <w:lang w:val="sr-Latn-ME"/>
              </w:rPr>
            </w:pPr>
            <w:r w:rsidRPr="000D3D7F">
              <w:rPr>
                <w:noProof/>
                <w:szCs w:val="22"/>
                <w:lang w:val="sr-Latn-ME"/>
              </w:rPr>
              <w:t>Vaskularni poremećaji</w:t>
            </w:r>
          </w:p>
        </w:tc>
        <w:tc>
          <w:tcPr>
            <w:tcW w:w="1829" w:type="dxa"/>
            <w:tcBorders>
              <w:top w:val="single" w:sz="4" w:space="0" w:color="000000"/>
              <w:left w:val="single" w:sz="4" w:space="0" w:color="000000"/>
              <w:bottom w:val="single" w:sz="4" w:space="0" w:color="000000"/>
              <w:right w:val="single" w:sz="4" w:space="0" w:color="000000"/>
            </w:tcBorders>
          </w:tcPr>
          <w:p w14:paraId="2E323F3D"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58B0DBD4" w14:textId="77777777" w:rsidR="00D00258" w:rsidRPr="000D3D7F" w:rsidRDefault="00D00258" w:rsidP="001E1F5A">
            <w:pPr>
              <w:rPr>
                <w:noProof/>
                <w:lang w:val="sr-Latn-ME"/>
              </w:rPr>
            </w:pPr>
            <w:r w:rsidRPr="000D3D7F">
              <w:rPr>
                <w:noProof/>
                <w:szCs w:val="22"/>
                <w:lang w:val="sr-Latn-ME"/>
              </w:rPr>
              <w:t>hipotenzija*, ortostatska hipotenzija, hipertenzija*</w:t>
            </w:r>
          </w:p>
        </w:tc>
      </w:tr>
      <w:tr w:rsidR="00D00258" w:rsidRPr="000D3D7F" w14:paraId="7AA806B5" w14:textId="77777777" w:rsidTr="00787214">
        <w:trPr>
          <w:trHeight w:val="1266"/>
        </w:trPr>
        <w:tc>
          <w:tcPr>
            <w:tcW w:w="2228" w:type="dxa"/>
            <w:gridSpan w:val="3"/>
            <w:vMerge/>
            <w:tcBorders>
              <w:top w:val="nil"/>
              <w:left w:val="single" w:sz="4" w:space="0" w:color="000000"/>
              <w:bottom w:val="single" w:sz="4" w:space="0" w:color="000000"/>
              <w:right w:val="single" w:sz="4" w:space="0" w:color="000000"/>
            </w:tcBorders>
          </w:tcPr>
          <w:p w14:paraId="34D7AB6B"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50D8029C"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09E8F33E" w14:textId="77777777" w:rsidR="00D00258" w:rsidRPr="000D3D7F" w:rsidRDefault="00D00258" w:rsidP="001E1F5A">
            <w:pPr>
              <w:rPr>
                <w:noProof/>
                <w:lang w:val="sr-Latn-ME"/>
              </w:rPr>
            </w:pPr>
            <w:r w:rsidRPr="000D3D7F">
              <w:rPr>
                <w:noProof/>
                <w:szCs w:val="22"/>
                <w:lang w:val="sr-Latn-ME"/>
              </w:rPr>
              <w:t>cerebrovaskularni događaj</w:t>
            </w:r>
            <w:r w:rsidRPr="000D3D7F">
              <w:rPr>
                <w:noProof/>
                <w:szCs w:val="22"/>
                <w:vertAlign w:val="superscript"/>
                <w:lang w:val="sr-Latn-ME"/>
              </w:rPr>
              <w:t>#</w:t>
            </w:r>
            <w:r w:rsidRPr="000D3D7F">
              <w:rPr>
                <w:noProof/>
                <w:szCs w:val="22"/>
                <w:lang w:val="sr-Latn-ME"/>
              </w:rPr>
              <w:t>, duboka venska tromboza*,</w:t>
            </w:r>
          </w:p>
          <w:p w14:paraId="48C83976" w14:textId="77777777" w:rsidR="00D00258" w:rsidRPr="000D3D7F" w:rsidRDefault="00D00258" w:rsidP="001E1F5A">
            <w:pPr>
              <w:rPr>
                <w:noProof/>
                <w:lang w:val="sr-Latn-ME"/>
              </w:rPr>
            </w:pPr>
            <w:r w:rsidRPr="000D3D7F">
              <w:rPr>
                <w:noProof/>
                <w:szCs w:val="22"/>
                <w:lang w:val="sr-Latn-ME"/>
              </w:rPr>
              <w:t>hemoragija*, tromboflebitis (površinski), cirkulatorni kolaps (hipovolemijski šok), flebitis, crvenilo*, hematom (uključujući</w:t>
            </w:r>
          </w:p>
          <w:p w14:paraId="44513697" w14:textId="77777777" w:rsidR="00D00258" w:rsidRPr="000D3D7F" w:rsidRDefault="00D00258" w:rsidP="001E1F5A">
            <w:pPr>
              <w:rPr>
                <w:noProof/>
                <w:lang w:val="sr-Latn-ME"/>
              </w:rPr>
            </w:pPr>
            <w:r w:rsidRPr="000D3D7F">
              <w:rPr>
                <w:noProof/>
                <w:szCs w:val="22"/>
                <w:lang w:val="sr-Latn-ME"/>
              </w:rPr>
              <w:t>perirenalni)*, loša periferna cirkulacija*, vaskulitis, hiperemija (uključujući okularnu)*</w:t>
            </w:r>
          </w:p>
        </w:tc>
      </w:tr>
      <w:tr w:rsidR="00D00258" w:rsidRPr="000D3D7F" w14:paraId="7ED370A6" w14:textId="77777777" w:rsidTr="00787214">
        <w:trPr>
          <w:trHeight w:val="503"/>
        </w:trPr>
        <w:tc>
          <w:tcPr>
            <w:tcW w:w="2228" w:type="dxa"/>
            <w:gridSpan w:val="3"/>
            <w:vMerge/>
            <w:tcBorders>
              <w:top w:val="nil"/>
              <w:left w:val="single" w:sz="4" w:space="0" w:color="000000"/>
              <w:bottom w:val="single" w:sz="4" w:space="0" w:color="000000"/>
              <w:right w:val="single" w:sz="4" w:space="0" w:color="000000"/>
            </w:tcBorders>
          </w:tcPr>
          <w:p w14:paraId="1B165560"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2D61506" w14:textId="69C1C8CB" w:rsidR="00D00258" w:rsidRPr="000D3D7F" w:rsidRDefault="00D00258"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29F15628" w14:textId="4A410D94" w:rsidR="00D00258" w:rsidRPr="000D3D7F" w:rsidRDefault="00D00258" w:rsidP="001E1F5A">
            <w:pPr>
              <w:rPr>
                <w:noProof/>
                <w:lang w:val="sr-Latn-ME"/>
              </w:rPr>
            </w:pPr>
            <w:r w:rsidRPr="000D3D7F">
              <w:rPr>
                <w:noProof/>
                <w:szCs w:val="22"/>
                <w:lang w:val="sr-Latn-ME"/>
              </w:rPr>
              <w:t>periferna embolija, limfoedem, bl</w:t>
            </w:r>
            <w:r w:rsidR="00B96684" w:rsidRPr="000D3D7F">
              <w:rPr>
                <w:noProof/>
                <w:szCs w:val="22"/>
                <w:lang w:val="sr-Latn-ME"/>
              </w:rPr>
              <w:t>j</w:t>
            </w:r>
            <w:r w:rsidRPr="000D3D7F">
              <w:rPr>
                <w:noProof/>
                <w:szCs w:val="22"/>
                <w:lang w:val="sr-Latn-ME"/>
              </w:rPr>
              <w:t>edilo, eritromegalija,</w:t>
            </w:r>
          </w:p>
          <w:p w14:paraId="0E5DAF19" w14:textId="77777777" w:rsidR="00D00258" w:rsidRPr="000D3D7F" w:rsidRDefault="00D00258" w:rsidP="001E1F5A">
            <w:pPr>
              <w:rPr>
                <w:noProof/>
                <w:szCs w:val="22"/>
                <w:lang w:val="sr-Latn-ME"/>
              </w:rPr>
            </w:pPr>
            <w:r w:rsidRPr="000D3D7F">
              <w:rPr>
                <w:noProof/>
                <w:szCs w:val="22"/>
                <w:lang w:val="sr-Latn-ME"/>
              </w:rPr>
              <w:t>vazodilatacija, diskoloracija vena, insuficijencija vena</w:t>
            </w:r>
          </w:p>
          <w:p w14:paraId="250352AB" w14:textId="77777777" w:rsidR="00787214" w:rsidRPr="000D3D7F" w:rsidRDefault="00787214" w:rsidP="001E1F5A">
            <w:pPr>
              <w:rPr>
                <w:noProof/>
                <w:szCs w:val="22"/>
                <w:lang w:val="sr-Latn-ME"/>
              </w:rPr>
            </w:pPr>
          </w:p>
          <w:p w14:paraId="2A83013E" w14:textId="7E6C8A51" w:rsidR="00787214" w:rsidRPr="000D3D7F" w:rsidRDefault="00787214" w:rsidP="001E1F5A">
            <w:pPr>
              <w:rPr>
                <w:noProof/>
                <w:lang w:val="sr-Latn-ME"/>
              </w:rPr>
            </w:pPr>
          </w:p>
        </w:tc>
      </w:tr>
      <w:tr w:rsidR="00C26DCA" w:rsidRPr="000D3D7F" w14:paraId="24B32B27" w14:textId="77777777" w:rsidTr="00787214">
        <w:trPr>
          <w:trHeight w:val="508"/>
        </w:trPr>
        <w:tc>
          <w:tcPr>
            <w:tcW w:w="2228" w:type="dxa"/>
            <w:gridSpan w:val="3"/>
            <w:vMerge w:val="restart"/>
            <w:tcBorders>
              <w:top w:val="single" w:sz="4" w:space="0" w:color="000000"/>
              <w:left w:val="single" w:sz="4" w:space="0" w:color="000000"/>
              <w:right w:val="single" w:sz="4" w:space="0" w:color="000000"/>
            </w:tcBorders>
          </w:tcPr>
          <w:p w14:paraId="6C9E1E8A" w14:textId="77777777" w:rsidR="00C26DCA" w:rsidRPr="000D3D7F" w:rsidRDefault="00C26DCA" w:rsidP="001E1F5A">
            <w:pPr>
              <w:rPr>
                <w:noProof/>
                <w:lang w:val="sr-Latn-ME"/>
              </w:rPr>
            </w:pPr>
            <w:r w:rsidRPr="000D3D7F">
              <w:rPr>
                <w:noProof/>
                <w:szCs w:val="22"/>
                <w:lang w:val="sr-Latn-ME"/>
              </w:rPr>
              <w:t>Respiratorni,</w:t>
            </w:r>
          </w:p>
          <w:p w14:paraId="018015DE" w14:textId="03BBEF8C" w:rsidR="00C26DCA" w:rsidRPr="000D3D7F" w:rsidRDefault="00C26DCA" w:rsidP="001E1F5A">
            <w:pPr>
              <w:rPr>
                <w:noProof/>
                <w:lang w:val="sr-Latn-ME"/>
              </w:rPr>
            </w:pPr>
            <w:r w:rsidRPr="000D3D7F">
              <w:rPr>
                <w:noProof/>
                <w:szCs w:val="22"/>
                <w:lang w:val="sr-Latn-ME"/>
              </w:rPr>
              <w:t>torakalni i medijastinalni poremećaji</w:t>
            </w:r>
          </w:p>
          <w:p w14:paraId="7E58253A" w14:textId="0BBF9EE4" w:rsidR="00C26DCA" w:rsidRPr="000D3D7F" w:rsidRDefault="00C26DCA"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6990C2C" w14:textId="77777777" w:rsidR="00C26DCA" w:rsidRPr="000D3D7F" w:rsidRDefault="00C26DCA"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0874AF42" w14:textId="77777777" w:rsidR="00C26DCA" w:rsidRPr="000D3D7F" w:rsidRDefault="00C26DCA" w:rsidP="001E1F5A">
            <w:pPr>
              <w:rPr>
                <w:noProof/>
                <w:lang w:val="sr-Latn-ME"/>
              </w:rPr>
            </w:pPr>
            <w:r w:rsidRPr="000D3D7F">
              <w:rPr>
                <w:noProof/>
                <w:szCs w:val="22"/>
                <w:lang w:val="sr-Latn-ME"/>
              </w:rPr>
              <w:t>dispnea*, epistaksa, infekcija gornjeg/donjeg respiratornog</w:t>
            </w:r>
          </w:p>
          <w:p w14:paraId="7F741E16" w14:textId="77777777" w:rsidR="00C26DCA" w:rsidRPr="000D3D7F" w:rsidRDefault="00C26DCA" w:rsidP="001E1F5A">
            <w:pPr>
              <w:rPr>
                <w:noProof/>
                <w:lang w:val="sr-Latn-ME"/>
              </w:rPr>
            </w:pPr>
            <w:r w:rsidRPr="000D3D7F">
              <w:rPr>
                <w:noProof/>
                <w:szCs w:val="22"/>
                <w:lang w:val="sr-Latn-ME"/>
              </w:rPr>
              <w:t>trakta*, kašalj*</w:t>
            </w:r>
          </w:p>
        </w:tc>
      </w:tr>
      <w:tr w:rsidR="00C26DCA" w:rsidRPr="000D3D7F" w14:paraId="0C00CEAD" w14:textId="77777777" w:rsidTr="00787214">
        <w:trPr>
          <w:trHeight w:val="1266"/>
        </w:trPr>
        <w:tc>
          <w:tcPr>
            <w:tcW w:w="2228" w:type="dxa"/>
            <w:gridSpan w:val="3"/>
            <w:vMerge/>
            <w:tcBorders>
              <w:left w:val="single" w:sz="4" w:space="0" w:color="000000"/>
              <w:bottom w:val="single" w:sz="4" w:space="0" w:color="000000"/>
              <w:right w:val="single" w:sz="4" w:space="0" w:color="000000"/>
            </w:tcBorders>
          </w:tcPr>
          <w:p w14:paraId="620BDE47" w14:textId="77777777" w:rsidR="00C26DCA" w:rsidRPr="000D3D7F" w:rsidRDefault="00C26DCA"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C5B3D67" w14:textId="77777777" w:rsidR="00C26DCA" w:rsidRPr="000D3D7F" w:rsidRDefault="00C26DCA"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534FA309" w14:textId="77777777" w:rsidR="00C26DCA" w:rsidRPr="000D3D7F" w:rsidRDefault="00C26DCA" w:rsidP="001E1F5A">
            <w:pPr>
              <w:rPr>
                <w:noProof/>
                <w:lang w:val="sr-Latn-ME"/>
              </w:rPr>
            </w:pPr>
            <w:r w:rsidRPr="000D3D7F">
              <w:rPr>
                <w:noProof/>
                <w:szCs w:val="22"/>
                <w:lang w:val="sr-Latn-ME"/>
              </w:rPr>
              <w:t>plućna embolija, pleuralna efuzija, edem pluća (uključujući</w:t>
            </w:r>
          </w:p>
          <w:p w14:paraId="312E6B9C" w14:textId="77777777" w:rsidR="00C26DCA" w:rsidRPr="000D3D7F" w:rsidRDefault="00C26DCA" w:rsidP="001E1F5A">
            <w:pPr>
              <w:rPr>
                <w:noProof/>
                <w:lang w:val="sr-Latn-ME"/>
              </w:rPr>
            </w:pPr>
            <w:r w:rsidRPr="000D3D7F">
              <w:rPr>
                <w:noProof/>
                <w:szCs w:val="22"/>
                <w:lang w:val="sr-Latn-ME"/>
              </w:rPr>
              <w:t>akutni), plućna alveolarna hemoragija</w:t>
            </w:r>
            <w:r w:rsidRPr="000D3D7F">
              <w:rPr>
                <w:noProof/>
                <w:szCs w:val="22"/>
                <w:vertAlign w:val="superscript"/>
                <w:lang w:val="sr-Latn-ME"/>
              </w:rPr>
              <w:t>#</w:t>
            </w:r>
            <w:r w:rsidRPr="000D3D7F">
              <w:rPr>
                <w:noProof/>
                <w:szCs w:val="22"/>
                <w:lang w:val="sr-Latn-ME"/>
              </w:rPr>
              <w:t>, bronhospazam, hronična obstruktivna bolest pluća*, hipoksemija*, kongestija respiratornog trakta*, hipoksija, pleuritis*, štucanje, rinoreja,</w:t>
            </w:r>
          </w:p>
          <w:p w14:paraId="5CE30341" w14:textId="77777777" w:rsidR="00C26DCA" w:rsidRPr="000D3D7F" w:rsidRDefault="00C26DCA" w:rsidP="001E1F5A">
            <w:pPr>
              <w:rPr>
                <w:noProof/>
                <w:lang w:val="sr-Latn-ME"/>
              </w:rPr>
            </w:pPr>
            <w:r w:rsidRPr="000D3D7F">
              <w:rPr>
                <w:noProof/>
                <w:szCs w:val="22"/>
                <w:lang w:val="sr-Latn-ME"/>
              </w:rPr>
              <w:t>disfonija, vizing</w:t>
            </w:r>
          </w:p>
        </w:tc>
      </w:tr>
      <w:tr w:rsidR="00D00258" w:rsidRPr="000D3D7F" w14:paraId="179A803F" w14:textId="77777777" w:rsidTr="00787214">
        <w:trPr>
          <w:trHeight w:val="1770"/>
        </w:trPr>
        <w:tc>
          <w:tcPr>
            <w:tcW w:w="2228" w:type="dxa"/>
            <w:gridSpan w:val="3"/>
            <w:tcBorders>
              <w:top w:val="single" w:sz="4" w:space="0" w:color="000000"/>
              <w:left w:val="single" w:sz="4" w:space="0" w:color="000000"/>
              <w:bottom w:val="single" w:sz="4" w:space="0" w:color="000000"/>
              <w:right w:val="single" w:sz="4" w:space="0" w:color="000000"/>
            </w:tcBorders>
          </w:tcPr>
          <w:p w14:paraId="4353B000"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C93CCE8" w14:textId="329374F6" w:rsidR="00D00258" w:rsidRPr="000D3D7F" w:rsidRDefault="00D00258"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4D28E979" w14:textId="77777777" w:rsidR="00D00258" w:rsidRPr="000D3D7F" w:rsidRDefault="00D00258" w:rsidP="001E1F5A">
            <w:pPr>
              <w:rPr>
                <w:noProof/>
                <w:lang w:val="sr-Latn-ME"/>
              </w:rPr>
            </w:pPr>
            <w:r w:rsidRPr="000D3D7F">
              <w:rPr>
                <w:noProof/>
                <w:szCs w:val="22"/>
                <w:lang w:val="sr-Latn-ME"/>
              </w:rPr>
              <w:t>respiratorni zastoj, akutni respiratorni disters sindrom, apnea, pneumotoraks, atelektaza, plućna hipertenzija, hemoptizija,</w:t>
            </w:r>
          </w:p>
          <w:p w14:paraId="3591B747" w14:textId="77777777" w:rsidR="00D00258" w:rsidRPr="000D3D7F" w:rsidRDefault="00D00258" w:rsidP="001E1F5A">
            <w:pPr>
              <w:rPr>
                <w:noProof/>
                <w:lang w:val="sr-Latn-ME"/>
              </w:rPr>
            </w:pPr>
            <w:r w:rsidRPr="000D3D7F">
              <w:rPr>
                <w:noProof/>
                <w:szCs w:val="22"/>
                <w:lang w:val="sr-Latn-ME"/>
              </w:rPr>
              <w:t>hiperventilacija, ortopneja, pneumonija, respiratorna alkaloza, tahipnea, pulmonarna fibroza, bronhijalni poremećaji*, hipokapnija*, intersticijalna bolest pluća, infiltracija pluća, upala grla, suvo grlo, povećana sekrecija iz gornijh disajnih puteva,</w:t>
            </w:r>
          </w:p>
          <w:p w14:paraId="3230DCFC" w14:textId="77777777" w:rsidR="00D00258" w:rsidRPr="000D3D7F" w:rsidRDefault="00D00258" w:rsidP="001E1F5A">
            <w:pPr>
              <w:rPr>
                <w:noProof/>
                <w:lang w:val="sr-Latn-ME"/>
              </w:rPr>
            </w:pPr>
            <w:r w:rsidRPr="000D3D7F">
              <w:rPr>
                <w:noProof/>
                <w:szCs w:val="22"/>
                <w:lang w:val="sr-Latn-ME"/>
              </w:rPr>
              <w:t>iritacija grla, sindrom kašlja gornjih respiratornih puteva</w:t>
            </w:r>
          </w:p>
        </w:tc>
      </w:tr>
      <w:tr w:rsidR="00D00258" w:rsidRPr="000D3D7F" w14:paraId="0FFEAA82" w14:textId="77777777" w:rsidTr="00787214">
        <w:trPr>
          <w:trHeight w:val="249"/>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1D36BC6B" w14:textId="77777777" w:rsidR="00D00258" w:rsidRPr="000D3D7F" w:rsidRDefault="00D00258" w:rsidP="001E1F5A">
            <w:pPr>
              <w:rPr>
                <w:noProof/>
                <w:lang w:val="sr-Latn-ME"/>
              </w:rPr>
            </w:pPr>
            <w:r w:rsidRPr="000D3D7F">
              <w:rPr>
                <w:noProof/>
                <w:szCs w:val="22"/>
                <w:lang w:val="sr-Latn-ME"/>
              </w:rPr>
              <w:t>Gastrointestinalni poremećaji</w:t>
            </w:r>
          </w:p>
        </w:tc>
        <w:tc>
          <w:tcPr>
            <w:tcW w:w="1829" w:type="dxa"/>
            <w:tcBorders>
              <w:top w:val="single" w:sz="4" w:space="0" w:color="000000"/>
              <w:left w:val="single" w:sz="4" w:space="0" w:color="000000"/>
              <w:bottom w:val="single" w:sz="4" w:space="0" w:color="000000"/>
              <w:right w:val="single" w:sz="4" w:space="0" w:color="000000"/>
            </w:tcBorders>
          </w:tcPr>
          <w:p w14:paraId="57E70BF1" w14:textId="77777777" w:rsidR="00D00258" w:rsidRPr="000D3D7F" w:rsidRDefault="00D00258" w:rsidP="001E1F5A">
            <w:pPr>
              <w:rPr>
                <w:noProof/>
                <w:lang w:val="sr-Latn-ME"/>
              </w:rPr>
            </w:pPr>
            <w:r w:rsidRPr="000D3D7F">
              <w:rPr>
                <w:noProof/>
                <w:szCs w:val="22"/>
                <w:lang w:val="sr-Latn-ME"/>
              </w:rPr>
              <w:t>veoma 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55C209CC" w14:textId="77777777" w:rsidR="00D00258" w:rsidRPr="000D3D7F" w:rsidRDefault="00D00258" w:rsidP="001E1F5A">
            <w:pPr>
              <w:rPr>
                <w:noProof/>
                <w:lang w:val="sr-Latn-ME"/>
              </w:rPr>
            </w:pPr>
            <w:r w:rsidRPr="000D3D7F">
              <w:rPr>
                <w:noProof/>
                <w:szCs w:val="22"/>
                <w:lang w:val="sr-Latn-ME"/>
              </w:rPr>
              <w:t>simptomi mučnine i povraćanja*, dijareja*, konstipacija</w:t>
            </w:r>
          </w:p>
        </w:tc>
      </w:tr>
      <w:tr w:rsidR="00D00258" w:rsidRPr="000D3D7F" w14:paraId="5BE7C004" w14:textId="77777777" w:rsidTr="00787214">
        <w:trPr>
          <w:trHeight w:val="1012"/>
        </w:trPr>
        <w:tc>
          <w:tcPr>
            <w:tcW w:w="2228" w:type="dxa"/>
            <w:gridSpan w:val="3"/>
            <w:vMerge/>
            <w:tcBorders>
              <w:top w:val="nil"/>
              <w:left w:val="single" w:sz="4" w:space="0" w:color="000000"/>
              <w:bottom w:val="single" w:sz="4" w:space="0" w:color="000000"/>
              <w:right w:val="single" w:sz="4" w:space="0" w:color="000000"/>
            </w:tcBorders>
          </w:tcPr>
          <w:p w14:paraId="37DFF712"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6165012"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410A96E9" w14:textId="77777777" w:rsidR="00D00258" w:rsidRPr="000D3D7F" w:rsidRDefault="00D00258" w:rsidP="001E1F5A">
            <w:pPr>
              <w:rPr>
                <w:noProof/>
                <w:lang w:val="sr-Latn-ME"/>
              </w:rPr>
            </w:pPr>
            <w:r w:rsidRPr="000D3D7F">
              <w:rPr>
                <w:noProof/>
                <w:szCs w:val="22"/>
                <w:lang w:val="sr-Latn-ME"/>
              </w:rPr>
              <w:t>gastrointestinalna hemoragija (uključujući mukoznu)*,</w:t>
            </w:r>
          </w:p>
          <w:p w14:paraId="4E4C305A" w14:textId="77777777" w:rsidR="00D00258" w:rsidRPr="000D3D7F" w:rsidRDefault="00D00258" w:rsidP="001E1F5A">
            <w:pPr>
              <w:rPr>
                <w:noProof/>
                <w:lang w:val="sr-Latn-ME"/>
              </w:rPr>
            </w:pPr>
            <w:r w:rsidRPr="000D3D7F">
              <w:rPr>
                <w:noProof/>
                <w:szCs w:val="22"/>
                <w:lang w:val="sr-Latn-ME"/>
              </w:rPr>
              <w:t>dispepsija, stomatitis*, abdominalna distenzija, orofaringealni bol*, abdominalni bol (uključujući gastrointestinalni bol i bol u slezini)*, oralni poremećaji*, nadimanje</w:t>
            </w:r>
          </w:p>
        </w:tc>
      </w:tr>
      <w:tr w:rsidR="00D00258" w:rsidRPr="000D3D7F" w14:paraId="622AD813" w14:textId="77777777" w:rsidTr="00787214">
        <w:trPr>
          <w:trHeight w:val="2279"/>
        </w:trPr>
        <w:tc>
          <w:tcPr>
            <w:tcW w:w="2228" w:type="dxa"/>
            <w:gridSpan w:val="3"/>
            <w:vMerge/>
            <w:tcBorders>
              <w:top w:val="nil"/>
              <w:left w:val="single" w:sz="4" w:space="0" w:color="000000"/>
              <w:bottom w:val="single" w:sz="4" w:space="0" w:color="000000"/>
              <w:right w:val="single" w:sz="4" w:space="0" w:color="000000"/>
            </w:tcBorders>
          </w:tcPr>
          <w:p w14:paraId="64BE32B1"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6FAB96F3"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481B80D9" w14:textId="7AF4DAB7" w:rsidR="00D00258" w:rsidRPr="000D3D7F" w:rsidRDefault="00D00258" w:rsidP="001E1F5A">
            <w:pPr>
              <w:rPr>
                <w:noProof/>
                <w:lang w:val="sr-Latn-ME"/>
              </w:rPr>
            </w:pPr>
            <w:r w:rsidRPr="000D3D7F">
              <w:rPr>
                <w:noProof/>
                <w:szCs w:val="22"/>
                <w:lang w:val="sr-Latn-ME"/>
              </w:rPr>
              <w:t>pankreatitis (uključujući hronični)*, hematemeza, oticanje</w:t>
            </w:r>
            <w:r w:rsidR="00C26DCA" w:rsidRPr="000D3D7F">
              <w:rPr>
                <w:noProof/>
                <w:szCs w:val="22"/>
                <w:lang w:val="sr-Latn-ME"/>
              </w:rPr>
              <w:t xml:space="preserve"> </w:t>
            </w:r>
            <w:r w:rsidRPr="000D3D7F">
              <w:rPr>
                <w:noProof/>
                <w:szCs w:val="22"/>
                <w:lang w:val="sr-Latn-ME"/>
              </w:rPr>
              <w:t>usana*, gastrointestinalna opstrukcija (uključujući ileus), nelagodost u abdomenu, oralne ulceracije*, enteritis*, gastritis*, gingivalno krvarenje, gastroezofagealni refluks*, kolitis (uključujući kolitis izazvan klostridijum dificile)*, ishemijski kolitis</w:t>
            </w:r>
            <w:r w:rsidRPr="000D3D7F">
              <w:rPr>
                <w:noProof/>
                <w:szCs w:val="22"/>
                <w:vertAlign w:val="superscript"/>
                <w:lang w:val="sr-Latn-ME"/>
              </w:rPr>
              <w:t>#</w:t>
            </w:r>
            <w:r w:rsidRPr="000D3D7F">
              <w:rPr>
                <w:noProof/>
                <w:szCs w:val="22"/>
                <w:lang w:val="sr-Latn-ME"/>
              </w:rPr>
              <w:t>, gastrointestinalna inflamacija*, disfagija, sindrom iritabilnog kolona, nespecifični gastrointestinalini poremećaj,obložen jezik, poremećaj motiliteta</w:t>
            </w:r>
            <w:r w:rsidR="00C26DCA" w:rsidRPr="000D3D7F">
              <w:rPr>
                <w:noProof/>
                <w:szCs w:val="22"/>
                <w:lang w:val="sr-Latn-ME"/>
              </w:rPr>
              <w:t xml:space="preserve"> </w:t>
            </w:r>
            <w:r w:rsidRPr="000D3D7F">
              <w:rPr>
                <w:noProof/>
                <w:szCs w:val="22"/>
                <w:lang w:val="sr-Latn-ME"/>
              </w:rPr>
              <w:t>gastrointestinalnog trakta*, poremećaj pljuvačnih žl</w:t>
            </w:r>
            <w:r w:rsidR="00B96684" w:rsidRPr="000D3D7F">
              <w:rPr>
                <w:noProof/>
                <w:szCs w:val="22"/>
                <w:lang w:val="sr-Latn-ME"/>
              </w:rPr>
              <w:t>ij</w:t>
            </w:r>
            <w:r w:rsidRPr="000D3D7F">
              <w:rPr>
                <w:noProof/>
                <w:szCs w:val="22"/>
                <w:lang w:val="sr-Latn-ME"/>
              </w:rPr>
              <w:t>ezda</w:t>
            </w:r>
          </w:p>
        </w:tc>
      </w:tr>
      <w:tr w:rsidR="00D00258" w:rsidRPr="000D3D7F" w14:paraId="07287974" w14:textId="77777777" w:rsidTr="00787214">
        <w:trPr>
          <w:trHeight w:val="1516"/>
        </w:trPr>
        <w:tc>
          <w:tcPr>
            <w:tcW w:w="2228" w:type="dxa"/>
            <w:gridSpan w:val="3"/>
            <w:vMerge/>
            <w:tcBorders>
              <w:top w:val="nil"/>
              <w:left w:val="single" w:sz="4" w:space="0" w:color="000000"/>
              <w:bottom w:val="single" w:sz="4" w:space="0" w:color="000000"/>
              <w:right w:val="single" w:sz="4" w:space="0" w:color="000000"/>
            </w:tcBorders>
          </w:tcPr>
          <w:p w14:paraId="20B0498A"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601F78B" w14:textId="6FBE9DEB" w:rsidR="00D00258" w:rsidRPr="000D3D7F" w:rsidRDefault="00D00258"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3482631E" w14:textId="77777777" w:rsidR="00D00258" w:rsidRPr="000D3D7F" w:rsidRDefault="00D00258" w:rsidP="001E1F5A">
            <w:pPr>
              <w:rPr>
                <w:noProof/>
                <w:lang w:val="sr-Latn-ME"/>
              </w:rPr>
            </w:pPr>
            <w:r w:rsidRPr="000D3D7F">
              <w:rPr>
                <w:noProof/>
                <w:szCs w:val="22"/>
                <w:lang w:val="sr-Latn-ME"/>
              </w:rPr>
              <w:t>akutni pankreatitis, peritonitis*, edem jezika*, ascites, ezofagitis, heilitis, fekalna ikontinencija, atonija analnog</w:t>
            </w:r>
          </w:p>
          <w:p w14:paraId="092144A7" w14:textId="7EBD42BE" w:rsidR="00D00258" w:rsidRPr="000D3D7F" w:rsidRDefault="00D00258" w:rsidP="001E1F5A">
            <w:pPr>
              <w:rPr>
                <w:noProof/>
                <w:lang w:val="sr-Latn-ME"/>
              </w:rPr>
            </w:pPr>
            <w:r w:rsidRPr="000D3D7F">
              <w:rPr>
                <w:noProof/>
                <w:szCs w:val="22"/>
                <w:lang w:val="sr-Latn-ME"/>
              </w:rPr>
              <w:t>sfinktera, fekalom*, gastrointestinalna ulceracija i perforacija*, gingivalna hipertrofija, megakolon, rektalno pražnjenje,</w:t>
            </w:r>
          </w:p>
          <w:p w14:paraId="5C536A79" w14:textId="27234C39" w:rsidR="00D00258" w:rsidRPr="000D3D7F" w:rsidRDefault="00D00258" w:rsidP="001E1F5A">
            <w:pPr>
              <w:rPr>
                <w:noProof/>
                <w:lang w:val="sr-Latn-ME"/>
              </w:rPr>
            </w:pPr>
            <w:r w:rsidRPr="000D3D7F">
              <w:rPr>
                <w:noProof/>
                <w:szCs w:val="22"/>
                <w:lang w:val="sr-Latn-ME"/>
              </w:rPr>
              <w:t>orofaringealni plikovi*, bolovi u usnama, peridontitis, analne fisure, izm</w:t>
            </w:r>
            <w:r w:rsidR="00B96684" w:rsidRPr="000D3D7F">
              <w:rPr>
                <w:noProof/>
                <w:szCs w:val="22"/>
                <w:lang w:val="sr-Latn-ME"/>
              </w:rPr>
              <w:t>j</w:t>
            </w:r>
            <w:r w:rsidRPr="000D3D7F">
              <w:rPr>
                <w:noProof/>
                <w:szCs w:val="22"/>
                <w:lang w:val="sr-Latn-ME"/>
              </w:rPr>
              <w:t>ena cr</w:t>
            </w:r>
            <w:r w:rsidR="00B96684" w:rsidRPr="000D3D7F">
              <w:rPr>
                <w:noProof/>
                <w:szCs w:val="22"/>
                <w:lang w:val="sr-Latn-ME"/>
              </w:rPr>
              <w:t>ij</w:t>
            </w:r>
            <w:r w:rsidRPr="000D3D7F">
              <w:rPr>
                <w:noProof/>
                <w:szCs w:val="22"/>
                <w:lang w:val="sr-Latn-ME"/>
              </w:rPr>
              <w:t>evne dinamike, proktalgija, abnormalni feces</w:t>
            </w:r>
          </w:p>
        </w:tc>
      </w:tr>
      <w:tr w:rsidR="00D00258" w:rsidRPr="000D3D7F" w14:paraId="1FB7124B" w14:textId="77777777" w:rsidTr="00787214">
        <w:trPr>
          <w:trHeight w:val="253"/>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36C81448" w14:textId="77777777" w:rsidR="00D00258" w:rsidRPr="000D3D7F" w:rsidRDefault="00D00258" w:rsidP="001E1F5A">
            <w:pPr>
              <w:rPr>
                <w:noProof/>
                <w:lang w:val="sr-Latn-ME"/>
              </w:rPr>
            </w:pPr>
            <w:r w:rsidRPr="000D3D7F">
              <w:rPr>
                <w:noProof/>
                <w:szCs w:val="22"/>
                <w:lang w:val="sr-Latn-ME"/>
              </w:rPr>
              <w:lastRenderedPageBreak/>
              <w:t>Hepatobilijarni</w:t>
            </w:r>
          </w:p>
          <w:p w14:paraId="34BEF063" w14:textId="77777777" w:rsidR="00D00258" w:rsidRPr="000D3D7F" w:rsidRDefault="00D00258" w:rsidP="001E1F5A">
            <w:pPr>
              <w:rPr>
                <w:noProof/>
                <w:lang w:val="sr-Latn-ME"/>
              </w:rPr>
            </w:pPr>
            <w:r w:rsidRPr="000D3D7F">
              <w:rPr>
                <w:noProof/>
                <w:szCs w:val="22"/>
                <w:lang w:val="sr-Latn-ME"/>
              </w:rPr>
              <w:t>poremećaji</w:t>
            </w:r>
          </w:p>
        </w:tc>
        <w:tc>
          <w:tcPr>
            <w:tcW w:w="1829" w:type="dxa"/>
            <w:tcBorders>
              <w:top w:val="single" w:sz="4" w:space="0" w:color="000000"/>
              <w:left w:val="single" w:sz="4" w:space="0" w:color="000000"/>
              <w:bottom w:val="single" w:sz="4" w:space="0" w:color="000000"/>
              <w:right w:val="single" w:sz="4" w:space="0" w:color="000000"/>
            </w:tcBorders>
          </w:tcPr>
          <w:p w14:paraId="1C18E4D4"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020F4AD9" w14:textId="77777777" w:rsidR="00D00258" w:rsidRPr="000D3D7F" w:rsidRDefault="00D00258" w:rsidP="001E1F5A">
            <w:pPr>
              <w:rPr>
                <w:noProof/>
                <w:lang w:val="sr-Latn-ME"/>
              </w:rPr>
            </w:pPr>
            <w:r w:rsidRPr="000D3D7F">
              <w:rPr>
                <w:noProof/>
                <w:szCs w:val="22"/>
                <w:lang w:val="sr-Latn-ME"/>
              </w:rPr>
              <w:t>abnormalnost enzima jetre*</w:t>
            </w:r>
          </w:p>
        </w:tc>
      </w:tr>
      <w:tr w:rsidR="00D00258" w:rsidRPr="000D3D7F" w14:paraId="02FD8A26" w14:textId="77777777" w:rsidTr="00787214">
        <w:trPr>
          <w:trHeight w:val="503"/>
        </w:trPr>
        <w:tc>
          <w:tcPr>
            <w:tcW w:w="2228" w:type="dxa"/>
            <w:gridSpan w:val="3"/>
            <w:vMerge/>
            <w:tcBorders>
              <w:top w:val="nil"/>
              <w:left w:val="single" w:sz="4" w:space="0" w:color="000000"/>
              <w:bottom w:val="single" w:sz="4" w:space="0" w:color="000000"/>
              <w:right w:val="single" w:sz="4" w:space="0" w:color="000000"/>
            </w:tcBorders>
          </w:tcPr>
          <w:p w14:paraId="4D458836"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F875C9A"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06F869BF" w14:textId="77777777" w:rsidR="00D00258" w:rsidRPr="000D3D7F" w:rsidRDefault="00D00258" w:rsidP="001E1F5A">
            <w:pPr>
              <w:rPr>
                <w:noProof/>
                <w:lang w:val="sr-Latn-ME"/>
              </w:rPr>
            </w:pPr>
            <w:r w:rsidRPr="000D3D7F">
              <w:rPr>
                <w:noProof/>
                <w:szCs w:val="22"/>
                <w:lang w:val="sr-Latn-ME"/>
              </w:rPr>
              <w:t>hepatotoksičnost (poremećaji jetre), hepatitis*, holestaza</w:t>
            </w:r>
          </w:p>
        </w:tc>
      </w:tr>
      <w:tr w:rsidR="00D00258" w:rsidRPr="000D3D7F" w14:paraId="1B28FA36" w14:textId="77777777" w:rsidTr="00787214">
        <w:trPr>
          <w:trHeight w:val="508"/>
        </w:trPr>
        <w:tc>
          <w:tcPr>
            <w:tcW w:w="2228" w:type="dxa"/>
            <w:gridSpan w:val="3"/>
            <w:vMerge/>
            <w:tcBorders>
              <w:top w:val="nil"/>
              <w:left w:val="single" w:sz="4" w:space="0" w:color="000000"/>
              <w:bottom w:val="single" w:sz="4" w:space="0" w:color="000000"/>
              <w:right w:val="single" w:sz="4" w:space="0" w:color="000000"/>
            </w:tcBorders>
          </w:tcPr>
          <w:p w14:paraId="53A98B67"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A55BFB8" w14:textId="1BC89596" w:rsidR="00D00258" w:rsidRPr="000D3D7F" w:rsidRDefault="00D00258" w:rsidP="001E1F5A">
            <w:pPr>
              <w:rPr>
                <w:noProof/>
                <w:lang w:val="sr-Latn-ME"/>
              </w:rPr>
            </w:pPr>
            <w:r w:rsidRPr="000D3D7F">
              <w:rPr>
                <w:noProof/>
                <w:szCs w:val="22"/>
                <w:lang w:val="sr-Latn-ME"/>
              </w:rPr>
              <w:t>r</w:t>
            </w:r>
            <w:r w:rsidR="00B96684"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36A8C365" w14:textId="77777777" w:rsidR="00D00258" w:rsidRPr="000D3D7F" w:rsidRDefault="00D00258" w:rsidP="001E1F5A">
            <w:pPr>
              <w:rPr>
                <w:noProof/>
                <w:lang w:val="sr-Latn-ME"/>
              </w:rPr>
            </w:pPr>
            <w:r w:rsidRPr="000D3D7F">
              <w:rPr>
                <w:noProof/>
                <w:szCs w:val="22"/>
                <w:lang w:val="sr-Latn-ME"/>
              </w:rPr>
              <w:t>insuficijencija jetre, hepatomegalija, Budd-Chiari sindrom,</w:t>
            </w:r>
          </w:p>
          <w:p w14:paraId="035CD376" w14:textId="77777777" w:rsidR="00D00258" w:rsidRPr="000D3D7F" w:rsidRDefault="00D00258" w:rsidP="001E1F5A">
            <w:pPr>
              <w:rPr>
                <w:noProof/>
                <w:lang w:val="sr-Latn-ME"/>
              </w:rPr>
            </w:pPr>
            <w:r w:rsidRPr="000D3D7F">
              <w:rPr>
                <w:noProof/>
                <w:szCs w:val="22"/>
                <w:lang w:val="sr-Latn-ME"/>
              </w:rPr>
              <w:t>citomegalovirusni hepatitis, hepatička hemoragija, holelitijaza</w:t>
            </w:r>
          </w:p>
        </w:tc>
      </w:tr>
      <w:tr w:rsidR="00D00258" w:rsidRPr="000D3D7F" w14:paraId="36557060" w14:textId="77777777" w:rsidTr="00787214">
        <w:trPr>
          <w:trHeight w:val="503"/>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0E13A0C5" w14:textId="77777777" w:rsidR="00D00258" w:rsidRPr="000D3D7F" w:rsidRDefault="00D00258" w:rsidP="001E1F5A">
            <w:pPr>
              <w:rPr>
                <w:noProof/>
                <w:lang w:val="sr-Latn-ME"/>
              </w:rPr>
            </w:pPr>
            <w:r w:rsidRPr="000D3D7F">
              <w:rPr>
                <w:noProof/>
                <w:szCs w:val="22"/>
                <w:lang w:val="sr-Latn-ME"/>
              </w:rPr>
              <w:t>Poremećaji kože i</w:t>
            </w:r>
          </w:p>
          <w:p w14:paraId="220B4D0E" w14:textId="77777777" w:rsidR="00D00258" w:rsidRPr="000D3D7F" w:rsidRDefault="00D00258" w:rsidP="001E1F5A">
            <w:pPr>
              <w:rPr>
                <w:noProof/>
                <w:lang w:val="sr-Latn-ME"/>
              </w:rPr>
            </w:pPr>
            <w:r w:rsidRPr="000D3D7F">
              <w:rPr>
                <w:noProof/>
                <w:szCs w:val="22"/>
                <w:lang w:val="sr-Latn-ME"/>
              </w:rPr>
              <w:t>potkožnog tkiva</w:t>
            </w:r>
          </w:p>
        </w:tc>
        <w:tc>
          <w:tcPr>
            <w:tcW w:w="1829" w:type="dxa"/>
            <w:tcBorders>
              <w:top w:val="single" w:sz="4" w:space="0" w:color="000000"/>
              <w:left w:val="single" w:sz="4" w:space="0" w:color="000000"/>
              <w:bottom w:val="single" w:sz="4" w:space="0" w:color="000000"/>
              <w:right w:val="single" w:sz="4" w:space="0" w:color="000000"/>
            </w:tcBorders>
          </w:tcPr>
          <w:p w14:paraId="2697E15D"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2BAD6702" w14:textId="77777777" w:rsidR="00D00258" w:rsidRPr="000D3D7F" w:rsidRDefault="00D00258" w:rsidP="001E1F5A">
            <w:pPr>
              <w:rPr>
                <w:noProof/>
                <w:lang w:val="sr-Latn-ME"/>
              </w:rPr>
            </w:pPr>
            <w:r w:rsidRPr="000D3D7F">
              <w:rPr>
                <w:noProof/>
                <w:szCs w:val="22"/>
                <w:lang w:val="sr-Latn-ME"/>
              </w:rPr>
              <w:t>osip*, pruritus*, eritem, suva koža</w:t>
            </w:r>
          </w:p>
        </w:tc>
      </w:tr>
      <w:tr w:rsidR="00D00258" w:rsidRPr="000D3D7F" w14:paraId="2FE08AFC" w14:textId="77777777" w:rsidTr="00787214">
        <w:trPr>
          <w:trHeight w:val="1521"/>
        </w:trPr>
        <w:tc>
          <w:tcPr>
            <w:tcW w:w="2228" w:type="dxa"/>
            <w:gridSpan w:val="3"/>
            <w:vMerge/>
            <w:tcBorders>
              <w:top w:val="nil"/>
              <w:left w:val="single" w:sz="4" w:space="0" w:color="000000"/>
              <w:bottom w:val="single" w:sz="4" w:space="0" w:color="000000"/>
              <w:right w:val="single" w:sz="4" w:space="0" w:color="000000"/>
            </w:tcBorders>
          </w:tcPr>
          <w:p w14:paraId="06C4D2A5"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7D1A728"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5106919B" w14:textId="77777777" w:rsidR="00D00258" w:rsidRPr="000D3D7F" w:rsidRDefault="00D00258" w:rsidP="001E1F5A">
            <w:pPr>
              <w:rPr>
                <w:noProof/>
                <w:lang w:val="sr-Latn-ME"/>
              </w:rPr>
            </w:pPr>
            <w:r w:rsidRPr="000D3D7F">
              <w:rPr>
                <w:noProof/>
                <w:szCs w:val="22"/>
                <w:lang w:val="sr-Latn-ME"/>
              </w:rPr>
              <w:t>Multiformni eritem, urtikarija, akutna febrilna neutrofilna</w:t>
            </w:r>
          </w:p>
          <w:p w14:paraId="040CCC9E" w14:textId="73985591" w:rsidR="00D00258" w:rsidRPr="000D3D7F" w:rsidRDefault="00D00258" w:rsidP="001E1F5A">
            <w:pPr>
              <w:rPr>
                <w:noProof/>
                <w:lang w:val="sr-Latn-ME"/>
              </w:rPr>
            </w:pPr>
            <w:r w:rsidRPr="000D3D7F">
              <w:rPr>
                <w:noProof/>
                <w:szCs w:val="22"/>
                <w:lang w:val="sr-Latn-ME"/>
              </w:rPr>
              <w:t>dermatoza, toksična erupcija kože, toksična epidermalna nekoliza</w:t>
            </w:r>
            <w:r w:rsidRPr="000D3D7F">
              <w:rPr>
                <w:noProof/>
                <w:szCs w:val="22"/>
                <w:vertAlign w:val="superscript"/>
                <w:lang w:val="sr-Latn-ME"/>
              </w:rPr>
              <w:t>#</w:t>
            </w:r>
            <w:r w:rsidRPr="000D3D7F">
              <w:rPr>
                <w:noProof/>
                <w:szCs w:val="22"/>
                <w:lang w:val="sr-Latn-ME"/>
              </w:rPr>
              <w:t>, Stevens-Johnson sindrom</w:t>
            </w:r>
            <w:r w:rsidRPr="000D3D7F">
              <w:rPr>
                <w:noProof/>
                <w:szCs w:val="22"/>
                <w:vertAlign w:val="superscript"/>
                <w:lang w:val="sr-Latn-ME"/>
              </w:rPr>
              <w:t>#</w:t>
            </w:r>
            <w:r w:rsidRPr="000D3D7F">
              <w:rPr>
                <w:noProof/>
                <w:szCs w:val="22"/>
                <w:lang w:val="sr-Latn-ME"/>
              </w:rPr>
              <w:t>, dermatitis*, poremećaji dlake*, petehije, ekhimoze, lezije kože, purp</w:t>
            </w:r>
            <w:r w:rsidR="0090305A" w:rsidRPr="000D3D7F">
              <w:rPr>
                <w:noProof/>
                <w:szCs w:val="22"/>
                <w:lang w:val="sr-Latn-ME"/>
              </w:rPr>
              <w:t>u</w:t>
            </w:r>
            <w:r w:rsidRPr="000D3D7F">
              <w:rPr>
                <w:noProof/>
                <w:szCs w:val="22"/>
                <w:lang w:val="sr-Latn-ME"/>
              </w:rPr>
              <w:t>ra, kožni noduli*, psorijaza, hiperhidroza, noćno znojenje, dekubitalni ulkus</w:t>
            </w:r>
            <w:r w:rsidRPr="000D3D7F">
              <w:rPr>
                <w:noProof/>
                <w:szCs w:val="22"/>
                <w:vertAlign w:val="superscript"/>
                <w:lang w:val="sr-Latn-ME"/>
              </w:rPr>
              <w:t>#</w:t>
            </w:r>
            <w:r w:rsidRPr="000D3D7F">
              <w:rPr>
                <w:noProof/>
                <w:szCs w:val="22"/>
                <w:lang w:val="sr-Latn-ME"/>
              </w:rPr>
              <w:t>,</w:t>
            </w:r>
          </w:p>
          <w:p w14:paraId="7A126CB0" w14:textId="77777777" w:rsidR="00D00258" w:rsidRPr="000D3D7F" w:rsidRDefault="00D00258" w:rsidP="001E1F5A">
            <w:pPr>
              <w:rPr>
                <w:noProof/>
                <w:lang w:val="sr-Latn-ME"/>
              </w:rPr>
            </w:pPr>
            <w:r w:rsidRPr="000D3D7F">
              <w:rPr>
                <w:noProof/>
                <w:szCs w:val="22"/>
                <w:lang w:val="sr-Latn-ME"/>
              </w:rPr>
              <w:t>akne*, plikovi*, poremećaj pigmentacije*</w:t>
            </w:r>
          </w:p>
        </w:tc>
      </w:tr>
      <w:tr w:rsidR="00D00258" w:rsidRPr="000D3D7F" w14:paraId="1D902A35" w14:textId="77777777" w:rsidTr="00787214">
        <w:trPr>
          <w:trHeight w:val="1262"/>
        </w:trPr>
        <w:tc>
          <w:tcPr>
            <w:tcW w:w="2228" w:type="dxa"/>
            <w:gridSpan w:val="3"/>
            <w:vMerge/>
            <w:tcBorders>
              <w:top w:val="nil"/>
              <w:left w:val="single" w:sz="4" w:space="0" w:color="000000"/>
              <w:bottom w:val="single" w:sz="4" w:space="0" w:color="000000"/>
              <w:right w:val="single" w:sz="4" w:space="0" w:color="000000"/>
            </w:tcBorders>
          </w:tcPr>
          <w:p w14:paraId="5440A084" w14:textId="77777777" w:rsidR="00D00258" w:rsidRPr="000D3D7F" w:rsidRDefault="00D00258"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E5ABFEB" w14:textId="414E294C"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0A817DA8" w14:textId="06A37E8C" w:rsidR="00D00258" w:rsidRPr="000D3D7F" w:rsidRDefault="00D00258" w:rsidP="001E1F5A">
            <w:pPr>
              <w:rPr>
                <w:noProof/>
                <w:lang w:val="sr-Latn-ME"/>
              </w:rPr>
            </w:pPr>
            <w:r w:rsidRPr="000D3D7F">
              <w:rPr>
                <w:noProof/>
                <w:szCs w:val="22"/>
                <w:lang w:val="sr-Latn-ME"/>
              </w:rPr>
              <w:t>reakcije na koži, Jessner-ova limfocitna infiltracija, palmarno- plantarni sindrom eritrodisestezije, su</w:t>
            </w:r>
            <w:r w:rsidR="005E752C" w:rsidRPr="000D3D7F">
              <w:rPr>
                <w:noProof/>
                <w:szCs w:val="22"/>
                <w:lang w:val="sr-Latn-ME"/>
              </w:rPr>
              <w:t>b</w:t>
            </w:r>
            <w:r w:rsidRPr="000D3D7F">
              <w:rPr>
                <w:noProof/>
                <w:szCs w:val="22"/>
                <w:lang w:val="sr-Latn-ME"/>
              </w:rPr>
              <w:t>kutana hemoragija,</w:t>
            </w:r>
          </w:p>
          <w:p w14:paraId="24BE3CFF" w14:textId="77777777" w:rsidR="00D00258" w:rsidRPr="000D3D7F" w:rsidRDefault="00D00258" w:rsidP="001E1F5A">
            <w:pPr>
              <w:rPr>
                <w:noProof/>
                <w:lang w:val="sr-Latn-ME"/>
              </w:rPr>
            </w:pPr>
            <w:r w:rsidRPr="000D3D7F">
              <w:rPr>
                <w:noProof/>
                <w:szCs w:val="22"/>
                <w:lang w:val="sr-Latn-ME"/>
              </w:rPr>
              <w:t>Livedo retikularis, induracija kože, papule, reakcija</w:t>
            </w:r>
          </w:p>
          <w:p w14:paraId="4A42A08C" w14:textId="77777777" w:rsidR="00D00258" w:rsidRPr="000D3D7F" w:rsidRDefault="00D00258" w:rsidP="001E1F5A">
            <w:pPr>
              <w:rPr>
                <w:noProof/>
                <w:szCs w:val="22"/>
                <w:lang w:val="sr-Latn-ME"/>
              </w:rPr>
            </w:pPr>
            <w:r w:rsidRPr="000D3D7F">
              <w:rPr>
                <w:noProof/>
                <w:szCs w:val="22"/>
                <w:lang w:val="sr-Latn-ME"/>
              </w:rPr>
              <w:t>fotosenzitivnosti, seboreja, hladan znoj, nespecifični poremećaji kože, eritoza, kožni ulceri, poremećaj noktiju</w:t>
            </w:r>
          </w:p>
          <w:p w14:paraId="5ADD82C0" w14:textId="77777777" w:rsidR="00787214" w:rsidRPr="000D3D7F" w:rsidRDefault="00787214" w:rsidP="001E1F5A">
            <w:pPr>
              <w:rPr>
                <w:noProof/>
                <w:szCs w:val="22"/>
                <w:lang w:val="sr-Latn-ME"/>
              </w:rPr>
            </w:pPr>
          </w:p>
          <w:p w14:paraId="0606446D" w14:textId="77777777" w:rsidR="00787214" w:rsidRPr="000D3D7F" w:rsidRDefault="00787214" w:rsidP="001E1F5A">
            <w:pPr>
              <w:rPr>
                <w:noProof/>
                <w:szCs w:val="22"/>
                <w:lang w:val="sr-Latn-ME"/>
              </w:rPr>
            </w:pPr>
          </w:p>
          <w:p w14:paraId="3136C77F" w14:textId="7EEDDB62" w:rsidR="00787214" w:rsidRPr="000D3D7F" w:rsidRDefault="00787214" w:rsidP="001E1F5A">
            <w:pPr>
              <w:rPr>
                <w:noProof/>
                <w:lang w:val="sr-Latn-ME"/>
              </w:rPr>
            </w:pPr>
          </w:p>
        </w:tc>
      </w:tr>
      <w:tr w:rsidR="00787214" w:rsidRPr="000D3D7F" w14:paraId="320464C9" w14:textId="77777777" w:rsidTr="00EF43F3">
        <w:trPr>
          <w:trHeight w:val="253"/>
        </w:trPr>
        <w:tc>
          <w:tcPr>
            <w:tcW w:w="2228" w:type="dxa"/>
            <w:gridSpan w:val="3"/>
            <w:vMerge w:val="restart"/>
            <w:tcBorders>
              <w:top w:val="single" w:sz="4" w:space="0" w:color="000000"/>
              <w:left w:val="single" w:sz="4" w:space="0" w:color="000000"/>
              <w:right w:val="single" w:sz="4" w:space="0" w:color="000000"/>
            </w:tcBorders>
          </w:tcPr>
          <w:p w14:paraId="3EAFE947" w14:textId="77777777" w:rsidR="00787214" w:rsidRPr="000D3D7F" w:rsidRDefault="00787214" w:rsidP="001E1F5A">
            <w:pPr>
              <w:rPr>
                <w:noProof/>
                <w:lang w:val="sr-Latn-ME"/>
              </w:rPr>
            </w:pPr>
            <w:r w:rsidRPr="000D3D7F">
              <w:rPr>
                <w:noProof/>
                <w:szCs w:val="22"/>
                <w:lang w:val="sr-Latn-ME"/>
              </w:rPr>
              <w:t>Poremećaji mišićno-</w:t>
            </w:r>
          </w:p>
          <w:p w14:paraId="7D952134" w14:textId="77777777" w:rsidR="00787214" w:rsidRPr="000D3D7F" w:rsidRDefault="00787214" w:rsidP="001E1F5A">
            <w:pPr>
              <w:rPr>
                <w:noProof/>
                <w:lang w:val="sr-Latn-ME"/>
              </w:rPr>
            </w:pPr>
            <w:r w:rsidRPr="000D3D7F">
              <w:rPr>
                <w:noProof/>
                <w:szCs w:val="22"/>
                <w:lang w:val="sr-Latn-ME"/>
              </w:rPr>
              <w:t>koštanog sistema i vezivnog tkiva</w:t>
            </w:r>
          </w:p>
        </w:tc>
        <w:tc>
          <w:tcPr>
            <w:tcW w:w="1829" w:type="dxa"/>
            <w:tcBorders>
              <w:top w:val="single" w:sz="4" w:space="0" w:color="000000"/>
              <w:left w:val="single" w:sz="4" w:space="0" w:color="000000"/>
              <w:bottom w:val="single" w:sz="4" w:space="0" w:color="000000"/>
              <w:right w:val="single" w:sz="4" w:space="0" w:color="000000"/>
            </w:tcBorders>
          </w:tcPr>
          <w:p w14:paraId="5D27D4FB" w14:textId="77777777" w:rsidR="00787214" w:rsidRPr="000D3D7F" w:rsidRDefault="00787214" w:rsidP="001E1F5A">
            <w:pPr>
              <w:rPr>
                <w:noProof/>
                <w:lang w:val="sr-Latn-ME"/>
              </w:rPr>
            </w:pPr>
            <w:r w:rsidRPr="000D3D7F">
              <w:rPr>
                <w:noProof/>
                <w:szCs w:val="22"/>
                <w:lang w:val="sr-Latn-ME"/>
              </w:rPr>
              <w:t>veoma 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5C227C38" w14:textId="77777777" w:rsidR="00787214" w:rsidRPr="000D3D7F" w:rsidRDefault="00787214" w:rsidP="001E1F5A">
            <w:pPr>
              <w:rPr>
                <w:noProof/>
                <w:lang w:val="sr-Latn-ME"/>
              </w:rPr>
            </w:pPr>
            <w:r w:rsidRPr="000D3D7F">
              <w:rPr>
                <w:noProof/>
                <w:szCs w:val="22"/>
                <w:lang w:val="sr-Latn-ME"/>
              </w:rPr>
              <w:t>muskuloskeletni bol*</w:t>
            </w:r>
          </w:p>
        </w:tc>
      </w:tr>
      <w:tr w:rsidR="00787214" w:rsidRPr="000D3D7F" w14:paraId="26187024" w14:textId="77777777" w:rsidTr="00EF43F3">
        <w:trPr>
          <w:trHeight w:val="253"/>
        </w:trPr>
        <w:tc>
          <w:tcPr>
            <w:tcW w:w="2228" w:type="dxa"/>
            <w:gridSpan w:val="3"/>
            <w:vMerge/>
            <w:tcBorders>
              <w:left w:val="single" w:sz="4" w:space="0" w:color="000000"/>
              <w:right w:val="single" w:sz="4" w:space="0" w:color="000000"/>
            </w:tcBorders>
          </w:tcPr>
          <w:p w14:paraId="6D9B30D5" w14:textId="77777777" w:rsidR="00787214" w:rsidRPr="000D3D7F" w:rsidRDefault="00787214"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5AD55F5" w14:textId="77777777" w:rsidR="00787214" w:rsidRPr="000D3D7F" w:rsidRDefault="00787214"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15C79E81" w14:textId="77777777" w:rsidR="00787214" w:rsidRPr="000D3D7F" w:rsidRDefault="00787214" w:rsidP="001E1F5A">
            <w:pPr>
              <w:rPr>
                <w:noProof/>
                <w:lang w:val="sr-Latn-ME"/>
              </w:rPr>
            </w:pPr>
            <w:r w:rsidRPr="000D3D7F">
              <w:rPr>
                <w:noProof/>
                <w:szCs w:val="22"/>
                <w:lang w:val="sr-Latn-ME"/>
              </w:rPr>
              <w:t>spazam mišića*, bol u ekstremitetima, slabost mišića</w:t>
            </w:r>
          </w:p>
        </w:tc>
      </w:tr>
      <w:tr w:rsidR="00787214" w:rsidRPr="000D3D7F" w14:paraId="72BA4560" w14:textId="77777777" w:rsidTr="00EF43F3">
        <w:trPr>
          <w:trHeight w:val="503"/>
        </w:trPr>
        <w:tc>
          <w:tcPr>
            <w:tcW w:w="2228" w:type="dxa"/>
            <w:gridSpan w:val="3"/>
            <w:vMerge/>
            <w:tcBorders>
              <w:left w:val="single" w:sz="4" w:space="0" w:color="000000"/>
              <w:right w:val="single" w:sz="4" w:space="0" w:color="000000"/>
            </w:tcBorders>
          </w:tcPr>
          <w:p w14:paraId="1292CE2D" w14:textId="77777777" w:rsidR="00787214" w:rsidRPr="000D3D7F" w:rsidRDefault="00787214"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24FC578F" w14:textId="77777777" w:rsidR="00787214" w:rsidRPr="000D3D7F" w:rsidRDefault="00787214"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7FB7E02A" w14:textId="77777777" w:rsidR="00787214" w:rsidRPr="000D3D7F" w:rsidRDefault="00787214" w:rsidP="001E1F5A">
            <w:pPr>
              <w:rPr>
                <w:noProof/>
                <w:lang w:val="sr-Latn-ME"/>
              </w:rPr>
            </w:pPr>
            <w:r w:rsidRPr="000D3D7F">
              <w:rPr>
                <w:noProof/>
                <w:szCs w:val="22"/>
                <w:lang w:val="sr-Latn-ME"/>
              </w:rPr>
              <w:t>grčevi u mišićima, otok zglobova, artritis*, ukočenost zglobova,</w:t>
            </w:r>
          </w:p>
          <w:p w14:paraId="4C1F9595" w14:textId="6E93279E" w:rsidR="00787214" w:rsidRPr="000D3D7F" w:rsidRDefault="00787214" w:rsidP="001E1F5A">
            <w:pPr>
              <w:rPr>
                <w:noProof/>
                <w:lang w:val="sr-Latn-ME"/>
              </w:rPr>
            </w:pPr>
            <w:r w:rsidRPr="000D3D7F">
              <w:rPr>
                <w:noProof/>
                <w:szCs w:val="22"/>
                <w:lang w:val="sr-Latn-ME"/>
              </w:rPr>
              <w:t>miopatija*, osjećaj težine</w:t>
            </w:r>
          </w:p>
        </w:tc>
      </w:tr>
      <w:tr w:rsidR="00787214" w:rsidRPr="000D3D7F" w14:paraId="4C22C6DF" w14:textId="77777777" w:rsidTr="00EF43F3">
        <w:trPr>
          <w:trHeight w:val="757"/>
        </w:trPr>
        <w:tc>
          <w:tcPr>
            <w:tcW w:w="2228" w:type="dxa"/>
            <w:gridSpan w:val="3"/>
            <w:vMerge/>
            <w:tcBorders>
              <w:left w:val="single" w:sz="4" w:space="0" w:color="000000"/>
              <w:bottom w:val="single" w:sz="4" w:space="0" w:color="000000"/>
              <w:right w:val="single" w:sz="4" w:space="0" w:color="000000"/>
            </w:tcBorders>
          </w:tcPr>
          <w:p w14:paraId="6F046251" w14:textId="77777777" w:rsidR="00787214" w:rsidRPr="000D3D7F" w:rsidRDefault="00787214" w:rsidP="001E1F5A">
            <w:pPr>
              <w:rPr>
                <w:noProof/>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63CB3BE" w14:textId="73910AB2" w:rsidR="00787214" w:rsidRPr="000D3D7F" w:rsidRDefault="00787214" w:rsidP="001E1F5A">
            <w:pPr>
              <w:rPr>
                <w:noProof/>
                <w:lang w:val="sr-Latn-ME"/>
              </w:rPr>
            </w:pPr>
            <w:r w:rsidRPr="000D3D7F">
              <w:rPr>
                <w:noProof/>
                <w:szCs w:val="22"/>
                <w:lang w:val="sr-Latn-ME"/>
              </w:rPr>
              <w:t>rijetko</w:t>
            </w:r>
          </w:p>
        </w:tc>
        <w:tc>
          <w:tcPr>
            <w:tcW w:w="6300" w:type="dxa"/>
            <w:gridSpan w:val="5"/>
            <w:tcBorders>
              <w:top w:val="single" w:sz="4" w:space="0" w:color="000000"/>
              <w:left w:val="single" w:sz="4" w:space="0" w:color="000000"/>
              <w:bottom w:val="single" w:sz="4" w:space="0" w:color="000000"/>
              <w:right w:val="single" w:sz="4" w:space="0" w:color="000000"/>
            </w:tcBorders>
          </w:tcPr>
          <w:p w14:paraId="31C82C4F" w14:textId="77777777" w:rsidR="00787214" w:rsidRPr="000D3D7F" w:rsidRDefault="00787214" w:rsidP="001E1F5A">
            <w:pPr>
              <w:rPr>
                <w:noProof/>
                <w:lang w:val="sr-Latn-ME"/>
              </w:rPr>
            </w:pPr>
            <w:r w:rsidRPr="000D3D7F">
              <w:rPr>
                <w:noProof/>
                <w:szCs w:val="22"/>
                <w:lang w:val="sr-Latn-ME"/>
              </w:rPr>
              <w:t>rabdomioliza, sindrom temporomandibularnog zgloba, fistula,</w:t>
            </w:r>
          </w:p>
          <w:p w14:paraId="67589396" w14:textId="77777777" w:rsidR="00787214" w:rsidRPr="000D3D7F" w:rsidRDefault="00787214" w:rsidP="001E1F5A">
            <w:pPr>
              <w:rPr>
                <w:noProof/>
                <w:lang w:val="sr-Latn-ME"/>
              </w:rPr>
            </w:pPr>
            <w:r w:rsidRPr="000D3D7F">
              <w:rPr>
                <w:noProof/>
                <w:szCs w:val="22"/>
                <w:lang w:val="sr-Latn-ME"/>
              </w:rPr>
              <w:t>tečnost u zglobovima, bol u vilici, poremećaj kostiju, infekcije i zapaljenja mišićnoskeletnog i vezivnog tkiva*, sinovijalna cista</w:t>
            </w:r>
          </w:p>
        </w:tc>
      </w:tr>
      <w:tr w:rsidR="00D00258" w:rsidRPr="000D3D7F" w14:paraId="3FA6782E" w14:textId="77777777" w:rsidTr="00787214">
        <w:trPr>
          <w:trHeight w:val="508"/>
        </w:trPr>
        <w:tc>
          <w:tcPr>
            <w:tcW w:w="2228" w:type="dxa"/>
            <w:gridSpan w:val="3"/>
            <w:vMerge w:val="restart"/>
            <w:tcBorders>
              <w:top w:val="single" w:sz="4" w:space="0" w:color="000000"/>
              <w:left w:val="single" w:sz="4" w:space="0" w:color="000000"/>
              <w:bottom w:val="single" w:sz="4" w:space="0" w:color="000000"/>
              <w:right w:val="single" w:sz="4" w:space="0" w:color="000000"/>
            </w:tcBorders>
          </w:tcPr>
          <w:p w14:paraId="6D3429A2" w14:textId="77777777" w:rsidR="00D00258" w:rsidRPr="000D3D7F" w:rsidRDefault="00D00258" w:rsidP="001E1F5A">
            <w:pPr>
              <w:rPr>
                <w:noProof/>
                <w:lang w:val="sr-Latn-ME"/>
              </w:rPr>
            </w:pPr>
            <w:r w:rsidRPr="000D3D7F">
              <w:rPr>
                <w:noProof/>
                <w:szCs w:val="22"/>
                <w:lang w:val="sr-Latn-ME"/>
              </w:rPr>
              <w:t>Poremećaji bubrega i</w:t>
            </w:r>
          </w:p>
          <w:p w14:paraId="052E16C7" w14:textId="77777777" w:rsidR="00D00258" w:rsidRPr="000D3D7F" w:rsidRDefault="00D00258" w:rsidP="001E1F5A">
            <w:pPr>
              <w:rPr>
                <w:noProof/>
                <w:lang w:val="sr-Latn-ME"/>
              </w:rPr>
            </w:pPr>
            <w:r w:rsidRPr="000D3D7F">
              <w:rPr>
                <w:noProof/>
                <w:szCs w:val="22"/>
                <w:lang w:val="sr-Latn-ME"/>
              </w:rPr>
              <w:t>urinarnog sistema</w:t>
            </w:r>
          </w:p>
        </w:tc>
        <w:tc>
          <w:tcPr>
            <w:tcW w:w="1829" w:type="dxa"/>
            <w:tcBorders>
              <w:top w:val="single" w:sz="4" w:space="0" w:color="000000"/>
              <w:left w:val="single" w:sz="4" w:space="0" w:color="000000"/>
              <w:bottom w:val="single" w:sz="4" w:space="0" w:color="000000"/>
              <w:right w:val="single" w:sz="4" w:space="0" w:color="000000"/>
            </w:tcBorders>
          </w:tcPr>
          <w:p w14:paraId="542C8B8F"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4BF2E0CA" w14:textId="77777777" w:rsidR="00D00258" w:rsidRPr="000D3D7F" w:rsidRDefault="00D00258" w:rsidP="001E1F5A">
            <w:pPr>
              <w:rPr>
                <w:noProof/>
                <w:lang w:val="sr-Latn-ME"/>
              </w:rPr>
            </w:pPr>
            <w:r w:rsidRPr="000D3D7F">
              <w:rPr>
                <w:noProof/>
                <w:szCs w:val="22"/>
                <w:lang w:val="sr-Latn-ME"/>
              </w:rPr>
              <w:t>oštećenje bubrega*</w:t>
            </w:r>
          </w:p>
        </w:tc>
      </w:tr>
      <w:tr w:rsidR="00D00258" w:rsidRPr="000D3D7F" w14:paraId="0105E66C"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705D4B88" w14:textId="77777777" w:rsidR="00D00258" w:rsidRPr="000D3D7F" w:rsidRDefault="00D00258" w:rsidP="001E1F5A">
            <w:pPr>
              <w:rPr>
                <w:noProof/>
                <w:lang w:val="sr-Latn-ME"/>
              </w:rPr>
            </w:pPr>
          </w:p>
        </w:tc>
        <w:tc>
          <w:tcPr>
            <w:tcW w:w="1829" w:type="dxa"/>
            <w:tcBorders>
              <w:top w:val="single" w:sz="4" w:space="0" w:color="000000"/>
              <w:left w:val="single" w:sz="4" w:space="0" w:color="000000"/>
              <w:right w:val="single" w:sz="4" w:space="0" w:color="000000"/>
            </w:tcBorders>
          </w:tcPr>
          <w:p w14:paraId="4627A3E8"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79C7CCBA" w14:textId="77777777" w:rsidR="00D00258" w:rsidRPr="000D3D7F" w:rsidRDefault="00D00258" w:rsidP="001E1F5A">
            <w:pPr>
              <w:rPr>
                <w:noProof/>
                <w:lang w:val="sr-Latn-ME"/>
              </w:rPr>
            </w:pPr>
            <w:r w:rsidRPr="000D3D7F">
              <w:rPr>
                <w:noProof/>
                <w:szCs w:val="22"/>
                <w:lang w:val="sr-Latn-ME"/>
              </w:rPr>
              <w:t>akutna bubrežna isuficijencija, hronična renalna insuficijencija*,</w:t>
            </w:r>
          </w:p>
        </w:tc>
      </w:tr>
      <w:tr w:rsidR="00D00258" w:rsidRPr="000D3D7F" w14:paraId="782D9F4D"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44CC737F" w14:textId="77777777" w:rsidR="00D00258" w:rsidRPr="000D3D7F" w:rsidRDefault="00D00258" w:rsidP="001E1F5A">
            <w:pPr>
              <w:tabs>
                <w:tab w:val="clear" w:pos="284"/>
              </w:tabs>
              <w:kinsoku w:val="0"/>
              <w:overflowPunct w:val="0"/>
              <w:autoSpaceDE w:val="0"/>
              <w:autoSpaceDN w:val="0"/>
              <w:adjustRightInd w:val="0"/>
              <w:rPr>
                <w:lang w:val="sr-Latn-ME"/>
              </w:rPr>
            </w:pPr>
          </w:p>
        </w:tc>
        <w:tc>
          <w:tcPr>
            <w:tcW w:w="1829" w:type="dxa"/>
            <w:tcBorders>
              <w:left w:val="single" w:sz="4" w:space="0" w:color="000000"/>
              <w:bottom w:val="single" w:sz="4" w:space="0" w:color="000000"/>
              <w:right w:val="single" w:sz="4" w:space="0" w:color="000000"/>
            </w:tcBorders>
          </w:tcPr>
          <w:p w14:paraId="7277A59A" w14:textId="77777777" w:rsidR="00D00258" w:rsidRPr="000D3D7F" w:rsidRDefault="00D00258" w:rsidP="001E1F5A">
            <w:pPr>
              <w:rPr>
                <w:noProof/>
                <w:lang w:val="sr-Latn-ME"/>
              </w:rPr>
            </w:pPr>
          </w:p>
        </w:tc>
        <w:tc>
          <w:tcPr>
            <w:tcW w:w="6300" w:type="dxa"/>
            <w:gridSpan w:val="5"/>
            <w:tcBorders>
              <w:top w:val="single" w:sz="4" w:space="0" w:color="000000"/>
              <w:left w:val="single" w:sz="4" w:space="0" w:color="000000"/>
              <w:bottom w:val="single" w:sz="4" w:space="0" w:color="000000"/>
              <w:right w:val="single" w:sz="4" w:space="0" w:color="000000"/>
            </w:tcBorders>
          </w:tcPr>
          <w:p w14:paraId="7318F64F" w14:textId="77777777" w:rsidR="00D00258" w:rsidRPr="000D3D7F" w:rsidRDefault="00D00258" w:rsidP="001E1F5A">
            <w:pPr>
              <w:rPr>
                <w:noProof/>
                <w:lang w:val="sr-Latn-ME"/>
              </w:rPr>
            </w:pPr>
            <w:r w:rsidRPr="000D3D7F">
              <w:rPr>
                <w:noProof/>
                <w:szCs w:val="22"/>
                <w:lang w:val="sr-Latn-ME"/>
              </w:rPr>
              <w:t>infekcija urinarnog trakta*, znaci i simptomi poremećaja urinarnog trakta*, hematurija*, urinarna retencija, poremećaj</w:t>
            </w:r>
          </w:p>
          <w:p w14:paraId="1FAE2E29" w14:textId="77777777" w:rsidR="00D00258" w:rsidRPr="000D3D7F" w:rsidRDefault="00D00258" w:rsidP="001E1F5A">
            <w:pPr>
              <w:rPr>
                <w:noProof/>
                <w:lang w:val="sr-Latn-ME"/>
              </w:rPr>
            </w:pPr>
            <w:r w:rsidRPr="000D3D7F">
              <w:rPr>
                <w:noProof/>
                <w:szCs w:val="22"/>
                <w:lang w:val="sr-Latn-ME"/>
              </w:rPr>
              <w:t>mokrenja*, proteinurija, azotemija, oligurija*, polakiurija</w:t>
            </w:r>
          </w:p>
        </w:tc>
      </w:tr>
      <w:tr w:rsidR="00D00258" w:rsidRPr="000D3D7F" w14:paraId="4F2BE4A6"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094546F6"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1BFF3C1" w14:textId="20D02A17"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7BF70947" w14:textId="77777777" w:rsidR="00D00258" w:rsidRPr="000D3D7F" w:rsidRDefault="00D00258" w:rsidP="001E1F5A">
            <w:pPr>
              <w:rPr>
                <w:noProof/>
                <w:lang w:val="sr-Latn-ME"/>
              </w:rPr>
            </w:pPr>
            <w:r w:rsidRPr="000D3D7F">
              <w:rPr>
                <w:noProof/>
                <w:szCs w:val="22"/>
                <w:lang w:val="sr-Latn-ME"/>
              </w:rPr>
              <w:t>iritacija mokraćne bešike</w:t>
            </w:r>
          </w:p>
        </w:tc>
      </w:tr>
      <w:tr w:rsidR="00D00258" w:rsidRPr="000D3D7F" w14:paraId="23E59BE0" w14:textId="77777777" w:rsidTr="00787214">
        <w:trPr>
          <w:trHeight w:val="254"/>
        </w:trPr>
        <w:tc>
          <w:tcPr>
            <w:tcW w:w="2228" w:type="dxa"/>
            <w:gridSpan w:val="3"/>
            <w:vMerge w:val="restart"/>
            <w:tcBorders>
              <w:top w:val="nil"/>
              <w:left w:val="single" w:sz="4" w:space="0" w:color="000000"/>
              <w:bottom w:val="single" w:sz="4" w:space="0" w:color="000000"/>
              <w:right w:val="single" w:sz="4" w:space="0" w:color="000000"/>
            </w:tcBorders>
          </w:tcPr>
          <w:p w14:paraId="61EF97E2" w14:textId="77777777" w:rsidR="00D00258" w:rsidRPr="000D3D7F" w:rsidRDefault="00D00258" w:rsidP="001E1F5A">
            <w:pPr>
              <w:tabs>
                <w:tab w:val="clear" w:pos="284"/>
              </w:tabs>
              <w:kinsoku w:val="0"/>
              <w:overflowPunct w:val="0"/>
              <w:autoSpaceDE w:val="0"/>
              <w:autoSpaceDN w:val="0"/>
              <w:adjustRightInd w:val="0"/>
              <w:spacing w:line="237" w:lineRule="auto"/>
              <w:ind w:left="110"/>
              <w:rPr>
                <w:lang w:val="sr-Latn-ME"/>
              </w:rPr>
            </w:pPr>
            <w:r w:rsidRPr="000D3D7F">
              <w:rPr>
                <w:szCs w:val="22"/>
                <w:lang w:val="sr-Latn-ME"/>
              </w:rPr>
              <w:t>Poremećaji reproduktivnog</w:t>
            </w:r>
          </w:p>
          <w:p w14:paraId="3FA2A24D" w14:textId="77777777" w:rsidR="00D00258" w:rsidRPr="000D3D7F" w:rsidRDefault="00D00258" w:rsidP="001E1F5A">
            <w:pPr>
              <w:tabs>
                <w:tab w:val="clear" w:pos="284"/>
              </w:tabs>
              <w:kinsoku w:val="0"/>
              <w:overflowPunct w:val="0"/>
              <w:autoSpaceDE w:val="0"/>
              <w:autoSpaceDN w:val="0"/>
              <w:adjustRightInd w:val="0"/>
              <w:ind w:left="110"/>
              <w:rPr>
                <w:lang w:val="sr-Latn-ME"/>
              </w:rPr>
            </w:pPr>
            <w:r w:rsidRPr="000D3D7F">
              <w:rPr>
                <w:szCs w:val="22"/>
                <w:lang w:val="sr-Latn-ME"/>
              </w:rPr>
              <w:t>sistema i dojki</w:t>
            </w:r>
          </w:p>
        </w:tc>
        <w:tc>
          <w:tcPr>
            <w:tcW w:w="1829" w:type="dxa"/>
            <w:tcBorders>
              <w:top w:val="single" w:sz="4" w:space="0" w:color="000000"/>
              <w:left w:val="single" w:sz="4" w:space="0" w:color="000000"/>
              <w:bottom w:val="single" w:sz="4" w:space="0" w:color="000000"/>
              <w:right w:val="single" w:sz="4" w:space="0" w:color="000000"/>
            </w:tcBorders>
          </w:tcPr>
          <w:p w14:paraId="5D393EB6"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7827A4AE" w14:textId="77777777" w:rsidR="00D00258" w:rsidRPr="000D3D7F" w:rsidRDefault="00D00258" w:rsidP="001E1F5A">
            <w:pPr>
              <w:rPr>
                <w:noProof/>
                <w:lang w:val="sr-Latn-ME"/>
              </w:rPr>
            </w:pPr>
            <w:r w:rsidRPr="000D3D7F">
              <w:rPr>
                <w:noProof/>
                <w:szCs w:val="22"/>
                <w:lang w:val="sr-Latn-ME"/>
              </w:rPr>
              <w:t>vaginalna hemoragija, genitalni bol*, erektilna disfunkcija</w:t>
            </w:r>
          </w:p>
        </w:tc>
      </w:tr>
      <w:tr w:rsidR="00D00258" w:rsidRPr="000D3D7F" w14:paraId="6D1261EA"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3A99B32C"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357B6DCF" w14:textId="1DB34B49"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5B307B55" w14:textId="77777777" w:rsidR="00D00258" w:rsidRPr="000D3D7F" w:rsidRDefault="00D00258" w:rsidP="001E1F5A">
            <w:pPr>
              <w:rPr>
                <w:noProof/>
                <w:lang w:val="sr-Latn-ME"/>
              </w:rPr>
            </w:pPr>
            <w:r w:rsidRPr="000D3D7F">
              <w:rPr>
                <w:noProof/>
                <w:szCs w:val="22"/>
                <w:lang w:val="sr-Latn-ME"/>
              </w:rPr>
              <w:t>poremećaji testisa*, zapaljenje prostate, poremećaj dojki kod</w:t>
            </w:r>
          </w:p>
          <w:p w14:paraId="6DF8639D" w14:textId="025BFCED" w:rsidR="00D00258" w:rsidRPr="000D3D7F" w:rsidRDefault="00D00258" w:rsidP="001E1F5A">
            <w:pPr>
              <w:rPr>
                <w:noProof/>
                <w:lang w:val="sr-Latn-ME"/>
              </w:rPr>
            </w:pPr>
            <w:r w:rsidRPr="000D3D7F">
              <w:rPr>
                <w:noProof/>
                <w:szCs w:val="22"/>
                <w:lang w:val="sr-Latn-ME"/>
              </w:rPr>
              <w:t>žena, epididimalna os</w:t>
            </w:r>
            <w:r w:rsidR="0090305A" w:rsidRPr="000D3D7F">
              <w:rPr>
                <w:noProof/>
                <w:szCs w:val="22"/>
                <w:lang w:val="sr-Latn-ME"/>
              </w:rPr>
              <w:t>j</w:t>
            </w:r>
            <w:r w:rsidRPr="000D3D7F">
              <w:rPr>
                <w:noProof/>
                <w:szCs w:val="22"/>
                <w:lang w:val="sr-Latn-ME"/>
              </w:rPr>
              <w:t>etljivost, epididimitis, pelvični bol, vulvalna ulceracija</w:t>
            </w:r>
          </w:p>
        </w:tc>
      </w:tr>
      <w:tr w:rsidR="00D00258" w:rsidRPr="000D3D7F" w14:paraId="47DA664E" w14:textId="77777777" w:rsidTr="00787214">
        <w:trPr>
          <w:trHeight w:val="254"/>
        </w:trPr>
        <w:tc>
          <w:tcPr>
            <w:tcW w:w="2228" w:type="dxa"/>
            <w:gridSpan w:val="3"/>
            <w:tcBorders>
              <w:top w:val="nil"/>
              <w:left w:val="single" w:sz="4" w:space="0" w:color="000000"/>
              <w:bottom w:val="single" w:sz="4" w:space="0" w:color="000000"/>
              <w:right w:val="single" w:sz="4" w:space="0" w:color="000000"/>
            </w:tcBorders>
          </w:tcPr>
          <w:p w14:paraId="75432CCA" w14:textId="77777777" w:rsidR="00D00258" w:rsidRPr="000D3D7F" w:rsidRDefault="00D00258" w:rsidP="001E1F5A">
            <w:pPr>
              <w:tabs>
                <w:tab w:val="clear" w:pos="284"/>
              </w:tabs>
              <w:kinsoku w:val="0"/>
              <w:overflowPunct w:val="0"/>
              <w:autoSpaceDE w:val="0"/>
              <w:autoSpaceDN w:val="0"/>
              <w:adjustRightInd w:val="0"/>
              <w:spacing w:line="237" w:lineRule="auto"/>
              <w:ind w:left="110"/>
              <w:rPr>
                <w:lang w:val="sr-Latn-ME"/>
              </w:rPr>
            </w:pPr>
            <w:r w:rsidRPr="000D3D7F">
              <w:rPr>
                <w:szCs w:val="22"/>
                <w:lang w:val="sr-Latn-ME"/>
              </w:rPr>
              <w:t>Kongenitalni, familijarni i genetski</w:t>
            </w:r>
          </w:p>
          <w:p w14:paraId="2D1A390B" w14:textId="77777777" w:rsidR="00D00258" w:rsidRPr="000D3D7F" w:rsidRDefault="00D00258" w:rsidP="001E1F5A">
            <w:pPr>
              <w:tabs>
                <w:tab w:val="clear" w:pos="284"/>
              </w:tabs>
              <w:kinsoku w:val="0"/>
              <w:overflowPunct w:val="0"/>
              <w:autoSpaceDE w:val="0"/>
              <w:autoSpaceDN w:val="0"/>
              <w:adjustRightInd w:val="0"/>
              <w:spacing w:line="249" w:lineRule="exact"/>
              <w:ind w:left="110"/>
              <w:rPr>
                <w:lang w:val="sr-Latn-ME"/>
              </w:rPr>
            </w:pPr>
            <w:r w:rsidRPr="000D3D7F">
              <w:rPr>
                <w:szCs w:val="22"/>
                <w:lang w:val="sr-Latn-ME"/>
              </w:rPr>
              <w:t>poremećaji</w:t>
            </w:r>
          </w:p>
        </w:tc>
        <w:tc>
          <w:tcPr>
            <w:tcW w:w="1829" w:type="dxa"/>
            <w:tcBorders>
              <w:top w:val="single" w:sz="4" w:space="0" w:color="000000"/>
              <w:left w:val="single" w:sz="4" w:space="0" w:color="000000"/>
              <w:bottom w:val="single" w:sz="4" w:space="0" w:color="000000"/>
              <w:right w:val="single" w:sz="4" w:space="0" w:color="000000"/>
            </w:tcBorders>
          </w:tcPr>
          <w:p w14:paraId="620B37FB" w14:textId="68FC2842"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636F81FB" w14:textId="77777777" w:rsidR="00D00258" w:rsidRPr="000D3D7F" w:rsidRDefault="00D00258" w:rsidP="001E1F5A">
            <w:pPr>
              <w:rPr>
                <w:noProof/>
                <w:lang w:val="sr-Latn-ME"/>
              </w:rPr>
            </w:pPr>
            <w:r w:rsidRPr="000D3D7F">
              <w:rPr>
                <w:noProof/>
                <w:szCs w:val="22"/>
                <w:lang w:val="sr-Latn-ME"/>
              </w:rPr>
              <w:t>aplazija, gastrointestinalna malformacija, ihtioza</w:t>
            </w:r>
          </w:p>
        </w:tc>
      </w:tr>
      <w:tr w:rsidR="00D00258" w:rsidRPr="000D3D7F" w14:paraId="5BBBEBCE" w14:textId="77777777" w:rsidTr="00787214">
        <w:trPr>
          <w:trHeight w:val="254"/>
        </w:trPr>
        <w:tc>
          <w:tcPr>
            <w:tcW w:w="2228" w:type="dxa"/>
            <w:gridSpan w:val="3"/>
            <w:vMerge w:val="restart"/>
            <w:tcBorders>
              <w:top w:val="nil"/>
              <w:left w:val="single" w:sz="4" w:space="0" w:color="000000"/>
              <w:bottom w:val="single" w:sz="4" w:space="0" w:color="000000"/>
              <w:right w:val="single" w:sz="4" w:space="0" w:color="000000"/>
            </w:tcBorders>
          </w:tcPr>
          <w:p w14:paraId="20939C4C" w14:textId="77777777" w:rsidR="00D00258" w:rsidRPr="000D3D7F" w:rsidRDefault="00D00258" w:rsidP="001E1F5A">
            <w:pPr>
              <w:tabs>
                <w:tab w:val="clear" w:pos="284"/>
              </w:tabs>
              <w:kinsoku w:val="0"/>
              <w:overflowPunct w:val="0"/>
              <w:autoSpaceDE w:val="0"/>
              <w:autoSpaceDN w:val="0"/>
              <w:adjustRightInd w:val="0"/>
              <w:spacing w:line="237" w:lineRule="auto"/>
              <w:ind w:left="110"/>
              <w:rPr>
                <w:lang w:val="sr-Latn-ME"/>
              </w:rPr>
            </w:pPr>
            <w:r w:rsidRPr="000D3D7F">
              <w:rPr>
                <w:szCs w:val="22"/>
                <w:lang w:val="sr-Latn-ME"/>
              </w:rPr>
              <w:t>Opšti poremećaji i reakcije na mestu</w:t>
            </w:r>
          </w:p>
          <w:p w14:paraId="59DFE0E8" w14:textId="77777777" w:rsidR="00D00258" w:rsidRPr="000D3D7F" w:rsidRDefault="00D00258" w:rsidP="001E1F5A">
            <w:pPr>
              <w:tabs>
                <w:tab w:val="clear" w:pos="284"/>
              </w:tabs>
              <w:kinsoku w:val="0"/>
              <w:overflowPunct w:val="0"/>
              <w:autoSpaceDE w:val="0"/>
              <w:autoSpaceDN w:val="0"/>
              <w:adjustRightInd w:val="0"/>
              <w:ind w:left="110"/>
              <w:rPr>
                <w:lang w:val="sr-Latn-ME"/>
              </w:rPr>
            </w:pPr>
            <w:r w:rsidRPr="000D3D7F">
              <w:rPr>
                <w:szCs w:val="22"/>
                <w:lang w:val="sr-Latn-ME"/>
              </w:rPr>
              <w:t>primene</w:t>
            </w:r>
          </w:p>
        </w:tc>
        <w:tc>
          <w:tcPr>
            <w:tcW w:w="1829" w:type="dxa"/>
            <w:tcBorders>
              <w:top w:val="single" w:sz="4" w:space="0" w:color="000000"/>
              <w:left w:val="single" w:sz="4" w:space="0" w:color="000000"/>
              <w:bottom w:val="single" w:sz="4" w:space="0" w:color="000000"/>
              <w:right w:val="single" w:sz="4" w:space="0" w:color="000000"/>
            </w:tcBorders>
          </w:tcPr>
          <w:p w14:paraId="7CC40130" w14:textId="77777777" w:rsidR="00D00258" w:rsidRPr="000D3D7F" w:rsidRDefault="00D00258" w:rsidP="001E1F5A">
            <w:pPr>
              <w:rPr>
                <w:noProof/>
                <w:lang w:val="sr-Latn-ME"/>
              </w:rPr>
            </w:pPr>
            <w:r w:rsidRPr="000D3D7F">
              <w:rPr>
                <w:noProof/>
                <w:szCs w:val="22"/>
                <w:lang w:val="sr-Latn-ME"/>
              </w:rPr>
              <w:t>veoma 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066E97A3" w14:textId="77777777" w:rsidR="00D00258" w:rsidRPr="000D3D7F" w:rsidRDefault="00D00258" w:rsidP="001E1F5A">
            <w:pPr>
              <w:rPr>
                <w:noProof/>
                <w:lang w:val="sr-Latn-ME"/>
              </w:rPr>
            </w:pPr>
            <w:r w:rsidRPr="000D3D7F">
              <w:rPr>
                <w:noProof/>
                <w:szCs w:val="22"/>
                <w:lang w:val="sr-Latn-ME"/>
              </w:rPr>
              <w:t>pireksija*, umor, astenija</w:t>
            </w:r>
          </w:p>
        </w:tc>
      </w:tr>
      <w:tr w:rsidR="00D00258" w:rsidRPr="000D3D7F" w14:paraId="107EA6FA"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53522264"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10FE2707"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012C0313" w14:textId="77777777" w:rsidR="00D00258" w:rsidRPr="000D3D7F" w:rsidRDefault="00D00258" w:rsidP="001E1F5A">
            <w:pPr>
              <w:rPr>
                <w:noProof/>
                <w:lang w:val="sr-Latn-ME"/>
              </w:rPr>
            </w:pPr>
            <w:r w:rsidRPr="000D3D7F">
              <w:rPr>
                <w:noProof/>
                <w:szCs w:val="22"/>
                <w:lang w:val="sr-Latn-ME"/>
              </w:rPr>
              <w:t>edem(uključujući periferni), drhtavica, bol*, malaksalost*</w:t>
            </w:r>
          </w:p>
        </w:tc>
      </w:tr>
      <w:tr w:rsidR="00D00258" w:rsidRPr="000D3D7F" w14:paraId="2952FF3F"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65D88BB4"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3F74574A"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6D457A69" w14:textId="77777777" w:rsidR="00D00258" w:rsidRPr="000D3D7F" w:rsidRDefault="00D00258" w:rsidP="001E1F5A">
            <w:pPr>
              <w:rPr>
                <w:noProof/>
                <w:lang w:val="sr-Latn-ME"/>
              </w:rPr>
            </w:pPr>
            <w:r w:rsidRPr="000D3D7F">
              <w:rPr>
                <w:noProof/>
                <w:szCs w:val="22"/>
                <w:lang w:val="sr-Latn-ME"/>
              </w:rPr>
              <w:t>pogoršanje opšteg fizičkog stanja*, edem lica*, reakcije na</w:t>
            </w:r>
          </w:p>
          <w:p w14:paraId="1D7607C1" w14:textId="23187B00" w:rsidR="00D00258" w:rsidRPr="000D3D7F" w:rsidRDefault="00D00258" w:rsidP="001E1F5A">
            <w:pPr>
              <w:rPr>
                <w:noProof/>
                <w:lang w:val="sr-Latn-ME"/>
              </w:rPr>
            </w:pPr>
            <w:r w:rsidRPr="000D3D7F">
              <w:rPr>
                <w:noProof/>
                <w:szCs w:val="22"/>
                <w:lang w:val="sr-Latn-ME"/>
              </w:rPr>
              <w:t>m</w:t>
            </w:r>
            <w:r w:rsidR="0090305A" w:rsidRPr="000D3D7F">
              <w:rPr>
                <w:noProof/>
                <w:szCs w:val="22"/>
                <w:lang w:val="sr-Latn-ME"/>
              </w:rPr>
              <w:t>j</w:t>
            </w:r>
            <w:r w:rsidRPr="000D3D7F">
              <w:rPr>
                <w:noProof/>
                <w:szCs w:val="22"/>
                <w:lang w:val="sr-Latn-ME"/>
              </w:rPr>
              <w:t>estu prim</w:t>
            </w:r>
            <w:r w:rsidR="0090305A" w:rsidRPr="000D3D7F">
              <w:rPr>
                <w:noProof/>
                <w:szCs w:val="22"/>
                <w:lang w:val="sr-Latn-ME"/>
              </w:rPr>
              <w:t>j</w:t>
            </w:r>
            <w:r w:rsidRPr="000D3D7F">
              <w:rPr>
                <w:noProof/>
                <w:szCs w:val="22"/>
                <w:lang w:val="sr-Latn-ME"/>
              </w:rPr>
              <w:t>ene*, poremećaji mukoze*, bol u grudima, poremećaji hoda, os</w:t>
            </w:r>
            <w:r w:rsidR="0090305A" w:rsidRPr="000D3D7F">
              <w:rPr>
                <w:noProof/>
                <w:szCs w:val="22"/>
                <w:lang w:val="sr-Latn-ME"/>
              </w:rPr>
              <w:t>j</w:t>
            </w:r>
            <w:r w:rsidRPr="000D3D7F">
              <w:rPr>
                <w:noProof/>
                <w:szCs w:val="22"/>
                <w:lang w:val="sr-Latn-ME"/>
              </w:rPr>
              <w:t>ećaj hladnoće, ekstravazacija*, komplikacije povezane sa kateterom*, prom</w:t>
            </w:r>
            <w:r w:rsidR="0090305A" w:rsidRPr="000D3D7F">
              <w:rPr>
                <w:noProof/>
                <w:szCs w:val="22"/>
                <w:lang w:val="sr-Latn-ME"/>
              </w:rPr>
              <w:t>j</w:t>
            </w:r>
            <w:r w:rsidRPr="000D3D7F">
              <w:rPr>
                <w:noProof/>
                <w:szCs w:val="22"/>
                <w:lang w:val="sr-Latn-ME"/>
              </w:rPr>
              <w:t>ene u os</w:t>
            </w:r>
            <w:r w:rsidR="0090305A" w:rsidRPr="000D3D7F">
              <w:rPr>
                <w:noProof/>
                <w:szCs w:val="22"/>
                <w:lang w:val="sr-Latn-ME"/>
              </w:rPr>
              <w:t>j</w:t>
            </w:r>
            <w:r w:rsidRPr="000D3D7F">
              <w:rPr>
                <w:noProof/>
                <w:szCs w:val="22"/>
                <w:lang w:val="sr-Latn-ME"/>
              </w:rPr>
              <w:t>ećaju žeđi*, nelagodnost</w:t>
            </w:r>
          </w:p>
          <w:p w14:paraId="54144975" w14:textId="7EA17109" w:rsidR="00D00258" w:rsidRPr="000D3D7F" w:rsidRDefault="00D00258" w:rsidP="001E1F5A">
            <w:pPr>
              <w:rPr>
                <w:noProof/>
                <w:lang w:val="sr-Latn-ME"/>
              </w:rPr>
            </w:pPr>
            <w:r w:rsidRPr="000D3D7F">
              <w:rPr>
                <w:noProof/>
                <w:szCs w:val="22"/>
                <w:lang w:val="sr-Latn-ME"/>
              </w:rPr>
              <w:t>u grudima, os</w:t>
            </w:r>
            <w:r w:rsidR="0090305A" w:rsidRPr="000D3D7F">
              <w:rPr>
                <w:noProof/>
                <w:szCs w:val="22"/>
                <w:lang w:val="sr-Latn-ME"/>
              </w:rPr>
              <w:t>j</w:t>
            </w:r>
            <w:r w:rsidRPr="000D3D7F">
              <w:rPr>
                <w:noProof/>
                <w:szCs w:val="22"/>
                <w:lang w:val="sr-Latn-ME"/>
              </w:rPr>
              <w:t>ećaj prom</w:t>
            </w:r>
            <w:r w:rsidR="0090305A" w:rsidRPr="000D3D7F">
              <w:rPr>
                <w:noProof/>
                <w:szCs w:val="22"/>
                <w:lang w:val="sr-Latn-ME"/>
              </w:rPr>
              <w:t>j</w:t>
            </w:r>
            <w:r w:rsidRPr="000D3D7F">
              <w:rPr>
                <w:noProof/>
                <w:szCs w:val="22"/>
                <w:lang w:val="sr-Latn-ME"/>
              </w:rPr>
              <w:t>ene t</w:t>
            </w:r>
            <w:r w:rsidR="0090305A" w:rsidRPr="000D3D7F">
              <w:rPr>
                <w:noProof/>
                <w:szCs w:val="22"/>
                <w:lang w:val="sr-Latn-ME"/>
              </w:rPr>
              <w:t>j</w:t>
            </w:r>
            <w:r w:rsidRPr="000D3D7F">
              <w:rPr>
                <w:noProof/>
                <w:szCs w:val="22"/>
                <w:lang w:val="sr-Latn-ME"/>
              </w:rPr>
              <w:t>elesne temperature*, bol na m</w:t>
            </w:r>
            <w:r w:rsidR="0090305A" w:rsidRPr="000D3D7F">
              <w:rPr>
                <w:noProof/>
                <w:szCs w:val="22"/>
                <w:lang w:val="sr-Latn-ME"/>
              </w:rPr>
              <w:t>j</w:t>
            </w:r>
            <w:r w:rsidRPr="000D3D7F">
              <w:rPr>
                <w:noProof/>
                <w:szCs w:val="22"/>
                <w:lang w:val="sr-Latn-ME"/>
              </w:rPr>
              <w:t>estu prim</w:t>
            </w:r>
            <w:r w:rsidR="0090305A" w:rsidRPr="000D3D7F">
              <w:rPr>
                <w:noProof/>
                <w:szCs w:val="22"/>
                <w:lang w:val="sr-Latn-ME"/>
              </w:rPr>
              <w:t>j</w:t>
            </w:r>
            <w:r w:rsidRPr="000D3D7F">
              <w:rPr>
                <w:noProof/>
                <w:szCs w:val="22"/>
                <w:lang w:val="sr-Latn-ME"/>
              </w:rPr>
              <w:t>ene*</w:t>
            </w:r>
          </w:p>
        </w:tc>
      </w:tr>
      <w:tr w:rsidR="00D00258" w:rsidRPr="000D3D7F" w14:paraId="4076911D"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7016E362"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391E1C17" w14:textId="7EB6CABC"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53287100" w14:textId="3C1E3801" w:rsidR="00D00258" w:rsidRPr="000D3D7F" w:rsidRDefault="00D00258" w:rsidP="001E1F5A">
            <w:pPr>
              <w:rPr>
                <w:noProof/>
                <w:lang w:val="sr-Latn-ME"/>
              </w:rPr>
            </w:pPr>
            <w:r w:rsidRPr="000D3D7F">
              <w:rPr>
                <w:noProof/>
                <w:szCs w:val="22"/>
                <w:lang w:val="sr-Latn-ME"/>
              </w:rPr>
              <w:t>smrt (uključujući iznenadnu), multiorganska insuficijencija, krvarenje na m</w:t>
            </w:r>
            <w:r w:rsidR="0090305A" w:rsidRPr="000D3D7F">
              <w:rPr>
                <w:noProof/>
                <w:szCs w:val="22"/>
                <w:lang w:val="sr-Latn-ME"/>
              </w:rPr>
              <w:t>j</w:t>
            </w:r>
            <w:r w:rsidRPr="000D3D7F">
              <w:rPr>
                <w:noProof/>
                <w:szCs w:val="22"/>
                <w:lang w:val="sr-Latn-ME"/>
              </w:rPr>
              <w:t>estu prim</w:t>
            </w:r>
            <w:r w:rsidR="0090305A" w:rsidRPr="000D3D7F">
              <w:rPr>
                <w:noProof/>
                <w:szCs w:val="22"/>
                <w:lang w:val="sr-Latn-ME"/>
              </w:rPr>
              <w:t>j</w:t>
            </w:r>
            <w:r w:rsidRPr="000D3D7F">
              <w:rPr>
                <w:noProof/>
                <w:szCs w:val="22"/>
                <w:lang w:val="sr-Latn-ME"/>
              </w:rPr>
              <w:t>ene*, hernija (uključujući hijatus</w:t>
            </w:r>
          </w:p>
          <w:p w14:paraId="5183F440" w14:textId="6E574E89" w:rsidR="00D00258" w:rsidRPr="000D3D7F" w:rsidRDefault="00D00258" w:rsidP="001E1F5A">
            <w:pPr>
              <w:rPr>
                <w:noProof/>
                <w:lang w:val="sr-Latn-ME"/>
              </w:rPr>
            </w:pPr>
            <w:r w:rsidRPr="000D3D7F">
              <w:rPr>
                <w:noProof/>
                <w:szCs w:val="22"/>
                <w:lang w:val="sr-Latn-ME"/>
              </w:rPr>
              <w:t>herniju)*, poremećaj zarastanja, zapaljenje, flebitis na m</w:t>
            </w:r>
            <w:r w:rsidR="0090305A" w:rsidRPr="000D3D7F">
              <w:rPr>
                <w:noProof/>
                <w:szCs w:val="22"/>
                <w:lang w:val="sr-Latn-ME"/>
              </w:rPr>
              <w:t>j</w:t>
            </w:r>
            <w:r w:rsidRPr="000D3D7F">
              <w:rPr>
                <w:noProof/>
                <w:szCs w:val="22"/>
                <w:lang w:val="sr-Latn-ME"/>
              </w:rPr>
              <w:t>estu</w:t>
            </w:r>
          </w:p>
          <w:p w14:paraId="4E3E20A1" w14:textId="2E34E8EB" w:rsidR="00D00258" w:rsidRPr="000D3D7F" w:rsidRDefault="00D00258" w:rsidP="001E1F5A">
            <w:pPr>
              <w:rPr>
                <w:noProof/>
                <w:lang w:val="sr-Latn-ME"/>
              </w:rPr>
            </w:pPr>
            <w:r w:rsidRPr="000D3D7F">
              <w:rPr>
                <w:noProof/>
                <w:szCs w:val="22"/>
                <w:lang w:val="sr-Latn-ME"/>
              </w:rPr>
              <w:lastRenderedPageBreak/>
              <w:t>prim</w:t>
            </w:r>
            <w:r w:rsidR="0090305A" w:rsidRPr="000D3D7F">
              <w:rPr>
                <w:noProof/>
                <w:szCs w:val="22"/>
                <w:lang w:val="sr-Latn-ME"/>
              </w:rPr>
              <w:t>j</w:t>
            </w:r>
            <w:r w:rsidRPr="000D3D7F">
              <w:rPr>
                <w:noProof/>
                <w:szCs w:val="22"/>
                <w:lang w:val="sr-Latn-ME"/>
              </w:rPr>
              <w:t>ene*, os</w:t>
            </w:r>
            <w:r w:rsidR="0090305A" w:rsidRPr="000D3D7F">
              <w:rPr>
                <w:noProof/>
                <w:szCs w:val="22"/>
                <w:lang w:val="sr-Latn-ME"/>
              </w:rPr>
              <w:t>j</w:t>
            </w:r>
            <w:r w:rsidRPr="000D3D7F">
              <w:rPr>
                <w:noProof/>
                <w:szCs w:val="22"/>
                <w:lang w:val="sr-Latn-ME"/>
              </w:rPr>
              <w:t>etljivost, ulkus, iritabilnost, ne-kardijalni bol u grudima, bol na m</w:t>
            </w:r>
            <w:r w:rsidR="0090305A" w:rsidRPr="000D3D7F">
              <w:rPr>
                <w:noProof/>
                <w:szCs w:val="22"/>
                <w:lang w:val="sr-Latn-ME"/>
              </w:rPr>
              <w:t>j</w:t>
            </w:r>
            <w:r w:rsidRPr="000D3D7F">
              <w:rPr>
                <w:noProof/>
                <w:szCs w:val="22"/>
                <w:lang w:val="sr-Latn-ME"/>
              </w:rPr>
              <w:t>estu katetera, os</w:t>
            </w:r>
            <w:r w:rsidR="0090305A" w:rsidRPr="000D3D7F">
              <w:rPr>
                <w:noProof/>
                <w:szCs w:val="22"/>
                <w:lang w:val="sr-Latn-ME"/>
              </w:rPr>
              <w:t>j</w:t>
            </w:r>
            <w:r w:rsidRPr="000D3D7F">
              <w:rPr>
                <w:noProof/>
                <w:szCs w:val="22"/>
                <w:lang w:val="sr-Latn-ME"/>
              </w:rPr>
              <w:t>ećaj stranog t</w:t>
            </w:r>
            <w:r w:rsidR="0090305A" w:rsidRPr="000D3D7F">
              <w:rPr>
                <w:noProof/>
                <w:szCs w:val="22"/>
                <w:lang w:val="sr-Latn-ME"/>
              </w:rPr>
              <w:t>ij</w:t>
            </w:r>
            <w:r w:rsidRPr="000D3D7F">
              <w:rPr>
                <w:noProof/>
                <w:szCs w:val="22"/>
                <w:lang w:val="sr-Latn-ME"/>
              </w:rPr>
              <w:t>ela</w:t>
            </w:r>
          </w:p>
        </w:tc>
      </w:tr>
      <w:tr w:rsidR="00D00258" w:rsidRPr="000D3D7F" w14:paraId="1E789EE4" w14:textId="77777777" w:rsidTr="00787214">
        <w:trPr>
          <w:trHeight w:val="254"/>
        </w:trPr>
        <w:tc>
          <w:tcPr>
            <w:tcW w:w="2228" w:type="dxa"/>
            <w:gridSpan w:val="3"/>
            <w:vMerge w:val="restart"/>
            <w:tcBorders>
              <w:top w:val="nil"/>
              <w:left w:val="single" w:sz="4" w:space="0" w:color="000000"/>
              <w:bottom w:val="single" w:sz="4" w:space="0" w:color="000000"/>
              <w:right w:val="single" w:sz="4" w:space="0" w:color="000000"/>
            </w:tcBorders>
          </w:tcPr>
          <w:p w14:paraId="1FA9CA19" w14:textId="77777777" w:rsidR="00D00258" w:rsidRPr="000D3D7F" w:rsidRDefault="00D00258" w:rsidP="001E1F5A">
            <w:pPr>
              <w:tabs>
                <w:tab w:val="clear" w:pos="284"/>
              </w:tabs>
              <w:kinsoku w:val="0"/>
              <w:overflowPunct w:val="0"/>
              <w:autoSpaceDE w:val="0"/>
              <w:autoSpaceDN w:val="0"/>
              <w:adjustRightInd w:val="0"/>
              <w:spacing w:line="238" w:lineRule="exact"/>
              <w:ind w:left="110"/>
              <w:rPr>
                <w:lang w:val="sr-Latn-ME"/>
              </w:rPr>
            </w:pPr>
            <w:r w:rsidRPr="000D3D7F">
              <w:rPr>
                <w:szCs w:val="22"/>
                <w:lang w:val="sr-Latn-ME"/>
              </w:rPr>
              <w:lastRenderedPageBreak/>
              <w:t>Ispitivanja</w:t>
            </w:r>
          </w:p>
        </w:tc>
        <w:tc>
          <w:tcPr>
            <w:tcW w:w="1829" w:type="dxa"/>
            <w:tcBorders>
              <w:top w:val="single" w:sz="4" w:space="0" w:color="000000"/>
              <w:left w:val="single" w:sz="4" w:space="0" w:color="000000"/>
              <w:bottom w:val="single" w:sz="4" w:space="0" w:color="000000"/>
              <w:right w:val="single" w:sz="4" w:space="0" w:color="000000"/>
            </w:tcBorders>
          </w:tcPr>
          <w:p w14:paraId="4FBADC46" w14:textId="77777777" w:rsidR="00D00258" w:rsidRPr="000D3D7F" w:rsidRDefault="00D00258" w:rsidP="001E1F5A">
            <w:pPr>
              <w:rPr>
                <w:noProof/>
                <w:lang w:val="sr-Latn-ME"/>
              </w:rPr>
            </w:pPr>
            <w:r w:rsidRPr="000D3D7F">
              <w:rPr>
                <w:noProof/>
                <w:szCs w:val="22"/>
                <w:lang w:val="sr-Latn-ME"/>
              </w:rPr>
              <w:t>često</w:t>
            </w:r>
          </w:p>
        </w:tc>
        <w:tc>
          <w:tcPr>
            <w:tcW w:w="6300" w:type="dxa"/>
            <w:gridSpan w:val="5"/>
            <w:tcBorders>
              <w:top w:val="single" w:sz="4" w:space="0" w:color="000000"/>
              <w:left w:val="single" w:sz="4" w:space="0" w:color="000000"/>
              <w:bottom w:val="single" w:sz="4" w:space="0" w:color="000000"/>
              <w:right w:val="single" w:sz="4" w:space="0" w:color="000000"/>
            </w:tcBorders>
          </w:tcPr>
          <w:p w14:paraId="4EA1564D" w14:textId="3ED8553D" w:rsidR="00D00258" w:rsidRPr="000D3D7F" w:rsidRDefault="00D00258" w:rsidP="001E1F5A">
            <w:pPr>
              <w:rPr>
                <w:noProof/>
                <w:lang w:val="sr-Latn-ME"/>
              </w:rPr>
            </w:pPr>
            <w:r w:rsidRPr="000D3D7F">
              <w:rPr>
                <w:noProof/>
                <w:szCs w:val="22"/>
                <w:lang w:val="sr-Latn-ME"/>
              </w:rPr>
              <w:t>smanjenje t</w:t>
            </w:r>
            <w:r w:rsidR="0090305A" w:rsidRPr="000D3D7F">
              <w:rPr>
                <w:noProof/>
                <w:szCs w:val="22"/>
                <w:lang w:val="sr-Latn-ME"/>
              </w:rPr>
              <w:t>j</w:t>
            </w:r>
            <w:r w:rsidRPr="000D3D7F">
              <w:rPr>
                <w:noProof/>
                <w:szCs w:val="22"/>
                <w:lang w:val="sr-Latn-ME"/>
              </w:rPr>
              <w:t>elesne težine</w:t>
            </w:r>
          </w:p>
        </w:tc>
      </w:tr>
      <w:tr w:rsidR="00D00258" w:rsidRPr="000D3D7F" w14:paraId="6DAA5137"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14745F48"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4F780773"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4AC2ACC1" w14:textId="77777777" w:rsidR="00D00258" w:rsidRPr="000D3D7F" w:rsidRDefault="00D00258" w:rsidP="001E1F5A">
            <w:pPr>
              <w:rPr>
                <w:noProof/>
                <w:lang w:val="sr-Latn-ME"/>
              </w:rPr>
            </w:pPr>
            <w:r w:rsidRPr="000D3D7F">
              <w:rPr>
                <w:noProof/>
                <w:szCs w:val="22"/>
                <w:lang w:val="sr-Latn-ME"/>
              </w:rPr>
              <w:t>hiperbilirubinemija*, abnormalne analize proteina*, povećanje</w:t>
            </w:r>
          </w:p>
          <w:p w14:paraId="296A4A1F" w14:textId="0C4AE526" w:rsidR="00D00258" w:rsidRPr="000D3D7F" w:rsidRDefault="00D00258" w:rsidP="001E1F5A">
            <w:pPr>
              <w:rPr>
                <w:noProof/>
                <w:lang w:val="sr-Latn-ME"/>
              </w:rPr>
            </w:pPr>
            <w:r w:rsidRPr="000D3D7F">
              <w:rPr>
                <w:noProof/>
                <w:szCs w:val="22"/>
                <w:lang w:val="sr-Latn-ME"/>
              </w:rPr>
              <w:t>t</w:t>
            </w:r>
            <w:r w:rsidR="0090305A" w:rsidRPr="000D3D7F">
              <w:rPr>
                <w:noProof/>
                <w:szCs w:val="22"/>
                <w:lang w:val="sr-Latn-ME"/>
              </w:rPr>
              <w:t>j</w:t>
            </w:r>
            <w:r w:rsidRPr="000D3D7F">
              <w:rPr>
                <w:noProof/>
                <w:szCs w:val="22"/>
                <w:lang w:val="sr-Latn-ME"/>
              </w:rPr>
              <w:t>elesne mase, abnormalni rezultati analize krvi*, povećan C reaktivni protein</w:t>
            </w:r>
          </w:p>
        </w:tc>
      </w:tr>
      <w:tr w:rsidR="00D00258" w:rsidRPr="000D3D7F" w14:paraId="1AF031C8"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39FA8F89"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5C614B9E" w14:textId="76CE8EE8"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1B9EC5DE" w14:textId="77777777" w:rsidR="00D00258" w:rsidRPr="000D3D7F" w:rsidRDefault="00D00258" w:rsidP="001E1F5A">
            <w:pPr>
              <w:rPr>
                <w:noProof/>
                <w:lang w:val="sr-Latn-ME"/>
              </w:rPr>
            </w:pPr>
            <w:r w:rsidRPr="000D3D7F">
              <w:rPr>
                <w:noProof/>
                <w:szCs w:val="22"/>
                <w:lang w:val="sr-Latn-ME"/>
              </w:rPr>
              <w:t>abnormalni gasovi u krvi*, abnormalan EKG (uključujući</w:t>
            </w:r>
          </w:p>
          <w:p w14:paraId="3519847B" w14:textId="77777777" w:rsidR="00D00258" w:rsidRPr="000D3D7F" w:rsidRDefault="00D00258" w:rsidP="001E1F5A">
            <w:pPr>
              <w:rPr>
                <w:noProof/>
                <w:lang w:val="sr-Latn-ME"/>
              </w:rPr>
            </w:pPr>
            <w:r w:rsidRPr="000D3D7F">
              <w:rPr>
                <w:noProof/>
                <w:szCs w:val="22"/>
                <w:lang w:val="sr-Latn-ME"/>
              </w:rPr>
              <w:t>produženi QT interval)*, abnormalan INR*, smanjen gastrički</w:t>
            </w:r>
          </w:p>
          <w:p w14:paraId="2EFC2A51" w14:textId="77777777" w:rsidR="00D00258" w:rsidRPr="000D3D7F" w:rsidRDefault="00D00258" w:rsidP="001E1F5A">
            <w:pPr>
              <w:rPr>
                <w:noProof/>
                <w:lang w:val="sr-Latn-ME"/>
              </w:rPr>
            </w:pPr>
            <w:r w:rsidRPr="000D3D7F">
              <w:rPr>
                <w:noProof/>
                <w:szCs w:val="22"/>
                <w:lang w:val="sr-Latn-ME"/>
              </w:rPr>
              <w:t>pH, povećana agregacija trombocita, povećanje troponina I, identifikacija virusa i serologija*, abnormalne analize urina*</w:t>
            </w:r>
          </w:p>
        </w:tc>
      </w:tr>
      <w:tr w:rsidR="00D00258" w:rsidRPr="000D3D7F" w14:paraId="188D6BCD" w14:textId="77777777" w:rsidTr="00787214">
        <w:trPr>
          <w:trHeight w:val="254"/>
        </w:trPr>
        <w:tc>
          <w:tcPr>
            <w:tcW w:w="2228" w:type="dxa"/>
            <w:gridSpan w:val="3"/>
            <w:vMerge w:val="restart"/>
            <w:tcBorders>
              <w:top w:val="nil"/>
              <w:left w:val="single" w:sz="4" w:space="0" w:color="000000"/>
              <w:bottom w:val="single" w:sz="4" w:space="0" w:color="000000"/>
              <w:right w:val="single" w:sz="4" w:space="0" w:color="000000"/>
            </w:tcBorders>
          </w:tcPr>
          <w:p w14:paraId="0BB27CA8" w14:textId="77777777" w:rsidR="00D00258" w:rsidRPr="000D3D7F" w:rsidRDefault="00D00258" w:rsidP="001E1F5A">
            <w:pPr>
              <w:tabs>
                <w:tab w:val="clear" w:pos="284"/>
              </w:tabs>
              <w:kinsoku w:val="0"/>
              <w:overflowPunct w:val="0"/>
              <w:autoSpaceDE w:val="0"/>
              <w:autoSpaceDN w:val="0"/>
              <w:adjustRightInd w:val="0"/>
              <w:spacing w:line="238" w:lineRule="exact"/>
              <w:ind w:left="110"/>
              <w:rPr>
                <w:lang w:val="sr-Latn-ME"/>
              </w:rPr>
            </w:pPr>
            <w:r w:rsidRPr="000D3D7F">
              <w:rPr>
                <w:szCs w:val="22"/>
                <w:lang w:val="sr-Latn-ME"/>
              </w:rPr>
              <w:t>Povrede, trovanja i</w:t>
            </w:r>
          </w:p>
          <w:p w14:paraId="5964F8F2" w14:textId="77777777" w:rsidR="00D00258" w:rsidRPr="000D3D7F" w:rsidRDefault="00D00258" w:rsidP="001E1F5A">
            <w:pPr>
              <w:tabs>
                <w:tab w:val="clear" w:pos="284"/>
              </w:tabs>
              <w:kinsoku w:val="0"/>
              <w:overflowPunct w:val="0"/>
              <w:autoSpaceDE w:val="0"/>
              <w:autoSpaceDN w:val="0"/>
              <w:adjustRightInd w:val="0"/>
              <w:spacing w:before="1"/>
              <w:ind w:left="110"/>
              <w:rPr>
                <w:lang w:val="sr-Latn-ME"/>
              </w:rPr>
            </w:pPr>
            <w:r w:rsidRPr="000D3D7F">
              <w:rPr>
                <w:szCs w:val="22"/>
                <w:lang w:val="sr-Latn-ME"/>
              </w:rPr>
              <w:t>procedurealne komplikacije</w:t>
            </w:r>
          </w:p>
        </w:tc>
        <w:tc>
          <w:tcPr>
            <w:tcW w:w="1829" w:type="dxa"/>
            <w:tcBorders>
              <w:top w:val="single" w:sz="4" w:space="0" w:color="000000"/>
              <w:left w:val="single" w:sz="4" w:space="0" w:color="000000"/>
              <w:bottom w:val="single" w:sz="4" w:space="0" w:color="000000"/>
              <w:right w:val="single" w:sz="4" w:space="0" w:color="000000"/>
            </w:tcBorders>
          </w:tcPr>
          <w:p w14:paraId="11AF336F" w14:textId="77777777" w:rsidR="00D00258" w:rsidRPr="000D3D7F" w:rsidRDefault="00D00258" w:rsidP="001E1F5A">
            <w:pPr>
              <w:rPr>
                <w:noProof/>
                <w:lang w:val="sr-Latn-ME"/>
              </w:rPr>
            </w:pPr>
            <w:r w:rsidRPr="000D3D7F">
              <w:rPr>
                <w:noProof/>
                <w:szCs w:val="22"/>
                <w:lang w:val="sr-Latn-ME"/>
              </w:rPr>
              <w:t>povremeno</w:t>
            </w:r>
          </w:p>
        </w:tc>
        <w:tc>
          <w:tcPr>
            <w:tcW w:w="6300" w:type="dxa"/>
            <w:gridSpan w:val="5"/>
            <w:tcBorders>
              <w:top w:val="single" w:sz="4" w:space="0" w:color="000000"/>
              <w:left w:val="single" w:sz="4" w:space="0" w:color="000000"/>
              <w:bottom w:val="single" w:sz="4" w:space="0" w:color="000000"/>
              <w:right w:val="single" w:sz="4" w:space="0" w:color="000000"/>
            </w:tcBorders>
          </w:tcPr>
          <w:p w14:paraId="0954E2CC" w14:textId="77777777" w:rsidR="00D00258" w:rsidRPr="000D3D7F" w:rsidRDefault="00D00258" w:rsidP="001E1F5A">
            <w:pPr>
              <w:rPr>
                <w:noProof/>
                <w:lang w:val="sr-Latn-ME"/>
              </w:rPr>
            </w:pPr>
            <w:r w:rsidRPr="000D3D7F">
              <w:rPr>
                <w:noProof/>
                <w:szCs w:val="22"/>
                <w:lang w:val="sr-Latn-ME"/>
              </w:rPr>
              <w:t>pad, kontuzija</w:t>
            </w:r>
          </w:p>
        </w:tc>
      </w:tr>
      <w:tr w:rsidR="00D00258" w:rsidRPr="000D3D7F" w14:paraId="1183147F" w14:textId="77777777" w:rsidTr="00787214">
        <w:trPr>
          <w:trHeight w:val="254"/>
        </w:trPr>
        <w:tc>
          <w:tcPr>
            <w:tcW w:w="2228" w:type="dxa"/>
            <w:gridSpan w:val="3"/>
            <w:vMerge/>
            <w:tcBorders>
              <w:top w:val="nil"/>
              <w:left w:val="single" w:sz="4" w:space="0" w:color="000000"/>
              <w:bottom w:val="single" w:sz="4" w:space="0" w:color="000000"/>
              <w:right w:val="single" w:sz="4" w:space="0" w:color="000000"/>
            </w:tcBorders>
          </w:tcPr>
          <w:p w14:paraId="046D5A16" w14:textId="77777777" w:rsidR="00D00258" w:rsidRPr="000D3D7F" w:rsidRDefault="00D00258" w:rsidP="001E1F5A">
            <w:pPr>
              <w:tabs>
                <w:tab w:val="clear" w:pos="284"/>
              </w:tabs>
              <w:autoSpaceDE w:val="0"/>
              <w:autoSpaceDN w:val="0"/>
              <w:adjustRightInd w:val="0"/>
              <w:rPr>
                <w:sz w:val="2"/>
                <w:szCs w:val="2"/>
                <w:lang w:val="sr-Latn-ME"/>
              </w:rPr>
            </w:pPr>
          </w:p>
        </w:tc>
        <w:tc>
          <w:tcPr>
            <w:tcW w:w="1829" w:type="dxa"/>
            <w:tcBorders>
              <w:top w:val="single" w:sz="4" w:space="0" w:color="000000"/>
              <w:left w:val="single" w:sz="4" w:space="0" w:color="000000"/>
              <w:bottom w:val="single" w:sz="4" w:space="0" w:color="000000"/>
              <w:right w:val="single" w:sz="4" w:space="0" w:color="000000"/>
            </w:tcBorders>
          </w:tcPr>
          <w:p w14:paraId="7225C3D3" w14:textId="48B25A1B"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2DD65A95" w14:textId="77777777" w:rsidR="00D00258" w:rsidRPr="000D3D7F" w:rsidRDefault="00D00258" w:rsidP="001E1F5A">
            <w:pPr>
              <w:rPr>
                <w:noProof/>
                <w:lang w:val="sr-Latn-ME"/>
              </w:rPr>
            </w:pPr>
            <w:r w:rsidRPr="000D3D7F">
              <w:rPr>
                <w:noProof/>
                <w:szCs w:val="22"/>
                <w:lang w:val="sr-Latn-ME"/>
              </w:rPr>
              <w:t>transfuziona reakcija, prelomi*, rigor*, povreda lica, povreda</w:t>
            </w:r>
          </w:p>
          <w:p w14:paraId="135DD362" w14:textId="77777777" w:rsidR="00D00258" w:rsidRPr="000D3D7F" w:rsidRDefault="00D00258" w:rsidP="001E1F5A">
            <w:pPr>
              <w:rPr>
                <w:noProof/>
                <w:lang w:val="sr-Latn-ME"/>
              </w:rPr>
            </w:pPr>
            <w:r w:rsidRPr="000D3D7F">
              <w:rPr>
                <w:noProof/>
                <w:szCs w:val="22"/>
                <w:lang w:val="sr-Latn-ME"/>
              </w:rPr>
              <w:t>zgloba, opekotine*, laceracija, proceduralni bol, povrede zračenjem*</w:t>
            </w:r>
          </w:p>
        </w:tc>
      </w:tr>
      <w:tr w:rsidR="00D00258" w:rsidRPr="000D3D7F" w14:paraId="0C314D85" w14:textId="77777777" w:rsidTr="00787214">
        <w:trPr>
          <w:trHeight w:val="254"/>
        </w:trPr>
        <w:tc>
          <w:tcPr>
            <w:tcW w:w="2228" w:type="dxa"/>
            <w:gridSpan w:val="3"/>
            <w:tcBorders>
              <w:top w:val="nil"/>
              <w:left w:val="single" w:sz="4" w:space="0" w:color="000000"/>
              <w:bottom w:val="single" w:sz="4" w:space="0" w:color="000000"/>
              <w:right w:val="single" w:sz="4" w:space="0" w:color="000000"/>
            </w:tcBorders>
          </w:tcPr>
          <w:p w14:paraId="6CB600F5" w14:textId="77777777" w:rsidR="00D00258" w:rsidRPr="000D3D7F" w:rsidRDefault="00D00258" w:rsidP="001E1F5A">
            <w:pPr>
              <w:tabs>
                <w:tab w:val="clear" w:pos="284"/>
              </w:tabs>
              <w:kinsoku w:val="0"/>
              <w:overflowPunct w:val="0"/>
              <w:autoSpaceDE w:val="0"/>
              <w:autoSpaceDN w:val="0"/>
              <w:adjustRightInd w:val="0"/>
              <w:spacing w:line="238" w:lineRule="exact"/>
              <w:ind w:left="110"/>
              <w:rPr>
                <w:lang w:val="sr-Latn-ME"/>
              </w:rPr>
            </w:pPr>
            <w:r w:rsidRPr="000D3D7F">
              <w:rPr>
                <w:szCs w:val="22"/>
                <w:lang w:val="sr-Latn-ME"/>
              </w:rPr>
              <w:t>Hitne i medicinske</w:t>
            </w:r>
          </w:p>
          <w:p w14:paraId="1D4FB962" w14:textId="77777777" w:rsidR="00D00258" w:rsidRPr="000D3D7F" w:rsidRDefault="00D00258" w:rsidP="001E1F5A">
            <w:pPr>
              <w:tabs>
                <w:tab w:val="clear" w:pos="284"/>
              </w:tabs>
              <w:kinsoku w:val="0"/>
              <w:overflowPunct w:val="0"/>
              <w:autoSpaceDE w:val="0"/>
              <w:autoSpaceDN w:val="0"/>
              <w:adjustRightInd w:val="0"/>
              <w:spacing w:before="1" w:line="249" w:lineRule="exact"/>
              <w:ind w:left="110"/>
              <w:rPr>
                <w:lang w:val="sr-Latn-ME"/>
              </w:rPr>
            </w:pPr>
            <w:r w:rsidRPr="000D3D7F">
              <w:rPr>
                <w:szCs w:val="22"/>
                <w:lang w:val="sr-Latn-ME"/>
              </w:rPr>
              <w:t>procedure</w:t>
            </w:r>
          </w:p>
        </w:tc>
        <w:tc>
          <w:tcPr>
            <w:tcW w:w="1829" w:type="dxa"/>
            <w:tcBorders>
              <w:top w:val="single" w:sz="4" w:space="0" w:color="000000"/>
              <w:left w:val="single" w:sz="4" w:space="0" w:color="000000"/>
              <w:bottom w:val="single" w:sz="4" w:space="0" w:color="000000"/>
              <w:right w:val="single" w:sz="4" w:space="0" w:color="000000"/>
            </w:tcBorders>
          </w:tcPr>
          <w:p w14:paraId="16879A2E" w14:textId="58880F90" w:rsidR="00D00258" w:rsidRPr="000D3D7F" w:rsidRDefault="00D00258" w:rsidP="001E1F5A">
            <w:pPr>
              <w:rPr>
                <w:noProof/>
                <w:lang w:val="sr-Latn-ME"/>
              </w:rPr>
            </w:pPr>
            <w:r w:rsidRPr="000D3D7F">
              <w:rPr>
                <w:noProof/>
                <w:szCs w:val="22"/>
                <w:lang w:val="sr-Latn-ME"/>
              </w:rPr>
              <w:t>r</w:t>
            </w:r>
            <w:r w:rsidR="0090305A" w:rsidRPr="000D3D7F">
              <w:rPr>
                <w:noProof/>
                <w:szCs w:val="22"/>
                <w:lang w:val="sr-Latn-ME"/>
              </w:rPr>
              <w:t>ij</w:t>
            </w:r>
            <w:r w:rsidRPr="000D3D7F">
              <w:rPr>
                <w:noProof/>
                <w:szCs w:val="22"/>
                <w:lang w:val="sr-Latn-ME"/>
              </w:rPr>
              <w:t>etko</w:t>
            </w:r>
          </w:p>
        </w:tc>
        <w:tc>
          <w:tcPr>
            <w:tcW w:w="6300" w:type="dxa"/>
            <w:gridSpan w:val="5"/>
            <w:tcBorders>
              <w:top w:val="single" w:sz="4" w:space="0" w:color="000000"/>
              <w:left w:val="single" w:sz="4" w:space="0" w:color="000000"/>
              <w:bottom w:val="single" w:sz="4" w:space="0" w:color="000000"/>
              <w:right w:val="single" w:sz="4" w:space="0" w:color="000000"/>
            </w:tcBorders>
          </w:tcPr>
          <w:p w14:paraId="6B328550" w14:textId="77777777" w:rsidR="00D00258" w:rsidRPr="000D3D7F" w:rsidRDefault="00D00258" w:rsidP="001E1F5A">
            <w:pPr>
              <w:rPr>
                <w:noProof/>
                <w:lang w:val="sr-Latn-ME"/>
              </w:rPr>
            </w:pPr>
            <w:r w:rsidRPr="000D3D7F">
              <w:rPr>
                <w:noProof/>
                <w:szCs w:val="22"/>
                <w:lang w:val="sr-Latn-ME"/>
              </w:rPr>
              <w:t>aktivacija makrofaga</w:t>
            </w:r>
          </w:p>
        </w:tc>
      </w:tr>
    </w:tbl>
    <w:p w14:paraId="69341FC3" w14:textId="77777777" w:rsidR="00D00258" w:rsidRPr="000D3D7F" w:rsidRDefault="00D00258" w:rsidP="001E1F5A">
      <w:pPr>
        <w:rPr>
          <w:noProof/>
          <w:szCs w:val="22"/>
          <w:lang w:val="sr-Latn-ME"/>
        </w:rPr>
      </w:pPr>
      <w:r w:rsidRPr="000D3D7F">
        <w:rPr>
          <w:noProof/>
          <w:szCs w:val="22"/>
          <w:lang w:val="sr-Latn-ME"/>
        </w:rPr>
        <w:t>*Grupisanje više od jednog medicinskog termina prema MedDra</w:t>
      </w:r>
    </w:p>
    <w:p w14:paraId="0FB377C6" w14:textId="77777777" w:rsidR="00D00258" w:rsidRPr="000D3D7F" w:rsidRDefault="00D00258" w:rsidP="001E1F5A">
      <w:pPr>
        <w:rPr>
          <w:noProof/>
          <w:szCs w:val="22"/>
          <w:lang w:val="sr-Latn-ME"/>
        </w:rPr>
      </w:pPr>
      <w:r w:rsidRPr="000D3D7F">
        <w:rPr>
          <w:noProof/>
          <w:szCs w:val="22"/>
          <w:lang w:val="sr-Latn-ME"/>
        </w:rPr>
        <w:t>#postmarketinška neželjena reakcija</w:t>
      </w:r>
    </w:p>
    <w:p w14:paraId="2C03BEA5" w14:textId="77777777" w:rsidR="00C26DCA" w:rsidRPr="000D3D7F" w:rsidRDefault="00C26DCA" w:rsidP="001E1F5A">
      <w:pPr>
        <w:rPr>
          <w:noProof/>
          <w:szCs w:val="22"/>
          <w:lang w:val="sr-Latn-ME"/>
        </w:rPr>
      </w:pPr>
    </w:p>
    <w:p w14:paraId="7306AB09" w14:textId="7E29FE0A" w:rsidR="00D00258" w:rsidRPr="000D3D7F" w:rsidRDefault="00D00258" w:rsidP="001E1F5A">
      <w:pPr>
        <w:rPr>
          <w:i/>
          <w:iCs/>
          <w:noProof/>
          <w:szCs w:val="22"/>
          <w:lang w:val="sr-Latn-ME"/>
        </w:rPr>
      </w:pPr>
      <w:r w:rsidRPr="000D3D7F">
        <w:rPr>
          <w:i/>
          <w:iCs/>
          <w:noProof/>
          <w:szCs w:val="22"/>
          <w:lang w:val="sr-Latn-ME"/>
        </w:rPr>
        <w:t>Mantle ćelijski limfom (MCL)</w:t>
      </w:r>
    </w:p>
    <w:p w14:paraId="075F5D46" w14:textId="2C10096A" w:rsidR="00D00258" w:rsidRPr="000D3D7F" w:rsidRDefault="00D00258" w:rsidP="001E1F5A">
      <w:pPr>
        <w:rPr>
          <w:noProof/>
          <w:szCs w:val="22"/>
          <w:lang w:val="sr-Latn-ME"/>
        </w:rPr>
      </w:pPr>
      <w:r w:rsidRPr="000D3D7F">
        <w:rPr>
          <w:noProof/>
          <w:szCs w:val="22"/>
          <w:lang w:val="sr-Latn-ME"/>
        </w:rPr>
        <w:t>Bezb</w:t>
      </w:r>
      <w:r w:rsidR="0090305A" w:rsidRPr="000D3D7F">
        <w:rPr>
          <w:noProof/>
          <w:szCs w:val="22"/>
          <w:lang w:val="sr-Latn-ME"/>
        </w:rPr>
        <w:t>j</w:t>
      </w:r>
      <w:r w:rsidRPr="000D3D7F">
        <w:rPr>
          <w:noProof/>
          <w:szCs w:val="22"/>
          <w:lang w:val="sr-Latn-ME"/>
        </w:rPr>
        <w:t xml:space="preserve">ednosni profil </w:t>
      </w:r>
      <w:r w:rsidR="00C26DCA" w:rsidRPr="000D3D7F">
        <w:rPr>
          <w:noProof/>
          <w:szCs w:val="22"/>
          <w:lang w:val="sr-Latn-ME"/>
        </w:rPr>
        <w:t>bortezomiba</w:t>
      </w:r>
      <w:r w:rsidRPr="000D3D7F">
        <w:rPr>
          <w:noProof/>
          <w:szCs w:val="22"/>
          <w:lang w:val="sr-Latn-ME"/>
        </w:rPr>
        <w:t xml:space="preserve"> kod 240 pacijenata sa MCL-om l</w:t>
      </w:r>
      <w:r w:rsidR="0090305A" w:rsidRPr="000D3D7F">
        <w:rPr>
          <w:noProof/>
          <w:szCs w:val="22"/>
          <w:lang w:val="sr-Latn-ME"/>
        </w:rPr>
        <w:t>ij</w:t>
      </w:r>
      <w:r w:rsidRPr="000D3D7F">
        <w:rPr>
          <w:noProof/>
          <w:szCs w:val="22"/>
          <w:lang w:val="sr-Latn-ME"/>
        </w:rPr>
        <w:t xml:space="preserve">ečenih </w:t>
      </w:r>
      <w:r w:rsidR="00C26DCA" w:rsidRPr="000D3D7F">
        <w:rPr>
          <w:noProof/>
          <w:szCs w:val="22"/>
          <w:lang w:val="sr-Latn-ME"/>
        </w:rPr>
        <w:t>bortezomib</w:t>
      </w:r>
      <w:r w:rsidR="008C1EBE" w:rsidRPr="000D3D7F">
        <w:rPr>
          <w:noProof/>
          <w:szCs w:val="22"/>
          <w:lang w:val="sr-Latn-ME"/>
        </w:rPr>
        <w:t>om</w:t>
      </w:r>
      <w:r w:rsidRPr="000D3D7F">
        <w:rPr>
          <w:noProof/>
          <w:szCs w:val="22"/>
          <w:lang w:val="sr-Latn-ME"/>
        </w:rPr>
        <w:t xml:space="preserve"> u dozi od 1,3mg/m</w:t>
      </w:r>
      <w:r w:rsidRPr="000D3D7F">
        <w:rPr>
          <w:noProof/>
          <w:szCs w:val="22"/>
          <w:vertAlign w:val="superscript"/>
          <w:lang w:val="sr-Latn-ME"/>
        </w:rPr>
        <w:t>2</w:t>
      </w:r>
      <w:r w:rsidR="004B33C6" w:rsidRPr="000D3D7F">
        <w:rPr>
          <w:noProof/>
          <w:szCs w:val="22"/>
          <w:lang w:val="sr-Latn-ME"/>
        </w:rPr>
        <w:t xml:space="preserve"> </w:t>
      </w:r>
      <w:r w:rsidRPr="000D3D7F">
        <w:rPr>
          <w:noProof/>
          <w:szCs w:val="22"/>
          <w:lang w:val="sr-Latn-ME"/>
        </w:rPr>
        <w:t>u kombinaciji sa rituksimabom, ciklofosfamidom, doksorubicinom i prednizonom (</w:t>
      </w:r>
      <w:r w:rsidR="008C1EBE" w:rsidRPr="000D3D7F">
        <w:rPr>
          <w:noProof/>
          <w:szCs w:val="22"/>
          <w:lang w:val="sr-Latn-ME"/>
        </w:rPr>
        <w:t>Bz</w:t>
      </w:r>
      <w:r w:rsidRPr="000D3D7F">
        <w:rPr>
          <w:noProof/>
          <w:szCs w:val="22"/>
          <w:lang w:val="sr-Latn-ME"/>
        </w:rPr>
        <w:t>R-CAP) u odnosu na</w:t>
      </w:r>
      <w:r w:rsidR="004B33C6" w:rsidRPr="000D3D7F">
        <w:rPr>
          <w:noProof/>
          <w:szCs w:val="22"/>
          <w:lang w:val="sr-Latn-ME"/>
        </w:rPr>
        <w:t xml:space="preserve"> </w:t>
      </w:r>
      <w:r w:rsidRPr="000D3D7F">
        <w:rPr>
          <w:noProof/>
          <w:szCs w:val="22"/>
          <w:lang w:val="sr-Latn-ME"/>
        </w:rPr>
        <w:t>242 pacijenta l</w:t>
      </w:r>
      <w:r w:rsidR="0090305A" w:rsidRPr="000D3D7F">
        <w:rPr>
          <w:noProof/>
          <w:szCs w:val="22"/>
          <w:lang w:val="sr-Latn-ME"/>
        </w:rPr>
        <w:t>ij</w:t>
      </w:r>
      <w:r w:rsidRPr="000D3D7F">
        <w:rPr>
          <w:noProof/>
          <w:szCs w:val="22"/>
          <w:lang w:val="sr-Latn-ME"/>
        </w:rPr>
        <w:t>ečenih rituksimabom, ciklofosfamidom, doksorubicinom, vinkristinom i prednizonom je bio</w:t>
      </w:r>
      <w:r w:rsidR="004B33C6" w:rsidRPr="000D3D7F">
        <w:rPr>
          <w:noProof/>
          <w:szCs w:val="22"/>
          <w:lang w:val="sr-Latn-ME"/>
        </w:rPr>
        <w:t xml:space="preserve"> </w:t>
      </w:r>
      <w:r w:rsidRPr="000D3D7F">
        <w:rPr>
          <w:noProof/>
          <w:szCs w:val="22"/>
          <w:lang w:val="sr-Latn-ME"/>
        </w:rPr>
        <w:t>relativno konzistentan kao i kod pacijenata sa mutiplim mijelomom sa glavnim razlikama koje su opisane</w:t>
      </w:r>
      <w:r w:rsidR="004B33C6" w:rsidRPr="000D3D7F">
        <w:rPr>
          <w:noProof/>
          <w:szCs w:val="22"/>
          <w:lang w:val="sr-Latn-ME"/>
        </w:rPr>
        <w:t xml:space="preserve"> </w:t>
      </w:r>
      <w:r w:rsidRPr="000D3D7F">
        <w:rPr>
          <w:noProof/>
          <w:szCs w:val="22"/>
          <w:lang w:val="sr-Latn-ME"/>
        </w:rPr>
        <w:t>ispod. Dodatne neželjene reakcije identifikovane sa upotrebom kombinovane terapije (</w:t>
      </w:r>
      <w:r w:rsidR="008C1EBE" w:rsidRPr="000D3D7F">
        <w:rPr>
          <w:noProof/>
          <w:szCs w:val="22"/>
          <w:lang w:val="sr-Latn-ME"/>
        </w:rPr>
        <w:t>Bz</w:t>
      </w:r>
      <w:r w:rsidRPr="000D3D7F">
        <w:rPr>
          <w:noProof/>
          <w:szCs w:val="22"/>
          <w:lang w:val="sr-Latn-ME"/>
        </w:rPr>
        <w:t>R-CAP) su bile</w:t>
      </w:r>
      <w:r w:rsidR="004B33C6" w:rsidRPr="000D3D7F">
        <w:rPr>
          <w:noProof/>
          <w:szCs w:val="22"/>
          <w:lang w:val="sr-Latn-ME"/>
        </w:rPr>
        <w:t xml:space="preserve"> </w:t>
      </w:r>
      <w:r w:rsidRPr="000D3D7F">
        <w:rPr>
          <w:noProof/>
          <w:szCs w:val="22"/>
          <w:lang w:val="sr-Latn-ME"/>
        </w:rPr>
        <w:t>hepatitis B infekcija (&lt;1%) i ishemija miokarda (1,3%). Slična incidenca ovih događaja u ob</w:t>
      </w:r>
      <w:r w:rsidR="0090305A" w:rsidRPr="000D3D7F">
        <w:rPr>
          <w:noProof/>
          <w:szCs w:val="22"/>
          <w:lang w:val="sr-Latn-ME"/>
        </w:rPr>
        <w:t>j</w:t>
      </w:r>
      <w:r w:rsidRPr="000D3D7F">
        <w:rPr>
          <w:noProof/>
          <w:szCs w:val="22"/>
          <w:lang w:val="sr-Latn-ME"/>
        </w:rPr>
        <w:t>e terapijske</w:t>
      </w:r>
      <w:r w:rsidR="004B33C6" w:rsidRPr="000D3D7F">
        <w:rPr>
          <w:noProof/>
          <w:szCs w:val="22"/>
          <w:lang w:val="sr-Latn-ME"/>
        </w:rPr>
        <w:t xml:space="preserve"> </w:t>
      </w:r>
      <w:r w:rsidRPr="000D3D7F">
        <w:rPr>
          <w:noProof/>
          <w:szCs w:val="22"/>
          <w:lang w:val="sr-Latn-ME"/>
        </w:rPr>
        <w:t xml:space="preserve">grupe, ukazale su da se ove neželjene reakcije ne mogu pripisati samo </w:t>
      </w:r>
      <w:r w:rsidR="008C1EBE" w:rsidRPr="000D3D7F">
        <w:rPr>
          <w:noProof/>
          <w:szCs w:val="22"/>
          <w:lang w:val="sr-Latn-ME"/>
        </w:rPr>
        <w:t>bortezomibu</w:t>
      </w:r>
      <w:r w:rsidRPr="000D3D7F">
        <w:rPr>
          <w:noProof/>
          <w:szCs w:val="22"/>
          <w:lang w:val="sr-Latn-ME"/>
        </w:rPr>
        <w:t>. Značajne razlike u</w:t>
      </w:r>
      <w:r w:rsidR="004B33C6" w:rsidRPr="000D3D7F">
        <w:rPr>
          <w:noProof/>
          <w:szCs w:val="22"/>
          <w:lang w:val="sr-Latn-ME"/>
        </w:rPr>
        <w:t xml:space="preserve"> </w:t>
      </w:r>
      <w:r w:rsidRPr="000D3D7F">
        <w:rPr>
          <w:noProof/>
          <w:szCs w:val="22"/>
          <w:lang w:val="sr-Latn-ME"/>
        </w:rPr>
        <w:t>studijama kod populacije pacijenata sa MCL u odnosu na pacijente sa multiplim mijelomom su bile ≥ 5%</w:t>
      </w:r>
      <w:r w:rsidR="004B33C6" w:rsidRPr="000D3D7F">
        <w:rPr>
          <w:noProof/>
          <w:szCs w:val="22"/>
          <w:lang w:val="sr-Latn-ME"/>
        </w:rPr>
        <w:t xml:space="preserve"> </w:t>
      </w:r>
      <w:r w:rsidRPr="000D3D7F">
        <w:rPr>
          <w:noProof/>
          <w:szCs w:val="22"/>
          <w:lang w:val="sr-Latn-ME"/>
        </w:rPr>
        <w:t>veća incidenca hematoloških neželjenih reakcija (netropenija, trombocitopenija, leukopenija, anemija,</w:t>
      </w:r>
      <w:r w:rsidR="004B33C6" w:rsidRPr="000D3D7F">
        <w:rPr>
          <w:noProof/>
          <w:szCs w:val="22"/>
          <w:lang w:val="sr-Latn-ME"/>
        </w:rPr>
        <w:t xml:space="preserve"> </w:t>
      </w:r>
      <w:r w:rsidRPr="000D3D7F">
        <w:rPr>
          <w:noProof/>
          <w:szCs w:val="22"/>
          <w:lang w:val="sr-Latn-ME"/>
        </w:rPr>
        <w:t>limfopenija), periferna senzorna neuropatija, hipertenzija, pireksija, pneumonija, stomatitis i poremećaji</w:t>
      </w:r>
      <w:r w:rsidR="004B33C6" w:rsidRPr="000D3D7F">
        <w:rPr>
          <w:noProof/>
          <w:szCs w:val="22"/>
          <w:lang w:val="sr-Latn-ME"/>
        </w:rPr>
        <w:t xml:space="preserve"> </w:t>
      </w:r>
      <w:r w:rsidRPr="000D3D7F">
        <w:rPr>
          <w:noProof/>
          <w:szCs w:val="22"/>
          <w:lang w:val="sr-Latn-ME"/>
        </w:rPr>
        <w:t>maljavosti.</w:t>
      </w:r>
    </w:p>
    <w:p w14:paraId="786A6945" w14:textId="613BE2CB" w:rsidR="00D00258" w:rsidRPr="000D3D7F" w:rsidRDefault="00D00258" w:rsidP="001E1F5A">
      <w:pPr>
        <w:rPr>
          <w:noProof/>
          <w:szCs w:val="22"/>
          <w:lang w:val="sr-Latn-ME"/>
        </w:rPr>
      </w:pPr>
    </w:p>
    <w:p w14:paraId="3425D6B0" w14:textId="1472186D" w:rsidR="00D00258" w:rsidRPr="000D3D7F" w:rsidRDefault="00D00258" w:rsidP="001E1F5A">
      <w:pPr>
        <w:rPr>
          <w:noProof/>
          <w:szCs w:val="22"/>
          <w:lang w:val="sr-Latn-ME"/>
        </w:rPr>
      </w:pPr>
      <w:r w:rsidRPr="000D3D7F">
        <w:rPr>
          <w:noProof/>
          <w:szCs w:val="22"/>
          <w:lang w:val="sr-Latn-ME"/>
        </w:rPr>
        <w:t xml:space="preserve">Neželjene reakcije koje su identifikovane sa ≥1% incidence, slične ili veće incidence u grupi </w:t>
      </w:r>
      <w:r w:rsidR="008C1EBE" w:rsidRPr="000D3D7F">
        <w:rPr>
          <w:noProof/>
          <w:szCs w:val="22"/>
          <w:lang w:val="sr-Latn-ME"/>
        </w:rPr>
        <w:t>Bz</w:t>
      </w:r>
      <w:r w:rsidRPr="000D3D7F">
        <w:rPr>
          <w:noProof/>
          <w:szCs w:val="22"/>
          <w:lang w:val="sr-Latn-ME"/>
        </w:rPr>
        <w:t>R-CAP i u</w:t>
      </w:r>
      <w:r w:rsidR="004B33C6" w:rsidRPr="000D3D7F">
        <w:rPr>
          <w:noProof/>
          <w:szCs w:val="22"/>
          <w:lang w:val="sr-Latn-ME"/>
        </w:rPr>
        <w:t xml:space="preserve"> </w:t>
      </w:r>
      <w:r w:rsidRPr="000D3D7F">
        <w:rPr>
          <w:noProof/>
          <w:szCs w:val="22"/>
          <w:lang w:val="sr-Latn-ME"/>
        </w:rPr>
        <w:t xml:space="preserve">najmanju ruku mogućom ili verovatnom uzročnom povezanošću sa komponentama </w:t>
      </w:r>
      <w:r w:rsidR="008C1EBE" w:rsidRPr="000D3D7F">
        <w:rPr>
          <w:noProof/>
          <w:szCs w:val="22"/>
          <w:lang w:val="sr-Latn-ME"/>
        </w:rPr>
        <w:t>Bz</w:t>
      </w:r>
      <w:r w:rsidRPr="000D3D7F">
        <w:rPr>
          <w:noProof/>
          <w:szCs w:val="22"/>
          <w:lang w:val="sr-Latn-ME"/>
        </w:rPr>
        <w:t>R-CAP grupe, su</w:t>
      </w:r>
      <w:r w:rsidR="004B33C6" w:rsidRPr="000D3D7F">
        <w:rPr>
          <w:noProof/>
          <w:szCs w:val="22"/>
          <w:lang w:val="sr-Latn-ME"/>
        </w:rPr>
        <w:t xml:space="preserve"> </w:t>
      </w:r>
      <w:r w:rsidRPr="000D3D7F">
        <w:rPr>
          <w:noProof/>
          <w:szCs w:val="22"/>
          <w:lang w:val="sr-Latn-ME"/>
        </w:rPr>
        <w:t xml:space="preserve">navedeni u Tabeli 8 ispod. Takođe su uključene neželjene reakcije identifikovane u </w:t>
      </w:r>
      <w:r w:rsidR="008C1EBE" w:rsidRPr="000D3D7F">
        <w:rPr>
          <w:noProof/>
          <w:szCs w:val="22"/>
          <w:lang w:val="sr-Latn-ME"/>
        </w:rPr>
        <w:t>Bz</w:t>
      </w:r>
      <w:r w:rsidRPr="000D3D7F">
        <w:rPr>
          <w:noProof/>
          <w:szCs w:val="22"/>
          <w:lang w:val="sr-Latn-ME"/>
        </w:rPr>
        <w:t>R-CAP grupi koje od</w:t>
      </w:r>
      <w:r w:rsidR="004B33C6" w:rsidRPr="000D3D7F">
        <w:rPr>
          <w:noProof/>
          <w:szCs w:val="22"/>
          <w:lang w:val="sr-Latn-ME"/>
        </w:rPr>
        <w:t xml:space="preserve"> </w:t>
      </w:r>
      <w:r w:rsidRPr="000D3D7F">
        <w:rPr>
          <w:noProof/>
          <w:szCs w:val="22"/>
          <w:lang w:val="sr-Latn-ME"/>
        </w:rPr>
        <w:t>strane istraživača smatrane najmanje mogućom ili v</w:t>
      </w:r>
      <w:r w:rsidR="0090305A" w:rsidRPr="000D3D7F">
        <w:rPr>
          <w:noProof/>
          <w:szCs w:val="22"/>
          <w:lang w:val="sr-Latn-ME"/>
        </w:rPr>
        <w:t>j</w:t>
      </w:r>
      <w:r w:rsidRPr="000D3D7F">
        <w:rPr>
          <w:noProof/>
          <w:szCs w:val="22"/>
          <w:lang w:val="sr-Latn-ME"/>
        </w:rPr>
        <w:t xml:space="preserve">erovatnom uzročnom povezanošću sa </w:t>
      </w:r>
      <w:r w:rsidR="00C26DCA" w:rsidRPr="000D3D7F">
        <w:rPr>
          <w:noProof/>
          <w:szCs w:val="22"/>
          <w:lang w:val="sr-Latn-ME"/>
        </w:rPr>
        <w:t>bortezomib</w:t>
      </w:r>
      <w:r w:rsidR="001C5A60" w:rsidRPr="000D3D7F">
        <w:rPr>
          <w:noProof/>
          <w:szCs w:val="22"/>
          <w:lang w:val="sr-Latn-ME"/>
        </w:rPr>
        <w:t>om</w:t>
      </w:r>
      <w:r w:rsidRPr="000D3D7F">
        <w:rPr>
          <w:noProof/>
          <w:szCs w:val="22"/>
          <w:lang w:val="sr-Latn-ME"/>
        </w:rPr>
        <w:t xml:space="preserve"> na</w:t>
      </w:r>
      <w:r w:rsidR="004B33C6" w:rsidRPr="000D3D7F">
        <w:rPr>
          <w:noProof/>
          <w:szCs w:val="22"/>
          <w:lang w:val="sr-Latn-ME"/>
        </w:rPr>
        <w:t xml:space="preserve"> </w:t>
      </w:r>
      <w:r w:rsidRPr="000D3D7F">
        <w:rPr>
          <w:noProof/>
          <w:szCs w:val="22"/>
          <w:lang w:val="sr-Latn-ME"/>
        </w:rPr>
        <w:t>osnovu istorijskih podataka u ispitivanjima sa multiplim mijelomom.</w:t>
      </w:r>
    </w:p>
    <w:p w14:paraId="71196BC2" w14:textId="77777777" w:rsidR="00C26DCA" w:rsidRPr="000D3D7F" w:rsidRDefault="00C26DCA" w:rsidP="001E1F5A">
      <w:pPr>
        <w:rPr>
          <w:noProof/>
          <w:szCs w:val="22"/>
          <w:lang w:val="sr-Latn-ME"/>
        </w:rPr>
      </w:pPr>
    </w:p>
    <w:p w14:paraId="3A541699" w14:textId="73E543E4" w:rsidR="00D00258" w:rsidRPr="000D3D7F" w:rsidRDefault="00D00258" w:rsidP="001E1F5A">
      <w:pPr>
        <w:rPr>
          <w:noProof/>
          <w:szCs w:val="22"/>
          <w:lang w:val="sr-Latn-ME"/>
        </w:rPr>
      </w:pPr>
      <w:r w:rsidRPr="000D3D7F">
        <w:rPr>
          <w:noProof/>
          <w:szCs w:val="22"/>
          <w:lang w:val="sr-Latn-ME"/>
        </w:rPr>
        <w:t>Neželjena dejstva su navedena prema MedDRA konvenciji o učestalosti. Učestalost neželjenih dejstava je</w:t>
      </w:r>
      <w:r w:rsidR="004B33C6" w:rsidRPr="000D3D7F">
        <w:rPr>
          <w:noProof/>
          <w:szCs w:val="22"/>
          <w:lang w:val="sr-Latn-ME"/>
        </w:rPr>
        <w:t xml:space="preserve"> </w:t>
      </w:r>
      <w:r w:rsidRPr="000D3D7F">
        <w:rPr>
          <w:noProof/>
          <w:szCs w:val="22"/>
          <w:lang w:val="sr-Latn-ME"/>
        </w:rPr>
        <w:t>izražena kao: Veoma često (&gt;1/10); Često (&gt;1/100 do &lt;1/10); Povremeno (&gt;1/1000 do &lt;1/100); R</w:t>
      </w:r>
      <w:r w:rsidR="0090305A" w:rsidRPr="000D3D7F">
        <w:rPr>
          <w:noProof/>
          <w:szCs w:val="22"/>
          <w:lang w:val="sr-Latn-ME"/>
        </w:rPr>
        <w:t>ij</w:t>
      </w:r>
      <w:r w:rsidRPr="000D3D7F">
        <w:rPr>
          <w:noProof/>
          <w:szCs w:val="22"/>
          <w:lang w:val="sr-Latn-ME"/>
        </w:rPr>
        <w:t>etko</w:t>
      </w:r>
      <w:r w:rsidR="004B33C6" w:rsidRPr="000D3D7F">
        <w:rPr>
          <w:noProof/>
          <w:szCs w:val="22"/>
          <w:lang w:val="sr-Latn-ME"/>
        </w:rPr>
        <w:t xml:space="preserve"> </w:t>
      </w:r>
      <w:r w:rsidRPr="000D3D7F">
        <w:rPr>
          <w:noProof/>
          <w:szCs w:val="22"/>
          <w:lang w:val="sr-Latn-ME"/>
        </w:rPr>
        <w:t>(&gt;1/10000 do &lt;1/1000); Veoma r</w:t>
      </w:r>
      <w:r w:rsidR="0090305A" w:rsidRPr="000D3D7F">
        <w:rPr>
          <w:noProof/>
          <w:szCs w:val="22"/>
          <w:lang w:val="sr-Latn-ME"/>
        </w:rPr>
        <w:t>ij</w:t>
      </w:r>
      <w:r w:rsidRPr="000D3D7F">
        <w:rPr>
          <w:noProof/>
          <w:szCs w:val="22"/>
          <w:lang w:val="sr-Latn-ME"/>
        </w:rPr>
        <w:t>etko (&lt;1/10000), Nepoznato (ne može se proc</w:t>
      </w:r>
      <w:r w:rsidR="0090305A" w:rsidRPr="000D3D7F">
        <w:rPr>
          <w:noProof/>
          <w:szCs w:val="22"/>
          <w:lang w:val="sr-Latn-ME"/>
        </w:rPr>
        <w:t>ij</w:t>
      </w:r>
      <w:r w:rsidRPr="000D3D7F">
        <w:rPr>
          <w:noProof/>
          <w:szCs w:val="22"/>
          <w:lang w:val="sr-Latn-ME"/>
        </w:rPr>
        <w:t>eniti na osnovu dostupnih</w:t>
      </w:r>
      <w:r w:rsidR="004B33C6" w:rsidRPr="000D3D7F">
        <w:rPr>
          <w:noProof/>
          <w:szCs w:val="22"/>
          <w:lang w:val="sr-Latn-ME"/>
        </w:rPr>
        <w:t xml:space="preserve"> </w:t>
      </w:r>
      <w:r w:rsidRPr="000D3D7F">
        <w:rPr>
          <w:noProof/>
          <w:szCs w:val="22"/>
          <w:lang w:val="sr-Latn-ME"/>
        </w:rPr>
        <w:t>podataka) uključujući pojedinačne prijave.</w:t>
      </w:r>
    </w:p>
    <w:p w14:paraId="46F3C0DA" w14:textId="77777777" w:rsidR="00D00258" w:rsidRPr="000D3D7F" w:rsidRDefault="00D00258" w:rsidP="001E1F5A">
      <w:pPr>
        <w:rPr>
          <w:noProof/>
          <w:szCs w:val="22"/>
          <w:lang w:val="sr-Latn-ME"/>
        </w:rPr>
      </w:pPr>
      <w:r w:rsidRPr="000D3D7F">
        <w:rPr>
          <w:noProof/>
          <w:szCs w:val="22"/>
          <w:lang w:val="sr-Latn-ME"/>
        </w:rPr>
        <w:t>Unutar svake grupe, neželjena dejstva su navedene prema ozbiljnosti, po opadajućem redosledu.</w:t>
      </w:r>
    </w:p>
    <w:p w14:paraId="103A39CC" w14:textId="77777777" w:rsidR="00D00258" w:rsidRPr="000D3D7F" w:rsidRDefault="00D00258" w:rsidP="001E1F5A">
      <w:pPr>
        <w:rPr>
          <w:noProof/>
          <w:szCs w:val="22"/>
          <w:lang w:val="sr-Latn-ME"/>
        </w:rPr>
      </w:pPr>
      <w:r w:rsidRPr="000D3D7F">
        <w:rPr>
          <w:noProof/>
          <w:szCs w:val="22"/>
          <w:lang w:val="sr-Latn-ME"/>
        </w:rPr>
        <w:t>Tabela 8 je napravljana upotrebom verzije 16 MedDRA.</w:t>
      </w:r>
    </w:p>
    <w:p w14:paraId="51786906" w14:textId="781FD587" w:rsidR="00D00258" w:rsidRPr="000D3D7F" w:rsidRDefault="00D00258" w:rsidP="001E1F5A">
      <w:pPr>
        <w:rPr>
          <w:i/>
          <w:iCs/>
          <w:noProof/>
          <w:szCs w:val="22"/>
          <w:lang w:val="sr-Latn-ME"/>
        </w:rPr>
      </w:pPr>
      <w:r w:rsidRPr="000D3D7F">
        <w:rPr>
          <w:i/>
          <w:iCs/>
          <w:noProof/>
          <w:szCs w:val="22"/>
          <w:lang w:val="sr-Latn-ME"/>
        </w:rPr>
        <w:t>Tabela 8 Neželjene reakcije kod pacijenata sa Mantle ćelijskim limfomom koji su l</w:t>
      </w:r>
      <w:r w:rsidR="0090305A" w:rsidRPr="000D3D7F">
        <w:rPr>
          <w:i/>
          <w:iCs/>
          <w:noProof/>
          <w:szCs w:val="22"/>
          <w:lang w:val="sr-Latn-ME"/>
        </w:rPr>
        <w:t>ij</w:t>
      </w:r>
      <w:r w:rsidRPr="000D3D7F">
        <w:rPr>
          <w:i/>
          <w:iCs/>
          <w:noProof/>
          <w:szCs w:val="22"/>
          <w:lang w:val="sr-Latn-ME"/>
        </w:rPr>
        <w:t xml:space="preserve">ečeni </w:t>
      </w:r>
      <w:r w:rsidR="008C1EBE" w:rsidRPr="000D3D7F">
        <w:rPr>
          <w:i/>
          <w:iCs/>
          <w:noProof/>
          <w:szCs w:val="22"/>
          <w:lang w:val="sr-Latn-ME"/>
        </w:rPr>
        <w:t>Bz</w:t>
      </w:r>
      <w:r w:rsidRPr="000D3D7F">
        <w:rPr>
          <w:i/>
          <w:iCs/>
          <w:noProof/>
          <w:szCs w:val="22"/>
          <w:lang w:val="sr-Latn-ME"/>
        </w:rPr>
        <w:t>R-CAP</w:t>
      </w:r>
    </w:p>
    <w:tbl>
      <w:tblPr>
        <w:tblW w:w="9857" w:type="dxa"/>
        <w:tblInd w:w="128" w:type="dxa"/>
        <w:tblLayout w:type="fixed"/>
        <w:tblCellMar>
          <w:left w:w="0" w:type="dxa"/>
          <w:right w:w="0" w:type="dxa"/>
        </w:tblCellMar>
        <w:tblLook w:val="0000" w:firstRow="0" w:lastRow="0" w:firstColumn="0" w:lastColumn="0" w:noHBand="0" w:noVBand="0"/>
      </w:tblPr>
      <w:tblGrid>
        <w:gridCol w:w="1803"/>
        <w:gridCol w:w="14"/>
        <w:gridCol w:w="270"/>
        <w:gridCol w:w="1828"/>
        <w:gridCol w:w="2025"/>
        <w:gridCol w:w="279"/>
        <w:gridCol w:w="1350"/>
        <w:gridCol w:w="1041"/>
        <w:gridCol w:w="1247"/>
      </w:tblGrid>
      <w:tr w:rsidR="009E39C5" w:rsidRPr="000D3D7F" w14:paraId="0A031FEB" w14:textId="77777777" w:rsidTr="00C26DCA">
        <w:trPr>
          <w:trHeight w:val="254"/>
        </w:trPr>
        <w:tc>
          <w:tcPr>
            <w:tcW w:w="2087" w:type="dxa"/>
            <w:gridSpan w:val="3"/>
            <w:tcBorders>
              <w:top w:val="single" w:sz="4" w:space="0" w:color="000000"/>
              <w:left w:val="single" w:sz="4" w:space="0" w:color="000000"/>
              <w:bottom w:val="single" w:sz="4" w:space="0" w:color="000000"/>
              <w:right w:val="single" w:sz="4" w:space="0" w:color="000000"/>
            </w:tcBorders>
          </w:tcPr>
          <w:p w14:paraId="66A07DCA" w14:textId="77777777" w:rsidR="009E39C5" w:rsidRPr="000D3D7F" w:rsidRDefault="009E39C5" w:rsidP="001E1F5A">
            <w:pPr>
              <w:rPr>
                <w:noProof/>
                <w:lang w:val="sr-Latn-ME"/>
              </w:rPr>
            </w:pPr>
            <w:r w:rsidRPr="000D3D7F">
              <w:rPr>
                <w:noProof/>
                <w:szCs w:val="22"/>
                <w:lang w:val="sr-Latn-ME"/>
              </w:rPr>
              <w:t>Klasa sistema organa</w:t>
            </w:r>
          </w:p>
        </w:tc>
        <w:tc>
          <w:tcPr>
            <w:tcW w:w="1828" w:type="dxa"/>
            <w:tcBorders>
              <w:top w:val="single" w:sz="4" w:space="0" w:color="000000"/>
              <w:left w:val="single" w:sz="4" w:space="0" w:color="000000"/>
              <w:bottom w:val="single" w:sz="4" w:space="0" w:color="000000"/>
              <w:right w:val="single" w:sz="4" w:space="0" w:color="000000"/>
            </w:tcBorders>
          </w:tcPr>
          <w:p w14:paraId="36068F91" w14:textId="77777777" w:rsidR="009E39C5" w:rsidRPr="000D3D7F" w:rsidRDefault="009E39C5" w:rsidP="001E1F5A">
            <w:pPr>
              <w:rPr>
                <w:noProof/>
                <w:lang w:val="sr-Latn-ME"/>
              </w:rPr>
            </w:pPr>
            <w:r w:rsidRPr="000D3D7F">
              <w:rPr>
                <w:noProof/>
                <w:szCs w:val="22"/>
                <w:lang w:val="sr-Latn-ME"/>
              </w:rPr>
              <w:t>Incidenca</w:t>
            </w:r>
          </w:p>
        </w:tc>
        <w:tc>
          <w:tcPr>
            <w:tcW w:w="5942" w:type="dxa"/>
            <w:gridSpan w:val="5"/>
            <w:tcBorders>
              <w:top w:val="single" w:sz="4" w:space="0" w:color="000000"/>
              <w:left w:val="single" w:sz="4" w:space="0" w:color="000000"/>
              <w:bottom w:val="single" w:sz="4" w:space="0" w:color="000000"/>
              <w:right w:val="single" w:sz="4" w:space="0" w:color="000000"/>
            </w:tcBorders>
          </w:tcPr>
          <w:p w14:paraId="34BE77B5" w14:textId="77777777" w:rsidR="009E39C5" w:rsidRPr="000D3D7F" w:rsidRDefault="009E39C5" w:rsidP="001E1F5A">
            <w:pPr>
              <w:rPr>
                <w:noProof/>
                <w:lang w:val="sr-Latn-ME"/>
              </w:rPr>
            </w:pPr>
            <w:r w:rsidRPr="000D3D7F">
              <w:rPr>
                <w:noProof/>
                <w:szCs w:val="22"/>
                <w:lang w:val="sr-Latn-ME"/>
              </w:rPr>
              <w:t>Neželjena dejstva</w:t>
            </w:r>
          </w:p>
        </w:tc>
      </w:tr>
      <w:tr w:rsidR="009E39C5" w:rsidRPr="000D3D7F" w14:paraId="10B334F4" w14:textId="77777777" w:rsidTr="00C26DCA">
        <w:trPr>
          <w:trHeight w:val="628"/>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34EC2096" w14:textId="77777777" w:rsidR="009E39C5" w:rsidRPr="000D3D7F" w:rsidRDefault="009E39C5" w:rsidP="001E1F5A">
            <w:pPr>
              <w:rPr>
                <w:noProof/>
                <w:lang w:val="sr-Latn-ME"/>
              </w:rPr>
            </w:pPr>
            <w:r w:rsidRPr="000D3D7F">
              <w:rPr>
                <w:noProof/>
                <w:szCs w:val="22"/>
                <w:lang w:val="sr-Latn-ME"/>
              </w:rPr>
              <w:t>Infekcije i infestacije</w:t>
            </w:r>
          </w:p>
        </w:tc>
        <w:tc>
          <w:tcPr>
            <w:tcW w:w="1828" w:type="dxa"/>
            <w:tcBorders>
              <w:top w:val="single" w:sz="4" w:space="0" w:color="000000"/>
              <w:left w:val="single" w:sz="4" w:space="0" w:color="000000"/>
              <w:bottom w:val="single" w:sz="4" w:space="0" w:color="000000"/>
              <w:right w:val="single" w:sz="4" w:space="0" w:color="000000"/>
            </w:tcBorders>
          </w:tcPr>
          <w:p w14:paraId="61AAE665" w14:textId="77777777" w:rsidR="009E39C5" w:rsidRPr="000D3D7F" w:rsidRDefault="009E39C5" w:rsidP="001E1F5A">
            <w:pPr>
              <w:rPr>
                <w:noProof/>
                <w:lang w:val="sr-Latn-ME"/>
              </w:rPr>
            </w:pPr>
            <w:r w:rsidRPr="000D3D7F">
              <w:rPr>
                <w:noProof/>
                <w:szCs w:val="22"/>
                <w:lang w:val="sr-Latn-ME"/>
              </w:rPr>
              <w:t>Veoma 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74558A9A" w14:textId="77777777" w:rsidR="009E39C5" w:rsidRPr="000D3D7F" w:rsidRDefault="009E39C5" w:rsidP="001E1F5A">
            <w:pPr>
              <w:rPr>
                <w:noProof/>
                <w:lang w:val="sr-Latn-ME"/>
              </w:rPr>
            </w:pPr>
            <w:r w:rsidRPr="000D3D7F">
              <w:rPr>
                <w:noProof/>
                <w:szCs w:val="22"/>
                <w:lang w:val="sr-Latn-ME"/>
              </w:rPr>
              <w:t>pneumonija*</w:t>
            </w:r>
          </w:p>
        </w:tc>
      </w:tr>
      <w:tr w:rsidR="009E39C5" w:rsidRPr="000D3D7F" w14:paraId="6319B283" w14:textId="77777777" w:rsidTr="00C26DCA">
        <w:trPr>
          <w:trHeight w:val="1012"/>
        </w:trPr>
        <w:tc>
          <w:tcPr>
            <w:tcW w:w="2087" w:type="dxa"/>
            <w:gridSpan w:val="3"/>
            <w:vMerge/>
            <w:tcBorders>
              <w:top w:val="nil"/>
              <w:left w:val="single" w:sz="4" w:space="0" w:color="000000"/>
              <w:bottom w:val="single" w:sz="4" w:space="0" w:color="000000"/>
              <w:right w:val="single" w:sz="4" w:space="0" w:color="000000"/>
            </w:tcBorders>
          </w:tcPr>
          <w:p w14:paraId="4603239F"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017A6055"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4ECE60FD" w14:textId="77777777" w:rsidR="009E39C5" w:rsidRPr="000D3D7F" w:rsidRDefault="009E39C5" w:rsidP="001E1F5A">
            <w:pPr>
              <w:rPr>
                <w:noProof/>
                <w:lang w:val="sr-Latn-ME"/>
              </w:rPr>
            </w:pPr>
            <w:r w:rsidRPr="000D3D7F">
              <w:rPr>
                <w:noProof/>
                <w:szCs w:val="22"/>
                <w:lang w:val="sr-Latn-ME"/>
              </w:rPr>
              <w:t>sepsa*(uključujući septički šok), herpes zoster (uključujući i diseminovani i oftalmički oblik), herpes virus infekcija*, bakterijske infekcije*, infekcije gornjeg i donjeg respiratornog</w:t>
            </w:r>
          </w:p>
          <w:p w14:paraId="5E6BA805" w14:textId="77777777" w:rsidR="009E39C5" w:rsidRPr="000D3D7F" w:rsidRDefault="009E39C5" w:rsidP="001E1F5A">
            <w:pPr>
              <w:rPr>
                <w:noProof/>
                <w:lang w:val="sr-Latn-ME"/>
              </w:rPr>
            </w:pPr>
            <w:r w:rsidRPr="000D3D7F">
              <w:rPr>
                <w:noProof/>
                <w:szCs w:val="22"/>
                <w:lang w:val="sr-Latn-ME"/>
              </w:rPr>
              <w:t>trakta*, gljivična infekcija*, herpes simpleks*</w:t>
            </w:r>
          </w:p>
        </w:tc>
      </w:tr>
      <w:tr w:rsidR="009E39C5" w:rsidRPr="000D3D7F" w14:paraId="74AEEA9E" w14:textId="77777777" w:rsidTr="00C26DCA">
        <w:trPr>
          <w:trHeight w:val="253"/>
        </w:trPr>
        <w:tc>
          <w:tcPr>
            <w:tcW w:w="2087" w:type="dxa"/>
            <w:gridSpan w:val="3"/>
            <w:vMerge/>
            <w:tcBorders>
              <w:top w:val="nil"/>
              <w:left w:val="single" w:sz="4" w:space="0" w:color="000000"/>
              <w:bottom w:val="single" w:sz="4" w:space="0" w:color="000000"/>
              <w:right w:val="single" w:sz="4" w:space="0" w:color="000000"/>
            </w:tcBorders>
          </w:tcPr>
          <w:p w14:paraId="6BE23E9A"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6188932D"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4F8321A7" w14:textId="77777777" w:rsidR="009E39C5" w:rsidRPr="000D3D7F" w:rsidRDefault="009E39C5" w:rsidP="001E1F5A">
            <w:pPr>
              <w:rPr>
                <w:noProof/>
                <w:lang w:val="sr-Latn-ME"/>
              </w:rPr>
            </w:pPr>
            <w:r w:rsidRPr="000D3D7F">
              <w:rPr>
                <w:noProof/>
                <w:szCs w:val="22"/>
                <w:lang w:val="sr-Latn-ME"/>
              </w:rPr>
              <w:t>hepatitis B, infekcija*, bronhopneumonija</w:t>
            </w:r>
          </w:p>
        </w:tc>
      </w:tr>
      <w:tr w:rsidR="009E39C5" w:rsidRPr="000D3D7F" w14:paraId="7E86CC8A" w14:textId="77777777" w:rsidTr="00C26DCA">
        <w:trPr>
          <w:trHeight w:val="508"/>
        </w:trPr>
        <w:tc>
          <w:tcPr>
            <w:tcW w:w="1803" w:type="dxa"/>
            <w:vMerge w:val="restart"/>
            <w:tcBorders>
              <w:top w:val="single" w:sz="4" w:space="0" w:color="000000"/>
              <w:left w:val="single" w:sz="4" w:space="0" w:color="000000"/>
              <w:bottom w:val="single" w:sz="4" w:space="0" w:color="000000"/>
              <w:right w:val="none" w:sz="6" w:space="0" w:color="auto"/>
            </w:tcBorders>
          </w:tcPr>
          <w:p w14:paraId="756B9F43" w14:textId="77777777" w:rsidR="009E39C5" w:rsidRPr="000D3D7F" w:rsidRDefault="009E39C5" w:rsidP="001E1F5A">
            <w:pPr>
              <w:rPr>
                <w:noProof/>
                <w:lang w:val="sr-Latn-ME"/>
              </w:rPr>
            </w:pPr>
            <w:r w:rsidRPr="000D3D7F">
              <w:rPr>
                <w:noProof/>
                <w:szCs w:val="22"/>
                <w:lang w:val="sr-Latn-ME"/>
              </w:rPr>
              <w:t>Poremećaji krvi limfnog sistema</w:t>
            </w:r>
          </w:p>
        </w:tc>
        <w:tc>
          <w:tcPr>
            <w:tcW w:w="284" w:type="dxa"/>
            <w:gridSpan w:val="2"/>
            <w:vMerge w:val="restart"/>
            <w:tcBorders>
              <w:top w:val="single" w:sz="4" w:space="0" w:color="000000"/>
              <w:left w:val="none" w:sz="6" w:space="0" w:color="auto"/>
              <w:bottom w:val="single" w:sz="4" w:space="0" w:color="000000"/>
              <w:right w:val="single" w:sz="4" w:space="0" w:color="000000"/>
            </w:tcBorders>
          </w:tcPr>
          <w:p w14:paraId="3CC9D4E3" w14:textId="77777777" w:rsidR="009E39C5" w:rsidRPr="000D3D7F" w:rsidRDefault="009E39C5" w:rsidP="001E1F5A">
            <w:pPr>
              <w:rPr>
                <w:noProof/>
                <w:lang w:val="sr-Latn-ME"/>
              </w:rPr>
            </w:pPr>
            <w:r w:rsidRPr="000D3D7F">
              <w:rPr>
                <w:noProof/>
                <w:szCs w:val="22"/>
                <w:lang w:val="sr-Latn-ME"/>
              </w:rPr>
              <w:t>i</w:t>
            </w:r>
          </w:p>
        </w:tc>
        <w:tc>
          <w:tcPr>
            <w:tcW w:w="1828" w:type="dxa"/>
            <w:tcBorders>
              <w:top w:val="single" w:sz="4" w:space="0" w:color="000000"/>
              <w:left w:val="single" w:sz="4" w:space="0" w:color="000000"/>
              <w:bottom w:val="single" w:sz="4" w:space="0" w:color="000000"/>
              <w:right w:val="single" w:sz="4" w:space="0" w:color="000000"/>
            </w:tcBorders>
          </w:tcPr>
          <w:p w14:paraId="25F8D292" w14:textId="77777777" w:rsidR="009E39C5" w:rsidRPr="000D3D7F" w:rsidRDefault="009E39C5" w:rsidP="001E1F5A">
            <w:pPr>
              <w:rPr>
                <w:noProof/>
                <w:lang w:val="sr-Latn-ME"/>
              </w:rPr>
            </w:pPr>
            <w:r w:rsidRPr="000D3D7F">
              <w:rPr>
                <w:noProof/>
                <w:szCs w:val="22"/>
                <w:lang w:val="sr-Latn-ME"/>
              </w:rPr>
              <w:t>Veoma 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55B2F72A" w14:textId="77777777" w:rsidR="009E39C5" w:rsidRPr="000D3D7F" w:rsidRDefault="009E39C5" w:rsidP="001E1F5A">
            <w:pPr>
              <w:rPr>
                <w:noProof/>
                <w:lang w:val="sr-Latn-ME"/>
              </w:rPr>
            </w:pPr>
            <w:r w:rsidRPr="000D3D7F">
              <w:rPr>
                <w:noProof/>
                <w:szCs w:val="22"/>
                <w:lang w:val="sr-Latn-ME"/>
              </w:rPr>
              <w:t>trombocitopenija*, febrilna neutropenija, neutropenija*,</w:t>
            </w:r>
          </w:p>
          <w:p w14:paraId="4DC0F514" w14:textId="77777777" w:rsidR="009E39C5" w:rsidRPr="000D3D7F" w:rsidRDefault="009E39C5" w:rsidP="001E1F5A">
            <w:pPr>
              <w:rPr>
                <w:noProof/>
                <w:lang w:val="sr-Latn-ME"/>
              </w:rPr>
            </w:pPr>
            <w:r w:rsidRPr="000D3D7F">
              <w:rPr>
                <w:noProof/>
                <w:szCs w:val="22"/>
                <w:lang w:val="sr-Latn-ME"/>
              </w:rPr>
              <w:t>leukopenija*, anemija* limfopenija*</w:t>
            </w:r>
          </w:p>
        </w:tc>
      </w:tr>
      <w:tr w:rsidR="009E39C5" w:rsidRPr="000D3D7F" w14:paraId="74B8B623" w14:textId="77777777" w:rsidTr="00C26DCA">
        <w:trPr>
          <w:trHeight w:val="249"/>
        </w:trPr>
        <w:tc>
          <w:tcPr>
            <w:tcW w:w="1803" w:type="dxa"/>
            <w:vMerge/>
            <w:tcBorders>
              <w:top w:val="nil"/>
              <w:left w:val="single" w:sz="4" w:space="0" w:color="000000"/>
              <w:bottom w:val="single" w:sz="4" w:space="0" w:color="000000"/>
              <w:right w:val="none" w:sz="6" w:space="0" w:color="auto"/>
            </w:tcBorders>
          </w:tcPr>
          <w:p w14:paraId="1461C6E4" w14:textId="77777777" w:rsidR="009E39C5" w:rsidRPr="000D3D7F" w:rsidRDefault="009E39C5" w:rsidP="001E1F5A">
            <w:pPr>
              <w:rPr>
                <w:noProof/>
                <w:lang w:val="sr-Latn-ME"/>
              </w:rPr>
            </w:pPr>
          </w:p>
        </w:tc>
        <w:tc>
          <w:tcPr>
            <w:tcW w:w="284" w:type="dxa"/>
            <w:gridSpan w:val="2"/>
            <w:vMerge/>
            <w:tcBorders>
              <w:top w:val="nil"/>
              <w:left w:val="none" w:sz="6" w:space="0" w:color="auto"/>
              <w:bottom w:val="single" w:sz="4" w:space="0" w:color="000000"/>
              <w:right w:val="single" w:sz="4" w:space="0" w:color="000000"/>
            </w:tcBorders>
          </w:tcPr>
          <w:p w14:paraId="0617DCF1"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5C83C14C"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459B5FD8" w14:textId="77777777" w:rsidR="009E39C5" w:rsidRPr="000D3D7F" w:rsidRDefault="009E39C5" w:rsidP="001E1F5A">
            <w:pPr>
              <w:rPr>
                <w:noProof/>
                <w:lang w:val="sr-Latn-ME"/>
              </w:rPr>
            </w:pPr>
            <w:r w:rsidRPr="000D3D7F">
              <w:rPr>
                <w:noProof/>
                <w:szCs w:val="22"/>
                <w:lang w:val="sr-Latn-ME"/>
              </w:rPr>
              <w:t>pancitopenija*</w:t>
            </w:r>
          </w:p>
        </w:tc>
      </w:tr>
      <w:tr w:rsidR="009E39C5" w:rsidRPr="000D3D7F" w14:paraId="62A6F28F" w14:textId="77777777" w:rsidTr="00C26DCA">
        <w:trPr>
          <w:trHeight w:val="253"/>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6D30404B" w14:textId="77777777" w:rsidR="009E39C5" w:rsidRPr="000D3D7F" w:rsidRDefault="009E39C5" w:rsidP="001E1F5A">
            <w:pPr>
              <w:rPr>
                <w:noProof/>
                <w:lang w:val="sr-Latn-ME"/>
              </w:rPr>
            </w:pPr>
            <w:r w:rsidRPr="000D3D7F">
              <w:rPr>
                <w:noProof/>
                <w:szCs w:val="22"/>
                <w:lang w:val="sr-Latn-ME"/>
              </w:rPr>
              <w:t>Poremećaji</w:t>
            </w:r>
          </w:p>
          <w:p w14:paraId="6F1F6685" w14:textId="77777777" w:rsidR="009E39C5" w:rsidRPr="000D3D7F" w:rsidRDefault="009E39C5" w:rsidP="001E1F5A">
            <w:pPr>
              <w:rPr>
                <w:noProof/>
                <w:lang w:val="sr-Latn-ME"/>
              </w:rPr>
            </w:pPr>
            <w:r w:rsidRPr="000D3D7F">
              <w:rPr>
                <w:noProof/>
                <w:szCs w:val="22"/>
                <w:lang w:val="sr-Latn-ME"/>
              </w:rPr>
              <w:t>imunskog sistema</w:t>
            </w:r>
          </w:p>
        </w:tc>
        <w:tc>
          <w:tcPr>
            <w:tcW w:w="1828" w:type="dxa"/>
            <w:tcBorders>
              <w:top w:val="single" w:sz="4" w:space="0" w:color="000000"/>
              <w:left w:val="single" w:sz="4" w:space="0" w:color="000000"/>
              <w:bottom w:val="single" w:sz="4" w:space="0" w:color="000000"/>
              <w:right w:val="single" w:sz="4" w:space="0" w:color="000000"/>
            </w:tcBorders>
          </w:tcPr>
          <w:p w14:paraId="22ACDE1A"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5CD14091" w14:textId="77777777" w:rsidR="009E39C5" w:rsidRPr="000D3D7F" w:rsidRDefault="009E39C5" w:rsidP="001E1F5A">
            <w:pPr>
              <w:rPr>
                <w:noProof/>
                <w:lang w:val="sr-Latn-ME"/>
              </w:rPr>
            </w:pPr>
            <w:r w:rsidRPr="000D3D7F">
              <w:rPr>
                <w:noProof/>
                <w:szCs w:val="22"/>
                <w:lang w:val="sr-Latn-ME"/>
              </w:rPr>
              <w:t>hipersenzitivnost*</w:t>
            </w:r>
          </w:p>
        </w:tc>
      </w:tr>
      <w:tr w:rsidR="009E39C5" w:rsidRPr="000D3D7F" w14:paraId="5E7A456E" w14:textId="77777777" w:rsidTr="00C26DCA">
        <w:trPr>
          <w:trHeight w:val="254"/>
        </w:trPr>
        <w:tc>
          <w:tcPr>
            <w:tcW w:w="2087" w:type="dxa"/>
            <w:gridSpan w:val="3"/>
            <w:vMerge/>
            <w:tcBorders>
              <w:top w:val="nil"/>
              <w:left w:val="single" w:sz="4" w:space="0" w:color="000000"/>
              <w:bottom w:val="single" w:sz="4" w:space="0" w:color="000000"/>
              <w:right w:val="single" w:sz="4" w:space="0" w:color="000000"/>
            </w:tcBorders>
          </w:tcPr>
          <w:p w14:paraId="39B449C4"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547EBAAB"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1CCC237D" w14:textId="77777777" w:rsidR="009E39C5" w:rsidRPr="000D3D7F" w:rsidRDefault="009E39C5" w:rsidP="001E1F5A">
            <w:pPr>
              <w:rPr>
                <w:noProof/>
                <w:lang w:val="sr-Latn-ME"/>
              </w:rPr>
            </w:pPr>
            <w:r w:rsidRPr="000D3D7F">
              <w:rPr>
                <w:noProof/>
                <w:szCs w:val="22"/>
                <w:lang w:val="sr-Latn-ME"/>
              </w:rPr>
              <w:t>anafilaktička reakcija</w:t>
            </w:r>
          </w:p>
        </w:tc>
      </w:tr>
      <w:tr w:rsidR="009E39C5" w:rsidRPr="000D3D7F" w14:paraId="20982C71" w14:textId="77777777" w:rsidTr="00C26DCA">
        <w:trPr>
          <w:trHeight w:val="253"/>
        </w:trPr>
        <w:tc>
          <w:tcPr>
            <w:tcW w:w="1803" w:type="dxa"/>
            <w:vMerge w:val="restart"/>
            <w:tcBorders>
              <w:top w:val="single" w:sz="4" w:space="0" w:color="000000"/>
              <w:left w:val="single" w:sz="4" w:space="0" w:color="000000"/>
              <w:bottom w:val="single" w:sz="4" w:space="0" w:color="000000"/>
              <w:right w:val="none" w:sz="6" w:space="0" w:color="auto"/>
            </w:tcBorders>
          </w:tcPr>
          <w:p w14:paraId="13C670B2" w14:textId="77777777" w:rsidR="009E39C5" w:rsidRPr="000D3D7F" w:rsidRDefault="009E39C5" w:rsidP="001E1F5A">
            <w:pPr>
              <w:rPr>
                <w:noProof/>
                <w:lang w:val="sr-Latn-ME"/>
              </w:rPr>
            </w:pPr>
            <w:r w:rsidRPr="000D3D7F">
              <w:rPr>
                <w:noProof/>
                <w:szCs w:val="22"/>
                <w:lang w:val="sr-Latn-ME"/>
              </w:rPr>
              <w:t>Poremećaj metabolizma ishrane</w:t>
            </w:r>
          </w:p>
        </w:tc>
        <w:tc>
          <w:tcPr>
            <w:tcW w:w="284" w:type="dxa"/>
            <w:gridSpan w:val="2"/>
            <w:vMerge w:val="restart"/>
            <w:tcBorders>
              <w:top w:val="single" w:sz="4" w:space="0" w:color="000000"/>
              <w:left w:val="none" w:sz="6" w:space="0" w:color="auto"/>
              <w:bottom w:val="single" w:sz="4" w:space="0" w:color="000000"/>
              <w:right w:val="single" w:sz="4" w:space="0" w:color="000000"/>
            </w:tcBorders>
          </w:tcPr>
          <w:p w14:paraId="3EDE0713" w14:textId="77777777" w:rsidR="009E39C5" w:rsidRPr="000D3D7F" w:rsidRDefault="009E39C5" w:rsidP="001E1F5A">
            <w:pPr>
              <w:rPr>
                <w:noProof/>
                <w:lang w:val="sr-Latn-ME"/>
              </w:rPr>
            </w:pPr>
          </w:p>
          <w:p w14:paraId="66C23665" w14:textId="77777777" w:rsidR="009E39C5" w:rsidRPr="000D3D7F" w:rsidRDefault="009E39C5" w:rsidP="001E1F5A">
            <w:pPr>
              <w:rPr>
                <w:noProof/>
                <w:lang w:val="sr-Latn-ME"/>
              </w:rPr>
            </w:pPr>
            <w:r w:rsidRPr="000D3D7F">
              <w:rPr>
                <w:noProof/>
                <w:szCs w:val="22"/>
                <w:lang w:val="sr-Latn-ME"/>
              </w:rPr>
              <w:t>i</w:t>
            </w:r>
          </w:p>
        </w:tc>
        <w:tc>
          <w:tcPr>
            <w:tcW w:w="1828" w:type="dxa"/>
            <w:tcBorders>
              <w:top w:val="single" w:sz="4" w:space="0" w:color="000000"/>
              <w:left w:val="single" w:sz="4" w:space="0" w:color="000000"/>
              <w:bottom w:val="single" w:sz="4" w:space="0" w:color="000000"/>
              <w:right w:val="single" w:sz="4" w:space="0" w:color="000000"/>
            </w:tcBorders>
          </w:tcPr>
          <w:p w14:paraId="43ADC05F" w14:textId="77777777" w:rsidR="009E39C5" w:rsidRPr="000D3D7F" w:rsidRDefault="009E39C5" w:rsidP="001E1F5A">
            <w:pPr>
              <w:rPr>
                <w:noProof/>
                <w:lang w:val="sr-Latn-ME"/>
              </w:rPr>
            </w:pPr>
            <w:r w:rsidRPr="000D3D7F">
              <w:rPr>
                <w:noProof/>
                <w:szCs w:val="22"/>
                <w:lang w:val="sr-Latn-ME"/>
              </w:rPr>
              <w:t>Veoma 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7BB9C3C4" w14:textId="77777777" w:rsidR="009E39C5" w:rsidRPr="000D3D7F" w:rsidRDefault="009E39C5" w:rsidP="001E1F5A">
            <w:pPr>
              <w:rPr>
                <w:noProof/>
                <w:lang w:val="sr-Latn-ME"/>
              </w:rPr>
            </w:pPr>
            <w:r w:rsidRPr="000D3D7F">
              <w:rPr>
                <w:noProof/>
                <w:szCs w:val="22"/>
                <w:lang w:val="sr-Latn-ME"/>
              </w:rPr>
              <w:t>smanjen apetit</w:t>
            </w:r>
          </w:p>
        </w:tc>
      </w:tr>
      <w:tr w:rsidR="009E39C5" w:rsidRPr="000D3D7F" w14:paraId="49F189AC" w14:textId="77777777" w:rsidTr="00C26DCA">
        <w:trPr>
          <w:trHeight w:val="503"/>
        </w:trPr>
        <w:tc>
          <w:tcPr>
            <w:tcW w:w="1803" w:type="dxa"/>
            <w:vMerge/>
            <w:tcBorders>
              <w:top w:val="nil"/>
              <w:left w:val="single" w:sz="4" w:space="0" w:color="000000"/>
              <w:bottom w:val="single" w:sz="4" w:space="0" w:color="000000"/>
              <w:right w:val="none" w:sz="6" w:space="0" w:color="auto"/>
            </w:tcBorders>
          </w:tcPr>
          <w:p w14:paraId="08EDB6CF" w14:textId="77777777" w:rsidR="009E39C5" w:rsidRPr="000D3D7F" w:rsidRDefault="009E39C5" w:rsidP="001E1F5A">
            <w:pPr>
              <w:rPr>
                <w:noProof/>
                <w:lang w:val="sr-Latn-ME"/>
              </w:rPr>
            </w:pPr>
          </w:p>
        </w:tc>
        <w:tc>
          <w:tcPr>
            <w:tcW w:w="284" w:type="dxa"/>
            <w:gridSpan w:val="2"/>
            <w:vMerge/>
            <w:tcBorders>
              <w:top w:val="nil"/>
              <w:left w:val="none" w:sz="6" w:space="0" w:color="auto"/>
              <w:bottom w:val="single" w:sz="4" w:space="0" w:color="000000"/>
              <w:right w:val="single" w:sz="4" w:space="0" w:color="000000"/>
            </w:tcBorders>
          </w:tcPr>
          <w:p w14:paraId="228AC8D1"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4146B472"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50854DEF" w14:textId="77777777" w:rsidR="009E39C5" w:rsidRPr="000D3D7F" w:rsidRDefault="009E39C5" w:rsidP="001E1F5A">
            <w:pPr>
              <w:rPr>
                <w:noProof/>
                <w:lang w:val="sr-Latn-ME"/>
              </w:rPr>
            </w:pPr>
            <w:r w:rsidRPr="000D3D7F">
              <w:rPr>
                <w:noProof/>
                <w:szCs w:val="22"/>
                <w:lang w:val="sr-Latn-ME"/>
              </w:rPr>
              <w:t>hipokalijemija*, abnormalna koncentracija glukoze u krvi*,</w:t>
            </w:r>
          </w:p>
          <w:p w14:paraId="250B9F78" w14:textId="77777777" w:rsidR="009E39C5" w:rsidRPr="000D3D7F" w:rsidRDefault="009E39C5" w:rsidP="001E1F5A">
            <w:pPr>
              <w:rPr>
                <w:noProof/>
                <w:lang w:val="sr-Latn-ME"/>
              </w:rPr>
            </w:pPr>
            <w:r w:rsidRPr="000D3D7F">
              <w:rPr>
                <w:noProof/>
                <w:szCs w:val="22"/>
                <w:lang w:val="sr-Latn-ME"/>
              </w:rPr>
              <w:t>hiponatremija*, dijabetes melitus*, retencija tečnosti,</w:t>
            </w:r>
          </w:p>
        </w:tc>
      </w:tr>
      <w:tr w:rsidR="009E39C5" w:rsidRPr="000D3D7F" w14:paraId="51B81B32" w14:textId="77777777" w:rsidTr="00C26DCA">
        <w:trPr>
          <w:trHeight w:val="253"/>
        </w:trPr>
        <w:tc>
          <w:tcPr>
            <w:tcW w:w="1803" w:type="dxa"/>
            <w:vMerge/>
            <w:tcBorders>
              <w:top w:val="nil"/>
              <w:left w:val="single" w:sz="4" w:space="0" w:color="000000"/>
              <w:bottom w:val="single" w:sz="4" w:space="0" w:color="000000"/>
              <w:right w:val="none" w:sz="6" w:space="0" w:color="auto"/>
            </w:tcBorders>
          </w:tcPr>
          <w:p w14:paraId="523B6579" w14:textId="77777777" w:rsidR="009E39C5" w:rsidRPr="000D3D7F" w:rsidRDefault="009E39C5" w:rsidP="001E1F5A">
            <w:pPr>
              <w:rPr>
                <w:noProof/>
                <w:lang w:val="sr-Latn-ME"/>
              </w:rPr>
            </w:pPr>
          </w:p>
        </w:tc>
        <w:tc>
          <w:tcPr>
            <w:tcW w:w="284" w:type="dxa"/>
            <w:gridSpan w:val="2"/>
            <w:vMerge/>
            <w:tcBorders>
              <w:top w:val="nil"/>
              <w:left w:val="none" w:sz="6" w:space="0" w:color="auto"/>
              <w:bottom w:val="single" w:sz="4" w:space="0" w:color="000000"/>
              <w:right w:val="single" w:sz="4" w:space="0" w:color="000000"/>
            </w:tcBorders>
          </w:tcPr>
          <w:p w14:paraId="4BB0B291"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54BF35D2"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4680AEA0" w14:textId="77777777" w:rsidR="009E39C5" w:rsidRPr="000D3D7F" w:rsidRDefault="009E39C5" w:rsidP="001E1F5A">
            <w:pPr>
              <w:rPr>
                <w:noProof/>
                <w:lang w:val="sr-Latn-ME"/>
              </w:rPr>
            </w:pPr>
            <w:r w:rsidRPr="000D3D7F">
              <w:rPr>
                <w:noProof/>
                <w:szCs w:val="22"/>
                <w:lang w:val="sr-Latn-ME"/>
              </w:rPr>
              <w:t>sindrom lize tumora,</w:t>
            </w:r>
          </w:p>
        </w:tc>
      </w:tr>
      <w:tr w:rsidR="009E39C5" w:rsidRPr="000D3D7F" w14:paraId="34D0AF3B" w14:textId="77777777" w:rsidTr="00C26DCA">
        <w:trPr>
          <w:trHeight w:val="508"/>
        </w:trPr>
        <w:tc>
          <w:tcPr>
            <w:tcW w:w="2087" w:type="dxa"/>
            <w:gridSpan w:val="3"/>
            <w:tcBorders>
              <w:top w:val="single" w:sz="4" w:space="0" w:color="000000"/>
              <w:left w:val="single" w:sz="4" w:space="0" w:color="000000"/>
              <w:bottom w:val="single" w:sz="4" w:space="0" w:color="000000"/>
              <w:right w:val="single" w:sz="4" w:space="0" w:color="000000"/>
            </w:tcBorders>
          </w:tcPr>
          <w:p w14:paraId="1EF83CA9" w14:textId="77777777" w:rsidR="009E39C5" w:rsidRPr="000D3D7F" w:rsidRDefault="009E39C5" w:rsidP="001E1F5A">
            <w:pPr>
              <w:rPr>
                <w:noProof/>
                <w:lang w:val="sr-Latn-ME"/>
              </w:rPr>
            </w:pPr>
            <w:r w:rsidRPr="000D3D7F">
              <w:rPr>
                <w:noProof/>
                <w:szCs w:val="22"/>
                <w:lang w:val="sr-Latn-ME"/>
              </w:rPr>
              <w:t>Psihijatrijski</w:t>
            </w:r>
          </w:p>
          <w:p w14:paraId="343BDDA9" w14:textId="77777777" w:rsidR="009E39C5" w:rsidRPr="000D3D7F" w:rsidRDefault="009E39C5" w:rsidP="001E1F5A">
            <w:pPr>
              <w:rPr>
                <w:noProof/>
                <w:lang w:val="sr-Latn-ME"/>
              </w:rPr>
            </w:pPr>
            <w:r w:rsidRPr="000D3D7F">
              <w:rPr>
                <w:noProof/>
                <w:szCs w:val="22"/>
                <w:lang w:val="sr-Latn-ME"/>
              </w:rPr>
              <w:t>poremećaji</w:t>
            </w:r>
          </w:p>
        </w:tc>
        <w:tc>
          <w:tcPr>
            <w:tcW w:w="1828" w:type="dxa"/>
            <w:tcBorders>
              <w:top w:val="single" w:sz="4" w:space="0" w:color="000000"/>
              <w:left w:val="single" w:sz="4" w:space="0" w:color="000000"/>
              <w:bottom w:val="single" w:sz="4" w:space="0" w:color="000000"/>
              <w:right w:val="single" w:sz="4" w:space="0" w:color="000000"/>
            </w:tcBorders>
          </w:tcPr>
          <w:p w14:paraId="77B3740F"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3A785138" w14:textId="77777777" w:rsidR="009E39C5" w:rsidRPr="000D3D7F" w:rsidRDefault="009E39C5" w:rsidP="001E1F5A">
            <w:pPr>
              <w:rPr>
                <w:noProof/>
                <w:lang w:val="sr-Latn-ME"/>
              </w:rPr>
            </w:pPr>
            <w:r w:rsidRPr="000D3D7F">
              <w:rPr>
                <w:noProof/>
                <w:szCs w:val="22"/>
                <w:lang w:val="sr-Latn-ME"/>
              </w:rPr>
              <w:t>poremećaji spavanja*</w:t>
            </w:r>
          </w:p>
        </w:tc>
      </w:tr>
      <w:tr w:rsidR="009E39C5" w:rsidRPr="000D3D7F" w14:paraId="7EDD66FE" w14:textId="77777777" w:rsidTr="00C26DCA">
        <w:trPr>
          <w:trHeight w:val="503"/>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44DF34C3" w14:textId="77777777" w:rsidR="009E39C5" w:rsidRPr="000D3D7F" w:rsidRDefault="009E39C5" w:rsidP="001E1F5A">
            <w:pPr>
              <w:rPr>
                <w:noProof/>
                <w:lang w:val="sr-Latn-ME"/>
              </w:rPr>
            </w:pPr>
            <w:r w:rsidRPr="000D3D7F">
              <w:rPr>
                <w:noProof/>
                <w:szCs w:val="22"/>
                <w:lang w:val="sr-Latn-ME"/>
              </w:rPr>
              <w:t>Poremećaji nervnog sistema</w:t>
            </w:r>
          </w:p>
        </w:tc>
        <w:tc>
          <w:tcPr>
            <w:tcW w:w="1828" w:type="dxa"/>
            <w:tcBorders>
              <w:top w:val="single" w:sz="4" w:space="0" w:color="000000"/>
              <w:left w:val="single" w:sz="4" w:space="0" w:color="000000"/>
              <w:bottom w:val="single" w:sz="4" w:space="0" w:color="000000"/>
              <w:right w:val="single" w:sz="4" w:space="0" w:color="000000"/>
            </w:tcBorders>
          </w:tcPr>
          <w:p w14:paraId="41F7FDDF" w14:textId="77777777" w:rsidR="009E39C5" w:rsidRPr="000D3D7F" w:rsidRDefault="009E39C5" w:rsidP="001E1F5A">
            <w:pPr>
              <w:rPr>
                <w:noProof/>
                <w:lang w:val="sr-Latn-ME"/>
              </w:rPr>
            </w:pPr>
            <w:r w:rsidRPr="000D3D7F">
              <w:rPr>
                <w:noProof/>
                <w:szCs w:val="22"/>
                <w:lang w:val="sr-Latn-ME"/>
              </w:rPr>
              <w:t>Veoma 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61D33677" w14:textId="77777777" w:rsidR="009E39C5" w:rsidRPr="000D3D7F" w:rsidRDefault="009E39C5" w:rsidP="001E1F5A">
            <w:pPr>
              <w:rPr>
                <w:noProof/>
                <w:lang w:val="sr-Latn-ME"/>
              </w:rPr>
            </w:pPr>
            <w:r w:rsidRPr="000D3D7F">
              <w:rPr>
                <w:noProof/>
                <w:szCs w:val="22"/>
                <w:lang w:val="sr-Latn-ME"/>
              </w:rPr>
              <w:t>periferna senzorna neuropatija, disestezija* neuralgija*</w:t>
            </w:r>
          </w:p>
        </w:tc>
      </w:tr>
      <w:tr w:rsidR="009E39C5" w:rsidRPr="000D3D7F" w14:paraId="0DA58E12" w14:textId="77777777" w:rsidTr="00C26DCA">
        <w:trPr>
          <w:trHeight w:val="1012"/>
        </w:trPr>
        <w:tc>
          <w:tcPr>
            <w:tcW w:w="2087" w:type="dxa"/>
            <w:gridSpan w:val="3"/>
            <w:vMerge/>
            <w:tcBorders>
              <w:top w:val="nil"/>
              <w:left w:val="single" w:sz="4" w:space="0" w:color="000000"/>
              <w:bottom w:val="single" w:sz="4" w:space="0" w:color="000000"/>
              <w:right w:val="single" w:sz="4" w:space="0" w:color="000000"/>
            </w:tcBorders>
          </w:tcPr>
          <w:p w14:paraId="0EC51078"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3915782D"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07B0331D" w14:textId="1665A6A7" w:rsidR="009E39C5" w:rsidRPr="000D3D7F" w:rsidRDefault="009E39C5" w:rsidP="001E1F5A">
            <w:pPr>
              <w:rPr>
                <w:noProof/>
                <w:lang w:val="sr-Latn-ME"/>
              </w:rPr>
            </w:pPr>
            <w:r w:rsidRPr="000D3D7F">
              <w:rPr>
                <w:noProof/>
                <w:szCs w:val="22"/>
                <w:lang w:val="sr-Latn-ME"/>
              </w:rPr>
              <w:t>neuropatija*, motorna neuropatija*, gubitak sv</w:t>
            </w:r>
            <w:r w:rsidR="0090305A" w:rsidRPr="000D3D7F">
              <w:rPr>
                <w:noProof/>
                <w:szCs w:val="22"/>
                <w:lang w:val="sr-Latn-ME"/>
              </w:rPr>
              <w:t>ij</w:t>
            </w:r>
            <w:r w:rsidRPr="000D3D7F">
              <w:rPr>
                <w:noProof/>
                <w:szCs w:val="22"/>
                <w:lang w:val="sr-Latn-ME"/>
              </w:rPr>
              <w:t>esti (uključujući sinkopu), encefalopatija*, periferna senzomotorna neuropatija, vrtoglavica*, poremećaj ukusa*, autonomna neuropatija</w:t>
            </w:r>
          </w:p>
        </w:tc>
      </w:tr>
      <w:tr w:rsidR="009E39C5" w:rsidRPr="000D3D7F" w14:paraId="571002CB" w14:textId="77777777" w:rsidTr="00C26DCA">
        <w:trPr>
          <w:trHeight w:val="253"/>
        </w:trPr>
        <w:tc>
          <w:tcPr>
            <w:tcW w:w="2087" w:type="dxa"/>
            <w:gridSpan w:val="3"/>
            <w:vMerge/>
            <w:tcBorders>
              <w:top w:val="nil"/>
              <w:left w:val="single" w:sz="4" w:space="0" w:color="000000"/>
              <w:bottom w:val="single" w:sz="4" w:space="0" w:color="000000"/>
              <w:right w:val="single" w:sz="4" w:space="0" w:color="000000"/>
            </w:tcBorders>
          </w:tcPr>
          <w:p w14:paraId="2347F44D"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1A73E473"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6B0FC546" w14:textId="77777777" w:rsidR="009E39C5" w:rsidRPr="000D3D7F" w:rsidRDefault="009E39C5" w:rsidP="001E1F5A">
            <w:pPr>
              <w:rPr>
                <w:noProof/>
                <w:lang w:val="sr-Latn-ME"/>
              </w:rPr>
            </w:pPr>
            <w:r w:rsidRPr="000D3D7F">
              <w:rPr>
                <w:noProof/>
                <w:szCs w:val="22"/>
                <w:lang w:val="sr-Latn-ME"/>
              </w:rPr>
              <w:t>disbalans autonomnog nervnog sistema</w:t>
            </w:r>
          </w:p>
        </w:tc>
      </w:tr>
      <w:tr w:rsidR="009E39C5" w:rsidRPr="000D3D7F" w14:paraId="6B9AD2DB" w14:textId="77777777" w:rsidTr="00C26DCA">
        <w:trPr>
          <w:trHeight w:val="503"/>
        </w:trPr>
        <w:tc>
          <w:tcPr>
            <w:tcW w:w="2087" w:type="dxa"/>
            <w:gridSpan w:val="3"/>
            <w:tcBorders>
              <w:top w:val="single" w:sz="4" w:space="0" w:color="000000"/>
              <w:left w:val="single" w:sz="4" w:space="0" w:color="000000"/>
              <w:bottom w:val="single" w:sz="4" w:space="0" w:color="000000"/>
              <w:right w:val="single" w:sz="4" w:space="0" w:color="000000"/>
            </w:tcBorders>
          </w:tcPr>
          <w:p w14:paraId="1C480309" w14:textId="77777777" w:rsidR="009E39C5" w:rsidRPr="000D3D7F" w:rsidRDefault="009E39C5" w:rsidP="001E1F5A">
            <w:pPr>
              <w:rPr>
                <w:noProof/>
                <w:lang w:val="sr-Latn-ME"/>
              </w:rPr>
            </w:pPr>
            <w:r w:rsidRPr="000D3D7F">
              <w:rPr>
                <w:noProof/>
                <w:szCs w:val="22"/>
                <w:lang w:val="sr-Latn-ME"/>
              </w:rPr>
              <w:t>Poremećaji oka</w:t>
            </w:r>
          </w:p>
        </w:tc>
        <w:tc>
          <w:tcPr>
            <w:tcW w:w="1828" w:type="dxa"/>
            <w:tcBorders>
              <w:top w:val="single" w:sz="4" w:space="0" w:color="000000"/>
              <w:left w:val="single" w:sz="4" w:space="0" w:color="000000"/>
              <w:bottom w:val="single" w:sz="4" w:space="0" w:color="000000"/>
              <w:right w:val="single" w:sz="4" w:space="0" w:color="000000"/>
            </w:tcBorders>
          </w:tcPr>
          <w:p w14:paraId="11A92938"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219EFE9F" w14:textId="77777777" w:rsidR="009E39C5" w:rsidRPr="000D3D7F" w:rsidRDefault="009E39C5" w:rsidP="001E1F5A">
            <w:pPr>
              <w:rPr>
                <w:noProof/>
                <w:lang w:val="sr-Latn-ME"/>
              </w:rPr>
            </w:pPr>
            <w:r w:rsidRPr="000D3D7F">
              <w:rPr>
                <w:noProof/>
                <w:szCs w:val="22"/>
                <w:lang w:val="sr-Latn-ME"/>
              </w:rPr>
              <w:t>abnormalan vid*</w:t>
            </w:r>
          </w:p>
        </w:tc>
      </w:tr>
      <w:tr w:rsidR="009E39C5" w:rsidRPr="000D3D7F" w14:paraId="601CACA9" w14:textId="77777777" w:rsidTr="00C26DCA">
        <w:trPr>
          <w:trHeight w:val="253"/>
        </w:trPr>
        <w:tc>
          <w:tcPr>
            <w:tcW w:w="1803" w:type="dxa"/>
            <w:vMerge w:val="restart"/>
            <w:tcBorders>
              <w:top w:val="single" w:sz="4" w:space="0" w:color="000000"/>
              <w:left w:val="single" w:sz="4" w:space="0" w:color="000000"/>
              <w:bottom w:val="single" w:sz="4" w:space="0" w:color="000000"/>
              <w:right w:val="none" w:sz="6" w:space="0" w:color="auto"/>
            </w:tcBorders>
          </w:tcPr>
          <w:p w14:paraId="2D980522" w14:textId="77777777" w:rsidR="009E39C5" w:rsidRPr="000D3D7F" w:rsidRDefault="009E39C5" w:rsidP="001E1F5A">
            <w:pPr>
              <w:rPr>
                <w:noProof/>
                <w:lang w:val="sr-Latn-ME"/>
              </w:rPr>
            </w:pPr>
            <w:r w:rsidRPr="000D3D7F">
              <w:rPr>
                <w:noProof/>
                <w:szCs w:val="22"/>
                <w:lang w:val="sr-Latn-ME"/>
              </w:rPr>
              <w:t>Poremećaji uha labirinta</w:t>
            </w:r>
          </w:p>
        </w:tc>
        <w:tc>
          <w:tcPr>
            <w:tcW w:w="284" w:type="dxa"/>
            <w:gridSpan w:val="2"/>
            <w:vMerge w:val="restart"/>
            <w:tcBorders>
              <w:top w:val="single" w:sz="4" w:space="0" w:color="000000"/>
              <w:left w:val="none" w:sz="6" w:space="0" w:color="auto"/>
              <w:bottom w:val="single" w:sz="4" w:space="0" w:color="000000"/>
              <w:right w:val="single" w:sz="4" w:space="0" w:color="000000"/>
            </w:tcBorders>
          </w:tcPr>
          <w:p w14:paraId="3C09C0A5" w14:textId="77777777" w:rsidR="009E39C5" w:rsidRPr="000D3D7F" w:rsidRDefault="009E39C5" w:rsidP="001E1F5A">
            <w:pPr>
              <w:rPr>
                <w:noProof/>
                <w:lang w:val="sr-Latn-ME"/>
              </w:rPr>
            </w:pPr>
            <w:r w:rsidRPr="000D3D7F">
              <w:rPr>
                <w:noProof/>
                <w:szCs w:val="22"/>
                <w:lang w:val="sr-Latn-ME"/>
              </w:rPr>
              <w:t>i</w:t>
            </w:r>
          </w:p>
        </w:tc>
        <w:tc>
          <w:tcPr>
            <w:tcW w:w="1828" w:type="dxa"/>
            <w:tcBorders>
              <w:top w:val="single" w:sz="4" w:space="0" w:color="000000"/>
              <w:left w:val="single" w:sz="4" w:space="0" w:color="000000"/>
              <w:bottom w:val="single" w:sz="4" w:space="0" w:color="000000"/>
              <w:right w:val="single" w:sz="4" w:space="0" w:color="000000"/>
            </w:tcBorders>
          </w:tcPr>
          <w:p w14:paraId="5D3044DE"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1FCEEB11" w14:textId="77777777" w:rsidR="009E39C5" w:rsidRPr="000D3D7F" w:rsidRDefault="009E39C5" w:rsidP="001E1F5A">
            <w:pPr>
              <w:rPr>
                <w:noProof/>
                <w:lang w:val="sr-Latn-ME"/>
              </w:rPr>
            </w:pPr>
            <w:r w:rsidRPr="000D3D7F">
              <w:rPr>
                <w:noProof/>
                <w:szCs w:val="22"/>
                <w:lang w:val="sr-Latn-ME"/>
              </w:rPr>
              <w:t>disakuzija (uključujući tinitus)*</w:t>
            </w:r>
          </w:p>
        </w:tc>
      </w:tr>
      <w:tr w:rsidR="009E39C5" w:rsidRPr="000D3D7F" w14:paraId="38719370" w14:textId="77777777" w:rsidTr="00C26DCA">
        <w:trPr>
          <w:trHeight w:val="503"/>
        </w:trPr>
        <w:tc>
          <w:tcPr>
            <w:tcW w:w="1803" w:type="dxa"/>
            <w:vMerge/>
            <w:tcBorders>
              <w:top w:val="nil"/>
              <w:left w:val="single" w:sz="4" w:space="0" w:color="000000"/>
              <w:bottom w:val="single" w:sz="4" w:space="0" w:color="000000"/>
              <w:right w:val="none" w:sz="6" w:space="0" w:color="auto"/>
            </w:tcBorders>
          </w:tcPr>
          <w:p w14:paraId="4718C628" w14:textId="77777777" w:rsidR="009E39C5" w:rsidRPr="000D3D7F" w:rsidRDefault="009E39C5" w:rsidP="001E1F5A">
            <w:pPr>
              <w:rPr>
                <w:noProof/>
                <w:lang w:val="sr-Latn-ME"/>
              </w:rPr>
            </w:pPr>
          </w:p>
        </w:tc>
        <w:tc>
          <w:tcPr>
            <w:tcW w:w="284" w:type="dxa"/>
            <w:gridSpan w:val="2"/>
            <w:vMerge/>
            <w:tcBorders>
              <w:top w:val="nil"/>
              <w:left w:val="none" w:sz="6" w:space="0" w:color="auto"/>
              <w:bottom w:val="single" w:sz="4" w:space="0" w:color="000000"/>
              <w:right w:val="single" w:sz="4" w:space="0" w:color="000000"/>
            </w:tcBorders>
          </w:tcPr>
          <w:p w14:paraId="1C76C28D"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131262C8"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4364580A" w14:textId="77777777" w:rsidR="009E39C5" w:rsidRPr="000D3D7F" w:rsidRDefault="009E39C5" w:rsidP="001E1F5A">
            <w:pPr>
              <w:rPr>
                <w:noProof/>
                <w:lang w:val="sr-Latn-ME"/>
              </w:rPr>
            </w:pPr>
            <w:r w:rsidRPr="000D3D7F">
              <w:rPr>
                <w:noProof/>
                <w:szCs w:val="22"/>
                <w:lang w:val="sr-Latn-ME"/>
              </w:rPr>
              <w:t>vertigo*, oštećenje sluha (do pojave gluvoće i uključujući</w:t>
            </w:r>
          </w:p>
          <w:p w14:paraId="7B92591C" w14:textId="77777777" w:rsidR="009E39C5" w:rsidRPr="000D3D7F" w:rsidRDefault="009E39C5" w:rsidP="001E1F5A">
            <w:pPr>
              <w:rPr>
                <w:noProof/>
                <w:lang w:val="sr-Latn-ME"/>
              </w:rPr>
            </w:pPr>
            <w:r w:rsidRPr="000D3D7F">
              <w:rPr>
                <w:noProof/>
                <w:szCs w:val="22"/>
                <w:lang w:val="sr-Latn-ME"/>
              </w:rPr>
              <w:t>gluvoću)</w:t>
            </w:r>
          </w:p>
        </w:tc>
      </w:tr>
      <w:tr w:rsidR="009E39C5" w:rsidRPr="000D3D7F" w14:paraId="45FDB099" w14:textId="77777777" w:rsidTr="00C26DCA">
        <w:trPr>
          <w:trHeight w:val="762"/>
        </w:trPr>
        <w:tc>
          <w:tcPr>
            <w:tcW w:w="2087" w:type="dxa"/>
            <w:gridSpan w:val="3"/>
            <w:tcBorders>
              <w:top w:val="single" w:sz="4" w:space="0" w:color="000000"/>
              <w:left w:val="single" w:sz="4" w:space="0" w:color="000000"/>
              <w:bottom w:val="single" w:sz="4" w:space="0" w:color="000000"/>
              <w:right w:val="single" w:sz="4" w:space="0" w:color="000000"/>
            </w:tcBorders>
          </w:tcPr>
          <w:p w14:paraId="78320AB9" w14:textId="77777777" w:rsidR="009E39C5" w:rsidRPr="000D3D7F" w:rsidRDefault="009E39C5" w:rsidP="001E1F5A">
            <w:pPr>
              <w:rPr>
                <w:noProof/>
                <w:lang w:val="sr-Latn-ME"/>
              </w:rPr>
            </w:pPr>
            <w:r w:rsidRPr="000D3D7F">
              <w:rPr>
                <w:noProof/>
                <w:szCs w:val="22"/>
                <w:lang w:val="sr-Latn-ME"/>
              </w:rPr>
              <w:t>Kardiološki poremećaji</w:t>
            </w:r>
          </w:p>
        </w:tc>
        <w:tc>
          <w:tcPr>
            <w:tcW w:w="1828" w:type="dxa"/>
            <w:tcBorders>
              <w:top w:val="single" w:sz="4" w:space="0" w:color="000000"/>
              <w:left w:val="single" w:sz="4" w:space="0" w:color="000000"/>
              <w:bottom w:val="single" w:sz="4" w:space="0" w:color="000000"/>
              <w:right w:val="single" w:sz="4" w:space="0" w:color="000000"/>
            </w:tcBorders>
          </w:tcPr>
          <w:p w14:paraId="32D24FA6"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49465145" w14:textId="10B6F777" w:rsidR="009E39C5" w:rsidRPr="000D3D7F" w:rsidRDefault="009E39C5" w:rsidP="001E1F5A">
            <w:pPr>
              <w:rPr>
                <w:noProof/>
                <w:lang w:val="sr-Latn-ME"/>
              </w:rPr>
            </w:pPr>
            <w:r w:rsidRPr="000D3D7F">
              <w:rPr>
                <w:noProof/>
                <w:szCs w:val="22"/>
                <w:lang w:val="sr-Latn-ME"/>
              </w:rPr>
              <w:t>kardijalna fibrilacija (uključujući atrijalnu), aritmija*, srčana insuficijencija (uključujući insuficijenciju l</w:t>
            </w:r>
            <w:r w:rsidR="0090305A" w:rsidRPr="000D3D7F">
              <w:rPr>
                <w:noProof/>
                <w:szCs w:val="22"/>
                <w:lang w:val="sr-Latn-ME"/>
              </w:rPr>
              <w:t>ij</w:t>
            </w:r>
            <w:r w:rsidRPr="000D3D7F">
              <w:rPr>
                <w:noProof/>
                <w:szCs w:val="22"/>
                <w:lang w:val="sr-Latn-ME"/>
              </w:rPr>
              <w:t>eve i desne</w:t>
            </w:r>
          </w:p>
          <w:p w14:paraId="29A8A639" w14:textId="77777777" w:rsidR="009E39C5" w:rsidRPr="000D3D7F" w:rsidRDefault="009E39C5" w:rsidP="001E1F5A">
            <w:pPr>
              <w:rPr>
                <w:noProof/>
                <w:lang w:val="sr-Latn-ME"/>
              </w:rPr>
            </w:pPr>
            <w:r w:rsidRPr="000D3D7F">
              <w:rPr>
                <w:noProof/>
                <w:szCs w:val="22"/>
                <w:lang w:val="sr-Latn-ME"/>
              </w:rPr>
              <w:t>komore)*, ishemija miokarda, ventrikularna disfunkcija*</w:t>
            </w:r>
          </w:p>
        </w:tc>
      </w:tr>
      <w:tr w:rsidR="009E39C5" w:rsidRPr="000D3D7F" w14:paraId="62738766" w14:textId="77777777" w:rsidTr="00C26DCA">
        <w:trPr>
          <w:trHeight w:val="249"/>
        </w:trPr>
        <w:tc>
          <w:tcPr>
            <w:tcW w:w="2087" w:type="dxa"/>
            <w:gridSpan w:val="3"/>
            <w:tcBorders>
              <w:top w:val="single" w:sz="4" w:space="0" w:color="000000"/>
              <w:left w:val="single" w:sz="4" w:space="0" w:color="000000"/>
              <w:bottom w:val="single" w:sz="4" w:space="0" w:color="000000"/>
              <w:right w:val="single" w:sz="4" w:space="0" w:color="000000"/>
            </w:tcBorders>
          </w:tcPr>
          <w:p w14:paraId="306CB9E5"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562457A3" w14:textId="77777777" w:rsidR="009E39C5" w:rsidRPr="000D3D7F" w:rsidRDefault="009E39C5" w:rsidP="001E1F5A">
            <w:pPr>
              <w:rPr>
                <w:noProof/>
                <w:lang w:val="sr-Latn-ME"/>
              </w:rPr>
            </w:pPr>
            <w:r w:rsidRPr="000D3D7F">
              <w:rPr>
                <w:noProof/>
                <w:szCs w:val="22"/>
                <w:lang w:val="sr-Latn-ME"/>
              </w:rPr>
              <w:t>povremeno</w:t>
            </w:r>
          </w:p>
        </w:tc>
        <w:tc>
          <w:tcPr>
            <w:tcW w:w="5942" w:type="dxa"/>
            <w:gridSpan w:val="5"/>
            <w:tcBorders>
              <w:top w:val="single" w:sz="4" w:space="0" w:color="000000"/>
              <w:left w:val="single" w:sz="4" w:space="0" w:color="000000"/>
              <w:bottom w:val="single" w:sz="4" w:space="0" w:color="000000"/>
              <w:right w:val="single" w:sz="4" w:space="0" w:color="000000"/>
            </w:tcBorders>
          </w:tcPr>
          <w:p w14:paraId="4B42F310" w14:textId="77777777" w:rsidR="009E39C5" w:rsidRPr="000D3D7F" w:rsidRDefault="009E39C5" w:rsidP="001E1F5A">
            <w:pPr>
              <w:rPr>
                <w:noProof/>
                <w:lang w:val="sr-Latn-ME"/>
              </w:rPr>
            </w:pPr>
            <w:r w:rsidRPr="000D3D7F">
              <w:rPr>
                <w:noProof/>
                <w:szCs w:val="22"/>
                <w:lang w:val="sr-Latn-ME"/>
              </w:rPr>
              <w:t>kardiovaskularni poremećaji (kardiogeni šok)</w:t>
            </w:r>
          </w:p>
        </w:tc>
      </w:tr>
      <w:tr w:rsidR="009E39C5" w:rsidRPr="000D3D7F" w14:paraId="0E7AD7E1" w14:textId="77777777" w:rsidTr="00C26DCA">
        <w:trPr>
          <w:trHeight w:val="508"/>
        </w:trPr>
        <w:tc>
          <w:tcPr>
            <w:tcW w:w="2087" w:type="dxa"/>
            <w:gridSpan w:val="3"/>
            <w:tcBorders>
              <w:top w:val="single" w:sz="4" w:space="0" w:color="000000"/>
              <w:left w:val="single" w:sz="4" w:space="0" w:color="000000"/>
              <w:bottom w:val="single" w:sz="4" w:space="0" w:color="000000"/>
              <w:right w:val="single" w:sz="4" w:space="0" w:color="000000"/>
            </w:tcBorders>
          </w:tcPr>
          <w:p w14:paraId="051E450D" w14:textId="77777777" w:rsidR="009E39C5" w:rsidRPr="000D3D7F" w:rsidRDefault="009E39C5" w:rsidP="001E1F5A">
            <w:pPr>
              <w:rPr>
                <w:noProof/>
                <w:lang w:val="sr-Latn-ME"/>
              </w:rPr>
            </w:pPr>
            <w:r w:rsidRPr="000D3D7F">
              <w:rPr>
                <w:noProof/>
                <w:szCs w:val="22"/>
                <w:lang w:val="sr-Latn-ME"/>
              </w:rPr>
              <w:t>Vaskularni poremećaji</w:t>
            </w:r>
          </w:p>
        </w:tc>
        <w:tc>
          <w:tcPr>
            <w:tcW w:w="1828" w:type="dxa"/>
            <w:tcBorders>
              <w:top w:val="single" w:sz="4" w:space="0" w:color="000000"/>
              <w:left w:val="single" w:sz="4" w:space="0" w:color="000000"/>
              <w:bottom w:val="single" w:sz="4" w:space="0" w:color="000000"/>
              <w:right w:val="single" w:sz="4" w:space="0" w:color="000000"/>
            </w:tcBorders>
          </w:tcPr>
          <w:p w14:paraId="754BB3E6"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744176E3" w14:textId="77777777" w:rsidR="009E39C5" w:rsidRPr="000D3D7F" w:rsidRDefault="009E39C5" w:rsidP="001E1F5A">
            <w:pPr>
              <w:rPr>
                <w:noProof/>
                <w:lang w:val="sr-Latn-ME"/>
              </w:rPr>
            </w:pPr>
            <w:r w:rsidRPr="000D3D7F">
              <w:rPr>
                <w:noProof/>
                <w:szCs w:val="22"/>
                <w:lang w:val="sr-Latn-ME"/>
              </w:rPr>
              <w:t>hipertenzija*, hipotenzija*, ortostatska hipotenzija,</w:t>
            </w:r>
          </w:p>
        </w:tc>
      </w:tr>
      <w:tr w:rsidR="009E39C5" w:rsidRPr="000D3D7F" w14:paraId="5F8D545E" w14:textId="77777777" w:rsidTr="00C26DCA">
        <w:trPr>
          <w:trHeight w:val="254"/>
        </w:trPr>
        <w:tc>
          <w:tcPr>
            <w:tcW w:w="2087" w:type="dxa"/>
            <w:gridSpan w:val="3"/>
            <w:tcBorders>
              <w:top w:val="single" w:sz="4" w:space="0" w:color="000000"/>
              <w:left w:val="single" w:sz="4" w:space="0" w:color="000000"/>
              <w:bottom w:val="single" w:sz="4" w:space="0" w:color="000000"/>
              <w:right w:val="single" w:sz="4" w:space="0" w:color="000000"/>
            </w:tcBorders>
          </w:tcPr>
          <w:p w14:paraId="19B89E7E" w14:textId="77777777" w:rsidR="009E39C5" w:rsidRPr="000D3D7F" w:rsidRDefault="009E39C5" w:rsidP="001E1F5A">
            <w:pPr>
              <w:rPr>
                <w:noProof/>
                <w:lang w:val="sr-Latn-ME"/>
              </w:rPr>
            </w:pPr>
            <w:r w:rsidRPr="000D3D7F">
              <w:rPr>
                <w:noProof/>
                <w:szCs w:val="22"/>
                <w:lang w:val="sr-Latn-ME"/>
              </w:rPr>
              <w:t>Respiratorni,</w:t>
            </w:r>
          </w:p>
        </w:tc>
        <w:tc>
          <w:tcPr>
            <w:tcW w:w="1828" w:type="dxa"/>
            <w:tcBorders>
              <w:top w:val="single" w:sz="4" w:space="0" w:color="000000"/>
              <w:left w:val="single" w:sz="4" w:space="0" w:color="000000"/>
              <w:bottom w:val="single" w:sz="4" w:space="0" w:color="000000"/>
              <w:right w:val="single" w:sz="4" w:space="0" w:color="000000"/>
            </w:tcBorders>
          </w:tcPr>
          <w:p w14:paraId="5AA513C0" w14:textId="77777777" w:rsidR="009E39C5" w:rsidRPr="000D3D7F" w:rsidRDefault="009E39C5" w:rsidP="001E1F5A">
            <w:pPr>
              <w:rPr>
                <w:noProof/>
                <w:lang w:val="sr-Latn-ME"/>
              </w:rPr>
            </w:pPr>
            <w:r w:rsidRPr="000D3D7F">
              <w:rPr>
                <w:noProof/>
                <w:szCs w:val="22"/>
                <w:lang w:val="sr-Latn-ME"/>
              </w:rPr>
              <w:t>često</w:t>
            </w:r>
          </w:p>
        </w:tc>
        <w:tc>
          <w:tcPr>
            <w:tcW w:w="5942" w:type="dxa"/>
            <w:gridSpan w:val="5"/>
            <w:tcBorders>
              <w:top w:val="single" w:sz="4" w:space="0" w:color="000000"/>
              <w:left w:val="single" w:sz="4" w:space="0" w:color="000000"/>
              <w:bottom w:val="single" w:sz="4" w:space="0" w:color="000000"/>
              <w:right w:val="single" w:sz="4" w:space="0" w:color="000000"/>
            </w:tcBorders>
          </w:tcPr>
          <w:p w14:paraId="09F38DA3" w14:textId="77777777" w:rsidR="009E39C5" w:rsidRPr="000D3D7F" w:rsidRDefault="009E39C5" w:rsidP="001E1F5A">
            <w:pPr>
              <w:rPr>
                <w:noProof/>
                <w:lang w:val="sr-Latn-ME"/>
              </w:rPr>
            </w:pPr>
            <w:r w:rsidRPr="000D3D7F">
              <w:rPr>
                <w:noProof/>
                <w:szCs w:val="22"/>
                <w:lang w:val="sr-Latn-ME"/>
              </w:rPr>
              <w:t>dispnea*, kašalj*, štucanje</w:t>
            </w:r>
          </w:p>
        </w:tc>
      </w:tr>
      <w:tr w:rsidR="009E39C5" w:rsidRPr="000D3D7F" w14:paraId="3659733A" w14:textId="77777777" w:rsidTr="00C26DCA">
        <w:trPr>
          <w:trHeight w:val="758"/>
        </w:trPr>
        <w:tc>
          <w:tcPr>
            <w:tcW w:w="1817" w:type="dxa"/>
            <w:gridSpan w:val="2"/>
            <w:tcBorders>
              <w:top w:val="single" w:sz="4" w:space="0" w:color="000000"/>
              <w:left w:val="single" w:sz="4" w:space="0" w:color="000000"/>
              <w:bottom w:val="single" w:sz="4" w:space="0" w:color="000000"/>
              <w:right w:val="none" w:sz="6" w:space="0" w:color="auto"/>
            </w:tcBorders>
          </w:tcPr>
          <w:p w14:paraId="74D7688A" w14:textId="77777777" w:rsidR="009E39C5" w:rsidRPr="000D3D7F" w:rsidRDefault="009E39C5" w:rsidP="001E1F5A">
            <w:pPr>
              <w:rPr>
                <w:noProof/>
                <w:lang w:val="sr-Latn-ME"/>
              </w:rPr>
            </w:pPr>
            <w:r w:rsidRPr="000D3D7F">
              <w:rPr>
                <w:noProof/>
                <w:szCs w:val="22"/>
                <w:lang w:val="sr-Latn-ME"/>
              </w:rPr>
              <w:t>torakalni medijastinalni</w:t>
            </w:r>
          </w:p>
          <w:p w14:paraId="06D27F41" w14:textId="77777777" w:rsidR="009E39C5" w:rsidRPr="000D3D7F" w:rsidRDefault="009E39C5" w:rsidP="001E1F5A">
            <w:pPr>
              <w:rPr>
                <w:noProof/>
                <w:lang w:val="sr-Latn-ME"/>
              </w:rPr>
            </w:pPr>
            <w:r w:rsidRPr="000D3D7F">
              <w:rPr>
                <w:noProof/>
                <w:szCs w:val="22"/>
                <w:lang w:val="sr-Latn-ME"/>
              </w:rPr>
              <w:t>poremećaji</w:t>
            </w:r>
          </w:p>
        </w:tc>
        <w:tc>
          <w:tcPr>
            <w:tcW w:w="270" w:type="dxa"/>
            <w:tcBorders>
              <w:top w:val="single" w:sz="4" w:space="0" w:color="000000"/>
              <w:left w:val="none" w:sz="6" w:space="0" w:color="auto"/>
              <w:bottom w:val="single" w:sz="4" w:space="0" w:color="000000"/>
              <w:right w:val="single" w:sz="4" w:space="0" w:color="000000"/>
            </w:tcBorders>
          </w:tcPr>
          <w:p w14:paraId="5468A3AC" w14:textId="77777777" w:rsidR="009E39C5" w:rsidRPr="000D3D7F" w:rsidRDefault="009E39C5" w:rsidP="001E1F5A">
            <w:pPr>
              <w:rPr>
                <w:noProof/>
                <w:lang w:val="sr-Latn-ME"/>
              </w:rPr>
            </w:pPr>
            <w:r w:rsidRPr="000D3D7F">
              <w:rPr>
                <w:noProof/>
                <w:szCs w:val="22"/>
                <w:lang w:val="sr-Latn-ME"/>
              </w:rPr>
              <w:t>i</w:t>
            </w:r>
          </w:p>
        </w:tc>
        <w:tc>
          <w:tcPr>
            <w:tcW w:w="1828" w:type="dxa"/>
            <w:tcBorders>
              <w:top w:val="single" w:sz="4" w:space="0" w:color="000000"/>
              <w:left w:val="single" w:sz="4" w:space="0" w:color="000000"/>
              <w:bottom w:val="single" w:sz="4" w:space="0" w:color="000000"/>
              <w:right w:val="single" w:sz="4" w:space="0" w:color="000000"/>
            </w:tcBorders>
          </w:tcPr>
          <w:p w14:paraId="4D5BED21" w14:textId="77777777" w:rsidR="009E39C5" w:rsidRPr="000D3D7F" w:rsidRDefault="009E39C5" w:rsidP="001E1F5A">
            <w:pPr>
              <w:rPr>
                <w:noProof/>
                <w:lang w:val="sr-Latn-ME"/>
              </w:rPr>
            </w:pPr>
            <w:r w:rsidRPr="000D3D7F">
              <w:rPr>
                <w:noProof/>
                <w:szCs w:val="22"/>
                <w:lang w:val="sr-Latn-ME"/>
              </w:rPr>
              <w:t>Povremeno</w:t>
            </w:r>
          </w:p>
        </w:tc>
        <w:tc>
          <w:tcPr>
            <w:tcW w:w="5939" w:type="dxa"/>
            <w:gridSpan w:val="5"/>
            <w:tcBorders>
              <w:top w:val="single" w:sz="4" w:space="0" w:color="000000"/>
              <w:left w:val="single" w:sz="4" w:space="0" w:color="000000"/>
              <w:bottom w:val="single" w:sz="4" w:space="0" w:color="000000"/>
              <w:right w:val="single" w:sz="4" w:space="0" w:color="000000"/>
            </w:tcBorders>
          </w:tcPr>
          <w:p w14:paraId="5AA4D730" w14:textId="77777777" w:rsidR="009E39C5" w:rsidRPr="000D3D7F" w:rsidRDefault="009E39C5" w:rsidP="001E1F5A">
            <w:pPr>
              <w:rPr>
                <w:noProof/>
                <w:lang w:val="sr-Latn-ME"/>
              </w:rPr>
            </w:pPr>
            <w:r w:rsidRPr="000D3D7F">
              <w:rPr>
                <w:noProof/>
                <w:szCs w:val="22"/>
                <w:lang w:val="sr-Latn-ME"/>
              </w:rPr>
              <w:t>akutni respiratorni distres sindrom, plućna embolija, pneumonitis, plućna hipertenzija, edem pluća (uključujući</w:t>
            </w:r>
          </w:p>
          <w:p w14:paraId="00E0423B" w14:textId="77777777" w:rsidR="009E39C5" w:rsidRPr="000D3D7F" w:rsidRDefault="009E39C5" w:rsidP="001E1F5A">
            <w:pPr>
              <w:rPr>
                <w:noProof/>
                <w:lang w:val="sr-Latn-ME"/>
              </w:rPr>
            </w:pPr>
            <w:r w:rsidRPr="000D3D7F">
              <w:rPr>
                <w:noProof/>
                <w:szCs w:val="22"/>
                <w:lang w:val="sr-Latn-ME"/>
              </w:rPr>
              <w:t>akutni)</w:t>
            </w:r>
          </w:p>
        </w:tc>
      </w:tr>
      <w:tr w:rsidR="009E39C5" w:rsidRPr="000D3D7F" w14:paraId="2A3FF261" w14:textId="77777777" w:rsidTr="00C26DCA">
        <w:trPr>
          <w:trHeight w:val="503"/>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20A64ED7" w14:textId="77777777" w:rsidR="009E39C5" w:rsidRPr="000D3D7F" w:rsidRDefault="009E39C5" w:rsidP="001E1F5A">
            <w:pPr>
              <w:rPr>
                <w:noProof/>
                <w:lang w:val="sr-Latn-ME"/>
              </w:rPr>
            </w:pPr>
            <w:r w:rsidRPr="000D3D7F">
              <w:rPr>
                <w:noProof/>
                <w:szCs w:val="22"/>
                <w:lang w:val="sr-Latn-ME"/>
              </w:rPr>
              <w:t>Gastrointestinalni poremećaji</w:t>
            </w:r>
          </w:p>
        </w:tc>
        <w:tc>
          <w:tcPr>
            <w:tcW w:w="1828" w:type="dxa"/>
            <w:tcBorders>
              <w:top w:val="single" w:sz="4" w:space="0" w:color="000000"/>
              <w:left w:val="single" w:sz="4" w:space="0" w:color="000000"/>
              <w:bottom w:val="single" w:sz="4" w:space="0" w:color="000000"/>
              <w:right w:val="single" w:sz="4" w:space="0" w:color="000000"/>
            </w:tcBorders>
          </w:tcPr>
          <w:p w14:paraId="272B5A16" w14:textId="77777777" w:rsidR="009E39C5" w:rsidRPr="000D3D7F" w:rsidRDefault="009E39C5" w:rsidP="001E1F5A">
            <w:pPr>
              <w:rPr>
                <w:noProof/>
                <w:lang w:val="sr-Latn-ME"/>
              </w:rPr>
            </w:pPr>
            <w:r w:rsidRPr="000D3D7F">
              <w:rPr>
                <w:noProof/>
                <w:szCs w:val="22"/>
                <w:lang w:val="sr-Latn-ME"/>
              </w:rPr>
              <w:t>Veoma često</w:t>
            </w:r>
          </w:p>
        </w:tc>
        <w:tc>
          <w:tcPr>
            <w:tcW w:w="2025" w:type="dxa"/>
            <w:tcBorders>
              <w:top w:val="single" w:sz="4" w:space="0" w:color="000000"/>
              <w:left w:val="single" w:sz="4" w:space="0" w:color="000000"/>
              <w:bottom w:val="single" w:sz="4" w:space="0" w:color="000000"/>
              <w:right w:val="none" w:sz="6" w:space="0" w:color="auto"/>
            </w:tcBorders>
          </w:tcPr>
          <w:p w14:paraId="452BB883" w14:textId="77777777" w:rsidR="009E39C5" w:rsidRPr="000D3D7F" w:rsidRDefault="009E39C5" w:rsidP="001E1F5A">
            <w:pPr>
              <w:rPr>
                <w:noProof/>
                <w:lang w:val="sr-Latn-ME"/>
              </w:rPr>
            </w:pPr>
            <w:r w:rsidRPr="000D3D7F">
              <w:rPr>
                <w:noProof/>
                <w:szCs w:val="22"/>
                <w:lang w:val="sr-Latn-ME"/>
              </w:rPr>
              <w:t>simptomi mučnine konstipacija,</w:t>
            </w:r>
          </w:p>
        </w:tc>
        <w:tc>
          <w:tcPr>
            <w:tcW w:w="279" w:type="dxa"/>
            <w:tcBorders>
              <w:top w:val="single" w:sz="4" w:space="0" w:color="000000"/>
              <w:left w:val="none" w:sz="6" w:space="0" w:color="auto"/>
              <w:bottom w:val="single" w:sz="4" w:space="0" w:color="000000"/>
              <w:right w:val="none" w:sz="6" w:space="0" w:color="auto"/>
            </w:tcBorders>
          </w:tcPr>
          <w:p w14:paraId="39524E1C" w14:textId="56404654" w:rsidR="009E39C5" w:rsidRPr="000D3D7F" w:rsidRDefault="0090305A" w:rsidP="001E1F5A">
            <w:pPr>
              <w:rPr>
                <w:noProof/>
                <w:lang w:val="sr-Latn-ME"/>
              </w:rPr>
            </w:pPr>
            <w:r w:rsidRPr="000D3D7F">
              <w:rPr>
                <w:noProof/>
                <w:szCs w:val="22"/>
                <w:lang w:val="sr-Latn-ME"/>
              </w:rPr>
              <w:t xml:space="preserve"> </w:t>
            </w:r>
            <w:r w:rsidR="009E39C5" w:rsidRPr="000D3D7F">
              <w:rPr>
                <w:noProof/>
                <w:szCs w:val="22"/>
                <w:lang w:val="sr-Latn-ME"/>
              </w:rPr>
              <w:t>i</w:t>
            </w:r>
          </w:p>
        </w:tc>
        <w:tc>
          <w:tcPr>
            <w:tcW w:w="1350" w:type="dxa"/>
            <w:tcBorders>
              <w:top w:val="single" w:sz="4" w:space="0" w:color="000000"/>
              <w:left w:val="none" w:sz="6" w:space="0" w:color="auto"/>
              <w:bottom w:val="single" w:sz="4" w:space="0" w:color="000000"/>
              <w:right w:val="none" w:sz="6" w:space="0" w:color="auto"/>
            </w:tcBorders>
          </w:tcPr>
          <w:p w14:paraId="258B5DD1" w14:textId="77777777" w:rsidR="009E39C5" w:rsidRPr="000D3D7F" w:rsidRDefault="009E39C5" w:rsidP="001E1F5A">
            <w:pPr>
              <w:rPr>
                <w:noProof/>
                <w:lang w:val="sr-Latn-ME"/>
              </w:rPr>
            </w:pPr>
            <w:r w:rsidRPr="000D3D7F">
              <w:rPr>
                <w:noProof/>
                <w:szCs w:val="22"/>
                <w:lang w:val="sr-Latn-ME"/>
              </w:rPr>
              <w:t>povraćanja*,</w:t>
            </w:r>
          </w:p>
        </w:tc>
        <w:tc>
          <w:tcPr>
            <w:tcW w:w="1041" w:type="dxa"/>
            <w:tcBorders>
              <w:top w:val="single" w:sz="4" w:space="0" w:color="000000"/>
              <w:left w:val="none" w:sz="6" w:space="0" w:color="auto"/>
              <w:bottom w:val="single" w:sz="4" w:space="0" w:color="000000"/>
              <w:right w:val="none" w:sz="6" w:space="0" w:color="auto"/>
            </w:tcBorders>
          </w:tcPr>
          <w:p w14:paraId="6E9AE600" w14:textId="77777777" w:rsidR="009E39C5" w:rsidRPr="000D3D7F" w:rsidRDefault="009E39C5" w:rsidP="001E1F5A">
            <w:pPr>
              <w:rPr>
                <w:noProof/>
                <w:lang w:val="sr-Latn-ME"/>
              </w:rPr>
            </w:pPr>
            <w:r w:rsidRPr="000D3D7F">
              <w:rPr>
                <w:noProof/>
                <w:szCs w:val="22"/>
                <w:lang w:val="sr-Latn-ME"/>
              </w:rPr>
              <w:t>dijareja*,</w:t>
            </w:r>
          </w:p>
        </w:tc>
        <w:tc>
          <w:tcPr>
            <w:tcW w:w="1244" w:type="dxa"/>
            <w:tcBorders>
              <w:top w:val="single" w:sz="4" w:space="0" w:color="000000"/>
              <w:left w:val="none" w:sz="6" w:space="0" w:color="auto"/>
              <w:bottom w:val="single" w:sz="4" w:space="0" w:color="000000"/>
              <w:right w:val="single" w:sz="4" w:space="0" w:color="000000"/>
            </w:tcBorders>
          </w:tcPr>
          <w:p w14:paraId="47768E5A" w14:textId="77777777" w:rsidR="009E39C5" w:rsidRPr="000D3D7F" w:rsidRDefault="009E39C5" w:rsidP="001E1F5A">
            <w:pPr>
              <w:rPr>
                <w:noProof/>
                <w:lang w:val="sr-Latn-ME"/>
              </w:rPr>
            </w:pPr>
            <w:r w:rsidRPr="000D3D7F">
              <w:rPr>
                <w:noProof/>
                <w:szCs w:val="22"/>
                <w:lang w:val="sr-Latn-ME"/>
              </w:rPr>
              <w:t>stomatitis*,</w:t>
            </w:r>
          </w:p>
        </w:tc>
      </w:tr>
      <w:tr w:rsidR="009E39C5" w:rsidRPr="000D3D7F" w14:paraId="77CE385F" w14:textId="77777777" w:rsidTr="00C26DCA">
        <w:trPr>
          <w:trHeight w:val="1245"/>
        </w:trPr>
        <w:tc>
          <w:tcPr>
            <w:tcW w:w="2087" w:type="dxa"/>
            <w:gridSpan w:val="3"/>
            <w:vMerge/>
            <w:tcBorders>
              <w:top w:val="nil"/>
              <w:left w:val="single" w:sz="4" w:space="0" w:color="000000"/>
              <w:bottom w:val="single" w:sz="4" w:space="0" w:color="000000"/>
              <w:right w:val="single" w:sz="4" w:space="0" w:color="000000"/>
            </w:tcBorders>
          </w:tcPr>
          <w:p w14:paraId="72424B5A"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7451ACE9"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7C63522A" w14:textId="77777777" w:rsidR="009E39C5" w:rsidRPr="000D3D7F" w:rsidRDefault="009E39C5" w:rsidP="001E1F5A">
            <w:pPr>
              <w:rPr>
                <w:noProof/>
                <w:lang w:val="sr-Latn-ME"/>
              </w:rPr>
            </w:pPr>
            <w:r w:rsidRPr="000D3D7F">
              <w:rPr>
                <w:noProof/>
                <w:szCs w:val="22"/>
                <w:lang w:val="sr-Latn-ME"/>
              </w:rPr>
              <w:t>gastrointestinalna hemoragija (uključujući mukoznu)*, abdominalna distenzija, dispepsija, orofaringealni bol*, gastritis*, oralne ulceracije*, nelagodost u abdomenu, disfagija, gastrointestinalna inflamacija*, abdominalni bol (uključujući</w:t>
            </w:r>
          </w:p>
          <w:p w14:paraId="09540847" w14:textId="77777777" w:rsidR="009E39C5" w:rsidRPr="000D3D7F" w:rsidRDefault="009E39C5" w:rsidP="001E1F5A">
            <w:pPr>
              <w:rPr>
                <w:noProof/>
                <w:lang w:val="sr-Latn-ME"/>
              </w:rPr>
            </w:pPr>
            <w:r w:rsidRPr="000D3D7F">
              <w:rPr>
                <w:noProof/>
                <w:szCs w:val="22"/>
                <w:lang w:val="sr-Latn-ME"/>
              </w:rPr>
              <w:t>gastrointestinalni i slezinski bol), poremećaji u ustima*</w:t>
            </w:r>
          </w:p>
        </w:tc>
      </w:tr>
      <w:tr w:rsidR="009E39C5" w:rsidRPr="000D3D7F" w14:paraId="690A26DD" w14:textId="77777777" w:rsidTr="00C26DCA">
        <w:trPr>
          <w:trHeight w:val="253"/>
        </w:trPr>
        <w:tc>
          <w:tcPr>
            <w:tcW w:w="2087" w:type="dxa"/>
            <w:gridSpan w:val="3"/>
            <w:vMerge/>
            <w:tcBorders>
              <w:top w:val="nil"/>
              <w:left w:val="single" w:sz="4" w:space="0" w:color="000000"/>
              <w:bottom w:val="single" w:sz="4" w:space="0" w:color="000000"/>
              <w:right w:val="single" w:sz="4" w:space="0" w:color="000000"/>
            </w:tcBorders>
          </w:tcPr>
          <w:p w14:paraId="3D5597A3"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17A71D43" w14:textId="77777777" w:rsidR="009E39C5" w:rsidRPr="000D3D7F" w:rsidRDefault="009E39C5" w:rsidP="001E1F5A">
            <w:pPr>
              <w:rPr>
                <w:noProof/>
                <w:lang w:val="sr-Latn-ME"/>
              </w:rPr>
            </w:pPr>
            <w:r w:rsidRPr="000D3D7F">
              <w:rPr>
                <w:noProof/>
                <w:szCs w:val="22"/>
                <w:lang w:val="sr-Latn-ME"/>
              </w:rPr>
              <w:t>Povremeno</w:t>
            </w:r>
          </w:p>
        </w:tc>
        <w:tc>
          <w:tcPr>
            <w:tcW w:w="5939" w:type="dxa"/>
            <w:gridSpan w:val="5"/>
            <w:tcBorders>
              <w:top w:val="single" w:sz="4" w:space="0" w:color="000000"/>
              <w:left w:val="single" w:sz="4" w:space="0" w:color="000000"/>
              <w:bottom w:val="single" w:sz="4" w:space="0" w:color="000000"/>
              <w:right w:val="single" w:sz="4" w:space="0" w:color="000000"/>
            </w:tcBorders>
          </w:tcPr>
          <w:p w14:paraId="011A4D0A" w14:textId="77777777" w:rsidR="009E39C5" w:rsidRPr="000D3D7F" w:rsidRDefault="009E39C5" w:rsidP="001E1F5A">
            <w:pPr>
              <w:rPr>
                <w:noProof/>
                <w:lang w:val="sr-Latn-ME"/>
              </w:rPr>
            </w:pPr>
            <w:r w:rsidRPr="000D3D7F">
              <w:rPr>
                <w:noProof/>
                <w:szCs w:val="22"/>
                <w:lang w:val="sr-Latn-ME"/>
              </w:rPr>
              <w:t>kolitis (uključujući i kolitis izazvan Clostridium difficile)*</w:t>
            </w:r>
          </w:p>
        </w:tc>
      </w:tr>
      <w:tr w:rsidR="009E39C5" w:rsidRPr="000D3D7F" w14:paraId="42FBFB00" w14:textId="77777777" w:rsidTr="00C26DCA">
        <w:trPr>
          <w:trHeight w:val="249"/>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4581C8E6" w14:textId="77777777" w:rsidR="009E39C5" w:rsidRPr="000D3D7F" w:rsidRDefault="009E39C5" w:rsidP="001E1F5A">
            <w:pPr>
              <w:rPr>
                <w:noProof/>
                <w:lang w:val="sr-Latn-ME"/>
              </w:rPr>
            </w:pPr>
            <w:r w:rsidRPr="000D3D7F">
              <w:rPr>
                <w:noProof/>
                <w:szCs w:val="22"/>
                <w:lang w:val="sr-Latn-ME"/>
              </w:rPr>
              <w:t>Hepatobilijarni poremećaj</w:t>
            </w:r>
          </w:p>
        </w:tc>
        <w:tc>
          <w:tcPr>
            <w:tcW w:w="1828" w:type="dxa"/>
            <w:tcBorders>
              <w:top w:val="single" w:sz="4" w:space="0" w:color="000000"/>
              <w:left w:val="single" w:sz="4" w:space="0" w:color="000000"/>
              <w:bottom w:val="single" w:sz="4" w:space="0" w:color="000000"/>
              <w:right w:val="single" w:sz="4" w:space="0" w:color="000000"/>
            </w:tcBorders>
          </w:tcPr>
          <w:p w14:paraId="1F04F1FA"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1BC3D62B" w14:textId="77777777" w:rsidR="009E39C5" w:rsidRPr="000D3D7F" w:rsidRDefault="009E39C5" w:rsidP="001E1F5A">
            <w:pPr>
              <w:rPr>
                <w:noProof/>
                <w:lang w:val="sr-Latn-ME"/>
              </w:rPr>
            </w:pPr>
            <w:r w:rsidRPr="000D3D7F">
              <w:rPr>
                <w:noProof/>
                <w:szCs w:val="22"/>
                <w:lang w:val="sr-Latn-ME"/>
              </w:rPr>
              <w:t>hepatotoksičnost (poremećaji jetre)</w:t>
            </w:r>
          </w:p>
        </w:tc>
      </w:tr>
      <w:tr w:rsidR="009E39C5" w:rsidRPr="000D3D7F" w14:paraId="326423D2" w14:textId="77777777" w:rsidTr="00C26DCA">
        <w:trPr>
          <w:trHeight w:val="254"/>
        </w:trPr>
        <w:tc>
          <w:tcPr>
            <w:tcW w:w="2087" w:type="dxa"/>
            <w:gridSpan w:val="3"/>
            <w:vMerge/>
            <w:tcBorders>
              <w:top w:val="nil"/>
              <w:left w:val="single" w:sz="4" w:space="0" w:color="000000"/>
              <w:bottom w:val="single" w:sz="4" w:space="0" w:color="000000"/>
              <w:right w:val="single" w:sz="4" w:space="0" w:color="000000"/>
            </w:tcBorders>
          </w:tcPr>
          <w:p w14:paraId="57D8FE7F"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3AA843A0" w14:textId="77777777" w:rsidR="009E39C5" w:rsidRPr="000D3D7F" w:rsidRDefault="009E39C5" w:rsidP="001E1F5A">
            <w:pPr>
              <w:rPr>
                <w:noProof/>
                <w:lang w:val="sr-Latn-ME"/>
              </w:rPr>
            </w:pPr>
            <w:r w:rsidRPr="000D3D7F">
              <w:rPr>
                <w:noProof/>
                <w:szCs w:val="22"/>
                <w:lang w:val="sr-Latn-ME"/>
              </w:rPr>
              <w:t>Povremeno</w:t>
            </w:r>
          </w:p>
        </w:tc>
        <w:tc>
          <w:tcPr>
            <w:tcW w:w="5939" w:type="dxa"/>
            <w:gridSpan w:val="5"/>
            <w:tcBorders>
              <w:top w:val="single" w:sz="4" w:space="0" w:color="000000"/>
              <w:left w:val="single" w:sz="4" w:space="0" w:color="000000"/>
              <w:bottom w:val="single" w:sz="4" w:space="0" w:color="000000"/>
              <w:right w:val="single" w:sz="4" w:space="0" w:color="000000"/>
            </w:tcBorders>
          </w:tcPr>
          <w:p w14:paraId="643723C5" w14:textId="77777777" w:rsidR="009E39C5" w:rsidRPr="000D3D7F" w:rsidRDefault="009E39C5" w:rsidP="001E1F5A">
            <w:pPr>
              <w:rPr>
                <w:noProof/>
                <w:lang w:val="sr-Latn-ME"/>
              </w:rPr>
            </w:pPr>
            <w:r w:rsidRPr="000D3D7F">
              <w:rPr>
                <w:noProof/>
                <w:szCs w:val="22"/>
                <w:lang w:val="sr-Latn-ME"/>
              </w:rPr>
              <w:t>insuficijencija jetre</w:t>
            </w:r>
          </w:p>
        </w:tc>
      </w:tr>
      <w:tr w:rsidR="009E39C5" w:rsidRPr="000D3D7F" w14:paraId="46A9DB8A" w14:textId="77777777" w:rsidTr="00C26DCA">
        <w:trPr>
          <w:trHeight w:val="497"/>
        </w:trPr>
        <w:tc>
          <w:tcPr>
            <w:tcW w:w="1817" w:type="dxa"/>
            <w:gridSpan w:val="2"/>
            <w:vMerge w:val="restart"/>
            <w:tcBorders>
              <w:top w:val="single" w:sz="4" w:space="0" w:color="000000"/>
              <w:left w:val="single" w:sz="4" w:space="0" w:color="000000"/>
              <w:bottom w:val="single" w:sz="4" w:space="0" w:color="000000"/>
              <w:right w:val="none" w:sz="6" w:space="0" w:color="auto"/>
            </w:tcBorders>
          </w:tcPr>
          <w:p w14:paraId="46BEEE4E" w14:textId="77777777" w:rsidR="009E39C5" w:rsidRPr="000D3D7F" w:rsidRDefault="009E39C5" w:rsidP="001E1F5A">
            <w:pPr>
              <w:rPr>
                <w:noProof/>
                <w:lang w:val="sr-Latn-ME"/>
              </w:rPr>
            </w:pPr>
            <w:r w:rsidRPr="000D3D7F">
              <w:rPr>
                <w:noProof/>
                <w:szCs w:val="22"/>
                <w:lang w:val="sr-Latn-ME"/>
              </w:rPr>
              <w:t>Poremećaji kože potkožnog tkiva</w:t>
            </w:r>
          </w:p>
        </w:tc>
        <w:tc>
          <w:tcPr>
            <w:tcW w:w="270" w:type="dxa"/>
            <w:vMerge w:val="restart"/>
            <w:tcBorders>
              <w:top w:val="single" w:sz="4" w:space="0" w:color="000000"/>
              <w:left w:val="none" w:sz="6" w:space="0" w:color="auto"/>
              <w:bottom w:val="single" w:sz="4" w:space="0" w:color="000000"/>
              <w:right w:val="single" w:sz="4" w:space="0" w:color="000000"/>
            </w:tcBorders>
          </w:tcPr>
          <w:p w14:paraId="25C8F6F6" w14:textId="394C0E58" w:rsidR="009E39C5" w:rsidRPr="000D3D7F" w:rsidRDefault="00940C01" w:rsidP="001E1F5A">
            <w:pPr>
              <w:rPr>
                <w:noProof/>
                <w:lang w:val="sr-Latn-ME"/>
              </w:rPr>
            </w:pPr>
            <w:r w:rsidRPr="000D3D7F">
              <w:rPr>
                <w:noProof/>
                <w:szCs w:val="22"/>
                <w:lang w:val="sr-Latn-ME"/>
              </w:rPr>
              <w:t xml:space="preserve"> </w:t>
            </w:r>
            <w:r w:rsidR="009E39C5" w:rsidRPr="000D3D7F">
              <w:rPr>
                <w:noProof/>
                <w:szCs w:val="22"/>
                <w:lang w:val="sr-Latn-ME"/>
              </w:rPr>
              <w:t>i</w:t>
            </w:r>
          </w:p>
        </w:tc>
        <w:tc>
          <w:tcPr>
            <w:tcW w:w="1828" w:type="dxa"/>
            <w:tcBorders>
              <w:top w:val="single" w:sz="4" w:space="0" w:color="000000"/>
              <w:left w:val="single" w:sz="4" w:space="0" w:color="000000"/>
              <w:bottom w:val="single" w:sz="4" w:space="0" w:color="000000"/>
              <w:right w:val="single" w:sz="4" w:space="0" w:color="000000"/>
            </w:tcBorders>
          </w:tcPr>
          <w:p w14:paraId="29B6FFEE" w14:textId="77777777" w:rsidR="009E39C5" w:rsidRPr="000D3D7F" w:rsidRDefault="009E39C5" w:rsidP="001E1F5A">
            <w:pPr>
              <w:rPr>
                <w:noProof/>
                <w:lang w:val="sr-Latn-ME"/>
              </w:rPr>
            </w:pPr>
            <w:r w:rsidRPr="000D3D7F">
              <w:rPr>
                <w:noProof/>
                <w:szCs w:val="22"/>
                <w:lang w:val="sr-Latn-ME"/>
              </w:rPr>
              <w:t>Veoma 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6C8508A7" w14:textId="77777777" w:rsidR="009E39C5" w:rsidRPr="000D3D7F" w:rsidRDefault="009E39C5" w:rsidP="001E1F5A">
            <w:pPr>
              <w:rPr>
                <w:noProof/>
                <w:lang w:val="sr-Latn-ME"/>
              </w:rPr>
            </w:pPr>
            <w:r w:rsidRPr="000D3D7F">
              <w:rPr>
                <w:noProof/>
                <w:szCs w:val="22"/>
                <w:lang w:val="sr-Latn-ME"/>
              </w:rPr>
              <w:t>poremećaji maljavosti*</w:t>
            </w:r>
          </w:p>
        </w:tc>
      </w:tr>
      <w:tr w:rsidR="009E39C5" w:rsidRPr="000D3D7F" w14:paraId="1E3D471D" w14:textId="77777777" w:rsidTr="00C26DCA">
        <w:trPr>
          <w:trHeight w:val="249"/>
        </w:trPr>
        <w:tc>
          <w:tcPr>
            <w:tcW w:w="1817" w:type="dxa"/>
            <w:gridSpan w:val="2"/>
            <w:vMerge/>
            <w:tcBorders>
              <w:top w:val="nil"/>
              <w:left w:val="single" w:sz="4" w:space="0" w:color="000000"/>
              <w:bottom w:val="single" w:sz="4" w:space="0" w:color="000000"/>
              <w:right w:val="none" w:sz="6" w:space="0" w:color="auto"/>
            </w:tcBorders>
          </w:tcPr>
          <w:p w14:paraId="7D58141F" w14:textId="77777777" w:rsidR="009E39C5" w:rsidRPr="000D3D7F" w:rsidRDefault="009E39C5" w:rsidP="001E1F5A">
            <w:pPr>
              <w:rPr>
                <w:noProof/>
                <w:lang w:val="sr-Latn-ME"/>
              </w:rPr>
            </w:pPr>
          </w:p>
        </w:tc>
        <w:tc>
          <w:tcPr>
            <w:tcW w:w="270" w:type="dxa"/>
            <w:vMerge/>
            <w:tcBorders>
              <w:top w:val="nil"/>
              <w:left w:val="none" w:sz="6" w:space="0" w:color="auto"/>
              <w:bottom w:val="single" w:sz="4" w:space="0" w:color="000000"/>
              <w:right w:val="single" w:sz="4" w:space="0" w:color="000000"/>
            </w:tcBorders>
          </w:tcPr>
          <w:p w14:paraId="3708E50B"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6B47B388"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38BF4EC2" w14:textId="77777777" w:rsidR="009E39C5" w:rsidRPr="000D3D7F" w:rsidRDefault="009E39C5" w:rsidP="001E1F5A">
            <w:pPr>
              <w:rPr>
                <w:noProof/>
                <w:lang w:val="sr-Latn-ME"/>
              </w:rPr>
            </w:pPr>
            <w:r w:rsidRPr="000D3D7F">
              <w:rPr>
                <w:noProof/>
                <w:szCs w:val="22"/>
                <w:lang w:val="sr-Latn-ME"/>
              </w:rPr>
              <w:t>pruritus*, dermatitis*, osip*</w:t>
            </w:r>
          </w:p>
        </w:tc>
      </w:tr>
      <w:tr w:rsidR="009E39C5" w:rsidRPr="000D3D7F" w14:paraId="16649002" w14:textId="77777777" w:rsidTr="00C26DCA">
        <w:trPr>
          <w:trHeight w:val="762"/>
        </w:trPr>
        <w:tc>
          <w:tcPr>
            <w:tcW w:w="2087" w:type="dxa"/>
            <w:gridSpan w:val="3"/>
            <w:tcBorders>
              <w:top w:val="single" w:sz="4" w:space="0" w:color="000000"/>
              <w:left w:val="single" w:sz="4" w:space="0" w:color="000000"/>
              <w:bottom w:val="single" w:sz="4" w:space="0" w:color="000000"/>
              <w:right w:val="single" w:sz="4" w:space="0" w:color="000000"/>
            </w:tcBorders>
          </w:tcPr>
          <w:p w14:paraId="2FDDE6D2" w14:textId="77777777" w:rsidR="009E39C5" w:rsidRPr="000D3D7F" w:rsidRDefault="009E39C5" w:rsidP="001E1F5A">
            <w:pPr>
              <w:rPr>
                <w:noProof/>
                <w:lang w:val="sr-Latn-ME"/>
              </w:rPr>
            </w:pPr>
            <w:r w:rsidRPr="000D3D7F">
              <w:rPr>
                <w:noProof/>
                <w:szCs w:val="22"/>
                <w:lang w:val="sr-Latn-ME"/>
              </w:rPr>
              <w:t>Poremećaji mišićno- koštanog sistema i</w:t>
            </w:r>
          </w:p>
          <w:p w14:paraId="6EECE479" w14:textId="77777777" w:rsidR="009E39C5" w:rsidRPr="000D3D7F" w:rsidRDefault="009E39C5" w:rsidP="001E1F5A">
            <w:pPr>
              <w:rPr>
                <w:noProof/>
                <w:lang w:val="sr-Latn-ME"/>
              </w:rPr>
            </w:pPr>
            <w:r w:rsidRPr="000D3D7F">
              <w:rPr>
                <w:noProof/>
                <w:szCs w:val="22"/>
                <w:lang w:val="sr-Latn-ME"/>
              </w:rPr>
              <w:t>vezivnog tkiva</w:t>
            </w:r>
          </w:p>
        </w:tc>
        <w:tc>
          <w:tcPr>
            <w:tcW w:w="1828" w:type="dxa"/>
            <w:tcBorders>
              <w:top w:val="single" w:sz="4" w:space="0" w:color="000000"/>
              <w:left w:val="single" w:sz="4" w:space="0" w:color="000000"/>
              <w:bottom w:val="single" w:sz="4" w:space="0" w:color="000000"/>
              <w:right w:val="single" w:sz="4" w:space="0" w:color="000000"/>
            </w:tcBorders>
          </w:tcPr>
          <w:p w14:paraId="1105DC2A"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28DBE172" w14:textId="77777777" w:rsidR="009E39C5" w:rsidRPr="000D3D7F" w:rsidRDefault="009E39C5" w:rsidP="001E1F5A">
            <w:pPr>
              <w:rPr>
                <w:noProof/>
                <w:lang w:val="sr-Latn-ME"/>
              </w:rPr>
            </w:pPr>
            <w:r w:rsidRPr="000D3D7F">
              <w:rPr>
                <w:noProof/>
                <w:szCs w:val="22"/>
                <w:lang w:val="sr-Latn-ME"/>
              </w:rPr>
              <w:t>spazam mišića*, muskuloskeletni bol*, bol u ekstremitetima</w:t>
            </w:r>
          </w:p>
        </w:tc>
      </w:tr>
      <w:tr w:rsidR="009E39C5" w:rsidRPr="000D3D7F" w14:paraId="6795ECA7" w14:textId="77777777" w:rsidTr="00C26DCA">
        <w:trPr>
          <w:trHeight w:val="503"/>
        </w:trPr>
        <w:tc>
          <w:tcPr>
            <w:tcW w:w="2087" w:type="dxa"/>
            <w:gridSpan w:val="3"/>
            <w:tcBorders>
              <w:top w:val="single" w:sz="4" w:space="0" w:color="000000"/>
              <w:left w:val="single" w:sz="4" w:space="0" w:color="000000"/>
              <w:bottom w:val="single" w:sz="4" w:space="0" w:color="000000"/>
              <w:right w:val="single" w:sz="4" w:space="0" w:color="000000"/>
            </w:tcBorders>
          </w:tcPr>
          <w:p w14:paraId="2AF55C0B" w14:textId="77777777" w:rsidR="009E39C5" w:rsidRPr="000D3D7F" w:rsidRDefault="009E39C5" w:rsidP="001E1F5A">
            <w:pPr>
              <w:rPr>
                <w:noProof/>
                <w:lang w:val="sr-Latn-ME"/>
              </w:rPr>
            </w:pPr>
            <w:r w:rsidRPr="000D3D7F">
              <w:rPr>
                <w:noProof/>
                <w:szCs w:val="22"/>
                <w:lang w:val="sr-Latn-ME"/>
              </w:rPr>
              <w:t>Poremećaji bubrega i urinarnog sistema</w:t>
            </w:r>
          </w:p>
        </w:tc>
        <w:tc>
          <w:tcPr>
            <w:tcW w:w="1828" w:type="dxa"/>
            <w:tcBorders>
              <w:top w:val="single" w:sz="4" w:space="0" w:color="000000"/>
              <w:left w:val="single" w:sz="4" w:space="0" w:color="000000"/>
              <w:bottom w:val="single" w:sz="4" w:space="0" w:color="000000"/>
              <w:right w:val="single" w:sz="4" w:space="0" w:color="000000"/>
            </w:tcBorders>
          </w:tcPr>
          <w:p w14:paraId="21D8D822"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16E8446E" w14:textId="77777777" w:rsidR="009E39C5" w:rsidRPr="000D3D7F" w:rsidRDefault="009E39C5" w:rsidP="001E1F5A">
            <w:pPr>
              <w:rPr>
                <w:noProof/>
                <w:lang w:val="sr-Latn-ME"/>
              </w:rPr>
            </w:pPr>
            <w:r w:rsidRPr="000D3D7F">
              <w:rPr>
                <w:noProof/>
                <w:szCs w:val="22"/>
                <w:lang w:val="sr-Latn-ME"/>
              </w:rPr>
              <w:t>infekcija urinarnog trakta*</w:t>
            </w:r>
          </w:p>
        </w:tc>
      </w:tr>
      <w:tr w:rsidR="009E39C5" w:rsidRPr="000D3D7F" w14:paraId="557C8785" w14:textId="77777777" w:rsidTr="00C26DCA">
        <w:trPr>
          <w:trHeight w:val="234"/>
        </w:trPr>
        <w:tc>
          <w:tcPr>
            <w:tcW w:w="2087" w:type="dxa"/>
            <w:gridSpan w:val="3"/>
            <w:vMerge w:val="restart"/>
            <w:tcBorders>
              <w:top w:val="single" w:sz="4" w:space="0" w:color="000000"/>
              <w:left w:val="single" w:sz="4" w:space="0" w:color="000000"/>
              <w:bottom w:val="single" w:sz="4" w:space="0" w:color="000000"/>
              <w:right w:val="single" w:sz="4" w:space="0" w:color="000000"/>
            </w:tcBorders>
          </w:tcPr>
          <w:p w14:paraId="7DA4A173" w14:textId="65887F6E" w:rsidR="009E39C5" w:rsidRPr="000D3D7F" w:rsidRDefault="009E39C5" w:rsidP="001E1F5A">
            <w:pPr>
              <w:rPr>
                <w:noProof/>
                <w:lang w:val="sr-Latn-ME"/>
              </w:rPr>
            </w:pPr>
            <w:r w:rsidRPr="000D3D7F">
              <w:rPr>
                <w:noProof/>
                <w:szCs w:val="22"/>
                <w:lang w:val="sr-Latn-ME"/>
              </w:rPr>
              <w:t>Opšti poremećaji i reakcije na m</w:t>
            </w:r>
            <w:r w:rsidR="00940C01" w:rsidRPr="000D3D7F">
              <w:rPr>
                <w:noProof/>
                <w:szCs w:val="22"/>
                <w:lang w:val="sr-Latn-ME"/>
              </w:rPr>
              <w:t>j</w:t>
            </w:r>
            <w:r w:rsidRPr="000D3D7F">
              <w:rPr>
                <w:noProof/>
                <w:szCs w:val="22"/>
                <w:lang w:val="sr-Latn-ME"/>
              </w:rPr>
              <w:t>estu prim</w:t>
            </w:r>
            <w:r w:rsidR="00940C01" w:rsidRPr="000D3D7F">
              <w:rPr>
                <w:noProof/>
                <w:szCs w:val="22"/>
                <w:lang w:val="sr-Latn-ME"/>
              </w:rPr>
              <w:t>j</w:t>
            </w:r>
            <w:r w:rsidRPr="000D3D7F">
              <w:rPr>
                <w:noProof/>
                <w:szCs w:val="22"/>
                <w:lang w:val="sr-Latn-ME"/>
              </w:rPr>
              <w:t>ene</w:t>
            </w:r>
          </w:p>
        </w:tc>
        <w:tc>
          <w:tcPr>
            <w:tcW w:w="1828" w:type="dxa"/>
            <w:tcBorders>
              <w:top w:val="single" w:sz="4" w:space="0" w:color="000000"/>
              <w:left w:val="single" w:sz="4" w:space="0" w:color="000000"/>
              <w:bottom w:val="single" w:sz="4" w:space="0" w:color="000000"/>
              <w:right w:val="single" w:sz="4" w:space="0" w:color="000000"/>
            </w:tcBorders>
          </w:tcPr>
          <w:p w14:paraId="2FD2B05D" w14:textId="77777777" w:rsidR="009E39C5" w:rsidRPr="000D3D7F" w:rsidRDefault="009E39C5" w:rsidP="001E1F5A">
            <w:pPr>
              <w:rPr>
                <w:noProof/>
                <w:lang w:val="sr-Latn-ME"/>
              </w:rPr>
            </w:pPr>
            <w:r w:rsidRPr="000D3D7F">
              <w:rPr>
                <w:noProof/>
                <w:szCs w:val="22"/>
                <w:lang w:val="sr-Latn-ME"/>
              </w:rPr>
              <w:t>Veoma 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40C4B5BA" w14:textId="77777777" w:rsidR="009E39C5" w:rsidRPr="000D3D7F" w:rsidRDefault="009E39C5" w:rsidP="001E1F5A">
            <w:pPr>
              <w:rPr>
                <w:noProof/>
                <w:lang w:val="sr-Latn-ME"/>
              </w:rPr>
            </w:pPr>
            <w:r w:rsidRPr="000D3D7F">
              <w:rPr>
                <w:noProof/>
                <w:szCs w:val="22"/>
                <w:lang w:val="sr-Latn-ME"/>
              </w:rPr>
              <w:t>pireksija*, umor, astenija</w:t>
            </w:r>
          </w:p>
        </w:tc>
      </w:tr>
      <w:tr w:rsidR="009E39C5" w:rsidRPr="000D3D7F" w14:paraId="61C7B6FE" w14:textId="77777777" w:rsidTr="00C26DCA">
        <w:trPr>
          <w:trHeight w:val="503"/>
        </w:trPr>
        <w:tc>
          <w:tcPr>
            <w:tcW w:w="2087" w:type="dxa"/>
            <w:gridSpan w:val="3"/>
            <w:vMerge/>
            <w:tcBorders>
              <w:top w:val="nil"/>
              <w:left w:val="single" w:sz="4" w:space="0" w:color="000000"/>
              <w:bottom w:val="single" w:sz="4" w:space="0" w:color="000000"/>
              <w:right w:val="single" w:sz="4" w:space="0" w:color="000000"/>
            </w:tcBorders>
          </w:tcPr>
          <w:p w14:paraId="2567E930" w14:textId="77777777" w:rsidR="009E39C5" w:rsidRPr="000D3D7F" w:rsidRDefault="009E39C5" w:rsidP="001E1F5A">
            <w:pPr>
              <w:rPr>
                <w:noProof/>
                <w:lang w:val="sr-Latn-ME"/>
              </w:rPr>
            </w:pPr>
          </w:p>
        </w:tc>
        <w:tc>
          <w:tcPr>
            <w:tcW w:w="1828" w:type="dxa"/>
            <w:tcBorders>
              <w:top w:val="single" w:sz="4" w:space="0" w:color="000000"/>
              <w:left w:val="single" w:sz="4" w:space="0" w:color="000000"/>
              <w:bottom w:val="single" w:sz="4" w:space="0" w:color="000000"/>
              <w:right w:val="single" w:sz="4" w:space="0" w:color="000000"/>
            </w:tcBorders>
          </w:tcPr>
          <w:p w14:paraId="1E69912F"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52F37B22" w14:textId="7A0D39A6" w:rsidR="009E39C5" w:rsidRPr="000D3D7F" w:rsidRDefault="009E39C5" w:rsidP="001E1F5A">
            <w:pPr>
              <w:rPr>
                <w:noProof/>
                <w:lang w:val="sr-Latn-ME"/>
              </w:rPr>
            </w:pPr>
            <w:r w:rsidRPr="000D3D7F">
              <w:rPr>
                <w:noProof/>
                <w:szCs w:val="22"/>
                <w:lang w:val="sr-Latn-ME"/>
              </w:rPr>
              <w:t>edem (uključujući periferni), drhtavica, bol na m</w:t>
            </w:r>
            <w:r w:rsidR="0080395C" w:rsidRPr="000D3D7F">
              <w:rPr>
                <w:noProof/>
                <w:szCs w:val="22"/>
                <w:lang w:val="sr-Latn-ME"/>
              </w:rPr>
              <w:t>j</w:t>
            </w:r>
            <w:r w:rsidRPr="000D3D7F">
              <w:rPr>
                <w:noProof/>
                <w:szCs w:val="22"/>
                <w:lang w:val="sr-Latn-ME"/>
              </w:rPr>
              <w:t>estu prim</w:t>
            </w:r>
            <w:r w:rsidR="0080395C" w:rsidRPr="000D3D7F">
              <w:rPr>
                <w:noProof/>
                <w:szCs w:val="22"/>
                <w:lang w:val="sr-Latn-ME"/>
              </w:rPr>
              <w:t>j</w:t>
            </w:r>
            <w:r w:rsidRPr="000D3D7F">
              <w:rPr>
                <w:noProof/>
                <w:szCs w:val="22"/>
                <w:lang w:val="sr-Latn-ME"/>
              </w:rPr>
              <w:t>ene*, malaksalost*</w:t>
            </w:r>
          </w:p>
        </w:tc>
      </w:tr>
      <w:tr w:rsidR="009E39C5" w:rsidRPr="000D3D7F" w14:paraId="259E6F15" w14:textId="77777777" w:rsidTr="00C26DCA">
        <w:trPr>
          <w:trHeight w:val="487"/>
        </w:trPr>
        <w:tc>
          <w:tcPr>
            <w:tcW w:w="2087" w:type="dxa"/>
            <w:gridSpan w:val="3"/>
            <w:tcBorders>
              <w:top w:val="single" w:sz="4" w:space="0" w:color="000000"/>
              <w:left w:val="single" w:sz="4" w:space="0" w:color="000000"/>
              <w:bottom w:val="single" w:sz="4" w:space="0" w:color="000000"/>
              <w:right w:val="single" w:sz="4" w:space="0" w:color="000000"/>
            </w:tcBorders>
          </w:tcPr>
          <w:p w14:paraId="45C420D7" w14:textId="77777777" w:rsidR="009E39C5" w:rsidRPr="000D3D7F" w:rsidRDefault="009E39C5" w:rsidP="001E1F5A">
            <w:pPr>
              <w:rPr>
                <w:noProof/>
                <w:lang w:val="sr-Latn-ME"/>
              </w:rPr>
            </w:pPr>
            <w:r w:rsidRPr="000D3D7F">
              <w:rPr>
                <w:noProof/>
                <w:szCs w:val="22"/>
                <w:lang w:val="sr-Latn-ME"/>
              </w:rPr>
              <w:lastRenderedPageBreak/>
              <w:t>Ispitivanja</w:t>
            </w:r>
          </w:p>
        </w:tc>
        <w:tc>
          <w:tcPr>
            <w:tcW w:w="1828" w:type="dxa"/>
            <w:tcBorders>
              <w:top w:val="single" w:sz="4" w:space="0" w:color="000000"/>
              <w:left w:val="single" w:sz="4" w:space="0" w:color="000000"/>
              <w:bottom w:val="single" w:sz="4" w:space="0" w:color="000000"/>
              <w:right w:val="single" w:sz="4" w:space="0" w:color="000000"/>
            </w:tcBorders>
          </w:tcPr>
          <w:p w14:paraId="102CA788" w14:textId="77777777" w:rsidR="009E39C5" w:rsidRPr="000D3D7F" w:rsidRDefault="009E39C5" w:rsidP="001E1F5A">
            <w:pPr>
              <w:rPr>
                <w:noProof/>
                <w:lang w:val="sr-Latn-ME"/>
              </w:rPr>
            </w:pPr>
            <w:r w:rsidRPr="000D3D7F">
              <w:rPr>
                <w:noProof/>
                <w:szCs w:val="22"/>
                <w:lang w:val="sr-Latn-ME"/>
              </w:rPr>
              <w:t>Često</w:t>
            </w:r>
          </w:p>
        </w:tc>
        <w:tc>
          <w:tcPr>
            <w:tcW w:w="5939" w:type="dxa"/>
            <w:gridSpan w:val="5"/>
            <w:tcBorders>
              <w:top w:val="single" w:sz="4" w:space="0" w:color="000000"/>
              <w:left w:val="single" w:sz="4" w:space="0" w:color="000000"/>
              <w:bottom w:val="single" w:sz="4" w:space="0" w:color="000000"/>
              <w:right w:val="single" w:sz="4" w:space="0" w:color="000000"/>
            </w:tcBorders>
          </w:tcPr>
          <w:p w14:paraId="1C23D491" w14:textId="11DE19ED" w:rsidR="009E39C5" w:rsidRPr="000D3D7F" w:rsidRDefault="009E39C5" w:rsidP="001E1F5A">
            <w:pPr>
              <w:rPr>
                <w:noProof/>
                <w:lang w:val="sr-Latn-ME"/>
              </w:rPr>
            </w:pPr>
            <w:r w:rsidRPr="000D3D7F">
              <w:rPr>
                <w:noProof/>
                <w:szCs w:val="22"/>
                <w:lang w:val="sr-Latn-ME"/>
              </w:rPr>
              <w:t>Hiperbilirubinemija*, abnormalne analize proteina*, smanjenje t</w:t>
            </w:r>
            <w:r w:rsidR="00940C01" w:rsidRPr="000D3D7F">
              <w:rPr>
                <w:noProof/>
                <w:szCs w:val="22"/>
                <w:lang w:val="sr-Latn-ME"/>
              </w:rPr>
              <w:t>j</w:t>
            </w:r>
            <w:r w:rsidRPr="000D3D7F">
              <w:rPr>
                <w:noProof/>
                <w:szCs w:val="22"/>
                <w:lang w:val="sr-Latn-ME"/>
              </w:rPr>
              <w:t>elesne mase, povećanje t</w:t>
            </w:r>
            <w:r w:rsidR="00940C01" w:rsidRPr="000D3D7F">
              <w:rPr>
                <w:noProof/>
                <w:szCs w:val="22"/>
                <w:lang w:val="sr-Latn-ME"/>
              </w:rPr>
              <w:t>j</w:t>
            </w:r>
            <w:r w:rsidRPr="000D3D7F">
              <w:rPr>
                <w:noProof/>
                <w:szCs w:val="22"/>
                <w:lang w:val="sr-Latn-ME"/>
              </w:rPr>
              <w:t>elesne mase</w:t>
            </w:r>
          </w:p>
        </w:tc>
      </w:tr>
    </w:tbl>
    <w:p w14:paraId="6278A1B5" w14:textId="77777777" w:rsidR="009E39C5" w:rsidRPr="000D3D7F" w:rsidRDefault="009E39C5" w:rsidP="001E1F5A">
      <w:pPr>
        <w:rPr>
          <w:noProof/>
          <w:szCs w:val="22"/>
          <w:lang w:val="sr-Latn-ME"/>
        </w:rPr>
      </w:pPr>
      <w:r w:rsidRPr="000D3D7F">
        <w:rPr>
          <w:noProof/>
          <w:szCs w:val="22"/>
          <w:lang w:val="sr-Latn-ME"/>
        </w:rPr>
        <w:t>*Grupsanje više od jednog termina na osnovu MeDRA</w:t>
      </w:r>
    </w:p>
    <w:p w14:paraId="54932305" w14:textId="77777777" w:rsidR="00C26DCA" w:rsidRPr="000D3D7F" w:rsidRDefault="00C26DCA" w:rsidP="001E1F5A">
      <w:pPr>
        <w:rPr>
          <w:noProof/>
          <w:szCs w:val="22"/>
          <w:lang w:val="sr-Latn-ME"/>
        </w:rPr>
      </w:pPr>
    </w:p>
    <w:p w14:paraId="48E08D25" w14:textId="1179DE20" w:rsidR="009E39C5" w:rsidRPr="000D3D7F" w:rsidRDefault="009E39C5" w:rsidP="001E1F5A">
      <w:pPr>
        <w:rPr>
          <w:noProof/>
          <w:szCs w:val="22"/>
          <w:u w:val="single"/>
          <w:lang w:val="sr-Latn-ME"/>
        </w:rPr>
      </w:pPr>
      <w:r w:rsidRPr="000D3D7F">
        <w:rPr>
          <w:noProof/>
          <w:szCs w:val="22"/>
          <w:u w:val="single"/>
          <w:lang w:val="sr-Latn-ME"/>
        </w:rPr>
        <w:t xml:space="preserve">Objašnjenje </w:t>
      </w:r>
      <w:r w:rsidR="00C26DCA" w:rsidRPr="000D3D7F">
        <w:rPr>
          <w:noProof/>
          <w:szCs w:val="22"/>
          <w:u w:val="single"/>
          <w:lang w:val="sr-Latn-ME"/>
        </w:rPr>
        <w:t>izabranih</w:t>
      </w:r>
      <w:r w:rsidRPr="000D3D7F">
        <w:rPr>
          <w:noProof/>
          <w:szCs w:val="22"/>
          <w:u w:val="single"/>
          <w:lang w:val="sr-Latn-ME"/>
        </w:rPr>
        <w:t xml:space="preserve"> neželjenih reakcija</w:t>
      </w:r>
    </w:p>
    <w:p w14:paraId="6993AFF6" w14:textId="77777777" w:rsidR="009E39C5" w:rsidRPr="000D3D7F" w:rsidRDefault="009E39C5" w:rsidP="001E1F5A">
      <w:pPr>
        <w:rPr>
          <w:i/>
          <w:iCs/>
          <w:noProof/>
          <w:szCs w:val="22"/>
          <w:lang w:val="sr-Latn-ME"/>
        </w:rPr>
      </w:pPr>
      <w:r w:rsidRPr="000D3D7F">
        <w:rPr>
          <w:i/>
          <w:iCs/>
          <w:noProof/>
          <w:szCs w:val="22"/>
          <w:lang w:val="sr-Latn-ME"/>
        </w:rPr>
        <w:t>Reaktivacija virusa herpes zoster</w:t>
      </w:r>
    </w:p>
    <w:p w14:paraId="61D2634E" w14:textId="77777777" w:rsidR="009E39C5" w:rsidRPr="000D3D7F" w:rsidRDefault="009E39C5" w:rsidP="001E1F5A">
      <w:pPr>
        <w:rPr>
          <w:noProof/>
          <w:szCs w:val="22"/>
          <w:lang w:val="sr-Latn-ME"/>
        </w:rPr>
      </w:pPr>
      <w:r w:rsidRPr="000D3D7F">
        <w:rPr>
          <w:noProof/>
          <w:szCs w:val="22"/>
          <w:lang w:val="sr-Latn-ME"/>
        </w:rPr>
        <w:t>Mutipli mijelom</w:t>
      </w:r>
    </w:p>
    <w:p w14:paraId="7FCE0A8F" w14:textId="1D921805" w:rsidR="009E39C5" w:rsidRPr="000D3D7F" w:rsidRDefault="009E39C5" w:rsidP="001E1F5A">
      <w:pPr>
        <w:rPr>
          <w:noProof/>
          <w:szCs w:val="22"/>
          <w:lang w:val="sr-Latn-ME"/>
        </w:rPr>
      </w:pPr>
      <w:r w:rsidRPr="000D3D7F">
        <w:rPr>
          <w:noProof/>
          <w:szCs w:val="22"/>
          <w:lang w:val="sr-Latn-ME"/>
        </w:rPr>
        <w:t>Antivirusna profilaksa je prim</w:t>
      </w:r>
      <w:r w:rsidR="0080395C" w:rsidRPr="000D3D7F">
        <w:rPr>
          <w:noProof/>
          <w:szCs w:val="22"/>
          <w:lang w:val="sr-Latn-ME"/>
        </w:rPr>
        <w:t>ij</w:t>
      </w:r>
      <w:r w:rsidRPr="000D3D7F">
        <w:rPr>
          <w:noProof/>
          <w:szCs w:val="22"/>
          <w:lang w:val="sr-Latn-ME"/>
        </w:rPr>
        <w:t xml:space="preserve">enjena kod 26% pacijenata koji primaju </w:t>
      </w:r>
      <w:r w:rsidR="008C1EBE" w:rsidRPr="000D3D7F">
        <w:rPr>
          <w:noProof/>
          <w:szCs w:val="22"/>
          <w:lang w:val="sr-Latn-ME"/>
        </w:rPr>
        <w:t>Bz</w:t>
      </w:r>
      <w:r w:rsidRPr="000D3D7F">
        <w:rPr>
          <w:noProof/>
          <w:szCs w:val="22"/>
          <w:lang w:val="sr-Latn-ME"/>
        </w:rPr>
        <w:t>+M+P. Incidenca javljanja herpes</w:t>
      </w:r>
      <w:r w:rsidR="004B33C6" w:rsidRPr="000D3D7F">
        <w:rPr>
          <w:noProof/>
          <w:szCs w:val="22"/>
          <w:lang w:val="sr-Latn-ME"/>
        </w:rPr>
        <w:t xml:space="preserve"> </w:t>
      </w:r>
      <w:r w:rsidRPr="000D3D7F">
        <w:rPr>
          <w:noProof/>
          <w:szCs w:val="22"/>
          <w:lang w:val="sr-Latn-ME"/>
        </w:rPr>
        <w:t xml:space="preserve">zoster virusa među pacijentima koji su primali </w:t>
      </w:r>
      <w:r w:rsidR="008C1EBE" w:rsidRPr="000D3D7F">
        <w:rPr>
          <w:noProof/>
          <w:szCs w:val="22"/>
          <w:lang w:val="sr-Latn-ME"/>
        </w:rPr>
        <w:t>Bz</w:t>
      </w:r>
      <w:r w:rsidRPr="000D3D7F">
        <w:rPr>
          <w:noProof/>
          <w:szCs w:val="22"/>
          <w:lang w:val="sr-Latn-ME"/>
        </w:rPr>
        <w:t>+M+C ali ne i antivirusnu terapiju je bila 17% dok se kod</w:t>
      </w:r>
      <w:r w:rsidR="004B33C6" w:rsidRPr="000D3D7F">
        <w:rPr>
          <w:noProof/>
          <w:szCs w:val="22"/>
          <w:lang w:val="sr-Latn-ME"/>
        </w:rPr>
        <w:t xml:space="preserve"> </w:t>
      </w:r>
      <w:r w:rsidRPr="000D3D7F">
        <w:rPr>
          <w:noProof/>
          <w:szCs w:val="22"/>
          <w:lang w:val="sr-Latn-ME"/>
        </w:rPr>
        <w:t>osoba koji su primale i anivirusnu terapiju herpes zoster javio u 3% slučaja.</w:t>
      </w:r>
    </w:p>
    <w:p w14:paraId="1E780B95" w14:textId="77777777" w:rsidR="009E39C5" w:rsidRPr="000D3D7F" w:rsidRDefault="009E39C5" w:rsidP="001E1F5A">
      <w:pPr>
        <w:rPr>
          <w:noProof/>
          <w:szCs w:val="22"/>
          <w:lang w:val="sr-Latn-ME"/>
        </w:rPr>
      </w:pPr>
      <w:r w:rsidRPr="000D3D7F">
        <w:rPr>
          <w:noProof/>
          <w:szCs w:val="22"/>
          <w:lang w:val="sr-Latn-ME"/>
        </w:rPr>
        <w:t>Mantle ćelijski limfom</w:t>
      </w:r>
    </w:p>
    <w:p w14:paraId="72A6BBEC" w14:textId="6C9E89B4" w:rsidR="009E39C5" w:rsidRPr="000D3D7F" w:rsidRDefault="009E39C5" w:rsidP="001E1F5A">
      <w:pPr>
        <w:rPr>
          <w:noProof/>
          <w:szCs w:val="22"/>
          <w:lang w:val="sr-Latn-ME"/>
        </w:rPr>
      </w:pPr>
      <w:r w:rsidRPr="000D3D7F">
        <w:rPr>
          <w:noProof/>
          <w:szCs w:val="22"/>
          <w:lang w:val="sr-Latn-ME"/>
        </w:rPr>
        <w:t>Antivirusna profilaksa je prim</w:t>
      </w:r>
      <w:r w:rsidR="0080395C" w:rsidRPr="000D3D7F">
        <w:rPr>
          <w:noProof/>
          <w:szCs w:val="22"/>
          <w:lang w:val="sr-Latn-ME"/>
        </w:rPr>
        <w:t>ij</w:t>
      </w:r>
      <w:r w:rsidRPr="000D3D7F">
        <w:rPr>
          <w:noProof/>
          <w:szCs w:val="22"/>
          <w:lang w:val="sr-Latn-ME"/>
        </w:rPr>
        <w:t xml:space="preserve">enjena kod 137 od 240 pacijenata (57%) u </w:t>
      </w:r>
      <w:r w:rsidR="001B2C94" w:rsidRPr="000D3D7F">
        <w:rPr>
          <w:noProof/>
          <w:szCs w:val="22"/>
          <w:lang w:val="sr-Latn-ME"/>
        </w:rPr>
        <w:t>Bz</w:t>
      </w:r>
      <w:r w:rsidRPr="000D3D7F">
        <w:rPr>
          <w:noProof/>
          <w:szCs w:val="22"/>
          <w:lang w:val="sr-Latn-ME"/>
        </w:rPr>
        <w:t>R-CAP grupi. Incidenca javljanja</w:t>
      </w:r>
      <w:r w:rsidR="004B33C6" w:rsidRPr="000D3D7F">
        <w:rPr>
          <w:noProof/>
          <w:szCs w:val="22"/>
          <w:lang w:val="sr-Latn-ME"/>
        </w:rPr>
        <w:t xml:space="preserve"> </w:t>
      </w:r>
      <w:r w:rsidRPr="000D3D7F">
        <w:rPr>
          <w:noProof/>
          <w:szCs w:val="22"/>
          <w:lang w:val="sr-Latn-ME"/>
        </w:rPr>
        <w:t xml:space="preserve">herpes zoster virusa među pacijentima </w:t>
      </w:r>
      <w:r w:rsidR="008C1EBE" w:rsidRPr="000D3D7F">
        <w:rPr>
          <w:noProof/>
          <w:szCs w:val="22"/>
          <w:lang w:val="sr-Latn-ME"/>
        </w:rPr>
        <w:t>Bz</w:t>
      </w:r>
      <w:r w:rsidRPr="000D3D7F">
        <w:rPr>
          <w:noProof/>
          <w:szCs w:val="22"/>
          <w:lang w:val="sr-Latn-ME"/>
        </w:rPr>
        <w:t>R-CAP grupe je bila 10,7% za pacijente koji ni</w:t>
      </w:r>
      <w:r w:rsidR="001E1F5A" w:rsidRPr="000D3D7F">
        <w:rPr>
          <w:noProof/>
          <w:szCs w:val="22"/>
          <w:lang w:val="sr-Latn-ME"/>
        </w:rPr>
        <w:t>je</w:t>
      </w:r>
      <w:r w:rsidRPr="000D3D7F">
        <w:rPr>
          <w:noProof/>
          <w:szCs w:val="22"/>
          <w:lang w:val="sr-Latn-ME"/>
        </w:rPr>
        <w:t>su primali</w:t>
      </w:r>
      <w:r w:rsidR="004B33C6" w:rsidRPr="000D3D7F">
        <w:rPr>
          <w:noProof/>
          <w:szCs w:val="22"/>
          <w:lang w:val="sr-Latn-ME"/>
        </w:rPr>
        <w:t xml:space="preserve"> </w:t>
      </w:r>
      <w:r w:rsidRPr="000D3D7F">
        <w:rPr>
          <w:noProof/>
          <w:szCs w:val="22"/>
          <w:lang w:val="sr-Latn-ME"/>
        </w:rPr>
        <w:t>antivirusnu terapiju u odnosu na 3,6% za pacijente koji su je dobili (vid</w:t>
      </w:r>
      <w:r w:rsidR="0080395C" w:rsidRPr="000D3D7F">
        <w:rPr>
          <w:noProof/>
          <w:szCs w:val="22"/>
          <w:lang w:val="sr-Latn-ME"/>
        </w:rPr>
        <w:t>j</w:t>
      </w:r>
      <w:r w:rsidRPr="000D3D7F">
        <w:rPr>
          <w:noProof/>
          <w:szCs w:val="22"/>
          <w:lang w:val="sr-Latn-ME"/>
        </w:rPr>
        <w:t xml:space="preserve">eti </w:t>
      </w:r>
      <w:r w:rsidR="00A34C43" w:rsidRPr="000D3D7F">
        <w:rPr>
          <w:noProof/>
          <w:szCs w:val="22"/>
          <w:lang w:val="sr-Latn-ME"/>
        </w:rPr>
        <w:t>dio</w:t>
      </w:r>
      <w:r w:rsidRPr="000D3D7F">
        <w:rPr>
          <w:noProof/>
          <w:szCs w:val="22"/>
          <w:lang w:val="sr-Latn-ME"/>
        </w:rPr>
        <w:t xml:space="preserve"> 4.4).</w:t>
      </w:r>
    </w:p>
    <w:p w14:paraId="5DEF1BB3" w14:textId="77777777" w:rsidR="00C26DCA" w:rsidRPr="000D3D7F" w:rsidRDefault="00C26DCA" w:rsidP="001E1F5A">
      <w:pPr>
        <w:rPr>
          <w:noProof/>
          <w:szCs w:val="22"/>
          <w:lang w:val="sr-Latn-ME"/>
        </w:rPr>
      </w:pPr>
    </w:p>
    <w:p w14:paraId="01843E41" w14:textId="0B4B2C4C" w:rsidR="009E39C5" w:rsidRPr="000D3D7F" w:rsidRDefault="009E39C5" w:rsidP="001E1F5A">
      <w:pPr>
        <w:rPr>
          <w:i/>
          <w:iCs/>
          <w:noProof/>
          <w:szCs w:val="22"/>
          <w:lang w:val="sr-Latn-ME"/>
        </w:rPr>
      </w:pPr>
      <w:r w:rsidRPr="000D3D7F">
        <w:rPr>
          <w:i/>
          <w:iCs/>
          <w:noProof/>
          <w:szCs w:val="22"/>
          <w:lang w:val="sr-Latn-ME"/>
        </w:rPr>
        <w:t>Hepatitis B virus (HBV)- reaktivacija i infekcija</w:t>
      </w:r>
    </w:p>
    <w:p w14:paraId="4954FE48" w14:textId="77777777" w:rsidR="009E39C5" w:rsidRPr="000D3D7F" w:rsidRDefault="009E39C5" w:rsidP="001E1F5A">
      <w:pPr>
        <w:rPr>
          <w:noProof/>
          <w:szCs w:val="22"/>
          <w:lang w:val="sr-Latn-ME"/>
        </w:rPr>
      </w:pPr>
      <w:r w:rsidRPr="000D3D7F">
        <w:rPr>
          <w:noProof/>
          <w:szCs w:val="22"/>
          <w:lang w:val="sr-Latn-ME"/>
        </w:rPr>
        <w:t>Mantle ćelijski limfom</w:t>
      </w:r>
    </w:p>
    <w:p w14:paraId="0E109F58" w14:textId="306F4D87" w:rsidR="009E39C5" w:rsidRPr="000D3D7F" w:rsidRDefault="009E39C5" w:rsidP="001E1F5A">
      <w:pPr>
        <w:rPr>
          <w:noProof/>
          <w:szCs w:val="22"/>
          <w:lang w:val="sr-Latn-ME"/>
        </w:rPr>
      </w:pPr>
      <w:r w:rsidRPr="000D3D7F">
        <w:rPr>
          <w:noProof/>
          <w:szCs w:val="22"/>
          <w:lang w:val="sr-Latn-ME"/>
        </w:rPr>
        <w:t xml:space="preserve">HBV infekcija sa fatalnim ishodom se javila kod 0,8% (n=2) u grupi koja nije primala </w:t>
      </w:r>
      <w:r w:rsidR="008C1EBE" w:rsidRPr="000D3D7F">
        <w:rPr>
          <w:noProof/>
          <w:szCs w:val="22"/>
          <w:lang w:val="sr-Latn-ME"/>
        </w:rPr>
        <w:t>bortezomib</w:t>
      </w:r>
      <w:r w:rsidR="008C1EBE" w:rsidRPr="000D3D7F" w:rsidDel="008C1EBE">
        <w:rPr>
          <w:noProof/>
          <w:szCs w:val="22"/>
          <w:lang w:val="sr-Latn-ME"/>
        </w:rPr>
        <w:t xml:space="preserve"> </w:t>
      </w:r>
      <w:r w:rsidRPr="000D3D7F">
        <w:rPr>
          <w:noProof/>
          <w:szCs w:val="22"/>
          <w:lang w:val="sr-Latn-ME"/>
        </w:rPr>
        <w:t>(rituksimab, ciklofosfamid, doksorubicin, vinkristin, prednizon; R-CHOP) i 0,4% (n=1) u grupi koja je</w:t>
      </w:r>
      <w:r w:rsidR="004B33C6" w:rsidRPr="000D3D7F">
        <w:rPr>
          <w:noProof/>
          <w:szCs w:val="22"/>
          <w:lang w:val="sr-Latn-ME"/>
        </w:rPr>
        <w:t xml:space="preserve"> </w:t>
      </w:r>
      <w:r w:rsidRPr="000D3D7F">
        <w:rPr>
          <w:noProof/>
          <w:szCs w:val="22"/>
          <w:lang w:val="sr-Latn-ME"/>
        </w:rPr>
        <w:t xml:space="preserve">primala </w:t>
      </w:r>
      <w:r w:rsidR="008C1EBE" w:rsidRPr="000D3D7F">
        <w:rPr>
          <w:noProof/>
          <w:szCs w:val="22"/>
          <w:lang w:val="sr-Latn-ME"/>
        </w:rPr>
        <w:t>bortezomib</w:t>
      </w:r>
      <w:r w:rsidRPr="000D3D7F">
        <w:rPr>
          <w:noProof/>
          <w:szCs w:val="22"/>
          <w:lang w:val="sr-Latn-ME"/>
        </w:rPr>
        <w:t xml:space="preserve"> u kombinaciji sa rituksimabom, ciklofosfamidom, doksorubicinom i prednizonom</w:t>
      </w:r>
      <w:r w:rsidR="004B33C6" w:rsidRPr="000D3D7F">
        <w:rPr>
          <w:noProof/>
          <w:szCs w:val="22"/>
          <w:lang w:val="sr-Latn-ME"/>
        </w:rPr>
        <w:t xml:space="preserve"> </w:t>
      </w:r>
      <w:r w:rsidRPr="000D3D7F">
        <w:rPr>
          <w:noProof/>
          <w:szCs w:val="22"/>
          <w:lang w:val="sr-Latn-ME"/>
        </w:rPr>
        <w:t>(</w:t>
      </w:r>
      <w:r w:rsidR="001B2C94" w:rsidRPr="000D3D7F">
        <w:rPr>
          <w:noProof/>
          <w:szCs w:val="22"/>
          <w:lang w:val="sr-Latn-ME"/>
        </w:rPr>
        <w:t>Bz</w:t>
      </w:r>
      <w:r w:rsidRPr="000D3D7F">
        <w:rPr>
          <w:noProof/>
          <w:szCs w:val="22"/>
          <w:lang w:val="sr-Latn-ME"/>
        </w:rPr>
        <w:t xml:space="preserve">R-CAP). Ukupna incidenca hepatitis B infekcije je bila slična kod pacijenata koji su primali </w:t>
      </w:r>
      <w:r w:rsidR="008C1EBE" w:rsidRPr="000D3D7F">
        <w:rPr>
          <w:noProof/>
          <w:szCs w:val="22"/>
          <w:lang w:val="sr-Latn-ME"/>
        </w:rPr>
        <w:t>Bz</w:t>
      </w:r>
      <w:r w:rsidRPr="000D3D7F">
        <w:rPr>
          <w:noProof/>
          <w:szCs w:val="22"/>
          <w:lang w:val="sr-Latn-ME"/>
        </w:rPr>
        <w:t>R-CAP</w:t>
      </w:r>
      <w:r w:rsidR="004B33C6" w:rsidRPr="000D3D7F">
        <w:rPr>
          <w:noProof/>
          <w:szCs w:val="22"/>
          <w:lang w:val="sr-Latn-ME"/>
        </w:rPr>
        <w:t xml:space="preserve"> </w:t>
      </w:r>
      <w:r w:rsidRPr="000D3D7F">
        <w:rPr>
          <w:noProof/>
          <w:szCs w:val="22"/>
          <w:lang w:val="sr-Latn-ME"/>
        </w:rPr>
        <w:t>terapiju ili R-CHOP terapiju (0,8% naspram 1,2%).</w:t>
      </w:r>
    </w:p>
    <w:p w14:paraId="2EBD9FC7" w14:textId="77777777" w:rsidR="009E39C5" w:rsidRPr="000D3D7F" w:rsidRDefault="009E39C5" w:rsidP="001E1F5A">
      <w:pPr>
        <w:rPr>
          <w:noProof/>
          <w:szCs w:val="22"/>
          <w:lang w:val="sr-Latn-ME"/>
        </w:rPr>
      </w:pPr>
      <w:r w:rsidRPr="000D3D7F">
        <w:rPr>
          <w:noProof/>
          <w:szCs w:val="22"/>
          <w:lang w:val="sr-Latn-ME"/>
        </w:rPr>
        <w:t>Periferna neuropatija u kombinovanim režimima doziranja</w:t>
      </w:r>
    </w:p>
    <w:p w14:paraId="7733465E" w14:textId="3BA76099" w:rsidR="00D00258" w:rsidRPr="000D3D7F" w:rsidRDefault="009E39C5" w:rsidP="001E1F5A">
      <w:pPr>
        <w:rPr>
          <w:noProof/>
          <w:szCs w:val="22"/>
          <w:lang w:val="sr-Latn-ME"/>
        </w:rPr>
      </w:pPr>
      <w:r w:rsidRPr="000D3D7F">
        <w:rPr>
          <w:noProof/>
          <w:szCs w:val="22"/>
          <w:lang w:val="sr-Latn-ME"/>
        </w:rPr>
        <w:t>Multipli mijelom</w:t>
      </w:r>
    </w:p>
    <w:p w14:paraId="7B736F6B" w14:textId="38FE10A8" w:rsidR="009E39C5" w:rsidRPr="000D3D7F" w:rsidRDefault="009E39C5" w:rsidP="001E1F5A">
      <w:pPr>
        <w:rPr>
          <w:noProof/>
          <w:szCs w:val="22"/>
          <w:lang w:val="sr-Latn-ME"/>
        </w:rPr>
      </w:pPr>
      <w:r w:rsidRPr="000D3D7F">
        <w:rPr>
          <w:noProof/>
          <w:szCs w:val="22"/>
          <w:lang w:val="sr-Latn-ME"/>
        </w:rPr>
        <w:t xml:space="preserve">U ispitivanjima u kojima je </w:t>
      </w:r>
      <w:r w:rsidR="008C1EBE" w:rsidRPr="000D3D7F">
        <w:rPr>
          <w:noProof/>
          <w:szCs w:val="22"/>
          <w:lang w:val="sr-Latn-ME"/>
        </w:rPr>
        <w:t>bortezomib</w:t>
      </w:r>
      <w:r w:rsidRPr="000D3D7F">
        <w:rPr>
          <w:noProof/>
          <w:szCs w:val="22"/>
          <w:lang w:val="sr-Latn-ME"/>
        </w:rPr>
        <w:t xml:space="preserve"> prim</w:t>
      </w:r>
      <w:r w:rsidR="0080395C" w:rsidRPr="000D3D7F">
        <w:rPr>
          <w:noProof/>
          <w:szCs w:val="22"/>
          <w:lang w:val="sr-Latn-ME"/>
        </w:rPr>
        <w:t>ij</w:t>
      </w:r>
      <w:r w:rsidRPr="000D3D7F">
        <w:rPr>
          <w:noProof/>
          <w:szCs w:val="22"/>
          <w:lang w:val="sr-Latn-ME"/>
        </w:rPr>
        <w:t>enjen kao indukciona terapija u kombinaciji sa deksamentazonom</w:t>
      </w:r>
      <w:r w:rsidR="004B33C6" w:rsidRPr="000D3D7F">
        <w:rPr>
          <w:noProof/>
          <w:szCs w:val="22"/>
          <w:lang w:val="sr-Latn-ME"/>
        </w:rPr>
        <w:t xml:space="preserve"> </w:t>
      </w:r>
      <w:r w:rsidRPr="000D3D7F">
        <w:rPr>
          <w:noProof/>
          <w:szCs w:val="22"/>
          <w:lang w:val="sr-Latn-ME"/>
        </w:rPr>
        <w:t>(studija IFM-2005-01), i talidomidom-deksametazonom (studija MMY-3010), incidenca periferne</w:t>
      </w:r>
      <w:r w:rsidR="004B33C6" w:rsidRPr="000D3D7F">
        <w:rPr>
          <w:noProof/>
          <w:szCs w:val="22"/>
          <w:lang w:val="sr-Latn-ME"/>
        </w:rPr>
        <w:t xml:space="preserve"> </w:t>
      </w:r>
      <w:r w:rsidRPr="000D3D7F">
        <w:rPr>
          <w:noProof/>
          <w:szCs w:val="22"/>
          <w:lang w:val="sr-Latn-ME"/>
        </w:rPr>
        <w:t>neuropatije u kombinovanim režimima doziranja je predstavljena u donjoj tabeli:</w:t>
      </w:r>
    </w:p>
    <w:p w14:paraId="3DDC8602" w14:textId="500DE007" w:rsidR="00DB317D" w:rsidRPr="000D3D7F" w:rsidRDefault="009E39C5" w:rsidP="001E1F5A">
      <w:pPr>
        <w:rPr>
          <w:i/>
          <w:iCs/>
          <w:noProof/>
          <w:szCs w:val="22"/>
          <w:lang w:val="sr-Latn-ME"/>
        </w:rPr>
      </w:pPr>
      <w:r w:rsidRPr="000D3D7F">
        <w:rPr>
          <w:i/>
          <w:iCs/>
          <w:noProof/>
          <w:szCs w:val="22"/>
          <w:lang w:val="sr-Latn-ME"/>
        </w:rPr>
        <w:t>Tabela 9: Incidenca periferne neuropatije tokom indukcione terapije po toksičnosti i prekid terapije zbog</w:t>
      </w:r>
      <w:r w:rsidR="004B33C6" w:rsidRPr="000D3D7F">
        <w:rPr>
          <w:i/>
          <w:iCs/>
          <w:noProof/>
          <w:szCs w:val="22"/>
          <w:lang w:val="sr-Latn-ME"/>
        </w:rPr>
        <w:t xml:space="preserve"> </w:t>
      </w:r>
      <w:r w:rsidRPr="000D3D7F">
        <w:rPr>
          <w:i/>
          <w:iCs/>
          <w:noProof/>
          <w:szCs w:val="22"/>
          <w:lang w:val="sr-Latn-ME"/>
        </w:rPr>
        <w:t>periferne neuropatije</w:t>
      </w:r>
    </w:p>
    <w:tbl>
      <w:tblPr>
        <w:tblW w:w="0" w:type="auto"/>
        <w:tblInd w:w="116" w:type="dxa"/>
        <w:tblCellMar>
          <w:left w:w="0" w:type="dxa"/>
          <w:right w:w="0" w:type="dxa"/>
        </w:tblCellMar>
        <w:tblLook w:val="0000" w:firstRow="0" w:lastRow="0" w:firstColumn="0" w:lastColumn="0" w:noHBand="0" w:noVBand="0"/>
      </w:tblPr>
      <w:tblGrid>
        <w:gridCol w:w="3001"/>
        <w:gridCol w:w="1475"/>
        <w:gridCol w:w="1294"/>
        <w:gridCol w:w="1667"/>
        <w:gridCol w:w="1187"/>
      </w:tblGrid>
      <w:tr w:rsidR="009E39C5" w:rsidRPr="000D3D7F" w14:paraId="32D8D14F" w14:textId="77777777" w:rsidTr="00DB317D">
        <w:trPr>
          <w:trHeight w:val="498"/>
        </w:trPr>
        <w:tc>
          <w:tcPr>
            <w:tcW w:w="3001" w:type="dxa"/>
            <w:vMerge w:val="restart"/>
            <w:tcBorders>
              <w:top w:val="single" w:sz="4" w:space="0" w:color="000000"/>
              <w:left w:val="single" w:sz="4" w:space="0" w:color="auto"/>
              <w:bottom w:val="single" w:sz="4" w:space="0" w:color="000000"/>
              <w:right w:val="none" w:sz="6" w:space="0" w:color="auto"/>
            </w:tcBorders>
          </w:tcPr>
          <w:p w14:paraId="044BED2D" w14:textId="77777777" w:rsidR="009E39C5" w:rsidRPr="000D3D7F" w:rsidRDefault="009E39C5" w:rsidP="001E1F5A">
            <w:pPr>
              <w:rPr>
                <w:noProof/>
                <w:lang w:val="sr-Latn-ME"/>
              </w:rPr>
            </w:pPr>
          </w:p>
        </w:tc>
        <w:tc>
          <w:tcPr>
            <w:tcW w:w="1475" w:type="dxa"/>
            <w:tcBorders>
              <w:top w:val="single" w:sz="4" w:space="0" w:color="000000"/>
              <w:left w:val="none" w:sz="6" w:space="0" w:color="auto"/>
              <w:bottom w:val="none" w:sz="6" w:space="0" w:color="auto"/>
              <w:right w:val="none" w:sz="6" w:space="0" w:color="auto"/>
            </w:tcBorders>
          </w:tcPr>
          <w:p w14:paraId="6FD67B9C" w14:textId="77777777" w:rsidR="009E39C5" w:rsidRPr="000D3D7F" w:rsidRDefault="009E39C5" w:rsidP="001E1F5A">
            <w:pPr>
              <w:rPr>
                <w:noProof/>
                <w:lang w:val="sr-Latn-ME"/>
              </w:rPr>
            </w:pPr>
            <w:r w:rsidRPr="000D3D7F">
              <w:rPr>
                <w:noProof/>
                <w:szCs w:val="22"/>
                <w:u w:val="single"/>
                <w:lang w:val="sr-Latn-ME"/>
              </w:rPr>
              <w:t>IFM-2005-01</w:t>
            </w:r>
            <w:r w:rsidRPr="000D3D7F">
              <w:rPr>
                <w:noProof/>
                <w:szCs w:val="22"/>
                <w:lang w:val="sr-Latn-ME"/>
              </w:rPr>
              <w:t xml:space="preserve"> VDDx</w:t>
            </w:r>
          </w:p>
        </w:tc>
        <w:tc>
          <w:tcPr>
            <w:tcW w:w="1294" w:type="dxa"/>
            <w:tcBorders>
              <w:top w:val="single" w:sz="4" w:space="0" w:color="000000"/>
              <w:left w:val="none" w:sz="6" w:space="0" w:color="auto"/>
              <w:bottom w:val="none" w:sz="6" w:space="0" w:color="auto"/>
              <w:right w:val="none" w:sz="6" w:space="0" w:color="auto"/>
            </w:tcBorders>
          </w:tcPr>
          <w:p w14:paraId="12510C95" w14:textId="77777777" w:rsidR="009E39C5" w:rsidRPr="000D3D7F" w:rsidRDefault="009E39C5" w:rsidP="001E1F5A">
            <w:pPr>
              <w:rPr>
                <w:noProof/>
                <w:lang w:val="sr-Latn-ME"/>
              </w:rPr>
            </w:pPr>
          </w:p>
          <w:p w14:paraId="4A5C5BD0" w14:textId="05D1C3FE" w:rsidR="009E39C5" w:rsidRPr="000D3D7F" w:rsidRDefault="008C1EBE" w:rsidP="001E1F5A">
            <w:pPr>
              <w:rPr>
                <w:noProof/>
                <w:lang w:val="sr-Latn-ME"/>
              </w:rPr>
            </w:pPr>
            <w:r w:rsidRPr="000D3D7F">
              <w:rPr>
                <w:noProof/>
                <w:szCs w:val="22"/>
                <w:lang w:val="sr-Latn-ME"/>
              </w:rPr>
              <w:t>Bz</w:t>
            </w:r>
            <w:r w:rsidR="009E39C5" w:rsidRPr="000D3D7F">
              <w:rPr>
                <w:noProof/>
                <w:szCs w:val="22"/>
                <w:lang w:val="sr-Latn-ME"/>
              </w:rPr>
              <w:t>Dx</w:t>
            </w:r>
          </w:p>
        </w:tc>
        <w:tc>
          <w:tcPr>
            <w:tcW w:w="1667" w:type="dxa"/>
            <w:tcBorders>
              <w:top w:val="single" w:sz="4" w:space="0" w:color="000000"/>
              <w:left w:val="none" w:sz="6" w:space="0" w:color="auto"/>
              <w:bottom w:val="none" w:sz="6" w:space="0" w:color="auto"/>
              <w:right w:val="none" w:sz="6" w:space="0" w:color="auto"/>
            </w:tcBorders>
          </w:tcPr>
          <w:p w14:paraId="543B106E" w14:textId="77777777" w:rsidR="009E39C5" w:rsidRPr="000D3D7F" w:rsidRDefault="009E39C5" w:rsidP="001E1F5A">
            <w:pPr>
              <w:rPr>
                <w:noProof/>
                <w:lang w:val="sr-Latn-ME"/>
              </w:rPr>
            </w:pPr>
            <w:r w:rsidRPr="000D3D7F">
              <w:rPr>
                <w:noProof/>
                <w:szCs w:val="22"/>
                <w:u w:val="single"/>
                <w:lang w:val="sr-Latn-ME"/>
              </w:rPr>
              <w:t>MMY-3010</w:t>
            </w:r>
          </w:p>
          <w:p w14:paraId="78F22BF1" w14:textId="77777777" w:rsidR="009E39C5" w:rsidRPr="000D3D7F" w:rsidRDefault="009E39C5" w:rsidP="001E1F5A">
            <w:pPr>
              <w:rPr>
                <w:noProof/>
                <w:lang w:val="sr-Latn-ME"/>
              </w:rPr>
            </w:pPr>
            <w:r w:rsidRPr="000D3D7F">
              <w:rPr>
                <w:noProof/>
                <w:szCs w:val="22"/>
                <w:lang w:val="sr-Latn-ME"/>
              </w:rPr>
              <w:t>TDx</w:t>
            </w:r>
          </w:p>
        </w:tc>
        <w:tc>
          <w:tcPr>
            <w:tcW w:w="1187" w:type="dxa"/>
            <w:tcBorders>
              <w:top w:val="single" w:sz="4" w:space="0" w:color="000000"/>
              <w:left w:val="none" w:sz="6" w:space="0" w:color="auto"/>
              <w:bottom w:val="none" w:sz="6" w:space="0" w:color="auto"/>
              <w:right w:val="single" w:sz="4" w:space="0" w:color="auto"/>
            </w:tcBorders>
          </w:tcPr>
          <w:p w14:paraId="7D8CB089" w14:textId="77777777" w:rsidR="009E39C5" w:rsidRPr="000D3D7F" w:rsidRDefault="009E39C5" w:rsidP="001E1F5A">
            <w:pPr>
              <w:rPr>
                <w:noProof/>
                <w:lang w:val="sr-Latn-ME"/>
              </w:rPr>
            </w:pPr>
          </w:p>
          <w:p w14:paraId="195D7EDE" w14:textId="5B589B46" w:rsidR="009E39C5" w:rsidRPr="000D3D7F" w:rsidRDefault="008C1EBE" w:rsidP="001E1F5A">
            <w:pPr>
              <w:rPr>
                <w:noProof/>
                <w:lang w:val="sr-Latn-ME"/>
              </w:rPr>
            </w:pPr>
            <w:r w:rsidRPr="000D3D7F">
              <w:rPr>
                <w:noProof/>
                <w:szCs w:val="22"/>
                <w:lang w:val="sr-Latn-ME"/>
              </w:rPr>
              <w:t>Bz</w:t>
            </w:r>
            <w:r w:rsidR="009E39C5" w:rsidRPr="000D3D7F">
              <w:rPr>
                <w:noProof/>
                <w:szCs w:val="22"/>
                <w:lang w:val="sr-Latn-ME"/>
              </w:rPr>
              <w:t>TDx</w:t>
            </w:r>
          </w:p>
        </w:tc>
      </w:tr>
      <w:tr w:rsidR="009E39C5" w:rsidRPr="000D3D7F" w14:paraId="18D7C0EA" w14:textId="77777777" w:rsidTr="00DB317D">
        <w:trPr>
          <w:trHeight w:val="252"/>
        </w:trPr>
        <w:tc>
          <w:tcPr>
            <w:tcW w:w="3001" w:type="dxa"/>
            <w:vMerge/>
            <w:tcBorders>
              <w:top w:val="nil"/>
              <w:left w:val="single" w:sz="4" w:space="0" w:color="auto"/>
              <w:bottom w:val="single" w:sz="4" w:space="0" w:color="000000"/>
              <w:right w:val="none" w:sz="6" w:space="0" w:color="auto"/>
            </w:tcBorders>
          </w:tcPr>
          <w:p w14:paraId="42E28231" w14:textId="77777777" w:rsidR="009E39C5" w:rsidRPr="000D3D7F" w:rsidRDefault="009E39C5" w:rsidP="001E1F5A">
            <w:pPr>
              <w:rPr>
                <w:noProof/>
                <w:lang w:val="sr-Latn-ME"/>
              </w:rPr>
            </w:pPr>
          </w:p>
        </w:tc>
        <w:tc>
          <w:tcPr>
            <w:tcW w:w="1475" w:type="dxa"/>
            <w:tcBorders>
              <w:top w:val="none" w:sz="6" w:space="0" w:color="auto"/>
              <w:left w:val="none" w:sz="6" w:space="0" w:color="auto"/>
              <w:bottom w:val="single" w:sz="4" w:space="0" w:color="000000"/>
              <w:right w:val="none" w:sz="6" w:space="0" w:color="auto"/>
            </w:tcBorders>
          </w:tcPr>
          <w:p w14:paraId="06A95803" w14:textId="77777777" w:rsidR="009E39C5" w:rsidRPr="000D3D7F" w:rsidRDefault="009E39C5" w:rsidP="001E1F5A">
            <w:pPr>
              <w:rPr>
                <w:noProof/>
                <w:lang w:val="sr-Latn-ME"/>
              </w:rPr>
            </w:pPr>
            <w:r w:rsidRPr="000D3D7F">
              <w:rPr>
                <w:noProof/>
                <w:szCs w:val="22"/>
                <w:lang w:val="sr-Latn-ME"/>
              </w:rPr>
              <w:t>(N=239)</w:t>
            </w:r>
          </w:p>
        </w:tc>
        <w:tc>
          <w:tcPr>
            <w:tcW w:w="1294" w:type="dxa"/>
            <w:tcBorders>
              <w:top w:val="none" w:sz="6" w:space="0" w:color="auto"/>
              <w:left w:val="none" w:sz="6" w:space="0" w:color="auto"/>
              <w:bottom w:val="single" w:sz="4" w:space="0" w:color="000000"/>
              <w:right w:val="none" w:sz="6" w:space="0" w:color="auto"/>
            </w:tcBorders>
          </w:tcPr>
          <w:p w14:paraId="29A22623" w14:textId="77777777" w:rsidR="009E39C5" w:rsidRPr="000D3D7F" w:rsidRDefault="009E39C5" w:rsidP="001E1F5A">
            <w:pPr>
              <w:rPr>
                <w:noProof/>
                <w:lang w:val="sr-Latn-ME"/>
              </w:rPr>
            </w:pPr>
            <w:r w:rsidRPr="000D3D7F">
              <w:rPr>
                <w:noProof/>
                <w:szCs w:val="22"/>
                <w:lang w:val="sr-Latn-ME"/>
              </w:rPr>
              <w:t>(N=239)</w:t>
            </w:r>
          </w:p>
        </w:tc>
        <w:tc>
          <w:tcPr>
            <w:tcW w:w="1667" w:type="dxa"/>
            <w:tcBorders>
              <w:top w:val="none" w:sz="6" w:space="0" w:color="auto"/>
              <w:left w:val="none" w:sz="6" w:space="0" w:color="auto"/>
              <w:bottom w:val="single" w:sz="4" w:space="0" w:color="000000"/>
              <w:right w:val="none" w:sz="6" w:space="0" w:color="auto"/>
            </w:tcBorders>
          </w:tcPr>
          <w:p w14:paraId="4C9DC549" w14:textId="77777777" w:rsidR="009E39C5" w:rsidRPr="000D3D7F" w:rsidRDefault="009E39C5" w:rsidP="001E1F5A">
            <w:pPr>
              <w:rPr>
                <w:noProof/>
                <w:lang w:val="sr-Latn-ME"/>
              </w:rPr>
            </w:pPr>
            <w:r w:rsidRPr="000D3D7F">
              <w:rPr>
                <w:noProof/>
                <w:szCs w:val="22"/>
                <w:lang w:val="sr-Latn-ME"/>
              </w:rPr>
              <w:t>(N=126)</w:t>
            </w:r>
          </w:p>
        </w:tc>
        <w:tc>
          <w:tcPr>
            <w:tcW w:w="1187" w:type="dxa"/>
            <w:tcBorders>
              <w:top w:val="none" w:sz="6" w:space="0" w:color="auto"/>
              <w:left w:val="none" w:sz="6" w:space="0" w:color="auto"/>
              <w:bottom w:val="single" w:sz="4" w:space="0" w:color="000000"/>
              <w:right w:val="single" w:sz="4" w:space="0" w:color="auto"/>
            </w:tcBorders>
          </w:tcPr>
          <w:p w14:paraId="5BA660AD" w14:textId="77777777" w:rsidR="009E39C5" w:rsidRPr="000D3D7F" w:rsidRDefault="009E39C5" w:rsidP="001E1F5A">
            <w:pPr>
              <w:rPr>
                <w:noProof/>
                <w:lang w:val="sr-Latn-ME"/>
              </w:rPr>
            </w:pPr>
            <w:r w:rsidRPr="000D3D7F">
              <w:rPr>
                <w:noProof/>
                <w:szCs w:val="22"/>
                <w:lang w:val="sr-Latn-ME"/>
              </w:rPr>
              <w:t>(N=130)</w:t>
            </w:r>
          </w:p>
        </w:tc>
      </w:tr>
      <w:tr w:rsidR="009E39C5" w:rsidRPr="000D3D7F" w14:paraId="7022E55C" w14:textId="77777777" w:rsidTr="00DB317D">
        <w:trPr>
          <w:trHeight w:val="246"/>
        </w:trPr>
        <w:tc>
          <w:tcPr>
            <w:tcW w:w="3001" w:type="dxa"/>
            <w:tcBorders>
              <w:top w:val="single" w:sz="4" w:space="0" w:color="000000"/>
              <w:left w:val="single" w:sz="4" w:space="0" w:color="auto"/>
              <w:bottom w:val="none" w:sz="6" w:space="0" w:color="auto"/>
              <w:right w:val="none" w:sz="6" w:space="0" w:color="auto"/>
            </w:tcBorders>
          </w:tcPr>
          <w:p w14:paraId="28109259" w14:textId="77777777" w:rsidR="009E39C5" w:rsidRPr="000D3D7F" w:rsidRDefault="009E39C5" w:rsidP="001E1F5A">
            <w:pPr>
              <w:rPr>
                <w:noProof/>
                <w:lang w:val="sr-Latn-ME"/>
              </w:rPr>
            </w:pPr>
            <w:r w:rsidRPr="000D3D7F">
              <w:rPr>
                <w:noProof/>
                <w:szCs w:val="22"/>
                <w:lang w:val="sr-Latn-ME"/>
              </w:rPr>
              <w:t>Incidenca of PN (%)</w:t>
            </w:r>
          </w:p>
        </w:tc>
        <w:tc>
          <w:tcPr>
            <w:tcW w:w="1475" w:type="dxa"/>
            <w:tcBorders>
              <w:top w:val="single" w:sz="4" w:space="0" w:color="000000"/>
              <w:left w:val="none" w:sz="6" w:space="0" w:color="auto"/>
              <w:bottom w:val="none" w:sz="6" w:space="0" w:color="auto"/>
              <w:right w:val="none" w:sz="6" w:space="0" w:color="auto"/>
            </w:tcBorders>
          </w:tcPr>
          <w:p w14:paraId="1ECB22CC" w14:textId="77777777" w:rsidR="009E39C5" w:rsidRPr="000D3D7F" w:rsidRDefault="009E39C5" w:rsidP="001E1F5A">
            <w:pPr>
              <w:rPr>
                <w:noProof/>
                <w:lang w:val="sr-Latn-ME"/>
              </w:rPr>
            </w:pPr>
          </w:p>
        </w:tc>
        <w:tc>
          <w:tcPr>
            <w:tcW w:w="1294" w:type="dxa"/>
            <w:tcBorders>
              <w:top w:val="single" w:sz="4" w:space="0" w:color="000000"/>
              <w:left w:val="none" w:sz="6" w:space="0" w:color="auto"/>
              <w:bottom w:val="none" w:sz="6" w:space="0" w:color="auto"/>
              <w:right w:val="none" w:sz="6" w:space="0" w:color="auto"/>
            </w:tcBorders>
          </w:tcPr>
          <w:p w14:paraId="7202A401" w14:textId="77777777" w:rsidR="009E39C5" w:rsidRPr="000D3D7F" w:rsidRDefault="009E39C5" w:rsidP="001E1F5A">
            <w:pPr>
              <w:rPr>
                <w:noProof/>
                <w:lang w:val="sr-Latn-ME"/>
              </w:rPr>
            </w:pPr>
          </w:p>
        </w:tc>
        <w:tc>
          <w:tcPr>
            <w:tcW w:w="1667" w:type="dxa"/>
            <w:tcBorders>
              <w:top w:val="single" w:sz="4" w:space="0" w:color="000000"/>
              <w:left w:val="none" w:sz="6" w:space="0" w:color="auto"/>
              <w:bottom w:val="none" w:sz="6" w:space="0" w:color="auto"/>
              <w:right w:val="none" w:sz="6" w:space="0" w:color="auto"/>
            </w:tcBorders>
          </w:tcPr>
          <w:p w14:paraId="6A5AA788" w14:textId="77777777" w:rsidR="009E39C5" w:rsidRPr="000D3D7F" w:rsidRDefault="009E39C5" w:rsidP="001E1F5A">
            <w:pPr>
              <w:rPr>
                <w:noProof/>
                <w:lang w:val="sr-Latn-ME"/>
              </w:rPr>
            </w:pPr>
          </w:p>
        </w:tc>
        <w:tc>
          <w:tcPr>
            <w:tcW w:w="1187" w:type="dxa"/>
            <w:tcBorders>
              <w:top w:val="single" w:sz="4" w:space="0" w:color="000000"/>
              <w:left w:val="none" w:sz="6" w:space="0" w:color="auto"/>
              <w:bottom w:val="none" w:sz="6" w:space="0" w:color="auto"/>
              <w:right w:val="single" w:sz="4" w:space="0" w:color="auto"/>
            </w:tcBorders>
          </w:tcPr>
          <w:p w14:paraId="32D9FF46" w14:textId="77777777" w:rsidR="009E39C5" w:rsidRPr="000D3D7F" w:rsidRDefault="009E39C5" w:rsidP="001E1F5A">
            <w:pPr>
              <w:rPr>
                <w:noProof/>
                <w:lang w:val="sr-Latn-ME"/>
              </w:rPr>
            </w:pPr>
          </w:p>
        </w:tc>
      </w:tr>
      <w:tr w:rsidR="009E39C5" w:rsidRPr="000D3D7F" w14:paraId="6F71F542" w14:textId="77777777" w:rsidTr="00DB317D">
        <w:trPr>
          <w:trHeight w:val="248"/>
        </w:trPr>
        <w:tc>
          <w:tcPr>
            <w:tcW w:w="3001" w:type="dxa"/>
            <w:tcBorders>
              <w:top w:val="none" w:sz="6" w:space="0" w:color="auto"/>
              <w:left w:val="single" w:sz="4" w:space="0" w:color="auto"/>
              <w:bottom w:val="none" w:sz="6" w:space="0" w:color="auto"/>
              <w:right w:val="none" w:sz="6" w:space="0" w:color="auto"/>
            </w:tcBorders>
          </w:tcPr>
          <w:p w14:paraId="05C5FED3" w14:textId="77777777" w:rsidR="009E39C5" w:rsidRPr="000D3D7F" w:rsidRDefault="009E39C5" w:rsidP="001E1F5A">
            <w:pPr>
              <w:rPr>
                <w:noProof/>
                <w:lang w:val="sr-Latn-ME"/>
              </w:rPr>
            </w:pPr>
            <w:r w:rsidRPr="000D3D7F">
              <w:rPr>
                <w:noProof/>
                <w:szCs w:val="22"/>
                <w:lang w:val="sr-Latn-ME"/>
              </w:rPr>
              <w:t>Svi stepeni PN</w:t>
            </w:r>
          </w:p>
        </w:tc>
        <w:tc>
          <w:tcPr>
            <w:tcW w:w="1475" w:type="dxa"/>
            <w:tcBorders>
              <w:top w:val="none" w:sz="6" w:space="0" w:color="auto"/>
              <w:left w:val="none" w:sz="6" w:space="0" w:color="auto"/>
              <w:bottom w:val="none" w:sz="6" w:space="0" w:color="auto"/>
              <w:right w:val="none" w:sz="6" w:space="0" w:color="auto"/>
            </w:tcBorders>
          </w:tcPr>
          <w:p w14:paraId="17CD96A2" w14:textId="77777777" w:rsidR="009E39C5" w:rsidRPr="000D3D7F" w:rsidRDefault="009E39C5" w:rsidP="001E1F5A">
            <w:pPr>
              <w:rPr>
                <w:noProof/>
                <w:lang w:val="sr-Latn-ME"/>
              </w:rPr>
            </w:pPr>
            <w:r w:rsidRPr="000D3D7F">
              <w:rPr>
                <w:noProof/>
                <w:szCs w:val="22"/>
                <w:lang w:val="sr-Latn-ME"/>
              </w:rPr>
              <w:t>3</w:t>
            </w:r>
          </w:p>
        </w:tc>
        <w:tc>
          <w:tcPr>
            <w:tcW w:w="1294" w:type="dxa"/>
            <w:tcBorders>
              <w:top w:val="none" w:sz="6" w:space="0" w:color="auto"/>
              <w:left w:val="none" w:sz="6" w:space="0" w:color="auto"/>
              <w:bottom w:val="none" w:sz="6" w:space="0" w:color="auto"/>
              <w:right w:val="none" w:sz="6" w:space="0" w:color="auto"/>
            </w:tcBorders>
          </w:tcPr>
          <w:p w14:paraId="45187E3F" w14:textId="77777777" w:rsidR="009E39C5" w:rsidRPr="000D3D7F" w:rsidRDefault="009E39C5" w:rsidP="001E1F5A">
            <w:pPr>
              <w:rPr>
                <w:noProof/>
                <w:lang w:val="sr-Latn-ME"/>
              </w:rPr>
            </w:pPr>
            <w:r w:rsidRPr="000D3D7F">
              <w:rPr>
                <w:noProof/>
                <w:szCs w:val="22"/>
                <w:lang w:val="sr-Latn-ME"/>
              </w:rPr>
              <w:t>15</w:t>
            </w:r>
          </w:p>
        </w:tc>
        <w:tc>
          <w:tcPr>
            <w:tcW w:w="1667" w:type="dxa"/>
            <w:tcBorders>
              <w:top w:val="none" w:sz="6" w:space="0" w:color="auto"/>
              <w:left w:val="none" w:sz="6" w:space="0" w:color="auto"/>
              <w:bottom w:val="none" w:sz="6" w:space="0" w:color="auto"/>
              <w:right w:val="none" w:sz="6" w:space="0" w:color="auto"/>
            </w:tcBorders>
          </w:tcPr>
          <w:p w14:paraId="57B015F8" w14:textId="77777777" w:rsidR="009E39C5" w:rsidRPr="000D3D7F" w:rsidRDefault="009E39C5" w:rsidP="001E1F5A">
            <w:pPr>
              <w:rPr>
                <w:noProof/>
                <w:lang w:val="sr-Latn-ME"/>
              </w:rPr>
            </w:pPr>
            <w:r w:rsidRPr="000D3D7F">
              <w:rPr>
                <w:noProof/>
                <w:szCs w:val="22"/>
                <w:lang w:val="sr-Latn-ME"/>
              </w:rPr>
              <w:t>12</w:t>
            </w:r>
          </w:p>
        </w:tc>
        <w:tc>
          <w:tcPr>
            <w:tcW w:w="1187" w:type="dxa"/>
            <w:tcBorders>
              <w:top w:val="none" w:sz="6" w:space="0" w:color="auto"/>
              <w:left w:val="none" w:sz="6" w:space="0" w:color="auto"/>
              <w:bottom w:val="none" w:sz="6" w:space="0" w:color="auto"/>
              <w:right w:val="single" w:sz="4" w:space="0" w:color="auto"/>
            </w:tcBorders>
          </w:tcPr>
          <w:p w14:paraId="1947B831" w14:textId="77777777" w:rsidR="009E39C5" w:rsidRPr="000D3D7F" w:rsidRDefault="009E39C5" w:rsidP="001E1F5A">
            <w:pPr>
              <w:rPr>
                <w:noProof/>
                <w:lang w:val="sr-Latn-ME"/>
              </w:rPr>
            </w:pPr>
            <w:r w:rsidRPr="000D3D7F">
              <w:rPr>
                <w:noProof/>
                <w:szCs w:val="22"/>
                <w:lang w:val="sr-Latn-ME"/>
              </w:rPr>
              <w:t>45</w:t>
            </w:r>
          </w:p>
        </w:tc>
      </w:tr>
      <w:tr w:rsidR="009E39C5" w:rsidRPr="000D3D7F" w14:paraId="6DA5BA6B" w14:textId="77777777" w:rsidTr="00DB317D">
        <w:trPr>
          <w:trHeight w:val="271"/>
        </w:trPr>
        <w:tc>
          <w:tcPr>
            <w:tcW w:w="3001" w:type="dxa"/>
            <w:tcBorders>
              <w:top w:val="none" w:sz="6" w:space="0" w:color="auto"/>
              <w:left w:val="single" w:sz="4" w:space="0" w:color="auto"/>
              <w:bottom w:val="none" w:sz="6" w:space="0" w:color="auto"/>
              <w:right w:val="none" w:sz="6" w:space="0" w:color="auto"/>
            </w:tcBorders>
          </w:tcPr>
          <w:p w14:paraId="01DACD6E" w14:textId="51946850" w:rsidR="009E39C5" w:rsidRPr="000D3D7F" w:rsidRDefault="00C26DCA" w:rsidP="001E1F5A">
            <w:pPr>
              <w:rPr>
                <w:noProof/>
                <w:lang w:val="sr-Latn-ME"/>
              </w:rPr>
            </w:pPr>
            <w:r w:rsidRPr="000D3D7F">
              <w:rPr>
                <w:noProof/>
                <w:szCs w:val="22"/>
                <w:lang w:val="sr-Latn-ME"/>
              </w:rPr>
              <w:t>≥</w:t>
            </w:r>
            <w:r w:rsidR="009E39C5" w:rsidRPr="000D3D7F">
              <w:rPr>
                <w:noProof/>
                <w:szCs w:val="22"/>
                <w:lang w:val="sr-Latn-ME"/>
              </w:rPr>
              <w:t xml:space="preserve"> Stepen 2 PN</w:t>
            </w:r>
          </w:p>
        </w:tc>
        <w:tc>
          <w:tcPr>
            <w:tcW w:w="1475" w:type="dxa"/>
            <w:tcBorders>
              <w:top w:val="none" w:sz="6" w:space="0" w:color="auto"/>
              <w:left w:val="none" w:sz="6" w:space="0" w:color="auto"/>
              <w:bottom w:val="none" w:sz="6" w:space="0" w:color="auto"/>
              <w:right w:val="none" w:sz="6" w:space="0" w:color="auto"/>
            </w:tcBorders>
          </w:tcPr>
          <w:p w14:paraId="4207B087" w14:textId="77777777" w:rsidR="009E39C5" w:rsidRPr="000D3D7F" w:rsidRDefault="009E39C5" w:rsidP="001E1F5A">
            <w:pPr>
              <w:rPr>
                <w:noProof/>
                <w:lang w:val="sr-Latn-ME"/>
              </w:rPr>
            </w:pPr>
            <w:r w:rsidRPr="000D3D7F">
              <w:rPr>
                <w:noProof/>
                <w:szCs w:val="22"/>
                <w:lang w:val="sr-Latn-ME"/>
              </w:rPr>
              <w:t>1</w:t>
            </w:r>
          </w:p>
        </w:tc>
        <w:tc>
          <w:tcPr>
            <w:tcW w:w="1294" w:type="dxa"/>
            <w:tcBorders>
              <w:top w:val="none" w:sz="6" w:space="0" w:color="auto"/>
              <w:left w:val="none" w:sz="6" w:space="0" w:color="auto"/>
              <w:bottom w:val="none" w:sz="6" w:space="0" w:color="auto"/>
              <w:right w:val="none" w:sz="6" w:space="0" w:color="auto"/>
            </w:tcBorders>
          </w:tcPr>
          <w:p w14:paraId="3C0C1465" w14:textId="77777777" w:rsidR="009E39C5" w:rsidRPr="000D3D7F" w:rsidRDefault="009E39C5" w:rsidP="001E1F5A">
            <w:pPr>
              <w:rPr>
                <w:noProof/>
                <w:lang w:val="sr-Latn-ME"/>
              </w:rPr>
            </w:pPr>
            <w:r w:rsidRPr="000D3D7F">
              <w:rPr>
                <w:noProof/>
                <w:szCs w:val="22"/>
                <w:lang w:val="sr-Latn-ME"/>
              </w:rPr>
              <w:t>10</w:t>
            </w:r>
          </w:p>
        </w:tc>
        <w:tc>
          <w:tcPr>
            <w:tcW w:w="1667" w:type="dxa"/>
            <w:tcBorders>
              <w:top w:val="none" w:sz="6" w:space="0" w:color="auto"/>
              <w:left w:val="none" w:sz="6" w:space="0" w:color="auto"/>
              <w:bottom w:val="none" w:sz="6" w:space="0" w:color="auto"/>
              <w:right w:val="none" w:sz="6" w:space="0" w:color="auto"/>
            </w:tcBorders>
          </w:tcPr>
          <w:p w14:paraId="36774002" w14:textId="77777777" w:rsidR="009E39C5" w:rsidRPr="000D3D7F" w:rsidRDefault="009E39C5" w:rsidP="001E1F5A">
            <w:pPr>
              <w:rPr>
                <w:noProof/>
                <w:lang w:val="sr-Latn-ME"/>
              </w:rPr>
            </w:pPr>
            <w:r w:rsidRPr="000D3D7F">
              <w:rPr>
                <w:noProof/>
                <w:szCs w:val="22"/>
                <w:lang w:val="sr-Latn-ME"/>
              </w:rPr>
              <w:t>2</w:t>
            </w:r>
          </w:p>
        </w:tc>
        <w:tc>
          <w:tcPr>
            <w:tcW w:w="1187" w:type="dxa"/>
            <w:tcBorders>
              <w:top w:val="none" w:sz="6" w:space="0" w:color="auto"/>
              <w:left w:val="none" w:sz="6" w:space="0" w:color="auto"/>
              <w:bottom w:val="none" w:sz="6" w:space="0" w:color="auto"/>
              <w:right w:val="single" w:sz="4" w:space="0" w:color="auto"/>
            </w:tcBorders>
          </w:tcPr>
          <w:p w14:paraId="17DF53FC" w14:textId="77777777" w:rsidR="009E39C5" w:rsidRPr="000D3D7F" w:rsidRDefault="009E39C5" w:rsidP="001E1F5A">
            <w:pPr>
              <w:rPr>
                <w:noProof/>
                <w:lang w:val="sr-Latn-ME"/>
              </w:rPr>
            </w:pPr>
            <w:r w:rsidRPr="000D3D7F">
              <w:rPr>
                <w:noProof/>
                <w:szCs w:val="22"/>
                <w:lang w:val="sr-Latn-ME"/>
              </w:rPr>
              <w:t>31</w:t>
            </w:r>
          </w:p>
        </w:tc>
      </w:tr>
      <w:tr w:rsidR="009E39C5" w:rsidRPr="000D3D7F" w14:paraId="10DBA8BE" w14:textId="77777777" w:rsidTr="00DB317D">
        <w:trPr>
          <w:trHeight w:val="273"/>
        </w:trPr>
        <w:tc>
          <w:tcPr>
            <w:tcW w:w="3001" w:type="dxa"/>
            <w:tcBorders>
              <w:top w:val="none" w:sz="6" w:space="0" w:color="auto"/>
              <w:left w:val="single" w:sz="4" w:space="0" w:color="auto"/>
              <w:bottom w:val="single" w:sz="4" w:space="0" w:color="000000"/>
              <w:right w:val="none" w:sz="6" w:space="0" w:color="auto"/>
            </w:tcBorders>
          </w:tcPr>
          <w:p w14:paraId="09ED8CD7" w14:textId="58E7F9DB" w:rsidR="009E39C5" w:rsidRPr="000D3D7F" w:rsidRDefault="00C26DCA" w:rsidP="001E1F5A">
            <w:pPr>
              <w:rPr>
                <w:noProof/>
                <w:lang w:val="sr-Latn-ME"/>
              </w:rPr>
            </w:pPr>
            <w:r w:rsidRPr="000D3D7F">
              <w:rPr>
                <w:noProof/>
                <w:szCs w:val="22"/>
                <w:lang w:val="sr-Latn-ME"/>
              </w:rPr>
              <w:t>≥</w:t>
            </w:r>
            <w:r w:rsidR="009E39C5" w:rsidRPr="000D3D7F">
              <w:rPr>
                <w:noProof/>
                <w:szCs w:val="22"/>
                <w:lang w:val="sr-Latn-ME"/>
              </w:rPr>
              <w:t xml:space="preserve"> Stepen 3 PN</w:t>
            </w:r>
          </w:p>
        </w:tc>
        <w:tc>
          <w:tcPr>
            <w:tcW w:w="1475" w:type="dxa"/>
            <w:tcBorders>
              <w:top w:val="none" w:sz="6" w:space="0" w:color="auto"/>
              <w:left w:val="none" w:sz="6" w:space="0" w:color="auto"/>
              <w:bottom w:val="single" w:sz="4" w:space="0" w:color="000000"/>
              <w:right w:val="none" w:sz="6" w:space="0" w:color="auto"/>
            </w:tcBorders>
          </w:tcPr>
          <w:p w14:paraId="7940D238" w14:textId="77777777" w:rsidR="009E39C5" w:rsidRPr="000D3D7F" w:rsidRDefault="009E39C5" w:rsidP="001E1F5A">
            <w:pPr>
              <w:rPr>
                <w:noProof/>
                <w:lang w:val="sr-Latn-ME"/>
              </w:rPr>
            </w:pPr>
            <w:r w:rsidRPr="000D3D7F">
              <w:rPr>
                <w:noProof/>
                <w:szCs w:val="22"/>
                <w:lang w:val="sr-Latn-ME"/>
              </w:rPr>
              <w:t>&lt; 1</w:t>
            </w:r>
          </w:p>
        </w:tc>
        <w:tc>
          <w:tcPr>
            <w:tcW w:w="1294" w:type="dxa"/>
            <w:tcBorders>
              <w:top w:val="none" w:sz="6" w:space="0" w:color="auto"/>
              <w:left w:val="none" w:sz="6" w:space="0" w:color="auto"/>
              <w:bottom w:val="single" w:sz="4" w:space="0" w:color="000000"/>
              <w:right w:val="none" w:sz="6" w:space="0" w:color="auto"/>
            </w:tcBorders>
          </w:tcPr>
          <w:p w14:paraId="46CD9E70" w14:textId="77777777" w:rsidR="009E39C5" w:rsidRPr="000D3D7F" w:rsidRDefault="009E39C5" w:rsidP="001E1F5A">
            <w:pPr>
              <w:rPr>
                <w:noProof/>
                <w:lang w:val="sr-Latn-ME"/>
              </w:rPr>
            </w:pPr>
            <w:r w:rsidRPr="000D3D7F">
              <w:rPr>
                <w:noProof/>
                <w:szCs w:val="22"/>
                <w:lang w:val="sr-Latn-ME"/>
              </w:rPr>
              <w:t>5</w:t>
            </w:r>
          </w:p>
        </w:tc>
        <w:tc>
          <w:tcPr>
            <w:tcW w:w="1667" w:type="dxa"/>
            <w:tcBorders>
              <w:top w:val="none" w:sz="6" w:space="0" w:color="auto"/>
              <w:left w:val="none" w:sz="6" w:space="0" w:color="auto"/>
              <w:bottom w:val="single" w:sz="4" w:space="0" w:color="000000"/>
              <w:right w:val="none" w:sz="6" w:space="0" w:color="auto"/>
            </w:tcBorders>
          </w:tcPr>
          <w:p w14:paraId="5943FE56" w14:textId="77777777" w:rsidR="009E39C5" w:rsidRPr="000D3D7F" w:rsidRDefault="009E39C5" w:rsidP="001E1F5A">
            <w:pPr>
              <w:rPr>
                <w:noProof/>
                <w:lang w:val="sr-Latn-ME"/>
              </w:rPr>
            </w:pPr>
            <w:r w:rsidRPr="000D3D7F">
              <w:rPr>
                <w:noProof/>
                <w:szCs w:val="22"/>
                <w:lang w:val="sr-Latn-ME"/>
              </w:rPr>
              <w:t>0</w:t>
            </w:r>
          </w:p>
        </w:tc>
        <w:tc>
          <w:tcPr>
            <w:tcW w:w="1187" w:type="dxa"/>
            <w:tcBorders>
              <w:top w:val="none" w:sz="6" w:space="0" w:color="auto"/>
              <w:left w:val="none" w:sz="6" w:space="0" w:color="auto"/>
              <w:bottom w:val="single" w:sz="4" w:space="0" w:color="000000"/>
              <w:right w:val="single" w:sz="4" w:space="0" w:color="auto"/>
            </w:tcBorders>
          </w:tcPr>
          <w:p w14:paraId="2081064E" w14:textId="77777777" w:rsidR="009E39C5" w:rsidRPr="000D3D7F" w:rsidRDefault="009E39C5" w:rsidP="001E1F5A">
            <w:pPr>
              <w:rPr>
                <w:noProof/>
                <w:lang w:val="sr-Latn-ME"/>
              </w:rPr>
            </w:pPr>
            <w:r w:rsidRPr="000D3D7F">
              <w:rPr>
                <w:noProof/>
                <w:szCs w:val="22"/>
                <w:lang w:val="sr-Latn-ME"/>
              </w:rPr>
              <w:t>5</w:t>
            </w:r>
          </w:p>
        </w:tc>
      </w:tr>
      <w:tr w:rsidR="009E39C5" w:rsidRPr="000D3D7F" w14:paraId="579AF4D2" w14:textId="77777777" w:rsidTr="00DB317D">
        <w:trPr>
          <w:trHeight w:val="253"/>
        </w:trPr>
        <w:tc>
          <w:tcPr>
            <w:tcW w:w="3001" w:type="dxa"/>
            <w:tcBorders>
              <w:top w:val="single" w:sz="4" w:space="0" w:color="000000"/>
              <w:left w:val="single" w:sz="4" w:space="0" w:color="auto"/>
              <w:bottom w:val="single" w:sz="4" w:space="0" w:color="000000"/>
              <w:right w:val="none" w:sz="6" w:space="0" w:color="auto"/>
            </w:tcBorders>
          </w:tcPr>
          <w:p w14:paraId="55E542A9" w14:textId="77777777" w:rsidR="009E39C5" w:rsidRPr="000D3D7F" w:rsidRDefault="009E39C5" w:rsidP="001E1F5A">
            <w:pPr>
              <w:rPr>
                <w:noProof/>
                <w:lang w:val="sr-Latn-ME"/>
              </w:rPr>
            </w:pPr>
            <w:r w:rsidRPr="000D3D7F">
              <w:rPr>
                <w:noProof/>
                <w:szCs w:val="22"/>
                <w:lang w:val="sr-Latn-ME"/>
              </w:rPr>
              <w:t>Prestanak terapije zbog PN (%)</w:t>
            </w:r>
          </w:p>
        </w:tc>
        <w:tc>
          <w:tcPr>
            <w:tcW w:w="1475" w:type="dxa"/>
            <w:tcBorders>
              <w:top w:val="single" w:sz="4" w:space="0" w:color="000000"/>
              <w:left w:val="none" w:sz="6" w:space="0" w:color="auto"/>
              <w:bottom w:val="single" w:sz="4" w:space="0" w:color="000000"/>
              <w:right w:val="none" w:sz="6" w:space="0" w:color="auto"/>
            </w:tcBorders>
          </w:tcPr>
          <w:p w14:paraId="573B2BBA" w14:textId="77777777" w:rsidR="009E39C5" w:rsidRPr="000D3D7F" w:rsidRDefault="009E39C5" w:rsidP="001E1F5A">
            <w:pPr>
              <w:rPr>
                <w:noProof/>
                <w:lang w:val="sr-Latn-ME"/>
              </w:rPr>
            </w:pPr>
            <w:r w:rsidRPr="000D3D7F">
              <w:rPr>
                <w:noProof/>
                <w:szCs w:val="22"/>
                <w:lang w:val="sr-Latn-ME"/>
              </w:rPr>
              <w:t>&lt; 1</w:t>
            </w:r>
          </w:p>
        </w:tc>
        <w:tc>
          <w:tcPr>
            <w:tcW w:w="1294" w:type="dxa"/>
            <w:tcBorders>
              <w:top w:val="single" w:sz="4" w:space="0" w:color="000000"/>
              <w:left w:val="none" w:sz="6" w:space="0" w:color="auto"/>
              <w:bottom w:val="single" w:sz="4" w:space="0" w:color="000000"/>
              <w:right w:val="none" w:sz="6" w:space="0" w:color="auto"/>
            </w:tcBorders>
          </w:tcPr>
          <w:p w14:paraId="140972B6" w14:textId="77777777" w:rsidR="009E39C5" w:rsidRPr="000D3D7F" w:rsidRDefault="009E39C5" w:rsidP="001E1F5A">
            <w:pPr>
              <w:rPr>
                <w:noProof/>
                <w:lang w:val="sr-Latn-ME"/>
              </w:rPr>
            </w:pPr>
            <w:r w:rsidRPr="000D3D7F">
              <w:rPr>
                <w:noProof/>
                <w:szCs w:val="22"/>
                <w:lang w:val="sr-Latn-ME"/>
              </w:rPr>
              <w:t>2</w:t>
            </w:r>
          </w:p>
        </w:tc>
        <w:tc>
          <w:tcPr>
            <w:tcW w:w="1667" w:type="dxa"/>
            <w:tcBorders>
              <w:top w:val="single" w:sz="4" w:space="0" w:color="000000"/>
              <w:left w:val="none" w:sz="6" w:space="0" w:color="auto"/>
              <w:bottom w:val="single" w:sz="4" w:space="0" w:color="000000"/>
              <w:right w:val="none" w:sz="6" w:space="0" w:color="auto"/>
            </w:tcBorders>
          </w:tcPr>
          <w:p w14:paraId="4982786C" w14:textId="77777777" w:rsidR="009E39C5" w:rsidRPr="000D3D7F" w:rsidRDefault="009E39C5" w:rsidP="001E1F5A">
            <w:pPr>
              <w:rPr>
                <w:noProof/>
                <w:lang w:val="sr-Latn-ME"/>
              </w:rPr>
            </w:pPr>
            <w:r w:rsidRPr="000D3D7F">
              <w:rPr>
                <w:noProof/>
                <w:szCs w:val="22"/>
                <w:lang w:val="sr-Latn-ME"/>
              </w:rPr>
              <w:t>1</w:t>
            </w:r>
          </w:p>
        </w:tc>
        <w:tc>
          <w:tcPr>
            <w:tcW w:w="1187" w:type="dxa"/>
            <w:tcBorders>
              <w:top w:val="single" w:sz="4" w:space="0" w:color="000000"/>
              <w:left w:val="none" w:sz="6" w:space="0" w:color="auto"/>
              <w:bottom w:val="single" w:sz="4" w:space="0" w:color="000000"/>
              <w:right w:val="single" w:sz="4" w:space="0" w:color="auto"/>
            </w:tcBorders>
          </w:tcPr>
          <w:p w14:paraId="2D52ABF1" w14:textId="77777777" w:rsidR="009E39C5" w:rsidRPr="000D3D7F" w:rsidRDefault="009E39C5" w:rsidP="001E1F5A">
            <w:pPr>
              <w:rPr>
                <w:noProof/>
                <w:lang w:val="sr-Latn-ME"/>
              </w:rPr>
            </w:pPr>
            <w:r w:rsidRPr="000D3D7F">
              <w:rPr>
                <w:noProof/>
                <w:szCs w:val="22"/>
                <w:lang w:val="sr-Latn-ME"/>
              </w:rPr>
              <w:t>5</w:t>
            </w:r>
          </w:p>
        </w:tc>
      </w:tr>
    </w:tbl>
    <w:p w14:paraId="50D91E04" w14:textId="31D2B2DC" w:rsidR="009E39C5" w:rsidRPr="000D3D7F" w:rsidRDefault="009E39C5" w:rsidP="001E1F5A">
      <w:pPr>
        <w:rPr>
          <w:noProof/>
          <w:szCs w:val="22"/>
          <w:lang w:val="sr-Latn-ME"/>
        </w:rPr>
      </w:pPr>
      <w:r w:rsidRPr="000D3D7F">
        <w:rPr>
          <w:noProof/>
          <w:szCs w:val="22"/>
          <w:lang w:val="sr-Latn-ME"/>
        </w:rPr>
        <w:t>VDDx=vin</w:t>
      </w:r>
      <w:r w:rsidR="0080395C" w:rsidRPr="000D3D7F">
        <w:rPr>
          <w:noProof/>
          <w:szCs w:val="22"/>
          <w:lang w:val="sr-Latn-ME"/>
        </w:rPr>
        <w:t>k</w:t>
      </w:r>
      <w:r w:rsidRPr="000D3D7F">
        <w:rPr>
          <w:noProof/>
          <w:szCs w:val="22"/>
          <w:lang w:val="sr-Latn-ME"/>
        </w:rPr>
        <w:t>ristin, do</w:t>
      </w:r>
      <w:r w:rsidR="0080395C" w:rsidRPr="000D3D7F">
        <w:rPr>
          <w:noProof/>
          <w:szCs w:val="22"/>
          <w:lang w:val="sr-Latn-ME"/>
        </w:rPr>
        <w:t>ks</w:t>
      </w:r>
      <w:r w:rsidRPr="000D3D7F">
        <w:rPr>
          <w:noProof/>
          <w:szCs w:val="22"/>
          <w:lang w:val="sr-Latn-ME"/>
        </w:rPr>
        <w:t xml:space="preserve">orubicin, deksametazon; </w:t>
      </w:r>
      <w:r w:rsidR="008C1EBE" w:rsidRPr="000D3D7F">
        <w:rPr>
          <w:noProof/>
          <w:szCs w:val="22"/>
          <w:lang w:val="sr-Latn-ME"/>
        </w:rPr>
        <w:t>Bz</w:t>
      </w:r>
      <w:r w:rsidRPr="000D3D7F">
        <w:rPr>
          <w:noProof/>
          <w:szCs w:val="22"/>
          <w:lang w:val="sr-Latn-ME"/>
        </w:rPr>
        <w:t>Dx=</w:t>
      </w:r>
      <w:r w:rsidR="00C26DCA" w:rsidRPr="000D3D7F">
        <w:rPr>
          <w:noProof/>
          <w:szCs w:val="22"/>
          <w:lang w:val="sr-Latn-ME"/>
        </w:rPr>
        <w:t>bortezomib</w:t>
      </w:r>
      <w:r w:rsidRPr="000D3D7F">
        <w:rPr>
          <w:noProof/>
          <w:szCs w:val="22"/>
          <w:lang w:val="sr-Latn-ME"/>
        </w:rPr>
        <w:t>, deksametazon; TDx=talidomid,</w:t>
      </w:r>
      <w:r w:rsidR="004B33C6" w:rsidRPr="000D3D7F">
        <w:rPr>
          <w:noProof/>
          <w:szCs w:val="22"/>
          <w:lang w:val="sr-Latn-ME"/>
        </w:rPr>
        <w:t xml:space="preserve"> </w:t>
      </w:r>
      <w:r w:rsidRPr="000D3D7F">
        <w:rPr>
          <w:noProof/>
          <w:szCs w:val="22"/>
          <w:lang w:val="sr-Latn-ME"/>
        </w:rPr>
        <w:t xml:space="preserve">deksametazon; </w:t>
      </w:r>
      <w:r w:rsidR="001C5A60" w:rsidRPr="000D3D7F">
        <w:rPr>
          <w:noProof/>
          <w:szCs w:val="22"/>
          <w:lang w:val="sr-Latn-ME"/>
        </w:rPr>
        <w:t>Bz</w:t>
      </w:r>
      <w:r w:rsidRPr="000D3D7F">
        <w:rPr>
          <w:noProof/>
          <w:szCs w:val="22"/>
          <w:lang w:val="sr-Latn-ME"/>
        </w:rPr>
        <w:t>TDx=</w:t>
      </w:r>
      <w:r w:rsidR="00C26DCA" w:rsidRPr="000D3D7F">
        <w:rPr>
          <w:noProof/>
          <w:szCs w:val="22"/>
          <w:lang w:val="sr-Latn-ME"/>
        </w:rPr>
        <w:t>bortezomib</w:t>
      </w:r>
      <w:r w:rsidRPr="000D3D7F">
        <w:rPr>
          <w:noProof/>
          <w:szCs w:val="22"/>
          <w:lang w:val="sr-Latn-ME"/>
        </w:rPr>
        <w:t>, talidomid, deksametazon; PN=periferna neuropatija</w:t>
      </w:r>
    </w:p>
    <w:p w14:paraId="1903FD62" w14:textId="6C3EE087" w:rsidR="009E39C5" w:rsidRPr="000D3D7F" w:rsidRDefault="009E39C5" w:rsidP="001E1F5A">
      <w:pPr>
        <w:rPr>
          <w:noProof/>
          <w:szCs w:val="22"/>
          <w:lang w:val="sr-Latn-ME"/>
        </w:rPr>
      </w:pPr>
      <w:r w:rsidRPr="000D3D7F">
        <w:rPr>
          <w:noProof/>
          <w:szCs w:val="22"/>
          <w:lang w:val="sr-Latn-ME"/>
        </w:rPr>
        <w:t>Dodatak: Periferna nuropatija uključuje sl</w:t>
      </w:r>
      <w:r w:rsidR="0080395C" w:rsidRPr="000D3D7F">
        <w:rPr>
          <w:noProof/>
          <w:szCs w:val="22"/>
          <w:lang w:val="sr-Latn-ME"/>
        </w:rPr>
        <w:t>j</w:t>
      </w:r>
      <w:r w:rsidRPr="000D3D7F">
        <w:rPr>
          <w:noProof/>
          <w:szCs w:val="22"/>
          <w:lang w:val="sr-Latn-ME"/>
        </w:rPr>
        <w:t>edeće termine: periferna neuropatija, periferna motorna</w:t>
      </w:r>
      <w:r w:rsidR="004B33C6" w:rsidRPr="000D3D7F">
        <w:rPr>
          <w:noProof/>
          <w:szCs w:val="22"/>
          <w:lang w:val="sr-Latn-ME"/>
        </w:rPr>
        <w:t xml:space="preserve"> </w:t>
      </w:r>
      <w:r w:rsidRPr="000D3D7F">
        <w:rPr>
          <w:noProof/>
          <w:szCs w:val="22"/>
          <w:lang w:val="sr-Latn-ME"/>
        </w:rPr>
        <w:t>neuropatija, periferna senzorna neuropatija i polineuropatija</w:t>
      </w:r>
    </w:p>
    <w:p w14:paraId="1D1D776C" w14:textId="77777777" w:rsidR="00C26DCA" w:rsidRPr="000D3D7F" w:rsidRDefault="00C26DCA" w:rsidP="001E1F5A">
      <w:pPr>
        <w:rPr>
          <w:noProof/>
          <w:szCs w:val="22"/>
          <w:lang w:val="sr-Latn-ME"/>
        </w:rPr>
      </w:pPr>
    </w:p>
    <w:p w14:paraId="491C4B2E" w14:textId="0E7B371D" w:rsidR="009E39C5" w:rsidRPr="000D3D7F" w:rsidRDefault="009E39C5" w:rsidP="001E1F5A">
      <w:pPr>
        <w:rPr>
          <w:noProof/>
          <w:szCs w:val="22"/>
          <w:u w:val="single"/>
          <w:lang w:val="sr-Latn-ME"/>
        </w:rPr>
      </w:pPr>
      <w:r w:rsidRPr="000D3D7F">
        <w:rPr>
          <w:noProof/>
          <w:szCs w:val="22"/>
          <w:u w:val="single"/>
          <w:lang w:val="sr-Latn-ME"/>
        </w:rPr>
        <w:t>Mantle ćelijski limfom</w:t>
      </w:r>
    </w:p>
    <w:p w14:paraId="5C12958E" w14:textId="6B2D4E4A" w:rsidR="009E39C5" w:rsidRPr="000D3D7F" w:rsidRDefault="009E39C5" w:rsidP="001E1F5A">
      <w:pPr>
        <w:rPr>
          <w:noProof/>
          <w:szCs w:val="22"/>
          <w:lang w:val="sr-Latn-ME"/>
        </w:rPr>
      </w:pPr>
      <w:r w:rsidRPr="000D3D7F">
        <w:rPr>
          <w:noProof/>
          <w:szCs w:val="22"/>
          <w:lang w:val="sr-Latn-ME"/>
        </w:rPr>
        <w:t xml:space="preserve">U kliničkom ispitivanju LYM-3002 u kojima je </w:t>
      </w:r>
      <w:r w:rsidR="00C26DCA" w:rsidRPr="000D3D7F">
        <w:rPr>
          <w:noProof/>
          <w:szCs w:val="22"/>
          <w:lang w:val="sr-Latn-ME"/>
        </w:rPr>
        <w:t>bortezomib</w:t>
      </w:r>
      <w:r w:rsidRPr="000D3D7F">
        <w:rPr>
          <w:noProof/>
          <w:szCs w:val="22"/>
          <w:lang w:val="sr-Latn-ME"/>
        </w:rPr>
        <w:t xml:space="preserve"> prim</w:t>
      </w:r>
      <w:r w:rsidR="0080395C" w:rsidRPr="000D3D7F">
        <w:rPr>
          <w:noProof/>
          <w:szCs w:val="22"/>
          <w:lang w:val="sr-Latn-ME"/>
        </w:rPr>
        <w:t>ij</w:t>
      </w:r>
      <w:r w:rsidRPr="000D3D7F">
        <w:rPr>
          <w:noProof/>
          <w:szCs w:val="22"/>
          <w:lang w:val="sr-Latn-ME"/>
        </w:rPr>
        <w:t>enjen sa rituksimabom, ciklofosfamidom,</w:t>
      </w:r>
      <w:r w:rsidR="004B33C6" w:rsidRPr="000D3D7F">
        <w:rPr>
          <w:noProof/>
          <w:szCs w:val="22"/>
          <w:lang w:val="sr-Latn-ME"/>
        </w:rPr>
        <w:t xml:space="preserve"> </w:t>
      </w:r>
      <w:r w:rsidRPr="000D3D7F">
        <w:rPr>
          <w:noProof/>
          <w:szCs w:val="22"/>
          <w:lang w:val="sr-Latn-ME"/>
        </w:rPr>
        <w:t>doksorubicinom i prednizonom (R-CAP), incidenca periferne neuropatije u kombinovanim režimima</w:t>
      </w:r>
      <w:r w:rsidR="004B33C6" w:rsidRPr="000D3D7F">
        <w:rPr>
          <w:noProof/>
          <w:szCs w:val="22"/>
          <w:lang w:val="sr-Latn-ME"/>
        </w:rPr>
        <w:t xml:space="preserve"> </w:t>
      </w:r>
      <w:r w:rsidRPr="000D3D7F">
        <w:rPr>
          <w:noProof/>
          <w:szCs w:val="22"/>
          <w:lang w:val="sr-Latn-ME"/>
        </w:rPr>
        <w:t>doziranja je predstavljena u tabeli ispod:</w:t>
      </w:r>
    </w:p>
    <w:p w14:paraId="7646B7C7" w14:textId="77777777" w:rsidR="00C26DCA" w:rsidRPr="000D3D7F" w:rsidRDefault="00C26DCA" w:rsidP="001E1F5A">
      <w:pPr>
        <w:rPr>
          <w:noProof/>
          <w:szCs w:val="22"/>
          <w:lang w:val="sr-Latn-ME"/>
        </w:rPr>
      </w:pPr>
    </w:p>
    <w:p w14:paraId="6551D68A" w14:textId="6488FC5F" w:rsidR="009E39C5" w:rsidRPr="000D3D7F" w:rsidRDefault="009E39C5" w:rsidP="001E1F5A">
      <w:pPr>
        <w:rPr>
          <w:i/>
          <w:iCs/>
          <w:noProof/>
          <w:szCs w:val="22"/>
          <w:lang w:val="sr-Latn-ME"/>
        </w:rPr>
      </w:pPr>
      <w:r w:rsidRPr="000D3D7F">
        <w:rPr>
          <w:i/>
          <w:iCs/>
          <w:noProof/>
          <w:szCs w:val="22"/>
          <w:lang w:val="sr-Latn-ME"/>
        </w:rPr>
        <w:t>Tabela 10: Incidenca periferne neuropatije u kliničkom ispitivanju LYM-3002 prema toksičnosti i prekidu</w:t>
      </w:r>
      <w:r w:rsidR="004B33C6" w:rsidRPr="000D3D7F">
        <w:rPr>
          <w:i/>
          <w:iCs/>
          <w:noProof/>
          <w:szCs w:val="22"/>
          <w:lang w:val="sr-Latn-ME"/>
        </w:rPr>
        <w:t xml:space="preserve"> </w:t>
      </w:r>
      <w:r w:rsidRPr="000D3D7F">
        <w:rPr>
          <w:i/>
          <w:iCs/>
          <w:noProof/>
          <w:szCs w:val="22"/>
          <w:lang w:val="sr-Latn-ME"/>
        </w:rPr>
        <w:t>terapije zbog periferne neuropatije</w:t>
      </w:r>
    </w:p>
    <w:tbl>
      <w:tblPr>
        <w:tblW w:w="0" w:type="auto"/>
        <w:tblInd w:w="116" w:type="dxa"/>
        <w:tblLayout w:type="fixed"/>
        <w:tblCellMar>
          <w:left w:w="0" w:type="dxa"/>
          <w:right w:w="0" w:type="dxa"/>
        </w:tblCellMar>
        <w:tblLook w:val="0000" w:firstRow="0" w:lastRow="0" w:firstColumn="0" w:lastColumn="0" w:noHBand="0" w:noVBand="0"/>
      </w:tblPr>
      <w:tblGrid>
        <w:gridCol w:w="3001"/>
        <w:gridCol w:w="2008"/>
        <w:gridCol w:w="2089"/>
      </w:tblGrid>
      <w:tr w:rsidR="009E39C5" w:rsidRPr="000D3D7F" w14:paraId="7383030B" w14:textId="77777777" w:rsidTr="00D247AB">
        <w:trPr>
          <w:trHeight w:val="244"/>
        </w:trPr>
        <w:tc>
          <w:tcPr>
            <w:tcW w:w="3001" w:type="dxa"/>
            <w:vMerge w:val="restart"/>
            <w:tcBorders>
              <w:top w:val="single" w:sz="4" w:space="0" w:color="000000"/>
              <w:left w:val="single" w:sz="4" w:space="0" w:color="auto"/>
              <w:bottom w:val="single" w:sz="4" w:space="0" w:color="000000"/>
              <w:right w:val="none" w:sz="6" w:space="0" w:color="auto"/>
            </w:tcBorders>
          </w:tcPr>
          <w:p w14:paraId="2C2F643A" w14:textId="77777777" w:rsidR="009E39C5" w:rsidRPr="000D3D7F" w:rsidRDefault="009E39C5" w:rsidP="001E1F5A">
            <w:pPr>
              <w:rPr>
                <w:noProof/>
                <w:lang w:val="sr-Latn-ME"/>
              </w:rPr>
            </w:pPr>
          </w:p>
        </w:tc>
        <w:tc>
          <w:tcPr>
            <w:tcW w:w="2008" w:type="dxa"/>
            <w:tcBorders>
              <w:top w:val="single" w:sz="4" w:space="0" w:color="000000"/>
              <w:left w:val="none" w:sz="6" w:space="0" w:color="auto"/>
              <w:bottom w:val="none" w:sz="6" w:space="0" w:color="auto"/>
              <w:right w:val="none" w:sz="6" w:space="0" w:color="auto"/>
            </w:tcBorders>
          </w:tcPr>
          <w:p w14:paraId="3124DAA4" w14:textId="7B2472C4" w:rsidR="009E39C5" w:rsidRPr="000D3D7F" w:rsidRDefault="008C1EBE" w:rsidP="001E1F5A">
            <w:pPr>
              <w:rPr>
                <w:noProof/>
                <w:lang w:val="sr-Latn-ME"/>
              </w:rPr>
            </w:pPr>
            <w:r w:rsidRPr="000D3D7F">
              <w:rPr>
                <w:noProof/>
                <w:szCs w:val="22"/>
                <w:u w:val="single"/>
                <w:lang w:val="sr-Latn-ME"/>
              </w:rPr>
              <w:t>Bz</w:t>
            </w:r>
            <w:r w:rsidR="009E39C5" w:rsidRPr="000D3D7F">
              <w:rPr>
                <w:noProof/>
                <w:szCs w:val="22"/>
                <w:u w:val="single"/>
                <w:lang w:val="sr-Latn-ME"/>
              </w:rPr>
              <w:t>-CAP</w:t>
            </w:r>
          </w:p>
        </w:tc>
        <w:tc>
          <w:tcPr>
            <w:tcW w:w="2089" w:type="dxa"/>
            <w:tcBorders>
              <w:top w:val="single" w:sz="4" w:space="0" w:color="000000"/>
              <w:left w:val="none" w:sz="6" w:space="0" w:color="auto"/>
              <w:bottom w:val="none" w:sz="6" w:space="0" w:color="auto"/>
              <w:right w:val="single" w:sz="4" w:space="0" w:color="auto"/>
            </w:tcBorders>
          </w:tcPr>
          <w:p w14:paraId="6DE489AF" w14:textId="77777777" w:rsidR="009E39C5" w:rsidRPr="000D3D7F" w:rsidRDefault="009E39C5" w:rsidP="001E1F5A">
            <w:pPr>
              <w:rPr>
                <w:noProof/>
                <w:lang w:val="sr-Latn-ME"/>
              </w:rPr>
            </w:pPr>
            <w:r w:rsidRPr="000D3D7F">
              <w:rPr>
                <w:noProof/>
                <w:szCs w:val="22"/>
                <w:u w:val="single"/>
                <w:lang w:val="sr-Latn-ME"/>
              </w:rPr>
              <w:t>R-CHOP</w:t>
            </w:r>
          </w:p>
        </w:tc>
      </w:tr>
      <w:tr w:rsidR="009E39C5" w:rsidRPr="000D3D7F" w14:paraId="6F3EBE15" w14:textId="77777777" w:rsidTr="00D247AB">
        <w:trPr>
          <w:trHeight w:val="503"/>
        </w:trPr>
        <w:tc>
          <w:tcPr>
            <w:tcW w:w="3001" w:type="dxa"/>
            <w:vMerge/>
            <w:tcBorders>
              <w:top w:val="nil"/>
              <w:left w:val="single" w:sz="4" w:space="0" w:color="auto"/>
              <w:bottom w:val="single" w:sz="4" w:space="0" w:color="000000"/>
              <w:right w:val="none" w:sz="6" w:space="0" w:color="auto"/>
            </w:tcBorders>
          </w:tcPr>
          <w:p w14:paraId="0418C299" w14:textId="77777777" w:rsidR="009E39C5" w:rsidRPr="000D3D7F" w:rsidRDefault="009E39C5" w:rsidP="001E1F5A">
            <w:pPr>
              <w:rPr>
                <w:noProof/>
                <w:lang w:val="sr-Latn-ME"/>
              </w:rPr>
            </w:pPr>
          </w:p>
        </w:tc>
        <w:tc>
          <w:tcPr>
            <w:tcW w:w="2008" w:type="dxa"/>
            <w:tcBorders>
              <w:top w:val="none" w:sz="6" w:space="0" w:color="auto"/>
              <w:left w:val="none" w:sz="6" w:space="0" w:color="auto"/>
              <w:bottom w:val="single" w:sz="4" w:space="0" w:color="000000"/>
              <w:right w:val="none" w:sz="6" w:space="0" w:color="auto"/>
            </w:tcBorders>
          </w:tcPr>
          <w:p w14:paraId="44EE15F6" w14:textId="77777777" w:rsidR="009E39C5" w:rsidRPr="000D3D7F" w:rsidRDefault="009E39C5" w:rsidP="001E1F5A">
            <w:pPr>
              <w:rPr>
                <w:noProof/>
                <w:lang w:val="sr-Latn-ME"/>
              </w:rPr>
            </w:pPr>
            <w:r w:rsidRPr="000D3D7F">
              <w:rPr>
                <w:noProof/>
                <w:szCs w:val="22"/>
                <w:lang w:val="sr-Latn-ME"/>
              </w:rPr>
              <w:t>N=240</w:t>
            </w:r>
          </w:p>
        </w:tc>
        <w:tc>
          <w:tcPr>
            <w:tcW w:w="2089" w:type="dxa"/>
            <w:tcBorders>
              <w:top w:val="none" w:sz="6" w:space="0" w:color="auto"/>
              <w:left w:val="none" w:sz="6" w:space="0" w:color="auto"/>
              <w:bottom w:val="single" w:sz="4" w:space="0" w:color="000000"/>
              <w:right w:val="single" w:sz="4" w:space="0" w:color="auto"/>
            </w:tcBorders>
          </w:tcPr>
          <w:p w14:paraId="7CCD68E9" w14:textId="77777777" w:rsidR="009E39C5" w:rsidRPr="000D3D7F" w:rsidRDefault="009E39C5" w:rsidP="001E1F5A">
            <w:pPr>
              <w:rPr>
                <w:noProof/>
                <w:lang w:val="sr-Latn-ME"/>
              </w:rPr>
            </w:pPr>
            <w:r w:rsidRPr="000D3D7F">
              <w:rPr>
                <w:noProof/>
                <w:szCs w:val="22"/>
                <w:lang w:val="sr-Latn-ME"/>
              </w:rPr>
              <w:t>N=242</w:t>
            </w:r>
          </w:p>
        </w:tc>
      </w:tr>
      <w:tr w:rsidR="009E39C5" w:rsidRPr="000D3D7F" w14:paraId="1FEA8C4E" w14:textId="77777777" w:rsidTr="00D247AB">
        <w:trPr>
          <w:trHeight w:val="249"/>
        </w:trPr>
        <w:tc>
          <w:tcPr>
            <w:tcW w:w="3001" w:type="dxa"/>
            <w:tcBorders>
              <w:top w:val="single" w:sz="4" w:space="0" w:color="000000"/>
              <w:left w:val="single" w:sz="4" w:space="0" w:color="auto"/>
              <w:bottom w:val="none" w:sz="6" w:space="0" w:color="auto"/>
              <w:right w:val="none" w:sz="6" w:space="0" w:color="auto"/>
            </w:tcBorders>
          </w:tcPr>
          <w:p w14:paraId="550F2D2E" w14:textId="77777777" w:rsidR="009E39C5" w:rsidRPr="000D3D7F" w:rsidRDefault="009E39C5" w:rsidP="001E1F5A">
            <w:pPr>
              <w:rPr>
                <w:noProof/>
                <w:lang w:val="sr-Latn-ME"/>
              </w:rPr>
            </w:pPr>
            <w:r w:rsidRPr="000D3D7F">
              <w:rPr>
                <w:noProof/>
                <w:szCs w:val="22"/>
                <w:lang w:val="sr-Latn-ME"/>
              </w:rPr>
              <w:t>Incidenca PN (%)</w:t>
            </w:r>
          </w:p>
        </w:tc>
        <w:tc>
          <w:tcPr>
            <w:tcW w:w="2008" w:type="dxa"/>
            <w:tcBorders>
              <w:top w:val="single" w:sz="4" w:space="0" w:color="000000"/>
              <w:left w:val="none" w:sz="6" w:space="0" w:color="auto"/>
              <w:bottom w:val="none" w:sz="6" w:space="0" w:color="auto"/>
              <w:right w:val="none" w:sz="6" w:space="0" w:color="auto"/>
            </w:tcBorders>
          </w:tcPr>
          <w:p w14:paraId="424519CC" w14:textId="77777777" w:rsidR="009E39C5" w:rsidRPr="000D3D7F" w:rsidRDefault="009E39C5" w:rsidP="001E1F5A">
            <w:pPr>
              <w:rPr>
                <w:noProof/>
                <w:lang w:val="sr-Latn-ME"/>
              </w:rPr>
            </w:pPr>
          </w:p>
        </w:tc>
        <w:tc>
          <w:tcPr>
            <w:tcW w:w="2089" w:type="dxa"/>
            <w:tcBorders>
              <w:top w:val="single" w:sz="4" w:space="0" w:color="000000"/>
              <w:left w:val="none" w:sz="6" w:space="0" w:color="auto"/>
              <w:bottom w:val="none" w:sz="6" w:space="0" w:color="auto"/>
              <w:right w:val="single" w:sz="4" w:space="0" w:color="auto"/>
            </w:tcBorders>
          </w:tcPr>
          <w:p w14:paraId="6FFB8A03" w14:textId="77777777" w:rsidR="009E39C5" w:rsidRPr="000D3D7F" w:rsidRDefault="009E39C5" w:rsidP="001E1F5A">
            <w:pPr>
              <w:rPr>
                <w:noProof/>
                <w:lang w:val="sr-Latn-ME"/>
              </w:rPr>
            </w:pPr>
          </w:p>
        </w:tc>
      </w:tr>
      <w:tr w:rsidR="009E39C5" w:rsidRPr="000D3D7F" w14:paraId="4FB0B9DA" w14:textId="77777777" w:rsidTr="00D247AB">
        <w:trPr>
          <w:trHeight w:val="248"/>
        </w:trPr>
        <w:tc>
          <w:tcPr>
            <w:tcW w:w="3001" w:type="dxa"/>
            <w:tcBorders>
              <w:top w:val="none" w:sz="6" w:space="0" w:color="auto"/>
              <w:left w:val="single" w:sz="4" w:space="0" w:color="auto"/>
              <w:bottom w:val="none" w:sz="6" w:space="0" w:color="auto"/>
              <w:right w:val="none" w:sz="6" w:space="0" w:color="auto"/>
            </w:tcBorders>
          </w:tcPr>
          <w:p w14:paraId="04153F84" w14:textId="77777777" w:rsidR="009E39C5" w:rsidRPr="000D3D7F" w:rsidRDefault="009E39C5" w:rsidP="001E1F5A">
            <w:pPr>
              <w:rPr>
                <w:noProof/>
                <w:lang w:val="sr-Latn-ME"/>
              </w:rPr>
            </w:pPr>
            <w:r w:rsidRPr="000D3D7F">
              <w:rPr>
                <w:noProof/>
                <w:szCs w:val="22"/>
                <w:lang w:val="sr-Latn-ME"/>
              </w:rPr>
              <w:t>Svi stepeni PN</w:t>
            </w:r>
          </w:p>
        </w:tc>
        <w:tc>
          <w:tcPr>
            <w:tcW w:w="2008" w:type="dxa"/>
            <w:tcBorders>
              <w:top w:val="none" w:sz="6" w:space="0" w:color="auto"/>
              <w:left w:val="none" w:sz="6" w:space="0" w:color="auto"/>
              <w:bottom w:val="none" w:sz="6" w:space="0" w:color="auto"/>
              <w:right w:val="none" w:sz="6" w:space="0" w:color="auto"/>
            </w:tcBorders>
          </w:tcPr>
          <w:p w14:paraId="3E3260C1" w14:textId="77777777" w:rsidR="009E39C5" w:rsidRPr="000D3D7F" w:rsidRDefault="009E39C5" w:rsidP="001E1F5A">
            <w:pPr>
              <w:rPr>
                <w:noProof/>
                <w:lang w:val="sr-Latn-ME"/>
              </w:rPr>
            </w:pPr>
            <w:r w:rsidRPr="000D3D7F">
              <w:rPr>
                <w:noProof/>
                <w:szCs w:val="22"/>
                <w:lang w:val="sr-Latn-ME"/>
              </w:rPr>
              <w:t>30</w:t>
            </w:r>
          </w:p>
        </w:tc>
        <w:tc>
          <w:tcPr>
            <w:tcW w:w="2089" w:type="dxa"/>
            <w:tcBorders>
              <w:top w:val="none" w:sz="6" w:space="0" w:color="auto"/>
              <w:left w:val="none" w:sz="6" w:space="0" w:color="auto"/>
              <w:bottom w:val="none" w:sz="6" w:space="0" w:color="auto"/>
              <w:right w:val="single" w:sz="4" w:space="0" w:color="auto"/>
            </w:tcBorders>
          </w:tcPr>
          <w:p w14:paraId="2DB68FA0" w14:textId="77777777" w:rsidR="009E39C5" w:rsidRPr="000D3D7F" w:rsidRDefault="009E39C5" w:rsidP="001E1F5A">
            <w:pPr>
              <w:rPr>
                <w:noProof/>
                <w:lang w:val="sr-Latn-ME"/>
              </w:rPr>
            </w:pPr>
            <w:r w:rsidRPr="000D3D7F">
              <w:rPr>
                <w:noProof/>
                <w:szCs w:val="22"/>
                <w:lang w:val="sr-Latn-ME"/>
              </w:rPr>
              <w:t>29</w:t>
            </w:r>
          </w:p>
        </w:tc>
      </w:tr>
      <w:tr w:rsidR="009E39C5" w:rsidRPr="000D3D7F" w14:paraId="4A20E5C7" w14:textId="77777777" w:rsidTr="00D247AB">
        <w:trPr>
          <w:trHeight w:val="271"/>
        </w:trPr>
        <w:tc>
          <w:tcPr>
            <w:tcW w:w="3001" w:type="dxa"/>
            <w:tcBorders>
              <w:top w:val="none" w:sz="6" w:space="0" w:color="auto"/>
              <w:left w:val="single" w:sz="4" w:space="0" w:color="auto"/>
              <w:bottom w:val="none" w:sz="6" w:space="0" w:color="auto"/>
              <w:right w:val="none" w:sz="6" w:space="0" w:color="auto"/>
            </w:tcBorders>
          </w:tcPr>
          <w:p w14:paraId="49D6BA09" w14:textId="7ACBD9ED" w:rsidR="009E39C5" w:rsidRPr="000D3D7F" w:rsidRDefault="00C26DCA" w:rsidP="001E1F5A">
            <w:pPr>
              <w:rPr>
                <w:noProof/>
                <w:lang w:val="sr-Latn-ME"/>
              </w:rPr>
            </w:pPr>
            <w:r w:rsidRPr="000D3D7F">
              <w:rPr>
                <w:noProof/>
                <w:szCs w:val="22"/>
                <w:lang w:val="sr-Latn-ME"/>
              </w:rPr>
              <w:lastRenderedPageBreak/>
              <w:t>≥</w:t>
            </w:r>
            <w:r w:rsidR="009E39C5" w:rsidRPr="000D3D7F">
              <w:rPr>
                <w:noProof/>
                <w:szCs w:val="22"/>
                <w:lang w:val="sr-Latn-ME"/>
              </w:rPr>
              <w:t xml:space="preserve"> Stepen 2 PN</w:t>
            </w:r>
          </w:p>
        </w:tc>
        <w:tc>
          <w:tcPr>
            <w:tcW w:w="2008" w:type="dxa"/>
            <w:tcBorders>
              <w:top w:val="none" w:sz="6" w:space="0" w:color="auto"/>
              <w:left w:val="none" w:sz="6" w:space="0" w:color="auto"/>
              <w:bottom w:val="none" w:sz="6" w:space="0" w:color="auto"/>
              <w:right w:val="none" w:sz="6" w:space="0" w:color="auto"/>
            </w:tcBorders>
          </w:tcPr>
          <w:p w14:paraId="4DABBCF1" w14:textId="77777777" w:rsidR="009E39C5" w:rsidRPr="000D3D7F" w:rsidRDefault="009E39C5" w:rsidP="001E1F5A">
            <w:pPr>
              <w:rPr>
                <w:noProof/>
                <w:lang w:val="sr-Latn-ME"/>
              </w:rPr>
            </w:pPr>
            <w:r w:rsidRPr="000D3D7F">
              <w:rPr>
                <w:noProof/>
                <w:szCs w:val="22"/>
                <w:lang w:val="sr-Latn-ME"/>
              </w:rPr>
              <w:t>18</w:t>
            </w:r>
          </w:p>
        </w:tc>
        <w:tc>
          <w:tcPr>
            <w:tcW w:w="2089" w:type="dxa"/>
            <w:tcBorders>
              <w:top w:val="none" w:sz="6" w:space="0" w:color="auto"/>
              <w:left w:val="none" w:sz="6" w:space="0" w:color="auto"/>
              <w:bottom w:val="none" w:sz="6" w:space="0" w:color="auto"/>
              <w:right w:val="single" w:sz="4" w:space="0" w:color="auto"/>
            </w:tcBorders>
          </w:tcPr>
          <w:p w14:paraId="507C42F1" w14:textId="77777777" w:rsidR="009E39C5" w:rsidRPr="000D3D7F" w:rsidRDefault="009E39C5" w:rsidP="001E1F5A">
            <w:pPr>
              <w:rPr>
                <w:noProof/>
                <w:lang w:val="sr-Latn-ME"/>
              </w:rPr>
            </w:pPr>
            <w:r w:rsidRPr="000D3D7F">
              <w:rPr>
                <w:noProof/>
                <w:szCs w:val="22"/>
                <w:lang w:val="sr-Latn-ME"/>
              </w:rPr>
              <w:t>9</w:t>
            </w:r>
          </w:p>
        </w:tc>
      </w:tr>
      <w:tr w:rsidR="009E39C5" w:rsidRPr="000D3D7F" w14:paraId="217BF6E3" w14:textId="77777777" w:rsidTr="00D247AB">
        <w:trPr>
          <w:trHeight w:val="276"/>
        </w:trPr>
        <w:tc>
          <w:tcPr>
            <w:tcW w:w="3001" w:type="dxa"/>
            <w:tcBorders>
              <w:top w:val="none" w:sz="6" w:space="0" w:color="auto"/>
              <w:left w:val="single" w:sz="4" w:space="0" w:color="auto"/>
              <w:bottom w:val="single" w:sz="4" w:space="0" w:color="000000"/>
              <w:right w:val="none" w:sz="6" w:space="0" w:color="auto"/>
            </w:tcBorders>
          </w:tcPr>
          <w:p w14:paraId="6B1BCF0B" w14:textId="7D598A53" w:rsidR="009E39C5" w:rsidRPr="000D3D7F" w:rsidRDefault="00C26DCA" w:rsidP="001E1F5A">
            <w:pPr>
              <w:rPr>
                <w:noProof/>
                <w:lang w:val="sr-Latn-ME"/>
              </w:rPr>
            </w:pPr>
            <w:r w:rsidRPr="000D3D7F">
              <w:rPr>
                <w:noProof/>
                <w:szCs w:val="22"/>
                <w:lang w:val="sr-Latn-ME"/>
              </w:rPr>
              <w:t>≥</w:t>
            </w:r>
            <w:r w:rsidR="009E39C5" w:rsidRPr="000D3D7F">
              <w:rPr>
                <w:noProof/>
                <w:szCs w:val="22"/>
                <w:lang w:val="sr-Latn-ME"/>
              </w:rPr>
              <w:t xml:space="preserve"> Stepen 3 PN</w:t>
            </w:r>
          </w:p>
        </w:tc>
        <w:tc>
          <w:tcPr>
            <w:tcW w:w="2008" w:type="dxa"/>
            <w:tcBorders>
              <w:top w:val="none" w:sz="6" w:space="0" w:color="auto"/>
              <w:left w:val="none" w:sz="6" w:space="0" w:color="auto"/>
              <w:bottom w:val="single" w:sz="4" w:space="0" w:color="000000"/>
              <w:right w:val="none" w:sz="6" w:space="0" w:color="auto"/>
            </w:tcBorders>
          </w:tcPr>
          <w:p w14:paraId="24E2CB57" w14:textId="77777777" w:rsidR="009E39C5" w:rsidRPr="000D3D7F" w:rsidRDefault="009E39C5" w:rsidP="001E1F5A">
            <w:pPr>
              <w:rPr>
                <w:noProof/>
                <w:lang w:val="sr-Latn-ME"/>
              </w:rPr>
            </w:pPr>
            <w:r w:rsidRPr="000D3D7F">
              <w:rPr>
                <w:noProof/>
                <w:szCs w:val="22"/>
                <w:lang w:val="sr-Latn-ME"/>
              </w:rPr>
              <w:t>8</w:t>
            </w:r>
          </w:p>
        </w:tc>
        <w:tc>
          <w:tcPr>
            <w:tcW w:w="2089" w:type="dxa"/>
            <w:tcBorders>
              <w:top w:val="none" w:sz="6" w:space="0" w:color="auto"/>
              <w:left w:val="none" w:sz="6" w:space="0" w:color="auto"/>
              <w:bottom w:val="single" w:sz="4" w:space="0" w:color="000000"/>
              <w:right w:val="single" w:sz="4" w:space="0" w:color="auto"/>
            </w:tcBorders>
          </w:tcPr>
          <w:p w14:paraId="2B9F8347" w14:textId="77777777" w:rsidR="009E39C5" w:rsidRPr="000D3D7F" w:rsidRDefault="009E39C5" w:rsidP="001E1F5A">
            <w:pPr>
              <w:rPr>
                <w:noProof/>
                <w:lang w:val="sr-Latn-ME"/>
              </w:rPr>
            </w:pPr>
            <w:r w:rsidRPr="000D3D7F">
              <w:rPr>
                <w:noProof/>
                <w:szCs w:val="22"/>
                <w:lang w:val="sr-Latn-ME"/>
              </w:rPr>
              <w:t>4</w:t>
            </w:r>
          </w:p>
        </w:tc>
      </w:tr>
      <w:tr w:rsidR="009E39C5" w:rsidRPr="000D3D7F" w14:paraId="30C05777" w14:textId="77777777" w:rsidTr="00D247AB">
        <w:trPr>
          <w:trHeight w:val="253"/>
        </w:trPr>
        <w:tc>
          <w:tcPr>
            <w:tcW w:w="3001" w:type="dxa"/>
            <w:tcBorders>
              <w:top w:val="single" w:sz="4" w:space="0" w:color="000000"/>
              <w:left w:val="single" w:sz="4" w:space="0" w:color="auto"/>
              <w:bottom w:val="single" w:sz="4" w:space="0" w:color="000000"/>
              <w:right w:val="none" w:sz="6" w:space="0" w:color="auto"/>
            </w:tcBorders>
          </w:tcPr>
          <w:p w14:paraId="2BBB2FDE" w14:textId="77777777" w:rsidR="009E39C5" w:rsidRPr="000D3D7F" w:rsidRDefault="009E39C5" w:rsidP="001E1F5A">
            <w:pPr>
              <w:rPr>
                <w:noProof/>
                <w:lang w:val="sr-Latn-ME"/>
              </w:rPr>
            </w:pPr>
            <w:r w:rsidRPr="000D3D7F">
              <w:rPr>
                <w:noProof/>
                <w:szCs w:val="22"/>
                <w:lang w:val="sr-Latn-ME"/>
              </w:rPr>
              <w:t>Prestanak terapije zbog PN (%)</w:t>
            </w:r>
          </w:p>
        </w:tc>
        <w:tc>
          <w:tcPr>
            <w:tcW w:w="2008" w:type="dxa"/>
            <w:tcBorders>
              <w:top w:val="single" w:sz="4" w:space="0" w:color="000000"/>
              <w:left w:val="none" w:sz="6" w:space="0" w:color="auto"/>
              <w:bottom w:val="single" w:sz="4" w:space="0" w:color="000000"/>
              <w:right w:val="none" w:sz="6" w:space="0" w:color="auto"/>
            </w:tcBorders>
          </w:tcPr>
          <w:p w14:paraId="4728237A" w14:textId="77777777" w:rsidR="009E39C5" w:rsidRPr="000D3D7F" w:rsidRDefault="009E39C5" w:rsidP="001E1F5A">
            <w:pPr>
              <w:rPr>
                <w:noProof/>
                <w:lang w:val="sr-Latn-ME"/>
              </w:rPr>
            </w:pPr>
            <w:r w:rsidRPr="000D3D7F">
              <w:rPr>
                <w:noProof/>
                <w:szCs w:val="22"/>
                <w:lang w:val="sr-Latn-ME"/>
              </w:rPr>
              <w:t>2</w:t>
            </w:r>
          </w:p>
        </w:tc>
        <w:tc>
          <w:tcPr>
            <w:tcW w:w="2089" w:type="dxa"/>
            <w:tcBorders>
              <w:top w:val="single" w:sz="4" w:space="0" w:color="000000"/>
              <w:left w:val="none" w:sz="6" w:space="0" w:color="auto"/>
              <w:bottom w:val="single" w:sz="4" w:space="0" w:color="000000"/>
              <w:right w:val="single" w:sz="4" w:space="0" w:color="auto"/>
            </w:tcBorders>
          </w:tcPr>
          <w:p w14:paraId="69E5D244" w14:textId="77777777" w:rsidR="009E39C5" w:rsidRPr="000D3D7F" w:rsidRDefault="009E39C5" w:rsidP="001E1F5A">
            <w:pPr>
              <w:rPr>
                <w:noProof/>
                <w:lang w:val="sr-Latn-ME"/>
              </w:rPr>
            </w:pPr>
            <w:r w:rsidRPr="000D3D7F">
              <w:rPr>
                <w:noProof/>
                <w:szCs w:val="22"/>
                <w:lang w:val="sr-Latn-ME"/>
              </w:rPr>
              <w:t>&lt;1</w:t>
            </w:r>
          </w:p>
        </w:tc>
      </w:tr>
    </w:tbl>
    <w:p w14:paraId="16C3798D" w14:textId="69540D3F" w:rsidR="009E39C5" w:rsidRPr="000D3D7F" w:rsidRDefault="008C1EBE" w:rsidP="001E1F5A">
      <w:pPr>
        <w:rPr>
          <w:noProof/>
          <w:szCs w:val="22"/>
          <w:lang w:val="sr-Latn-ME"/>
        </w:rPr>
      </w:pPr>
      <w:r w:rsidRPr="000D3D7F">
        <w:rPr>
          <w:noProof/>
          <w:szCs w:val="22"/>
          <w:lang w:val="sr-Latn-ME"/>
        </w:rPr>
        <w:t>Bz</w:t>
      </w:r>
      <w:r w:rsidR="009E39C5" w:rsidRPr="000D3D7F">
        <w:rPr>
          <w:noProof/>
          <w:szCs w:val="22"/>
          <w:lang w:val="sr-Latn-ME"/>
        </w:rPr>
        <w:t>R-CAP=</w:t>
      </w:r>
      <w:r w:rsidR="009F241A" w:rsidRPr="000D3D7F">
        <w:rPr>
          <w:noProof/>
          <w:szCs w:val="22"/>
          <w:lang w:val="sr-Latn-ME"/>
        </w:rPr>
        <w:t>bortezomib</w:t>
      </w:r>
      <w:r w:rsidR="009E39C5" w:rsidRPr="000D3D7F">
        <w:rPr>
          <w:noProof/>
          <w:szCs w:val="22"/>
          <w:lang w:val="sr-Latn-ME"/>
        </w:rPr>
        <w:t>, rituksimab, ciklofosfamid, doksorubicin, prednizon; R-CHOP=rituksimab,</w:t>
      </w:r>
      <w:r w:rsidR="004B33C6" w:rsidRPr="000D3D7F">
        <w:rPr>
          <w:noProof/>
          <w:szCs w:val="22"/>
          <w:lang w:val="sr-Latn-ME"/>
        </w:rPr>
        <w:t xml:space="preserve"> </w:t>
      </w:r>
      <w:r w:rsidR="009E39C5" w:rsidRPr="000D3D7F">
        <w:rPr>
          <w:noProof/>
          <w:szCs w:val="22"/>
          <w:lang w:val="sr-Latn-ME"/>
        </w:rPr>
        <w:t>ciklofosfamid, doksorubicin, vinkristin i prednizon; PN=periferna neuropatija</w:t>
      </w:r>
    </w:p>
    <w:p w14:paraId="63FED42D" w14:textId="44214A3E" w:rsidR="009E39C5" w:rsidRPr="000D3D7F" w:rsidRDefault="009E39C5" w:rsidP="001E1F5A">
      <w:pPr>
        <w:rPr>
          <w:noProof/>
          <w:szCs w:val="22"/>
          <w:lang w:val="sr-Latn-ME"/>
        </w:rPr>
      </w:pPr>
      <w:r w:rsidRPr="000D3D7F">
        <w:rPr>
          <w:noProof/>
          <w:szCs w:val="22"/>
          <w:lang w:val="sr-Latn-ME"/>
        </w:rPr>
        <w:t>Periferna nuropatija uključuje sl</w:t>
      </w:r>
      <w:r w:rsidR="0080395C" w:rsidRPr="000D3D7F">
        <w:rPr>
          <w:noProof/>
          <w:szCs w:val="22"/>
          <w:lang w:val="sr-Latn-ME"/>
        </w:rPr>
        <w:t>j</w:t>
      </w:r>
      <w:r w:rsidRPr="000D3D7F">
        <w:rPr>
          <w:noProof/>
          <w:szCs w:val="22"/>
          <w:lang w:val="sr-Latn-ME"/>
        </w:rPr>
        <w:t>edeće termine: periferna senzorna neuropatija, periferna neuropatija,</w:t>
      </w:r>
      <w:r w:rsidR="004B33C6" w:rsidRPr="000D3D7F">
        <w:rPr>
          <w:noProof/>
          <w:szCs w:val="22"/>
          <w:lang w:val="sr-Latn-ME"/>
        </w:rPr>
        <w:t xml:space="preserve"> </w:t>
      </w:r>
      <w:r w:rsidRPr="000D3D7F">
        <w:rPr>
          <w:noProof/>
          <w:szCs w:val="22"/>
          <w:lang w:val="sr-Latn-ME"/>
        </w:rPr>
        <w:t>periferna motorna neuropatija, i periferna senzomotorna meuropatija</w:t>
      </w:r>
    </w:p>
    <w:p w14:paraId="4665EAF9" w14:textId="4EF4233B" w:rsidR="009E39C5" w:rsidRPr="000D3D7F" w:rsidRDefault="009E39C5" w:rsidP="001E1F5A">
      <w:pPr>
        <w:rPr>
          <w:noProof/>
          <w:szCs w:val="22"/>
          <w:lang w:val="sr-Latn-ME"/>
        </w:rPr>
      </w:pPr>
    </w:p>
    <w:p w14:paraId="717CCEA8" w14:textId="77777777" w:rsidR="009E39C5" w:rsidRPr="000D3D7F" w:rsidRDefault="009E39C5" w:rsidP="001E1F5A">
      <w:pPr>
        <w:rPr>
          <w:i/>
          <w:iCs/>
          <w:noProof/>
          <w:szCs w:val="22"/>
          <w:lang w:val="sr-Latn-ME"/>
        </w:rPr>
      </w:pPr>
      <w:r w:rsidRPr="000D3D7F">
        <w:rPr>
          <w:i/>
          <w:iCs/>
          <w:noProof/>
          <w:szCs w:val="22"/>
          <w:lang w:val="sr-Latn-ME"/>
        </w:rPr>
        <w:t>Stariji pacijenti sa MCL</w:t>
      </w:r>
    </w:p>
    <w:p w14:paraId="44B4BA4E" w14:textId="6139002A" w:rsidR="009E39C5" w:rsidRPr="000D3D7F" w:rsidRDefault="009E39C5" w:rsidP="001E1F5A">
      <w:pPr>
        <w:rPr>
          <w:noProof/>
          <w:szCs w:val="22"/>
          <w:lang w:val="sr-Latn-ME"/>
        </w:rPr>
      </w:pPr>
      <w:r w:rsidRPr="000D3D7F">
        <w:rPr>
          <w:noProof/>
          <w:szCs w:val="22"/>
          <w:lang w:val="sr-Latn-ME"/>
        </w:rPr>
        <w:t xml:space="preserve">U grupi pacijenata koji su primali </w:t>
      </w:r>
      <w:r w:rsidR="009F241A" w:rsidRPr="000D3D7F">
        <w:rPr>
          <w:noProof/>
          <w:szCs w:val="22"/>
          <w:lang w:val="sr-Latn-ME"/>
        </w:rPr>
        <w:t>Bz</w:t>
      </w:r>
      <w:r w:rsidRPr="000D3D7F">
        <w:rPr>
          <w:noProof/>
          <w:szCs w:val="22"/>
          <w:lang w:val="sr-Latn-ME"/>
        </w:rPr>
        <w:t>R-CAP, 49% i 10,4% je bilo starosti 65-74 godina i starosti ≥ 75</w:t>
      </w:r>
      <w:r w:rsidR="004B33C6" w:rsidRPr="000D3D7F">
        <w:rPr>
          <w:noProof/>
          <w:szCs w:val="22"/>
          <w:lang w:val="sr-Latn-ME"/>
        </w:rPr>
        <w:t xml:space="preserve"> </w:t>
      </w:r>
      <w:r w:rsidRPr="000D3D7F">
        <w:rPr>
          <w:noProof/>
          <w:szCs w:val="22"/>
          <w:lang w:val="sr-Latn-ME"/>
        </w:rPr>
        <w:t>godina. Iako su pacijenti starosti ≥ 75 godina iz ob</w:t>
      </w:r>
      <w:r w:rsidR="0080395C" w:rsidRPr="000D3D7F">
        <w:rPr>
          <w:noProof/>
          <w:szCs w:val="22"/>
          <w:lang w:val="sr-Latn-ME"/>
        </w:rPr>
        <w:t>j</w:t>
      </w:r>
      <w:r w:rsidRPr="000D3D7F">
        <w:rPr>
          <w:noProof/>
          <w:szCs w:val="22"/>
          <w:lang w:val="sr-Latn-ME"/>
        </w:rPr>
        <w:t>e grupe (</w:t>
      </w:r>
      <w:r w:rsidR="009F241A" w:rsidRPr="000D3D7F">
        <w:rPr>
          <w:noProof/>
          <w:szCs w:val="22"/>
          <w:lang w:val="sr-Latn-ME"/>
        </w:rPr>
        <w:t>Bz</w:t>
      </w:r>
      <w:r w:rsidRPr="000D3D7F">
        <w:rPr>
          <w:noProof/>
          <w:szCs w:val="22"/>
          <w:lang w:val="sr-Latn-ME"/>
        </w:rPr>
        <w:t>R-CAP i R-CHOP) lošije podnosili terapiju,</w:t>
      </w:r>
      <w:r w:rsidR="004B33C6" w:rsidRPr="000D3D7F">
        <w:rPr>
          <w:noProof/>
          <w:szCs w:val="22"/>
          <w:lang w:val="sr-Latn-ME"/>
        </w:rPr>
        <w:t xml:space="preserve"> </w:t>
      </w:r>
      <w:r w:rsidRPr="000D3D7F">
        <w:rPr>
          <w:noProof/>
          <w:szCs w:val="22"/>
          <w:lang w:val="sr-Latn-ME"/>
        </w:rPr>
        <w:t xml:space="preserve">ozbiljni neželjeni događaji su bili 68% u grupi sa </w:t>
      </w:r>
      <w:r w:rsidR="009F241A" w:rsidRPr="000D3D7F">
        <w:rPr>
          <w:noProof/>
          <w:szCs w:val="22"/>
          <w:lang w:val="sr-Latn-ME"/>
        </w:rPr>
        <w:t>Bz</w:t>
      </w:r>
      <w:r w:rsidRPr="000D3D7F">
        <w:rPr>
          <w:noProof/>
          <w:szCs w:val="22"/>
          <w:lang w:val="sr-Latn-ME"/>
        </w:rPr>
        <w:t>R-CAP u odnosu na 42% u R-CHOP grupi.</w:t>
      </w:r>
    </w:p>
    <w:p w14:paraId="781BDF25" w14:textId="77777777" w:rsidR="00C26DCA" w:rsidRPr="000D3D7F" w:rsidRDefault="00C26DCA" w:rsidP="001E1F5A">
      <w:pPr>
        <w:rPr>
          <w:noProof/>
          <w:szCs w:val="22"/>
          <w:lang w:val="sr-Latn-ME"/>
        </w:rPr>
      </w:pPr>
    </w:p>
    <w:p w14:paraId="3B8109BB" w14:textId="493A7BAE" w:rsidR="009E39C5" w:rsidRPr="000D3D7F" w:rsidRDefault="009E39C5" w:rsidP="001E1F5A">
      <w:pPr>
        <w:rPr>
          <w:i/>
          <w:iCs/>
          <w:noProof/>
          <w:szCs w:val="22"/>
          <w:lang w:val="sr-Latn-ME"/>
        </w:rPr>
      </w:pPr>
      <w:r w:rsidRPr="000D3D7F">
        <w:rPr>
          <w:i/>
          <w:iCs/>
          <w:noProof/>
          <w:szCs w:val="22"/>
          <w:lang w:val="sr-Latn-ME"/>
        </w:rPr>
        <w:t>Značajne razlike u bezb</w:t>
      </w:r>
      <w:r w:rsidR="0080395C" w:rsidRPr="000D3D7F">
        <w:rPr>
          <w:i/>
          <w:iCs/>
          <w:noProof/>
          <w:szCs w:val="22"/>
          <w:lang w:val="sr-Latn-ME"/>
        </w:rPr>
        <w:t>j</w:t>
      </w:r>
      <w:r w:rsidRPr="000D3D7F">
        <w:rPr>
          <w:i/>
          <w:iCs/>
          <w:noProof/>
          <w:szCs w:val="22"/>
          <w:lang w:val="sr-Latn-ME"/>
        </w:rPr>
        <w:t xml:space="preserve">ednosnom profilu </w:t>
      </w:r>
      <w:r w:rsidR="00C26DCA" w:rsidRPr="000D3D7F">
        <w:rPr>
          <w:i/>
          <w:iCs/>
          <w:noProof/>
          <w:szCs w:val="22"/>
          <w:lang w:val="sr-Latn-ME"/>
        </w:rPr>
        <w:t>bortezomib</w:t>
      </w:r>
      <w:r w:rsidR="00943CA2" w:rsidRPr="000D3D7F">
        <w:rPr>
          <w:i/>
          <w:iCs/>
          <w:noProof/>
          <w:szCs w:val="22"/>
          <w:lang w:val="sr-Latn-ME"/>
        </w:rPr>
        <w:t>a</w:t>
      </w:r>
      <w:r w:rsidRPr="000D3D7F">
        <w:rPr>
          <w:i/>
          <w:iCs/>
          <w:noProof/>
          <w:szCs w:val="22"/>
          <w:lang w:val="sr-Latn-ME"/>
        </w:rPr>
        <w:t xml:space="preserve"> kao monoterapije, prim</w:t>
      </w:r>
      <w:r w:rsidR="0080395C" w:rsidRPr="000D3D7F">
        <w:rPr>
          <w:i/>
          <w:iCs/>
          <w:noProof/>
          <w:szCs w:val="22"/>
          <w:lang w:val="sr-Latn-ME"/>
        </w:rPr>
        <w:t>ij</w:t>
      </w:r>
      <w:r w:rsidRPr="000D3D7F">
        <w:rPr>
          <w:i/>
          <w:iCs/>
          <w:noProof/>
          <w:szCs w:val="22"/>
          <w:lang w:val="sr-Latn-ME"/>
        </w:rPr>
        <w:t>enjenog su</w:t>
      </w:r>
      <w:r w:rsidR="007F7413" w:rsidRPr="000D3D7F">
        <w:rPr>
          <w:i/>
          <w:iCs/>
          <w:noProof/>
          <w:szCs w:val="22"/>
          <w:lang w:val="sr-Latn-ME"/>
        </w:rPr>
        <w:t>b</w:t>
      </w:r>
      <w:r w:rsidRPr="000D3D7F">
        <w:rPr>
          <w:i/>
          <w:iCs/>
          <w:noProof/>
          <w:szCs w:val="22"/>
          <w:lang w:val="sr-Latn-ME"/>
        </w:rPr>
        <w:t>kutano u odnosu</w:t>
      </w:r>
      <w:r w:rsidR="004B33C6" w:rsidRPr="000D3D7F">
        <w:rPr>
          <w:i/>
          <w:iCs/>
          <w:noProof/>
          <w:szCs w:val="22"/>
          <w:lang w:val="sr-Latn-ME"/>
        </w:rPr>
        <w:t xml:space="preserve"> </w:t>
      </w:r>
      <w:r w:rsidRPr="000D3D7F">
        <w:rPr>
          <w:i/>
          <w:iCs/>
          <w:noProof/>
          <w:szCs w:val="22"/>
          <w:lang w:val="sr-Latn-ME"/>
        </w:rPr>
        <w:t>na intravensku prim</w:t>
      </w:r>
      <w:r w:rsidR="0080395C" w:rsidRPr="000D3D7F">
        <w:rPr>
          <w:i/>
          <w:iCs/>
          <w:noProof/>
          <w:szCs w:val="22"/>
          <w:lang w:val="sr-Latn-ME"/>
        </w:rPr>
        <w:t>j</w:t>
      </w:r>
      <w:r w:rsidRPr="000D3D7F">
        <w:rPr>
          <w:i/>
          <w:iCs/>
          <w:noProof/>
          <w:szCs w:val="22"/>
          <w:lang w:val="sr-Latn-ME"/>
        </w:rPr>
        <w:t>enu:</w:t>
      </w:r>
    </w:p>
    <w:p w14:paraId="34643D53" w14:textId="2DBBEBAF" w:rsidR="009E39C5" w:rsidRPr="000D3D7F" w:rsidRDefault="009E39C5" w:rsidP="001E1F5A">
      <w:pPr>
        <w:rPr>
          <w:noProof/>
          <w:szCs w:val="22"/>
          <w:lang w:val="sr-Latn-ME"/>
        </w:rPr>
      </w:pPr>
      <w:r w:rsidRPr="000D3D7F">
        <w:rPr>
          <w:noProof/>
          <w:szCs w:val="22"/>
          <w:lang w:val="sr-Latn-ME"/>
        </w:rPr>
        <w:t xml:space="preserve">U Fazi III ispitivanja pacijenata koji su primali </w:t>
      </w:r>
      <w:r w:rsidR="00C26DCA" w:rsidRPr="000D3D7F">
        <w:rPr>
          <w:noProof/>
          <w:szCs w:val="22"/>
          <w:lang w:val="sr-Latn-ME"/>
        </w:rPr>
        <w:t>bortezomib</w:t>
      </w:r>
      <w:r w:rsidRPr="000D3D7F">
        <w:rPr>
          <w:noProof/>
          <w:szCs w:val="22"/>
          <w:lang w:val="sr-Latn-ME"/>
        </w:rPr>
        <w:t xml:space="preserve"> su</w:t>
      </w:r>
      <w:r w:rsidR="007F7413" w:rsidRPr="000D3D7F">
        <w:rPr>
          <w:noProof/>
          <w:szCs w:val="22"/>
          <w:lang w:val="sr-Latn-ME"/>
        </w:rPr>
        <w:t>b</w:t>
      </w:r>
      <w:r w:rsidRPr="000D3D7F">
        <w:rPr>
          <w:noProof/>
          <w:szCs w:val="22"/>
          <w:lang w:val="sr-Latn-ME"/>
        </w:rPr>
        <w:t>kutano u odnosu na intravensku prim</w:t>
      </w:r>
      <w:r w:rsidR="0080395C" w:rsidRPr="000D3D7F">
        <w:rPr>
          <w:noProof/>
          <w:szCs w:val="22"/>
          <w:lang w:val="sr-Latn-ME"/>
        </w:rPr>
        <w:t>j</w:t>
      </w:r>
      <w:r w:rsidRPr="000D3D7F">
        <w:rPr>
          <w:noProof/>
          <w:szCs w:val="22"/>
          <w:lang w:val="sr-Latn-ME"/>
        </w:rPr>
        <w:t>enu,</w:t>
      </w:r>
      <w:r w:rsidR="004B33C6" w:rsidRPr="000D3D7F">
        <w:rPr>
          <w:noProof/>
          <w:szCs w:val="22"/>
          <w:lang w:val="sr-Latn-ME"/>
        </w:rPr>
        <w:t xml:space="preserve"> </w:t>
      </w:r>
      <w:r w:rsidRPr="000D3D7F">
        <w:rPr>
          <w:noProof/>
          <w:szCs w:val="22"/>
          <w:lang w:val="sr-Latn-ME"/>
        </w:rPr>
        <w:t>pacijenti koji su primali l</w:t>
      </w:r>
      <w:r w:rsidR="0080395C" w:rsidRPr="000D3D7F">
        <w:rPr>
          <w:noProof/>
          <w:szCs w:val="22"/>
          <w:lang w:val="sr-Latn-ME"/>
        </w:rPr>
        <w:t>ij</w:t>
      </w:r>
      <w:r w:rsidRPr="000D3D7F">
        <w:rPr>
          <w:noProof/>
          <w:szCs w:val="22"/>
          <w:lang w:val="sr-Latn-ME"/>
        </w:rPr>
        <w:t>ek su</w:t>
      </w:r>
      <w:r w:rsidR="00765D0B" w:rsidRPr="000D3D7F">
        <w:rPr>
          <w:noProof/>
          <w:szCs w:val="22"/>
          <w:lang w:val="sr-Latn-ME"/>
        </w:rPr>
        <w:t>b</w:t>
      </w:r>
      <w:r w:rsidRPr="000D3D7F">
        <w:rPr>
          <w:noProof/>
          <w:szCs w:val="22"/>
          <w:lang w:val="sr-Latn-ME"/>
        </w:rPr>
        <w:t>kutano su imali 13% manju ukupnu incidencu urgentnih neželjenih reakcija</w:t>
      </w:r>
      <w:r w:rsidR="004B33C6" w:rsidRPr="000D3D7F">
        <w:rPr>
          <w:noProof/>
          <w:szCs w:val="22"/>
          <w:lang w:val="sr-Latn-ME"/>
        </w:rPr>
        <w:t xml:space="preserve"> </w:t>
      </w:r>
      <w:r w:rsidRPr="000D3D7F">
        <w:rPr>
          <w:noProof/>
          <w:szCs w:val="22"/>
          <w:lang w:val="sr-Latn-ME"/>
        </w:rPr>
        <w:t xml:space="preserve">koje su bile stepena 3 ili većeg stepena toksičnosti, i 5% manju incidencu ukidanja terapije </w:t>
      </w:r>
      <w:r w:rsidR="009F241A" w:rsidRPr="000D3D7F">
        <w:rPr>
          <w:noProof/>
          <w:szCs w:val="22"/>
          <w:lang w:val="sr-Latn-ME"/>
        </w:rPr>
        <w:t>bortezomibom</w:t>
      </w:r>
      <w:r w:rsidRPr="000D3D7F">
        <w:rPr>
          <w:noProof/>
          <w:szCs w:val="22"/>
          <w:lang w:val="sr-Latn-ME"/>
        </w:rPr>
        <w:t>.</w:t>
      </w:r>
    </w:p>
    <w:p w14:paraId="5A9E4257" w14:textId="3D2E5512" w:rsidR="009E39C5" w:rsidRPr="000D3D7F" w:rsidRDefault="009E39C5" w:rsidP="001E1F5A">
      <w:pPr>
        <w:rPr>
          <w:noProof/>
          <w:szCs w:val="22"/>
          <w:lang w:val="sr-Latn-ME"/>
        </w:rPr>
      </w:pPr>
      <w:r w:rsidRPr="000D3D7F">
        <w:rPr>
          <w:noProof/>
          <w:szCs w:val="22"/>
          <w:lang w:val="sr-Latn-ME"/>
        </w:rPr>
        <w:t>Ukupna incidenca javljanja dijareje, gastrointestinalnog i abdominalnog bola, astenična stanja, infekcije</w:t>
      </w:r>
      <w:r w:rsidR="004B33C6" w:rsidRPr="000D3D7F">
        <w:rPr>
          <w:noProof/>
          <w:szCs w:val="22"/>
          <w:lang w:val="sr-Latn-ME"/>
        </w:rPr>
        <w:t xml:space="preserve"> </w:t>
      </w:r>
      <w:r w:rsidRPr="000D3D7F">
        <w:rPr>
          <w:noProof/>
          <w:szCs w:val="22"/>
          <w:lang w:val="sr-Latn-ME"/>
        </w:rPr>
        <w:t>gornjeg respiratornog trakta i periferne neuropatija bila je 12-15% manja u grupi koja je dobijala l</w:t>
      </w:r>
      <w:r w:rsidR="0080395C" w:rsidRPr="000D3D7F">
        <w:rPr>
          <w:noProof/>
          <w:szCs w:val="22"/>
          <w:lang w:val="sr-Latn-ME"/>
        </w:rPr>
        <w:t>ij</w:t>
      </w:r>
      <w:r w:rsidRPr="000D3D7F">
        <w:rPr>
          <w:noProof/>
          <w:szCs w:val="22"/>
          <w:lang w:val="sr-Latn-ME"/>
        </w:rPr>
        <w:t>ek</w:t>
      </w:r>
      <w:r w:rsidR="004B33C6" w:rsidRPr="000D3D7F">
        <w:rPr>
          <w:noProof/>
          <w:szCs w:val="22"/>
          <w:lang w:val="sr-Latn-ME"/>
        </w:rPr>
        <w:t xml:space="preserve"> </w:t>
      </w:r>
      <w:r w:rsidRPr="000D3D7F">
        <w:rPr>
          <w:noProof/>
          <w:szCs w:val="22"/>
          <w:lang w:val="sr-Latn-ME"/>
        </w:rPr>
        <w:t>su</w:t>
      </w:r>
      <w:r w:rsidR="007F7413" w:rsidRPr="000D3D7F">
        <w:rPr>
          <w:noProof/>
          <w:szCs w:val="22"/>
          <w:lang w:val="sr-Latn-ME"/>
        </w:rPr>
        <w:t>b</w:t>
      </w:r>
      <w:r w:rsidRPr="000D3D7F">
        <w:rPr>
          <w:noProof/>
          <w:szCs w:val="22"/>
          <w:lang w:val="sr-Latn-ME"/>
        </w:rPr>
        <w:t>kutano u odnosu na grupu koja je primala l</w:t>
      </w:r>
      <w:r w:rsidR="0080395C" w:rsidRPr="000D3D7F">
        <w:rPr>
          <w:noProof/>
          <w:szCs w:val="22"/>
          <w:lang w:val="sr-Latn-ME"/>
        </w:rPr>
        <w:t>ij</w:t>
      </w:r>
      <w:r w:rsidRPr="000D3D7F">
        <w:rPr>
          <w:noProof/>
          <w:szCs w:val="22"/>
          <w:lang w:val="sr-Latn-ME"/>
        </w:rPr>
        <w:t>ek intravenski. U dodatku, incidenca periferne neuropatije</w:t>
      </w:r>
      <w:r w:rsidR="004B33C6" w:rsidRPr="000D3D7F">
        <w:rPr>
          <w:noProof/>
          <w:szCs w:val="22"/>
          <w:lang w:val="sr-Latn-ME"/>
        </w:rPr>
        <w:t xml:space="preserve"> </w:t>
      </w:r>
      <w:r w:rsidRPr="000D3D7F">
        <w:rPr>
          <w:noProof/>
          <w:szCs w:val="22"/>
          <w:lang w:val="sr-Latn-ME"/>
        </w:rPr>
        <w:t>stepena 3 ili većeg je bila 10% manja, a ukidanje l</w:t>
      </w:r>
      <w:r w:rsidR="003F74D4" w:rsidRPr="000D3D7F">
        <w:rPr>
          <w:noProof/>
          <w:szCs w:val="22"/>
          <w:lang w:val="sr-Latn-ME"/>
        </w:rPr>
        <w:t>ij</w:t>
      </w:r>
      <w:r w:rsidRPr="000D3D7F">
        <w:rPr>
          <w:noProof/>
          <w:szCs w:val="22"/>
          <w:lang w:val="sr-Latn-ME"/>
        </w:rPr>
        <w:t>eka zbog periferne neuropatije je bilo 8% manje u grupi</w:t>
      </w:r>
      <w:r w:rsidR="004B33C6" w:rsidRPr="000D3D7F">
        <w:rPr>
          <w:noProof/>
          <w:szCs w:val="22"/>
          <w:lang w:val="sr-Latn-ME"/>
        </w:rPr>
        <w:t xml:space="preserve"> </w:t>
      </w:r>
      <w:r w:rsidRPr="000D3D7F">
        <w:rPr>
          <w:noProof/>
          <w:szCs w:val="22"/>
          <w:lang w:val="sr-Latn-ME"/>
        </w:rPr>
        <w:t>koja je dobijala l</w:t>
      </w:r>
      <w:r w:rsidR="003F74D4" w:rsidRPr="000D3D7F">
        <w:rPr>
          <w:noProof/>
          <w:szCs w:val="22"/>
          <w:lang w:val="sr-Latn-ME"/>
        </w:rPr>
        <w:t>ij</w:t>
      </w:r>
      <w:r w:rsidRPr="000D3D7F">
        <w:rPr>
          <w:noProof/>
          <w:szCs w:val="22"/>
          <w:lang w:val="sr-Latn-ME"/>
        </w:rPr>
        <w:t>ek su</w:t>
      </w:r>
      <w:r w:rsidR="007F7413" w:rsidRPr="000D3D7F">
        <w:rPr>
          <w:noProof/>
          <w:szCs w:val="22"/>
          <w:lang w:val="sr-Latn-ME"/>
        </w:rPr>
        <w:t>b</w:t>
      </w:r>
      <w:r w:rsidRPr="000D3D7F">
        <w:rPr>
          <w:noProof/>
          <w:szCs w:val="22"/>
          <w:lang w:val="sr-Latn-ME"/>
        </w:rPr>
        <w:t>kutano u odnosu na grupu koja je l</w:t>
      </w:r>
      <w:r w:rsidR="003F74D4" w:rsidRPr="000D3D7F">
        <w:rPr>
          <w:noProof/>
          <w:szCs w:val="22"/>
          <w:lang w:val="sr-Latn-ME"/>
        </w:rPr>
        <w:t>ij</w:t>
      </w:r>
      <w:r w:rsidRPr="000D3D7F">
        <w:rPr>
          <w:noProof/>
          <w:szCs w:val="22"/>
          <w:lang w:val="sr-Latn-ME"/>
        </w:rPr>
        <w:t>ek primala intravenski.</w:t>
      </w:r>
    </w:p>
    <w:p w14:paraId="0463DEB9" w14:textId="35826D74" w:rsidR="009E39C5" w:rsidRPr="000D3D7F" w:rsidRDefault="009E39C5" w:rsidP="001E1F5A">
      <w:pPr>
        <w:rPr>
          <w:noProof/>
          <w:szCs w:val="22"/>
          <w:lang w:val="sr-Latn-ME"/>
        </w:rPr>
      </w:pPr>
      <w:r w:rsidRPr="000D3D7F">
        <w:rPr>
          <w:noProof/>
          <w:szCs w:val="22"/>
          <w:lang w:val="sr-Latn-ME"/>
        </w:rPr>
        <w:t>Šest procenata pacijenata je imalo neželjene reakcije na m</w:t>
      </w:r>
      <w:r w:rsidR="003F74D4" w:rsidRPr="000D3D7F">
        <w:rPr>
          <w:noProof/>
          <w:szCs w:val="22"/>
          <w:lang w:val="sr-Latn-ME"/>
        </w:rPr>
        <w:t>j</w:t>
      </w:r>
      <w:r w:rsidRPr="000D3D7F">
        <w:rPr>
          <w:noProof/>
          <w:szCs w:val="22"/>
          <w:lang w:val="sr-Latn-ME"/>
        </w:rPr>
        <w:t>estu su</w:t>
      </w:r>
      <w:r w:rsidR="007F7413" w:rsidRPr="000D3D7F">
        <w:rPr>
          <w:noProof/>
          <w:szCs w:val="22"/>
          <w:lang w:val="sr-Latn-ME"/>
        </w:rPr>
        <w:t>b</w:t>
      </w:r>
      <w:r w:rsidRPr="000D3D7F">
        <w:rPr>
          <w:noProof/>
          <w:szCs w:val="22"/>
          <w:lang w:val="sr-Latn-ME"/>
        </w:rPr>
        <w:t>kutane prim</w:t>
      </w:r>
      <w:r w:rsidR="003F74D4" w:rsidRPr="000D3D7F">
        <w:rPr>
          <w:noProof/>
          <w:szCs w:val="22"/>
          <w:lang w:val="sr-Latn-ME"/>
        </w:rPr>
        <w:t>j</w:t>
      </w:r>
      <w:r w:rsidRPr="000D3D7F">
        <w:rPr>
          <w:noProof/>
          <w:szCs w:val="22"/>
          <w:lang w:val="sr-Latn-ME"/>
        </w:rPr>
        <w:t>ene l</w:t>
      </w:r>
      <w:r w:rsidR="003F74D4" w:rsidRPr="000D3D7F">
        <w:rPr>
          <w:noProof/>
          <w:szCs w:val="22"/>
          <w:lang w:val="sr-Latn-ME"/>
        </w:rPr>
        <w:t>ij</w:t>
      </w:r>
      <w:r w:rsidRPr="000D3D7F">
        <w:rPr>
          <w:noProof/>
          <w:szCs w:val="22"/>
          <w:lang w:val="sr-Latn-ME"/>
        </w:rPr>
        <w:t>eka, najčešće crvenilo.</w:t>
      </w:r>
      <w:r w:rsidR="004B33C6" w:rsidRPr="000D3D7F">
        <w:rPr>
          <w:noProof/>
          <w:szCs w:val="22"/>
          <w:lang w:val="sr-Latn-ME"/>
        </w:rPr>
        <w:t xml:space="preserve"> </w:t>
      </w:r>
    </w:p>
    <w:p w14:paraId="47759D86" w14:textId="35FB252A" w:rsidR="009E39C5" w:rsidRPr="000D3D7F" w:rsidRDefault="009E39C5" w:rsidP="001E1F5A">
      <w:pPr>
        <w:rPr>
          <w:noProof/>
          <w:szCs w:val="22"/>
          <w:lang w:val="sr-Latn-ME"/>
        </w:rPr>
      </w:pPr>
      <w:r w:rsidRPr="000D3D7F">
        <w:rPr>
          <w:noProof/>
          <w:szCs w:val="22"/>
          <w:lang w:val="sr-Latn-ME"/>
        </w:rPr>
        <w:t>Medijana vremena, za koje su se povukla neželjena dejstva, je iznosila 6 dana, prilagođavanje doze se</w:t>
      </w:r>
      <w:r w:rsidR="004B33C6" w:rsidRPr="000D3D7F">
        <w:rPr>
          <w:noProof/>
          <w:szCs w:val="22"/>
          <w:lang w:val="sr-Latn-ME"/>
        </w:rPr>
        <w:t xml:space="preserve"> </w:t>
      </w:r>
      <w:r w:rsidRPr="000D3D7F">
        <w:rPr>
          <w:noProof/>
          <w:szCs w:val="22"/>
          <w:lang w:val="sr-Latn-ME"/>
        </w:rPr>
        <w:t>izvršilo kod 2 pacijenta. Dva (1%) pacijenta su imala teške reakcije; 1 slučaj svraba i 1 slučaj crvenila.</w:t>
      </w:r>
    </w:p>
    <w:p w14:paraId="08B620F5" w14:textId="12A274EE" w:rsidR="009E39C5" w:rsidRPr="000D3D7F" w:rsidRDefault="009E39C5" w:rsidP="001E1F5A">
      <w:pPr>
        <w:rPr>
          <w:noProof/>
          <w:szCs w:val="22"/>
          <w:lang w:val="sr-Latn-ME"/>
        </w:rPr>
      </w:pPr>
      <w:r w:rsidRPr="000D3D7F">
        <w:rPr>
          <w:noProof/>
          <w:szCs w:val="22"/>
          <w:lang w:val="sr-Latn-ME"/>
        </w:rPr>
        <w:t>Incidenca smrtnog ishoda je bila 5% u grupi koja je dobijala l</w:t>
      </w:r>
      <w:r w:rsidR="003F74D4" w:rsidRPr="000D3D7F">
        <w:rPr>
          <w:noProof/>
          <w:szCs w:val="22"/>
          <w:lang w:val="sr-Latn-ME"/>
        </w:rPr>
        <w:t>ij</w:t>
      </w:r>
      <w:r w:rsidRPr="000D3D7F">
        <w:rPr>
          <w:noProof/>
          <w:szCs w:val="22"/>
          <w:lang w:val="sr-Latn-ME"/>
        </w:rPr>
        <w:t>ek su</w:t>
      </w:r>
      <w:r w:rsidR="007F7413" w:rsidRPr="000D3D7F">
        <w:rPr>
          <w:noProof/>
          <w:szCs w:val="22"/>
          <w:lang w:val="sr-Latn-ME"/>
        </w:rPr>
        <w:t>b</w:t>
      </w:r>
      <w:r w:rsidRPr="000D3D7F">
        <w:rPr>
          <w:noProof/>
          <w:szCs w:val="22"/>
          <w:lang w:val="sr-Latn-ME"/>
        </w:rPr>
        <w:t>kutano, a u grupi koja je l</w:t>
      </w:r>
      <w:r w:rsidR="003F74D4" w:rsidRPr="000D3D7F">
        <w:rPr>
          <w:noProof/>
          <w:szCs w:val="22"/>
          <w:lang w:val="sr-Latn-ME"/>
        </w:rPr>
        <w:t>ij</w:t>
      </w:r>
      <w:r w:rsidRPr="000D3D7F">
        <w:rPr>
          <w:noProof/>
          <w:szCs w:val="22"/>
          <w:lang w:val="sr-Latn-ME"/>
        </w:rPr>
        <w:t>ek primala</w:t>
      </w:r>
      <w:r w:rsidR="004B33C6" w:rsidRPr="000D3D7F">
        <w:rPr>
          <w:noProof/>
          <w:szCs w:val="22"/>
          <w:lang w:val="sr-Latn-ME"/>
        </w:rPr>
        <w:t xml:space="preserve"> </w:t>
      </w:r>
      <w:r w:rsidRPr="000D3D7F">
        <w:rPr>
          <w:noProof/>
          <w:szCs w:val="22"/>
          <w:lang w:val="sr-Latn-ME"/>
        </w:rPr>
        <w:t>intravenski je bila 7%. Incidenca smrtnog ishoda zbog ’’progresije bolesti’’ je bila kod 18% pacijenata koji</w:t>
      </w:r>
      <w:r w:rsidR="004B33C6" w:rsidRPr="000D3D7F">
        <w:rPr>
          <w:noProof/>
          <w:szCs w:val="22"/>
          <w:lang w:val="sr-Latn-ME"/>
        </w:rPr>
        <w:t xml:space="preserve"> </w:t>
      </w:r>
      <w:r w:rsidRPr="000D3D7F">
        <w:rPr>
          <w:noProof/>
          <w:szCs w:val="22"/>
          <w:lang w:val="sr-Latn-ME"/>
        </w:rPr>
        <w:t>su primali l</w:t>
      </w:r>
      <w:r w:rsidR="003F74D4" w:rsidRPr="000D3D7F">
        <w:rPr>
          <w:noProof/>
          <w:szCs w:val="22"/>
          <w:lang w:val="sr-Latn-ME"/>
        </w:rPr>
        <w:t>ij</w:t>
      </w:r>
      <w:r w:rsidRPr="000D3D7F">
        <w:rPr>
          <w:noProof/>
          <w:szCs w:val="22"/>
          <w:lang w:val="sr-Latn-ME"/>
        </w:rPr>
        <w:t>ek su</w:t>
      </w:r>
      <w:r w:rsidR="007F7413" w:rsidRPr="000D3D7F">
        <w:rPr>
          <w:noProof/>
          <w:szCs w:val="22"/>
          <w:lang w:val="sr-Latn-ME"/>
        </w:rPr>
        <w:t>b</w:t>
      </w:r>
      <w:r w:rsidRPr="000D3D7F">
        <w:rPr>
          <w:noProof/>
          <w:szCs w:val="22"/>
          <w:lang w:val="sr-Latn-ME"/>
        </w:rPr>
        <w:t>kutano u odnosu na 9% u grupi koja je l</w:t>
      </w:r>
      <w:r w:rsidR="003F74D4" w:rsidRPr="000D3D7F">
        <w:rPr>
          <w:noProof/>
          <w:szCs w:val="22"/>
          <w:lang w:val="sr-Latn-ME"/>
        </w:rPr>
        <w:t>ij</w:t>
      </w:r>
      <w:r w:rsidRPr="000D3D7F">
        <w:rPr>
          <w:noProof/>
          <w:szCs w:val="22"/>
          <w:lang w:val="sr-Latn-ME"/>
        </w:rPr>
        <w:t>ek primala intravenski.</w:t>
      </w:r>
    </w:p>
    <w:p w14:paraId="46906E97" w14:textId="77777777" w:rsidR="00C26DCA" w:rsidRPr="000D3D7F" w:rsidRDefault="00C26DCA" w:rsidP="001E1F5A">
      <w:pPr>
        <w:rPr>
          <w:noProof/>
          <w:szCs w:val="22"/>
          <w:lang w:val="sr-Latn-ME"/>
        </w:rPr>
      </w:pPr>
    </w:p>
    <w:p w14:paraId="4E1B0B14" w14:textId="2CC8D90D" w:rsidR="009E39C5" w:rsidRPr="000D3D7F" w:rsidRDefault="009E39C5" w:rsidP="001E1F5A">
      <w:pPr>
        <w:rPr>
          <w:i/>
          <w:iCs/>
          <w:noProof/>
          <w:szCs w:val="22"/>
          <w:lang w:val="sr-Latn-ME"/>
        </w:rPr>
      </w:pPr>
      <w:r w:rsidRPr="000D3D7F">
        <w:rPr>
          <w:i/>
          <w:iCs/>
          <w:noProof/>
          <w:szCs w:val="22"/>
          <w:lang w:val="sr-Latn-ME"/>
        </w:rPr>
        <w:t>Ponovljeno l</w:t>
      </w:r>
      <w:r w:rsidR="003F74D4" w:rsidRPr="000D3D7F">
        <w:rPr>
          <w:i/>
          <w:iCs/>
          <w:noProof/>
          <w:szCs w:val="22"/>
          <w:lang w:val="sr-Latn-ME"/>
        </w:rPr>
        <w:t>ij</w:t>
      </w:r>
      <w:r w:rsidRPr="000D3D7F">
        <w:rPr>
          <w:i/>
          <w:iCs/>
          <w:noProof/>
          <w:szCs w:val="22"/>
          <w:lang w:val="sr-Latn-ME"/>
        </w:rPr>
        <w:t>ečenje kod pacijenata sa relapsom multiplog mijeloma</w:t>
      </w:r>
    </w:p>
    <w:p w14:paraId="75433EAF" w14:textId="42523D98" w:rsidR="009E39C5" w:rsidRPr="000D3D7F" w:rsidRDefault="009E39C5" w:rsidP="001E1F5A">
      <w:pPr>
        <w:rPr>
          <w:noProof/>
          <w:szCs w:val="22"/>
          <w:lang w:val="sr-Latn-ME"/>
        </w:rPr>
      </w:pPr>
      <w:r w:rsidRPr="000D3D7F">
        <w:rPr>
          <w:noProof/>
          <w:szCs w:val="22"/>
          <w:lang w:val="sr-Latn-ME"/>
        </w:rPr>
        <w:t xml:space="preserve">U kliničkoj studiji, u kojoj je </w:t>
      </w:r>
      <w:r w:rsidR="00C26DCA" w:rsidRPr="000D3D7F">
        <w:rPr>
          <w:noProof/>
          <w:szCs w:val="22"/>
          <w:lang w:val="sr-Latn-ME"/>
        </w:rPr>
        <w:t>bortezomib</w:t>
      </w:r>
      <w:r w:rsidRPr="000D3D7F">
        <w:rPr>
          <w:noProof/>
          <w:szCs w:val="22"/>
          <w:lang w:val="sr-Latn-ME"/>
        </w:rPr>
        <w:t xml:space="preserve"> ponovo prim</w:t>
      </w:r>
      <w:r w:rsidR="003F74D4" w:rsidRPr="000D3D7F">
        <w:rPr>
          <w:noProof/>
          <w:szCs w:val="22"/>
          <w:lang w:val="sr-Latn-ME"/>
        </w:rPr>
        <w:t>ij</w:t>
      </w:r>
      <w:r w:rsidRPr="000D3D7F">
        <w:rPr>
          <w:noProof/>
          <w:szCs w:val="22"/>
          <w:lang w:val="sr-Latn-ME"/>
        </w:rPr>
        <w:t>enjen kod 130 pacienata sa relapsom multiplog</w:t>
      </w:r>
      <w:r w:rsidR="004B33C6" w:rsidRPr="000D3D7F">
        <w:rPr>
          <w:noProof/>
          <w:szCs w:val="22"/>
          <w:lang w:val="sr-Latn-ME"/>
        </w:rPr>
        <w:t xml:space="preserve"> </w:t>
      </w:r>
      <w:r w:rsidRPr="000D3D7F">
        <w:rPr>
          <w:noProof/>
          <w:szCs w:val="22"/>
          <w:lang w:val="sr-Latn-ME"/>
        </w:rPr>
        <w:t>mijeloma a koji su prethodno imali najmanje parcijalan odgovor na režimu l</w:t>
      </w:r>
      <w:r w:rsidR="003F74D4" w:rsidRPr="000D3D7F">
        <w:rPr>
          <w:noProof/>
          <w:szCs w:val="22"/>
          <w:lang w:val="sr-Latn-ME"/>
        </w:rPr>
        <w:t>ij</w:t>
      </w:r>
      <w:r w:rsidRPr="000D3D7F">
        <w:rPr>
          <w:noProof/>
          <w:szCs w:val="22"/>
          <w:lang w:val="sr-Latn-ME"/>
        </w:rPr>
        <w:t xml:space="preserve">ečenja koji je uključivao </w:t>
      </w:r>
      <w:r w:rsidR="009F241A" w:rsidRPr="000D3D7F">
        <w:rPr>
          <w:noProof/>
          <w:szCs w:val="22"/>
          <w:lang w:val="sr-Latn-ME"/>
        </w:rPr>
        <w:t>bortezomib</w:t>
      </w:r>
      <w:r w:rsidRPr="000D3D7F">
        <w:rPr>
          <w:noProof/>
          <w:szCs w:val="22"/>
          <w:lang w:val="sr-Latn-ME"/>
        </w:rPr>
        <w:t>, najčešće prijavljeni efekti svih stepena javili su se kod najmanje 25% pacijenata i bili su</w:t>
      </w:r>
      <w:r w:rsidR="004B33C6" w:rsidRPr="000D3D7F">
        <w:rPr>
          <w:noProof/>
          <w:szCs w:val="22"/>
          <w:lang w:val="sr-Latn-ME"/>
        </w:rPr>
        <w:t xml:space="preserve"> </w:t>
      </w:r>
      <w:r w:rsidRPr="000D3D7F">
        <w:rPr>
          <w:noProof/>
          <w:szCs w:val="22"/>
          <w:lang w:val="sr-Latn-ME"/>
        </w:rPr>
        <w:t>trombocitopenija (55%), neuropatija (40%), anemija (37%), dijareja (35%) i konstipacija (28%). Neuropatija</w:t>
      </w:r>
      <w:r w:rsidR="004B33C6" w:rsidRPr="000D3D7F">
        <w:rPr>
          <w:noProof/>
          <w:szCs w:val="22"/>
          <w:lang w:val="sr-Latn-ME"/>
        </w:rPr>
        <w:t xml:space="preserve"> </w:t>
      </w:r>
      <w:r w:rsidRPr="000D3D7F">
        <w:rPr>
          <w:noProof/>
          <w:szCs w:val="22"/>
          <w:lang w:val="sr-Latn-ME"/>
        </w:rPr>
        <w:t xml:space="preserve">svih gradusa i gradusa </w:t>
      </w:r>
      <w:r w:rsidR="00DC3307" w:rsidRPr="000D3D7F">
        <w:rPr>
          <w:lang w:val="sr-Latn-ME"/>
        </w:rPr>
        <w:t>≥</w:t>
      </w:r>
      <w:r w:rsidRPr="000D3D7F">
        <w:rPr>
          <w:noProof/>
          <w:szCs w:val="22"/>
          <w:lang w:val="sr-Latn-ME"/>
        </w:rPr>
        <w:t>3 periferne neuropatije bila je prim</w:t>
      </w:r>
      <w:r w:rsidR="003F74D4" w:rsidRPr="000D3D7F">
        <w:rPr>
          <w:noProof/>
          <w:szCs w:val="22"/>
          <w:lang w:val="sr-Latn-ME"/>
        </w:rPr>
        <w:t>ij</w:t>
      </w:r>
      <w:r w:rsidRPr="000D3D7F">
        <w:rPr>
          <w:noProof/>
          <w:szCs w:val="22"/>
          <w:lang w:val="sr-Latn-ME"/>
        </w:rPr>
        <w:t>ećena kod 40% odnosno 8,5 pacijenata.</w:t>
      </w:r>
    </w:p>
    <w:p w14:paraId="57098959" w14:textId="77777777" w:rsidR="009E39C5" w:rsidRPr="000D3D7F" w:rsidRDefault="009E39C5" w:rsidP="001E1F5A">
      <w:pPr>
        <w:rPr>
          <w:noProof/>
          <w:szCs w:val="22"/>
          <w:lang w:val="sr-Latn-ME"/>
        </w:rPr>
      </w:pPr>
    </w:p>
    <w:p w14:paraId="2456B005" w14:textId="77777777" w:rsidR="00DB317D" w:rsidRPr="000D3D7F" w:rsidRDefault="00DB317D" w:rsidP="001E1F5A">
      <w:pPr>
        <w:tabs>
          <w:tab w:val="clear" w:pos="284"/>
        </w:tabs>
        <w:spacing w:after="200" w:line="276" w:lineRule="auto"/>
        <w:rPr>
          <w:rFonts w:eastAsia="Calibri"/>
          <w:szCs w:val="22"/>
          <w:u w:val="single"/>
          <w:lang w:val="sr-Latn-ME"/>
        </w:rPr>
      </w:pPr>
      <w:r w:rsidRPr="000D3D7F">
        <w:rPr>
          <w:rFonts w:eastAsia="Calibri"/>
          <w:szCs w:val="22"/>
          <w:u w:val="single"/>
          <w:lang w:val="sr-Latn-ME"/>
        </w:rPr>
        <w:t>Prijavljivanje sumnji na neželjena dejstva</w:t>
      </w:r>
    </w:p>
    <w:p w14:paraId="2CAB77D3" w14:textId="24E48614" w:rsidR="00DB317D" w:rsidRPr="000D3D7F" w:rsidRDefault="00DB317D" w:rsidP="001E1F5A">
      <w:pPr>
        <w:tabs>
          <w:tab w:val="clear" w:pos="284"/>
        </w:tabs>
        <w:spacing w:after="200"/>
        <w:rPr>
          <w:rFonts w:eastAsia="Calibri"/>
          <w:szCs w:val="22"/>
          <w:lang w:val="sr-Latn-ME"/>
        </w:rPr>
      </w:pPr>
      <w:r w:rsidRPr="000D3D7F">
        <w:rPr>
          <w:rFonts w:eastAsia="Calibri"/>
          <w:szCs w:val="22"/>
          <w:lang w:val="sr-Latn-ME"/>
        </w:rPr>
        <w:t>Prijavljivanje neželjenih dejstava nakon dobijanja dozvole</w:t>
      </w:r>
      <w:r w:rsidR="00395F63" w:rsidRPr="000D3D7F">
        <w:rPr>
          <w:rFonts w:eastAsia="Calibri"/>
          <w:szCs w:val="22"/>
          <w:lang w:val="sr-Latn-ME"/>
        </w:rPr>
        <w:t xml:space="preserve"> za lijek </w:t>
      </w:r>
      <w:r w:rsidRPr="000D3D7F">
        <w:rPr>
          <w:rFonts w:eastAsia="Calibri"/>
          <w:szCs w:val="22"/>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4920A27B"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 xml:space="preserve">Institut za ljekove i medicinska sredstva </w:t>
      </w:r>
    </w:p>
    <w:p w14:paraId="040637CE"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Odjeljenje za farmakovigilancu</w:t>
      </w:r>
    </w:p>
    <w:p w14:paraId="7D979B9F"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Bulevar Ivana Crnojevića 64a, 81000 Podgorica</w:t>
      </w:r>
    </w:p>
    <w:p w14:paraId="3C3A0F09" w14:textId="77777777" w:rsidR="00DB317D" w:rsidRPr="000D3D7F" w:rsidRDefault="00DB317D" w:rsidP="001E1F5A">
      <w:pPr>
        <w:tabs>
          <w:tab w:val="clear" w:pos="284"/>
        </w:tabs>
        <w:rPr>
          <w:rFonts w:eastAsia="Calibri"/>
          <w:szCs w:val="22"/>
          <w:lang w:val="sr-Latn-ME"/>
        </w:rPr>
      </w:pPr>
    </w:p>
    <w:p w14:paraId="1A5F91E1"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tel: +382 (0) 20 310 280</w:t>
      </w:r>
    </w:p>
    <w:p w14:paraId="5F6C34C3" w14:textId="77777777" w:rsidR="00DB317D" w:rsidRPr="000D3D7F" w:rsidRDefault="00DB317D" w:rsidP="001E1F5A">
      <w:pPr>
        <w:tabs>
          <w:tab w:val="clear" w:pos="284"/>
          <w:tab w:val="left" w:pos="6720"/>
        </w:tabs>
        <w:rPr>
          <w:rFonts w:eastAsia="Calibri"/>
          <w:szCs w:val="22"/>
          <w:lang w:val="sr-Latn-ME"/>
        </w:rPr>
      </w:pPr>
      <w:r w:rsidRPr="000D3D7F">
        <w:rPr>
          <w:rFonts w:eastAsia="Calibri"/>
          <w:szCs w:val="22"/>
          <w:lang w:val="sr-Latn-ME"/>
        </w:rPr>
        <w:t>fax: +382 (0) 20 310 581</w:t>
      </w:r>
      <w:r w:rsidRPr="000D3D7F">
        <w:rPr>
          <w:rFonts w:eastAsia="Calibri"/>
          <w:szCs w:val="22"/>
          <w:lang w:val="sr-Latn-ME"/>
        </w:rPr>
        <w:tab/>
      </w:r>
    </w:p>
    <w:p w14:paraId="5530F661" w14:textId="77777777" w:rsidR="00DB317D" w:rsidRPr="000D3D7F" w:rsidRDefault="00041A4F" w:rsidP="001E1F5A">
      <w:pPr>
        <w:tabs>
          <w:tab w:val="clear" w:pos="284"/>
        </w:tabs>
        <w:rPr>
          <w:rFonts w:eastAsia="Calibri"/>
          <w:szCs w:val="22"/>
          <w:lang w:val="sr-Latn-ME"/>
        </w:rPr>
      </w:pPr>
      <w:hyperlink r:id="rId8" w:history="1">
        <w:r w:rsidR="00DB317D" w:rsidRPr="000D3D7F">
          <w:rPr>
            <w:rFonts w:eastAsia="Calibri"/>
            <w:color w:val="0563C1"/>
            <w:szCs w:val="22"/>
            <w:u w:val="single"/>
            <w:lang w:val="sr-Latn-ME"/>
          </w:rPr>
          <w:t>www.cinmed.me</w:t>
        </w:r>
      </w:hyperlink>
    </w:p>
    <w:p w14:paraId="5268C366" w14:textId="77777777" w:rsidR="00DB317D" w:rsidRPr="000D3D7F" w:rsidRDefault="00041A4F" w:rsidP="001E1F5A">
      <w:pPr>
        <w:tabs>
          <w:tab w:val="clear" w:pos="284"/>
        </w:tabs>
        <w:rPr>
          <w:rFonts w:eastAsia="Calibri"/>
          <w:color w:val="0000FF"/>
          <w:szCs w:val="22"/>
          <w:u w:val="single"/>
          <w:lang w:val="sr-Latn-ME"/>
        </w:rPr>
      </w:pPr>
      <w:hyperlink r:id="rId9" w:history="1">
        <w:r w:rsidR="00DB317D" w:rsidRPr="000D3D7F">
          <w:rPr>
            <w:rFonts w:eastAsia="Calibri"/>
            <w:color w:val="0563C1"/>
            <w:szCs w:val="22"/>
            <w:u w:val="single"/>
            <w:lang w:val="sr-Latn-ME"/>
          </w:rPr>
          <w:t>nezeljenadejstva@cinmed.me</w:t>
        </w:r>
      </w:hyperlink>
    </w:p>
    <w:p w14:paraId="181D09EE"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putem IS zdravstvene zaštite</w:t>
      </w:r>
    </w:p>
    <w:p w14:paraId="2D12BC30" w14:textId="77777777" w:rsidR="00DB317D" w:rsidRPr="000D3D7F" w:rsidRDefault="00DB317D" w:rsidP="001E1F5A">
      <w:pPr>
        <w:tabs>
          <w:tab w:val="clear" w:pos="284"/>
        </w:tabs>
        <w:rPr>
          <w:rFonts w:eastAsia="Calibri"/>
          <w:szCs w:val="22"/>
          <w:lang w:val="sr-Latn-ME"/>
        </w:rPr>
      </w:pPr>
      <w:r w:rsidRPr="000D3D7F">
        <w:rPr>
          <w:rFonts w:eastAsia="Calibri"/>
          <w:szCs w:val="22"/>
          <w:lang w:val="sr-Latn-ME"/>
        </w:rPr>
        <w:t>QR kod za online prijavu sumnje na neželjeno dejstvo lijeka:</w:t>
      </w:r>
    </w:p>
    <w:p w14:paraId="42CA5747" w14:textId="77777777" w:rsidR="00DB317D" w:rsidRPr="000D3D7F" w:rsidRDefault="00DB317D" w:rsidP="001E1F5A">
      <w:pPr>
        <w:tabs>
          <w:tab w:val="clear" w:pos="284"/>
        </w:tabs>
        <w:rPr>
          <w:rFonts w:eastAsia="Calibri"/>
          <w:szCs w:val="22"/>
          <w:lang w:val="sr-Latn-ME"/>
        </w:rPr>
      </w:pPr>
    </w:p>
    <w:p w14:paraId="67831076" w14:textId="77777777" w:rsidR="00DB317D" w:rsidRPr="000D3D7F" w:rsidRDefault="00DB317D" w:rsidP="001E1F5A">
      <w:pPr>
        <w:tabs>
          <w:tab w:val="clear" w:pos="284"/>
        </w:tabs>
        <w:rPr>
          <w:rFonts w:eastAsia="Calibri"/>
          <w:szCs w:val="22"/>
          <w:lang w:val="sr-Latn-ME"/>
        </w:rPr>
      </w:pPr>
      <w:r w:rsidRPr="000D3D7F">
        <w:rPr>
          <w:noProof/>
          <w:sz w:val="24"/>
        </w:rPr>
        <w:lastRenderedPageBreak/>
        <w:drawing>
          <wp:inline distT="0" distB="0" distL="0" distR="0" wp14:anchorId="2A1B7E9F" wp14:editId="7BD567FC">
            <wp:extent cx="971550" cy="971550"/>
            <wp:effectExtent l="0" t="0" r="0" b="0"/>
            <wp:docPr id="1024593059" name="Picture 1024593059"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AB17A4" w14:textId="6EB156AA" w:rsidR="00DE515F" w:rsidRPr="000D3D7F" w:rsidRDefault="00DE515F" w:rsidP="001E1F5A">
      <w:pPr>
        <w:pStyle w:val="NoSpacing"/>
        <w:jc w:val="both"/>
        <w:rPr>
          <w:rFonts w:eastAsia="Calibri"/>
          <w:sz w:val="22"/>
          <w:szCs w:val="22"/>
          <w:lang w:val="sr-Latn-ME"/>
        </w:rPr>
      </w:pPr>
    </w:p>
    <w:p w14:paraId="17A3FEBF" w14:textId="77777777" w:rsidR="00007EF9" w:rsidRPr="000D3D7F" w:rsidRDefault="00007EF9" w:rsidP="001E1F5A">
      <w:pPr>
        <w:rPr>
          <w:szCs w:val="22"/>
          <w:lang w:val="sr-Latn-ME"/>
        </w:rPr>
      </w:pPr>
    </w:p>
    <w:p w14:paraId="17A3FEC0" w14:textId="77777777" w:rsidR="00007EF9" w:rsidRPr="000D3D7F" w:rsidRDefault="00007EF9" w:rsidP="001E1F5A">
      <w:pPr>
        <w:rPr>
          <w:b/>
          <w:bCs/>
          <w:szCs w:val="22"/>
          <w:lang w:val="sr-Latn-ME"/>
        </w:rPr>
      </w:pPr>
      <w:r w:rsidRPr="000D3D7F">
        <w:rPr>
          <w:b/>
          <w:bCs/>
          <w:szCs w:val="22"/>
          <w:lang w:val="sr-Latn-ME"/>
        </w:rPr>
        <w:t>4.9. Predoziranje</w:t>
      </w:r>
    </w:p>
    <w:p w14:paraId="34A11C58" w14:textId="02E8C160" w:rsidR="009E39C5" w:rsidRPr="000D3D7F" w:rsidRDefault="009E39C5" w:rsidP="001E1F5A">
      <w:pPr>
        <w:rPr>
          <w:szCs w:val="22"/>
          <w:lang w:val="sr-Latn-ME"/>
        </w:rPr>
      </w:pPr>
      <w:r w:rsidRPr="000D3D7F">
        <w:rPr>
          <w:szCs w:val="22"/>
          <w:lang w:val="sr-Latn-ME"/>
        </w:rPr>
        <w:t>Kod pacijenata je prekom</w:t>
      </w:r>
      <w:r w:rsidR="003F74D4" w:rsidRPr="000D3D7F">
        <w:rPr>
          <w:szCs w:val="22"/>
          <w:lang w:val="sr-Latn-ME"/>
        </w:rPr>
        <w:t>j</w:t>
      </w:r>
      <w:r w:rsidRPr="000D3D7F">
        <w:rPr>
          <w:szCs w:val="22"/>
          <w:lang w:val="sr-Latn-ME"/>
        </w:rPr>
        <w:t>erno doziranje, koje je bilo veće od dvostruke preporučene doze, bilo povezano sa</w:t>
      </w:r>
      <w:r w:rsidR="004B33C6" w:rsidRPr="000D3D7F">
        <w:rPr>
          <w:szCs w:val="22"/>
          <w:lang w:val="sr-Latn-ME"/>
        </w:rPr>
        <w:t xml:space="preserve"> </w:t>
      </w:r>
      <w:r w:rsidRPr="000D3D7F">
        <w:rPr>
          <w:szCs w:val="22"/>
          <w:lang w:val="sr-Latn-ME"/>
        </w:rPr>
        <w:t>nastankom simptomatske hipotenzije i trombocitopenije sa fatalnim ishodima. Vid</w:t>
      </w:r>
      <w:r w:rsidR="003F74D4"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5.3 o</w:t>
      </w:r>
      <w:r w:rsidR="004B33C6" w:rsidRPr="000D3D7F">
        <w:rPr>
          <w:szCs w:val="22"/>
          <w:lang w:val="sr-Latn-ME"/>
        </w:rPr>
        <w:t xml:space="preserve"> </w:t>
      </w:r>
      <w:r w:rsidRPr="000D3D7F">
        <w:rPr>
          <w:szCs w:val="22"/>
          <w:lang w:val="sr-Latn-ME"/>
        </w:rPr>
        <w:t>pretkliničkim farmakološkim ispitivanjima kardiovaskularne bezb</w:t>
      </w:r>
      <w:r w:rsidR="003F74D4" w:rsidRPr="000D3D7F">
        <w:rPr>
          <w:szCs w:val="22"/>
          <w:lang w:val="sr-Latn-ME"/>
        </w:rPr>
        <w:t>j</w:t>
      </w:r>
      <w:r w:rsidRPr="000D3D7F">
        <w:rPr>
          <w:szCs w:val="22"/>
          <w:lang w:val="sr-Latn-ME"/>
        </w:rPr>
        <w:t>ednosti.</w:t>
      </w:r>
    </w:p>
    <w:p w14:paraId="17A3FEC1" w14:textId="7035747D" w:rsidR="00007EF9" w:rsidRPr="000D3D7F" w:rsidRDefault="009E39C5" w:rsidP="001E1F5A">
      <w:pPr>
        <w:rPr>
          <w:szCs w:val="22"/>
          <w:lang w:val="sr-Latn-ME"/>
        </w:rPr>
      </w:pPr>
      <w:r w:rsidRPr="000D3D7F">
        <w:rPr>
          <w:szCs w:val="22"/>
          <w:lang w:val="sr-Latn-ME"/>
        </w:rPr>
        <w:t xml:space="preserve">Ne postoji nijedan poznat specifičan antidot za </w:t>
      </w:r>
      <w:r w:rsidR="009F241A" w:rsidRPr="000D3D7F">
        <w:rPr>
          <w:szCs w:val="22"/>
          <w:lang w:val="sr-Latn-ME"/>
        </w:rPr>
        <w:t>bortezomib</w:t>
      </w:r>
      <w:r w:rsidRPr="000D3D7F">
        <w:rPr>
          <w:szCs w:val="22"/>
          <w:lang w:val="sr-Latn-ME"/>
        </w:rPr>
        <w:t>. U slučaju predoziranja, treba pratiti vitalne</w:t>
      </w:r>
      <w:r w:rsidR="004B33C6" w:rsidRPr="000D3D7F">
        <w:rPr>
          <w:szCs w:val="22"/>
          <w:lang w:val="sr-Latn-ME"/>
        </w:rPr>
        <w:t xml:space="preserve"> </w:t>
      </w:r>
      <w:r w:rsidRPr="000D3D7F">
        <w:rPr>
          <w:szCs w:val="22"/>
          <w:lang w:val="sr-Latn-ME"/>
        </w:rPr>
        <w:t>znake pacijenta i prim</w:t>
      </w:r>
      <w:r w:rsidR="003F74D4" w:rsidRPr="000D3D7F">
        <w:rPr>
          <w:szCs w:val="22"/>
          <w:lang w:val="sr-Latn-ME"/>
        </w:rPr>
        <w:t>ij</w:t>
      </w:r>
      <w:r w:rsidRPr="000D3D7F">
        <w:rPr>
          <w:szCs w:val="22"/>
          <w:lang w:val="sr-Latn-ME"/>
        </w:rPr>
        <w:t>eniti odgovarajuće suportivne m</w:t>
      </w:r>
      <w:r w:rsidR="003F74D4" w:rsidRPr="000D3D7F">
        <w:rPr>
          <w:szCs w:val="22"/>
          <w:lang w:val="sr-Latn-ME"/>
        </w:rPr>
        <w:t>j</w:t>
      </w:r>
      <w:r w:rsidRPr="000D3D7F">
        <w:rPr>
          <w:szCs w:val="22"/>
          <w:lang w:val="sr-Latn-ME"/>
        </w:rPr>
        <w:t>ere kako bi se održao krvni pritisak (na prim</w:t>
      </w:r>
      <w:r w:rsidR="003F74D4" w:rsidRPr="000D3D7F">
        <w:rPr>
          <w:szCs w:val="22"/>
          <w:lang w:val="sr-Latn-ME"/>
        </w:rPr>
        <w:t>j</w:t>
      </w:r>
      <w:r w:rsidRPr="000D3D7F">
        <w:rPr>
          <w:szCs w:val="22"/>
          <w:lang w:val="sr-Latn-ME"/>
        </w:rPr>
        <w:t>er, dati</w:t>
      </w:r>
      <w:r w:rsidR="004B33C6" w:rsidRPr="000D3D7F">
        <w:rPr>
          <w:szCs w:val="22"/>
          <w:lang w:val="sr-Latn-ME"/>
        </w:rPr>
        <w:t xml:space="preserve"> </w:t>
      </w:r>
      <w:r w:rsidRPr="000D3D7F">
        <w:rPr>
          <w:szCs w:val="22"/>
          <w:lang w:val="sr-Latn-ME"/>
        </w:rPr>
        <w:t>tečnost, vazokonstriktore i/ili inotropna sredstva) i t</w:t>
      </w:r>
      <w:r w:rsidR="003F74D4" w:rsidRPr="000D3D7F">
        <w:rPr>
          <w:szCs w:val="22"/>
          <w:lang w:val="sr-Latn-ME"/>
        </w:rPr>
        <w:t>j</w:t>
      </w:r>
      <w:r w:rsidRPr="000D3D7F">
        <w:rPr>
          <w:szCs w:val="22"/>
          <w:lang w:val="sr-Latn-ME"/>
        </w:rPr>
        <w:t>elesna temperatura (vid</w:t>
      </w:r>
      <w:r w:rsidR="003F74D4" w:rsidRPr="000D3D7F">
        <w:rPr>
          <w:szCs w:val="22"/>
          <w:lang w:val="sr-Latn-ME"/>
        </w:rPr>
        <w:t>j</w:t>
      </w:r>
      <w:r w:rsidRPr="000D3D7F">
        <w:rPr>
          <w:szCs w:val="22"/>
          <w:lang w:val="sr-Latn-ME"/>
        </w:rPr>
        <w:t xml:space="preserve">eti </w:t>
      </w:r>
      <w:r w:rsidR="00A34C43" w:rsidRPr="000D3D7F">
        <w:rPr>
          <w:szCs w:val="22"/>
          <w:lang w:val="sr-Latn-ME"/>
        </w:rPr>
        <w:t>djelove</w:t>
      </w:r>
      <w:r w:rsidRPr="000D3D7F">
        <w:rPr>
          <w:szCs w:val="22"/>
          <w:lang w:val="sr-Latn-ME"/>
        </w:rPr>
        <w:t xml:space="preserve"> 4.2 i 4.4).</w:t>
      </w:r>
    </w:p>
    <w:p w14:paraId="17A3FEC2" w14:textId="77777777" w:rsidR="00007EF9" w:rsidRPr="000D3D7F" w:rsidRDefault="00007EF9" w:rsidP="001E1F5A">
      <w:pPr>
        <w:rPr>
          <w:szCs w:val="22"/>
          <w:lang w:val="sr-Latn-ME"/>
        </w:rPr>
      </w:pPr>
    </w:p>
    <w:p w14:paraId="17A3FEC3" w14:textId="77777777" w:rsidR="00007EF9" w:rsidRPr="000D3D7F" w:rsidRDefault="00007EF9" w:rsidP="001E1F5A">
      <w:pPr>
        <w:pStyle w:val="NASLOV123"/>
        <w:jc w:val="both"/>
        <w:rPr>
          <w:lang w:val="sr-Latn-ME"/>
        </w:rPr>
      </w:pPr>
      <w:r w:rsidRPr="000D3D7F">
        <w:rPr>
          <w:lang w:val="sr-Latn-ME"/>
        </w:rPr>
        <w:t>5. FARMAKOLOŠKI PODACI</w:t>
      </w:r>
    </w:p>
    <w:p w14:paraId="17A3FEC4" w14:textId="77777777" w:rsidR="00007EF9" w:rsidRPr="000D3D7F" w:rsidRDefault="00007EF9" w:rsidP="001E1F5A">
      <w:pPr>
        <w:rPr>
          <w:b/>
          <w:bCs/>
          <w:szCs w:val="22"/>
          <w:lang w:val="sr-Latn-ME"/>
        </w:rPr>
      </w:pPr>
      <w:r w:rsidRPr="000D3D7F">
        <w:rPr>
          <w:b/>
          <w:bCs/>
          <w:szCs w:val="22"/>
          <w:lang w:val="sr-Latn-ME"/>
        </w:rPr>
        <w:t>5.1. Farmakodinamski podaci</w:t>
      </w:r>
    </w:p>
    <w:p w14:paraId="17A3FEC5" w14:textId="2534183D" w:rsidR="00007EF9" w:rsidRPr="000D3D7F" w:rsidRDefault="00007EF9" w:rsidP="001E1F5A">
      <w:pPr>
        <w:rPr>
          <w:szCs w:val="22"/>
          <w:lang w:val="sr-Latn-ME"/>
        </w:rPr>
      </w:pPr>
      <w:r w:rsidRPr="000D3D7F">
        <w:rPr>
          <w:szCs w:val="22"/>
          <w:lang w:val="sr-Latn-ME"/>
        </w:rPr>
        <w:t>Farmakoterapijska grupa:</w:t>
      </w:r>
      <w:r w:rsidR="009E39C5" w:rsidRPr="000D3D7F">
        <w:rPr>
          <w:lang w:val="sr-Latn-ME"/>
        </w:rPr>
        <w:t xml:space="preserve"> </w:t>
      </w:r>
      <w:r w:rsidR="009E39C5" w:rsidRPr="000D3D7F">
        <w:rPr>
          <w:szCs w:val="22"/>
          <w:lang w:val="sr-Latn-ME"/>
        </w:rPr>
        <w:t>Antineoplastik, ostali neoplastični l</w:t>
      </w:r>
      <w:r w:rsidR="003F4455" w:rsidRPr="000D3D7F">
        <w:rPr>
          <w:szCs w:val="22"/>
          <w:lang w:val="sr-Latn-ME"/>
        </w:rPr>
        <w:t>j</w:t>
      </w:r>
      <w:r w:rsidR="009E39C5" w:rsidRPr="000D3D7F">
        <w:rPr>
          <w:szCs w:val="22"/>
          <w:lang w:val="sr-Latn-ME"/>
        </w:rPr>
        <w:t>ekovi</w:t>
      </w:r>
    </w:p>
    <w:p w14:paraId="17A3FEC6" w14:textId="77777777" w:rsidR="00007EF9" w:rsidRPr="000D3D7F" w:rsidRDefault="00007EF9" w:rsidP="001E1F5A">
      <w:pPr>
        <w:rPr>
          <w:szCs w:val="22"/>
          <w:lang w:val="sr-Latn-ME"/>
        </w:rPr>
      </w:pPr>
    </w:p>
    <w:p w14:paraId="17A3FEC7" w14:textId="60FE34B3" w:rsidR="00007EF9" w:rsidRPr="000D3D7F" w:rsidRDefault="00007EF9" w:rsidP="001E1F5A">
      <w:pPr>
        <w:rPr>
          <w:szCs w:val="22"/>
          <w:lang w:val="sr-Latn-ME"/>
        </w:rPr>
      </w:pPr>
      <w:r w:rsidRPr="000D3D7F">
        <w:rPr>
          <w:szCs w:val="22"/>
          <w:lang w:val="sr-Latn-ME"/>
        </w:rPr>
        <w:t xml:space="preserve">ATC </w:t>
      </w:r>
      <w:r w:rsidR="00DE515F" w:rsidRPr="000D3D7F">
        <w:rPr>
          <w:szCs w:val="22"/>
          <w:lang w:val="sr-Latn-ME"/>
        </w:rPr>
        <w:t>kod</w:t>
      </w:r>
      <w:r w:rsidRPr="000D3D7F">
        <w:rPr>
          <w:szCs w:val="22"/>
          <w:lang w:val="sr-Latn-ME"/>
        </w:rPr>
        <w:t>:</w:t>
      </w:r>
      <w:r w:rsidR="009E39C5" w:rsidRPr="000D3D7F">
        <w:rPr>
          <w:lang w:val="sr-Latn-ME"/>
        </w:rPr>
        <w:t xml:space="preserve"> </w:t>
      </w:r>
      <w:r w:rsidR="00FC6A68" w:rsidRPr="000D3D7F">
        <w:rPr>
          <w:szCs w:val="22"/>
          <w:lang w:val="sr-Latn-ME"/>
        </w:rPr>
        <w:t>L01XG01</w:t>
      </w:r>
    </w:p>
    <w:p w14:paraId="22EE2B9E" w14:textId="77777777" w:rsidR="005A4B60" w:rsidRPr="000D3D7F" w:rsidRDefault="005A4B60" w:rsidP="001E1F5A">
      <w:pPr>
        <w:rPr>
          <w:b/>
          <w:bCs/>
          <w:szCs w:val="22"/>
          <w:lang w:val="sr-Latn-ME"/>
        </w:rPr>
      </w:pPr>
    </w:p>
    <w:p w14:paraId="220D2868" w14:textId="5A92A284" w:rsidR="009E39C5" w:rsidRPr="000D3D7F" w:rsidRDefault="009E39C5" w:rsidP="001E1F5A">
      <w:pPr>
        <w:rPr>
          <w:szCs w:val="22"/>
          <w:u w:val="single"/>
          <w:lang w:val="sr-Latn-ME"/>
        </w:rPr>
      </w:pPr>
      <w:r w:rsidRPr="000D3D7F">
        <w:rPr>
          <w:szCs w:val="22"/>
          <w:u w:val="single"/>
          <w:lang w:val="sr-Latn-ME"/>
        </w:rPr>
        <w:t>Mehanizam d</w:t>
      </w:r>
      <w:r w:rsidR="003F4455" w:rsidRPr="000D3D7F">
        <w:rPr>
          <w:szCs w:val="22"/>
          <w:u w:val="single"/>
          <w:lang w:val="sr-Latn-ME"/>
        </w:rPr>
        <w:t>j</w:t>
      </w:r>
      <w:r w:rsidRPr="000D3D7F">
        <w:rPr>
          <w:szCs w:val="22"/>
          <w:u w:val="single"/>
          <w:lang w:val="sr-Latn-ME"/>
        </w:rPr>
        <w:t>elovanja</w:t>
      </w:r>
    </w:p>
    <w:p w14:paraId="4FE5836C" w14:textId="4671914C" w:rsidR="009E39C5" w:rsidRPr="000D3D7F" w:rsidRDefault="009E39C5" w:rsidP="001E1F5A">
      <w:pPr>
        <w:rPr>
          <w:szCs w:val="22"/>
          <w:lang w:val="sr-Latn-ME"/>
        </w:rPr>
      </w:pPr>
      <w:r w:rsidRPr="000D3D7F">
        <w:rPr>
          <w:szCs w:val="22"/>
          <w:lang w:val="sr-Latn-ME"/>
        </w:rPr>
        <w:t>Bortezomib je inhibitor proteazoma. Specifično je sintetisan da inhibira himotripsinu sličnu aktivnost kod</w:t>
      </w:r>
      <w:r w:rsidR="004B33C6" w:rsidRPr="000D3D7F">
        <w:rPr>
          <w:szCs w:val="22"/>
          <w:lang w:val="sr-Latn-ME"/>
        </w:rPr>
        <w:t xml:space="preserve"> </w:t>
      </w:r>
      <w:r w:rsidRPr="000D3D7F">
        <w:rPr>
          <w:szCs w:val="22"/>
          <w:lang w:val="sr-Latn-ME"/>
        </w:rPr>
        <w:t>proteazoma 26S u ćelijama sisara. Proteazom 26S je veliki proteinski kompleks koji razgradjuje</w:t>
      </w:r>
      <w:r w:rsidR="004B33C6" w:rsidRPr="000D3D7F">
        <w:rPr>
          <w:szCs w:val="22"/>
          <w:lang w:val="sr-Latn-ME"/>
        </w:rPr>
        <w:t xml:space="preserve"> </w:t>
      </w:r>
      <w:r w:rsidRPr="000D3D7F">
        <w:rPr>
          <w:szCs w:val="22"/>
          <w:lang w:val="sr-Latn-ME"/>
        </w:rPr>
        <w:t>ubikvitinirane proteine. Putanja ubikvitin-proteazom igra veoma značajnu ulogu u usklađivanju razgradnje</w:t>
      </w:r>
      <w:r w:rsidR="004B33C6" w:rsidRPr="000D3D7F">
        <w:rPr>
          <w:szCs w:val="22"/>
          <w:lang w:val="sr-Latn-ME"/>
        </w:rPr>
        <w:t xml:space="preserve"> </w:t>
      </w:r>
      <w:r w:rsidRPr="000D3D7F">
        <w:rPr>
          <w:szCs w:val="22"/>
          <w:lang w:val="sr-Latn-ME"/>
        </w:rPr>
        <w:t>specifičnih proteina, čime održava homeostazu u ćeliji. Inhibicija proteazoma 26S sprečava ovu ciljnu</w:t>
      </w:r>
      <w:r w:rsidR="004B33C6" w:rsidRPr="000D3D7F">
        <w:rPr>
          <w:szCs w:val="22"/>
          <w:lang w:val="sr-Latn-ME"/>
        </w:rPr>
        <w:t xml:space="preserve"> </w:t>
      </w:r>
      <w:r w:rsidRPr="000D3D7F">
        <w:rPr>
          <w:szCs w:val="22"/>
          <w:lang w:val="sr-Latn-ME"/>
        </w:rPr>
        <w:t>proteolizu i d</w:t>
      </w:r>
      <w:r w:rsidR="003F4455" w:rsidRPr="000D3D7F">
        <w:rPr>
          <w:szCs w:val="22"/>
          <w:lang w:val="sr-Latn-ME"/>
        </w:rPr>
        <w:t>j</w:t>
      </w:r>
      <w:r w:rsidRPr="000D3D7F">
        <w:rPr>
          <w:szCs w:val="22"/>
          <w:lang w:val="sr-Latn-ME"/>
        </w:rPr>
        <w:t>eluje na višestruke signalne kaskade unutar ćelije, što na kraju rezultira smrću tumorske ćelije.</w:t>
      </w:r>
    </w:p>
    <w:p w14:paraId="7F2CEFBD" w14:textId="61B954E1" w:rsidR="009E39C5" w:rsidRPr="000D3D7F" w:rsidRDefault="009E39C5" w:rsidP="001E1F5A">
      <w:pPr>
        <w:rPr>
          <w:szCs w:val="22"/>
          <w:lang w:val="sr-Latn-ME"/>
        </w:rPr>
      </w:pPr>
      <w:r w:rsidRPr="000D3D7F">
        <w:rPr>
          <w:szCs w:val="22"/>
          <w:lang w:val="sr-Latn-ME"/>
        </w:rPr>
        <w:t>Bortezomib je visoko selektivan za proteazom. Pri koncentracijama od 10 mikromola, bortezomib ne inhibira</w:t>
      </w:r>
      <w:r w:rsidR="004B33C6" w:rsidRPr="000D3D7F">
        <w:rPr>
          <w:szCs w:val="22"/>
          <w:lang w:val="sr-Latn-ME"/>
        </w:rPr>
        <w:t xml:space="preserve"> </w:t>
      </w:r>
      <w:r w:rsidRPr="000D3D7F">
        <w:rPr>
          <w:szCs w:val="22"/>
          <w:lang w:val="sr-Latn-ME"/>
        </w:rPr>
        <w:t>nijedan od brojnih ispitivanih receptora i proteaza i selektivniji je više od 1500 puta za proteazom nego za</w:t>
      </w:r>
      <w:r w:rsidR="004B33C6" w:rsidRPr="000D3D7F">
        <w:rPr>
          <w:szCs w:val="22"/>
          <w:lang w:val="sr-Latn-ME"/>
        </w:rPr>
        <w:t xml:space="preserve"> </w:t>
      </w:r>
      <w:r w:rsidRPr="000D3D7F">
        <w:rPr>
          <w:szCs w:val="22"/>
          <w:lang w:val="sr-Latn-ME"/>
        </w:rPr>
        <w:t>njegov sl</w:t>
      </w:r>
      <w:r w:rsidR="003F4455" w:rsidRPr="000D3D7F">
        <w:rPr>
          <w:szCs w:val="22"/>
          <w:lang w:val="sr-Latn-ME"/>
        </w:rPr>
        <w:t>j</w:t>
      </w:r>
      <w:r w:rsidRPr="000D3D7F">
        <w:rPr>
          <w:szCs w:val="22"/>
          <w:lang w:val="sr-Latn-ME"/>
        </w:rPr>
        <w:t>edeći poželjan enzim. Kinetika inhibicije proteazoma je proc</w:t>
      </w:r>
      <w:r w:rsidR="003F4455" w:rsidRPr="000D3D7F">
        <w:rPr>
          <w:szCs w:val="22"/>
          <w:lang w:val="sr-Latn-ME"/>
        </w:rPr>
        <w:t>j</w:t>
      </w:r>
      <w:r w:rsidRPr="000D3D7F">
        <w:rPr>
          <w:szCs w:val="22"/>
          <w:lang w:val="sr-Latn-ME"/>
        </w:rPr>
        <w:t>enjivana in vitro, i pokazalo se da se</w:t>
      </w:r>
      <w:r w:rsidR="004B33C6" w:rsidRPr="000D3D7F">
        <w:rPr>
          <w:szCs w:val="22"/>
          <w:lang w:val="sr-Latn-ME"/>
        </w:rPr>
        <w:t xml:space="preserve"> </w:t>
      </w:r>
      <w:r w:rsidRPr="000D3D7F">
        <w:rPr>
          <w:szCs w:val="22"/>
          <w:lang w:val="sr-Latn-ME"/>
        </w:rPr>
        <w:t>bortezomib disocira iz proteazoma sa t½ od 20 minuta, što pokazuje da je inhibicija proteazoma</w:t>
      </w:r>
      <w:r w:rsidR="004B33C6" w:rsidRPr="000D3D7F">
        <w:rPr>
          <w:szCs w:val="22"/>
          <w:lang w:val="sr-Latn-ME"/>
        </w:rPr>
        <w:t xml:space="preserve"> </w:t>
      </w:r>
      <w:r w:rsidRPr="000D3D7F">
        <w:rPr>
          <w:szCs w:val="22"/>
          <w:lang w:val="sr-Latn-ME"/>
        </w:rPr>
        <w:t>bortezomibom reverzibilna.</w:t>
      </w:r>
    </w:p>
    <w:p w14:paraId="400F39E9" w14:textId="44F3A616" w:rsidR="009E39C5" w:rsidRPr="000D3D7F" w:rsidRDefault="009E39C5" w:rsidP="001E1F5A">
      <w:pPr>
        <w:rPr>
          <w:szCs w:val="22"/>
          <w:lang w:val="sr-Latn-ME"/>
        </w:rPr>
      </w:pPr>
      <w:r w:rsidRPr="000D3D7F">
        <w:rPr>
          <w:szCs w:val="22"/>
          <w:lang w:val="sr-Latn-ME"/>
        </w:rPr>
        <w:t>Inhibicija proteazoma posredovana bortezomibom d</w:t>
      </w:r>
      <w:r w:rsidR="003F4455" w:rsidRPr="000D3D7F">
        <w:rPr>
          <w:szCs w:val="22"/>
          <w:lang w:val="sr-Latn-ME"/>
        </w:rPr>
        <w:t>j</w:t>
      </w:r>
      <w:r w:rsidRPr="000D3D7F">
        <w:rPr>
          <w:szCs w:val="22"/>
          <w:lang w:val="sr-Latn-ME"/>
        </w:rPr>
        <w:t>eluje na tumorske ćelije na više načina, uključujući, iako</w:t>
      </w:r>
      <w:r w:rsidR="004B33C6" w:rsidRPr="000D3D7F">
        <w:rPr>
          <w:szCs w:val="22"/>
          <w:lang w:val="sr-Latn-ME"/>
        </w:rPr>
        <w:t xml:space="preserve"> </w:t>
      </w:r>
      <w:r w:rsidRPr="000D3D7F">
        <w:rPr>
          <w:szCs w:val="22"/>
          <w:lang w:val="sr-Latn-ME"/>
        </w:rPr>
        <w:t>to nije jedini način, m</w:t>
      </w:r>
      <w:r w:rsidR="003F4455" w:rsidRPr="000D3D7F">
        <w:rPr>
          <w:szCs w:val="22"/>
          <w:lang w:val="sr-Latn-ME"/>
        </w:rPr>
        <w:t>ij</w:t>
      </w:r>
      <w:r w:rsidRPr="000D3D7F">
        <w:rPr>
          <w:szCs w:val="22"/>
          <w:lang w:val="sr-Latn-ME"/>
        </w:rPr>
        <w:t>enjanje regulatornih proteina koji kontrolišu progresiju ćelijskog ciklusa i aktiviranje</w:t>
      </w:r>
      <w:r w:rsidR="004B33C6" w:rsidRPr="000D3D7F">
        <w:rPr>
          <w:szCs w:val="22"/>
          <w:lang w:val="sr-Latn-ME"/>
        </w:rPr>
        <w:t xml:space="preserve"> </w:t>
      </w:r>
      <w:r w:rsidRPr="000D3D7F">
        <w:rPr>
          <w:szCs w:val="22"/>
          <w:lang w:val="sr-Latn-ME"/>
        </w:rPr>
        <w:t>nuklearnog faktora kapa B (NF-kB). Inhibicija proteazoma za rezultat ima zaustavljanje ćelijskog ciklusa i</w:t>
      </w:r>
      <w:r w:rsidR="004B33C6" w:rsidRPr="000D3D7F">
        <w:rPr>
          <w:szCs w:val="22"/>
          <w:lang w:val="sr-Latn-ME"/>
        </w:rPr>
        <w:t xml:space="preserve"> </w:t>
      </w:r>
      <w:r w:rsidRPr="000D3D7F">
        <w:rPr>
          <w:szCs w:val="22"/>
          <w:lang w:val="sr-Latn-ME"/>
        </w:rPr>
        <w:t>apoptozu. NF-kB je transkripcioni faktor čija je aktivacija potrebna za mnoge aspekte tumorogeneze,</w:t>
      </w:r>
      <w:r w:rsidR="004B33C6" w:rsidRPr="000D3D7F">
        <w:rPr>
          <w:szCs w:val="22"/>
          <w:lang w:val="sr-Latn-ME"/>
        </w:rPr>
        <w:t xml:space="preserve"> </w:t>
      </w:r>
      <w:r w:rsidRPr="000D3D7F">
        <w:rPr>
          <w:szCs w:val="22"/>
          <w:lang w:val="sr-Latn-ME"/>
        </w:rPr>
        <w:t>uključujući rast ćelija i preživljavanje, angiogenezu, interakcije izmedju ćelija i metastaziranje. Kod</w:t>
      </w:r>
      <w:r w:rsidR="004B33C6" w:rsidRPr="000D3D7F">
        <w:rPr>
          <w:szCs w:val="22"/>
          <w:lang w:val="sr-Latn-ME"/>
        </w:rPr>
        <w:t xml:space="preserve"> </w:t>
      </w:r>
      <w:r w:rsidRPr="000D3D7F">
        <w:rPr>
          <w:szCs w:val="22"/>
          <w:lang w:val="sr-Latn-ME"/>
        </w:rPr>
        <w:t>mijeloma, bortezomib utiče na sposobnost ćelija mijeloma da stupaju u interakciju sa mikrookruženjem</w:t>
      </w:r>
      <w:r w:rsidR="004B33C6" w:rsidRPr="000D3D7F">
        <w:rPr>
          <w:szCs w:val="22"/>
          <w:lang w:val="sr-Latn-ME"/>
        </w:rPr>
        <w:t xml:space="preserve"> </w:t>
      </w:r>
      <w:r w:rsidRPr="000D3D7F">
        <w:rPr>
          <w:szCs w:val="22"/>
          <w:lang w:val="sr-Latn-ME"/>
        </w:rPr>
        <w:t>kostne srži.</w:t>
      </w:r>
    </w:p>
    <w:p w14:paraId="1E590B7E" w14:textId="52377B66" w:rsidR="009E39C5" w:rsidRPr="000D3D7F" w:rsidRDefault="009E39C5" w:rsidP="001E1F5A">
      <w:pPr>
        <w:rPr>
          <w:szCs w:val="22"/>
          <w:lang w:val="sr-Latn-ME"/>
        </w:rPr>
      </w:pPr>
      <w:r w:rsidRPr="000D3D7F">
        <w:rPr>
          <w:szCs w:val="22"/>
          <w:lang w:val="sr-Latn-ME"/>
        </w:rPr>
        <w:t>Eksperimenti su pokazali da je bortezomib citotoksičan za niz vrsta tumorskih ćelija i da su tumorske ćelije</w:t>
      </w:r>
      <w:r w:rsidR="004B33C6" w:rsidRPr="000D3D7F">
        <w:rPr>
          <w:szCs w:val="22"/>
          <w:lang w:val="sr-Latn-ME"/>
        </w:rPr>
        <w:t xml:space="preserve"> </w:t>
      </w:r>
      <w:r w:rsidRPr="000D3D7F">
        <w:rPr>
          <w:szCs w:val="22"/>
          <w:lang w:val="sr-Latn-ME"/>
        </w:rPr>
        <w:t>os</w:t>
      </w:r>
      <w:r w:rsidR="003F4455" w:rsidRPr="000D3D7F">
        <w:rPr>
          <w:szCs w:val="22"/>
          <w:lang w:val="sr-Latn-ME"/>
        </w:rPr>
        <w:t>j</w:t>
      </w:r>
      <w:r w:rsidRPr="000D3D7F">
        <w:rPr>
          <w:szCs w:val="22"/>
          <w:lang w:val="sr-Latn-ME"/>
        </w:rPr>
        <w:t>etljivije na pro-apoptotičke efekte inhibicije proteazoma nego zdrave ćelije. Bortezomib dovodi do</w:t>
      </w:r>
      <w:r w:rsidR="004B33C6" w:rsidRPr="000D3D7F">
        <w:rPr>
          <w:szCs w:val="22"/>
          <w:lang w:val="sr-Latn-ME"/>
        </w:rPr>
        <w:t xml:space="preserve"> </w:t>
      </w:r>
      <w:r w:rsidRPr="000D3D7F">
        <w:rPr>
          <w:szCs w:val="22"/>
          <w:lang w:val="sr-Latn-ME"/>
        </w:rPr>
        <w:t>smanjenja rasta tumora in vivo kod mnogih pretkliničkih modela tumora, uključujući i multipli mijelom.</w:t>
      </w:r>
    </w:p>
    <w:p w14:paraId="3710BBBF" w14:textId="6A958711" w:rsidR="009E39C5" w:rsidRPr="000D3D7F" w:rsidRDefault="009E39C5" w:rsidP="001E1F5A">
      <w:pPr>
        <w:rPr>
          <w:szCs w:val="22"/>
          <w:lang w:val="sr-Latn-ME"/>
        </w:rPr>
      </w:pPr>
      <w:r w:rsidRPr="000D3D7F">
        <w:rPr>
          <w:szCs w:val="22"/>
          <w:lang w:val="sr-Latn-ME"/>
        </w:rPr>
        <w:t>Podaci dobijeni iz in vitro, ex-vivo i animalnih modela ispitivanja sa bortezomibom ukazuju na povećanu</w:t>
      </w:r>
      <w:r w:rsidR="004B33C6" w:rsidRPr="000D3D7F">
        <w:rPr>
          <w:szCs w:val="22"/>
          <w:lang w:val="sr-Latn-ME"/>
        </w:rPr>
        <w:t xml:space="preserve"> </w:t>
      </w:r>
      <w:r w:rsidRPr="000D3D7F">
        <w:rPr>
          <w:szCs w:val="22"/>
          <w:lang w:val="sr-Latn-ME"/>
        </w:rPr>
        <w:t>osteoblastnu diferencijaciju i aktivnost kao i inhibiciju osteoklastne funkcije. Ovi efekti su posmatrani kod</w:t>
      </w:r>
      <w:r w:rsidR="004B33C6" w:rsidRPr="000D3D7F">
        <w:rPr>
          <w:szCs w:val="22"/>
          <w:lang w:val="sr-Latn-ME"/>
        </w:rPr>
        <w:t xml:space="preserve"> </w:t>
      </w:r>
      <w:r w:rsidRPr="000D3D7F">
        <w:rPr>
          <w:szCs w:val="22"/>
          <w:lang w:val="sr-Latn-ME"/>
        </w:rPr>
        <w:t>pacijenata sa multiplim mijelomom koji su imali i uznapredovalo osteolitičko oboljenje i l</w:t>
      </w:r>
      <w:r w:rsidR="003F4455" w:rsidRPr="000D3D7F">
        <w:rPr>
          <w:szCs w:val="22"/>
          <w:lang w:val="sr-Latn-ME"/>
        </w:rPr>
        <w:t>ij</w:t>
      </w:r>
      <w:r w:rsidRPr="000D3D7F">
        <w:rPr>
          <w:szCs w:val="22"/>
          <w:lang w:val="sr-Latn-ME"/>
        </w:rPr>
        <w:t>ečeni su</w:t>
      </w:r>
      <w:r w:rsidR="004B33C6" w:rsidRPr="000D3D7F">
        <w:rPr>
          <w:szCs w:val="22"/>
          <w:lang w:val="sr-Latn-ME"/>
        </w:rPr>
        <w:t xml:space="preserve"> </w:t>
      </w:r>
      <w:r w:rsidRPr="000D3D7F">
        <w:rPr>
          <w:szCs w:val="22"/>
          <w:lang w:val="sr-Latn-ME"/>
        </w:rPr>
        <w:t>bortezomibom.</w:t>
      </w:r>
    </w:p>
    <w:p w14:paraId="037CD765" w14:textId="77777777" w:rsidR="00F92587" w:rsidRPr="000D3D7F" w:rsidRDefault="00F92587" w:rsidP="001E1F5A">
      <w:pPr>
        <w:rPr>
          <w:szCs w:val="22"/>
          <w:lang w:val="sr-Latn-ME"/>
        </w:rPr>
      </w:pPr>
    </w:p>
    <w:p w14:paraId="17FF6D40" w14:textId="09C98ADD" w:rsidR="009E39C5" w:rsidRPr="000D3D7F" w:rsidRDefault="009E39C5" w:rsidP="001E1F5A">
      <w:pPr>
        <w:rPr>
          <w:szCs w:val="22"/>
          <w:u w:val="single"/>
          <w:lang w:val="sr-Latn-ME"/>
        </w:rPr>
      </w:pPr>
      <w:r w:rsidRPr="000D3D7F">
        <w:rPr>
          <w:szCs w:val="22"/>
          <w:u w:val="single"/>
          <w:lang w:val="sr-Latn-ME"/>
        </w:rPr>
        <w:t>Klinička efikasnost kod pacijenata sa prethodno nel</w:t>
      </w:r>
      <w:r w:rsidR="003F4455" w:rsidRPr="000D3D7F">
        <w:rPr>
          <w:szCs w:val="22"/>
          <w:u w:val="single"/>
          <w:lang w:val="sr-Latn-ME"/>
        </w:rPr>
        <w:t>ij</w:t>
      </w:r>
      <w:r w:rsidRPr="000D3D7F">
        <w:rPr>
          <w:szCs w:val="22"/>
          <w:u w:val="single"/>
          <w:lang w:val="sr-Latn-ME"/>
        </w:rPr>
        <w:t>ečenim multiplim mijelomom</w:t>
      </w:r>
    </w:p>
    <w:p w14:paraId="22FE46EA" w14:textId="555FDEB3" w:rsidR="009E39C5" w:rsidRPr="000D3D7F" w:rsidRDefault="009E39C5" w:rsidP="001E1F5A">
      <w:pPr>
        <w:rPr>
          <w:szCs w:val="22"/>
          <w:lang w:val="sr-Latn-ME"/>
        </w:rPr>
      </w:pPr>
      <w:r w:rsidRPr="000D3D7F">
        <w:rPr>
          <w:szCs w:val="22"/>
          <w:lang w:val="sr-Latn-ME"/>
        </w:rPr>
        <w:t>Prospektivno, multicentrično, randomizovano (1:1), otvoreno kliničko ispitivanje faze III (MMY-3002</w:t>
      </w:r>
      <w:r w:rsidR="004B33C6" w:rsidRPr="000D3D7F">
        <w:rPr>
          <w:szCs w:val="22"/>
          <w:lang w:val="sr-Latn-ME"/>
        </w:rPr>
        <w:t xml:space="preserve"> </w:t>
      </w:r>
      <w:r w:rsidRPr="000D3D7F">
        <w:rPr>
          <w:szCs w:val="22"/>
          <w:lang w:val="sr-Latn-ME"/>
        </w:rPr>
        <w:t xml:space="preserve">VISTA) u koje je uključeno 682 pacijenta sprovedeno je radi utvrđivanja da li  </w:t>
      </w:r>
      <w:r w:rsidR="004F4316" w:rsidRPr="000D3D7F">
        <w:rPr>
          <w:szCs w:val="22"/>
          <w:lang w:val="sr-Latn-ME"/>
        </w:rPr>
        <w:t>bortezomib</w:t>
      </w:r>
      <w:r w:rsidRPr="000D3D7F">
        <w:rPr>
          <w:szCs w:val="22"/>
          <w:lang w:val="sr-Latn-ME"/>
        </w:rPr>
        <w:t xml:space="preserve"> (1,3mg/m</w:t>
      </w:r>
      <w:r w:rsidRPr="000D3D7F">
        <w:rPr>
          <w:szCs w:val="22"/>
          <w:vertAlign w:val="superscript"/>
          <w:lang w:val="sr-Latn-ME"/>
        </w:rPr>
        <w:t>2</w:t>
      </w:r>
      <w:r w:rsidR="004B33C6" w:rsidRPr="000D3D7F">
        <w:rPr>
          <w:szCs w:val="22"/>
          <w:lang w:val="sr-Latn-ME"/>
        </w:rPr>
        <w:t xml:space="preserve"> </w:t>
      </w:r>
      <w:r w:rsidRPr="000D3D7F">
        <w:rPr>
          <w:szCs w:val="22"/>
          <w:lang w:val="sr-Latn-ME"/>
        </w:rPr>
        <w:t>prim</w:t>
      </w:r>
      <w:r w:rsidR="003F4455" w:rsidRPr="000D3D7F">
        <w:rPr>
          <w:szCs w:val="22"/>
          <w:lang w:val="sr-Latn-ME"/>
        </w:rPr>
        <w:t>ij</w:t>
      </w:r>
      <w:r w:rsidRPr="000D3D7F">
        <w:rPr>
          <w:szCs w:val="22"/>
          <w:lang w:val="sr-Latn-ME"/>
        </w:rPr>
        <w:t>enjen intravenski) u kombinaciji sa melfalanom (9mg/m</w:t>
      </w:r>
      <w:r w:rsidRPr="000D3D7F">
        <w:rPr>
          <w:szCs w:val="22"/>
          <w:vertAlign w:val="superscript"/>
          <w:lang w:val="sr-Latn-ME"/>
        </w:rPr>
        <w:t>2</w:t>
      </w:r>
      <w:r w:rsidRPr="000D3D7F">
        <w:rPr>
          <w:szCs w:val="22"/>
          <w:lang w:val="sr-Latn-ME"/>
        </w:rPr>
        <w:t>) i prednizonom (60mg/m</w:t>
      </w:r>
      <w:r w:rsidRPr="000D3D7F">
        <w:rPr>
          <w:szCs w:val="22"/>
          <w:vertAlign w:val="superscript"/>
          <w:lang w:val="sr-Latn-ME"/>
        </w:rPr>
        <w:t>2</w:t>
      </w:r>
      <w:r w:rsidRPr="000D3D7F">
        <w:rPr>
          <w:szCs w:val="22"/>
          <w:lang w:val="sr-Latn-ME"/>
        </w:rPr>
        <w:t>) dovodi do</w:t>
      </w:r>
      <w:r w:rsidR="004B33C6" w:rsidRPr="000D3D7F">
        <w:rPr>
          <w:szCs w:val="22"/>
          <w:lang w:val="sr-Latn-ME"/>
        </w:rPr>
        <w:t xml:space="preserve"> </w:t>
      </w:r>
      <w:r w:rsidRPr="000D3D7F">
        <w:rPr>
          <w:szCs w:val="22"/>
          <w:lang w:val="sr-Latn-ME"/>
        </w:rPr>
        <w:t>usporavanja TTP- vremena do progresije u poređenju sa melfalanom (9mg/m</w:t>
      </w:r>
      <w:r w:rsidRPr="000D3D7F">
        <w:rPr>
          <w:szCs w:val="22"/>
          <w:vertAlign w:val="superscript"/>
          <w:lang w:val="sr-Latn-ME"/>
        </w:rPr>
        <w:t>2</w:t>
      </w:r>
      <w:r w:rsidRPr="000D3D7F">
        <w:rPr>
          <w:szCs w:val="22"/>
          <w:lang w:val="sr-Latn-ME"/>
        </w:rPr>
        <w:t>) i prednizonom (60mg/m</w:t>
      </w:r>
      <w:r w:rsidRPr="000D3D7F">
        <w:rPr>
          <w:szCs w:val="22"/>
          <w:vertAlign w:val="superscript"/>
          <w:lang w:val="sr-Latn-ME"/>
        </w:rPr>
        <w:t>2</w:t>
      </w:r>
      <w:r w:rsidRPr="000D3D7F">
        <w:rPr>
          <w:szCs w:val="22"/>
          <w:lang w:val="sr-Latn-ME"/>
        </w:rPr>
        <w:t>)</w:t>
      </w:r>
      <w:r w:rsidR="004B33C6" w:rsidRPr="000D3D7F">
        <w:rPr>
          <w:szCs w:val="22"/>
          <w:lang w:val="sr-Latn-ME"/>
        </w:rPr>
        <w:t xml:space="preserve"> </w:t>
      </w:r>
      <w:r w:rsidRPr="000D3D7F">
        <w:rPr>
          <w:szCs w:val="22"/>
          <w:lang w:val="sr-Latn-ME"/>
        </w:rPr>
        <w:t>kod pacijenata obol</w:t>
      </w:r>
      <w:r w:rsidR="003F4455" w:rsidRPr="000D3D7F">
        <w:rPr>
          <w:szCs w:val="22"/>
          <w:lang w:val="sr-Latn-ME"/>
        </w:rPr>
        <w:t>j</w:t>
      </w:r>
      <w:r w:rsidRPr="000D3D7F">
        <w:rPr>
          <w:szCs w:val="22"/>
          <w:lang w:val="sr-Latn-ME"/>
        </w:rPr>
        <w:t>elih od multiplog mijeloma koji prethodno ni</w:t>
      </w:r>
      <w:r w:rsidR="001E1F5A" w:rsidRPr="000D3D7F">
        <w:rPr>
          <w:szCs w:val="22"/>
          <w:lang w:val="sr-Latn-ME"/>
        </w:rPr>
        <w:t>je</w:t>
      </w:r>
      <w:r w:rsidRPr="000D3D7F">
        <w:rPr>
          <w:szCs w:val="22"/>
          <w:lang w:val="sr-Latn-ME"/>
        </w:rPr>
        <w:t>su l</w:t>
      </w:r>
      <w:r w:rsidR="00094C2E" w:rsidRPr="000D3D7F">
        <w:rPr>
          <w:szCs w:val="22"/>
          <w:lang w:val="sr-Latn-ME"/>
        </w:rPr>
        <w:t>ij</w:t>
      </w:r>
      <w:r w:rsidRPr="000D3D7F">
        <w:rPr>
          <w:szCs w:val="22"/>
          <w:lang w:val="sr-Latn-ME"/>
        </w:rPr>
        <w:t>ečeni. Terapija je prim</w:t>
      </w:r>
      <w:r w:rsidR="00094C2E" w:rsidRPr="000D3D7F">
        <w:rPr>
          <w:szCs w:val="22"/>
          <w:lang w:val="sr-Latn-ME"/>
        </w:rPr>
        <w:t>j</w:t>
      </w:r>
      <w:r w:rsidRPr="000D3D7F">
        <w:rPr>
          <w:szCs w:val="22"/>
          <w:lang w:val="sr-Latn-ME"/>
        </w:rPr>
        <w:t>enjivana</w:t>
      </w:r>
      <w:r w:rsidR="004B33C6" w:rsidRPr="000D3D7F">
        <w:rPr>
          <w:szCs w:val="22"/>
          <w:lang w:val="sr-Latn-ME"/>
        </w:rPr>
        <w:t xml:space="preserve"> </w:t>
      </w:r>
      <w:r w:rsidRPr="000D3D7F">
        <w:rPr>
          <w:szCs w:val="22"/>
          <w:lang w:val="sr-Latn-ME"/>
        </w:rPr>
        <w:lastRenderedPageBreak/>
        <w:t>maksimalno u 9 ciklusa (oko 54 ned</w:t>
      </w:r>
      <w:r w:rsidR="00094C2E" w:rsidRPr="000D3D7F">
        <w:rPr>
          <w:szCs w:val="22"/>
          <w:lang w:val="sr-Latn-ME"/>
        </w:rPr>
        <w:t>j</w:t>
      </w:r>
      <w:r w:rsidRPr="000D3D7F">
        <w:rPr>
          <w:szCs w:val="22"/>
          <w:lang w:val="sr-Latn-ME"/>
        </w:rPr>
        <w:t>elje), a prekidana je i ranije ukoliko je dolazilo do napredovanja bolesti</w:t>
      </w:r>
      <w:r w:rsidR="004B33C6" w:rsidRPr="000D3D7F">
        <w:rPr>
          <w:szCs w:val="22"/>
          <w:lang w:val="sr-Latn-ME"/>
        </w:rPr>
        <w:t xml:space="preserve"> </w:t>
      </w:r>
      <w:r w:rsidRPr="000D3D7F">
        <w:rPr>
          <w:szCs w:val="22"/>
          <w:lang w:val="sr-Latn-ME"/>
        </w:rPr>
        <w:t>ili ukoliko je toksičnost bivala neprihvatljiva. Pros</w:t>
      </w:r>
      <w:r w:rsidR="00094C2E" w:rsidRPr="000D3D7F">
        <w:rPr>
          <w:szCs w:val="22"/>
          <w:lang w:val="sr-Latn-ME"/>
        </w:rPr>
        <w:t>j</w:t>
      </w:r>
      <w:r w:rsidRPr="000D3D7F">
        <w:rPr>
          <w:szCs w:val="22"/>
          <w:lang w:val="sr-Latn-ME"/>
        </w:rPr>
        <w:t>ečna starost pacijenata u kliničkom ispitivanju je bila 71</w:t>
      </w:r>
      <w:r w:rsidR="004B33C6" w:rsidRPr="000D3D7F">
        <w:rPr>
          <w:szCs w:val="22"/>
          <w:lang w:val="sr-Latn-ME"/>
        </w:rPr>
        <w:t xml:space="preserve"> </w:t>
      </w:r>
      <w:r w:rsidRPr="000D3D7F">
        <w:rPr>
          <w:szCs w:val="22"/>
          <w:lang w:val="sr-Latn-ME"/>
        </w:rPr>
        <w:t>godinu, 50% su bili muškarci, 88% su bili b</w:t>
      </w:r>
      <w:r w:rsidR="00094C2E" w:rsidRPr="000D3D7F">
        <w:rPr>
          <w:szCs w:val="22"/>
          <w:lang w:val="sr-Latn-ME"/>
        </w:rPr>
        <w:t>ij</w:t>
      </w:r>
      <w:r w:rsidRPr="000D3D7F">
        <w:rPr>
          <w:szCs w:val="22"/>
          <w:lang w:val="sr-Latn-ME"/>
        </w:rPr>
        <w:t>elci, a pros</w:t>
      </w:r>
      <w:r w:rsidR="00094C2E" w:rsidRPr="000D3D7F">
        <w:rPr>
          <w:szCs w:val="22"/>
          <w:lang w:val="sr-Latn-ME"/>
        </w:rPr>
        <w:t>j</w:t>
      </w:r>
      <w:r w:rsidRPr="000D3D7F">
        <w:rPr>
          <w:szCs w:val="22"/>
          <w:lang w:val="sr-Latn-ME"/>
        </w:rPr>
        <w:t>ečan Kamofsky performance status skor pacijanata je</w:t>
      </w:r>
      <w:r w:rsidR="004B33C6" w:rsidRPr="000D3D7F">
        <w:rPr>
          <w:szCs w:val="22"/>
          <w:lang w:val="sr-Latn-ME"/>
        </w:rPr>
        <w:t xml:space="preserve"> </w:t>
      </w:r>
      <w:r w:rsidRPr="000D3D7F">
        <w:rPr>
          <w:szCs w:val="22"/>
          <w:lang w:val="sr-Latn-ME"/>
        </w:rPr>
        <w:t>bio 80. Pacijanti su imali IgG/IgA/ mijelome lakih lanaca u 63%/25/8%, pros</w:t>
      </w:r>
      <w:r w:rsidR="00094C2E" w:rsidRPr="000D3D7F">
        <w:rPr>
          <w:szCs w:val="22"/>
          <w:lang w:val="sr-Latn-ME"/>
        </w:rPr>
        <w:t>j</w:t>
      </w:r>
      <w:r w:rsidRPr="000D3D7F">
        <w:rPr>
          <w:szCs w:val="22"/>
          <w:lang w:val="sr-Latn-ME"/>
        </w:rPr>
        <w:t>ečno hemoglobin je bio 105g/L</w:t>
      </w:r>
      <w:r w:rsidR="004B33C6" w:rsidRPr="000D3D7F">
        <w:rPr>
          <w:szCs w:val="22"/>
          <w:lang w:val="sr-Latn-ME"/>
        </w:rPr>
        <w:t xml:space="preserve"> </w:t>
      </w:r>
      <w:r w:rsidRPr="000D3D7F">
        <w:rPr>
          <w:szCs w:val="22"/>
          <w:lang w:val="sr-Latn-ME"/>
        </w:rPr>
        <w:t>a pros</w:t>
      </w:r>
      <w:r w:rsidR="00094C2E" w:rsidRPr="000D3D7F">
        <w:rPr>
          <w:szCs w:val="22"/>
          <w:lang w:val="sr-Latn-ME"/>
        </w:rPr>
        <w:t>j</w:t>
      </w:r>
      <w:r w:rsidRPr="000D3D7F">
        <w:rPr>
          <w:szCs w:val="22"/>
          <w:lang w:val="sr-Latn-ME"/>
        </w:rPr>
        <w:t>ečno broj trombocita 221,5x10</w:t>
      </w:r>
      <w:r w:rsidRPr="000D3D7F">
        <w:rPr>
          <w:szCs w:val="22"/>
          <w:vertAlign w:val="superscript"/>
          <w:lang w:val="sr-Latn-ME"/>
        </w:rPr>
        <w:t>9</w:t>
      </w:r>
      <w:r w:rsidRPr="000D3D7F">
        <w:rPr>
          <w:szCs w:val="22"/>
          <w:lang w:val="sr-Latn-ME"/>
        </w:rPr>
        <w:t xml:space="preserve">/L. Slične proporcije pacijenata su imale klirens kreatinina </w:t>
      </w:r>
      <w:r w:rsidR="00DC3307" w:rsidRPr="000D3D7F">
        <w:rPr>
          <w:lang w:val="sr-Latn-ME"/>
        </w:rPr>
        <w:t>≤</w:t>
      </w:r>
      <w:r w:rsidRPr="000D3D7F">
        <w:rPr>
          <w:szCs w:val="22"/>
          <w:lang w:val="sr-Latn-ME"/>
        </w:rPr>
        <w:t xml:space="preserve"> 30m</w:t>
      </w:r>
      <w:r w:rsidR="00695513" w:rsidRPr="000D3D7F">
        <w:rPr>
          <w:szCs w:val="22"/>
          <w:lang w:val="sr-Latn-ME"/>
        </w:rPr>
        <w:t>l</w:t>
      </w:r>
      <w:r w:rsidRPr="000D3D7F">
        <w:rPr>
          <w:szCs w:val="22"/>
          <w:lang w:val="sr-Latn-ME"/>
        </w:rPr>
        <w:t>/min</w:t>
      </w:r>
      <w:r w:rsidR="004B33C6" w:rsidRPr="000D3D7F">
        <w:rPr>
          <w:szCs w:val="22"/>
          <w:lang w:val="sr-Latn-ME"/>
        </w:rPr>
        <w:t xml:space="preserve"> </w:t>
      </w:r>
      <w:r w:rsidRPr="000D3D7F">
        <w:rPr>
          <w:szCs w:val="22"/>
          <w:lang w:val="sr-Latn-ME"/>
        </w:rPr>
        <w:t>(3% u svakoj grupi)</w:t>
      </w:r>
    </w:p>
    <w:p w14:paraId="4253FB8D" w14:textId="24956BAC" w:rsidR="009E39C5" w:rsidRPr="000D3D7F" w:rsidRDefault="009E39C5" w:rsidP="001E1F5A">
      <w:pPr>
        <w:rPr>
          <w:szCs w:val="22"/>
          <w:lang w:val="sr-Latn-ME"/>
        </w:rPr>
      </w:pPr>
      <w:r w:rsidRPr="000D3D7F">
        <w:rPr>
          <w:szCs w:val="22"/>
          <w:lang w:val="sr-Latn-ME"/>
        </w:rPr>
        <w:t>U trenutku prethodno vremenski određene privremene (interim) analize podataka, primarni cilj i vr</w:t>
      </w:r>
      <w:r w:rsidR="00094C2E" w:rsidRPr="000D3D7F">
        <w:rPr>
          <w:szCs w:val="22"/>
          <w:lang w:val="sr-Latn-ME"/>
        </w:rPr>
        <w:t>ij</w:t>
      </w:r>
      <w:r w:rsidRPr="000D3D7F">
        <w:rPr>
          <w:szCs w:val="22"/>
          <w:lang w:val="sr-Latn-ME"/>
        </w:rPr>
        <w:t>eme do</w:t>
      </w:r>
      <w:r w:rsidR="004B33C6" w:rsidRPr="000D3D7F">
        <w:rPr>
          <w:szCs w:val="22"/>
          <w:lang w:val="sr-Latn-ME"/>
        </w:rPr>
        <w:t xml:space="preserve"> </w:t>
      </w:r>
      <w:r w:rsidRPr="000D3D7F">
        <w:rPr>
          <w:szCs w:val="22"/>
          <w:lang w:val="sr-Latn-ME"/>
        </w:rPr>
        <w:t xml:space="preserve">progresije je postignut, a pacijentima iz grupe M+P ponuđena je terapija </w:t>
      </w:r>
      <w:r w:rsidR="00473C68" w:rsidRPr="000D3D7F">
        <w:rPr>
          <w:szCs w:val="22"/>
          <w:lang w:val="sr-Latn-ME"/>
        </w:rPr>
        <w:t>Bz</w:t>
      </w:r>
      <w:r w:rsidRPr="000D3D7F">
        <w:rPr>
          <w:szCs w:val="22"/>
          <w:lang w:val="sr-Latn-ME"/>
        </w:rPr>
        <w:t>+M+P. Medijana vremena</w:t>
      </w:r>
      <w:r w:rsidR="004B33C6" w:rsidRPr="000D3D7F">
        <w:rPr>
          <w:szCs w:val="22"/>
          <w:lang w:val="sr-Latn-ME"/>
        </w:rPr>
        <w:t xml:space="preserve"> </w:t>
      </w:r>
      <w:r w:rsidRPr="000D3D7F">
        <w:rPr>
          <w:szCs w:val="22"/>
          <w:lang w:val="sr-Latn-ME"/>
        </w:rPr>
        <w:t>praćenja je iznosilo 16,3 m</w:t>
      </w:r>
      <w:r w:rsidR="00094C2E" w:rsidRPr="000D3D7F">
        <w:rPr>
          <w:szCs w:val="22"/>
          <w:lang w:val="sr-Latn-ME"/>
        </w:rPr>
        <w:t>j</w:t>
      </w:r>
      <w:r w:rsidRPr="000D3D7F">
        <w:rPr>
          <w:szCs w:val="22"/>
          <w:lang w:val="sr-Latn-ME"/>
        </w:rPr>
        <w:t>eseci. Finalno ažuriranje podataka o preživljavanju je urađeno sa medijanom</w:t>
      </w:r>
      <w:r w:rsidR="004B33C6" w:rsidRPr="000D3D7F">
        <w:rPr>
          <w:szCs w:val="22"/>
          <w:lang w:val="sr-Latn-ME"/>
        </w:rPr>
        <w:t xml:space="preserve"> </w:t>
      </w:r>
      <w:r w:rsidRPr="000D3D7F">
        <w:rPr>
          <w:szCs w:val="22"/>
          <w:lang w:val="sr-Latn-ME"/>
        </w:rPr>
        <w:t>vremena praćenja od 60,1 m</w:t>
      </w:r>
      <w:r w:rsidR="00094C2E" w:rsidRPr="000D3D7F">
        <w:rPr>
          <w:szCs w:val="22"/>
          <w:lang w:val="sr-Latn-ME"/>
        </w:rPr>
        <w:t>j</w:t>
      </w:r>
      <w:r w:rsidRPr="000D3D7F">
        <w:rPr>
          <w:szCs w:val="22"/>
          <w:lang w:val="sr-Latn-ME"/>
        </w:rPr>
        <w:t xml:space="preserve">eseci. Statistički značajna razlika u preživljavanju u korist </w:t>
      </w:r>
      <w:r w:rsidR="00473C68" w:rsidRPr="000D3D7F">
        <w:rPr>
          <w:szCs w:val="22"/>
          <w:lang w:val="sr-Latn-ME"/>
        </w:rPr>
        <w:t>Bz</w:t>
      </w:r>
      <w:r w:rsidRPr="000D3D7F">
        <w:rPr>
          <w:szCs w:val="22"/>
          <w:lang w:val="sr-Latn-ME"/>
        </w:rPr>
        <w:t>+M+P terapijske</w:t>
      </w:r>
      <w:r w:rsidR="004B33C6" w:rsidRPr="000D3D7F">
        <w:rPr>
          <w:szCs w:val="22"/>
          <w:lang w:val="sr-Latn-ME"/>
        </w:rPr>
        <w:t xml:space="preserve"> </w:t>
      </w:r>
      <w:r w:rsidRPr="000D3D7F">
        <w:rPr>
          <w:szCs w:val="22"/>
          <w:lang w:val="sr-Latn-ME"/>
        </w:rPr>
        <w:t xml:space="preserve">grupe (HR= 0.695; p= 0,00043) je dobijena uprkos narednim različitim terapijama koje su uključivale </w:t>
      </w:r>
      <w:r w:rsidR="00473C68" w:rsidRPr="000D3D7F">
        <w:rPr>
          <w:szCs w:val="22"/>
          <w:lang w:val="sr-Latn-ME"/>
        </w:rPr>
        <w:t>b</w:t>
      </w:r>
      <w:r w:rsidR="00943CA2" w:rsidRPr="000D3D7F">
        <w:rPr>
          <w:szCs w:val="22"/>
          <w:lang w:val="sr-Latn-ME"/>
        </w:rPr>
        <w:t>ortezomib</w:t>
      </w:r>
      <w:r w:rsidRPr="000D3D7F">
        <w:rPr>
          <w:szCs w:val="22"/>
          <w:lang w:val="sr-Latn-ME"/>
        </w:rPr>
        <w:t xml:space="preserve">. Medijana vremena preživljavanja u terapijskoj grupi koja je primala </w:t>
      </w:r>
      <w:r w:rsidR="00473C68" w:rsidRPr="000D3D7F">
        <w:rPr>
          <w:szCs w:val="22"/>
          <w:lang w:val="sr-Latn-ME"/>
        </w:rPr>
        <w:t>Bz</w:t>
      </w:r>
      <w:r w:rsidRPr="000D3D7F">
        <w:rPr>
          <w:szCs w:val="22"/>
          <w:lang w:val="sr-Latn-ME"/>
        </w:rPr>
        <w:t>+M+P bilo je 56</w:t>
      </w:r>
      <w:r w:rsidR="00DC3307" w:rsidRPr="000D3D7F">
        <w:rPr>
          <w:szCs w:val="22"/>
          <w:lang w:val="sr-Latn-ME"/>
        </w:rPr>
        <w:t>,</w:t>
      </w:r>
      <w:r w:rsidRPr="000D3D7F">
        <w:rPr>
          <w:szCs w:val="22"/>
          <w:lang w:val="sr-Latn-ME"/>
        </w:rPr>
        <w:t>4 m</w:t>
      </w:r>
      <w:r w:rsidR="00094C2E" w:rsidRPr="000D3D7F">
        <w:rPr>
          <w:szCs w:val="22"/>
          <w:lang w:val="sr-Latn-ME"/>
        </w:rPr>
        <w:t>j</w:t>
      </w:r>
      <w:r w:rsidRPr="000D3D7F">
        <w:rPr>
          <w:szCs w:val="22"/>
          <w:lang w:val="sr-Latn-ME"/>
        </w:rPr>
        <w:t>eseci u</w:t>
      </w:r>
      <w:r w:rsidR="004B33C6" w:rsidRPr="000D3D7F">
        <w:rPr>
          <w:szCs w:val="22"/>
          <w:lang w:val="sr-Latn-ME"/>
        </w:rPr>
        <w:t xml:space="preserve"> </w:t>
      </w:r>
      <w:r w:rsidRPr="000D3D7F">
        <w:rPr>
          <w:szCs w:val="22"/>
          <w:lang w:val="sr-Latn-ME"/>
        </w:rPr>
        <w:t>poređenju sa 43,1 m</w:t>
      </w:r>
      <w:r w:rsidR="00094C2E" w:rsidRPr="000D3D7F">
        <w:rPr>
          <w:szCs w:val="22"/>
          <w:lang w:val="sr-Latn-ME"/>
        </w:rPr>
        <w:t>j</w:t>
      </w:r>
      <w:r w:rsidRPr="000D3D7F">
        <w:rPr>
          <w:szCs w:val="22"/>
          <w:lang w:val="sr-Latn-ME"/>
        </w:rPr>
        <w:t>esec u grupi koja je primala M+P. Rezultati efikasnosti su prikazani u Tabeli 11.</w:t>
      </w:r>
    </w:p>
    <w:p w14:paraId="58215032" w14:textId="77777777" w:rsidR="004F4316" w:rsidRPr="000D3D7F" w:rsidRDefault="004F4316" w:rsidP="001E1F5A">
      <w:pPr>
        <w:rPr>
          <w:szCs w:val="22"/>
          <w:lang w:val="sr-Latn-ME"/>
        </w:rPr>
      </w:pPr>
    </w:p>
    <w:p w14:paraId="67911602" w14:textId="772EC3FA" w:rsidR="009E39C5" w:rsidRPr="000D3D7F" w:rsidRDefault="009E39C5" w:rsidP="001E1F5A">
      <w:pPr>
        <w:rPr>
          <w:i/>
          <w:iCs/>
          <w:szCs w:val="22"/>
          <w:lang w:val="sr-Latn-ME"/>
        </w:rPr>
      </w:pPr>
      <w:r w:rsidRPr="000D3D7F">
        <w:rPr>
          <w:i/>
          <w:iCs/>
          <w:szCs w:val="22"/>
          <w:lang w:val="sr-Latn-ME"/>
        </w:rPr>
        <w:t>Tabela 11 – Rezultati efikasnosti dobijeni finalnim ažuriranjem podataka o preživljavanju u kliničkom</w:t>
      </w:r>
      <w:r w:rsidR="004B33C6" w:rsidRPr="000D3D7F">
        <w:rPr>
          <w:i/>
          <w:iCs/>
          <w:szCs w:val="22"/>
          <w:lang w:val="sr-Latn-ME"/>
        </w:rPr>
        <w:t xml:space="preserve"> </w:t>
      </w:r>
      <w:r w:rsidRPr="000D3D7F">
        <w:rPr>
          <w:i/>
          <w:iCs/>
          <w:szCs w:val="22"/>
          <w:lang w:val="sr-Latn-ME"/>
        </w:rPr>
        <w:t>ispitivanju VISTA</w:t>
      </w:r>
    </w:p>
    <w:tbl>
      <w:tblPr>
        <w:tblW w:w="0" w:type="auto"/>
        <w:tblInd w:w="-5" w:type="dxa"/>
        <w:tblLayout w:type="fixed"/>
        <w:tblCellMar>
          <w:left w:w="0" w:type="dxa"/>
          <w:right w:w="0" w:type="dxa"/>
        </w:tblCellMar>
        <w:tblLook w:val="0000" w:firstRow="0" w:lastRow="0" w:firstColumn="0" w:lastColumn="0" w:noHBand="0" w:noVBand="0"/>
      </w:tblPr>
      <w:tblGrid>
        <w:gridCol w:w="4989"/>
        <w:gridCol w:w="2420"/>
        <w:gridCol w:w="1419"/>
      </w:tblGrid>
      <w:tr w:rsidR="004F4316" w:rsidRPr="000D3D7F" w14:paraId="25CE1D6F" w14:textId="77777777" w:rsidTr="00D247AB">
        <w:trPr>
          <w:trHeight w:val="509"/>
        </w:trPr>
        <w:tc>
          <w:tcPr>
            <w:tcW w:w="4989" w:type="dxa"/>
            <w:tcBorders>
              <w:top w:val="single" w:sz="12" w:space="0" w:color="000000"/>
              <w:left w:val="single" w:sz="4" w:space="0" w:color="auto"/>
              <w:bottom w:val="single" w:sz="12" w:space="0" w:color="000000"/>
              <w:right w:val="single" w:sz="4" w:space="0" w:color="000000"/>
            </w:tcBorders>
          </w:tcPr>
          <w:p w14:paraId="7F6A2CEA" w14:textId="77777777" w:rsidR="004F4316" w:rsidRPr="000D3D7F" w:rsidRDefault="004F4316" w:rsidP="001E1F5A">
            <w:pPr>
              <w:rPr>
                <w:b/>
                <w:bCs/>
                <w:lang w:val="sr-Latn-ME"/>
              </w:rPr>
            </w:pPr>
            <w:r w:rsidRPr="000D3D7F">
              <w:rPr>
                <w:b/>
                <w:bCs/>
                <w:szCs w:val="22"/>
                <w:lang w:val="sr-Latn-ME"/>
              </w:rPr>
              <w:t>Krajnja efikasnost</w:t>
            </w:r>
          </w:p>
        </w:tc>
        <w:tc>
          <w:tcPr>
            <w:tcW w:w="2420" w:type="dxa"/>
            <w:tcBorders>
              <w:top w:val="single" w:sz="12" w:space="0" w:color="000000"/>
              <w:left w:val="single" w:sz="4" w:space="0" w:color="000000"/>
              <w:bottom w:val="single" w:sz="12" w:space="0" w:color="000000"/>
              <w:right w:val="single" w:sz="4" w:space="0" w:color="000000"/>
            </w:tcBorders>
          </w:tcPr>
          <w:p w14:paraId="274A183A" w14:textId="13507510" w:rsidR="004F4316" w:rsidRPr="000D3D7F" w:rsidRDefault="00473C68" w:rsidP="001E1F5A">
            <w:pPr>
              <w:rPr>
                <w:b/>
                <w:bCs/>
                <w:lang w:val="sr-Latn-ME"/>
              </w:rPr>
            </w:pPr>
            <w:r w:rsidRPr="000D3D7F">
              <w:rPr>
                <w:b/>
                <w:bCs/>
                <w:szCs w:val="22"/>
                <w:lang w:val="sr-Latn-ME"/>
              </w:rPr>
              <w:t>Bz</w:t>
            </w:r>
            <w:r w:rsidR="004F4316" w:rsidRPr="000D3D7F">
              <w:rPr>
                <w:b/>
                <w:bCs/>
                <w:szCs w:val="22"/>
                <w:lang w:val="sr-Latn-ME"/>
              </w:rPr>
              <w:t>MP</w:t>
            </w:r>
          </w:p>
          <w:p w14:paraId="60902F6D" w14:textId="77777777" w:rsidR="004F4316" w:rsidRPr="000D3D7F" w:rsidRDefault="004F4316" w:rsidP="001E1F5A">
            <w:pPr>
              <w:rPr>
                <w:b/>
                <w:bCs/>
                <w:lang w:val="sr-Latn-ME"/>
              </w:rPr>
            </w:pPr>
            <w:r w:rsidRPr="000D3D7F">
              <w:rPr>
                <w:b/>
                <w:bCs/>
                <w:szCs w:val="22"/>
                <w:lang w:val="sr-Latn-ME"/>
              </w:rPr>
              <w:t>n=344</w:t>
            </w:r>
          </w:p>
        </w:tc>
        <w:tc>
          <w:tcPr>
            <w:tcW w:w="1418" w:type="dxa"/>
            <w:tcBorders>
              <w:top w:val="single" w:sz="12" w:space="0" w:color="000000"/>
              <w:left w:val="single" w:sz="4" w:space="0" w:color="000000"/>
              <w:bottom w:val="single" w:sz="12" w:space="0" w:color="000000"/>
              <w:right w:val="single" w:sz="4" w:space="0" w:color="auto"/>
            </w:tcBorders>
          </w:tcPr>
          <w:p w14:paraId="167857F2" w14:textId="77777777" w:rsidR="004F4316" w:rsidRPr="000D3D7F" w:rsidRDefault="004F4316" w:rsidP="001E1F5A">
            <w:pPr>
              <w:rPr>
                <w:b/>
                <w:bCs/>
                <w:lang w:val="sr-Latn-ME"/>
              </w:rPr>
            </w:pPr>
            <w:r w:rsidRPr="000D3D7F">
              <w:rPr>
                <w:b/>
                <w:bCs/>
                <w:szCs w:val="22"/>
                <w:lang w:val="sr-Latn-ME"/>
              </w:rPr>
              <w:t>MP</w:t>
            </w:r>
          </w:p>
          <w:p w14:paraId="21D28F3F" w14:textId="77777777" w:rsidR="004F4316" w:rsidRPr="000D3D7F" w:rsidRDefault="004F4316" w:rsidP="001E1F5A">
            <w:pPr>
              <w:rPr>
                <w:b/>
                <w:bCs/>
                <w:lang w:val="sr-Latn-ME"/>
              </w:rPr>
            </w:pPr>
            <w:r w:rsidRPr="000D3D7F">
              <w:rPr>
                <w:b/>
                <w:bCs/>
                <w:szCs w:val="22"/>
                <w:lang w:val="sr-Latn-ME"/>
              </w:rPr>
              <w:t>n=338</w:t>
            </w:r>
          </w:p>
        </w:tc>
      </w:tr>
      <w:tr w:rsidR="004F4316" w:rsidRPr="000D3D7F" w14:paraId="6DC5308B" w14:textId="77777777" w:rsidTr="00D247AB">
        <w:trPr>
          <w:trHeight w:val="505"/>
        </w:trPr>
        <w:tc>
          <w:tcPr>
            <w:tcW w:w="4989" w:type="dxa"/>
            <w:tcBorders>
              <w:top w:val="single" w:sz="12" w:space="0" w:color="000000"/>
              <w:left w:val="single" w:sz="4" w:space="0" w:color="auto"/>
              <w:bottom w:val="single" w:sz="4" w:space="0" w:color="000000"/>
              <w:right w:val="single" w:sz="4" w:space="0" w:color="000000"/>
            </w:tcBorders>
          </w:tcPr>
          <w:p w14:paraId="6F4BF1FB" w14:textId="72BDA8DC" w:rsidR="004F4316" w:rsidRPr="000D3D7F" w:rsidRDefault="004F4316" w:rsidP="001E1F5A">
            <w:pPr>
              <w:rPr>
                <w:lang w:val="sr-Latn-ME"/>
              </w:rPr>
            </w:pPr>
            <w:r w:rsidRPr="000D3D7F">
              <w:rPr>
                <w:b/>
                <w:bCs/>
                <w:szCs w:val="22"/>
                <w:lang w:val="sr-Latn-ME"/>
              </w:rPr>
              <w:t>TTP-vr</w:t>
            </w:r>
            <w:r w:rsidR="00094C2E" w:rsidRPr="000D3D7F">
              <w:rPr>
                <w:b/>
                <w:bCs/>
                <w:szCs w:val="22"/>
                <w:lang w:val="sr-Latn-ME"/>
              </w:rPr>
              <w:t>ij</w:t>
            </w:r>
            <w:r w:rsidRPr="000D3D7F">
              <w:rPr>
                <w:b/>
                <w:bCs/>
                <w:szCs w:val="22"/>
                <w:lang w:val="sr-Latn-ME"/>
              </w:rPr>
              <w:t xml:space="preserve">eme do progresije </w:t>
            </w:r>
            <w:r w:rsidRPr="000D3D7F">
              <w:rPr>
                <w:szCs w:val="22"/>
                <w:lang w:val="sr-Latn-ME"/>
              </w:rPr>
              <w:t>–</w:t>
            </w:r>
          </w:p>
          <w:p w14:paraId="4F8F0F09" w14:textId="77777777" w:rsidR="004F4316" w:rsidRPr="000D3D7F" w:rsidRDefault="004F4316" w:rsidP="001E1F5A">
            <w:pPr>
              <w:rPr>
                <w:lang w:val="sr-Latn-ME"/>
              </w:rPr>
            </w:pPr>
            <w:r w:rsidRPr="000D3D7F">
              <w:rPr>
                <w:szCs w:val="22"/>
                <w:lang w:val="sr-Latn-ME"/>
              </w:rPr>
              <w:t>Događaj n (%)</w:t>
            </w:r>
          </w:p>
        </w:tc>
        <w:tc>
          <w:tcPr>
            <w:tcW w:w="2420" w:type="dxa"/>
            <w:tcBorders>
              <w:top w:val="single" w:sz="12" w:space="0" w:color="000000"/>
              <w:left w:val="single" w:sz="4" w:space="0" w:color="000000"/>
              <w:bottom w:val="single" w:sz="4" w:space="0" w:color="000000"/>
              <w:right w:val="single" w:sz="4" w:space="0" w:color="000000"/>
            </w:tcBorders>
          </w:tcPr>
          <w:p w14:paraId="3E40B8FE" w14:textId="77777777" w:rsidR="004F4316" w:rsidRPr="000D3D7F" w:rsidRDefault="004F4316" w:rsidP="001E1F5A">
            <w:pPr>
              <w:rPr>
                <w:lang w:val="sr-Latn-ME"/>
              </w:rPr>
            </w:pPr>
          </w:p>
          <w:p w14:paraId="5405B141" w14:textId="77777777" w:rsidR="004F4316" w:rsidRPr="000D3D7F" w:rsidRDefault="004F4316" w:rsidP="001E1F5A">
            <w:pPr>
              <w:rPr>
                <w:lang w:val="sr-Latn-ME"/>
              </w:rPr>
            </w:pPr>
            <w:r w:rsidRPr="000D3D7F">
              <w:rPr>
                <w:szCs w:val="22"/>
                <w:lang w:val="sr-Latn-ME"/>
              </w:rPr>
              <w:t>101 (29)</w:t>
            </w:r>
          </w:p>
        </w:tc>
        <w:tc>
          <w:tcPr>
            <w:tcW w:w="1418" w:type="dxa"/>
            <w:tcBorders>
              <w:top w:val="single" w:sz="12" w:space="0" w:color="000000"/>
              <w:left w:val="single" w:sz="4" w:space="0" w:color="000000"/>
              <w:bottom w:val="single" w:sz="4" w:space="0" w:color="000000"/>
              <w:right w:val="single" w:sz="4" w:space="0" w:color="auto"/>
            </w:tcBorders>
          </w:tcPr>
          <w:p w14:paraId="796DE14D" w14:textId="77777777" w:rsidR="004F4316" w:rsidRPr="000D3D7F" w:rsidRDefault="004F4316" w:rsidP="001E1F5A">
            <w:pPr>
              <w:rPr>
                <w:lang w:val="sr-Latn-ME"/>
              </w:rPr>
            </w:pPr>
          </w:p>
          <w:p w14:paraId="07694D3F" w14:textId="77777777" w:rsidR="004F4316" w:rsidRPr="000D3D7F" w:rsidRDefault="004F4316" w:rsidP="001E1F5A">
            <w:pPr>
              <w:rPr>
                <w:lang w:val="sr-Latn-ME"/>
              </w:rPr>
            </w:pPr>
            <w:r w:rsidRPr="000D3D7F">
              <w:rPr>
                <w:szCs w:val="22"/>
                <w:lang w:val="sr-Latn-ME"/>
              </w:rPr>
              <w:t>152 (45)</w:t>
            </w:r>
          </w:p>
        </w:tc>
      </w:tr>
      <w:tr w:rsidR="004F4316" w:rsidRPr="000D3D7F" w14:paraId="0B414C9C" w14:textId="77777777" w:rsidTr="00D247AB">
        <w:trPr>
          <w:trHeight w:val="510"/>
        </w:trPr>
        <w:tc>
          <w:tcPr>
            <w:tcW w:w="4989" w:type="dxa"/>
            <w:tcBorders>
              <w:top w:val="single" w:sz="4" w:space="0" w:color="000000"/>
              <w:left w:val="single" w:sz="4" w:space="0" w:color="auto"/>
              <w:bottom w:val="single" w:sz="4" w:space="0" w:color="000000"/>
              <w:right w:val="single" w:sz="4" w:space="0" w:color="000000"/>
            </w:tcBorders>
          </w:tcPr>
          <w:p w14:paraId="40E4295A" w14:textId="77777777" w:rsidR="004F4316" w:rsidRPr="000D3D7F" w:rsidRDefault="004F4316" w:rsidP="001E1F5A">
            <w:pPr>
              <w:rPr>
                <w:lang w:val="sr-Latn-ME"/>
              </w:rPr>
            </w:pPr>
            <w:r w:rsidRPr="000D3D7F">
              <w:rPr>
                <w:szCs w:val="22"/>
                <w:lang w:val="sr-Latn-ME"/>
              </w:rPr>
              <w:t>Medijana</w:t>
            </w:r>
            <w:r w:rsidRPr="000D3D7F">
              <w:rPr>
                <w:szCs w:val="22"/>
                <w:vertAlign w:val="superscript"/>
                <w:lang w:val="sr-Latn-ME"/>
              </w:rPr>
              <w:t>a</w:t>
            </w:r>
            <w:r w:rsidRPr="000D3D7F">
              <w:rPr>
                <w:szCs w:val="22"/>
                <w:lang w:val="sr-Latn-ME"/>
              </w:rPr>
              <w:t xml:space="preserve"> (95% CI)</w:t>
            </w:r>
          </w:p>
        </w:tc>
        <w:tc>
          <w:tcPr>
            <w:tcW w:w="2420" w:type="dxa"/>
            <w:tcBorders>
              <w:top w:val="single" w:sz="4" w:space="0" w:color="000000"/>
              <w:left w:val="single" w:sz="4" w:space="0" w:color="000000"/>
              <w:bottom w:val="single" w:sz="4" w:space="0" w:color="000000"/>
              <w:right w:val="single" w:sz="4" w:space="0" w:color="000000"/>
            </w:tcBorders>
          </w:tcPr>
          <w:p w14:paraId="0C13280E" w14:textId="0CCF8617" w:rsidR="004F4316" w:rsidRPr="000D3D7F" w:rsidRDefault="004F4316" w:rsidP="001E1F5A">
            <w:pPr>
              <w:rPr>
                <w:lang w:val="sr-Latn-ME"/>
              </w:rPr>
            </w:pPr>
            <w:r w:rsidRPr="000D3D7F">
              <w:rPr>
                <w:szCs w:val="22"/>
                <w:lang w:val="sr-Latn-ME"/>
              </w:rPr>
              <w:t>20,7 m</w:t>
            </w:r>
            <w:r w:rsidR="00094C2E" w:rsidRPr="000D3D7F">
              <w:rPr>
                <w:szCs w:val="22"/>
                <w:lang w:val="sr-Latn-ME"/>
              </w:rPr>
              <w:t>j</w:t>
            </w:r>
            <w:r w:rsidRPr="000D3D7F">
              <w:rPr>
                <w:szCs w:val="22"/>
                <w:lang w:val="sr-Latn-ME"/>
              </w:rPr>
              <w:t>es</w:t>
            </w:r>
          </w:p>
          <w:p w14:paraId="55F46A11" w14:textId="77777777" w:rsidR="004F4316" w:rsidRPr="000D3D7F" w:rsidRDefault="004F4316" w:rsidP="001E1F5A">
            <w:pPr>
              <w:rPr>
                <w:lang w:val="sr-Latn-ME"/>
              </w:rPr>
            </w:pPr>
            <w:r w:rsidRPr="000D3D7F">
              <w:rPr>
                <w:szCs w:val="22"/>
                <w:lang w:val="sr-Latn-ME"/>
              </w:rPr>
              <w:t>(17,6; 24,7)</w:t>
            </w:r>
          </w:p>
        </w:tc>
        <w:tc>
          <w:tcPr>
            <w:tcW w:w="1418" w:type="dxa"/>
            <w:tcBorders>
              <w:top w:val="single" w:sz="4" w:space="0" w:color="000000"/>
              <w:left w:val="single" w:sz="4" w:space="0" w:color="000000"/>
              <w:bottom w:val="single" w:sz="4" w:space="0" w:color="000000"/>
              <w:right w:val="single" w:sz="4" w:space="0" w:color="auto"/>
            </w:tcBorders>
          </w:tcPr>
          <w:p w14:paraId="1C95E4DF" w14:textId="1057E0F2" w:rsidR="004F4316" w:rsidRPr="000D3D7F" w:rsidRDefault="004F4316" w:rsidP="001E1F5A">
            <w:pPr>
              <w:rPr>
                <w:lang w:val="sr-Latn-ME"/>
              </w:rPr>
            </w:pPr>
            <w:r w:rsidRPr="000D3D7F">
              <w:rPr>
                <w:szCs w:val="22"/>
                <w:lang w:val="sr-Latn-ME"/>
              </w:rPr>
              <w:t>15,0 m</w:t>
            </w:r>
            <w:r w:rsidR="00094C2E" w:rsidRPr="000D3D7F">
              <w:rPr>
                <w:szCs w:val="22"/>
                <w:lang w:val="sr-Latn-ME"/>
              </w:rPr>
              <w:t>j</w:t>
            </w:r>
            <w:r w:rsidRPr="000D3D7F">
              <w:rPr>
                <w:szCs w:val="22"/>
                <w:lang w:val="sr-Latn-ME"/>
              </w:rPr>
              <w:t>es</w:t>
            </w:r>
          </w:p>
          <w:p w14:paraId="3D79F88F" w14:textId="77777777" w:rsidR="004F4316" w:rsidRPr="000D3D7F" w:rsidRDefault="004F4316" w:rsidP="001E1F5A">
            <w:pPr>
              <w:rPr>
                <w:lang w:val="sr-Latn-ME"/>
              </w:rPr>
            </w:pPr>
            <w:r w:rsidRPr="000D3D7F">
              <w:rPr>
                <w:szCs w:val="22"/>
                <w:lang w:val="sr-Latn-ME"/>
              </w:rPr>
              <w:t>(14,1; 17,9)</w:t>
            </w:r>
          </w:p>
        </w:tc>
      </w:tr>
      <w:tr w:rsidR="004F4316" w:rsidRPr="000D3D7F" w14:paraId="54535CE5"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989" w:type="dxa"/>
          </w:tcPr>
          <w:p w14:paraId="09780602" w14:textId="77777777" w:rsidR="004F4316" w:rsidRPr="000D3D7F" w:rsidRDefault="004F4316" w:rsidP="001E1F5A">
            <w:pPr>
              <w:rPr>
                <w:vertAlign w:val="superscript"/>
                <w:lang w:val="sr-Latn-ME"/>
              </w:rPr>
            </w:pPr>
            <w:r w:rsidRPr="000D3D7F">
              <w:rPr>
                <w:i/>
                <w:iCs/>
                <w:szCs w:val="22"/>
                <w:lang w:val="sr-Latn-ME"/>
              </w:rPr>
              <w:t>Hazard ratio</w:t>
            </w:r>
            <w:r w:rsidRPr="000D3D7F">
              <w:rPr>
                <w:szCs w:val="22"/>
                <w:vertAlign w:val="superscript"/>
                <w:lang w:val="sr-Latn-ME"/>
              </w:rPr>
              <w:t>b</w:t>
            </w:r>
          </w:p>
        </w:tc>
        <w:tc>
          <w:tcPr>
            <w:tcW w:w="3839" w:type="dxa"/>
            <w:gridSpan w:val="2"/>
            <w:vMerge w:val="restart"/>
          </w:tcPr>
          <w:p w14:paraId="4E9A67C5" w14:textId="77777777" w:rsidR="004F4316" w:rsidRPr="000D3D7F" w:rsidRDefault="004F4316" w:rsidP="001E1F5A">
            <w:pPr>
              <w:rPr>
                <w:lang w:val="sr-Latn-ME"/>
              </w:rPr>
            </w:pPr>
            <w:r w:rsidRPr="000D3D7F">
              <w:rPr>
                <w:szCs w:val="22"/>
                <w:lang w:val="sr-Latn-ME"/>
              </w:rPr>
              <w:t>0,54</w:t>
            </w:r>
          </w:p>
          <w:p w14:paraId="6466BC51" w14:textId="375F0651" w:rsidR="004F4316" w:rsidRPr="000D3D7F" w:rsidRDefault="004F4316" w:rsidP="001E1F5A">
            <w:pPr>
              <w:rPr>
                <w:lang w:val="sr-Latn-ME"/>
              </w:rPr>
            </w:pPr>
            <w:r w:rsidRPr="000D3D7F">
              <w:rPr>
                <w:szCs w:val="22"/>
                <w:lang w:val="sr-Latn-ME"/>
              </w:rPr>
              <w:t>(0,42; 0,70)</w:t>
            </w:r>
          </w:p>
        </w:tc>
      </w:tr>
      <w:tr w:rsidR="004F4316" w:rsidRPr="000D3D7F" w14:paraId="6DE9E5E3"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4989" w:type="dxa"/>
          </w:tcPr>
          <w:p w14:paraId="1D1FA57E" w14:textId="77777777" w:rsidR="004F4316" w:rsidRPr="000D3D7F" w:rsidRDefault="004F4316" w:rsidP="001E1F5A">
            <w:pPr>
              <w:rPr>
                <w:lang w:val="sr-Latn-ME"/>
              </w:rPr>
            </w:pPr>
            <w:r w:rsidRPr="000D3D7F">
              <w:rPr>
                <w:szCs w:val="22"/>
                <w:lang w:val="sr-Latn-ME"/>
              </w:rPr>
              <w:t>(95% CI)</w:t>
            </w:r>
          </w:p>
        </w:tc>
        <w:tc>
          <w:tcPr>
            <w:tcW w:w="3839" w:type="dxa"/>
            <w:gridSpan w:val="2"/>
            <w:vMerge/>
          </w:tcPr>
          <w:p w14:paraId="0030DF0F" w14:textId="77777777" w:rsidR="004F4316" w:rsidRPr="000D3D7F" w:rsidRDefault="004F4316" w:rsidP="001E1F5A">
            <w:pPr>
              <w:rPr>
                <w:lang w:val="sr-Latn-ME"/>
              </w:rPr>
            </w:pPr>
          </w:p>
        </w:tc>
      </w:tr>
      <w:tr w:rsidR="004F4316" w:rsidRPr="000D3D7F" w14:paraId="14C3D23B"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989" w:type="dxa"/>
          </w:tcPr>
          <w:p w14:paraId="41253272" w14:textId="40E78469" w:rsidR="004F4316" w:rsidRPr="000D3D7F" w:rsidRDefault="004F4316" w:rsidP="001E1F5A">
            <w:pPr>
              <w:rPr>
                <w:vertAlign w:val="superscript"/>
                <w:lang w:val="sr-Latn-ME"/>
              </w:rPr>
            </w:pPr>
            <w:r w:rsidRPr="000D3D7F">
              <w:rPr>
                <w:szCs w:val="22"/>
                <w:lang w:val="sr-Latn-ME"/>
              </w:rPr>
              <w:t>p-vr</w:t>
            </w:r>
            <w:r w:rsidR="00094C2E" w:rsidRPr="000D3D7F">
              <w:rPr>
                <w:szCs w:val="22"/>
                <w:lang w:val="sr-Latn-ME"/>
              </w:rPr>
              <w:t>ij</w:t>
            </w:r>
            <w:r w:rsidRPr="000D3D7F">
              <w:rPr>
                <w:szCs w:val="22"/>
                <w:lang w:val="sr-Latn-ME"/>
              </w:rPr>
              <w:t xml:space="preserve">ednost </w:t>
            </w:r>
            <w:r w:rsidRPr="000D3D7F">
              <w:rPr>
                <w:szCs w:val="22"/>
                <w:vertAlign w:val="superscript"/>
                <w:lang w:val="sr-Latn-ME"/>
              </w:rPr>
              <w:t>c</w:t>
            </w:r>
          </w:p>
        </w:tc>
        <w:tc>
          <w:tcPr>
            <w:tcW w:w="3839" w:type="dxa"/>
            <w:gridSpan w:val="2"/>
          </w:tcPr>
          <w:p w14:paraId="52940D01" w14:textId="0808D434" w:rsidR="004F4316" w:rsidRPr="000D3D7F" w:rsidRDefault="004F4316" w:rsidP="001E1F5A">
            <w:pPr>
              <w:rPr>
                <w:lang w:val="sr-Latn-ME"/>
              </w:rPr>
            </w:pPr>
            <w:r w:rsidRPr="000D3D7F">
              <w:rPr>
                <w:szCs w:val="22"/>
                <w:lang w:val="sr-Latn-ME"/>
              </w:rPr>
              <w:t>0,000002</w:t>
            </w:r>
          </w:p>
        </w:tc>
      </w:tr>
      <w:tr w:rsidR="004F4316" w:rsidRPr="000D3D7F" w14:paraId="19FB6B66"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989" w:type="dxa"/>
          </w:tcPr>
          <w:p w14:paraId="3764E65E" w14:textId="77777777" w:rsidR="004F4316" w:rsidRPr="000D3D7F" w:rsidRDefault="004F4316" w:rsidP="001E1F5A">
            <w:pPr>
              <w:rPr>
                <w:b/>
                <w:bCs/>
                <w:lang w:val="sr-Latn-ME"/>
              </w:rPr>
            </w:pPr>
            <w:r w:rsidRPr="000D3D7F">
              <w:rPr>
                <w:b/>
                <w:bCs/>
                <w:szCs w:val="22"/>
                <w:lang w:val="sr-Latn-ME"/>
              </w:rPr>
              <w:t>Preživljavanje bez progresije-PFS</w:t>
            </w:r>
          </w:p>
        </w:tc>
        <w:tc>
          <w:tcPr>
            <w:tcW w:w="2420" w:type="dxa"/>
          </w:tcPr>
          <w:p w14:paraId="34E6822F" w14:textId="77777777" w:rsidR="004F4316" w:rsidRPr="000D3D7F" w:rsidRDefault="004F4316" w:rsidP="001E1F5A">
            <w:pPr>
              <w:rPr>
                <w:lang w:val="sr-Latn-ME"/>
              </w:rPr>
            </w:pPr>
          </w:p>
        </w:tc>
        <w:tc>
          <w:tcPr>
            <w:tcW w:w="1418" w:type="dxa"/>
          </w:tcPr>
          <w:p w14:paraId="0A1D1D58" w14:textId="77777777" w:rsidR="004F4316" w:rsidRPr="000D3D7F" w:rsidRDefault="004F4316" w:rsidP="001E1F5A">
            <w:pPr>
              <w:rPr>
                <w:lang w:val="sr-Latn-ME"/>
              </w:rPr>
            </w:pPr>
          </w:p>
        </w:tc>
      </w:tr>
      <w:tr w:rsidR="004F4316" w:rsidRPr="000D3D7F" w14:paraId="19ADEEC1"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4989" w:type="dxa"/>
          </w:tcPr>
          <w:p w14:paraId="5D53E4E5" w14:textId="77777777" w:rsidR="004F4316" w:rsidRPr="000D3D7F" w:rsidRDefault="004F4316" w:rsidP="001E1F5A">
            <w:pPr>
              <w:rPr>
                <w:lang w:val="sr-Latn-ME"/>
              </w:rPr>
            </w:pPr>
            <w:r w:rsidRPr="000D3D7F">
              <w:rPr>
                <w:szCs w:val="22"/>
                <w:lang w:val="sr-Latn-ME"/>
              </w:rPr>
              <w:t>Događaj n (%)</w:t>
            </w:r>
          </w:p>
        </w:tc>
        <w:tc>
          <w:tcPr>
            <w:tcW w:w="2420" w:type="dxa"/>
          </w:tcPr>
          <w:p w14:paraId="768111E9" w14:textId="77777777" w:rsidR="004F4316" w:rsidRPr="000D3D7F" w:rsidRDefault="004F4316" w:rsidP="001E1F5A">
            <w:pPr>
              <w:rPr>
                <w:lang w:val="sr-Latn-ME"/>
              </w:rPr>
            </w:pPr>
            <w:r w:rsidRPr="000D3D7F">
              <w:rPr>
                <w:szCs w:val="22"/>
                <w:lang w:val="sr-Latn-ME"/>
              </w:rPr>
              <w:t>135 (39)</w:t>
            </w:r>
          </w:p>
        </w:tc>
        <w:tc>
          <w:tcPr>
            <w:tcW w:w="1418" w:type="dxa"/>
          </w:tcPr>
          <w:p w14:paraId="509906FD" w14:textId="77777777" w:rsidR="004F4316" w:rsidRPr="000D3D7F" w:rsidRDefault="004F4316" w:rsidP="001E1F5A">
            <w:pPr>
              <w:rPr>
                <w:lang w:val="sr-Latn-ME"/>
              </w:rPr>
            </w:pPr>
            <w:r w:rsidRPr="000D3D7F">
              <w:rPr>
                <w:szCs w:val="22"/>
                <w:lang w:val="sr-Latn-ME"/>
              </w:rPr>
              <w:t>190 (56)</w:t>
            </w:r>
          </w:p>
        </w:tc>
      </w:tr>
      <w:tr w:rsidR="004F4316" w:rsidRPr="000D3D7F" w14:paraId="227945B1"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989" w:type="dxa"/>
          </w:tcPr>
          <w:p w14:paraId="40AD2998" w14:textId="77777777" w:rsidR="004F4316" w:rsidRPr="000D3D7F" w:rsidRDefault="004F4316" w:rsidP="001E1F5A">
            <w:pPr>
              <w:rPr>
                <w:lang w:val="sr-Latn-ME"/>
              </w:rPr>
            </w:pPr>
            <w:r w:rsidRPr="000D3D7F">
              <w:rPr>
                <w:szCs w:val="22"/>
                <w:lang w:val="sr-Latn-ME"/>
              </w:rPr>
              <w:t>Medijana</w:t>
            </w:r>
            <w:r w:rsidRPr="000D3D7F">
              <w:rPr>
                <w:szCs w:val="22"/>
                <w:vertAlign w:val="superscript"/>
                <w:lang w:val="sr-Latn-ME"/>
              </w:rPr>
              <w:t>a</w:t>
            </w:r>
            <w:r w:rsidRPr="000D3D7F">
              <w:rPr>
                <w:szCs w:val="22"/>
                <w:lang w:val="sr-Latn-ME"/>
              </w:rPr>
              <w:t xml:space="preserve"> (95% CI)</w:t>
            </w:r>
          </w:p>
        </w:tc>
        <w:tc>
          <w:tcPr>
            <w:tcW w:w="2420" w:type="dxa"/>
          </w:tcPr>
          <w:p w14:paraId="649F657B" w14:textId="165D6D6C" w:rsidR="004F4316" w:rsidRPr="000D3D7F" w:rsidRDefault="004F4316" w:rsidP="001E1F5A">
            <w:pPr>
              <w:rPr>
                <w:lang w:val="sr-Latn-ME"/>
              </w:rPr>
            </w:pPr>
            <w:r w:rsidRPr="000D3D7F">
              <w:rPr>
                <w:szCs w:val="22"/>
                <w:lang w:val="sr-Latn-ME"/>
              </w:rPr>
              <w:t>18,3 m</w:t>
            </w:r>
            <w:r w:rsidR="00094C2E" w:rsidRPr="000D3D7F">
              <w:rPr>
                <w:szCs w:val="22"/>
                <w:lang w:val="sr-Latn-ME"/>
              </w:rPr>
              <w:t>j</w:t>
            </w:r>
            <w:r w:rsidRPr="000D3D7F">
              <w:rPr>
                <w:szCs w:val="22"/>
                <w:lang w:val="sr-Latn-ME"/>
              </w:rPr>
              <w:t>es</w:t>
            </w:r>
          </w:p>
          <w:p w14:paraId="4E2190FF" w14:textId="52050CEE" w:rsidR="004F4316" w:rsidRPr="000D3D7F" w:rsidRDefault="004F4316" w:rsidP="001E1F5A">
            <w:pPr>
              <w:rPr>
                <w:lang w:val="sr-Latn-ME"/>
              </w:rPr>
            </w:pPr>
            <w:r w:rsidRPr="000D3D7F">
              <w:rPr>
                <w:szCs w:val="22"/>
                <w:lang w:val="sr-Latn-ME"/>
              </w:rPr>
              <w:t>(16.6; 21.7)</w:t>
            </w:r>
          </w:p>
        </w:tc>
        <w:tc>
          <w:tcPr>
            <w:tcW w:w="1418" w:type="dxa"/>
          </w:tcPr>
          <w:p w14:paraId="75F85431" w14:textId="193B82FB" w:rsidR="004F4316" w:rsidRPr="000D3D7F" w:rsidRDefault="004F4316" w:rsidP="001E1F5A">
            <w:pPr>
              <w:rPr>
                <w:lang w:val="sr-Latn-ME"/>
              </w:rPr>
            </w:pPr>
            <w:r w:rsidRPr="000D3D7F">
              <w:rPr>
                <w:szCs w:val="22"/>
                <w:lang w:val="sr-Latn-ME"/>
              </w:rPr>
              <w:t>14,0 m</w:t>
            </w:r>
            <w:r w:rsidR="00094C2E" w:rsidRPr="000D3D7F">
              <w:rPr>
                <w:szCs w:val="22"/>
                <w:lang w:val="sr-Latn-ME"/>
              </w:rPr>
              <w:t>j</w:t>
            </w:r>
            <w:r w:rsidRPr="000D3D7F">
              <w:rPr>
                <w:szCs w:val="22"/>
                <w:lang w:val="sr-Latn-ME"/>
              </w:rPr>
              <w:t>es</w:t>
            </w:r>
          </w:p>
          <w:p w14:paraId="78C46C3D" w14:textId="52C2D40F" w:rsidR="004F4316" w:rsidRPr="000D3D7F" w:rsidRDefault="004F4316" w:rsidP="001E1F5A">
            <w:pPr>
              <w:rPr>
                <w:lang w:val="sr-Latn-ME"/>
              </w:rPr>
            </w:pPr>
            <w:r w:rsidRPr="000D3D7F">
              <w:rPr>
                <w:szCs w:val="22"/>
                <w:lang w:val="sr-Latn-ME"/>
              </w:rPr>
              <w:t>(11,1; 15,0)</w:t>
            </w:r>
          </w:p>
        </w:tc>
      </w:tr>
      <w:tr w:rsidR="004F4316" w:rsidRPr="000D3D7F" w14:paraId="32E3F3E2"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3"/>
        </w:trPr>
        <w:tc>
          <w:tcPr>
            <w:tcW w:w="4989" w:type="dxa"/>
          </w:tcPr>
          <w:p w14:paraId="0345C066" w14:textId="77777777" w:rsidR="004F4316" w:rsidRPr="000D3D7F" w:rsidRDefault="004F4316" w:rsidP="001E1F5A">
            <w:pPr>
              <w:rPr>
                <w:vertAlign w:val="superscript"/>
                <w:lang w:val="sr-Latn-ME"/>
              </w:rPr>
            </w:pPr>
            <w:r w:rsidRPr="000D3D7F">
              <w:rPr>
                <w:i/>
                <w:iCs/>
                <w:szCs w:val="22"/>
                <w:lang w:val="sr-Latn-ME"/>
              </w:rPr>
              <w:t>Hazard ratio</w:t>
            </w:r>
            <w:r w:rsidRPr="000D3D7F">
              <w:rPr>
                <w:szCs w:val="22"/>
                <w:vertAlign w:val="superscript"/>
                <w:lang w:val="sr-Latn-ME"/>
              </w:rPr>
              <w:t>b</w:t>
            </w:r>
          </w:p>
          <w:p w14:paraId="5F2043C7" w14:textId="25F2B590" w:rsidR="004F4316" w:rsidRPr="000D3D7F" w:rsidRDefault="004F4316" w:rsidP="001E1F5A">
            <w:pPr>
              <w:rPr>
                <w:vertAlign w:val="superscript"/>
                <w:lang w:val="sr-Latn-ME"/>
              </w:rPr>
            </w:pPr>
            <w:r w:rsidRPr="000D3D7F">
              <w:rPr>
                <w:szCs w:val="22"/>
                <w:lang w:val="sr-Latn-ME"/>
              </w:rPr>
              <w:t>(95% CI)</w:t>
            </w:r>
          </w:p>
        </w:tc>
        <w:tc>
          <w:tcPr>
            <w:tcW w:w="3839" w:type="dxa"/>
            <w:gridSpan w:val="2"/>
          </w:tcPr>
          <w:p w14:paraId="74CB6BCE" w14:textId="77777777" w:rsidR="004F4316" w:rsidRPr="000D3D7F" w:rsidRDefault="004F4316" w:rsidP="001E1F5A">
            <w:pPr>
              <w:rPr>
                <w:lang w:val="sr-Latn-ME"/>
              </w:rPr>
            </w:pPr>
            <w:r w:rsidRPr="000D3D7F">
              <w:rPr>
                <w:szCs w:val="22"/>
                <w:lang w:val="sr-Latn-ME"/>
              </w:rPr>
              <w:t>0,61</w:t>
            </w:r>
          </w:p>
          <w:p w14:paraId="4F6A0F90" w14:textId="185464CC" w:rsidR="004F4316" w:rsidRPr="000D3D7F" w:rsidRDefault="004F4316" w:rsidP="001E1F5A">
            <w:pPr>
              <w:rPr>
                <w:lang w:val="sr-Latn-ME"/>
              </w:rPr>
            </w:pPr>
            <w:r w:rsidRPr="000D3D7F">
              <w:rPr>
                <w:szCs w:val="22"/>
                <w:lang w:val="sr-Latn-ME"/>
              </w:rPr>
              <w:t>(0,49; 0,76)</w:t>
            </w:r>
          </w:p>
        </w:tc>
      </w:tr>
      <w:tr w:rsidR="004F4316" w:rsidRPr="000D3D7F" w14:paraId="51EF19F6"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4989" w:type="dxa"/>
          </w:tcPr>
          <w:p w14:paraId="6554AA8E" w14:textId="33562C2B" w:rsidR="004F4316" w:rsidRPr="000D3D7F" w:rsidRDefault="004F4316" w:rsidP="001E1F5A">
            <w:pPr>
              <w:rPr>
                <w:vertAlign w:val="superscript"/>
                <w:lang w:val="sr-Latn-ME"/>
              </w:rPr>
            </w:pPr>
            <w:r w:rsidRPr="000D3D7F">
              <w:rPr>
                <w:szCs w:val="22"/>
                <w:lang w:val="sr-Latn-ME"/>
              </w:rPr>
              <w:t>p-vr</w:t>
            </w:r>
            <w:r w:rsidR="00094C2E" w:rsidRPr="000D3D7F">
              <w:rPr>
                <w:szCs w:val="22"/>
                <w:lang w:val="sr-Latn-ME"/>
              </w:rPr>
              <w:t>ij</w:t>
            </w:r>
            <w:r w:rsidRPr="000D3D7F">
              <w:rPr>
                <w:szCs w:val="22"/>
                <w:lang w:val="sr-Latn-ME"/>
              </w:rPr>
              <w:t xml:space="preserve">ednost </w:t>
            </w:r>
            <w:r w:rsidRPr="000D3D7F">
              <w:rPr>
                <w:szCs w:val="22"/>
                <w:vertAlign w:val="superscript"/>
                <w:lang w:val="sr-Latn-ME"/>
              </w:rPr>
              <w:t>c</w:t>
            </w:r>
          </w:p>
        </w:tc>
        <w:tc>
          <w:tcPr>
            <w:tcW w:w="3839" w:type="dxa"/>
            <w:gridSpan w:val="2"/>
          </w:tcPr>
          <w:p w14:paraId="711F1ED7" w14:textId="402C9EC0" w:rsidR="004F4316" w:rsidRPr="000D3D7F" w:rsidRDefault="004F4316" w:rsidP="001E1F5A">
            <w:pPr>
              <w:rPr>
                <w:lang w:val="sr-Latn-ME"/>
              </w:rPr>
            </w:pPr>
            <w:r w:rsidRPr="000D3D7F">
              <w:rPr>
                <w:szCs w:val="22"/>
                <w:lang w:val="sr-Latn-ME"/>
              </w:rPr>
              <w:t>0.00001</w:t>
            </w:r>
          </w:p>
        </w:tc>
      </w:tr>
      <w:tr w:rsidR="00B32611" w:rsidRPr="000D3D7F" w14:paraId="15F95AFF"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4989" w:type="dxa"/>
          </w:tcPr>
          <w:p w14:paraId="3020D2B5" w14:textId="77777777" w:rsidR="00B32611" w:rsidRPr="000D3D7F" w:rsidRDefault="00B32611" w:rsidP="001E1F5A">
            <w:pPr>
              <w:rPr>
                <w:b/>
                <w:bCs/>
                <w:lang w:val="sr-Latn-ME"/>
              </w:rPr>
            </w:pPr>
            <w:r w:rsidRPr="000D3D7F">
              <w:rPr>
                <w:b/>
                <w:bCs/>
                <w:szCs w:val="22"/>
                <w:lang w:val="sr-Latn-ME"/>
              </w:rPr>
              <w:t>Ukupno preživljavanje(OS)</w:t>
            </w:r>
          </w:p>
          <w:p w14:paraId="5CC3D5F2" w14:textId="764040BE" w:rsidR="00B32611" w:rsidRPr="000D3D7F" w:rsidRDefault="00B32611" w:rsidP="001E1F5A">
            <w:pPr>
              <w:rPr>
                <w:b/>
                <w:bCs/>
                <w:lang w:val="sr-Latn-ME"/>
              </w:rPr>
            </w:pPr>
            <w:r w:rsidRPr="000D3D7F">
              <w:rPr>
                <w:szCs w:val="22"/>
                <w:lang w:val="sr-Latn-ME"/>
              </w:rPr>
              <w:t>Događaj (smrtnost) n (%)</w:t>
            </w:r>
          </w:p>
        </w:tc>
        <w:tc>
          <w:tcPr>
            <w:tcW w:w="2420" w:type="dxa"/>
          </w:tcPr>
          <w:p w14:paraId="097309CA" w14:textId="77777777" w:rsidR="00B32611" w:rsidRPr="000D3D7F" w:rsidRDefault="00B32611" w:rsidP="001E1F5A">
            <w:pPr>
              <w:rPr>
                <w:lang w:val="sr-Latn-ME"/>
              </w:rPr>
            </w:pPr>
          </w:p>
          <w:p w14:paraId="5FF38E1D" w14:textId="1BF4627D" w:rsidR="00B32611" w:rsidRPr="000D3D7F" w:rsidRDefault="00B32611" w:rsidP="001E1F5A">
            <w:pPr>
              <w:rPr>
                <w:lang w:val="sr-Latn-ME"/>
              </w:rPr>
            </w:pPr>
            <w:r w:rsidRPr="000D3D7F">
              <w:rPr>
                <w:szCs w:val="22"/>
                <w:lang w:val="sr-Latn-ME"/>
              </w:rPr>
              <w:t>176 (51,2)</w:t>
            </w:r>
          </w:p>
        </w:tc>
        <w:tc>
          <w:tcPr>
            <w:tcW w:w="1418" w:type="dxa"/>
          </w:tcPr>
          <w:p w14:paraId="6A6014CA" w14:textId="77777777" w:rsidR="00B32611" w:rsidRPr="000D3D7F" w:rsidRDefault="00B32611" w:rsidP="001E1F5A">
            <w:pPr>
              <w:rPr>
                <w:lang w:val="sr-Latn-ME"/>
              </w:rPr>
            </w:pPr>
          </w:p>
          <w:p w14:paraId="1D9FC947" w14:textId="1D4B3C96" w:rsidR="00B32611" w:rsidRPr="000D3D7F" w:rsidRDefault="00B32611" w:rsidP="001E1F5A">
            <w:pPr>
              <w:rPr>
                <w:lang w:val="sr-Latn-ME"/>
              </w:rPr>
            </w:pPr>
            <w:r w:rsidRPr="000D3D7F">
              <w:rPr>
                <w:szCs w:val="22"/>
                <w:lang w:val="sr-Latn-ME"/>
              </w:rPr>
              <w:t>211 (62,4)</w:t>
            </w:r>
          </w:p>
        </w:tc>
      </w:tr>
      <w:tr w:rsidR="00B32611" w:rsidRPr="000D3D7F" w14:paraId="7689C141"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4989" w:type="dxa"/>
          </w:tcPr>
          <w:p w14:paraId="42149B79" w14:textId="77777777" w:rsidR="00B32611" w:rsidRPr="000D3D7F" w:rsidRDefault="00B32611" w:rsidP="001E1F5A">
            <w:pPr>
              <w:rPr>
                <w:lang w:val="sr-Latn-ME"/>
              </w:rPr>
            </w:pPr>
            <w:r w:rsidRPr="000D3D7F">
              <w:rPr>
                <w:szCs w:val="22"/>
                <w:lang w:val="sr-Latn-ME"/>
              </w:rPr>
              <w:t>Medijana</w:t>
            </w:r>
            <w:r w:rsidRPr="000D3D7F">
              <w:rPr>
                <w:szCs w:val="22"/>
                <w:vertAlign w:val="superscript"/>
                <w:lang w:val="sr-Latn-ME"/>
              </w:rPr>
              <w:t>a</w:t>
            </w:r>
            <w:r w:rsidRPr="000D3D7F">
              <w:rPr>
                <w:szCs w:val="22"/>
                <w:lang w:val="sr-Latn-ME"/>
              </w:rPr>
              <w:t xml:space="preserve"> (95%CI)</w:t>
            </w:r>
          </w:p>
        </w:tc>
        <w:tc>
          <w:tcPr>
            <w:tcW w:w="2420" w:type="dxa"/>
          </w:tcPr>
          <w:p w14:paraId="610E7CB6" w14:textId="0BE939D4" w:rsidR="00B32611" w:rsidRPr="000D3D7F" w:rsidRDefault="00B32611" w:rsidP="001E1F5A">
            <w:pPr>
              <w:rPr>
                <w:lang w:val="sr-Latn-ME"/>
              </w:rPr>
            </w:pPr>
            <w:r w:rsidRPr="000D3D7F">
              <w:rPr>
                <w:szCs w:val="22"/>
                <w:lang w:val="sr-Latn-ME"/>
              </w:rPr>
              <w:t>56,4 m</w:t>
            </w:r>
            <w:r w:rsidR="00094C2E" w:rsidRPr="000D3D7F">
              <w:rPr>
                <w:szCs w:val="22"/>
                <w:lang w:val="sr-Latn-ME"/>
              </w:rPr>
              <w:t>j</w:t>
            </w:r>
            <w:r w:rsidRPr="000D3D7F">
              <w:rPr>
                <w:szCs w:val="22"/>
                <w:lang w:val="sr-Latn-ME"/>
              </w:rPr>
              <w:t>es</w:t>
            </w:r>
          </w:p>
          <w:p w14:paraId="2B9D585C" w14:textId="03D33879" w:rsidR="00B32611" w:rsidRPr="000D3D7F" w:rsidRDefault="00B32611" w:rsidP="001E1F5A">
            <w:pPr>
              <w:rPr>
                <w:lang w:val="sr-Latn-ME"/>
              </w:rPr>
            </w:pPr>
            <w:r w:rsidRPr="000D3D7F">
              <w:rPr>
                <w:szCs w:val="22"/>
                <w:lang w:val="sr-Latn-ME"/>
              </w:rPr>
              <w:t>(52,8; 60,9 )</w:t>
            </w:r>
          </w:p>
        </w:tc>
        <w:tc>
          <w:tcPr>
            <w:tcW w:w="1418" w:type="dxa"/>
          </w:tcPr>
          <w:p w14:paraId="61EF56E3" w14:textId="38EF02E1" w:rsidR="00B32611" w:rsidRPr="000D3D7F" w:rsidRDefault="00B32611" w:rsidP="001E1F5A">
            <w:pPr>
              <w:rPr>
                <w:lang w:val="sr-Latn-ME"/>
              </w:rPr>
            </w:pPr>
            <w:r w:rsidRPr="000D3D7F">
              <w:rPr>
                <w:szCs w:val="22"/>
                <w:lang w:val="sr-Latn-ME"/>
              </w:rPr>
              <w:t>43,1</w:t>
            </w:r>
            <w:r w:rsidR="00094C2E" w:rsidRPr="000D3D7F">
              <w:rPr>
                <w:szCs w:val="22"/>
                <w:lang w:val="sr-Latn-ME"/>
              </w:rPr>
              <w:t>mjes</w:t>
            </w:r>
          </w:p>
          <w:p w14:paraId="4E538E5F" w14:textId="35E524FF" w:rsidR="00B32611" w:rsidRPr="000D3D7F" w:rsidRDefault="00B32611" w:rsidP="001E1F5A">
            <w:pPr>
              <w:rPr>
                <w:lang w:val="sr-Latn-ME"/>
              </w:rPr>
            </w:pPr>
            <w:r w:rsidRPr="000D3D7F">
              <w:rPr>
                <w:szCs w:val="22"/>
                <w:lang w:val="sr-Latn-ME"/>
              </w:rPr>
              <w:t>(35,3; 48,3)</w:t>
            </w:r>
          </w:p>
        </w:tc>
      </w:tr>
      <w:tr w:rsidR="00B32611" w:rsidRPr="000D3D7F" w14:paraId="2EDA8A6A"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6"/>
        </w:trPr>
        <w:tc>
          <w:tcPr>
            <w:tcW w:w="4989" w:type="dxa"/>
          </w:tcPr>
          <w:p w14:paraId="0D5C41B9" w14:textId="77777777" w:rsidR="00B32611" w:rsidRPr="000D3D7F" w:rsidRDefault="00B32611" w:rsidP="001E1F5A">
            <w:pPr>
              <w:rPr>
                <w:vertAlign w:val="superscript"/>
                <w:lang w:val="sr-Latn-ME"/>
              </w:rPr>
            </w:pPr>
            <w:r w:rsidRPr="000D3D7F">
              <w:rPr>
                <w:i/>
                <w:iCs/>
                <w:szCs w:val="22"/>
                <w:lang w:val="sr-Latn-ME"/>
              </w:rPr>
              <w:t>Hazard ratio</w:t>
            </w:r>
            <w:r w:rsidRPr="000D3D7F">
              <w:rPr>
                <w:szCs w:val="22"/>
                <w:vertAlign w:val="superscript"/>
                <w:lang w:val="sr-Latn-ME"/>
              </w:rPr>
              <w:t>b</w:t>
            </w:r>
          </w:p>
          <w:p w14:paraId="62A6722F" w14:textId="275202F1" w:rsidR="00B32611" w:rsidRPr="000D3D7F" w:rsidRDefault="00B32611" w:rsidP="001E1F5A">
            <w:pPr>
              <w:rPr>
                <w:vertAlign w:val="superscript"/>
                <w:lang w:val="sr-Latn-ME"/>
              </w:rPr>
            </w:pPr>
            <w:r w:rsidRPr="000D3D7F">
              <w:rPr>
                <w:szCs w:val="22"/>
                <w:lang w:val="sr-Latn-ME"/>
              </w:rPr>
              <w:t>(95% CI)</w:t>
            </w:r>
          </w:p>
        </w:tc>
        <w:tc>
          <w:tcPr>
            <w:tcW w:w="3839" w:type="dxa"/>
            <w:gridSpan w:val="2"/>
          </w:tcPr>
          <w:p w14:paraId="4258434C" w14:textId="77777777" w:rsidR="00B32611" w:rsidRPr="000D3D7F" w:rsidRDefault="00B32611" w:rsidP="001E1F5A">
            <w:pPr>
              <w:rPr>
                <w:lang w:val="sr-Latn-ME"/>
              </w:rPr>
            </w:pPr>
            <w:r w:rsidRPr="000D3D7F">
              <w:rPr>
                <w:szCs w:val="22"/>
                <w:lang w:val="sr-Latn-ME"/>
              </w:rPr>
              <w:t>0,695</w:t>
            </w:r>
          </w:p>
          <w:p w14:paraId="4A54B618" w14:textId="4F1A98DE" w:rsidR="00B32611" w:rsidRPr="000D3D7F" w:rsidRDefault="00B32611" w:rsidP="001E1F5A">
            <w:pPr>
              <w:rPr>
                <w:lang w:val="sr-Latn-ME"/>
              </w:rPr>
            </w:pPr>
            <w:r w:rsidRPr="000D3D7F">
              <w:rPr>
                <w:szCs w:val="22"/>
                <w:lang w:val="sr-Latn-ME"/>
              </w:rPr>
              <w:t>(0,567; 0,852)</w:t>
            </w:r>
          </w:p>
        </w:tc>
      </w:tr>
      <w:tr w:rsidR="00B32611" w:rsidRPr="000D3D7F" w14:paraId="142B7781"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989" w:type="dxa"/>
          </w:tcPr>
          <w:p w14:paraId="50AF1342" w14:textId="073846A9" w:rsidR="00B32611" w:rsidRPr="000D3D7F" w:rsidRDefault="00B32611" w:rsidP="001E1F5A">
            <w:pPr>
              <w:rPr>
                <w:vertAlign w:val="superscript"/>
                <w:lang w:val="sr-Latn-ME"/>
              </w:rPr>
            </w:pPr>
            <w:r w:rsidRPr="000D3D7F">
              <w:rPr>
                <w:szCs w:val="22"/>
                <w:lang w:val="sr-Latn-ME"/>
              </w:rPr>
              <w:t>p-vr</w:t>
            </w:r>
            <w:r w:rsidR="00094C2E" w:rsidRPr="000D3D7F">
              <w:rPr>
                <w:szCs w:val="22"/>
                <w:lang w:val="sr-Latn-ME"/>
              </w:rPr>
              <w:t>ij</w:t>
            </w:r>
            <w:r w:rsidRPr="000D3D7F">
              <w:rPr>
                <w:szCs w:val="22"/>
                <w:lang w:val="sr-Latn-ME"/>
              </w:rPr>
              <w:t xml:space="preserve">ednost </w:t>
            </w:r>
            <w:r w:rsidRPr="000D3D7F">
              <w:rPr>
                <w:szCs w:val="22"/>
                <w:vertAlign w:val="superscript"/>
                <w:lang w:val="sr-Latn-ME"/>
              </w:rPr>
              <w:t>c</w:t>
            </w:r>
          </w:p>
        </w:tc>
        <w:tc>
          <w:tcPr>
            <w:tcW w:w="3839" w:type="dxa"/>
            <w:gridSpan w:val="2"/>
          </w:tcPr>
          <w:p w14:paraId="19D17969" w14:textId="51A81510" w:rsidR="00B32611" w:rsidRPr="000D3D7F" w:rsidRDefault="00B32611" w:rsidP="001E1F5A">
            <w:pPr>
              <w:rPr>
                <w:lang w:val="sr-Latn-ME"/>
              </w:rPr>
            </w:pPr>
            <w:r w:rsidRPr="000D3D7F">
              <w:rPr>
                <w:szCs w:val="22"/>
                <w:lang w:val="sr-Latn-ME"/>
              </w:rPr>
              <w:t>0,00043</w:t>
            </w:r>
          </w:p>
        </w:tc>
      </w:tr>
      <w:tr w:rsidR="004F4316" w:rsidRPr="000D3D7F" w14:paraId="36C59002"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4989" w:type="dxa"/>
          </w:tcPr>
          <w:p w14:paraId="6F28BCA0" w14:textId="77777777" w:rsidR="004F4316" w:rsidRPr="000D3D7F" w:rsidRDefault="004F4316" w:rsidP="001E1F5A">
            <w:pPr>
              <w:rPr>
                <w:b/>
                <w:bCs/>
                <w:lang w:val="sr-Latn-ME"/>
              </w:rPr>
            </w:pPr>
            <w:r w:rsidRPr="000D3D7F">
              <w:rPr>
                <w:b/>
                <w:bCs/>
                <w:szCs w:val="22"/>
                <w:lang w:val="sr-Latn-ME"/>
              </w:rPr>
              <w:t>Stepen odgovora(RR)</w:t>
            </w:r>
          </w:p>
          <w:p w14:paraId="08D932B3" w14:textId="77777777" w:rsidR="004F4316" w:rsidRPr="000D3D7F" w:rsidRDefault="004F4316" w:rsidP="001E1F5A">
            <w:pPr>
              <w:rPr>
                <w:lang w:val="sr-Latn-ME"/>
              </w:rPr>
            </w:pPr>
            <w:r w:rsidRPr="000D3D7F">
              <w:rPr>
                <w:szCs w:val="22"/>
                <w:lang w:val="sr-Latn-ME"/>
              </w:rPr>
              <w:t>populacija</w:t>
            </w:r>
            <w:r w:rsidRPr="000D3D7F">
              <w:rPr>
                <w:szCs w:val="22"/>
                <w:vertAlign w:val="superscript"/>
                <w:lang w:val="sr-Latn-ME"/>
              </w:rPr>
              <w:t>e</w:t>
            </w:r>
            <w:r w:rsidRPr="000D3D7F">
              <w:rPr>
                <w:szCs w:val="22"/>
                <w:lang w:val="sr-Latn-ME"/>
              </w:rPr>
              <w:t xml:space="preserve"> n = 668</w:t>
            </w:r>
          </w:p>
        </w:tc>
        <w:tc>
          <w:tcPr>
            <w:tcW w:w="2420" w:type="dxa"/>
          </w:tcPr>
          <w:p w14:paraId="0F7AB826" w14:textId="77777777" w:rsidR="004F4316" w:rsidRPr="000D3D7F" w:rsidRDefault="004F4316" w:rsidP="001E1F5A">
            <w:pPr>
              <w:rPr>
                <w:lang w:val="sr-Latn-ME"/>
              </w:rPr>
            </w:pPr>
            <w:r w:rsidRPr="000D3D7F">
              <w:rPr>
                <w:szCs w:val="22"/>
                <w:lang w:val="sr-Latn-ME"/>
              </w:rPr>
              <w:t>n=337</w:t>
            </w:r>
          </w:p>
        </w:tc>
        <w:tc>
          <w:tcPr>
            <w:tcW w:w="1418" w:type="dxa"/>
          </w:tcPr>
          <w:p w14:paraId="71F74957" w14:textId="77777777" w:rsidR="004F4316" w:rsidRPr="000D3D7F" w:rsidRDefault="004F4316" w:rsidP="001E1F5A">
            <w:pPr>
              <w:rPr>
                <w:lang w:val="sr-Latn-ME"/>
              </w:rPr>
            </w:pPr>
            <w:r w:rsidRPr="000D3D7F">
              <w:rPr>
                <w:szCs w:val="22"/>
                <w:lang w:val="sr-Latn-ME"/>
              </w:rPr>
              <w:t>n=331</w:t>
            </w:r>
          </w:p>
        </w:tc>
      </w:tr>
      <w:tr w:rsidR="004F4316" w:rsidRPr="000D3D7F" w14:paraId="6ACCF4CC"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4989" w:type="dxa"/>
          </w:tcPr>
          <w:p w14:paraId="54326AE0" w14:textId="77777777" w:rsidR="004F4316" w:rsidRPr="000D3D7F" w:rsidRDefault="004F4316" w:rsidP="001E1F5A">
            <w:pPr>
              <w:rPr>
                <w:lang w:val="sr-Latn-ME"/>
              </w:rPr>
            </w:pPr>
            <w:r w:rsidRPr="000D3D7F">
              <w:rPr>
                <w:szCs w:val="22"/>
                <w:lang w:val="sr-Latn-ME"/>
              </w:rPr>
              <w:t>CR</w:t>
            </w:r>
            <w:r w:rsidRPr="000D3D7F">
              <w:rPr>
                <w:szCs w:val="22"/>
                <w:vertAlign w:val="superscript"/>
                <w:lang w:val="sr-Latn-ME"/>
              </w:rPr>
              <w:t>f</w:t>
            </w:r>
            <w:r w:rsidRPr="000D3D7F">
              <w:rPr>
                <w:szCs w:val="22"/>
                <w:lang w:val="sr-Latn-ME"/>
              </w:rPr>
              <w:t xml:space="preserve"> n (%)</w:t>
            </w:r>
          </w:p>
        </w:tc>
        <w:tc>
          <w:tcPr>
            <w:tcW w:w="2420" w:type="dxa"/>
          </w:tcPr>
          <w:p w14:paraId="2D3AFE86" w14:textId="77777777" w:rsidR="004F4316" w:rsidRPr="000D3D7F" w:rsidRDefault="004F4316" w:rsidP="001E1F5A">
            <w:pPr>
              <w:rPr>
                <w:lang w:val="sr-Latn-ME"/>
              </w:rPr>
            </w:pPr>
            <w:r w:rsidRPr="000D3D7F">
              <w:rPr>
                <w:szCs w:val="22"/>
                <w:lang w:val="sr-Latn-ME"/>
              </w:rPr>
              <w:t>102 (30)</w:t>
            </w:r>
          </w:p>
        </w:tc>
        <w:tc>
          <w:tcPr>
            <w:tcW w:w="1418" w:type="dxa"/>
          </w:tcPr>
          <w:p w14:paraId="4B432AC7" w14:textId="77777777" w:rsidR="004F4316" w:rsidRPr="000D3D7F" w:rsidRDefault="004F4316" w:rsidP="001E1F5A">
            <w:pPr>
              <w:rPr>
                <w:lang w:val="sr-Latn-ME"/>
              </w:rPr>
            </w:pPr>
            <w:r w:rsidRPr="000D3D7F">
              <w:rPr>
                <w:szCs w:val="22"/>
                <w:lang w:val="sr-Latn-ME"/>
              </w:rPr>
              <w:t>12 (4)</w:t>
            </w:r>
          </w:p>
        </w:tc>
      </w:tr>
      <w:tr w:rsidR="004F4316" w:rsidRPr="000D3D7F" w14:paraId="06E3B031"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989" w:type="dxa"/>
          </w:tcPr>
          <w:p w14:paraId="53D83483" w14:textId="77777777" w:rsidR="004F4316" w:rsidRPr="000D3D7F" w:rsidRDefault="004F4316" w:rsidP="001E1F5A">
            <w:pPr>
              <w:rPr>
                <w:lang w:val="sr-Latn-ME"/>
              </w:rPr>
            </w:pPr>
            <w:r w:rsidRPr="000D3D7F">
              <w:rPr>
                <w:szCs w:val="22"/>
                <w:lang w:val="sr-Latn-ME"/>
              </w:rPr>
              <w:t>PR</w:t>
            </w:r>
            <w:r w:rsidRPr="000D3D7F">
              <w:rPr>
                <w:szCs w:val="22"/>
                <w:vertAlign w:val="superscript"/>
                <w:lang w:val="sr-Latn-ME"/>
              </w:rPr>
              <w:t>f</w:t>
            </w:r>
            <w:r w:rsidRPr="000D3D7F">
              <w:rPr>
                <w:szCs w:val="22"/>
                <w:lang w:val="sr-Latn-ME"/>
              </w:rPr>
              <w:t xml:space="preserve"> n (%)</w:t>
            </w:r>
          </w:p>
        </w:tc>
        <w:tc>
          <w:tcPr>
            <w:tcW w:w="2420" w:type="dxa"/>
          </w:tcPr>
          <w:p w14:paraId="28636FEA" w14:textId="77777777" w:rsidR="004F4316" w:rsidRPr="000D3D7F" w:rsidRDefault="004F4316" w:rsidP="001E1F5A">
            <w:pPr>
              <w:rPr>
                <w:lang w:val="sr-Latn-ME"/>
              </w:rPr>
            </w:pPr>
            <w:r w:rsidRPr="000D3D7F">
              <w:rPr>
                <w:szCs w:val="22"/>
                <w:lang w:val="sr-Latn-ME"/>
              </w:rPr>
              <w:t>136 (40)</w:t>
            </w:r>
          </w:p>
        </w:tc>
        <w:tc>
          <w:tcPr>
            <w:tcW w:w="1418" w:type="dxa"/>
          </w:tcPr>
          <w:p w14:paraId="09C9342F" w14:textId="77777777" w:rsidR="004F4316" w:rsidRPr="000D3D7F" w:rsidRDefault="004F4316" w:rsidP="001E1F5A">
            <w:pPr>
              <w:rPr>
                <w:lang w:val="sr-Latn-ME"/>
              </w:rPr>
            </w:pPr>
            <w:r w:rsidRPr="000D3D7F">
              <w:rPr>
                <w:szCs w:val="22"/>
                <w:lang w:val="sr-Latn-ME"/>
              </w:rPr>
              <w:t>103 (31)</w:t>
            </w:r>
          </w:p>
        </w:tc>
      </w:tr>
      <w:tr w:rsidR="004F4316" w:rsidRPr="000D3D7F" w14:paraId="5D0BDBF8"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989" w:type="dxa"/>
          </w:tcPr>
          <w:p w14:paraId="67EAF55B" w14:textId="77777777" w:rsidR="004F4316" w:rsidRPr="000D3D7F" w:rsidRDefault="004F4316" w:rsidP="001E1F5A">
            <w:pPr>
              <w:rPr>
                <w:lang w:val="sr-Latn-ME"/>
              </w:rPr>
            </w:pPr>
            <w:r w:rsidRPr="000D3D7F">
              <w:rPr>
                <w:szCs w:val="22"/>
                <w:lang w:val="sr-Latn-ME"/>
              </w:rPr>
              <w:t>nCR n (%)</w:t>
            </w:r>
          </w:p>
        </w:tc>
        <w:tc>
          <w:tcPr>
            <w:tcW w:w="2420" w:type="dxa"/>
          </w:tcPr>
          <w:p w14:paraId="3BD38EAF" w14:textId="77777777" w:rsidR="004F4316" w:rsidRPr="000D3D7F" w:rsidRDefault="004F4316" w:rsidP="001E1F5A">
            <w:pPr>
              <w:rPr>
                <w:lang w:val="sr-Latn-ME"/>
              </w:rPr>
            </w:pPr>
            <w:r w:rsidRPr="000D3D7F">
              <w:rPr>
                <w:szCs w:val="22"/>
                <w:lang w:val="sr-Latn-ME"/>
              </w:rPr>
              <w:t>5 (1)</w:t>
            </w:r>
          </w:p>
        </w:tc>
        <w:tc>
          <w:tcPr>
            <w:tcW w:w="1418" w:type="dxa"/>
          </w:tcPr>
          <w:p w14:paraId="3E159542" w14:textId="77777777" w:rsidR="004F4316" w:rsidRPr="000D3D7F" w:rsidRDefault="004F4316" w:rsidP="001E1F5A">
            <w:pPr>
              <w:rPr>
                <w:lang w:val="sr-Latn-ME"/>
              </w:rPr>
            </w:pPr>
            <w:r w:rsidRPr="000D3D7F">
              <w:rPr>
                <w:szCs w:val="22"/>
                <w:lang w:val="sr-Latn-ME"/>
              </w:rPr>
              <w:t>0</w:t>
            </w:r>
          </w:p>
        </w:tc>
      </w:tr>
      <w:tr w:rsidR="004F4316" w:rsidRPr="000D3D7F" w14:paraId="3C6B564E" w14:textId="77777777" w:rsidTr="00D24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989" w:type="dxa"/>
          </w:tcPr>
          <w:p w14:paraId="2B028E83" w14:textId="77777777" w:rsidR="004F4316" w:rsidRPr="000D3D7F" w:rsidRDefault="004F4316" w:rsidP="001E1F5A">
            <w:pPr>
              <w:rPr>
                <w:lang w:val="sr-Latn-ME"/>
              </w:rPr>
            </w:pPr>
            <w:r w:rsidRPr="000D3D7F">
              <w:rPr>
                <w:szCs w:val="22"/>
                <w:lang w:val="sr-Latn-ME"/>
              </w:rPr>
              <w:t>CR + PR</w:t>
            </w:r>
            <w:r w:rsidRPr="000D3D7F">
              <w:rPr>
                <w:szCs w:val="22"/>
                <w:vertAlign w:val="superscript"/>
                <w:lang w:val="sr-Latn-ME"/>
              </w:rPr>
              <w:t>f</w:t>
            </w:r>
            <w:r w:rsidRPr="000D3D7F">
              <w:rPr>
                <w:szCs w:val="22"/>
                <w:lang w:val="sr-Latn-ME"/>
              </w:rPr>
              <w:t xml:space="preserve"> n (%)</w:t>
            </w:r>
          </w:p>
        </w:tc>
        <w:tc>
          <w:tcPr>
            <w:tcW w:w="2420" w:type="dxa"/>
          </w:tcPr>
          <w:p w14:paraId="1C221421" w14:textId="77777777" w:rsidR="004F4316" w:rsidRPr="000D3D7F" w:rsidRDefault="004F4316" w:rsidP="001E1F5A">
            <w:pPr>
              <w:rPr>
                <w:lang w:val="sr-Latn-ME"/>
              </w:rPr>
            </w:pPr>
            <w:r w:rsidRPr="000D3D7F">
              <w:rPr>
                <w:szCs w:val="22"/>
                <w:lang w:val="sr-Latn-ME"/>
              </w:rPr>
              <w:t>238 (71)</w:t>
            </w:r>
          </w:p>
        </w:tc>
        <w:tc>
          <w:tcPr>
            <w:tcW w:w="1418" w:type="dxa"/>
          </w:tcPr>
          <w:p w14:paraId="626AF5FA" w14:textId="77777777" w:rsidR="004F4316" w:rsidRPr="000D3D7F" w:rsidRDefault="004F4316" w:rsidP="001E1F5A">
            <w:pPr>
              <w:rPr>
                <w:lang w:val="sr-Latn-ME"/>
              </w:rPr>
            </w:pPr>
            <w:r w:rsidRPr="000D3D7F">
              <w:rPr>
                <w:szCs w:val="22"/>
                <w:lang w:val="sr-Latn-ME"/>
              </w:rPr>
              <w:t>115 (35)</w:t>
            </w:r>
          </w:p>
        </w:tc>
      </w:tr>
      <w:tr w:rsidR="00B32611" w:rsidRPr="000D3D7F" w14:paraId="40CA5CF4" w14:textId="77777777" w:rsidTr="00D247AB">
        <w:trPr>
          <w:trHeight w:val="254"/>
        </w:trPr>
        <w:tc>
          <w:tcPr>
            <w:tcW w:w="4989" w:type="dxa"/>
            <w:tcBorders>
              <w:top w:val="single" w:sz="4" w:space="0" w:color="auto"/>
              <w:left w:val="single" w:sz="4" w:space="0" w:color="auto"/>
              <w:bottom w:val="single" w:sz="4" w:space="0" w:color="auto"/>
              <w:right w:val="single" w:sz="4" w:space="0" w:color="auto"/>
            </w:tcBorders>
          </w:tcPr>
          <w:p w14:paraId="79867024" w14:textId="1006E66F" w:rsidR="00B32611" w:rsidRPr="000D3D7F" w:rsidRDefault="00B32611" w:rsidP="001E1F5A">
            <w:pPr>
              <w:rPr>
                <w:vertAlign w:val="superscript"/>
                <w:lang w:val="sr-Latn-ME"/>
              </w:rPr>
            </w:pPr>
            <w:r w:rsidRPr="000D3D7F">
              <w:rPr>
                <w:szCs w:val="22"/>
                <w:lang w:val="sr-Latn-ME"/>
              </w:rPr>
              <w:t>p-vr</w:t>
            </w:r>
            <w:r w:rsidR="00094C2E" w:rsidRPr="000D3D7F">
              <w:rPr>
                <w:szCs w:val="22"/>
                <w:lang w:val="sr-Latn-ME"/>
              </w:rPr>
              <w:t>ij</w:t>
            </w:r>
            <w:r w:rsidRPr="000D3D7F">
              <w:rPr>
                <w:szCs w:val="22"/>
                <w:lang w:val="sr-Latn-ME"/>
              </w:rPr>
              <w:t>ednost</w:t>
            </w:r>
            <w:r w:rsidRPr="000D3D7F">
              <w:rPr>
                <w:szCs w:val="22"/>
                <w:vertAlign w:val="superscript"/>
                <w:lang w:val="sr-Latn-ME"/>
              </w:rPr>
              <w:t>d</w:t>
            </w:r>
          </w:p>
        </w:tc>
        <w:tc>
          <w:tcPr>
            <w:tcW w:w="3839" w:type="dxa"/>
            <w:gridSpan w:val="2"/>
            <w:tcBorders>
              <w:top w:val="single" w:sz="4" w:space="0" w:color="auto"/>
              <w:left w:val="single" w:sz="4" w:space="0" w:color="auto"/>
              <w:bottom w:val="single" w:sz="4" w:space="0" w:color="auto"/>
              <w:right w:val="single" w:sz="4" w:space="0" w:color="auto"/>
            </w:tcBorders>
          </w:tcPr>
          <w:p w14:paraId="6444DC75" w14:textId="35A7C808" w:rsidR="00B32611" w:rsidRPr="000D3D7F" w:rsidRDefault="00B32611" w:rsidP="001E1F5A">
            <w:pPr>
              <w:rPr>
                <w:lang w:val="sr-Latn-ME"/>
              </w:rPr>
            </w:pPr>
            <w:r w:rsidRPr="000D3D7F">
              <w:rPr>
                <w:szCs w:val="22"/>
                <w:lang w:val="sr-Latn-ME"/>
              </w:rPr>
              <w:t>&lt;10</w:t>
            </w:r>
            <w:r w:rsidRPr="000D3D7F">
              <w:rPr>
                <w:szCs w:val="22"/>
                <w:vertAlign w:val="superscript"/>
                <w:lang w:val="sr-Latn-ME"/>
              </w:rPr>
              <w:t>-10</w:t>
            </w:r>
          </w:p>
        </w:tc>
      </w:tr>
      <w:tr w:rsidR="004F4316" w:rsidRPr="000D3D7F" w14:paraId="27E4133B" w14:textId="77777777" w:rsidTr="00D247AB">
        <w:trPr>
          <w:trHeight w:val="505"/>
        </w:trPr>
        <w:tc>
          <w:tcPr>
            <w:tcW w:w="4989" w:type="dxa"/>
            <w:tcBorders>
              <w:top w:val="single" w:sz="4" w:space="0" w:color="auto"/>
              <w:left w:val="single" w:sz="4" w:space="0" w:color="auto"/>
              <w:bottom w:val="single" w:sz="4" w:space="0" w:color="auto"/>
              <w:right w:val="single" w:sz="4" w:space="0" w:color="auto"/>
            </w:tcBorders>
          </w:tcPr>
          <w:p w14:paraId="2E5CDE6C" w14:textId="77777777" w:rsidR="004F4316" w:rsidRPr="000D3D7F" w:rsidRDefault="004F4316" w:rsidP="001E1F5A">
            <w:pPr>
              <w:rPr>
                <w:b/>
                <w:bCs/>
                <w:lang w:val="sr-Latn-ME"/>
              </w:rPr>
            </w:pPr>
            <w:r w:rsidRPr="000D3D7F">
              <w:rPr>
                <w:b/>
                <w:bCs/>
                <w:szCs w:val="22"/>
                <w:lang w:val="sr-Latn-ME"/>
              </w:rPr>
              <w:t>Smanjenje M-proteina u serumu</w:t>
            </w:r>
          </w:p>
          <w:p w14:paraId="3BCDB0A6" w14:textId="77777777" w:rsidR="004F4316" w:rsidRPr="000D3D7F" w:rsidRDefault="004F4316" w:rsidP="001E1F5A">
            <w:pPr>
              <w:rPr>
                <w:lang w:val="sr-Latn-ME"/>
              </w:rPr>
            </w:pPr>
            <w:r w:rsidRPr="000D3D7F">
              <w:rPr>
                <w:szCs w:val="22"/>
                <w:lang w:val="sr-Latn-ME"/>
              </w:rPr>
              <w:t>populacija</w:t>
            </w:r>
            <w:r w:rsidRPr="000D3D7F">
              <w:rPr>
                <w:szCs w:val="22"/>
                <w:vertAlign w:val="superscript"/>
                <w:lang w:val="sr-Latn-ME"/>
              </w:rPr>
              <w:t>g</w:t>
            </w:r>
            <w:r w:rsidRPr="000D3D7F">
              <w:rPr>
                <w:szCs w:val="22"/>
                <w:lang w:val="sr-Latn-ME"/>
              </w:rPr>
              <w:t xml:space="preserve"> n=667</w:t>
            </w:r>
          </w:p>
        </w:tc>
        <w:tc>
          <w:tcPr>
            <w:tcW w:w="2420" w:type="dxa"/>
            <w:tcBorders>
              <w:top w:val="single" w:sz="4" w:space="0" w:color="auto"/>
              <w:left w:val="single" w:sz="4" w:space="0" w:color="auto"/>
              <w:bottom w:val="single" w:sz="4" w:space="0" w:color="auto"/>
              <w:right w:val="single" w:sz="4" w:space="0" w:color="auto"/>
            </w:tcBorders>
          </w:tcPr>
          <w:p w14:paraId="5CFE9ADB" w14:textId="77777777" w:rsidR="004F4316" w:rsidRPr="000D3D7F" w:rsidRDefault="004F4316" w:rsidP="001E1F5A">
            <w:pPr>
              <w:rPr>
                <w:lang w:val="sr-Latn-ME"/>
              </w:rPr>
            </w:pPr>
            <w:r w:rsidRPr="000D3D7F">
              <w:rPr>
                <w:szCs w:val="22"/>
                <w:lang w:val="sr-Latn-ME"/>
              </w:rPr>
              <w:t>n=336</w:t>
            </w:r>
          </w:p>
        </w:tc>
        <w:tc>
          <w:tcPr>
            <w:tcW w:w="1418" w:type="dxa"/>
            <w:tcBorders>
              <w:top w:val="single" w:sz="4" w:space="0" w:color="auto"/>
              <w:left w:val="single" w:sz="4" w:space="0" w:color="auto"/>
              <w:bottom w:val="single" w:sz="4" w:space="0" w:color="auto"/>
              <w:right w:val="single" w:sz="4" w:space="0" w:color="auto"/>
            </w:tcBorders>
          </w:tcPr>
          <w:p w14:paraId="2E87B97F" w14:textId="77777777" w:rsidR="004F4316" w:rsidRPr="000D3D7F" w:rsidRDefault="004F4316" w:rsidP="001E1F5A">
            <w:pPr>
              <w:rPr>
                <w:lang w:val="sr-Latn-ME"/>
              </w:rPr>
            </w:pPr>
            <w:r w:rsidRPr="000D3D7F">
              <w:rPr>
                <w:szCs w:val="22"/>
                <w:lang w:val="sr-Latn-ME"/>
              </w:rPr>
              <w:t>n=331</w:t>
            </w:r>
          </w:p>
        </w:tc>
      </w:tr>
      <w:tr w:rsidR="004F4316" w:rsidRPr="000D3D7F" w14:paraId="77A27638" w14:textId="77777777" w:rsidTr="00D247AB">
        <w:trPr>
          <w:trHeight w:val="259"/>
        </w:trPr>
        <w:tc>
          <w:tcPr>
            <w:tcW w:w="4989" w:type="dxa"/>
            <w:tcBorders>
              <w:top w:val="single" w:sz="4" w:space="0" w:color="auto"/>
              <w:left w:val="single" w:sz="4" w:space="0" w:color="auto"/>
              <w:bottom w:val="single" w:sz="4" w:space="0" w:color="auto"/>
              <w:right w:val="single" w:sz="4" w:space="0" w:color="auto"/>
            </w:tcBorders>
          </w:tcPr>
          <w:p w14:paraId="73C28CF5" w14:textId="77777777" w:rsidR="004F4316" w:rsidRPr="000D3D7F" w:rsidRDefault="004F4316" w:rsidP="001E1F5A">
            <w:pPr>
              <w:rPr>
                <w:lang w:val="sr-Latn-ME"/>
              </w:rPr>
            </w:pPr>
            <w:r w:rsidRPr="000D3D7F">
              <w:rPr>
                <w:szCs w:val="22"/>
                <w:lang w:val="sr-Latn-ME"/>
              </w:rPr>
              <w:t>≥90% n (%)</w:t>
            </w:r>
          </w:p>
        </w:tc>
        <w:tc>
          <w:tcPr>
            <w:tcW w:w="2420" w:type="dxa"/>
            <w:tcBorders>
              <w:top w:val="single" w:sz="4" w:space="0" w:color="auto"/>
              <w:left w:val="single" w:sz="4" w:space="0" w:color="auto"/>
              <w:bottom w:val="single" w:sz="4" w:space="0" w:color="auto"/>
              <w:right w:val="single" w:sz="4" w:space="0" w:color="auto"/>
            </w:tcBorders>
          </w:tcPr>
          <w:p w14:paraId="09A67AA2" w14:textId="77777777" w:rsidR="004F4316" w:rsidRPr="000D3D7F" w:rsidRDefault="004F4316" w:rsidP="001E1F5A">
            <w:pPr>
              <w:rPr>
                <w:lang w:val="sr-Latn-ME"/>
              </w:rPr>
            </w:pPr>
            <w:r w:rsidRPr="000D3D7F">
              <w:rPr>
                <w:szCs w:val="22"/>
                <w:lang w:val="sr-Latn-ME"/>
              </w:rPr>
              <w:t>151 (45)</w:t>
            </w:r>
          </w:p>
        </w:tc>
        <w:tc>
          <w:tcPr>
            <w:tcW w:w="1418" w:type="dxa"/>
            <w:tcBorders>
              <w:top w:val="single" w:sz="4" w:space="0" w:color="auto"/>
              <w:left w:val="single" w:sz="4" w:space="0" w:color="auto"/>
              <w:bottom w:val="single" w:sz="4" w:space="0" w:color="auto"/>
              <w:right w:val="single" w:sz="4" w:space="0" w:color="auto"/>
            </w:tcBorders>
          </w:tcPr>
          <w:p w14:paraId="52BB546B" w14:textId="77777777" w:rsidR="004F4316" w:rsidRPr="000D3D7F" w:rsidRDefault="004F4316" w:rsidP="001E1F5A">
            <w:pPr>
              <w:rPr>
                <w:lang w:val="sr-Latn-ME"/>
              </w:rPr>
            </w:pPr>
            <w:r w:rsidRPr="000D3D7F">
              <w:rPr>
                <w:szCs w:val="22"/>
                <w:lang w:val="sr-Latn-ME"/>
              </w:rPr>
              <w:t>34 (10)</w:t>
            </w:r>
          </w:p>
        </w:tc>
      </w:tr>
      <w:tr w:rsidR="004F4316" w:rsidRPr="000D3D7F" w14:paraId="2F51F28F" w14:textId="77777777" w:rsidTr="00D247AB">
        <w:trPr>
          <w:trHeight w:val="255"/>
        </w:trPr>
        <w:tc>
          <w:tcPr>
            <w:tcW w:w="4989" w:type="dxa"/>
            <w:tcBorders>
              <w:top w:val="single" w:sz="4" w:space="0" w:color="auto"/>
              <w:left w:val="single" w:sz="4" w:space="0" w:color="auto"/>
              <w:bottom w:val="single" w:sz="4" w:space="0" w:color="auto"/>
              <w:right w:val="single" w:sz="4" w:space="0" w:color="auto"/>
            </w:tcBorders>
          </w:tcPr>
          <w:p w14:paraId="2E9E2B05" w14:textId="17B5551F" w:rsidR="004F4316" w:rsidRPr="000D3D7F" w:rsidRDefault="004F4316" w:rsidP="001E1F5A">
            <w:pPr>
              <w:rPr>
                <w:b/>
                <w:bCs/>
                <w:lang w:val="sr-Latn-ME"/>
              </w:rPr>
            </w:pPr>
            <w:r w:rsidRPr="000D3D7F">
              <w:rPr>
                <w:b/>
                <w:bCs/>
                <w:szCs w:val="22"/>
                <w:lang w:val="sr-Latn-ME"/>
              </w:rPr>
              <w:t>Vr</w:t>
            </w:r>
            <w:r w:rsidR="00094C2E" w:rsidRPr="000D3D7F">
              <w:rPr>
                <w:b/>
                <w:bCs/>
                <w:szCs w:val="22"/>
                <w:lang w:val="sr-Latn-ME"/>
              </w:rPr>
              <w:t>ij</w:t>
            </w:r>
            <w:r w:rsidRPr="000D3D7F">
              <w:rPr>
                <w:b/>
                <w:bCs/>
                <w:szCs w:val="22"/>
                <w:lang w:val="sr-Latn-ME"/>
              </w:rPr>
              <w:t>eme (koje protekne) do prvog odgovora kod</w:t>
            </w:r>
          </w:p>
        </w:tc>
        <w:tc>
          <w:tcPr>
            <w:tcW w:w="2420" w:type="dxa"/>
            <w:tcBorders>
              <w:top w:val="single" w:sz="4" w:space="0" w:color="auto"/>
              <w:left w:val="single" w:sz="4" w:space="0" w:color="auto"/>
              <w:bottom w:val="single" w:sz="4" w:space="0" w:color="auto"/>
              <w:right w:val="single" w:sz="4" w:space="0" w:color="auto"/>
            </w:tcBorders>
          </w:tcPr>
          <w:p w14:paraId="04E52F38" w14:textId="77777777" w:rsidR="004F4316" w:rsidRPr="000D3D7F" w:rsidRDefault="004F4316" w:rsidP="001E1F5A">
            <w:pPr>
              <w:rPr>
                <w:lang w:val="sr-Latn-ME"/>
              </w:rPr>
            </w:pPr>
          </w:p>
        </w:tc>
        <w:tc>
          <w:tcPr>
            <w:tcW w:w="1418" w:type="dxa"/>
            <w:tcBorders>
              <w:top w:val="single" w:sz="4" w:space="0" w:color="auto"/>
              <w:left w:val="single" w:sz="4" w:space="0" w:color="auto"/>
              <w:bottom w:val="single" w:sz="4" w:space="0" w:color="auto"/>
              <w:right w:val="single" w:sz="4" w:space="0" w:color="auto"/>
            </w:tcBorders>
          </w:tcPr>
          <w:p w14:paraId="675126FF" w14:textId="77777777" w:rsidR="004F4316" w:rsidRPr="000D3D7F" w:rsidRDefault="004F4316" w:rsidP="001E1F5A">
            <w:pPr>
              <w:rPr>
                <w:lang w:val="sr-Latn-ME"/>
              </w:rPr>
            </w:pPr>
          </w:p>
        </w:tc>
      </w:tr>
      <w:tr w:rsidR="004F4316" w:rsidRPr="000D3D7F" w14:paraId="1F525D10" w14:textId="77777777" w:rsidTr="00D247AB">
        <w:trPr>
          <w:trHeight w:val="255"/>
        </w:trPr>
        <w:tc>
          <w:tcPr>
            <w:tcW w:w="4989" w:type="dxa"/>
            <w:tcBorders>
              <w:top w:val="single" w:sz="4" w:space="0" w:color="auto"/>
              <w:left w:val="single" w:sz="4" w:space="0" w:color="auto"/>
              <w:bottom w:val="single" w:sz="4" w:space="0" w:color="auto"/>
              <w:right w:val="single" w:sz="4" w:space="0" w:color="auto"/>
            </w:tcBorders>
          </w:tcPr>
          <w:p w14:paraId="75D31D54" w14:textId="77777777" w:rsidR="004F4316" w:rsidRPr="000D3D7F" w:rsidRDefault="004F4316" w:rsidP="001E1F5A">
            <w:pPr>
              <w:rPr>
                <w:b/>
                <w:bCs/>
                <w:lang w:val="sr-Latn-ME"/>
              </w:rPr>
            </w:pPr>
            <w:r w:rsidRPr="000D3D7F">
              <w:rPr>
                <w:b/>
                <w:bCs/>
                <w:szCs w:val="22"/>
                <w:lang w:val="sr-Latn-ME"/>
              </w:rPr>
              <w:t>CR + PR</w:t>
            </w:r>
          </w:p>
        </w:tc>
        <w:tc>
          <w:tcPr>
            <w:tcW w:w="2420" w:type="dxa"/>
            <w:tcBorders>
              <w:top w:val="single" w:sz="4" w:space="0" w:color="auto"/>
              <w:left w:val="single" w:sz="4" w:space="0" w:color="auto"/>
              <w:bottom w:val="single" w:sz="4" w:space="0" w:color="auto"/>
              <w:right w:val="single" w:sz="4" w:space="0" w:color="auto"/>
            </w:tcBorders>
          </w:tcPr>
          <w:p w14:paraId="3F19275C" w14:textId="77777777" w:rsidR="004F4316" w:rsidRPr="000D3D7F" w:rsidRDefault="004F4316" w:rsidP="001E1F5A">
            <w:pPr>
              <w:rPr>
                <w:lang w:val="sr-Latn-ME"/>
              </w:rPr>
            </w:pPr>
          </w:p>
        </w:tc>
        <w:tc>
          <w:tcPr>
            <w:tcW w:w="1418" w:type="dxa"/>
            <w:tcBorders>
              <w:top w:val="single" w:sz="4" w:space="0" w:color="auto"/>
              <w:left w:val="single" w:sz="4" w:space="0" w:color="auto"/>
              <w:bottom w:val="single" w:sz="4" w:space="0" w:color="auto"/>
              <w:right w:val="single" w:sz="4" w:space="0" w:color="auto"/>
            </w:tcBorders>
          </w:tcPr>
          <w:p w14:paraId="4307DA66" w14:textId="77777777" w:rsidR="004F4316" w:rsidRPr="000D3D7F" w:rsidRDefault="004F4316" w:rsidP="001E1F5A">
            <w:pPr>
              <w:rPr>
                <w:lang w:val="sr-Latn-ME"/>
              </w:rPr>
            </w:pPr>
          </w:p>
        </w:tc>
      </w:tr>
      <w:tr w:rsidR="004F4316" w:rsidRPr="000D3D7F" w14:paraId="2C4F73F4" w14:textId="77777777" w:rsidTr="00D247AB">
        <w:trPr>
          <w:trHeight w:val="240"/>
        </w:trPr>
        <w:tc>
          <w:tcPr>
            <w:tcW w:w="4989" w:type="dxa"/>
            <w:tcBorders>
              <w:top w:val="single" w:sz="4" w:space="0" w:color="auto"/>
              <w:left w:val="single" w:sz="4" w:space="0" w:color="auto"/>
              <w:bottom w:val="single" w:sz="4" w:space="0" w:color="auto"/>
              <w:right w:val="single" w:sz="4" w:space="0" w:color="auto"/>
            </w:tcBorders>
          </w:tcPr>
          <w:p w14:paraId="35C8F8C5" w14:textId="77777777" w:rsidR="004F4316" w:rsidRPr="000D3D7F" w:rsidRDefault="004F4316" w:rsidP="001E1F5A">
            <w:pPr>
              <w:rPr>
                <w:lang w:val="sr-Latn-ME"/>
              </w:rPr>
            </w:pPr>
            <w:r w:rsidRPr="000D3D7F">
              <w:rPr>
                <w:szCs w:val="22"/>
                <w:lang w:val="sr-Latn-ME"/>
              </w:rPr>
              <w:lastRenderedPageBreak/>
              <w:t>Medijana</w:t>
            </w:r>
          </w:p>
        </w:tc>
        <w:tc>
          <w:tcPr>
            <w:tcW w:w="2420" w:type="dxa"/>
            <w:tcBorders>
              <w:top w:val="single" w:sz="4" w:space="0" w:color="auto"/>
              <w:left w:val="single" w:sz="4" w:space="0" w:color="auto"/>
              <w:bottom w:val="single" w:sz="4" w:space="0" w:color="auto"/>
              <w:right w:val="single" w:sz="4" w:space="0" w:color="auto"/>
            </w:tcBorders>
          </w:tcPr>
          <w:p w14:paraId="79FC5BC1" w14:textId="6BA6D954" w:rsidR="004F4316" w:rsidRPr="000D3D7F" w:rsidRDefault="004F4316" w:rsidP="001E1F5A">
            <w:pPr>
              <w:rPr>
                <w:lang w:val="sr-Latn-ME"/>
              </w:rPr>
            </w:pPr>
            <w:r w:rsidRPr="000D3D7F">
              <w:rPr>
                <w:szCs w:val="22"/>
                <w:lang w:val="sr-Latn-ME"/>
              </w:rPr>
              <w:t>1,4 m</w:t>
            </w:r>
            <w:r w:rsidR="00094C2E" w:rsidRPr="000D3D7F">
              <w:rPr>
                <w:szCs w:val="22"/>
                <w:lang w:val="sr-Latn-ME"/>
              </w:rPr>
              <w:t>j</w:t>
            </w:r>
            <w:r w:rsidRPr="000D3D7F">
              <w:rPr>
                <w:szCs w:val="22"/>
                <w:lang w:val="sr-Latn-ME"/>
              </w:rPr>
              <w:t>es</w:t>
            </w:r>
          </w:p>
        </w:tc>
        <w:tc>
          <w:tcPr>
            <w:tcW w:w="1418" w:type="dxa"/>
            <w:tcBorders>
              <w:top w:val="single" w:sz="4" w:space="0" w:color="auto"/>
              <w:left w:val="single" w:sz="4" w:space="0" w:color="auto"/>
              <w:bottom w:val="single" w:sz="4" w:space="0" w:color="auto"/>
              <w:right w:val="single" w:sz="4" w:space="0" w:color="auto"/>
            </w:tcBorders>
          </w:tcPr>
          <w:p w14:paraId="6158F22C" w14:textId="7AEC6B44" w:rsidR="004F4316" w:rsidRPr="000D3D7F" w:rsidRDefault="004F4316" w:rsidP="001E1F5A">
            <w:pPr>
              <w:rPr>
                <w:lang w:val="sr-Latn-ME"/>
              </w:rPr>
            </w:pPr>
            <w:r w:rsidRPr="000D3D7F">
              <w:rPr>
                <w:szCs w:val="22"/>
                <w:lang w:val="sr-Latn-ME"/>
              </w:rPr>
              <w:t>4,2 m</w:t>
            </w:r>
            <w:r w:rsidR="00094C2E" w:rsidRPr="000D3D7F">
              <w:rPr>
                <w:szCs w:val="22"/>
                <w:lang w:val="sr-Latn-ME"/>
              </w:rPr>
              <w:t>j</w:t>
            </w:r>
            <w:r w:rsidRPr="000D3D7F">
              <w:rPr>
                <w:szCs w:val="22"/>
                <w:lang w:val="sr-Latn-ME"/>
              </w:rPr>
              <w:t>es</w:t>
            </w:r>
          </w:p>
        </w:tc>
      </w:tr>
      <w:tr w:rsidR="004F4316" w:rsidRPr="000D3D7F" w14:paraId="3D41EFA6" w14:textId="77777777" w:rsidTr="00D247AB">
        <w:trPr>
          <w:trHeight w:val="254"/>
        </w:trPr>
        <w:tc>
          <w:tcPr>
            <w:tcW w:w="4989" w:type="dxa"/>
            <w:tcBorders>
              <w:top w:val="single" w:sz="4" w:space="0" w:color="auto"/>
              <w:left w:val="single" w:sz="4" w:space="0" w:color="auto"/>
              <w:bottom w:val="single" w:sz="4" w:space="0" w:color="auto"/>
              <w:right w:val="single" w:sz="4" w:space="0" w:color="auto"/>
            </w:tcBorders>
          </w:tcPr>
          <w:p w14:paraId="7F2015AD" w14:textId="228F39BD" w:rsidR="004F4316" w:rsidRPr="000D3D7F" w:rsidRDefault="004F4316" w:rsidP="001E1F5A">
            <w:pPr>
              <w:rPr>
                <w:b/>
                <w:bCs/>
                <w:lang w:val="sr-Latn-ME"/>
              </w:rPr>
            </w:pPr>
            <w:r w:rsidRPr="000D3D7F">
              <w:rPr>
                <w:b/>
                <w:bCs/>
                <w:szCs w:val="22"/>
                <w:lang w:val="sr-Latn-ME"/>
              </w:rPr>
              <w:t>Pros</w:t>
            </w:r>
            <w:r w:rsidR="00094C2E" w:rsidRPr="000D3D7F">
              <w:rPr>
                <w:b/>
                <w:bCs/>
                <w:szCs w:val="22"/>
                <w:lang w:val="sr-Latn-ME"/>
              </w:rPr>
              <w:t>j</w:t>
            </w:r>
            <w:r w:rsidRPr="000D3D7F">
              <w:rPr>
                <w:b/>
                <w:bCs/>
                <w:szCs w:val="22"/>
                <w:lang w:val="sr-Latn-ME"/>
              </w:rPr>
              <w:t>ečno</w:t>
            </w:r>
            <w:r w:rsidRPr="000D3D7F">
              <w:rPr>
                <w:szCs w:val="22"/>
                <w:vertAlign w:val="superscript"/>
                <w:lang w:val="sr-Latn-ME"/>
              </w:rPr>
              <w:t>a</w:t>
            </w:r>
            <w:r w:rsidRPr="000D3D7F">
              <w:rPr>
                <w:szCs w:val="22"/>
                <w:lang w:val="sr-Latn-ME"/>
              </w:rPr>
              <w:t xml:space="preserve"> </w:t>
            </w:r>
            <w:r w:rsidRPr="000D3D7F">
              <w:rPr>
                <w:b/>
                <w:bCs/>
                <w:szCs w:val="22"/>
                <w:lang w:val="sr-Latn-ME"/>
              </w:rPr>
              <w:t>trajanje odgovora</w:t>
            </w:r>
          </w:p>
        </w:tc>
        <w:tc>
          <w:tcPr>
            <w:tcW w:w="2420" w:type="dxa"/>
            <w:tcBorders>
              <w:top w:val="single" w:sz="4" w:space="0" w:color="auto"/>
              <w:left w:val="single" w:sz="4" w:space="0" w:color="auto"/>
              <w:bottom w:val="single" w:sz="4" w:space="0" w:color="auto"/>
              <w:right w:val="single" w:sz="4" w:space="0" w:color="auto"/>
            </w:tcBorders>
          </w:tcPr>
          <w:p w14:paraId="0CEC9D57" w14:textId="77777777" w:rsidR="004F4316" w:rsidRPr="000D3D7F" w:rsidRDefault="004F4316" w:rsidP="001E1F5A">
            <w:pPr>
              <w:rPr>
                <w:lang w:val="sr-Latn-ME"/>
              </w:rPr>
            </w:pPr>
          </w:p>
        </w:tc>
        <w:tc>
          <w:tcPr>
            <w:tcW w:w="1418" w:type="dxa"/>
            <w:tcBorders>
              <w:top w:val="single" w:sz="4" w:space="0" w:color="auto"/>
              <w:left w:val="single" w:sz="4" w:space="0" w:color="auto"/>
              <w:bottom w:val="single" w:sz="4" w:space="0" w:color="auto"/>
              <w:right w:val="single" w:sz="4" w:space="0" w:color="auto"/>
            </w:tcBorders>
          </w:tcPr>
          <w:p w14:paraId="6C5CC016" w14:textId="77777777" w:rsidR="004F4316" w:rsidRPr="000D3D7F" w:rsidRDefault="004F4316" w:rsidP="001E1F5A">
            <w:pPr>
              <w:rPr>
                <w:lang w:val="sr-Latn-ME"/>
              </w:rPr>
            </w:pPr>
          </w:p>
        </w:tc>
      </w:tr>
      <w:tr w:rsidR="004F4316" w:rsidRPr="000D3D7F" w14:paraId="2EA07A56" w14:textId="77777777" w:rsidTr="00D247AB">
        <w:trPr>
          <w:trHeight w:val="250"/>
        </w:trPr>
        <w:tc>
          <w:tcPr>
            <w:tcW w:w="4989" w:type="dxa"/>
            <w:tcBorders>
              <w:top w:val="single" w:sz="4" w:space="0" w:color="auto"/>
              <w:left w:val="single" w:sz="4" w:space="0" w:color="auto"/>
              <w:bottom w:val="single" w:sz="4" w:space="0" w:color="auto"/>
              <w:right w:val="single" w:sz="4" w:space="0" w:color="auto"/>
            </w:tcBorders>
          </w:tcPr>
          <w:p w14:paraId="25937D43" w14:textId="77777777" w:rsidR="004F4316" w:rsidRPr="000D3D7F" w:rsidRDefault="004F4316" w:rsidP="001E1F5A">
            <w:pPr>
              <w:rPr>
                <w:vertAlign w:val="superscript"/>
                <w:lang w:val="sr-Latn-ME"/>
              </w:rPr>
            </w:pPr>
            <w:r w:rsidRPr="000D3D7F">
              <w:rPr>
                <w:szCs w:val="22"/>
                <w:lang w:val="sr-Latn-ME"/>
              </w:rPr>
              <w:t>CR</w:t>
            </w:r>
            <w:r w:rsidRPr="000D3D7F">
              <w:rPr>
                <w:szCs w:val="22"/>
                <w:vertAlign w:val="superscript"/>
                <w:lang w:val="sr-Latn-ME"/>
              </w:rPr>
              <w:t>f</w:t>
            </w:r>
          </w:p>
        </w:tc>
        <w:tc>
          <w:tcPr>
            <w:tcW w:w="2420" w:type="dxa"/>
            <w:tcBorders>
              <w:top w:val="single" w:sz="4" w:space="0" w:color="auto"/>
              <w:left w:val="single" w:sz="4" w:space="0" w:color="auto"/>
              <w:bottom w:val="single" w:sz="4" w:space="0" w:color="auto"/>
              <w:right w:val="single" w:sz="4" w:space="0" w:color="auto"/>
            </w:tcBorders>
          </w:tcPr>
          <w:p w14:paraId="26393188" w14:textId="5ADC045D" w:rsidR="004F4316" w:rsidRPr="000D3D7F" w:rsidRDefault="004F4316" w:rsidP="001E1F5A">
            <w:pPr>
              <w:rPr>
                <w:lang w:val="sr-Latn-ME"/>
              </w:rPr>
            </w:pPr>
            <w:r w:rsidRPr="000D3D7F">
              <w:rPr>
                <w:szCs w:val="22"/>
                <w:lang w:val="sr-Latn-ME"/>
              </w:rPr>
              <w:t>24.0 m</w:t>
            </w:r>
            <w:r w:rsidR="00094C2E" w:rsidRPr="000D3D7F">
              <w:rPr>
                <w:szCs w:val="22"/>
                <w:lang w:val="sr-Latn-ME"/>
              </w:rPr>
              <w:t>j</w:t>
            </w:r>
            <w:r w:rsidRPr="000D3D7F">
              <w:rPr>
                <w:szCs w:val="22"/>
                <w:lang w:val="sr-Latn-ME"/>
              </w:rPr>
              <w:t>es</w:t>
            </w:r>
          </w:p>
        </w:tc>
        <w:tc>
          <w:tcPr>
            <w:tcW w:w="1418" w:type="dxa"/>
            <w:tcBorders>
              <w:top w:val="single" w:sz="4" w:space="0" w:color="auto"/>
              <w:left w:val="single" w:sz="4" w:space="0" w:color="auto"/>
              <w:bottom w:val="single" w:sz="4" w:space="0" w:color="auto"/>
              <w:right w:val="single" w:sz="4" w:space="0" w:color="auto"/>
            </w:tcBorders>
          </w:tcPr>
          <w:p w14:paraId="7B2DFF1A" w14:textId="45A05CF2" w:rsidR="004F4316" w:rsidRPr="000D3D7F" w:rsidRDefault="004F4316" w:rsidP="001E1F5A">
            <w:pPr>
              <w:rPr>
                <w:lang w:val="sr-Latn-ME"/>
              </w:rPr>
            </w:pPr>
            <w:r w:rsidRPr="000D3D7F">
              <w:rPr>
                <w:szCs w:val="22"/>
                <w:lang w:val="sr-Latn-ME"/>
              </w:rPr>
              <w:t>12,8 m</w:t>
            </w:r>
            <w:r w:rsidR="00094C2E" w:rsidRPr="000D3D7F">
              <w:rPr>
                <w:szCs w:val="22"/>
                <w:lang w:val="sr-Latn-ME"/>
              </w:rPr>
              <w:t>j</w:t>
            </w:r>
            <w:r w:rsidRPr="000D3D7F">
              <w:rPr>
                <w:szCs w:val="22"/>
                <w:lang w:val="sr-Latn-ME"/>
              </w:rPr>
              <w:t>es</w:t>
            </w:r>
          </w:p>
        </w:tc>
      </w:tr>
      <w:tr w:rsidR="004F4316" w:rsidRPr="000D3D7F" w14:paraId="4E1DF8BE" w14:textId="77777777" w:rsidTr="00D247AB">
        <w:trPr>
          <w:trHeight w:val="269"/>
        </w:trPr>
        <w:tc>
          <w:tcPr>
            <w:tcW w:w="4989" w:type="dxa"/>
            <w:tcBorders>
              <w:top w:val="single" w:sz="4" w:space="0" w:color="auto"/>
              <w:left w:val="single" w:sz="4" w:space="0" w:color="auto"/>
              <w:bottom w:val="single" w:sz="4" w:space="0" w:color="auto"/>
              <w:right w:val="single" w:sz="4" w:space="0" w:color="auto"/>
            </w:tcBorders>
          </w:tcPr>
          <w:p w14:paraId="5D8212AD" w14:textId="77777777" w:rsidR="004F4316" w:rsidRPr="000D3D7F" w:rsidRDefault="004F4316" w:rsidP="001E1F5A">
            <w:pPr>
              <w:rPr>
                <w:vertAlign w:val="superscript"/>
                <w:lang w:val="sr-Latn-ME"/>
              </w:rPr>
            </w:pPr>
            <w:r w:rsidRPr="000D3D7F">
              <w:rPr>
                <w:szCs w:val="22"/>
                <w:lang w:val="sr-Latn-ME"/>
              </w:rPr>
              <w:t>CR + PR</w:t>
            </w:r>
            <w:r w:rsidRPr="000D3D7F">
              <w:rPr>
                <w:szCs w:val="22"/>
                <w:vertAlign w:val="superscript"/>
                <w:lang w:val="sr-Latn-ME"/>
              </w:rPr>
              <w:t>f</w:t>
            </w:r>
          </w:p>
        </w:tc>
        <w:tc>
          <w:tcPr>
            <w:tcW w:w="2420" w:type="dxa"/>
            <w:tcBorders>
              <w:top w:val="single" w:sz="4" w:space="0" w:color="auto"/>
              <w:left w:val="single" w:sz="4" w:space="0" w:color="auto"/>
              <w:bottom w:val="single" w:sz="4" w:space="0" w:color="auto"/>
              <w:right w:val="single" w:sz="4" w:space="0" w:color="auto"/>
            </w:tcBorders>
          </w:tcPr>
          <w:p w14:paraId="62136417" w14:textId="341A7EBD" w:rsidR="004F4316" w:rsidRPr="000D3D7F" w:rsidRDefault="004F4316" w:rsidP="001E1F5A">
            <w:pPr>
              <w:rPr>
                <w:lang w:val="sr-Latn-ME"/>
              </w:rPr>
            </w:pPr>
            <w:r w:rsidRPr="000D3D7F">
              <w:rPr>
                <w:szCs w:val="22"/>
                <w:lang w:val="sr-Latn-ME"/>
              </w:rPr>
              <w:t>19,9 m</w:t>
            </w:r>
            <w:r w:rsidR="00094C2E" w:rsidRPr="000D3D7F">
              <w:rPr>
                <w:szCs w:val="22"/>
                <w:lang w:val="sr-Latn-ME"/>
              </w:rPr>
              <w:t>j</w:t>
            </w:r>
            <w:r w:rsidRPr="000D3D7F">
              <w:rPr>
                <w:szCs w:val="22"/>
                <w:lang w:val="sr-Latn-ME"/>
              </w:rPr>
              <w:t>es</w:t>
            </w:r>
          </w:p>
        </w:tc>
        <w:tc>
          <w:tcPr>
            <w:tcW w:w="1418" w:type="dxa"/>
            <w:tcBorders>
              <w:top w:val="single" w:sz="4" w:space="0" w:color="auto"/>
              <w:left w:val="single" w:sz="4" w:space="0" w:color="auto"/>
              <w:bottom w:val="single" w:sz="4" w:space="0" w:color="auto"/>
              <w:right w:val="single" w:sz="4" w:space="0" w:color="auto"/>
            </w:tcBorders>
          </w:tcPr>
          <w:p w14:paraId="1CF3C01E" w14:textId="777CF5CB" w:rsidR="004F4316" w:rsidRPr="000D3D7F" w:rsidRDefault="004F4316" w:rsidP="001E1F5A">
            <w:pPr>
              <w:rPr>
                <w:lang w:val="sr-Latn-ME"/>
              </w:rPr>
            </w:pPr>
            <w:r w:rsidRPr="000D3D7F">
              <w:rPr>
                <w:szCs w:val="22"/>
                <w:lang w:val="sr-Latn-ME"/>
              </w:rPr>
              <w:t>13,1 m</w:t>
            </w:r>
            <w:r w:rsidR="00094C2E" w:rsidRPr="000D3D7F">
              <w:rPr>
                <w:szCs w:val="22"/>
                <w:lang w:val="sr-Latn-ME"/>
              </w:rPr>
              <w:t>j</w:t>
            </w:r>
            <w:r w:rsidRPr="000D3D7F">
              <w:rPr>
                <w:szCs w:val="22"/>
                <w:lang w:val="sr-Latn-ME"/>
              </w:rPr>
              <w:t>es</w:t>
            </w:r>
          </w:p>
        </w:tc>
      </w:tr>
      <w:tr w:rsidR="004F4316" w:rsidRPr="000D3D7F" w14:paraId="22B9112E" w14:textId="77777777" w:rsidTr="00D247AB">
        <w:trPr>
          <w:trHeight w:val="252"/>
        </w:trPr>
        <w:tc>
          <w:tcPr>
            <w:tcW w:w="4989" w:type="dxa"/>
            <w:tcBorders>
              <w:top w:val="single" w:sz="4" w:space="0" w:color="auto"/>
              <w:left w:val="single" w:sz="4" w:space="0" w:color="auto"/>
              <w:bottom w:val="single" w:sz="4" w:space="0" w:color="auto"/>
              <w:right w:val="single" w:sz="4" w:space="0" w:color="auto"/>
            </w:tcBorders>
          </w:tcPr>
          <w:p w14:paraId="6EDC738D" w14:textId="4791A6B6" w:rsidR="004F4316" w:rsidRPr="000D3D7F" w:rsidRDefault="004F4316" w:rsidP="001E1F5A">
            <w:pPr>
              <w:rPr>
                <w:b/>
                <w:bCs/>
                <w:lang w:val="sr-Latn-ME"/>
              </w:rPr>
            </w:pPr>
            <w:r w:rsidRPr="000D3D7F">
              <w:rPr>
                <w:b/>
                <w:bCs/>
                <w:szCs w:val="22"/>
                <w:lang w:val="sr-Latn-ME"/>
              </w:rPr>
              <w:t>Vr</w:t>
            </w:r>
            <w:r w:rsidR="00094C2E" w:rsidRPr="000D3D7F">
              <w:rPr>
                <w:b/>
                <w:bCs/>
                <w:szCs w:val="22"/>
                <w:lang w:val="sr-Latn-ME"/>
              </w:rPr>
              <w:t>ij</w:t>
            </w:r>
            <w:r w:rsidRPr="000D3D7F">
              <w:rPr>
                <w:b/>
                <w:bCs/>
                <w:szCs w:val="22"/>
                <w:lang w:val="sr-Latn-ME"/>
              </w:rPr>
              <w:t>eme do naredne terapije</w:t>
            </w:r>
          </w:p>
        </w:tc>
        <w:tc>
          <w:tcPr>
            <w:tcW w:w="2420" w:type="dxa"/>
            <w:tcBorders>
              <w:top w:val="single" w:sz="4" w:space="0" w:color="auto"/>
              <w:left w:val="single" w:sz="4" w:space="0" w:color="auto"/>
              <w:bottom w:val="single" w:sz="4" w:space="0" w:color="auto"/>
              <w:right w:val="single" w:sz="4" w:space="0" w:color="auto"/>
            </w:tcBorders>
          </w:tcPr>
          <w:p w14:paraId="1A49E2F5" w14:textId="77777777" w:rsidR="004F4316" w:rsidRPr="000D3D7F" w:rsidRDefault="004F4316" w:rsidP="001E1F5A">
            <w:pPr>
              <w:rPr>
                <w:lang w:val="sr-Latn-ME"/>
              </w:rPr>
            </w:pPr>
          </w:p>
        </w:tc>
        <w:tc>
          <w:tcPr>
            <w:tcW w:w="1418" w:type="dxa"/>
            <w:tcBorders>
              <w:top w:val="single" w:sz="4" w:space="0" w:color="auto"/>
              <w:left w:val="single" w:sz="4" w:space="0" w:color="auto"/>
              <w:bottom w:val="single" w:sz="4" w:space="0" w:color="auto"/>
              <w:right w:val="single" w:sz="4" w:space="0" w:color="auto"/>
            </w:tcBorders>
          </w:tcPr>
          <w:p w14:paraId="1F9498DD" w14:textId="77777777" w:rsidR="004F4316" w:rsidRPr="000D3D7F" w:rsidRDefault="004F4316" w:rsidP="001E1F5A">
            <w:pPr>
              <w:rPr>
                <w:lang w:val="sr-Latn-ME"/>
              </w:rPr>
            </w:pPr>
          </w:p>
        </w:tc>
      </w:tr>
      <w:tr w:rsidR="004F4316" w:rsidRPr="000D3D7F" w14:paraId="5E660580" w14:textId="77777777" w:rsidTr="00D247AB">
        <w:trPr>
          <w:trHeight w:val="243"/>
        </w:trPr>
        <w:tc>
          <w:tcPr>
            <w:tcW w:w="4989" w:type="dxa"/>
            <w:tcBorders>
              <w:top w:val="single" w:sz="4" w:space="0" w:color="auto"/>
              <w:left w:val="single" w:sz="4" w:space="0" w:color="auto"/>
              <w:bottom w:val="single" w:sz="4" w:space="0" w:color="auto"/>
              <w:right w:val="single" w:sz="4" w:space="0" w:color="auto"/>
            </w:tcBorders>
          </w:tcPr>
          <w:p w14:paraId="30D4E2B6" w14:textId="77777777" w:rsidR="004F4316" w:rsidRPr="000D3D7F" w:rsidRDefault="004F4316" w:rsidP="001E1F5A">
            <w:pPr>
              <w:rPr>
                <w:lang w:val="sr-Latn-ME"/>
              </w:rPr>
            </w:pPr>
            <w:r w:rsidRPr="000D3D7F">
              <w:rPr>
                <w:szCs w:val="22"/>
                <w:lang w:val="sr-Latn-ME"/>
              </w:rPr>
              <w:t>Događaj n (%)</w:t>
            </w:r>
          </w:p>
        </w:tc>
        <w:tc>
          <w:tcPr>
            <w:tcW w:w="2420" w:type="dxa"/>
            <w:tcBorders>
              <w:top w:val="single" w:sz="4" w:space="0" w:color="auto"/>
              <w:left w:val="single" w:sz="4" w:space="0" w:color="auto"/>
              <w:bottom w:val="single" w:sz="4" w:space="0" w:color="auto"/>
              <w:right w:val="single" w:sz="4" w:space="0" w:color="auto"/>
            </w:tcBorders>
          </w:tcPr>
          <w:p w14:paraId="720A2127" w14:textId="77777777" w:rsidR="004F4316" w:rsidRPr="000D3D7F" w:rsidRDefault="004F4316" w:rsidP="001E1F5A">
            <w:pPr>
              <w:rPr>
                <w:lang w:val="sr-Latn-ME"/>
              </w:rPr>
            </w:pPr>
            <w:r w:rsidRPr="000D3D7F">
              <w:rPr>
                <w:szCs w:val="22"/>
                <w:lang w:val="sr-Latn-ME"/>
              </w:rPr>
              <w:t>224 (65.1)</w:t>
            </w:r>
          </w:p>
        </w:tc>
        <w:tc>
          <w:tcPr>
            <w:tcW w:w="1418" w:type="dxa"/>
            <w:tcBorders>
              <w:top w:val="single" w:sz="4" w:space="0" w:color="auto"/>
              <w:left w:val="single" w:sz="4" w:space="0" w:color="auto"/>
              <w:bottom w:val="single" w:sz="4" w:space="0" w:color="auto"/>
              <w:right w:val="single" w:sz="4" w:space="0" w:color="auto"/>
            </w:tcBorders>
          </w:tcPr>
          <w:p w14:paraId="09A6C87C" w14:textId="77777777" w:rsidR="004F4316" w:rsidRPr="000D3D7F" w:rsidRDefault="004F4316" w:rsidP="001E1F5A">
            <w:pPr>
              <w:rPr>
                <w:lang w:val="sr-Latn-ME"/>
              </w:rPr>
            </w:pPr>
            <w:r w:rsidRPr="000D3D7F">
              <w:rPr>
                <w:szCs w:val="22"/>
                <w:lang w:val="sr-Latn-ME"/>
              </w:rPr>
              <w:t>260 (76.9)</w:t>
            </w:r>
          </w:p>
        </w:tc>
      </w:tr>
      <w:tr w:rsidR="00B32611" w:rsidRPr="000D3D7F" w14:paraId="58FF256A" w14:textId="77777777" w:rsidTr="00D247AB">
        <w:trPr>
          <w:trHeight w:val="617"/>
        </w:trPr>
        <w:tc>
          <w:tcPr>
            <w:tcW w:w="4989" w:type="dxa"/>
            <w:tcBorders>
              <w:top w:val="single" w:sz="4" w:space="0" w:color="auto"/>
              <w:left w:val="single" w:sz="4" w:space="0" w:color="auto"/>
              <w:right w:val="single" w:sz="4" w:space="0" w:color="auto"/>
            </w:tcBorders>
          </w:tcPr>
          <w:p w14:paraId="0AEDF225" w14:textId="77777777" w:rsidR="00B32611" w:rsidRPr="000D3D7F" w:rsidRDefault="00B32611" w:rsidP="001E1F5A">
            <w:pPr>
              <w:rPr>
                <w:lang w:val="sr-Latn-ME"/>
              </w:rPr>
            </w:pPr>
            <w:r w:rsidRPr="000D3D7F">
              <w:rPr>
                <w:szCs w:val="22"/>
                <w:lang w:val="sr-Latn-ME"/>
              </w:rPr>
              <w:t>Medijana</w:t>
            </w:r>
            <w:r w:rsidRPr="000D3D7F">
              <w:rPr>
                <w:szCs w:val="22"/>
                <w:vertAlign w:val="superscript"/>
                <w:lang w:val="sr-Latn-ME"/>
              </w:rPr>
              <w:t>a</w:t>
            </w:r>
            <w:r w:rsidRPr="000D3D7F">
              <w:rPr>
                <w:szCs w:val="22"/>
                <w:lang w:val="sr-Latn-ME"/>
              </w:rPr>
              <w:t xml:space="preserve"> (95% CI)</w:t>
            </w:r>
          </w:p>
        </w:tc>
        <w:tc>
          <w:tcPr>
            <w:tcW w:w="2420" w:type="dxa"/>
            <w:tcBorders>
              <w:top w:val="single" w:sz="4" w:space="0" w:color="auto"/>
              <w:left w:val="single" w:sz="4" w:space="0" w:color="auto"/>
              <w:right w:val="single" w:sz="4" w:space="0" w:color="auto"/>
            </w:tcBorders>
          </w:tcPr>
          <w:p w14:paraId="0A69A347" w14:textId="39B580C4" w:rsidR="00B32611" w:rsidRPr="000D3D7F" w:rsidRDefault="00B32611" w:rsidP="001E1F5A">
            <w:pPr>
              <w:rPr>
                <w:lang w:val="sr-Latn-ME"/>
              </w:rPr>
            </w:pPr>
            <w:r w:rsidRPr="000D3D7F">
              <w:rPr>
                <w:szCs w:val="22"/>
                <w:lang w:val="sr-Latn-ME"/>
              </w:rPr>
              <w:t>27.0 m</w:t>
            </w:r>
            <w:r w:rsidR="00094C2E" w:rsidRPr="000D3D7F">
              <w:rPr>
                <w:szCs w:val="22"/>
                <w:lang w:val="sr-Latn-ME"/>
              </w:rPr>
              <w:t>j</w:t>
            </w:r>
            <w:r w:rsidRPr="000D3D7F">
              <w:rPr>
                <w:szCs w:val="22"/>
                <w:lang w:val="sr-Latn-ME"/>
              </w:rPr>
              <w:t>es</w:t>
            </w:r>
          </w:p>
          <w:p w14:paraId="656F2578" w14:textId="11A9A0EE" w:rsidR="00B32611" w:rsidRPr="000D3D7F" w:rsidRDefault="00B32611" w:rsidP="001E1F5A">
            <w:pPr>
              <w:rPr>
                <w:lang w:val="sr-Latn-ME"/>
              </w:rPr>
            </w:pPr>
            <w:r w:rsidRPr="000D3D7F">
              <w:rPr>
                <w:szCs w:val="22"/>
                <w:lang w:val="sr-Latn-ME"/>
              </w:rPr>
              <w:t>(24,7; 31,1)</w:t>
            </w:r>
          </w:p>
        </w:tc>
        <w:tc>
          <w:tcPr>
            <w:tcW w:w="1418" w:type="dxa"/>
            <w:tcBorders>
              <w:top w:val="single" w:sz="4" w:space="0" w:color="auto"/>
              <w:left w:val="single" w:sz="4" w:space="0" w:color="auto"/>
              <w:right w:val="single" w:sz="4" w:space="0" w:color="auto"/>
            </w:tcBorders>
          </w:tcPr>
          <w:p w14:paraId="0121B52C" w14:textId="0319A138" w:rsidR="00B32611" w:rsidRPr="000D3D7F" w:rsidRDefault="00B32611" w:rsidP="001E1F5A">
            <w:pPr>
              <w:rPr>
                <w:lang w:val="sr-Latn-ME"/>
              </w:rPr>
            </w:pPr>
            <w:r w:rsidRPr="000D3D7F">
              <w:rPr>
                <w:szCs w:val="22"/>
                <w:lang w:val="sr-Latn-ME"/>
              </w:rPr>
              <w:t>19.2 m</w:t>
            </w:r>
            <w:r w:rsidR="00094C2E" w:rsidRPr="000D3D7F">
              <w:rPr>
                <w:szCs w:val="22"/>
                <w:lang w:val="sr-Latn-ME"/>
              </w:rPr>
              <w:t>j</w:t>
            </w:r>
            <w:r w:rsidRPr="000D3D7F">
              <w:rPr>
                <w:szCs w:val="22"/>
                <w:lang w:val="sr-Latn-ME"/>
              </w:rPr>
              <w:t>es</w:t>
            </w:r>
          </w:p>
          <w:p w14:paraId="73FD56FD" w14:textId="05301348" w:rsidR="00B32611" w:rsidRPr="000D3D7F" w:rsidRDefault="00B32611" w:rsidP="001E1F5A">
            <w:pPr>
              <w:rPr>
                <w:lang w:val="sr-Latn-ME"/>
              </w:rPr>
            </w:pPr>
            <w:r w:rsidRPr="000D3D7F">
              <w:rPr>
                <w:szCs w:val="22"/>
                <w:lang w:val="sr-Latn-ME"/>
              </w:rPr>
              <w:t>(17,0; 21,0)</w:t>
            </w:r>
          </w:p>
        </w:tc>
      </w:tr>
      <w:tr w:rsidR="00B32611" w:rsidRPr="000D3D7F" w14:paraId="4390D491" w14:textId="77777777" w:rsidTr="00D247AB">
        <w:trPr>
          <w:trHeight w:val="796"/>
        </w:trPr>
        <w:tc>
          <w:tcPr>
            <w:tcW w:w="4989" w:type="dxa"/>
            <w:tcBorders>
              <w:top w:val="single" w:sz="4" w:space="0" w:color="auto"/>
              <w:left w:val="single" w:sz="4" w:space="0" w:color="auto"/>
              <w:right w:val="single" w:sz="4" w:space="0" w:color="auto"/>
            </w:tcBorders>
          </w:tcPr>
          <w:p w14:paraId="61078F2D" w14:textId="77777777" w:rsidR="00B32611" w:rsidRPr="000D3D7F" w:rsidRDefault="00B32611" w:rsidP="001E1F5A">
            <w:pPr>
              <w:rPr>
                <w:vertAlign w:val="superscript"/>
                <w:lang w:val="sr-Latn-ME"/>
              </w:rPr>
            </w:pPr>
            <w:r w:rsidRPr="000D3D7F">
              <w:rPr>
                <w:i/>
                <w:iCs/>
                <w:szCs w:val="22"/>
                <w:lang w:val="sr-Latn-ME"/>
              </w:rPr>
              <w:t>Hazard ratio</w:t>
            </w:r>
            <w:r w:rsidRPr="000D3D7F">
              <w:rPr>
                <w:szCs w:val="22"/>
                <w:vertAlign w:val="superscript"/>
                <w:lang w:val="sr-Latn-ME"/>
              </w:rPr>
              <w:t>b</w:t>
            </w:r>
            <w:r w:rsidRPr="000D3D7F">
              <w:rPr>
                <w:szCs w:val="22"/>
                <w:lang w:val="sr-Latn-ME"/>
              </w:rPr>
              <w:t xml:space="preserve"> (HR)</w:t>
            </w:r>
            <w:r w:rsidRPr="000D3D7F">
              <w:rPr>
                <w:szCs w:val="22"/>
                <w:vertAlign w:val="superscript"/>
                <w:lang w:val="sr-Latn-ME"/>
              </w:rPr>
              <w:t>b</w:t>
            </w:r>
          </w:p>
          <w:p w14:paraId="73F94784" w14:textId="7A0CAB54" w:rsidR="00B32611" w:rsidRPr="000D3D7F" w:rsidRDefault="00B32611" w:rsidP="001E1F5A">
            <w:pPr>
              <w:rPr>
                <w:vertAlign w:val="superscript"/>
                <w:lang w:val="sr-Latn-ME"/>
              </w:rPr>
            </w:pPr>
            <w:r w:rsidRPr="000D3D7F">
              <w:rPr>
                <w:szCs w:val="22"/>
                <w:lang w:val="sr-Latn-ME"/>
              </w:rPr>
              <w:t>(95% CI)</w:t>
            </w:r>
          </w:p>
        </w:tc>
        <w:tc>
          <w:tcPr>
            <w:tcW w:w="3839" w:type="dxa"/>
            <w:gridSpan w:val="2"/>
            <w:tcBorders>
              <w:top w:val="single" w:sz="4" w:space="0" w:color="auto"/>
              <w:left w:val="single" w:sz="4" w:space="0" w:color="auto"/>
              <w:right w:val="single" w:sz="4" w:space="0" w:color="auto"/>
            </w:tcBorders>
          </w:tcPr>
          <w:p w14:paraId="69F24B8B" w14:textId="77777777" w:rsidR="00B32611" w:rsidRPr="000D3D7F" w:rsidRDefault="00B32611" w:rsidP="001E1F5A">
            <w:pPr>
              <w:rPr>
                <w:lang w:val="sr-Latn-ME"/>
              </w:rPr>
            </w:pPr>
            <w:r w:rsidRPr="000D3D7F">
              <w:rPr>
                <w:szCs w:val="22"/>
                <w:lang w:val="sr-Latn-ME"/>
              </w:rPr>
              <w:t>0,557</w:t>
            </w:r>
          </w:p>
          <w:p w14:paraId="6408E046" w14:textId="0D6418DA" w:rsidR="00B32611" w:rsidRPr="000D3D7F" w:rsidRDefault="00B32611" w:rsidP="001E1F5A">
            <w:pPr>
              <w:rPr>
                <w:lang w:val="sr-Latn-ME"/>
              </w:rPr>
            </w:pPr>
            <w:r w:rsidRPr="000D3D7F">
              <w:rPr>
                <w:szCs w:val="22"/>
                <w:lang w:val="sr-Latn-ME"/>
              </w:rPr>
              <w:t>(0,462; 0,671)</w:t>
            </w:r>
          </w:p>
        </w:tc>
      </w:tr>
      <w:tr w:rsidR="00B32611" w:rsidRPr="000D3D7F" w14:paraId="1A50C671" w14:textId="77777777" w:rsidTr="00D247AB">
        <w:trPr>
          <w:trHeight w:val="559"/>
        </w:trPr>
        <w:tc>
          <w:tcPr>
            <w:tcW w:w="4989" w:type="dxa"/>
            <w:tcBorders>
              <w:top w:val="single" w:sz="4" w:space="0" w:color="auto"/>
              <w:left w:val="single" w:sz="4" w:space="0" w:color="auto"/>
              <w:bottom w:val="single" w:sz="4" w:space="0" w:color="auto"/>
              <w:right w:val="single" w:sz="4" w:space="0" w:color="auto"/>
            </w:tcBorders>
          </w:tcPr>
          <w:p w14:paraId="1ECCB922" w14:textId="0D616C49" w:rsidR="00B32611" w:rsidRPr="000D3D7F" w:rsidRDefault="00B32611" w:rsidP="001E1F5A">
            <w:pPr>
              <w:rPr>
                <w:vertAlign w:val="superscript"/>
                <w:lang w:val="sr-Latn-ME"/>
              </w:rPr>
            </w:pPr>
            <w:r w:rsidRPr="000D3D7F">
              <w:rPr>
                <w:szCs w:val="22"/>
                <w:lang w:val="sr-Latn-ME"/>
              </w:rPr>
              <w:t>p-vr</w:t>
            </w:r>
            <w:r w:rsidR="00094C2E" w:rsidRPr="000D3D7F">
              <w:rPr>
                <w:szCs w:val="22"/>
                <w:lang w:val="sr-Latn-ME"/>
              </w:rPr>
              <w:t>ij</w:t>
            </w:r>
            <w:r w:rsidRPr="000D3D7F">
              <w:rPr>
                <w:szCs w:val="22"/>
                <w:lang w:val="sr-Latn-ME"/>
              </w:rPr>
              <w:t xml:space="preserve">ednost </w:t>
            </w:r>
            <w:r w:rsidRPr="000D3D7F">
              <w:rPr>
                <w:szCs w:val="22"/>
                <w:vertAlign w:val="superscript"/>
                <w:lang w:val="sr-Latn-ME"/>
              </w:rPr>
              <w:t>c</w:t>
            </w:r>
          </w:p>
        </w:tc>
        <w:tc>
          <w:tcPr>
            <w:tcW w:w="3839" w:type="dxa"/>
            <w:gridSpan w:val="2"/>
            <w:tcBorders>
              <w:top w:val="single" w:sz="4" w:space="0" w:color="auto"/>
              <w:left w:val="single" w:sz="4" w:space="0" w:color="auto"/>
              <w:bottom w:val="single" w:sz="4" w:space="0" w:color="auto"/>
              <w:right w:val="single" w:sz="4" w:space="0" w:color="auto"/>
            </w:tcBorders>
          </w:tcPr>
          <w:p w14:paraId="6FCCAE8A" w14:textId="64B416B8" w:rsidR="00B32611" w:rsidRPr="000D3D7F" w:rsidRDefault="00B32611" w:rsidP="001E1F5A">
            <w:pPr>
              <w:rPr>
                <w:lang w:val="sr-Latn-ME"/>
              </w:rPr>
            </w:pPr>
            <w:r w:rsidRPr="000D3D7F">
              <w:rPr>
                <w:szCs w:val="22"/>
                <w:lang w:val="sr-Latn-ME"/>
              </w:rPr>
              <w:t>&lt;000001</w:t>
            </w:r>
          </w:p>
        </w:tc>
      </w:tr>
    </w:tbl>
    <w:p w14:paraId="2F5421FD" w14:textId="09F1FC33" w:rsidR="009E39C5" w:rsidRPr="000D3D7F" w:rsidRDefault="009E39C5" w:rsidP="001E1F5A">
      <w:pPr>
        <w:rPr>
          <w:szCs w:val="22"/>
          <w:lang w:val="sr-Latn-ME"/>
        </w:rPr>
      </w:pPr>
    </w:p>
    <w:p w14:paraId="753AC9B9" w14:textId="6D83E754" w:rsidR="009E39C5" w:rsidRPr="000D3D7F" w:rsidRDefault="009E39C5" w:rsidP="001E1F5A">
      <w:pPr>
        <w:rPr>
          <w:szCs w:val="22"/>
          <w:lang w:val="sr-Latn-ME"/>
        </w:rPr>
      </w:pPr>
      <w:r w:rsidRPr="000D3D7F">
        <w:rPr>
          <w:szCs w:val="22"/>
          <w:vertAlign w:val="superscript"/>
          <w:lang w:val="sr-Latn-ME"/>
        </w:rPr>
        <w:t xml:space="preserve">a </w:t>
      </w:r>
      <w:r w:rsidRPr="000D3D7F">
        <w:rPr>
          <w:szCs w:val="22"/>
          <w:lang w:val="sr-Latn-ME"/>
        </w:rPr>
        <w:t>Kaplan-Meierova proc</w:t>
      </w:r>
      <w:r w:rsidR="00094C2E" w:rsidRPr="000D3D7F">
        <w:rPr>
          <w:szCs w:val="22"/>
          <w:lang w:val="sr-Latn-ME"/>
        </w:rPr>
        <w:t>j</w:t>
      </w:r>
      <w:r w:rsidRPr="000D3D7F">
        <w:rPr>
          <w:szCs w:val="22"/>
          <w:lang w:val="sr-Latn-ME"/>
        </w:rPr>
        <w:t>ena.</w:t>
      </w:r>
    </w:p>
    <w:p w14:paraId="7A8A457E" w14:textId="10A7968C" w:rsidR="009E39C5" w:rsidRPr="000D3D7F" w:rsidRDefault="009E39C5" w:rsidP="001E1F5A">
      <w:pPr>
        <w:rPr>
          <w:szCs w:val="22"/>
          <w:lang w:val="sr-Latn-ME"/>
        </w:rPr>
      </w:pPr>
      <w:r w:rsidRPr="000D3D7F">
        <w:rPr>
          <w:szCs w:val="22"/>
          <w:vertAlign w:val="superscript"/>
          <w:lang w:val="sr-Latn-ME"/>
        </w:rPr>
        <w:t>b</w:t>
      </w:r>
      <w:r w:rsidRPr="000D3D7F">
        <w:rPr>
          <w:szCs w:val="22"/>
          <w:lang w:val="sr-Latn-ME"/>
        </w:rPr>
        <w:t xml:space="preserve"> proc</w:t>
      </w:r>
      <w:r w:rsidR="00094C2E" w:rsidRPr="000D3D7F">
        <w:rPr>
          <w:szCs w:val="22"/>
          <w:lang w:val="sr-Latn-ME"/>
        </w:rPr>
        <w:t>j</w:t>
      </w:r>
      <w:r w:rsidRPr="000D3D7F">
        <w:rPr>
          <w:szCs w:val="22"/>
          <w:lang w:val="sr-Latn-ME"/>
        </w:rPr>
        <w:t>ena hazard ratio (HR) zasniva se na Cox-ovom proporcionalnom modelu rizika prilagođenom</w:t>
      </w:r>
      <w:r w:rsidR="004B33C6" w:rsidRPr="000D3D7F">
        <w:rPr>
          <w:szCs w:val="22"/>
          <w:lang w:val="sr-Latn-ME"/>
        </w:rPr>
        <w:t xml:space="preserve"> </w:t>
      </w:r>
      <w:r w:rsidRPr="000D3D7F">
        <w:rPr>
          <w:szCs w:val="22"/>
          <w:lang w:val="sr-Latn-ME"/>
        </w:rPr>
        <w:t>faktorima stratifikacije: beta –2mikroglobulinu, albuminu i regionu. Vr</w:t>
      </w:r>
      <w:r w:rsidR="00094C2E" w:rsidRPr="000D3D7F">
        <w:rPr>
          <w:szCs w:val="22"/>
          <w:lang w:val="sr-Latn-ME"/>
        </w:rPr>
        <w:t>ij</w:t>
      </w:r>
      <w:r w:rsidRPr="000D3D7F">
        <w:rPr>
          <w:szCs w:val="22"/>
          <w:lang w:val="sr-Latn-ME"/>
        </w:rPr>
        <w:t>ednost HR manja od 1</w:t>
      </w:r>
      <w:r w:rsidR="004B33C6" w:rsidRPr="000D3D7F">
        <w:rPr>
          <w:szCs w:val="22"/>
          <w:lang w:val="sr-Latn-ME"/>
        </w:rPr>
        <w:t xml:space="preserve"> </w:t>
      </w:r>
      <w:r w:rsidRPr="000D3D7F">
        <w:rPr>
          <w:szCs w:val="22"/>
          <w:lang w:val="sr-Latn-ME"/>
        </w:rPr>
        <w:t>ukazuje na prednost prim</w:t>
      </w:r>
      <w:r w:rsidR="00094C2E" w:rsidRPr="000D3D7F">
        <w:rPr>
          <w:szCs w:val="22"/>
          <w:lang w:val="sr-Latn-ME"/>
        </w:rPr>
        <w:t>j</w:t>
      </w:r>
      <w:r w:rsidRPr="000D3D7F">
        <w:rPr>
          <w:szCs w:val="22"/>
          <w:lang w:val="sr-Latn-ME"/>
        </w:rPr>
        <w:t xml:space="preserve">ene </w:t>
      </w:r>
      <w:r w:rsidR="00473C68" w:rsidRPr="000D3D7F">
        <w:rPr>
          <w:szCs w:val="22"/>
          <w:lang w:val="sr-Latn-ME"/>
        </w:rPr>
        <w:t>Bz</w:t>
      </w:r>
      <w:r w:rsidRPr="000D3D7F">
        <w:rPr>
          <w:szCs w:val="22"/>
          <w:lang w:val="sr-Latn-ME"/>
        </w:rPr>
        <w:t>MP.</w:t>
      </w:r>
    </w:p>
    <w:p w14:paraId="7F153E2B" w14:textId="0A4DD4C7" w:rsidR="009E39C5" w:rsidRPr="000D3D7F" w:rsidRDefault="009E39C5" w:rsidP="001E1F5A">
      <w:pPr>
        <w:rPr>
          <w:szCs w:val="22"/>
          <w:lang w:val="sr-Latn-ME"/>
        </w:rPr>
      </w:pPr>
      <w:r w:rsidRPr="000D3D7F">
        <w:rPr>
          <w:szCs w:val="22"/>
          <w:vertAlign w:val="superscript"/>
          <w:lang w:val="sr-Latn-ME"/>
        </w:rPr>
        <w:t>c</w:t>
      </w:r>
      <w:r w:rsidRPr="000D3D7F">
        <w:rPr>
          <w:szCs w:val="22"/>
          <w:lang w:val="sr-Latn-ME"/>
        </w:rPr>
        <w:t xml:space="preserve"> Nominalna p-vr</w:t>
      </w:r>
      <w:r w:rsidR="00094C2E" w:rsidRPr="000D3D7F">
        <w:rPr>
          <w:szCs w:val="22"/>
          <w:lang w:val="sr-Latn-ME"/>
        </w:rPr>
        <w:t>ij</w:t>
      </w:r>
      <w:r w:rsidRPr="000D3D7F">
        <w:rPr>
          <w:szCs w:val="22"/>
          <w:lang w:val="sr-Latn-ME"/>
        </w:rPr>
        <w:t>ednost zasnovana na stratifikovanom log-rank testu prilagođenom za faktore</w:t>
      </w:r>
      <w:r w:rsidR="004B33C6" w:rsidRPr="000D3D7F">
        <w:rPr>
          <w:szCs w:val="22"/>
          <w:lang w:val="sr-Latn-ME"/>
        </w:rPr>
        <w:t xml:space="preserve"> </w:t>
      </w:r>
      <w:r w:rsidRPr="000D3D7F">
        <w:rPr>
          <w:szCs w:val="22"/>
          <w:lang w:val="sr-Latn-ME"/>
        </w:rPr>
        <w:t>stratifikacije: beta-2-mikroglobulin, albumin i region.</w:t>
      </w:r>
      <w:r w:rsidR="004B33C6" w:rsidRPr="000D3D7F">
        <w:rPr>
          <w:szCs w:val="22"/>
          <w:lang w:val="sr-Latn-ME"/>
        </w:rPr>
        <w:t xml:space="preserve"> </w:t>
      </w:r>
    </w:p>
    <w:p w14:paraId="0B103477" w14:textId="052D5762" w:rsidR="009E39C5" w:rsidRPr="000D3D7F" w:rsidRDefault="009E39C5" w:rsidP="001E1F5A">
      <w:pPr>
        <w:rPr>
          <w:szCs w:val="22"/>
          <w:lang w:val="sr-Latn-ME"/>
        </w:rPr>
      </w:pPr>
      <w:r w:rsidRPr="000D3D7F">
        <w:rPr>
          <w:szCs w:val="22"/>
          <w:vertAlign w:val="superscript"/>
          <w:lang w:val="sr-Latn-ME"/>
        </w:rPr>
        <w:t>d</w:t>
      </w:r>
      <w:r w:rsidRPr="000D3D7F">
        <w:rPr>
          <w:szCs w:val="22"/>
          <w:lang w:val="sr-Latn-ME"/>
        </w:rPr>
        <w:t xml:space="preserve"> p-vr</w:t>
      </w:r>
      <w:r w:rsidR="00094C2E" w:rsidRPr="000D3D7F">
        <w:rPr>
          <w:szCs w:val="22"/>
          <w:lang w:val="sr-Latn-ME"/>
        </w:rPr>
        <w:t>ij</w:t>
      </w:r>
      <w:r w:rsidRPr="000D3D7F">
        <w:rPr>
          <w:szCs w:val="22"/>
          <w:lang w:val="sr-Latn-ME"/>
        </w:rPr>
        <w:t>ednost za stepen odgovora RR (CR+PR) iz Cochran-Mantel-Haenszel-ovog hi-kvadrat testa</w:t>
      </w:r>
      <w:r w:rsidR="004B33C6" w:rsidRPr="000D3D7F">
        <w:rPr>
          <w:szCs w:val="22"/>
          <w:lang w:val="sr-Latn-ME"/>
        </w:rPr>
        <w:t xml:space="preserve"> </w:t>
      </w:r>
      <w:r w:rsidRPr="000D3D7F">
        <w:rPr>
          <w:szCs w:val="22"/>
          <w:lang w:val="sr-Latn-ME"/>
        </w:rPr>
        <w:t>prilagođenog za faktore stratifikacije.</w:t>
      </w:r>
    </w:p>
    <w:p w14:paraId="6DC601DB" w14:textId="377E0C64" w:rsidR="009E39C5" w:rsidRPr="000D3D7F" w:rsidRDefault="009E39C5" w:rsidP="001E1F5A">
      <w:pPr>
        <w:rPr>
          <w:szCs w:val="22"/>
          <w:lang w:val="sr-Latn-ME"/>
        </w:rPr>
      </w:pPr>
      <w:r w:rsidRPr="000D3D7F">
        <w:rPr>
          <w:szCs w:val="22"/>
          <w:vertAlign w:val="superscript"/>
          <w:lang w:val="sr-Latn-ME"/>
        </w:rPr>
        <w:t xml:space="preserve">e </w:t>
      </w:r>
      <w:r w:rsidRPr="000D3D7F">
        <w:rPr>
          <w:szCs w:val="22"/>
          <w:lang w:val="sr-Latn-ME"/>
        </w:rPr>
        <w:t>Populacija ispitanika kod kojih je postignut odgovor na terapiju uključuje pacijente kod kojih je</w:t>
      </w:r>
      <w:r w:rsidR="004B33C6" w:rsidRPr="000D3D7F">
        <w:rPr>
          <w:szCs w:val="22"/>
          <w:lang w:val="sr-Latn-ME"/>
        </w:rPr>
        <w:t xml:space="preserve"> </w:t>
      </w:r>
      <w:r w:rsidRPr="000D3D7F">
        <w:rPr>
          <w:szCs w:val="22"/>
          <w:lang w:val="sr-Latn-ME"/>
        </w:rPr>
        <w:t>bolest bila m</w:t>
      </w:r>
      <w:r w:rsidR="00094C2E" w:rsidRPr="000D3D7F">
        <w:rPr>
          <w:szCs w:val="22"/>
          <w:lang w:val="sr-Latn-ME"/>
        </w:rPr>
        <w:t>j</w:t>
      </w:r>
      <w:r w:rsidRPr="000D3D7F">
        <w:rPr>
          <w:szCs w:val="22"/>
          <w:lang w:val="sr-Latn-ME"/>
        </w:rPr>
        <w:t>erljiva na početku ispitivanja.</w:t>
      </w:r>
    </w:p>
    <w:p w14:paraId="60422D43" w14:textId="0FFBA34D" w:rsidR="009E39C5" w:rsidRPr="000D3D7F" w:rsidRDefault="009E39C5" w:rsidP="001E1F5A">
      <w:pPr>
        <w:rPr>
          <w:szCs w:val="22"/>
          <w:lang w:val="sr-Latn-ME"/>
        </w:rPr>
      </w:pPr>
      <w:r w:rsidRPr="000D3D7F">
        <w:rPr>
          <w:szCs w:val="22"/>
          <w:vertAlign w:val="superscript"/>
          <w:lang w:val="sr-Latn-ME"/>
        </w:rPr>
        <w:t>f</w:t>
      </w:r>
      <w:r w:rsidRPr="000D3D7F">
        <w:rPr>
          <w:szCs w:val="22"/>
          <w:lang w:val="sr-Latn-ME"/>
        </w:rPr>
        <w:t xml:space="preserve"> </w:t>
      </w:r>
      <w:r w:rsidR="000C7020" w:rsidRPr="000D3D7F">
        <w:rPr>
          <w:szCs w:val="22"/>
          <w:lang w:val="sr-Latn-ME"/>
        </w:rPr>
        <w:t>CR= kompletan odgovor-</w:t>
      </w:r>
      <w:r w:rsidR="000C7020" w:rsidRPr="000D3D7F">
        <w:rPr>
          <w:i/>
          <w:iCs/>
          <w:szCs w:val="22"/>
          <w:lang w:val="sr-Latn-ME"/>
        </w:rPr>
        <w:t>Complete Response</w:t>
      </w:r>
      <w:r w:rsidR="000C7020" w:rsidRPr="000D3D7F">
        <w:rPr>
          <w:szCs w:val="22"/>
          <w:lang w:val="sr-Latn-ME"/>
        </w:rPr>
        <w:t>; PR= parcijalni odgovor-</w:t>
      </w:r>
      <w:r w:rsidR="000C7020" w:rsidRPr="000D3D7F">
        <w:rPr>
          <w:i/>
          <w:iCs/>
          <w:szCs w:val="22"/>
          <w:lang w:val="sr-Latn-ME"/>
        </w:rPr>
        <w:t>Partial Response</w:t>
      </w:r>
      <w:r w:rsidR="000C7020" w:rsidRPr="000D3D7F">
        <w:rPr>
          <w:szCs w:val="22"/>
          <w:lang w:val="sr-Latn-ME"/>
        </w:rPr>
        <w:t xml:space="preserve">. </w:t>
      </w:r>
      <w:r w:rsidRPr="000D3D7F">
        <w:rPr>
          <w:szCs w:val="22"/>
          <w:lang w:val="sr-Latn-ME"/>
        </w:rPr>
        <w:t>EBMT kriterijumi</w:t>
      </w:r>
    </w:p>
    <w:p w14:paraId="65CF432C" w14:textId="77777777" w:rsidR="009E39C5" w:rsidRPr="000D3D7F" w:rsidRDefault="009E39C5" w:rsidP="001E1F5A">
      <w:pPr>
        <w:rPr>
          <w:szCs w:val="22"/>
          <w:lang w:val="sr-Latn-ME"/>
        </w:rPr>
      </w:pPr>
      <w:r w:rsidRPr="000D3D7F">
        <w:rPr>
          <w:szCs w:val="22"/>
          <w:vertAlign w:val="superscript"/>
          <w:lang w:val="sr-Latn-ME"/>
        </w:rPr>
        <w:t>g</w:t>
      </w:r>
      <w:r w:rsidRPr="000D3D7F">
        <w:rPr>
          <w:szCs w:val="22"/>
          <w:lang w:val="sr-Latn-ME"/>
        </w:rPr>
        <w:t xml:space="preserve"> svi randomizovani ispitanici sa sekretornom formom</w:t>
      </w:r>
    </w:p>
    <w:p w14:paraId="5B50D509" w14:textId="79AE1E3C" w:rsidR="009E39C5" w:rsidRPr="000D3D7F" w:rsidRDefault="009E39C5" w:rsidP="001E1F5A">
      <w:pPr>
        <w:rPr>
          <w:szCs w:val="22"/>
          <w:lang w:val="sr-Latn-ME"/>
        </w:rPr>
      </w:pPr>
      <w:r w:rsidRPr="000D3D7F">
        <w:rPr>
          <w:szCs w:val="22"/>
          <w:lang w:val="sr-Latn-ME"/>
        </w:rPr>
        <w:t>*Ažuriranje podataka na osnovu medijane vremena praćenja 60,1 m</w:t>
      </w:r>
      <w:r w:rsidR="00094C2E" w:rsidRPr="000D3D7F">
        <w:rPr>
          <w:szCs w:val="22"/>
          <w:lang w:val="sr-Latn-ME"/>
        </w:rPr>
        <w:t>j</w:t>
      </w:r>
      <w:r w:rsidRPr="000D3D7F">
        <w:rPr>
          <w:szCs w:val="22"/>
          <w:lang w:val="sr-Latn-ME"/>
        </w:rPr>
        <w:t>eseci.</w:t>
      </w:r>
    </w:p>
    <w:p w14:paraId="4709A33E" w14:textId="651EB575" w:rsidR="009E39C5" w:rsidRPr="000D3D7F" w:rsidRDefault="009E39C5" w:rsidP="001E1F5A">
      <w:pPr>
        <w:rPr>
          <w:szCs w:val="22"/>
          <w:lang w:val="sr-Latn-ME"/>
        </w:rPr>
      </w:pPr>
      <w:r w:rsidRPr="000D3D7F">
        <w:rPr>
          <w:szCs w:val="22"/>
          <w:lang w:val="sr-Latn-ME"/>
        </w:rPr>
        <w:t>CI=interval pov</w:t>
      </w:r>
      <w:r w:rsidR="00F547A5" w:rsidRPr="000D3D7F">
        <w:rPr>
          <w:szCs w:val="22"/>
          <w:lang w:val="sr-Latn-ME"/>
        </w:rPr>
        <w:t>j</w:t>
      </w:r>
      <w:r w:rsidRPr="000D3D7F">
        <w:rPr>
          <w:szCs w:val="22"/>
          <w:lang w:val="sr-Latn-ME"/>
        </w:rPr>
        <w:t>erenja</w:t>
      </w:r>
    </w:p>
    <w:p w14:paraId="3CEC3BC6" w14:textId="77777777" w:rsidR="00B32611" w:rsidRPr="000D3D7F" w:rsidRDefault="00B32611" w:rsidP="001E1F5A">
      <w:pPr>
        <w:rPr>
          <w:szCs w:val="22"/>
          <w:lang w:val="sr-Latn-ME"/>
        </w:rPr>
      </w:pPr>
    </w:p>
    <w:p w14:paraId="57C86DB8" w14:textId="457537D8" w:rsidR="009E39C5" w:rsidRPr="000D3D7F" w:rsidRDefault="009E39C5" w:rsidP="001E1F5A">
      <w:pPr>
        <w:rPr>
          <w:i/>
          <w:iCs/>
          <w:szCs w:val="22"/>
          <w:lang w:val="sr-Latn-ME"/>
        </w:rPr>
      </w:pPr>
      <w:r w:rsidRPr="000D3D7F">
        <w:rPr>
          <w:i/>
          <w:iCs/>
          <w:szCs w:val="22"/>
          <w:lang w:val="sr-Latn-ME"/>
        </w:rPr>
        <w:t>Pacijenti koji su kvalifikovani da se podvrgnu transplantaciji matičnih ćelija</w:t>
      </w:r>
    </w:p>
    <w:p w14:paraId="11B76E08" w14:textId="3B12FAAA" w:rsidR="009E39C5" w:rsidRPr="000D3D7F" w:rsidRDefault="009E39C5" w:rsidP="001E1F5A">
      <w:pPr>
        <w:rPr>
          <w:szCs w:val="22"/>
          <w:lang w:val="sr-Latn-ME"/>
        </w:rPr>
      </w:pPr>
      <w:r w:rsidRPr="000D3D7F">
        <w:rPr>
          <w:szCs w:val="22"/>
          <w:lang w:val="sr-Latn-ME"/>
        </w:rPr>
        <w:t>Dva randomizovana, otvorena, multicentična ispitivanja Faze III (IFM-2005-01, MMY-3010) su sprovedena</w:t>
      </w:r>
      <w:r w:rsidR="004B33C6" w:rsidRPr="000D3D7F">
        <w:rPr>
          <w:szCs w:val="22"/>
          <w:lang w:val="sr-Latn-ME"/>
        </w:rPr>
        <w:t xml:space="preserve"> </w:t>
      </w:r>
      <w:r w:rsidRPr="000D3D7F">
        <w:rPr>
          <w:szCs w:val="22"/>
          <w:lang w:val="sr-Latn-ME"/>
        </w:rPr>
        <w:t>da bi pokazala bezb</w:t>
      </w:r>
      <w:r w:rsidR="00094C2E" w:rsidRPr="000D3D7F">
        <w:rPr>
          <w:szCs w:val="22"/>
          <w:lang w:val="sr-Latn-ME"/>
        </w:rPr>
        <w:t>j</w:t>
      </w:r>
      <w:r w:rsidRPr="000D3D7F">
        <w:rPr>
          <w:szCs w:val="22"/>
          <w:lang w:val="sr-Latn-ME"/>
        </w:rPr>
        <w:t xml:space="preserve">ednost i efikasnost </w:t>
      </w:r>
      <w:r w:rsidR="003D0803" w:rsidRPr="000D3D7F">
        <w:rPr>
          <w:szCs w:val="22"/>
          <w:lang w:val="sr-Latn-ME"/>
        </w:rPr>
        <w:t>bortezomiba</w:t>
      </w:r>
      <w:r w:rsidRPr="000D3D7F">
        <w:rPr>
          <w:szCs w:val="22"/>
          <w:lang w:val="sr-Latn-ME"/>
        </w:rPr>
        <w:t xml:space="preserve"> u dvostrukim i trostrukim kombinacijama sa drugim</w:t>
      </w:r>
      <w:r w:rsidR="004B33C6" w:rsidRPr="000D3D7F">
        <w:rPr>
          <w:szCs w:val="22"/>
          <w:lang w:val="sr-Latn-ME"/>
        </w:rPr>
        <w:t xml:space="preserve"> </w:t>
      </w:r>
      <w:r w:rsidRPr="000D3D7F">
        <w:rPr>
          <w:szCs w:val="22"/>
          <w:lang w:val="sr-Latn-ME"/>
        </w:rPr>
        <w:t>hemoterapeutskim l</w:t>
      </w:r>
      <w:r w:rsidR="00094C2E" w:rsidRPr="000D3D7F">
        <w:rPr>
          <w:szCs w:val="22"/>
          <w:lang w:val="sr-Latn-ME"/>
        </w:rPr>
        <w:t>j</w:t>
      </w:r>
      <w:r w:rsidRPr="000D3D7F">
        <w:rPr>
          <w:szCs w:val="22"/>
          <w:lang w:val="sr-Latn-ME"/>
        </w:rPr>
        <w:t>ekovima kao indukciona terapija pr</w:t>
      </w:r>
      <w:r w:rsidR="00094C2E" w:rsidRPr="000D3D7F">
        <w:rPr>
          <w:szCs w:val="22"/>
          <w:lang w:val="sr-Latn-ME"/>
        </w:rPr>
        <w:t>ij</w:t>
      </w:r>
      <w:r w:rsidRPr="000D3D7F">
        <w:rPr>
          <w:szCs w:val="22"/>
          <w:lang w:val="sr-Latn-ME"/>
        </w:rPr>
        <w:t>e transpantacije matičnih ćelija</w:t>
      </w:r>
      <w:r w:rsidR="00094C2E" w:rsidRPr="000D3D7F">
        <w:rPr>
          <w:szCs w:val="22"/>
          <w:lang w:val="sr-Latn-ME"/>
        </w:rPr>
        <w:t xml:space="preserve"> </w:t>
      </w:r>
      <w:r w:rsidRPr="000D3D7F">
        <w:rPr>
          <w:szCs w:val="22"/>
          <w:lang w:val="sr-Latn-ME"/>
        </w:rPr>
        <w:t>kod pacijenata sa</w:t>
      </w:r>
      <w:r w:rsidR="004B33C6" w:rsidRPr="000D3D7F">
        <w:rPr>
          <w:szCs w:val="22"/>
          <w:lang w:val="sr-Latn-ME"/>
        </w:rPr>
        <w:t xml:space="preserve"> </w:t>
      </w:r>
      <w:r w:rsidRPr="000D3D7F">
        <w:rPr>
          <w:szCs w:val="22"/>
          <w:lang w:val="sr-Latn-ME"/>
        </w:rPr>
        <w:t>prethodno nel</w:t>
      </w:r>
      <w:r w:rsidR="00094C2E" w:rsidRPr="000D3D7F">
        <w:rPr>
          <w:szCs w:val="22"/>
          <w:lang w:val="sr-Latn-ME"/>
        </w:rPr>
        <w:t>ij</w:t>
      </w:r>
      <w:r w:rsidRPr="000D3D7F">
        <w:rPr>
          <w:szCs w:val="22"/>
          <w:lang w:val="sr-Latn-ME"/>
        </w:rPr>
        <w:t>ečenim multiplim mijelomom.</w:t>
      </w:r>
    </w:p>
    <w:p w14:paraId="7A4BD98F" w14:textId="586486DF" w:rsidR="009E39C5" w:rsidRPr="000D3D7F" w:rsidRDefault="009E39C5" w:rsidP="001E1F5A">
      <w:pPr>
        <w:rPr>
          <w:szCs w:val="22"/>
          <w:lang w:val="sr-Latn-ME"/>
        </w:rPr>
      </w:pPr>
      <w:r w:rsidRPr="000D3D7F">
        <w:rPr>
          <w:szCs w:val="22"/>
          <w:lang w:val="sr-Latn-ME"/>
        </w:rPr>
        <w:t xml:space="preserve">U ispitivanju IFM-2005-01, </w:t>
      </w:r>
      <w:r w:rsidR="00B32611" w:rsidRPr="000D3D7F">
        <w:rPr>
          <w:szCs w:val="22"/>
          <w:lang w:val="sr-Latn-ME"/>
        </w:rPr>
        <w:t>bortezomib</w:t>
      </w:r>
      <w:r w:rsidRPr="000D3D7F">
        <w:rPr>
          <w:szCs w:val="22"/>
          <w:lang w:val="sr-Latn-ME"/>
        </w:rPr>
        <w:t xml:space="preserve"> je kombinovan sa deksametazonom (</w:t>
      </w:r>
      <w:r w:rsidR="003D0803" w:rsidRPr="000D3D7F">
        <w:rPr>
          <w:szCs w:val="22"/>
          <w:lang w:val="sr-Latn-ME"/>
        </w:rPr>
        <w:t>Bz</w:t>
      </w:r>
      <w:r w:rsidRPr="000D3D7F">
        <w:rPr>
          <w:szCs w:val="22"/>
          <w:lang w:val="sr-Latn-ME"/>
        </w:rPr>
        <w:t>Dx, n=240) u uporedjenju</w:t>
      </w:r>
      <w:r w:rsidR="004B33C6" w:rsidRPr="000D3D7F">
        <w:rPr>
          <w:szCs w:val="22"/>
          <w:lang w:val="sr-Latn-ME"/>
        </w:rPr>
        <w:t xml:space="preserve"> </w:t>
      </w:r>
      <w:r w:rsidRPr="000D3D7F">
        <w:rPr>
          <w:szCs w:val="22"/>
          <w:lang w:val="sr-Latn-ME"/>
        </w:rPr>
        <w:t xml:space="preserve">sa vinkristin-doksorubicin-deksametazonom (VDDx, n=242). Pacijenti u </w:t>
      </w:r>
      <w:r w:rsidR="003D0803" w:rsidRPr="000D3D7F">
        <w:rPr>
          <w:szCs w:val="22"/>
          <w:lang w:val="sr-Latn-ME"/>
        </w:rPr>
        <w:t>Bz</w:t>
      </w:r>
      <w:r w:rsidRPr="000D3D7F">
        <w:rPr>
          <w:szCs w:val="22"/>
          <w:lang w:val="sr-Latn-ME"/>
        </w:rPr>
        <w:t>Dx grupi su primali četiri 21.</w:t>
      </w:r>
      <w:r w:rsidR="004B33C6" w:rsidRPr="000D3D7F">
        <w:rPr>
          <w:szCs w:val="22"/>
          <w:lang w:val="sr-Latn-ME"/>
        </w:rPr>
        <w:t xml:space="preserve"> </w:t>
      </w:r>
      <w:r w:rsidRPr="000D3D7F">
        <w:rPr>
          <w:szCs w:val="22"/>
          <w:lang w:val="sr-Latn-ME"/>
        </w:rPr>
        <w:t xml:space="preserve">dnevna ciklusa, svaki ciklus se sastojao od </w:t>
      </w:r>
      <w:r w:rsidR="00B32611" w:rsidRPr="000D3D7F">
        <w:rPr>
          <w:szCs w:val="22"/>
          <w:lang w:val="sr-Latn-ME"/>
        </w:rPr>
        <w:t>bortezomib</w:t>
      </w:r>
      <w:r w:rsidR="003D0803" w:rsidRPr="000D3D7F">
        <w:rPr>
          <w:szCs w:val="22"/>
          <w:lang w:val="sr-Latn-ME"/>
        </w:rPr>
        <w:t>a</w:t>
      </w:r>
      <w:r w:rsidRPr="000D3D7F">
        <w:rPr>
          <w:szCs w:val="22"/>
          <w:lang w:val="sr-Latn-ME"/>
        </w:rPr>
        <w:t xml:space="preserve"> (1,3mg/m</w:t>
      </w:r>
      <w:r w:rsidRPr="000D3D7F">
        <w:rPr>
          <w:szCs w:val="22"/>
          <w:vertAlign w:val="superscript"/>
          <w:lang w:val="sr-Latn-ME"/>
        </w:rPr>
        <w:t>2</w:t>
      </w:r>
      <w:r w:rsidRPr="000D3D7F">
        <w:rPr>
          <w:szCs w:val="22"/>
          <w:lang w:val="sr-Latn-ME"/>
        </w:rPr>
        <w:t xml:space="preserve"> prim</w:t>
      </w:r>
      <w:r w:rsidR="00094C2E" w:rsidRPr="000D3D7F">
        <w:rPr>
          <w:szCs w:val="22"/>
          <w:lang w:val="sr-Latn-ME"/>
        </w:rPr>
        <w:t>ij</w:t>
      </w:r>
      <w:r w:rsidRPr="000D3D7F">
        <w:rPr>
          <w:szCs w:val="22"/>
          <w:lang w:val="sr-Latn-ME"/>
        </w:rPr>
        <w:t>enjen intravenski dva puta ned</w:t>
      </w:r>
      <w:r w:rsidR="00094C2E" w:rsidRPr="000D3D7F">
        <w:rPr>
          <w:szCs w:val="22"/>
          <w:lang w:val="sr-Latn-ME"/>
        </w:rPr>
        <w:t>j</w:t>
      </w:r>
      <w:r w:rsidRPr="000D3D7F">
        <w:rPr>
          <w:szCs w:val="22"/>
          <w:lang w:val="sr-Latn-ME"/>
        </w:rPr>
        <w:t>eljno</w:t>
      </w:r>
      <w:r w:rsidR="004B33C6" w:rsidRPr="000D3D7F">
        <w:rPr>
          <w:szCs w:val="22"/>
          <w:lang w:val="sr-Latn-ME"/>
        </w:rPr>
        <w:t xml:space="preserve"> </w:t>
      </w:r>
      <w:r w:rsidRPr="000D3D7F">
        <w:rPr>
          <w:szCs w:val="22"/>
          <w:lang w:val="sr-Latn-ME"/>
        </w:rPr>
        <w:t>u danim 1,4,8 i 11) i oralnim deksametazonom (40mg na dan u danima 1 do 4 i danima 9 do 12, u ciklusima</w:t>
      </w:r>
      <w:r w:rsidR="004B33C6" w:rsidRPr="000D3D7F">
        <w:rPr>
          <w:szCs w:val="22"/>
          <w:lang w:val="sr-Latn-ME"/>
        </w:rPr>
        <w:t xml:space="preserve"> </w:t>
      </w:r>
      <w:r w:rsidRPr="000D3D7F">
        <w:rPr>
          <w:szCs w:val="22"/>
          <w:lang w:val="sr-Latn-ME"/>
        </w:rPr>
        <w:t>1 i 2 i u danim 1 do 4 u ciklusima 3 i 4).</w:t>
      </w:r>
    </w:p>
    <w:p w14:paraId="44E0CC34" w14:textId="170AA76B" w:rsidR="009E39C5" w:rsidRPr="000D3D7F" w:rsidRDefault="009E39C5" w:rsidP="001E1F5A">
      <w:pPr>
        <w:rPr>
          <w:szCs w:val="22"/>
          <w:lang w:val="sr-Latn-ME"/>
        </w:rPr>
      </w:pPr>
      <w:r w:rsidRPr="000D3D7F">
        <w:rPr>
          <w:szCs w:val="22"/>
          <w:lang w:val="sr-Latn-ME"/>
        </w:rPr>
        <w:t>Autologa transplantacija matičnih ćelija je urađena kod 198 (82%) pacijenata u VDDx grupi i kod 208 (87%)</w:t>
      </w:r>
      <w:r w:rsidR="004B33C6" w:rsidRPr="000D3D7F">
        <w:rPr>
          <w:szCs w:val="22"/>
          <w:lang w:val="sr-Latn-ME"/>
        </w:rPr>
        <w:t xml:space="preserve"> </w:t>
      </w:r>
      <w:r w:rsidRPr="000D3D7F">
        <w:rPr>
          <w:szCs w:val="22"/>
          <w:lang w:val="sr-Latn-ME"/>
        </w:rPr>
        <w:t xml:space="preserve">pacijenata u </w:t>
      </w:r>
      <w:r w:rsidR="003D0803" w:rsidRPr="000D3D7F">
        <w:rPr>
          <w:szCs w:val="22"/>
          <w:lang w:val="sr-Latn-ME"/>
        </w:rPr>
        <w:t>Bz</w:t>
      </w:r>
      <w:r w:rsidRPr="000D3D7F">
        <w:rPr>
          <w:szCs w:val="22"/>
          <w:lang w:val="sr-Latn-ME"/>
        </w:rPr>
        <w:t>Dx grupi; većina pacijenata je bila podvrgnuta jednoj transplantaciji. Demografske i osnovne</w:t>
      </w:r>
      <w:r w:rsidR="004B33C6" w:rsidRPr="000D3D7F">
        <w:rPr>
          <w:szCs w:val="22"/>
          <w:lang w:val="sr-Latn-ME"/>
        </w:rPr>
        <w:t xml:space="preserve"> </w:t>
      </w:r>
      <w:r w:rsidRPr="000D3D7F">
        <w:rPr>
          <w:szCs w:val="22"/>
          <w:lang w:val="sr-Latn-ME"/>
        </w:rPr>
        <w:t>karakteristike bolesti pacijenata su bile slične u ob</w:t>
      </w:r>
      <w:r w:rsidR="00094C2E" w:rsidRPr="000D3D7F">
        <w:rPr>
          <w:szCs w:val="22"/>
          <w:lang w:val="sr-Latn-ME"/>
        </w:rPr>
        <w:t>j</w:t>
      </w:r>
      <w:r w:rsidRPr="000D3D7F">
        <w:rPr>
          <w:szCs w:val="22"/>
          <w:lang w:val="sr-Latn-ME"/>
        </w:rPr>
        <w:t>e terapijske grupe. Medijana starosti pacijenata u studiji je</w:t>
      </w:r>
      <w:r w:rsidR="004B33C6" w:rsidRPr="000D3D7F">
        <w:rPr>
          <w:szCs w:val="22"/>
          <w:lang w:val="sr-Latn-ME"/>
        </w:rPr>
        <w:t xml:space="preserve"> </w:t>
      </w:r>
      <w:r w:rsidRPr="000D3D7F">
        <w:rPr>
          <w:szCs w:val="22"/>
          <w:lang w:val="sr-Latn-ME"/>
        </w:rPr>
        <w:t>iznosila 57 godina, 55% su bili muškarci i 48% pacijenata su imali visok citogenetski rizik. Medijana trajanja</w:t>
      </w:r>
      <w:r w:rsidR="004B33C6" w:rsidRPr="000D3D7F">
        <w:rPr>
          <w:szCs w:val="22"/>
          <w:lang w:val="sr-Latn-ME"/>
        </w:rPr>
        <w:t xml:space="preserve"> </w:t>
      </w:r>
      <w:r w:rsidRPr="000D3D7F">
        <w:rPr>
          <w:szCs w:val="22"/>
          <w:lang w:val="sr-Latn-ME"/>
        </w:rPr>
        <w:t>terapije je bila 13 ned</w:t>
      </w:r>
      <w:r w:rsidR="00094C2E" w:rsidRPr="000D3D7F">
        <w:rPr>
          <w:szCs w:val="22"/>
          <w:lang w:val="sr-Latn-ME"/>
        </w:rPr>
        <w:t>j</w:t>
      </w:r>
      <w:r w:rsidRPr="000D3D7F">
        <w:rPr>
          <w:szCs w:val="22"/>
          <w:lang w:val="sr-Latn-ME"/>
        </w:rPr>
        <w:t>elja za VDDx grupu i 11ned</w:t>
      </w:r>
      <w:r w:rsidR="00094C2E" w:rsidRPr="000D3D7F">
        <w:rPr>
          <w:szCs w:val="22"/>
          <w:lang w:val="sr-Latn-ME"/>
        </w:rPr>
        <w:t>j</w:t>
      </w:r>
      <w:r w:rsidRPr="000D3D7F">
        <w:rPr>
          <w:szCs w:val="22"/>
          <w:lang w:val="sr-Latn-ME"/>
        </w:rPr>
        <w:t xml:space="preserve">elja za </w:t>
      </w:r>
      <w:r w:rsidR="003D0803" w:rsidRPr="000D3D7F">
        <w:rPr>
          <w:szCs w:val="22"/>
          <w:lang w:val="sr-Latn-ME"/>
        </w:rPr>
        <w:t>Bz</w:t>
      </w:r>
      <w:r w:rsidRPr="000D3D7F">
        <w:rPr>
          <w:szCs w:val="22"/>
          <w:lang w:val="sr-Latn-ME"/>
        </w:rPr>
        <w:t>Dx grupu. Medijana broja ciklusa koje su primile</w:t>
      </w:r>
      <w:r w:rsidR="004B33C6" w:rsidRPr="000D3D7F">
        <w:rPr>
          <w:szCs w:val="22"/>
          <w:lang w:val="sr-Latn-ME"/>
        </w:rPr>
        <w:t xml:space="preserve"> </w:t>
      </w:r>
      <w:r w:rsidRPr="000D3D7F">
        <w:rPr>
          <w:szCs w:val="22"/>
          <w:lang w:val="sr-Latn-ME"/>
        </w:rPr>
        <w:t>ob</w:t>
      </w:r>
      <w:r w:rsidR="00094C2E" w:rsidRPr="000D3D7F">
        <w:rPr>
          <w:szCs w:val="22"/>
          <w:lang w:val="sr-Latn-ME"/>
        </w:rPr>
        <w:t>j</w:t>
      </w:r>
      <w:r w:rsidRPr="000D3D7F">
        <w:rPr>
          <w:szCs w:val="22"/>
          <w:lang w:val="sr-Latn-ME"/>
        </w:rPr>
        <w:t>e grupe je bio 4 ciklusa. Primarni parameter praćenja efikasnosti ispitivanja je bilo postindukciono</w:t>
      </w:r>
      <w:r w:rsidR="004B33C6" w:rsidRPr="000D3D7F">
        <w:rPr>
          <w:szCs w:val="22"/>
          <w:lang w:val="sr-Latn-ME"/>
        </w:rPr>
        <w:t xml:space="preserve"> </w:t>
      </w:r>
      <w:r w:rsidRPr="000D3D7F">
        <w:rPr>
          <w:szCs w:val="22"/>
          <w:lang w:val="sr-Latn-ME"/>
        </w:rPr>
        <w:t>dostizanje odgovora (CR +nCR). Statistički značajna razlika (CR+nCR) je bila zab</w:t>
      </w:r>
      <w:r w:rsidR="00094C2E" w:rsidRPr="000D3D7F">
        <w:rPr>
          <w:szCs w:val="22"/>
          <w:lang w:val="sr-Latn-ME"/>
        </w:rPr>
        <w:t>i</w:t>
      </w:r>
      <w:r w:rsidRPr="000D3D7F">
        <w:rPr>
          <w:szCs w:val="22"/>
          <w:lang w:val="sr-Latn-ME"/>
        </w:rPr>
        <w:t>l</w:t>
      </w:r>
      <w:r w:rsidR="00094C2E" w:rsidRPr="000D3D7F">
        <w:rPr>
          <w:szCs w:val="22"/>
          <w:lang w:val="sr-Latn-ME"/>
        </w:rPr>
        <w:t>j</w:t>
      </w:r>
      <w:r w:rsidRPr="000D3D7F">
        <w:rPr>
          <w:szCs w:val="22"/>
          <w:lang w:val="sr-Latn-ME"/>
        </w:rPr>
        <w:t>ežena u korist grupe</w:t>
      </w:r>
      <w:r w:rsidR="004B33C6" w:rsidRPr="000D3D7F">
        <w:rPr>
          <w:szCs w:val="22"/>
          <w:lang w:val="sr-Latn-ME"/>
        </w:rPr>
        <w:t xml:space="preserve"> </w:t>
      </w:r>
      <w:r w:rsidRPr="000D3D7F">
        <w:rPr>
          <w:szCs w:val="22"/>
          <w:lang w:val="sr-Latn-ME"/>
        </w:rPr>
        <w:t xml:space="preserve">koja je dobijala </w:t>
      </w:r>
      <w:r w:rsidR="00B32611" w:rsidRPr="000D3D7F">
        <w:rPr>
          <w:szCs w:val="22"/>
          <w:lang w:val="sr-Latn-ME"/>
        </w:rPr>
        <w:t>bortezomib</w:t>
      </w:r>
      <w:r w:rsidRPr="000D3D7F">
        <w:rPr>
          <w:szCs w:val="22"/>
          <w:lang w:val="sr-Latn-ME"/>
        </w:rPr>
        <w:t xml:space="preserve"> u kombinaciji sa deksametazonom. Sekundarni parametri praćenja efikasnosti su</w:t>
      </w:r>
      <w:r w:rsidR="004B33C6" w:rsidRPr="000D3D7F">
        <w:rPr>
          <w:szCs w:val="22"/>
          <w:lang w:val="sr-Latn-ME"/>
        </w:rPr>
        <w:t xml:space="preserve"> </w:t>
      </w:r>
      <w:r w:rsidRPr="000D3D7F">
        <w:rPr>
          <w:szCs w:val="22"/>
          <w:lang w:val="sr-Latn-ME"/>
        </w:rPr>
        <w:t>uključivali postindukcione i posttransplantacione stepene odgovora (CR + nCR, CR+nCR+VGPR +PR),</w:t>
      </w:r>
      <w:r w:rsidR="004B33C6" w:rsidRPr="000D3D7F">
        <w:rPr>
          <w:szCs w:val="22"/>
          <w:lang w:val="sr-Latn-ME"/>
        </w:rPr>
        <w:t xml:space="preserve"> </w:t>
      </w:r>
      <w:r w:rsidRPr="000D3D7F">
        <w:rPr>
          <w:szCs w:val="22"/>
          <w:lang w:val="sr-Latn-ME"/>
        </w:rPr>
        <w:t>vr</w:t>
      </w:r>
      <w:r w:rsidR="00094C2E" w:rsidRPr="000D3D7F">
        <w:rPr>
          <w:szCs w:val="22"/>
          <w:lang w:val="sr-Latn-ME"/>
        </w:rPr>
        <w:t>ij</w:t>
      </w:r>
      <w:r w:rsidRPr="000D3D7F">
        <w:rPr>
          <w:szCs w:val="22"/>
          <w:lang w:val="sr-Latn-ME"/>
        </w:rPr>
        <w:t>eme do progresije i ukupno preživljavanje. Glavni rezultati efikasnosti su predstavljeni u tabeli 12.</w:t>
      </w:r>
    </w:p>
    <w:p w14:paraId="60D2F5E0" w14:textId="77777777" w:rsidR="00B32611" w:rsidRPr="000D3D7F" w:rsidRDefault="00B32611" w:rsidP="001E1F5A">
      <w:pPr>
        <w:rPr>
          <w:szCs w:val="22"/>
          <w:lang w:val="sr-Latn-ME"/>
        </w:rPr>
      </w:pPr>
    </w:p>
    <w:p w14:paraId="3137BAFB" w14:textId="7BA4DFAC" w:rsidR="009E39C5" w:rsidRPr="000D3D7F" w:rsidRDefault="009E39C5" w:rsidP="001E1F5A">
      <w:pPr>
        <w:rPr>
          <w:i/>
          <w:iCs/>
          <w:szCs w:val="22"/>
          <w:lang w:val="sr-Latn-ME"/>
        </w:rPr>
      </w:pPr>
      <w:r w:rsidRPr="000D3D7F">
        <w:rPr>
          <w:i/>
          <w:iCs/>
          <w:szCs w:val="22"/>
          <w:lang w:val="sr-Latn-ME"/>
        </w:rPr>
        <w:t>Tabela 12. Rezulati efikasnosti iz kliničkog ispitivanja IFM-2005-01</w:t>
      </w:r>
    </w:p>
    <w:p w14:paraId="0E881086" w14:textId="77777777" w:rsidR="009E39C5" w:rsidRPr="000D3D7F" w:rsidRDefault="009E39C5" w:rsidP="001E1F5A">
      <w:pPr>
        <w:rPr>
          <w:szCs w:val="22"/>
          <w:lang w:val="sr-Latn-ME"/>
        </w:rPr>
      </w:pPr>
    </w:p>
    <w:tbl>
      <w:tblPr>
        <w:tblW w:w="0" w:type="auto"/>
        <w:tblInd w:w="112" w:type="dxa"/>
        <w:tblLayout w:type="fixed"/>
        <w:tblCellMar>
          <w:left w:w="0" w:type="dxa"/>
          <w:right w:w="0" w:type="dxa"/>
        </w:tblCellMar>
        <w:tblLook w:val="0000" w:firstRow="0" w:lastRow="0" w:firstColumn="0" w:lastColumn="0" w:noHBand="0" w:noVBand="0"/>
      </w:tblPr>
      <w:tblGrid>
        <w:gridCol w:w="2141"/>
        <w:gridCol w:w="1983"/>
        <w:gridCol w:w="2410"/>
        <w:gridCol w:w="2410"/>
      </w:tblGrid>
      <w:tr w:rsidR="009E39C5" w:rsidRPr="000D3D7F" w14:paraId="6DC19F1B" w14:textId="77777777">
        <w:trPr>
          <w:trHeight w:val="561"/>
        </w:trPr>
        <w:tc>
          <w:tcPr>
            <w:tcW w:w="2141" w:type="dxa"/>
            <w:tcBorders>
              <w:top w:val="single" w:sz="4" w:space="0" w:color="000000"/>
              <w:left w:val="single" w:sz="4" w:space="0" w:color="000000"/>
              <w:bottom w:val="single" w:sz="4" w:space="0" w:color="000000"/>
              <w:right w:val="single" w:sz="4" w:space="0" w:color="000000"/>
            </w:tcBorders>
          </w:tcPr>
          <w:p w14:paraId="14EE9370" w14:textId="77777777" w:rsidR="009E39C5" w:rsidRPr="000D3D7F" w:rsidRDefault="009E39C5" w:rsidP="001E1F5A">
            <w:pPr>
              <w:rPr>
                <w:b/>
                <w:bCs/>
                <w:lang w:val="sr-Latn-ME"/>
              </w:rPr>
            </w:pPr>
            <w:r w:rsidRPr="000D3D7F">
              <w:rPr>
                <w:b/>
                <w:bCs/>
                <w:szCs w:val="22"/>
                <w:lang w:val="sr-Latn-ME"/>
              </w:rPr>
              <w:lastRenderedPageBreak/>
              <w:t>Parametri praćenja</w:t>
            </w:r>
          </w:p>
        </w:tc>
        <w:tc>
          <w:tcPr>
            <w:tcW w:w="1983" w:type="dxa"/>
            <w:tcBorders>
              <w:top w:val="single" w:sz="4" w:space="0" w:color="000000"/>
              <w:left w:val="single" w:sz="4" w:space="0" w:color="000000"/>
              <w:bottom w:val="single" w:sz="4" w:space="0" w:color="000000"/>
              <w:right w:val="single" w:sz="4" w:space="0" w:color="000000"/>
            </w:tcBorders>
          </w:tcPr>
          <w:p w14:paraId="1F9AF05A" w14:textId="0EC56733" w:rsidR="009E39C5" w:rsidRPr="000D3D7F" w:rsidRDefault="003D0803" w:rsidP="001E1F5A">
            <w:pPr>
              <w:rPr>
                <w:b/>
                <w:bCs/>
                <w:lang w:val="sr-Latn-ME"/>
              </w:rPr>
            </w:pPr>
            <w:r w:rsidRPr="000D3D7F">
              <w:rPr>
                <w:b/>
                <w:bCs/>
                <w:szCs w:val="22"/>
                <w:lang w:val="sr-Latn-ME"/>
              </w:rPr>
              <w:t>Bz</w:t>
            </w:r>
            <w:r w:rsidR="009E39C5" w:rsidRPr="000D3D7F">
              <w:rPr>
                <w:b/>
                <w:bCs/>
                <w:szCs w:val="22"/>
                <w:lang w:val="sr-Latn-ME"/>
              </w:rPr>
              <w:t>Dx</w:t>
            </w:r>
          </w:p>
        </w:tc>
        <w:tc>
          <w:tcPr>
            <w:tcW w:w="2410" w:type="dxa"/>
            <w:tcBorders>
              <w:top w:val="single" w:sz="4" w:space="0" w:color="000000"/>
              <w:left w:val="single" w:sz="4" w:space="0" w:color="000000"/>
              <w:bottom w:val="single" w:sz="4" w:space="0" w:color="000000"/>
              <w:right w:val="single" w:sz="4" w:space="0" w:color="000000"/>
            </w:tcBorders>
          </w:tcPr>
          <w:p w14:paraId="16037D2C" w14:textId="77777777" w:rsidR="009E39C5" w:rsidRPr="000D3D7F" w:rsidRDefault="009E39C5" w:rsidP="001E1F5A">
            <w:pPr>
              <w:rPr>
                <w:b/>
                <w:bCs/>
                <w:lang w:val="sr-Latn-ME"/>
              </w:rPr>
            </w:pPr>
            <w:r w:rsidRPr="000D3D7F">
              <w:rPr>
                <w:b/>
                <w:bCs/>
                <w:szCs w:val="22"/>
                <w:lang w:val="sr-Latn-ME"/>
              </w:rPr>
              <w:t>VDDx</w:t>
            </w:r>
          </w:p>
        </w:tc>
        <w:tc>
          <w:tcPr>
            <w:tcW w:w="2410" w:type="dxa"/>
            <w:tcBorders>
              <w:top w:val="single" w:sz="4" w:space="0" w:color="000000"/>
              <w:left w:val="single" w:sz="4" w:space="0" w:color="000000"/>
              <w:bottom w:val="single" w:sz="4" w:space="0" w:color="000000"/>
              <w:right w:val="single" w:sz="4" w:space="0" w:color="000000"/>
            </w:tcBorders>
          </w:tcPr>
          <w:p w14:paraId="1EE5B79C" w14:textId="6B00D3AC" w:rsidR="009E39C5" w:rsidRPr="000D3D7F" w:rsidRDefault="009E39C5" w:rsidP="001E1F5A">
            <w:pPr>
              <w:rPr>
                <w:b/>
                <w:bCs/>
                <w:vertAlign w:val="superscript"/>
                <w:lang w:val="sr-Latn-ME"/>
              </w:rPr>
            </w:pPr>
            <w:r w:rsidRPr="000D3D7F">
              <w:rPr>
                <w:b/>
                <w:bCs/>
                <w:szCs w:val="22"/>
                <w:lang w:val="sr-Latn-ME"/>
              </w:rPr>
              <w:t>ukupan odgovor (OR); 95% CI; P vr</w:t>
            </w:r>
            <w:r w:rsidR="00094C2E" w:rsidRPr="000D3D7F">
              <w:rPr>
                <w:b/>
                <w:bCs/>
                <w:szCs w:val="22"/>
                <w:lang w:val="sr-Latn-ME"/>
              </w:rPr>
              <w:t>ij</w:t>
            </w:r>
            <w:r w:rsidRPr="000D3D7F">
              <w:rPr>
                <w:b/>
                <w:bCs/>
                <w:szCs w:val="22"/>
                <w:lang w:val="sr-Latn-ME"/>
              </w:rPr>
              <w:t>ednost</w:t>
            </w:r>
            <w:r w:rsidRPr="000D3D7F">
              <w:rPr>
                <w:b/>
                <w:bCs/>
                <w:szCs w:val="22"/>
                <w:vertAlign w:val="superscript"/>
                <w:lang w:val="sr-Latn-ME"/>
              </w:rPr>
              <w:t>a</w:t>
            </w:r>
          </w:p>
        </w:tc>
      </w:tr>
      <w:tr w:rsidR="009E39C5" w:rsidRPr="000D3D7F" w14:paraId="3DAB9B3A" w14:textId="77777777">
        <w:trPr>
          <w:trHeight w:val="503"/>
        </w:trPr>
        <w:tc>
          <w:tcPr>
            <w:tcW w:w="2141" w:type="dxa"/>
            <w:tcBorders>
              <w:top w:val="single" w:sz="4" w:space="0" w:color="000000"/>
              <w:left w:val="single" w:sz="4" w:space="0" w:color="000000"/>
              <w:bottom w:val="single" w:sz="4" w:space="0" w:color="000000"/>
              <w:right w:val="single" w:sz="4" w:space="0" w:color="000000"/>
            </w:tcBorders>
          </w:tcPr>
          <w:p w14:paraId="3801BAEE" w14:textId="77777777" w:rsidR="009E39C5" w:rsidRPr="000D3D7F" w:rsidRDefault="009E39C5" w:rsidP="001E1F5A">
            <w:pPr>
              <w:rPr>
                <w:b/>
                <w:bCs/>
                <w:lang w:val="sr-Latn-ME"/>
              </w:rPr>
            </w:pPr>
            <w:r w:rsidRPr="000D3D7F">
              <w:rPr>
                <w:b/>
                <w:bCs/>
                <w:szCs w:val="22"/>
                <w:lang w:val="sr-Latn-ME"/>
              </w:rPr>
              <w:t>IFM-2005-01</w:t>
            </w:r>
          </w:p>
        </w:tc>
        <w:tc>
          <w:tcPr>
            <w:tcW w:w="1983" w:type="dxa"/>
            <w:tcBorders>
              <w:top w:val="single" w:sz="4" w:space="0" w:color="000000"/>
              <w:left w:val="single" w:sz="4" w:space="0" w:color="000000"/>
              <w:bottom w:val="single" w:sz="4" w:space="0" w:color="000000"/>
              <w:right w:val="single" w:sz="4" w:space="0" w:color="000000"/>
            </w:tcBorders>
          </w:tcPr>
          <w:p w14:paraId="356D1A7F" w14:textId="77777777" w:rsidR="009E39C5" w:rsidRPr="000D3D7F" w:rsidRDefault="009E39C5" w:rsidP="001E1F5A">
            <w:pPr>
              <w:rPr>
                <w:lang w:val="sr-Latn-ME"/>
              </w:rPr>
            </w:pPr>
            <w:r w:rsidRPr="000D3D7F">
              <w:rPr>
                <w:szCs w:val="22"/>
                <w:lang w:val="sr-Latn-ME"/>
              </w:rPr>
              <w:t>N=240 (ITT</w:t>
            </w:r>
          </w:p>
          <w:p w14:paraId="359E5267" w14:textId="77777777" w:rsidR="009E39C5" w:rsidRPr="000D3D7F" w:rsidRDefault="009E39C5" w:rsidP="001E1F5A">
            <w:pPr>
              <w:rPr>
                <w:lang w:val="sr-Latn-ME"/>
              </w:rPr>
            </w:pPr>
            <w:r w:rsidRPr="000D3D7F">
              <w:rPr>
                <w:szCs w:val="22"/>
                <w:lang w:val="sr-Latn-ME"/>
              </w:rPr>
              <w:t>populacija)</w:t>
            </w:r>
          </w:p>
        </w:tc>
        <w:tc>
          <w:tcPr>
            <w:tcW w:w="2410" w:type="dxa"/>
            <w:tcBorders>
              <w:top w:val="single" w:sz="4" w:space="0" w:color="000000"/>
              <w:left w:val="single" w:sz="4" w:space="0" w:color="000000"/>
              <w:bottom w:val="single" w:sz="4" w:space="0" w:color="000000"/>
              <w:right w:val="single" w:sz="4" w:space="0" w:color="000000"/>
            </w:tcBorders>
          </w:tcPr>
          <w:p w14:paraId="15CC1236" w14:textId="77777777" w:rsidR="009E39C5" w:rsidRPr="000D3D7F" w:rsidRDefault="009E39C5" w:rsidP="001E1F5A">
            <w:pPr>
              <w:rPr>
                <w:lang w:val="sr-Latn-ME"/>
              </w:rPr>
            </w:pPr>
            <w:r w:rsidRPr="000D3D7F">
              <w:rPr>
                <w:szCs w:val="22"/>
                <w:lang w:val="sr-Latn-ME"/>
              </w:rPr>
              <w:t>N=242 (ITT populacija)</w:t>
            </w:r>
          </w:p>
        </w:tc>
        <w:tc>
          <w:tcPr>
            <w:tcW w:w="2410" w:type="dxa"/>
            <w:tcBorders>
              <w:top w:val="single" w:sz="4" w:space="0" w:color="000000"/>
              <w:left w:val="single" w:sz="4" w:space="0" w:color="000000"/>
              <w:bottom w:val="single" w:sz="4" w:space="0" w:color="000000"/>
              <w:right w:val="single" w:sz="4" w:space="0" w:color="000000"/>
            </w:tcBorders>
          </w:tcPr>
          <w:p w14:paraId="50E35E75" w14:textId="77777777" w:rsidR="009E39C5" w:rsidRPr="000D3D7F" w:rsidRDefault="009E39C5" w:rsidP="001E1F5A">
            <w:pPr>
              <w:rPr>
                <w:lang w:val="sr-Latn-ME"/>
              </w:rPr>
            </w:pPr>
          </w:p>
        </w:tc>
      </w:tr>
      <w:tr w:rsidR="009E39C5" w:rsidRPr="000D3D7F" w14:paraId="3C387707" w14:textId="77777777" w:rsidTr="00B32611">
        <w:trPr>
          <w:trHeight w:val="1290"/>
        </w:trPr>
        <w:tc>
          <w:tcPr>
            <w:tcW w:w="2141" w:type="dxa"/>
            <w:tcBorders>
              <w:top w:val="single" w:sz="4" w:space="0" w:color="000000"/>
              <w:left w:val="single" w:sz="4" w:space="0" w:color="000000"/>
              <w:bottom w:val="single" w:sz="4" w:space="0" w:color="000000"/>
              <w:right w:val="single" w:sz="4" w:space="0" w:color="000000"/>
            </w:tcBorders>
          </w:tcPr>
          <w:p w14:paraId="7B6EC90C" w14:textId="77777777" w:rsidR="009E39C5" w:rsidRPr="000D3D7F" w:rsidRDefault="009E39C5" w:rsidP="001E1F5A">
            <w:pPr>
              <w:rPr>
                <w:i/>
                <w:iCs/>
                <w:lang w:val="sr-Latn-ME"/>
              </w:rPr>
            </w:pPr>
            <w:r w:rsidRPr="000D3D7F">
              <w:rPr>
                <w:b/>
                <w:bCs/>
                <w:szCs w:val="22"/>
                <w:lang w:val="sr-Latn-ME"/>
              </w:rPr>
              <w:t xml:space="preserve">Stepen odgovora(RR) </w:t>
            </w:r>
            <w:r w:rsidRPr="000D3D7F">
              <w:rPr>
                <w:i/>
                <w:iCs/>
                <w:szCs w:val="22"/>
                <w:lang w:val="sr-Latn-ME"/>
              </w:rPr>
              <w:t>(nakon indukcije)</w:t>
            </w:r>
          </w:p>
          <w:p w14:paraId="6423CE6A" w14:textId="77777777" w:rsidR="009E39C5" w:rsidRPr="000D3D7F" w:rsidRDefault="009E39C5" w:rsidP="001E1F5A">
            <w:pPr>
              <w:rPr>
                <w:lang w:val="sr-Latn-ME"/>
              </w:rPr>
            </w:pPr>
            <w:r w:rsidRPr="000D3D7F">
              <w:rPr>
                <w:szCs w:val="22"/>
                <w:lang w:val="sr-Latn-ME"/>
              </w:rPr>
              <w:t>*CR+nCR CR+nCR+VGPR+PR</w:t>
            </w:r>
          </w:p>
          <w:p w14:paraId="4CB2987E" w14:textId="77777777" w:rsidR="009E39C5" w:rsidRPr="000D3D7F" w:rsidRDefault="009E39C5" w:rsidP="001E1F5A">
            <w:pPr>
              <w:rPr>
                <w:lang w:val="sr-Latn-ME"/>
              </w:rPr>
            </w:pPr>
            <w:r w:rsidRPr="000D3D7F">
              <w:rPr>
                <w:szCs w:val="22"/>
                <w:lang w:val="sr-Latn-ME"/>
              </w:rPr>
              <w:t>% (95% CI)</w:t>
            </w:r>
          </w:p>
        </w:tc>
        <w:tc>
          <w:tcPr>
            <w:tcW w:w="1983" w:type="dxa"/>
            <w:tcBorders>
              <w:top w:val="single" w:sz="4" w:space="0" w:color="000000"/>
              <w:left w:val="single" w:sz="4" w:space="0" w:color="000000"/>
              <w:bottom w:val="single" w:sz="4" w:space="0" w:color="000000"/>
              <w:right w:val="single" w:sz="4" w:space="0" w:color="000000"/>
            </w:tcBorders>
          </w:tcPr>
          <w:p w14:paraId="7A90E765" w14:textId="77777777" w:rsidR="009E39C5" w:rsidRPr="000D3D7F" w:rsidRDefault="009E39C5" w:rsidP="001E1F5A">
            <w:pPr>
              <w:rPr>
                <w:lang w:val="sr-Latn-ME"/>
              </w:rPr>
            </w:pPr>
          </w:p>
          <w:p w14:paraId="240A14CA" w14:textId="77777777" w:rsidR="009E39C5" w:rsidRPr="000D3D7F" w:rsidRDefault="009E39C5" w:rsidP="001E1F5A">
            <w:pPr>
              <w:rPr>
                <w:lang w:val="sr-Latn-ME"/>
              </w:rPr>
            </w:pPr>
            <w:r w:rsidRPr="000D3D7F">
              <w:rPr>
                <w:szCs w:val="22"/>
                <w:lang w:val="sr-Latn-ME"/>
              </w:rPr>
              <w:t>14,6 (10,4; 19,7)</w:t>
            </w:r>
          </w:p>
          <w:p w14:paraId="31CC500B" w14:textId="77777777" w:rsidR="009E39C5" w:rsidRPr="000D3D7F" w:rsidRDefault="009E39C5" w:rsidP="001E1F5A">
            <w:pPr>
              <w:rPr>
                <w:lang w:val="sr-Latn-ME"/>
              </w:rPr>
            </w:pPr>
            <w:r w:rsidRPr="000D3D7F">
              <w:rPr>
                <w:szCs w:val="22"/>
                <w:lang w:val="sr-Latn-ME"/>
              </w:rPr>
              <w:t>77,1 (71,2; 82,2)</w:t>
            </w:r>
          </w:p>
        </w:tc>
        <w:tc>
          <w:tcPr>
            <w:tcW w:w="2410" w:type="dxa"/>
            <w:tcBorders>
              <w:top w:val="single" w:sz="4" w:space="0" w:color="000000"/>
              <w:left w:val="single" w:sz="4" w:space="0" w:color="000000"/>
              <w:bottom w:val="single" w:sz="4" w:space="0" w:color="000000"/>
              <w:right w:val="single" w:sz="4" w:space="0" w:color="000000"/>
            </w:tcBorders>
          </w:tcPr>
          <w:p w14:paraId="0627747D" w14:textId="77777777" w:rsidR="009E39C5" w:rsidRPr="000D3D7F" w:rsidRDefault="009E39C5" w:rsidP="001E1F5A">
            <w:pPr>
              <w:rPr>
                <w:lang w:val="sr-Latn-ME"/>
              </w:rPr>
            </w:pPr>
          </w:p>
          <w:p w14:paraId="32ACA59E" w14:textId="77777777" w:rsidR="009E39C5" w:rsidRPr="000D3D7F" w:rsidRDefault="009E39C5" w:rsidP="001E1F5A">
            <w:pPr>
              <w:rPr>
                <w:lang w:val="sr-Latn-ME"/>
              </w:rPr>
            </w:pPr>
            <w:r w:rsidRPr="000D3D7F">
              <w:rPr>
                <w:szCs w:val="22"/>
                <w:lang w:val="sr-Latn-ME"/>
              </w:rPr>
              <w:t>6,2 (3,5; 10,0)</w:t>
            </w:r>
          </w:p>
          <w:p w14:paraId="245A7FCF" w14:textId="77777777" w:rsidR="009E39C5" w:rsidRPr="000D3D7F" w:rsidRDefault="009E39C5" w:rsidP="001E1F5A">
            <w:pPr>
              <w:rPr>
                <w:lang w:val="sr-Latn-ME"/>
              </w:rPr>
            </w:pPr>
            <w:r w:rsidRPr="000D3D7F">
              <w:rPr>
                <w:szCs w:val="22"/>
                <w:lang w:val="sr-Latn-ME"/>
              </w:rPr>
              <w:t>60,7 (54,3; 66,9)</w:t>
            </w:r>
          </w:p>
        </w:tc>
        <w:tc>
          <w:tcPr>
            <w:tcW w:w="2410" w:type="dxa"/>
            <w:tcBorders>
              <w:top w:val="single" w:sz="4" w:space="0" w:color="000000"/>
              <w:left w:val="single" w:sz="4" w:space="0" w:color="000000"/>
              <w:bottom w:val="single" w:sz="4" w:space="0" w:color="000000"/>
              <w:right w:val="single" w:sz="4" w:space="0" w:color="000000"/>
            </w:tcBorders>
          </w:tcPr>
          <w:p w14:paraId="3EE5E0C5" w14:textId="77777777" w:rsidR="009E39C5" w:rsidRPr="000D3D7F" w:rsidRDefault="009E39C5" w:rsidP="001E1F5A">
            <w:pPr>
              <w:rPr>
                <w:lang w:val="sr-Latn-ME"/>
              </w:rPr>
            </w:pPr>
          </w:p>
          <w:p w14:paraId="13ECC4BA" w14:textId="77777777" w:rsidR="009E39C5" w:rsidRPr="000D3D7F" w:rsidRDefault="009E39C5" w:rsidP="001E1F5A">
            <w:pPr>
              <w:rPr>
                <w:lang w:val="sr-Latn-ME"/>
              </w:rPr>
            </w:pPr>
            <w:r w:rsidRPr="000D3D7F">
              <w:rPr>
                <w:szCs w:val="22"/>
                <w:lang w:val="sr-Latn-ME"/>
              </w:rPr>
              <w:t>2,58 (1,37; 4,85); 0,003</w:t>
            </w:r>
          </w:p>
          <w:p w14:paraId="7D43E144" w14:textId="77777777" w:rsidR="009E39C5" w:rsidRPr="000D3D7F" w:rsidRDefault="009E39C5" w:rsidP="001E1F5A">
            <w:pPr>
              <w:rPr>
                <w:lang w:val="sr-Latn-ME"/>
              </w:rPr>
            </w:pPr>
            <w:r w:rsidRPr="000D3D7F">
              <w:rPr>
                <w:szCs w:val="22"/>
                <w:lang w:val="sr-Latn-ME"/>
              </w:rPr>
              <w:t>2,18 (1,46; 3,24);</w:t>
            </w:r>
          </w:p>
          <w:p w14:paraId="3025FBC5" w14:textId="77777777" w:rsidR="009E39C5" w:rsidRPr="000D3D7F" w:rsidRDefault="009E39C5" w:rsidP="001E1F5A">
            <w:pPr>
              <w:rPr>
                <w:lang w:val="sr-Latn-ME"/>
              </w:rPr>
            </w:pPr>
            <w:r w:rsidRPr="000D3D7F">
              <w:rPr>
                <w:szCs w:val="22"/>
                <w:lang w:val="sr-Latn-ME"/>
              </w:rPr>
              <w:t>&lt; 0,001</w:t>
            </w:r>
          </w:p>
        </w:tc>
      </w:tr>
      <w:tr w:rsidR="009E39C5" w:rsidRPr="000D3D7F" w14:paraId="0CF5610D" w14:textId="77777777" w:rsidTr="00B32611">
        <w:trPr>
          <w:trHeight w:val="1551"/>
        </w:trPr>
        <w:tc>
          <w:tcPr>
            <w:tcW w:w="2141" w:type="dxa"/>
            <w:tcBorders>
              <w:top w:val="single" w:sz="4" w:space="0" w:color="000000"/>
              <w:left w:val="single" w:sz="4" w:space="0" w:color="000000"/>
              <w:bottom w:val="single" w:sz="4" w:space="0" w:color="000000"/>
              <w:right w:val="single" w:sz="4" w:space="0" w:color="000000"/>
            </w:tcBorders>
          </w:tcPr>
          <w:p w14:paraId="5D3B25CD" w14:textId="77777777" w:rsidR="009E39C5" w:rsidRPr="000D3D7F" w:rsidRDefault="009E39C5" w:rsidP="001E1F5A">
            <w:pPr>
              <w:rPr>
                <w:lang w:val="sr-Latn-ME"/>
              </w:rPr>
            </w:pPr>
            <w:r w:rsidRPr="000D3D7F">
              <w:rPr>
                <w:b/>
                <w:bCs/>
                <w:szCs w:val="22"/>
                <w:lang w:val="sr-Latn-ME"/>
              </w:rPr>
              <w:t>Stepen odgovora(RR)</w:t>
            </w:r>
            <w:r w:rsidRPr="000D3D7F">
              <w:rPr>
                <w:b/>
                <w:bCs/>
                <w:szCs w:val="22"/>
                <w:vertAlign w:val="superscript"/>
                <w:lang w:val="sr-Latn-ME"/>
              </w:rPr>
              <w:t>b</w:t>
            </w:r>
            <w:r w:rsidRPr="000D3D7F">
              <w:rPr>
                <w:b/>
                <w:bCs/>
                <w:szCs w:val="22"/>
                <w:lang w:val="sr-Latn-ME"/>
              </w:rPr>
              <w:t xml:space="preserve"> </w:t>
            </w:r>
            <w:r w:rsidRPr="000D3D7F">
              <w:rPr>
                <w:i/>
                <w:iCs/>
                <w:szCs w:val="22"/>
                <w:lang w:val="sr-Latn-ME"/>
              </w:rPr>
              <w:t xml:space="preserve">(nakon transplantacije) </w:t>
            </w:r>
            <w:r w:rsidRPr="000D3D7F">
              <w:rPr>
                <w:szCs w:val="22"/>
                <w:lang w:val="sr-Latn-ME"/>
              </w:rPr>
              <w:t>CR+nCR CR+nCR+VGPR+PR</w:t>
            </w:r>
          </w:p>
          <w:p w14:paraId="412616A5" w14:textId="77777777" w:rsidR="009E39C5" w:rsidRPr="000D3D7F" w:rsidRDefault="009E39C5" w:rsidP="001E1F5A">
            <w:pPr>
              <w:rPr>
                <w:lang w:val="sr-Latn-ME"/>
              </w:rPr>
            </w:pPr>
            <w:r w:rsidRPr="000D3D7F">
              <w:rPr>
                <w:szCs w:val="22"/>
                <w:lang w:val="sr-Latn-ME"/>
              </w:rPr>
              <w:t>% (95% CI)</w:t>
            </w:r>
          </w:p>
        </w:tc>
        <w:tc>
          <w:tcPr>
            <w:tcW w:w="1983" w:type="dxa"/>
            <w:tcBorders>
              <w:top w:val="single" w:sz="4" w:space="0" w:color="000000"/>
              <w:left w:val="single" w:sz="4" w:space="0" w:color="000000"/>
              <w:bottom w:val="single" w:sz="4" w:space="0" w:color="000000"/>
              <w:right w:val="single" w:sz="4" w:space="0" w:color="000000"/>
            </w:tcBorders>
          </w:tcPr>
          <w:p w14:paraId="6D3F845E" w14:textId="77777777" w:rsidR="009E39C5" w:rsidRPr="000D3D7F" w:rsidRDefault="009E39C5" w:rsidP="001E1F5A">
            <w:pPr>
              <w:rPr>
                <w:lang w:val="sr-Latn-ME"/>
              </w:rPr>
            </w:pPr>
          </w:p>
          <w:p w14:paraId="38C5EE7A" w14:textId="77777777" w:rsidR="009E39C5" w:rsidRPr="000D3D7F" w:rsidRDefault="009E39C5" w:rsidP="001E1F5A">
            <w:pPr>
              <w:rPr>
                <w:lang w:val="sr-Latn-ME"/>
              </w:rPr>
            </w:pPr>
            <w:r w:rsidRPr="000D3D7F">
              <w:rPr>
                <w:szCs w:val="22"/>
                <w:lang w:val="sr-Latn-ME"/>
              </w:rPr>
              <w:t>37,5 (31,4; 44,0)</w:t>
            </w:r>
          </w:p>
          <w:p w14:paraId="1C5AA08E" w14:textId="77777777" w:rsidR="009E39C5" w:rsidRPr="000D3D7F" w:rsidRDefault="009E39C5" w:rsidP="001E1F5A">
            <w:pPr>
              <w:rPr>
                <w:lang w:val="sr-Latn-ME"/>
              </w:rPr>
            </w:pPr>
            <w:r w:rsidRPr="000D3D7F">
              <w:rPr>
                <w:szCs w:val="22"/>
                <w:lang w:val="sr-Latn-ME"/>
              </w:rPr>
              <w:t>79,6 (73,9; 84,5)</w:t>
            </w:r>
          </w:p>
        </w:tc>
        <w:tc>
          <w:tcPr>
            <w:tcW w:w="2410" w:type="dxa"/>
            <w:tcBorders>
              <w:top w:val="single" w:sz="4" w:space="0" w:color="000000"/>
              <w:left w:val="single" w:sz="4" w:space="0" w:color="000000"/>
              <w:bottom w:val="single" w:sz="4" w:space="0" w:color="000000"/>
              <w:right w:val="single" w:sz="4" w:space="0" w:color="000000"/>
            </w:tcBorders>
          </w:tcPr>
          <w:p w14:paraId="5BCE2015" w14:textId="77777777" w:rsidR="009E39C5" w:rsidRPr="000D3D7F" w:rsidRDefault="009E39C5" w:rsidP="001E1F5A">
            <w:pPr>
              <w:rPr>
                <w:lang w:val="sr-Latn-ME"/>
              </w:rPr>
            </w:pPr>
          </w:p>
          <w:p w14:paraId="0DB19DD3" w14:textId="77777777" w:rsidR="009E39C5" w:rsidRPr="000D3D7F" w:rsidRDefault="009E39C5" w:rsidP="001E1F5A">
            <w:pPr>
              <w:rPr>
                <w:lang w:val="sr-Latn-ME"/>
              </w:rPr>
            </w:pPr>
            <w:r w:rsidRPr="000D3D7F">
              <w:rPr>
                <w:szCs w:val="22"/>
                <w:lang w:val="sr-Latn-ME"/>
              </w:rPr>
              <w:t>23,1 (18,0; 29,0)</w:t>
            </w:r>
          </w:p>
          <w:p w14:paraId="7200531C" w14:textId="77777777" w:rsidR="009E39C5" w:rsidRPr="000D3D7F" w:rsidRDefault="009E39C5" w:rsidP="001E1F5A">
            <w:pPr>
              <w:rPr>
                <w:lang w:val="sr-Latn-ME"/>
              </w:rPr>
            </w:pPr>
            <w:r w:rsidRPr="000D3D7F">
              <w:rPr>
                <w:szCs w:val="22"/>
                <w:lang w:val="sr-Latn-ME"/>
              </w:rPr>
              <w:t>74,4 (68,4; 79,8)</w:t>
            </w:r>
          </w:p>
        </w:tc>
        <w:tc>
          <w:tcPr>
            <w:tcW w:w="2410" w:type="dxa"/>
            <w:tcBorders>
              <w:top w:val="single" w:sz="4" w:space="0" w:color="000000"/>
              <w:left w:val="single" w:sz="4" w:space="0" w:color="000000"/>
              <w:bottom w:val="single" w:sz="4" w:space="0" w:color="000000"/>
              <w:right w:val="single" w:sz="4" w:space="0" w:color="000000"/>
            </w:tcBorders>
          </w:tcPr>
          <w:p w14:paraId="11814080" w14:textId="77777777" w:rsidR="009E39C5" w:rsidRPr="000D3D7F" w:rsidRDefault="009E39C5" w:rsidP="001E1F5A">
            <w:pPr>
              <w:rPr>
                <w:lang w:val="sr-Latn-ME"/>
              </w:rPr>
            </w:pPr>
          </w:p>
          <w:p w14:paraId="2694348F" w14:textId="77777777" w:rsidR="009E39C5" w:rsidRPr="000D3D7F" w:rsidRDefault="009E39C5" w:rsidP="001E1F5A">
            <w:pPr>
              <w:rPr>
                <w:lang w:val="sr-Latn-ME"/>
              </w:rPr>
            </w:pPr>
            <w:r w:rsidRPr="000D3D7F">
              <w:rPr>
                <w:szCs w:val="22"/>
                <w:lang w:val="sr-Latn-ME"/>
              </w:rPr>
              <w:t>1,98 (1,33; 2,95); 0,001</w:t>
            </w:r>
          </w:p>
          <w:p w14:paraId="1EB1256C" w14:textId="77777777" w:rsidR="009E39C5" w:rsidRPr="000D3D7F" w:rsidRDefault="009E39C5" w:rsidP="001E1F5A">
            <w:pPr>
              <w:rPr>
                <w:lang w:val="sr-Latn-ME"/>
              </w:rPr>
            </w:pPr>
            <w:r w:rsidRPr="000D3D7F">
              <w:rPr>
                <w:szCs w:val="22"/>
                <w:lang w:val="sr-Latn-ME"/>
              </w:rPr>
              <w:t>1,34 (0,87; 2,05); 0,179</w:t>
            </w:r>
          </w:p>
        </w:tc>
      </w:tr>
    </w:tbl>
    <w:p w14:paraId="23667B7C" w14:textId="2D9C0529" w:rsidR="009E39C5" w:rsidRPr="000D3D7F" w:rsidRDefault="009E39C5" w:rsidP="001E1F5A">
      <w:pPr>
        <w:rPr>
          <w:szCs w:val="22"/>
          <w:lang w:val="sr-Latn-ME"/>
        </w:rPr>
      </w:pPr>
    </w:p>
    <w:p w14:paraId="29F71B28" w14:textId="7E70CE9E" w:rsidR="009E39C5" w:rsidRPr="000D3D7F" w:rsidRDefault="009E39C5" w:rsidP="001E1F5A">
      <w:pPr>
        <w:rPr>
          <w:szCs w:val="22"/>
          <w:lang w:val="sr-Latn-ME"/>
        </w:rPr>
      </w:pPr>
      <w:r w:rsidRPr="000D3D7F">
        <w:rPr>
          <w:szCs w:val="22"/>
          <w:lang w:val="sr-Latn-ME"/>
        </w:rPr>
        <w:t>CI=interval pov</w:t>
      </w:r>
      <w:r w:rsidR="00F547A5" w:rsidRPr="000D3D7F">
        <w:rPr>
          <w:szCs w:val="22"/>
          <w:lang w:val="sr-Latn-ME"/>
        </w:rPr>
        <w:t>j</w:t>
      </w:r>
      <w:r w:rsidRPr="000D3D7F">
        <w:rPr>
          <w:szCs w:val="22"/>
          <w:lang w:val="sr-Latn-ME"/>
        </w:rPr>
        <w:t xml:space="preserve">erenja, CR= kompletan odgovor; nCR- skoro kompletan odgovor; </w:t>
      </w:r>
      <w:r w:rsidR="003D0803" w:rsidRPr="000D3D7F">
        <w:rPr>
          <w:szCs w:val="22"/>
          <w:lang w:val="sr-Latn-ME"/>
        </w:rPr>
        <w:t>Bz</w:t>
      </w:r>
      <w:r w:rsidRPr="000D3D7F">
        <w:rPr>
          <w:szCs w:val="22"/>
          <w:lang w:val="sr-Latn-ME"/>
        </w:rPr>
        <w:t>=</w:t>
      </w:r>
      <w:r w:rsidR="003D0803" w:rsidRPr="000D3D7F">
        <w:rPr>
          <w:lang w:val="sr-Latn-ME"/>
        </w:rPr>
        <w:t xml:space="preserve"> </w:t>
      </w:r>
      <w:r w:rsidR="003D0803" w:rsidRPr="000D3D7F">
        <w:rPr>
          <w:szCs w:val="22"/>
          <w:lang w:val="sr-Latn-ME"/>
        </w:rPr>
        <w:t>bortezomib</w:t>
      </w:r>
      <w:r w:rsidRPr="000D3D7F">
        <w:rPr>
          <w:szCs w:val="22"/>
          <w:lang w:val="sr-Latn-ME"/>
        </w:rPr>
        <w:t>;</w:t>
      </w:r>
      <w:r w:rsidR="004B33C6" w:rsidRPr="000D3D7F">
        <w:rPr>
          <w:szCs w:val="22"/>
          <w:lang w:val="sr-Latn-ME"/>
        </w:rPr>
        <w:t xml:space="preserve"> </w:t>
      </w:r>
      <w:r w:rsidR="003D0803" w:rsidRPr="000D3D7F">
        <w:rPr>
          <w:szCs w:val="22"/>
          <w:lang w:val="sr-Latn-ME"/>
        </w:rPr>
        <w:t>Bz</w:t>
      </w:r>
      <w:r w:rsidRPr="000D3D7F">
        <w:rPr>
          <w:szCs w:val="22"/>
          <w:lang w:val="sr-Latn-ME"/>
        </w:rPr>
        <w:t xml:space="preserve">Dx= </w:t>
      </w:r>
      <w:r w:rsidR="003D0803" w:rsidRPr="000D3D7F">
        <w:rPr>
          <w:szCs w:val="22"/>
          <w:lang w:val="sr-Latn-ME"/>
        </w:rPr>
        <w:t>bortezomib</w:t>
      </w:r>
      <w:r w:rsidRPr="000D3D7F">
        <w:rPr>
          <w:szCs w:val="22"/>
          <w:lang w:val="sr-Latn-ME"/>
        </w:rPr>
        <w:t>, deksametazon; VDDx=vinkristin, doksorubicin, deksametazon; VGPR=veoma</w:t>
      </w:r>
      <w:r w:rsidR="004B33C6" w:rsidRPr="000D3D7F">
        <w:rPr>
          <w:szCs w:val="22"/>
          <w:lang w:val="sr-Latn-ME"/>
        </w:rPr>
        <w:t xml:space="preserve"> </w:t>
      </w:r>
      <w:r w:rsidRPr="000D3D7F">
        <w:rPr>
          <w:szCs w:val="22"/>
          <w:lang w:val="sr-Latn-ME"/>
        </w:rPr>
        <w:t>dobar parcijalni odgovor; PR=parcijalni odgovor, OR= stepen ukupnog odgovora.</w:t>
      </w:r>
    </w:p>
    <w:p w14:paraId="07D98D73" w14:textId="77777777" w:rsidR="009E39C5" w:rsidRPr="000D3D7F" w:rsidRDefault="009E39C5" w:rsidP="001E1F5A">
      <w:pPr>
        <w:rPr>
          <w:szCs w:val="22"/>
          <w:lang w:val="sr-Latn-ME"/>
        </w:rPr>
      </w:pPr>
      <w:r w:rsidRPr="000D3D7F">
        <w:rPr>
          <w:szCs w:val="22"/>
          <w:lang w:val="sr-Latn-ME"/>
        </w:rPr>
        <w:t>* Primarni parameter praćenja</w:t>
      </w:r>
    </w:p>
    <w:p w14:paraId="5FFFFB4B" w14:textId="4F24FBC7" w:rsidR="009E39C5" w:rsidRPr="000D3D7F" w:rsidRDefault="009E39C5" w:rsidP="001E1F5A">
      <w:pPr>
        <w:rPr>
          <w:szCs w:val="22"/>
          <w:lang w:val="sr-Latn-ME"/>
        </w:rPr>
      </w:pPr>
      <w:r w:rsidRPr="000D3D7F">
        <w:rPr>
          <w:szCs w:val="22"/>
          <w:vertAlign w:val="superscript"/>
          <w:lang w:val="sr-Latn-ME"/>
        </w:rPr>
        <w:t>a</w:t>
      </w:r>
      <w:r w:rsidRPr="000D3D7F">
        <w:rPr>
          <w:szCs w:val="22"/>
          <w:lang w:val="sr-Latn-ME"/>
        </w:rPr>
        <w:t xml:space="preserve"> OR se zasniva na Mantel-Haenszel-ovom test</w:t>
      </w:r>
      <w:r w:rsidR="00094C2E" w:rsidRPr="000D3D7F">
        <w:rPr>
          <w:szCs w:val="22"/>
          <w:lang w:val="sr-Latn-ME"/>
        </w:rPr>
        <w:t>u</w:t>
      </w:r>
      <w:r w:rsidRPr="000D3D7F">
        <w:rPr>
          <w:szCs w:val="22"/>
          <w:lang w:val="sr-Latn-ME"/>
        </w:rPr>
        <w:t xml:space="preserve"> prilagođenog za faktore stratifikacije; </w:t>
      </w:r>
      <w:r w:rsidR="00094C2E" w:rsidRPr="000D3D7F">
        <w:rPr>
          <w:szCs w:val="22"/>
          <w:lang w:val="sr-Latn-ME"/>
        </w:rPr>
        <w:t xml:space="preserve">P </w:t>
      </w:r>
      <w:r w:rsidRPr="000D3D7F">
        <w:rPr>
          <w:szCs w:val="22"/>
          <w:lang w:val="sr-Latn-ME"/>
        </w:rPr>
        <w:t>vr</w:t>
      </w:r>
      <w:r w:rsidR="00094C2E" w:rsidRPr="000D3D7F">
        <w:rPr>
          <w:szCs w:val="22"/>
          <w:lang w:val="sr-Latn-ME"/>
        </w:rPr>
        <w:t>ij</w:t>
      </w:r>
      <w:r w:rsidRPr="000D3D7F">
        <w:rPr>
          <w:szCs w:val="22"/>
          <w:lang w:val="sr-Latn-ME"/>
        </w:rPr>
        <w:t>ednost</w:t>
      </w:r>
      <w:r w:rsidR="004B33C6" w:rsidRPr="000D3D7F">
        <w:rPr>
          <w:szCs w:val="22"/>
          <w:lang w:val="sr-Latn-ME"/>
        </w:rPr>
        <w:t xml:space="preserve"> </w:t>
      </w:r>
      <w:r w:rsidRPr="000D3D7F">
        <w:rPr>
          <w:szCs w:val="22"/>
          <w:lang w:val="sr-Latn-ME"/>
        </w:rPr>
        <w:t>zasnovana na Cochran-Mantel-Haenszel-ovom testu</w:t>
      </w:r>
    </w:p>
    <w:p w14:paraId="295A1696" w14:textId="48B37896" w:rsidR="009E39C5" w:rsidRPr="000D3D7F" w:rsidRDefault="009E39C5" w:rsidP="001E1F5A">
      <w:pPr>
        <w:rPr>
          <w:szCs w:val="22"/>
          <w:lang w:val="sr-Latn-ME"/>
        </w:rPr>
      </w:pPr>
      <w:r w:rsidRPr="000D3D7F">
        <w:rPr>
          <w:szCs w:val="22"/>
          <w:vertAlign w:val="superscript"/>
          <w:lang w:val="sr-Latn-ME"/>
        </w:rPr>
        <w:t>b</w:t>
      </w:r>
      <w:r w:rsidRPr="000D3D7F">
        <w:rPr>
          <w:szCs w:val="22"/>
          <w:lang w:val="sr-Latn-ME"/>
        </w:rPr>
        <w:t xml:space="preserve"> Odnosi se na stepen odgovora nakon druge transplantacije za ispitanike kod koji je rađena druga</w:t>
      </w:r>
      <w:r w:rsidR="004B33C6" w:rsidRPr="000D3D7F">
        <w:rPr>
          <w:szCs w:val="22"/>
          <w:lang w:val="sr-Latn-ME"/>
        </w:rPr>
        <w:t xml:space="preserve"> </w:t>
      </w:r>
      <w:r w:rsidRPr="000D3D7F">
        <w:rPr>
          <w:szCs w:val="22"/>
          <w:lang w:val="sr-Latn-ME"/>
        </w:rPr>
        <w:t xml:space="preserve">transplantacija (42/240 (18%) u </w:t>
      </w:r>
      <w:r w:rsidR="003D0803" w:rsidRPr="000D3D7F">
        <w:rPr>
          <w:szCs w:val="22"/>
          <w:lang w:val="sr-Latn-ME"/>
        </w:rPr>
        <w:t>Bz</w:t>
      </w:r>
      <w:r w:rsidRPr="000D3D7F">
        <w:rPr>
          <w:szCs w:val="22"/>
          <w:lang w:val="sr-Latn-ME"/>
        </w:rPr>
        <w:t>Dx grupi i 52/242 (21%) u VDDx grupi.</w:t>
      </w:r>
    </w:p>
    <w:p w14:paraId="374CC61F" w14:textId="2825EFA1" w:rsidR="009E39C5" w:rsidRPr="000D3D7F" w:rsidRDefault="009E39C5" w:rsidP="001E1F5A">
      <w:pPr>
        <w:rPr>
          <w:szCs w:val="22"/>
          <w:lang w:val="sr-Latn-ME"/>
        </w:rPr>
      </w:pPr>
      <w:r w:rsidRPr="000D3D7F">
        <w:rPr>
          <w:szCs w:val="22"/>
          <w:lang w:val="sr-Latn-ME"/>
        </w:rPr>
        <w:t xml:space="preserve">Napomena: An OR &lt; 1 indikuje prednost za indukcionu terapiju koja sadrži </w:t>
      </w:r>
      <w:r w:rsidR="003D0803" w:rsidRPr="000D3D7F">
        <w:rPr>
          <w:szCs w:val="22"/>
          <w:lang w:val="sr-Latn-ME"/>
        </w:rPr>
        <w:t>Bz</w:t>
      </w:r>
      <w:r w:rsidRPr="000D3D7F">
        <w:rPr>
          <w:szCs w:val="22"/>
          <w:lang w:val="sr-Latn-ME"/>
        </w:rPr>
        <w:t>.</w:t>
      </w:r>
    </w:p>
    <w:p w14:paraId="5C53D4C5" w14:textId="1663BAF4" w:rsidR="009E39C5" w:rsidRPr="000D3D7F" w:rsidRDefault="009E39C5" w:rsidP="001E1F5A">
      <w:pPr>
        <w:rPr>
          <w:szCs w:val="22"/>
          <w:lang w:val="sr-Latn-ME"/>
        </w:rPr>
      </w:pPr>
    </w:p>
    <w:p w14:paraId="158A82D7" w14:textId="7A257753" w:rsidR="009E39C5" w:rsidRPr="000D3D7F" w:rsidRDefault="009E39C5" w:rsidP="001E1F5A">
      <w:pPr>
        <w:rPr>
          <w:szCs w:val="22"/>
          <w:lang w:val="sr-Latn-ME"/>
        </w:rPr>
      </w:pPr>
      <w:r w:rsidRPr="000D3D7F">
        <w:rPr>
          <w:szCs w:val="22"/>
          <w:lang w:val="sr-Latn-ME"/>
        </w:rPr>
        <w:t xml:space="preserve">U kliničkom ispitivanju MMY-3010, indukciona terapija sa </w:t>
      </w:r>
      <w:r w:rsidR="00B32611" w:rsidRPr="000D3D7F">
        <w:rPr>
          <w:szCs w:val="22"/>
          <w:lang w:val="sr-Latn-ME"/>
        </w:rPr>
        <w:t>bortezomib</w:t>
      </w:r>
      <w:r w:rsidR="003D0803" w:rsidRPr="000D3D7F">
        <w:rPr>
          <w:szCs w:val="22"/>
          <w:lang w:val="sr-Latn-ME"/>
        </w:rPr>
        <w:t>om</w:t>
      </w:r>
      <w:r w:rsidR="00B32611" w:rsidRPr="000D3D7F">
        <w:rPr>
          <w:szCs w:val="22"/>
          <w:lang w:val="sr-Latn-ME"/>
        </w:rPr>
        <w:t xml:space="preserve"> </w:t>
      </w:r>
      <w:r w:rsidRPr="000D3D7F">
        <w:rPr>
          <w:szCs w:val="22"/>
          <w:lang w:val="sr-Latn-ME"/>
        </w:rPr>
        <w:t>u kombinaciji sa talidomidom i</w:t>
      </w:r>
      <w:r w:rsidR="004B33C6" w:rsidRPr="000D3D7F">
        <w:rPr>
          <w:szCs w:val="22"/>
          <w:lang w:val="sr-Latn-ME"/>
        </w:rPr>
        <w:t xml:space="preserve"> </w:t>
      </w:r>
      <w:r w:rsidRPr="000D3D7F">
        <w:rPr>
          <w:szCs w:val="22"/>
          <w:lang w:val="sr-Latn-ME"/>
        </w:rPr>
        <w:t>deksamentazonom (</w:t>
      </w:r>
      <w:r w:rsidR="003D0803" w:rsidRPr="000D3D7F">
        <w:rPr>
          <w:szCs w:val="22"/>
          <w:lang w:val="sr-Latn-ME"/>
        </w:rPr>
        <w:t>Bz</w:t>
      </w:r>
      <w:r w:rsidRPr="000D3D7F">
        <w:rPr>
          <w:szCs w:val="22"/>
          <w:lang w:val="sr-Latn-ME"/>
        </w:rPr>
        <w:t>TDx, n=130) je upoređivana sa terapijom talidomid- deksametazon (TDx, n=127).</w:t>
      </w:r>
    </w:p>
    <w:p w14:paraId="0DD3F507" w14:textId="2E5D70C5" w:rsidR="009E39C5" w:rsidRPr="000D3D7F" w:rsidRDefault="009E39C5" w:rsidP="001E1F5A">
      <w:pPr>
        <w:rPr>
          <w:szCs w:val="22"/>
          <w:lang w:val="sr-Latn-ME"/>
        </w:rPr>
      </w:pPr>
      <w:r w:rsidRPr="000D3D7F">
        <w:rPr>
          <w:szCs w:val="22"/>
          <w:lang w:val="sr-Latn-ME"/>
        </w:rPr>
        <w:t xml:space="preserve">Pacijenti u </w:t>
      </w:r>
      <w:r w:rsidR="003D0803" w:rsidRPr="000D3D7F">
        <w:rPr>
          <w:szCs w:val="22"/>
          <w:lang w:val="sr-Latn-ME"/>
        </w:rPr>
        <w:t>Bz</w:t>
      </w:r>
      <w:r w:rsidRPr="000D3D7F">
        <w:rPr>
          <w:szCs w:val="22"/>
          <w:lang w:val="sr-Latn-ME"/>
        </w:rPr>
        <w:t>TDx grupi su primali šest 4-ned</w:t>
      </w:r>
      <w:r w:rsidR="00FF1730" w:rsidRPr="000D3D7F">
        <w:rPr>
          <w:szCs w:val="22"/>
          <w:lang w:val="sr-Latn-ME"/>
        </w:rPr>
        <w:t>j</w:t>
      </w:r>
      <w:r w:rsidRPr="000D3D7F">
        <w:rPr>
          <w:szCs w:val="22"/>
          <w:lang w:val="sr-Latn-ME"/>
        </w:rPr>
        <w:t xml:space="preserve">eljnih ciklusa, pri čemu se svaki sastojao od </w:t>
      </w:r>
      <w:r w:rsidR="00B32611" w:rsidRPr="000D3D7F">
        <w:rPr>
          <w:szCs w:val="22"/>
          <w:lang w:val="sr-Latn-ME"/>
        </w:rPr>
        <w:t>bortezomib</w:t>
      </w:r>
      <w:r w:rsidR="003D0803" w:rsidRPr="000D3D7F">
        <w:rPr>
          <w:szCs w:val="22"/>
          <w:lang w:val="sr-Latn-ME"/>
        </w:rPr>
        <w:t>a</w:t>
      </w:r>
      <w:r w:rsidR="004B33C6" w:rsidRPr="000D3D7F">
        <w:rPr>
          <w:szCs w:val="22"/>
          <w:lang w:val="sr-Latn-ME"/>
        </w:rPr>
        <w:t xml:space="preserve"> </w:t>
      </w:r>
      <w:r w:rsidRPr="000D3D7F">
        <w:rPr>
          <w:szCs w:val="22"/>
          <w:lang w:val="sr-Latn-ME"/>
        </w:rPr>
        <w:t>(1,3mg/m</w:t>
      </w:r>
      <w:r w:rsidRPr="000D3D7F">
        <w:rPr>
          <w:szCs w:val="22"/>
          <w:vertAlign w:val="superscript"/>
          <w:lang w:val="sr-Latn-ME"/>
        </w:rPr>
        <w:t>2</w:t>
      </w:r>
      <w:r w:rsidRPr="000D3D7F">
        <w:rPr>
          <w:szCs w:val="22"/>
          <w:lang w:val="sr-Latn-ME"/>
        </w:rPr>
        <w:t xml:space="preserve"> prim</w:t>
      </w:r>
      <w:r w:rsidR="00FF1730" w:rsidRPr="000D3D7F">
        <w:rPr>
          <w:szCs w:val="22"/>
          <w:lang w:val="sr-Latn-ME"/>
        </w:rPr>
        <w:t>ij</w:t>
      </w:r>
      <w:r w:rsidRPr="000D3D7F">
        <w:rPr>
          <w:szCs w:val="22"/>
          <w:lang w:val="sr-Latn-ME"/>
        </w:rPr>
        <w:t>enjen dva puta ned</w:t>
      </w:r>
      <w:r w:rsidR="00FF1730" w:rsidRPr="000D3D7F">
        <w:rPr>
          <w:szCs w:val="22"/>
          <w:lang w:val="sr-Latn-ME"/>
        </w:rPr>
        <w:t>j</w:t>
      </w:r>
      <w:r w:rsidRPr="000D3D7F">
        <w:rPr>
          <w:szCs w:val="22"/>
          <w:lang w:val="sr-Latn-ME"/>
        </w:rPr>
        <w:t>eljno danima 1,4,8 i 11 pri čemu je sl</w:t>
      </w:r>
      <w:r w:rsidR="00FF1730" w:rsidRPr="000D3D7F">
        <w:rPr>
          <w:szCs w:val="22"/>
          <w:lang w:val="sr-Latn-ME"/>
        </w:rPr>
        <w:t>ij</w:t>
      </w:r>
      <w:r w:rsidRPr="000D3D7F">
        <w:rPr>
          <w:szCs w:val="22"/>
          <w:lang w:val="sr-Latn-ME"/>
        </w:rPr>
        <w:t>edio 17 dnevni period bez l</w:t>
      </w:r>
      <w:r w:rsidR="00FF1730" w:rsidRPr="000D3D7F">
        <w:rPr>
          <w:szCs w:val="22"/>
          <w:lang w:val="sr-Latn-ME"/>
        </w:rPr>
        <w:t>ij</w:t>
      </w:r>
      <w:r w:rsidRPr="000D3D7F">
        <w:rPr>
          <w:szCs w:val="22"/>
          <w:lang w:val="sr-Latn-ME"/>
        </w:rPr>
        <w:t>eka od 12</w:t>
      </w:r>
      <w:r w:rsidR="004B33C6" w:rsidRPr="000D3D7F">
        <w:rPr>
          <w:szCs w:val="22"/>
          <w:lang w:val="sr-Latn-ME"/>
        </w:rPr>
        <w:t xml:space="preserve"> </w:t>
      </w:r>
      <w:r w:rsidRPr="000D3D7F">
        <w:rPr>
          <w:szCs w:val="22"/>
          <w:lang w:val="sr-Latn-ME"/>
        </w:rPr>
        <w:t>dana do 28 dana), deksametazona (40mg prim</w:t>
      </w:r>
      <w:r w:rsidR="00FF1730" w:rsidRPr="000D3D7F">
        <w:rPr>
          <w:szCs w:val="22"/>
          <w:lang w:val="sr-Latn-ME"/>
        </w:rPr>
        <w:t>ij</w:t>
      </w:r>
      <w:r w:rsidRPr="000D3D7F">
        <w:rPr>
          <w:szCs w:val="22"/>
          <w:lang w:val="sr-Latn-ME"/>
        </w:rPr>
        <w:t>enjen per os u danima 1 do 4 i danima 8 do 11) i talidomida</w:t>
      </w:r>
      <w:r w:rsidR="004B33C6" w:rsidRPr="000D3D7F">
        <w:rPr>
          <w:szCs w:val="22"/>
          <w:lang w:val="sr-Latn-ME"/>
        </w:rPr>
        <w:t xml:space="preserve"> </w:t>
      </w:r>
      <w:r w:rsidRPr="000D3D7F">
        <w:rPr>
          <w:szCs w:val="22"/>
          <w:lang w:val="sr-Latn-ME"/>
        </w:rPr>
        <w:t>(prim</w:t>
      </w:r>
      <w:r w:rsidR="00FF1730" w:rsidRPr="000D3D7F">
        <w:rPr>
          <w:szCs w:val="22"/>
          <w:lang w:val="sr-Latn-ME"/>
        </w:rPr>
        <w:t>ij</w:t>
      </w:r>
      <w:r w:rsidRPr="000D3D7F">
        <w:rPr>
          <w:szCs w:val="22"/>
          <w:lang w:val="sr-Latn-ME"/>
        </w:rPr>
        <w:t>enjen per os 50mg dnevno u danima 1-14, povećan na 100mg u danima 15 do 28 i nakon toka 200mg</w:t>
      </w:r>
      <w:r w:rsidR="004B33C6" w:rsidRPr="000D3D7F">
        <w:rPr>
          <w:szCs w:val="22"/>
          <w:lang w:val="sr-Latn-ME"/>
        </w:rPr>
        <w:t xml:space="preserve"> </w:t>
      </w:r>
      <w:r w:rsidRPr="000D3D7F">
        <w:rPr>
          <w:szCs w:val="22"/>
          <w:lang w:val="sr-Latn-ME"/>
        </w:rPr>
        <w:t>dnevno).</w:t>
      </w:r>
    </w:p>
    <w:p w14:paraId="5AA47D2A" w14:textId="76B67A68" w:rsidR="009E39C5" w:rsidRPr="000D3D7F" w:rsidRDefault="009E39C5" w:rsidP="001E1F5A">
      <w:pPr>
        <w:rPr>
          <w:szCs w:val="22"/>
          <w:lang w:val="sr-Latn-ME"/>
        </w:rPr>
      </w:pPr>
      <w:r w:rsidRPr="000D3D7F">
        <w:rPr>
          <w:szCs w:val="22"/>
          <w:lang w:val="sr-Latn-ME"/>
        </w:rPr>
        <w:t xml:space="preserve">Autologa transpantacija matičnih ćelija je urađena kod 105 (81%) pacijenata u </w:t>
      </w:r>
      <w:r w:rsidR="003D0803" w:rsidRPr="000D3D7F">
        <w:rPr>
          <w:szCs w:val="22"/>
          <w:lang w:val="sr-Latn-ME"/>
        </w:rPr>
        <w:t>Bz</w:t>
      </w:r>
      <w:r w:rsidRPr="000D3D7F">
        <w:rPr>
          <w:szCs w:val="22"/>
          <w:lang w:val="sr-Latn-ME"/>
        </w:rPr>
        <w:t>Tx grupi i kod 78(61%)</w:t>
      </w:r>
      <w:r w:rsidR="004B33C6" w:rsidRPr="000D3D7F">
        <w:rPr>
          <w:szCs w:val="22"/>
          <w:lang w:val="sr-Latn-ME"/>
        </w:rPr>
        <w:t xml:space="preserve"> </w:t>
      </w:r>
      <w:r w:rsidRPr="000D3D7F">
        <w:rPr>
          <w:szCs w:val="22"/>
          <w:lang w:val="sr-Latn-ME"/>
        </w:rPr>
        <w:t>pacijenata u TDx grupi. Demografske i osnovne karakteristike bolesti pacijenata su bile slične u ob</w:t>
      </w:r>
      <w:r w:rsidR="00FF1730" w:rsidRPr="000D3D7F">
        <w:rPr>
          <w:szCs w:val="22"/>
          <w:lang w:val="sr-Latn-ME"/>
        </w:rPr>
        <w:t>j</w:t>
      </w:r>
      <w:r w:rsidRPr="000D3D7F">
        <w:rPr>
          <w:szCs w:val="22"/>
          <w:lang w:val="sr-Latn-ME"/>
        </w:rPr>
        <w:t>e</w:t>
      </w:r>
      <w:r w:rsidR="004B33C6" w:rsidRPr="000D3D7F">
        <w:rPr>
          <w:szCs w:val="22"/>
          <w:lang w:val="sr-Latn-ME"/>
        </w:rPr>
        <w:t xml:space="preserve"> </w:t>
      </w:r>
      <w:r w:rsidRPr="000D3D7F">
        <w:rPr>
          <w:szCs w:val="22"/>
          <w:lang w:val="sr-Latn-ME"/>
        </w:rPr>
        <w:t xml:space="preserve">terapijske grupe. Pacijenti u grupi </w:t>
      </w:r>
      <w:r w:rsidR="003D0803" w:rsidRPr="000D3D7F">
        <w:rPr>
          <w:szCs w:val="22"/>
          <w:lang w:val="sr-Latn-ME"/>
        </w:rPr>
        <w:t>Bz</w:t>
      </w:r>
      <w:r w:rsidRPr="000D3D7F">
        <w:rPr>
          <w:szCs w:val="22"/>
          <w:lang w:val="sr-Latn-ME"/>
        </w:rPr>
        <w:t>TDx su imali pros</w:t>
      </w:r>
      <w:r w:rsidR="00FF1730" w:rsidRPr="000D3D7F">
        <w:rPr>
          <w:szCs w:val="22"/>
          <w:lang w:val="sr-Latn-ME"/>
        </w:rPr>
        <w:t>j</w:t>
      </w:r>
      <w:r w:rsidRPr="000D3D7F">
        <w:rPr>
          <w:szCs w:val="22"/>
          <w:lang w:val="sr-Latn-ME"/>
        </w:rPr>
        <w:t>ečnu starost 57 godina u odnosu na grupu TDx koja</w:t>
      </w:r>
      <w:r w:rsidR="004B33C6" w:rsidRPr="000D3D7F">
        <w:rPr>
          <w:szCs w:val="22"/>
          <w:lang w:val="sr-Latn-ME"/>
        </w:rPr>
        <w:t xml:space="preserve"> </w:t>
      </w:r>
      <w:r w:rsidRPr="000D3D7F">
        <w:rPr>
          <w:szCs w:val="22"/>
          <w:lang w:val="sr-Latn-ME"/>
        </w:rPr>
        <w:t>je pros</w:t>
      </w:r>
      <w:r w:rsidR="00FF1730" w:rsidRPr="000D3D7F">
        <w:rPr>
          <w:szCs w:val="22"/>
          <w:lang w:val="sr-Latn-ME"/>
        </w:rPr>
        <w:t>j</w:t>
      </w:r>
      <w:r w:rsidRPr="000D3D7F">
        <w:rPr>
          <w:szCs w:val="22"/>
          <w:lang w:val="sr-Latn-ME"/>
        </w:rPr>
        <w:t>ečno imala 56 godina, 99% prema 98% su bili b</w:t>
      </w:r>
      <w:r w:rsidR="00FF1730" w:rsidRPr="000D3D7F">
        <w:rPr>
          <w:szCs w:val="22"/>
          <w:lang w:val="sr-Latn-ME"/>
        </w:rPr>
        <w:t>ij</w:t>
      </w:r>
      <w:r w:rsidRPr="000D3D7F">
        <w:rPr>
          <w:szCs w:val="22"/>
          <w:lang w:val="sr-Latn-ME"/>
        </w:rPr>
        <w:t xml:space="preserve">elci, i 58% prema 54% su bili muškarci. U </w:t>
      </w:r>
      <w:r w:rsidR="003D0803" w:rsidRPr="000D3D7F">
        <w:rPr>
          <w:szCs w:val="22"/>
          <w:lang w:val="sr-Latn-ME"/>
        </w:rPr>
        <w:t>Bz</w:t>
      </w:r>
      <w:r w:rsidRPr="000D3D7F">
        <w:rPr>
          <w:szCs w:val="22"/>
          <w:lang w:val="sr-Latn-ME"/>
        </w:rPr>
        <w:t>TDx</w:t>
      </w:r>
      <w:r w:rsidR="004B33C6" w:rsidRPr="000D3D7F">
        <w:rPr>
          <w:szCs w:val="22"/>
          <w:lang w:val="sr-Latn-ME"/>
        </w:rPr>
        <w:t xml:space="preserve"> </w:t>
      </w:r>
      <w:r w:rsidRPr="000D3D7F">
        <w:rPr>
          <w:szCs w:val="22"/>
          <w:lang w:val="sr-Latn-ME"/>
        </w:rPr>
        <w:t>grupi 12% pacijenata je bilo klasifikovano kao citogenetski visoko rizično, dok je visok rizik imalo 16%</w:t>
      </w:r>
      <w:r w:rsidR="004B33C6" w:rsidRPr="000D3D7F">
        <w:rPr>
          <w:szCs w:val="22"/>
          <w:lang w:val="sr-Latn-ME"/>
        </w:rPr>
        <w:t xml:space="preserve"> </w:t>
      </w:r>
      <w:r w:rsidRPr="000D3D7F">
        <w:rPr>
          <w:szCs w:val="22"/>
          <w:lang w:val="sr-Latn-ME"/>
        </w:rPr>
        <w:t>pacijenata u TDx grupi. Medijana trajanja terapije je bila 24 ned</w:t>
      </w:r>
      <w:r w:rsidR="00FF1730" w:rsidRPr="000D3D7F">
        <w:rPr>
          <w:szCs w:val="22"/>
          <w:lang w:val="sr-Latn-ME"/>
        </w:rPr>
        <w:t>j</w:t>
      </w:r>
      <w:r w:rsidRPr="000D3D7F">
        <w:rPr>
          <w:szCs w:val="22"/>
          <w:lang w:val="sr-Latn-ME"/>
        </w:rPr>
        <w:t>elje, medijana broja primljenih terapijskih</w:t>
      </w:r>
      <w:r w:rsidR="004B33C6" w:rsidRPr="000D3D7F">
        <w:rPr>
          <w:szCs w:val="22"/>
          <w:lang w:val="sr-Latn-ME"/>
        </w:rPr>
        <w:t xml:space="preserve"> </w:t>
      </w:r>
      <w:r w:rsidRPr="000D3D7F">
        <w:rPr>
          <w:szCs w:val="22"/>
          <w:lang w:val="sr-Latn-ME"/>
        </w:rPr>
        <w:t>cikusa je bio 6,0 i bio je konzistentan u terapijskim grupama.</w:t>
      </w:r>
    </w:p>
    <w:p w14:paraId="011A4BE0" w14:textId="4D0C1900" w:rsidR="009E39C5" w:rsidRPr="000D3D7F" w:rsidRDefault="009E39C5" w:rsidP="001E1F5A">
      <w:pPr>
        <w:rPr>
          <w:szCs w:val="22"/>
          <w:lang w:val="sr-Latn-ME"/>
        </w:rPr>
      </w:pPr>
      <w:r w:rsidRPr="000D3D7F">
        <w:rPr>
          <w:szCs w:val="22"/>
          <w:lang w:val="sr-Latn-ME"/>
        </w:rPr>
        <w:t>Primarni parametri praćenja efikasnosti ovog kliničkog ispitivanja su bili postindukcioni i posttransplatacioni</w:t>
      </w:r>
      <w:r w:rsidR="004B33C6" w:rsidRPr="000D3D7F">
        <w:rPr>
          <w:szCs w:val="22"/>
          <w:lang w:val="sr-Latn-ME"/>
        </w:rPr>
        <w:t xml:space="preserve"> </w:t>
      </w:r>
      <w:r w:rsidRPr="000D3D7F">
        <w:rPr>
          <w:szCs w:val="22"/>
          <w:lang w:val="sr-Latn-ME"/>
        </w:rPr>
        <w:t>stepeni odgovora (CR+nCR). Statistički značajna razlika u CR+nCR stepena odgovora je zab</w:t>
      </w:r>
      <w:r w:rsidR="00FF1730" w:rsidRPr="000D3D7F">
        <w:rPr>
          <w:szCs w:val="22"/>
          <w:lang w:val="sr-Latn-ME"/>
        </w:rPr>
        <w:t>i</w:t>
      </w:r>
      <w:r w:rsidRPr="000D3D7F">
        <w:rPr>
          <w:szCs w:val="22"/>
          <w:lang w:val="sr-Latn-ME"/>
        </w:rPr>
        <w:t>l</w:t>
      </w:r>
      <w:r w:rsidR="00FF1730" w:rsidRPr="000D3D7F">
        <w:rPr>
          <w:szCs w:val="22"/>
          <w:lang w:val="sr-Latn-ME"/>
        </w:rPr>
        <w:t>j</w:t>
      </w:r>
      <w:r w:rsidRPr="000D3D7F">
        <w:rPr>
          <w:szCs w:val="22"/>
          <w:lang w:val="sr-Latn-ME"/>
        </w:rPr>
        <w:t>ežena u korist</w:t>
      </w:r>
      <w:r w:rsidR="004B33C6" w:rsidRPr="000D3D7F">
        <w:rPr>
          <w:szCs w:val="22"/>
          <w:lang w:val="sr-Latn-ME"/>
        </w:rPr>
        <w:t xml:space="preserve"> </w:t>
      </w:r>
      <w:r w:rsidRPr="000D3D7F">
        <w:rPr>
          <w:szCs w:val="22"/>
          <w:lang w:val="sr-Latn-ME"/>
        </w:rPr>
        <w:t xml:space="preserve">grupe koja je primala </w:t>
      </w:r>
      <w:r w:rsidR="00B32611" w:rsidRPr="000D3D7F">
        <w:rPr>
          <w:szCs w:val="22"/>
          <w:lang w:val="sr-Latn-ME"/>
        </w:rPr>
        <w:t>bortezomib</w:t>
      </w:r>
      <w:r w:rsidRPr="000D3D7F">
        <w:rPr>
          <w:szCs w:val="22"/>
          <w:lang w:val="sr-Latn-ME"/>
        </w:rPr>
        <w:t xml:space="preserve"> u kombinaciji sa deksametazonom i talidomidom. Sekundarni parametri</w:t>
      </w:r>
      <w:r w:rsidR="004B33C6" w:rsidRPr="000D3D7F">
        <w:rPr>
          <w:szCs w:val="22"/>
          <w:lang w:val="sr-Latn-ME"/>
        </w:rPr>
        <w:t xml:space="preserve"> </w:t>
      </w:r>
      <w:r w:rsidRPr="000D3D7F">
        <w:rPr>
          <w:szCs w:val="22"/>
          <w:lang w:val="sr-Latn-ME"/>
        </w:rPr>
        <w:t>praćenja efikasnosti su uključivali vr</w:t>
      </w:r>
      <w:r w:rsidR="00FF1730" w:rsidRPr="000D3D7F">
        <w:rPr>
          <w:szCs w:val="22"/>
          <w:lang w:val="sr-Latn-ME"/>
        </w:rPr>
        <w:t>ij</w:t>
      </w:r>
      <w:r w:rsidRPr="000D3D7F">
        <w:rPr>
          <w:szCs w:val="22"/>
          <w:lang w:val="sr-Latn-ME"/>
        </w:rPr>
        <w:t>eme bez progresije i ukupno preživljavanje. Glavni rezultati efikasnosti</w:t>
      </w:r>
      <w:r w:rsidR="004B33C6" w:rsidRPr="000D3D7F">
        <w:rPr>
          <w:szCs w:val="22"/>
          <w:lang w:val="sr-Latn-ME"/>
        </w:rPr>
        <w:t xml:space="preserve"> </w:t>
      </w:r>
      <w:r w:rsidRPr="000D3D7F">
        <w:rPr>
          <w:szCs w:val="22"/>
          <w:lang w:val="sr-Latn-ME"/>
        </w:rPr>
        <w:t>su predstavljeni u tabeli 13.</w:t>
      </w:r>
    </w:p>
    <w:p w14:paraId="1A7C8D7B" w14:textId="77777777" w:rsidR="00B32611" w:rsidRPr="000D3D7F" w:rsidRDefault="00B32611" w:rsidP="001E1F5A">
      <w:pPr>
        <w:rPr>
          <w:szCs w:val="22"/>
          <w:lang w:val="sr-Latn-ME"/>
        </w:rPr>
      </w:pPr>
    </w:p>
    <w:p w14:paraId="0B07EBB3" w14:textId="451D9226" w:rsidR="009E39C5" w:rsidRPr="000D3D7F" w:rsidRDefault="009E39C5" w:rsidP="001E1F5A">
      <w:pPr>
        <w:rPr>
          <w:i/>
          <w:iCs/>
          <w:szCs w:val="22"/>
          <w:lang w:val="sr-Latn-ME"/>
        </w:rPr>
      </w:pPr>
      <w:r w:rsidRPr="000D3D7F">
        <w:rPr>
          <w:i/>
          <w:iCs/>
          <w:szCs w:val="22"/>
          <w:lang w:val="sr-Latn-ME"/>
        </w:rPr>
        <w:t>Tabela 13: Rezultati efikasnosti iz kliničkog ispitivanja MMY-3010</w:t>
      </w:r>
    </w:p>
    <w:tbl>
      <w:tblPr>
        <w:tblW w:w="0" w:type="auto"/>
        <w:tblInd w:w="112" w:type="dxa"/>
        <w:tblLayout w:type="fixed"/>
        <w:tblCellMar>
          <w:left w:w="0" w:type="dxa"/>
          <w:right w:w="0" w:type="dxa"/>
        </w:tblCellMar>
        <w:tblLook w:val="0000" w:firstRow="0" w:lastRow="0" w:firstColumn="0" w:lastColumn="0" w:noHBand="0" w:noVBand="0"/>
      </w:tblPr>
      <w:tblGrid>
        <w:gridCol w:w="2842"/>
        <w:gridCol w:w="1213"/>
        <w:gridCol w:w="631"/>
        <w:gridCol w:w="1844"/>
        <w:gridCol w:w="867"/>
        <w:gridCol w:w="728"/>
        <w:gridCol w:w="818"/>
      </w:tblGrid>
      <w:tr w:rsidR="009E39C5" w:rsidRPr="000D3D7F" w14:paraId="70FED62F" w14:textId="77777777">
        <w:trPr>
          <w:trHeight w:val="503"/>
        </w:trPr>
        <w:tc>
          <w:tcPr>
            <w:tcW w:w="2842" w:type="dxa"/>
            <w:tcBorders>
              <w:top w:val="single" w:sz="4" w:space="0" w:color="000000"/>
              <w:left w:val="single" w:sz="4" w:space="0" w:color="000000"/>
              <w:bottom w:val="single" w:sz="4" w:space="0" w:color="000000"/>
              <w:right w:val="single" w:sz="4" w:space="0" w:color="000000"/>
            </w:tcBorders>
          </w:tcPr>
          <w:p w14:paraId="6ABAAE42" w14:textId="77777777" w:rsidR="009E39C5" w:rsidRPr="000D3D7F" w:rsidRDefault="009E39C5" w:rsidP="001E1F5A">
            <w:pPr>
              <w:rPr>
                <w:b/>
                <w:bCs/>
                <w:lang w:val="sr-Latn-ME"/>
              </w:rPr>
            </w:pPr>
            <w:r w:rsidRPr="000D3D7F">
              <w:rPr>
                <w:b/>
                <w:bCs/>
                <w:szCs w:val="22"/>
                <w:lang w:val="sr-Latn-ME"/>
              </w:rPr>
              <w:t>Parametri praćenja</w:t>
            </w:r>
          </w:p>
        </w:tc>
        <w:tc>
          <w:tcPr>
            <w:tcW w:w="1844" w:type="dxa"/>
            <w:gridSpan w:val="2"/>
            <w:tcBorders>
              <w:top w:val="single" w:sz="4" w:space="0" w:color="000000"/>
              <w:left w:val="single" w:sz="4" w:space="0" w:color="000000"/>
              <w:bottom w:val="single" w:sz="4" w:space="0" w:color="000000"/>
              <w:right w:val="single" w:sz="4" w:space="0" w:color="000000"/>
            </w:tcBorders>
          </w:tcPr>
          <w:p w14:paraId="16BC171C" w14:textId="64280205" w:rsidR="009E39C5" w:rsidRPr="000D3D7F" w:rsidRDefault="003A5F11" w:rsidP="001E1F5A">
            <w:pPr>
              <w:rPr>
                <w:b/>
                <w:bCs/>
                <w:lang w:val="sr-Latn-ME"/>
              </w:rPr>
            </w:pPr>
            <w:r w:rsidRPr="000D3D7F">
              <w:rPr>
                <w:b/>
                <w:bCs/>
                <w:szCs w:val="22"/>
                <w:lang w:val="sr-Latn-ME"/>
              </w:rPr>
              <w:t>Bz</w:t>
            </w:r>
            <w:r w:rsidR="009E39C5" w:rsidRPr="000D3D7F">
              <w:rPr>
                <w:b/>
                <w:bCs/>
                <w:szCs w:val="22"/>
                <w:lang w:val="sr-Latn-ME"/>
              </w:rPr>
              <w:t>TDx</w:t>
            </w:r>
          </w:p>
        </w:tc>
        <w:tc>
          <w:tcPr>
            <w:tcW w:w="1844" w:type="dxa"/>
            <w:tcBorders>
              <w:top w:val="single" w:sz="4" w:space="0" w:color="000000"/>
              <w:left w:val="single" w:sz="4" w:space="0" w:color="000000"/>
              <w:bottom w:val="single" w:sz="4" w:space="0" w:color="000000"/>
              <w:right w:val="single" w:sz="4" w:space="0" w:color="000000"/>
            </w:tcBorders>
          </w:tcPr>
          <w:p w14:paraId="48CF4DAF" w14:textId="77777777" w:rsidR="009E39C5" w:rsidRPr="000D3D7F" w:rsidRDefault="009E39C5" w:rsidP="001E1F5A">
            <w:pPr>
              <w:rPr>
                <w:b/>
                <w:bCs/>
                <w:lang w:val="sr-Latn-ME"/>
              </w:rPr>
            </w:pPr>
            <w:r w:rsidRPr="000D3D7F">
              <w:rPr>
                <w:b/>
                <w:bCs/>
                <w:szCs w:val="22"/>
                <w:lang w:val="sr-Latn-ME"/>
              </w:rPr>
              <w:t>TDx</w:t>
            </w:r>
          </w:p>
        </w:tc>
        <w:tc>
          <w:tcPr>
            <w:tcW w:w="2413" w:type="dxa"/>
            <w:gridSpan w:val="3"/>
            <w:tcBorders>
              <w:top w:val="single" w:sz="4" w:space="0" w:color="000000"/>
              <w:left w:val="single" w:sz="4" w:space="0" w:color="000000"/>
              <w:bottom w:val="single" w:sz="4" w:space="0" w:color="000000"/>
              <w:right w:val="single" w:sz="4" w:space="0" w:color="000000"/>
            </w:tcBorders>
          </w:tcPr>
          <w:p w14:paraId="53E41B79" w14:textId="645459DB" w:rsidR="009E39C5" w:rsidRPr="000D3D7F" w:rsidRDefault="009E39C5" w:rsidP="001E1F5A">
            <w:pPr>
              <w:rPr>
                <w:b/>
                <w:bCs/>
                <w:vertAlign w:val="superscript"/>
                <w:lang w:val="sr-Latn-ME"/>
              </w:rPr>
            </w:pPr>
            <w:r w:rsidRPr="000D3D7F">
              <w:rPr>
                <w:b/>
                <w:bCs/>
                <w:szCs w:val="22"/>
                <w:lang w:val="sr-Latn-ME"/>
              </w:rPr>
              <w:t>Ukupan odgovor (OR); 95% CI; P vr</w:t>
            </w:r>
            <w:r w:rsidR="00FF1730" w:rsidRPr="000D3D7F">
              <w:rPr>
                <w:b/>
                <w:bCs/>
                <w:szCs w:val="22"/>
                <w:lang w:val="sr-Latn-ME"/>
              </w:rPr>
              <w:t>ij</w:t>
            </w:r>
            <w:r w:rsidRPr="000D3D7F">
              <w:rPr>
                <w:b/>
                <w:bCs/>
                <w:szCs w:val="22"/>
                <w:lang w:val="sr-Latn-ME"/>
              </w:rPr>
              <w:t>ednost</w:t>
            </w:r>
            <w:r w:rsidRPr="000D3D7F">
              <w:rPr>
                <w:b/>
                <w:bCs/>
                <w:szCs w:val="22"/>
                <w:vertAlign w:val="superscript"/>
                <w:lang w:val="sr-Latn-ME"/>
              </w:rPr>
              <w:t>a</w:t>
            </w:r>
          </w:p>
        </w:tc>
      </w:tr>
      <w:tr w:rsidR="009E39C5" w:rsidRPr="000D3D7F" w14:paraId="6AA97A93" w14:textId="77777777">
        <w:trPr>
          <w:trHeight w:val="508"/>
        </w:trPr>
        <w:tc>
          <w:tcPr>
            <w:tcW w:w="2842" w:type="dxa"/>
            <w:tcBorders>
              <w:top w:val="single" w:sz="4" w:space="0" w:color="000000"/>
              <w:left w:val="single" w:sz="4" w:space="0" w:color="000000"/>
              <w:bottom w:val="single" w:sz="4" w:space="0" w:color="000000"/>
              <w:right w:val="single" w:sz="4" w:space="0" w:color="000000"/>
            </w:tcBorders>
          </w:tcPr>
          <w:p w14:paraId="7B6BB21F" w14:textId="77777777" w:rsidR="009E39C5" w:rsidRPr="000D3D7F" w:rsidRDefault="009E39C5" w:rsidP="001E1F5A">
            <w:pPr>
              <w:rPr>
                <w:b/>
                <w:bCs/>
                <w:lang w:val="sr-Latn-ME"/>
              </w:rPr>
            </w:pPr>
            <w:r w:rsidRPr="000D3D7F">
              <w:rPr>
                <w:b/>
                <w:bCs/>
                <w:szCs w:val="22"/>
                <w:lang w:val="sr-Latn-ME"/>
              </w:rPr>
              <w:t>MMY-3010</w:t>
            </w:r>
          </w:p>
        </w:tc>
        <w:tc>
          <w:tcPr>
            <w:tcW w:w="1213" w:type="dxa"/>
            <w:tcBorders>
              <w:top w:val="single" w:sz="4" w:space="0" w:color="000000"/>
              <w:left w:val="single" w:sz="4" w:space="0" w:color="000000"/>
              <w:bottom w:val="single" w:sz="4" w:space="0" w:color="000000"/>
              <w:right w:val="none" w:sz="6" w:space="0" w:color="auto"/>
            </w:tcBorders>
          </w:tcPr>
          <w:p w14:paraId="6D9D4293" w14:textId="77777777" w:rsidR="009E39C5" w:rsidRPr="000D3D7F" w:rsidRDefault="009E39C5" w:rsidP="001E1F5A">
            <w:pPr>
              <w:rPr>
                <w:lang w:val="sr-Latn-ME"/>
              </w:rPr>
            </w:pPr>
            <w:r w:rsidRPr="000D3D7F">
              <w:rPr>
                <w:szCs w:val="22"/>
                <w:lang w:val="sr-Latn-ME"/>
              </w:rPr>
              <w:t>N=130</w:t>
            </w:r>
          </w:p>
          <w:p w14:paraId="450FF039" w14:textId="77777777" w:rsidR="009E39C5" w:rsidRPr="000D3D7F" w:rsidRDefault="009E39C5" w:rsidP="001E1F5A">
            <w:pPr>
              <w:rPr>
                <w:lang w:val="sr-Latn-ME"/>
              </w:rPr>
            </w:pPr>
            <w:r w:rsidRPr="000D3D7F">
              <w:rPr>
                <w:szCs w:val="22"/>
                <w:lang w:val="sr-Latn-ME"/>
              </w:rPr>
              <w:t>populacija)</w:t>
            </w:r>
          </w:p>
        </w:tc>
        <w:tc>
          <w:tcPr>
            <w:tcW w:w="631" w:type="dxa"/>
            <w:tcBorders>
              <w:top w:val="single" w:sz="4" w:space="0" w:color="000000"/>
              <w:left w:val="none" w:sz="6" w:space="0" w:color="auto"/>
              <w:bottom w:val="single" w:sz="4" w:space="0" w:color="000000"/>
              <w:right w:val="single" w:sz="4" w:space="0" w:color="000000"/>
            </w:tcBorders>
          </w:tcPr>
          <w:p w14:paraId="0F7F8710" w14:textId="77777777" w:rsidR="009E39C5" w:rsidRPr="000D3D7F" w:rsidRDefault="009E39C5" w:rsidP="001E1F5A">
            <w:pPr>
              <w:rPr>
                <w:lang w:val="sr-Latn-ME"/>
              </w:rPr>
            </w:pPr>
            <w:r w:rsidRPr="000D3D7F">
              <w:rPr>
                <w:szCs w:val="22"/>
                <w:lang w:val="sr-Latn-ME"/>
              </w:rPr>
              <w:t>(ITT</w:t>
            </w:r>
          </w:p>
        </w:tc>
        <w:tc>
          <w:tcPr>
            <w:tcW w:w="1844" w:type="dxa"/>
            <w:tcBorders>
              <w:top w:val="single" w:sz="4" w:space="0" w:color="000000"/>
              <w:left w:val="single" w:sz="4" w:space="0" w:color="000000"/>
              <w:bottom w:val="single" w:sz="4" w:space="0" w:color="000000"/>
              <w:right w:val="single" w:sz="4" w:space="0" w:color="000000"/>
            </w:tcBorders>
          </w:tcPr>
          <w:p w14:paraId="2A6D27D0" w14:textId="77777777" w:rsidR="009E39C5" w:rsidRPr="000D3D7F" w:rsidRDefault="009E39C5" w:rsidP="001E1F5A">
            <w:pPr>
              <w:rPr>
                <w:lang w:val="sr-Latn-ME"/>
              </w:rPr>
            </w:pPr>
            <w:r w:rsidRPr="000D3D7F">
              <w:rPr>
                <w:szCs w:val="22"/>
                <w:lang w:val="sr-Latn-ME"/>
              </w:rPr>
              <w:t>N=127(ITT</w:t>
            </w:r>
          </w:p>
          <w:p w14:paraId="389D167A" w14:textId="77777777" w:rsidR="009E39C5" w:rsidRPr="000D3D7F" w:rsidRDefault="009E39C5" w:rsidP="001E1F5A">
            <w:pPr>
              <w:rPr>
                <w:lang w:val="sr-Latn-ME"/>
              </w:rPr>
            </w:pPr>
            <w:r w:rsidRPr="000D3D7F">
              <w:rPr>
                <w:szCs w:val="22"/>
                <w:lang w:val="sr-Latn-ME"/>
              </w:rPr>
              <w:t>populacija)</w:t>
            </w:r>
          </w:p>
        </w:tc>
        <w:tc>
          <w:tcPr>
            <w:tcW w:w="2413" w:type="dxa"/>
            <w:gridSpan w:val="3"/>
            <w:tcBorders>
              <w:top w:val="single" w:sz="4" w:space="0" w:color="000000"/>
              <w:left w:val="single" w:sz="4" w:space="0" w:color="000000"/>
              <w:bottom w:val="single" w:sz="4" w:space="0" w:color="000000"/>
              <w:right w:val="single" w:sz="4" w:space="0" w:color="000000"/>
            </w:tcBorders>
          </w:tcPr>
          <w:p w14:paraId="7D741DD5" w14:textId="77777777" w:rsidR="009E39C5" w:rsidRPr="000D3D7F" w:rsidRDefault="009E39C5" w:rsidP="001E1F5A">
            <w:pPr>
              <w:rPr>
                <w:lang w:val="sr-Latn-ME"/>
              </w:rPr>
            </w:pPr>
          </w:p>
        </w:tc>
      </w:tr>
      <w:tr w:rsidR="009E39C5" w:rsidRPr="000D3D7F" w14:paraId="770BBF25" w14:textId="77777777">
        <w:trPr>
          <w:trHeight w:val="249"/>
        </w:trPr>
        <w:tc>
          <w:tcPr>
            <w:tcW w:w="2842" w:type="dxa"/>
            <w:tcBorders>
              <w:top w:val="single" w:sz="4" w:space="0" w:color="000000"/>
              <w:left w:val="single" w:sz="4" w:space="0" w:color="000000"/>
              <w:bottom w:val="none" w:sz="6" w:space="0" w:color="auto"/>
              <w:right w:val="single" w:sz="4" w:space="0" w:color="000000"/>
            </w:tcBorders>
          </w:tcPr>
          <w:p w14:paraId="02D03F89" w14:textId="77777777" w:rsidR="009E39C5" w:rsidRPr="000D3D7F" w:rsidRDefault="009E39C5" w:rsidP="001E1F5A">
            <w:pPr>
              <w:rPr>
                <w:b/>
                <w:bCs/>
                <w:lang w:val="sr-Latn-ME"/>
              </w:rPr>
            </w:pPr>
            <w:r w:rsidRPr="000D3D7F">
              <w:rPr>
                <w:b/>
                <w:bCs/>
                <w:szCs w:val="22"/>
                <w:lang w:val="sr-Latn-ME"/>
              </w:rPr>
              <w:t>*Stepen odgovora(RR)</w:t>
            </w:r>
          </w:p>
        </w:tc>
        <w:tc>
          <w:tcPr>
            <w:tcW w:w="1844" w:type="dxa"/>
            <w:gridSpan w:val="2"/>
            <w:tcBorders>
              <w:top w:val="single" w:sz="4" w:space="0" w:color="000000"/>
              <w:left w:val="single" w:sz="4" w:space="0" w:color="000000"/>
              <w:bottom w:val="none" w:sz="6" w:space="0" w:color="auto"/>
              <w:right w:val="single" w:sz="4" w:space="0" w:color="000000"/>
            </w:tcBorders>
          </w:tcPr>
          <w:p w14:paraId="0A220DFD" w14:textId="77777777" w:rsidR="009E39C5" w:rsidRPr="000D3D7F" w:rsidRDefault="009E39C5" w:rsidP="001E1F5A">
            <w:pPr>
              <w:rPr>
                <w:lang w:val="sr-Latn-ME"/>
              </w:rPr>
            </w:pPr>
          </w:p>
        </w:tc>
        <w:tc>
          <w:tcPr>
            <w:tcW w:w="1844" w:type="dxa"/>
            <w:tcBorders>
              <w:top w:val="single" w:sz="4" w:space="0" w:color="000000"/>
              <w:left w:val="single" w:sz="4" w:space="0" w:color="000000"/>
              <w:bottom w:val="none" w:sz="6" w:space="0" w:color="auto"/>
              <w:right w:val="single" w:sz="4" w:space="0" w:color="000000"/>
            </w:tcBorders>
          </w:tcPr>
          <w:p w14:paraId="577F64A0" w14:textId="77777777" w:rsidR="009E39C5" w:rsidRPr="000D3D7F" w:rsidRDefault="009E39C5" w:rsidP="001E1F5A">
            <w:pPr>
              <w:rPr>
                <w:lang w:val="sr-Latn-ME"/>
              </w:rPr>
            </w:pPr>
          </w:p>
        </w:tc>
        <w:tc>
          <w:tcPr>
            <w:tcW w:w="867" w:type="dxa"/>
            <w:tcBorders>
              <w:top w:val="single" w:sz="4" w:space="0" w:color="000000"/>
              <w:left w:val="single" w:sz="4" w:space="0" w:color="000000"/>
              <w:bottom w:val="none" w:sz="6" w:space="0" w:color="auto"/>
              <w:right w:val="none" w:sz="6" w:space="0" w:color="auto"/>
            </w:tcBorders>
          </w:tcPr>
          <w:p w14:paraId="4D44240F" w14:textId="77777777" w:rsidR="009E39C5" w:rsidRPr="000D3D7F" w:rsidRDefault="009E39C5" w:rsidP="001E1F5A">
            <w:pPr>
              <w:rPr>
                <w:lang w:val="sr-Latn-ME"/>
              </w:rPr>
            </w:pPr>
          </w:p>
        </w:tc>
        <w:tc>
          <w:tcPr>
            <w:tcW w:w="728" w:type="dxa"/>
            <w:tcBorders>
              <w:top w:val="single" w:sz="4" w:space="0" w:color="000000"/>
              <w:left w:val="none" w:sz="6" w:space="0" w:color="auto"/>
              <w:bottom w:val="none" w:sz="6" w:space="0" w:color="auto"/>
              <w:right w:val="none" w:sz="6" w:space="0" w:color="auto"/>
            </w:tcBorders>
          </w:tcPr>
          <w:p w14:paraId="4A282B1D" w14:textId="77777777" w:rsidR="009E39C5" w:rsidRPr="000D3D7F" w:rsidRDefault="009E39C5" w:rsidP="001E1F5A">
            <w:pPr>
              <w:rPr>
                <w:lang w:val="sr-Latn-ME"/>
              </w:rPr>
            </w:pPr>
          </w:p>
        </w:tc>
        <w:tc>
          <w:tcPr>
            <w:tcW w:w="818" w:type="dxa"/>
            <w:tcBorders>
              <w:top w:val="single" w:sz="4" w:space="0" w:color="000000"/>
              <w:left w:val="none" w:sz="6" w:space="0" w:color="auto"/>
              <w:bottom w:val="none" w:sz="6" w:space="0" w:color="auto"/>
              <w:right w:val="single" w:sz="4" w:space="0" w:color="000000"/>
            </w:tcBorders>
          </w:tcPr>
          <w:p w14:paraId="020AE54F" w14:textId="77777777" w:rsidR="009E39C5" w:rsidRPr="000D3D7F" w:rsidRDefault="009E39C5" w:rsidP="001E1F5A">
            <w:pPr>
              <w:rPr>
                <w:lang w:val="sr-Latn-ME"/>
              </w:rPr>
            </w:pPr>
          </w:p>
        </w:tc>
      </w:tr>
      <w:tr w:rsidR="009E39C5" w:rsidRPr="000D3D7F" w14:paraId="650A744C" w14:textId="77777777">
        <w:trPr>
          <w:trHeight w:val="249"/>
        </w:trPr>
        <w:tc>
          <w:tcPr>
            <w:tcW w:w="2842" w:type="dxa"/>
            <w:tcBorders>
              <w:top w:val="none" w:sz="6" w:space="0" w:color="auto"/>
              <w:left w:val="single" w:sz="4" w:space="0" w:color="000000"/>
              <w:bottom w:val="none" w:sz="6" w:space="0" w:color="auto"/>
              <w:right w:val="single" w:sz="4" w:space="0" w:color="000000"/>
            </w:tcBorders>
          </w:tcPr>
          <w:p w14:paraId="18B0D82C" w14:textId="77777777" w:rsidR="009E39C5" w:rsidRPr="000D3D7F" w:rsidRDefault="009E39C5" w:rsidP="001E1F5A">
            <w:pPr>
              <w:rPr>
                <w:i/>
                <w:iCs/>
                <w:lang w:val="sr-Latn-ME"/>
              </w:rPr>
            </w:pPr>
            <w:r w:rsidRPr="000D3D7F">
              <w:rPr>
                <w:i/>
                <w:iCs/>
                <w:szCs w:val="22"/>
                <w:lang w:val="sr-Latn-ME"/>
              </w:rPr>
              <w:t>(nakon indukcije)</w:t>
            </w:r>
          </w:p>
        </w:tc>
        <w:tc>
          <w:tcPr>
            <w:tcW w:w="1844" w:type="dxa"/>
            <w:gridSpan w:val="2"/>
            <w:tcBorders>
              <w:top w:val="none" w:sz="6" w:space="0" w:color="auto"/>
              <w:left w:val="single" w:sz="4" w:space="0" w:color="000000"/>
              <w:bottom w:val="none" w:sz="6" w:space="0" w:color="auto"/>
              <w:right w:val="single" w:sz="4" w:space="0" w:color="000000"/>
            </w:tcBorders>
          </w:tcPr>
          <w:p w14:paraId="5361BF6A" w14:textId="77777777" w:rsidR="009E39C5" w:rsidRPr="000D3D7F" w:rsidRDefault="009E39C5" w:rsidP="001E1F5A">
            <w:pPr>
              <w:rPr>
                <w:lang w:val="sr-Latn-ME"/>
              </w:rPr>
            </w:pPr>
            <w:r w:rsidRPr="000D3D7F">
              <w:rPr>
                <w:szCs w:val="22"/>
                <w:lang w:val="sr-Latn-ME"/>
              </w:rPr>
              <w:t>492 (40,4; 58,1)</w:t>
            </w:r>
          </w:p>
        </w:tc>
        <w:tc>
          <w:tcPr>
            <w:tcW w:w="1844" w:type="dxa"/>
            <w:tcBorders>
              <w:top w:val="none" w:sz="6" w:space="0" w:color="auto"/>
              <w:left w:val="single" w:sz="4" w:space="0" w:color="000000"/>
              <w:bottom w:val="none" w:sz="6" w:space="0" w:color="auto"/>
              <w:right w:val="single" w:sz="4" w:space="0" w:color="000000"/>
            </w:tcBorders>
          </w:tcPr>
          <w:p w14:paraId="67F91E85" w14:textId="77777777" w:rsidR="009E39C5" w:rsidRPr="000D3D7F" w:rsidRDefault="009E39C5" w:rsidP="001E1F5A">
            <w:pPr>
              <w:rPr>
                <w:lang w:val="sr-Latn-ME"/>
              </w:rPr>
            </w:pPr>
            <w:r w:rsidRPr="000D3D7F">
              <w:rPr>
                <w:szCs w:val="22"/>
                <w:lang w:val="sr-Latn-ME"/>
              </w:rPr>
              <w:t>17,3 (11,2; 25,0)</w:t>
            </w:r>
          </w:p>
        </w:tc>
        <w:tc>
          <w:tcPr>
            <w:tcW w:w="867" w:type="dxa"/>
            <w:tcBorders>
              <w:top w:val="none" w:sz="6" w:space="0" w:color="auto"/>
              <w:left w:val="single" w:sz="4" w:space="0" w:color="000000"/>
              <w:bottom w:val="none" w:sz="6" w:space="0" w:color="auto"/>
              <w:right w:val="none" w:sz="6" w:space="0" w:color="auto"/>
            </w:tcBorders>
          </w:tcPr>
          <w:p w14:paraId="5B14CC6D" w14:textId="77777777" w:rsidR="009E39C5" w:rsidRPr="000D3D7F" w:rsidRDefault="009E39C5" w:rsidP="001E1F5A">
            <w:pPr>
              <w:rPr>
                <w:lang w:val="sr-Latn-ME"/>
              </w:rPr>
            </w:pPr>
            <w:r w:rsidRPr="000D3D7F">
              <w:rPr>
                <w:szCs w:val="22"/>
                <w:lang w:val="sr-Latn-ME"/>
              </w:rPr>
              <w:t>4,63</w:t>
            </w:r>
          </w:p>
        </w:tc>
        <w:tc>
          <w:tcPr>
            <w:tcW w:w="728" w:type="dxa"/>
            <w:tcBorders>
              <w:top w:val="none" w:sz="6" w:space="0" w:color="auto"/>
              <w:left w:val="none" w:sz="6" w:space="0" w:color="auto"/>
              <w:bottom w:val="none" w:sz="6" w:space="0" w:color="auto"/>
              <w:right w:val="none" w:sz="6" w:space="0" w:color="auto"/>
            </w:tcBorders>
          </w:tcPr>
          <w:p w14:paraId="47F351F5" w14:textId="77777777" w:rsidR="009E39C5" w:rsidRPr="000D3D7F" w:rsidRDefault="009E39C5" w:rsidP="001E1F5A">
            <w:pPr>
              <w:rPr>
                <w:lang w:val="sr-Latn-ME"/>
              </w:rPr>
            </w:pPr>
            <w:r w:rsidRPr="000D3D7F">
              <w:rPr>
                <w:szCs w:val="22"/>
                <w:lang w:val="sr-Latn-ME"/>
              </w:rPr>
              <w:t>(2,61;</w:t>
            </w:r>
          </w:p>
        </w:tc>
        <w:tc>
          <w:tcPr>
            <w:tcW w:w="818" w:type="dxa"/>
            <w:tcBorders>
              <w:top w:val="none" w:sz="6" w:space="0" w:color="auto"/>
              <w:left w:val="none" w:sz="6" w:space="0" w:color="auto"/>
              <w:bottom w:val="none" w:sz="6" w:space="0" w:color="auto"/>
              <w:right w:val="single" w:sz="4" w:space="0" w:color="000000"/>
            </w:tcBorders>
          </w:tcPr>
          <w:p w14:paraId="5C9BEE1B" w14:textId="77777777" w:rsidR="009E39C5" w:rsidRPr="000D3D7F" w:rsidRDefault="009E39C5" w:rsidP="001E1F5A">
            <w:pPr>
              <w:rPr>
                <w:lang w:val="sr-Latn-ME"/>
              </w:rPr>
            </w:pPr>
            <w:r w:rsidRPr="000D3D7F">
              <w:rPr>
                <w:szCs w:val="22"/>
                <w:lang w:val="sr-Latn-ME"/>
              </w:rPr>
              <w:t>8,22);</w:t>
            </w:r>
          </w:p>
        </w:tc>
      </w:tr>
      <w:tr w:rsidR="009E39C5" w:rsidRPr="000D3D7F" w14:paraId="363727E0" w14:textId="77777777">
        <w:trPr>
          <w:trHeight w:val="254"/>
        </w:trPr>
        <w:tc>
          <w:tcPr>
            <w:tcW w:w="2842" w:type="dxa"/>
            <w:tcBorders>
              <w:top w:val="none" w:sz="6" w:space="0" w:color="auto"/>
              <w:left w:val="single" w:sz="4" w:space="0" w:color="000000"/>
              <w:bottom w:val="none" w:sz="6" w:space="0" w:color="auto"/>
              <w:right w:val="single" w:sz="4" w:space="0" w:color="000000"/>
            </w:tcBorders>
          </w:tcPr>
          <w:p w14:paraId="5D1C766D" w14:textId="77777777" w:rsidR="009E39C5" w:rsidRPr="000D3D7F" w:rsidRDefault="009E39C5" w:rsidP="001E1F5A">
            <w:pPr>
              <w:rPr>
                <w:lang w:val="sr-Latn-ME"/>
              </w:rPr>
            </w:pPr>
            <w:r w:rsidRPr="000D3D7F">
              <w:rPr>
                <w:szCs w:val="22"/>
                <w:lang w:val="sr-Latn-ME"/>
              </w:rPr>
              <w:t>CR+nCR</w:t>
            </w:r>
          </w:p>
        </w:tc>
        <w:tc>
          <w:tcPr>
            <w:tcW w:w="1844" w:type="dxa"/>
            <w:gridSpan w:val="2"/>
            <w:tcBorders>
              <w:top w:val="none" w:sz="6" w:space="0" w:color="auto"/>
              <w:left w:val="single" w:sz="4" w:space="0" w:color="000000"/>
              <w:bottom w:val="none" w:sz="6" w:space="0" w:color="auto"/>
              <w:right w:val="single" w:sz="4" w:space="0" w:color="000000"/>
            </w:tcBorders>
          </w:tcPr>
          <w:p w14:paraId="27F8263D" w14:textId="77777777" w:rsidR="009E39C5" w:rsidRPr="000D3D7F" w:rsidRDefault="009E39C5" w:rsidP="001E1F5A">
            <w:pPr>
              <w:rPr>
                <w:lang w:val="sr-Latn-ME"/>
              </w:rPr>
            </w:pPr>
            <w:r w:rsidRPr="000D3D7F">
              <w:rPr>
                <w:szCs w:val="22"/>
                <w:lang w:val="sr-Latn-ME"/>
              </w:rPr>
              <w:t>84,6 (77,2; 90,3)</w:t>
            </w:r>
          </w:p>
        </w:tc>
        <w:tc>
          <w:tcPr>
            <w:tcW w:w="1844" w:type="dxa"/>
            <w:tcBorders>
              <w:top w:val="none" w:sz="6" w:space="0" w:color="auto"/>
              <w:left w:val="single" w:sz="4" w:space="0" w:color="000000"/>
              <w:bottom w:val="none" w:sz="6" w:space="0" w:color="auto"/>
              <w:right w:val="single" w:sz="4" w:space="0" w:color="000000"/>
            </w:tcBorders>
          </w:tcPr>
          <w:p w14:paraId="75DFC88D" w14:textId="77777777" w:rsidR="009E39C5" w:rsidRPr="000D3D7F" w:rsidRDefault="009E39C5" w:rsidP="001E1F5A">
            <w:pPr>
              <w:rPr>
                <w:lang w:val="sr-Latn-ME"/>
              </w:rPr>
            </w:pPr>
            <w:r w:rsidRPr="000D3D7F">
              <w:rPr>
                <w:szCs w:val="22"/>
                <w:lang w:val="sr-Latn-ME"/>
              </w:rPr>
              <w:t>61,4 (52,4; 69,9)</w:t>
            </w:r>
          </w:p>
        </w:tc>
        <w:tc>
          <w:tcPr>
            <w:tcW w:w="867" w:type="dxa"/>
            <w:tcBorders>
              <w:top w:val="none" w:sz="6" w:space="0" w:color="auto"/>
              <w:left w:val="single" w:sz="4" w:space="0" w:color="000000"/>
              <w:bottom w:val="none" w:sz="6" w:space="0" w:color="auto"/>
              <w:right w:val="none" w:sz="6" w:space="0" w:color="auto"/>
            </w:tcBorders>
          </w:tcPr>
          <w:p w14:paraId="251DB39F" w14:textId="77777777" w:rsidR="009E39C5" w:rsidRPr="000D3D7F" w:rsidRDefault="009E39C5" w:rsidP="001E1F5A">
            <w:pPr>
              <w:rPr>
                <w:vertAlign w:val="superscript"/>
                <w:lang w:val="sr-Latn-ME"/>
              </w:rPr>
            </w:pPr>
            <w:r w:rsidRPr="000D3D7F">
              <w:rPr>
                <w:szCs w:val="22"/>
                <w:lang w:val="sr-Latn-ME"/>
              </w:rPr>
              <w:t>&lt; 0,001</w:t>
            </w:r>
            <w:r w:rsidRPr="000D3D7F">
              <w:rPr>
                <w:szCs w:val="22"/>
                <w:vertAlign w:val="superscript"/>
                <w:lang w:val="sr-Latn-ME"/>
              </w:rPr>
              <w:t>a</w:t>
            </w:r>
          </w:p>
        </w:tc>
        <w:tc>
          <w:tcPr>
            <w:tcW w:w="728" w:type="dxa"/>
            <w:tcBorders>
              <w:top w:val="none" w:sz="6" w:space="0" w:color="auto"/>
              <w:left w:val="none" w:sz="6" w:space="0" w:color="auto"/>
              <w:bottom w:val="none" w:sz="6" w:space="0" w:color="auto"/>
              <w:right w:val="none" w:sz="6" w:space="0" w:color="auto"/>
            </w:tcBorders>
          </w:tcPr>
          <w:p w14:paraId="7F80B1E6" w14:textId="77777777" w:rsidR="009E39C5" w:rsidRPr="000D3D7F" w:rsidRDefault="009E39C5" w:rsidP="001E1F5A">
            <w:pPr>
              <w:rPr>
                <w:lang w:val="sr-Latn-ME"/>
              </w:rPr>
            </w:pPr>
          </w:p>
        </w:tc>
        <w:tc>
          <w:tcPr>
            <w:tcW w:w="818" w:type="dxa"/>
            <w:tcBorders>
              <w:top w:val="none" w:sz="6" w:space="0" w:color="auto"/>
              <w:left w:val="none" w:sz="6" w:space="0" w:color="auto"/>
              <w:bottom w:val="none" w:sz="6" w:space="0" w:color="auto"/>
              <w:right w:val="single" w:sz="4" w:space="0" w:color="000000"/>
            </w:tcBorders>
          </w:tcPr>
          <w:p w14:paraId="0735CE47" w14:textId="77777777" w:rsidR="009E39C5" w:rsidRPr="000D3D7F" w:rsidRDefault="009E39C5" w:rsidP="001E1F5A">
            <w:pPr>
              <w:rPr>
                <w:lang w:val="sr-Latn-ME"/>
              </w:rPr>
            </w:pPr>
          </w:p>
        </w:tc>
      </w:tr>
      <w:tr w:rsidR="009E39C5" w:rsidRPr="000D3D7F" w14:paraId="6D2A43EA" w14:textId="77777777">
        <w:trPr>
          <w:trHeight w:val="254"/>
        </w:trPr>
        <w:tc>
          <w:tcPr>
            <w:tcW w:w="2842" w:type="dxa"/>
            <w:tcBorders>
              <w:top w:val="none" w:sz="6" w:space="0" w:color="auto"/>
              <w:left w:val="single" w:sz="4" w:space="0" w:color="000000"/>
              <w:bottom w:val="none" w:sz="6" w:space="0" w:color="auto"/>
              <w:right w:val="single" w:sz="4" w:space="0" w:color="000000"/>
            </w:tcBorders>
          </w:tcPr>
          <w:p w14:paraId="7D018B0C" w14:textId="77777777" w:rsidR="009E39C5" w:rsidRPr="000D3D7F" w:rsidRDefault="009E39C5" w:rsidP="001E1F5A">
            <w:pPr>
              <w:rPr>
                <w:lang w:val="sr-Latn-ME"/>
              </w:rPr>
            </w:pPr>
            <w:r w:rsidRPr="000D3D7F">
              <w:rPr>
                <w:szCs w:val="22"/>
                <w:lang w:val="sr-Latn-ME"/>
              </w:rPr>
              <w:lastRenderedPageBreak/>
              <w:t>CR+nCR+PR % (95% CI)</w:t>
            </w:r>
          </w:p>
        </w:tc>
        <w:tc>
          <w:tcPr>
            <w:tcW w:w="1844" w:type="dxa"/>
            <w:gridSpan w:val="2"/>
            <w:tcBorders>
              <w:top w:val="none" w:sz="6" w:space="0" w:color="auto"/>
              <w:left w:val="single" w:sz="4" w:space="0" w:color="000000"/>
              <w:bottom w:val="none" w:sz="6" w:space="0" w:color="auto"/>
              <w:right w:val="single" w:sz="4" w:space="0" w:color="000000"/>
            </w:tcBorders>
          </w:tcPr>
          <w:p w14:paraId="3F4040EC" w14:textId="77777777" w:rsidR="009E39C5" w:rsidRPr="000D3D7F" w:rsidRDefault="009E39C5" w:rsidP="001E1F5A">
            <w:pPr>
              <w:rPr>
                <w:lang w:val="sr-Latn-ME"/>
              </w:rPr>
            </w:pPr>
          </w:p>
        </w:tc>
        <w:tc>
          <w:tcPr>
            <w:tcW w:w="1844" w:type="dxa"/>
            <w:tcBorders>
              <w:top w:val="none" w:sz="6" w:space="0" w:color="auto"/>
              <w:left w:val="single" w:sz="4" w:space="0" w:color="000000"/>
              <w:bottom w:val="none" w:sz="6" w:space="0" w:color="auto"/>
              <w:right w:val="single" w:sz="4" w:space="0" w:color="000000"/>
            </w:tcBorders>
          </w:tcPr>
          <w:p w14:paraId="1F07776D" w14:textId="77777777" w:rsidR="009E39C5" w:rsidRPr="000D3D7F" w:rsidRDefault="009E39C5" w:rsidP="001E1F5A">
            <w:pPr>
              <w:rPr>
                <w:lang w:val="sr-Latn-ME"/>
              </w:rPr>
            </w:pPr>
          </w:p>
        </w:tc>
        <w:tc>
          <w:tcPr>
            <w:tcW w:w="867" w:type="dxa"/>
            <w:tcBorders>
              <w:top w:val="none" w:sz="6" w:space="0" w:color="auto"/>
              <w:left w:val="single" w:sz="4" w:space="0" w:color="000000"/>
              <w:bottom w:val="none" w:sz="6" w:space="0" w:color="auto"/>
              <w:right w:val="none" w:sz="6" w:space="0" w:color="auto"/>
            </w:tcBorders>
          </w:tcPr>
          <w:p w14:paraId="7C7D5454" w14:textId="77777777" w:rsidR="009E39C5" w:rsidRPr="000D3D7F" w:rsidRDefault="009E39C5" w:rsidP="001E1F5A">
            <w:pPr>
              <w:rPr>
                <w:lang w:val="sr-Latn-ME"/>
              </w:rPr>
            </w:pPr>
            <w:r w:rsidRPr="000D3D7F">
              <w:rPr>
                <w:szCs w:val="22"/>
                <w:lang w:val="sr-Latn-ME"/>
              </w:rPr>
              <w:t>3,46</w:t>
            </w:r>
          </w:p>
        </w:tc>
        <w:tc>
          <w:tcPr>
            <w:tcW w:w="728" w:type="dxa"/>
            <w:tcBorders>
              <w:top w:val="none" w:sz="6" w:space="0" w:color="auto"/>
              <w:left w:val="none" w:sz="6" w:space="0" w:color="auto"/>
              <w:bottom w:val="none" w:sz="6" w:space="0" w:color="auto"/>
              <w:right w:val="none" w:sz="6" w:space="0" w:color="auto"/>
            </w:tcBorders>
          </w:tcPr>
          <w:p w14:paraId="6F192282" w14:textId="77777777" w:rsidR="009E39C5" w:rsidRPr="000D3D7F" w:rsidRDefault="009E39C5" w:rsidP="001E1F5A">
            <w:pPr>
              <w:rPr>
                <w:lang w:val="sr-Latn-ME"/>
              </w:rPr>
            </w:pPr>
            <w:r w:rsidRPr="000D3D7F">
              <w:rPr>
                <w:szCs w:val="22"/>
                <w:lang w:val="sr-Latn-ME"/>
              </w:rPr>
              <w:t>(1,90;</w:t>
            </w:r>
          </w:p>
        </w:tc>
        <w:tc>
          <w:tcPr>
            <w:tcW w:w="818" w:type="dxa"/>
            <w:tcBorders>
              <w:top w:val="none" w:sz="6" w:space="0" w:color="auto"/>
              <w:left w:val="none" w:sz="6" w:space="0" w:color="auto"/>
              <w:bottom w:val="none" w:sz="6" w:space="0" w:color="auto"/>
              <w:right w:val="single" w:sz="4" w:space="0" w:color="000000"/>
            </w:tcBorders>
          </w:tcPr>
          <w:p w14:paraId="324DC924" w14:textId="77777777" w:rsidR="009E39C5" w:rsidRPr="000D3D7F" w:rsidRDefault="009E39C5" w:rsidP="001E1F5A">
            <w:pPr>
              <w:rPr>
                <w:lang w:val="sr-Latn-ME"/>
              </w:rPr>
            </w:pPr>
            <w:r w:rsidRPr="000D3D7F">
              <w:rPr>
                <w:szCs w:val="22"/>
                <w:lang w:val="sr-Latn-ME"/>
              </w:rPr>
              <w:t>6,27);</w:t>
            </w:r>
          </w:p>
        </w:tc>
      </w:tr>
      <w:tr w:rsidR="009E39C5" w:rsidRPr="000D3D7F" w14:paraId="70F03462" w14:textId="77777777">
        <w:trPr>
          <w:trHeight w:val="254"/>
        </w:trPr>
        <w:tc>
          <w:tcPr>
            <w:tcW w:w="2842" w:type="dxa"/>
            <w:tcBorders>
              <w:top w:val="none" w:sz="6" w:space="0" w:color="auto"/>
              <w:left w:val="single" w:sz="4" w:space="0" w:color="000000"/>
              <w:bottom w:val="single" w:sz="4" w:space="0" w:color="000000"/>
              <w:right w:val="single" w:sz="4" w:space="0" w:color="000000"/>
            </w:tcBorders>
          </w:tcPr>
          <w:p w14:paraId="097C600C" w14:textId="77777777" w:rsidR="009E39C5" w:rsidRPr="000D3D7F" w:rsidRDefault="009E39C5" w:rsidP="001E1F5A">
            <w:pPr>
              <w:rPr>
                <w:lang w:val="sr-Latn-ME"/>
              </w:rPr>
            </w:pPr>
          </w:p>
        </w:tc>
        <w:tc>
          <w:tcPr>
            <w:tcW w:w="1844" w:type="dxa"/>
            <w:gridSpan w:val="2"/>
            <w:tcBorders>
              <w:top w:val="none" w:sz="6" w:space="0" w:color="auto"/>
              <w:left w:val="single" w:sz="4" w:space="0" w:color="000000"/>
              <w:bottom w:val="single" w:sz="4" w:space="0" w:color="000000"/>
              <w:right w:val="single" w:sz="4" w:space="0" w:color="000000"/>
            </w:tcBorders>
          </w:tcPr>
          <w:p w14:paraId="037D5F8A" w14:textId="77777777" w:rsidR="009E39C5" w:rsidRPr="000D3D7F" w:rsidRDefault="009E39C5" w:rsidP="001E1F5A">
            <w:pPr>
              <w:rPr>
                <w:lang w:val="sr-Latn-ME"/>
              </w:rPr>
            </w:pPr>
          </w:p>
        </w:tc>
        <w:tc>
          <w:tcPr>
            <w:tcW w:w="1844" w:type="dxa"/>
            <w:tcBorders>
              <w:top w:val="none" w:sz="6" w:space="0" w:color="auto"/>
              <w:left w:val="single" w:sz="4" w:space="0" w:color="000000"/>
              <w:bottom w:val="single" w:sz="4" w:space="0" w:color="000000"/>
              <w:right w:val="single" w:sz="4" w:space="0" w:color="000000"/>
            </w:tcBorders>
          </w:tcPr>
          <w:p w14:paraId="7BC6E6EE" w14:textId="77777777" w:rsidR="009E39C5" w:rsidRPr="000D3D7F" w:rsidRDefault="009E39C5" w:rsidP="001E1F5A">
            <w:pPr>
              <w:rPr>
                <w:lang w:val="sr-Latn-ME"/>
              </w:rPr>
            </w:pPr>
          </w:p>
        </w:tc>
        <w:tc>
          <w:tcPr>
            <w:tcW w:w="867" w:type="dxa"/>
            <w:tcBorders>
              <w:top w:val="none" w:sz="6" w:space="0" w:color="auto"/>
              <w:left w:val="single" w:sz="4" w:space="0" w:color="000000"/>
              <w:bottom w:val="single" w:sz="4" w:space="0" w:color="000000"/>
              <w:right w:val="none" w:sz="6" w:space="0" w:color="auto"/>
            </w:tcBorders>
          </w:tcPr>
          <w:p w14:paraId="18962256" w14:textId="77777777" w:rsidR="009E39C5" w:rsidRPr="000D3D7F" w:rsidRDefault="009E39C5" w:rsidP="001E1F5A">
            <w:pPr>
              <w:rPr>
                <w:vertAlign w:val="superscript"/>
                <w:lang w:val="sr-Latn-ME"/>
              </w:rPr>
            </w:pPr>
            <w:r w:rsidRPr="000D3D7F">
              <w:rPr>
                <w:szCs w:val="22"/>
                <w:lang w:val="sr-Latn-ME"/>
              </w:rPr>
              <w:t>&lt; 0,001</w:t>
            </w:r>
            <w:r w:rsidRPr="000D3D7F">
              <w:rPr>
                <w:szCs w:val="22"/>
                <w:vertAlign w:val="superscript"/>
                <w:lang w:val="sr-Latn-ME"/>
              </w:rPr>
              <w:t>a</w:t>
            </w:r>
          </w:p>
        </w:tc>
        <w:tc>
          <w:tcPr>
            <w:tcW w:w="728" w:type="dxa"/>
            <w:tcBorders>
              <w:top w:val="none" w:sz="6" w:space="0" w:color="auto"/>
              <w:left w:val="none" w:sz="6" w:space="0" w:color="auto"/>
              <w:bottom w:val="single" w:sz="4" w:space="0" w:color="000000"/>
              <w:right w:val="none" w:sz="6" w:space="0" w:color="auto"/>
            </w:tcBorders>
          </w:tcPr>
          <w:p w14:paraId="52B00A0B" w14:textId="77777777" w:rsidR="009E39C5" w:rsidRPr="000D3D7F" w:rsidRDefault="009E39C5" w:rsidP="001E1F5A">
            <w:pPr>
              <w:rPr>
                <w:lang w:val="sr-Latn-ME"/>
              </w:rPr>
            </w:pPr>
          </w:p>
        </w:tc>
        <w:tc>
          <w:tcPr>
            <w:tcW w:w="818" w:type="dxa"/>
            <w:tcBorders>
              <w:top w:val="none" w:sz="6" w:space="0" w:color="auto"/>
              <w:left w:val="none" w:sz="6" w:space="0" w:color="auto"/>
              <w:bottom w:val="single" w:sz="4" w:space="0" w:color="000000"/>
              <w:right w:val="single" w:sz="4" w:space="0" w:color="000000"/>
            </w:tcBorders>
          </w:tcPr>
          <w:p w14:paraId="467E28CE" w14:textId="77777777" w:rsidR="009E39C5" w:rsidRPr="000D3D7F" w:rsidRDefault="009E39C5" w:rsidP="001E1F5A">
            <w:pPr>
              <w:rPr>
                <w:lang w:val="sr-Latn-ME"/>
              </w:rPr>
            </w:pPr>
          </w:p>
        </w:tc>
      </w:tr>
      <w:tr w:rsidR="009E39C5" w:rsidRPr="000D3D7F" w14:paraId="5891D883" w14:textId="77777777">
        <w:trPr>
          <w:trHeight w:val="1012"/>
        </w:trPr>
        <w:tc>
          <w:tcPr>
            <w:tcW w:w="2842" w:type="dxa"/>
            <w:tcBorders>
              <w:top w:val="single" w:sz="4" w:space="0" w:color="000000"/>
              <w:left w:val="single" w:sz="4" w:space="0" w:color="000000"/>
              <w:bottom w:val="single" w:sz="4" w:space="0" w:color="000000"/>
              <w:right w:val="single" w:sz="4" w:space="0" w:color="000000"/>
            </w:tcBorders>
          </w:tcPr>
          <w:p w14:paraId="4A1693BB" w14:textId="77777777" w:rsidR="009E39C5" w:rsidRPr="000D3D7F" w:rsidRDefault="009E39C5" w:rsidP="001E1F5A">
            <w:pPr>
              <w:rPr>
                <w:lang w:val="sr-Latn-ME"/>
              </w:rPr>
            </w:pPr>
            <w:r w:rsidRPr="000D3D7F">
              <w:rPr>
                <w:b/>
                <w:bCs/>
                <w:szCs w:val="22"/>
                <w:lang w:val="sr-Latn-ME"/>
              </w:rPr>
              <w:t xml:space="preserve">*Stepen odgovora(RR) </w:t>
            </w:r>
            <w:r w:rsidRPr="000D3D7F">
              <w:rPr>
                <w:i/>
                <w:iCs/>
                <w:szCs w:val="22"/>
                <w:lang w:val="sr-Latn-ME"/>
              </w:rPr>
              <w:t xml:space="preserve">(nakon transplantacije) </w:t>
            </w:r>
            <w:r w:rsidRPr="000D3D7F">
              <w:rPr>
                <w:szCs w:val="22"/>
                <w:lang w:val="sr-Latn-ME"/>
              </w:rPr>
              <w:t>CR+nCR</w:t>
            </w:r>
          </w:p>
          <w:p w14:paraId="5F2E37C9" w14:textId="77777777" w:rsidR="009E39C5" w:rsidRPr="000D3D7F" w:rsidRDefault="009E39C5" w:rsidP="001E1F5A">
            <w:pPr>
              <w:rPr>
                <w:lang w:val="sr-Latn-ME"/>
              </w:rPr>
            </w:pPr>
            <w:r w:rsidRPr="000D3D7F">
              <w:rPr>
                <w:szCs w:val="22"/>
                <w:lang w:val="sr-Latn-ME"/>
              </w:rPr>
              <w:t>CR+nCR+PR % (95% CI)</w:t>
            </w:r>
          </w:p>
        </w:tc>
        <w:tc>
          <w:tcPr>
            <w:tcW w:w="1844" w:type="dxa"/>
            <w:gridSpan w:val="2"/>
            <w:tcBorders>
              <w:top w:val="single" w:sz="4" w:space="0" w:color="000000"/>
              <w:left w:val="single" w:sz="4" w:space="0" w:color="000000"/>
              <w:bottom w:val="single" w:sz="4" w:space="0" w:color="000000"/>
              <w:right w:val="single" w:sz="4" w:space="0" w:color="000000"/>
            </w:tcBorders>
          </w:tcPr>
          <w:p w14:paraId="0B1F0578" w14:textId="77777777" w:rsidR="009E39C5" w:rsidRPr="000D3D7F" w:rsidRDefault="009E39C5" w:rsidP="001E1F5A">
            <w:pPr>
              <w:rPr>
                <w:lang w:val="sr-Latn-ME"/>
              </w:rPr>
            </w:pPr>
          </w:p>
          <w:p w14:paraId="40219234" w14:textId="77777777" w:rsidR="009E39C5" w:rsidRPr="000D3D7F" w:rsidRDefault="009E39C5" w:rsidP="001E1F5A">
            <w:pPr>
              <w:rPr>
                <w:lang w:val="sr-Latn-ME"/>
              </w:rPr>
            </w:pPr>
            <w:r w:rsidRPr="000D3D7F">
              <w:rPr>
                <w:szCs w:val="22"/>
                <w:lang w:val="sr-Latn-ME"/>
              </w:rPr>
              <w:t>55,4 (46,4; 64,1)</w:t>
            </w:r>
          </w:p>
          <w:p w14:paraId="62F2A4EA" w14:textId="77777777" w:rsidR="009E39C5" w:rsidRPr="000D3D7F" w:rsidRDefault="009E39C5" w:rsidP="001E1F5A">
            <w:pPr>
              <w:rPr>
                <w:lang w:val="sr-Latn-ME"/>
              </w:rPr>
            </w:pPr>
            <w:r w:rsidRPr="000D3D7F">
              <w:rPr>
                <w:szCs w:val="22"/>
                <w:lang w:val="sr-Latn-ME"/>
              </w:rPr>
              <w:t>77,7 (69,6; 84,5)</w:t>
            </w:r>
          </w:p>
        </w:tc>
        <w:tc>
          <w:tcPr>
            <w:tcW w:w="1844" w:type="dxa"/>
            <w:tcBorders>
              <w:top w:val="single" w:sz="4" w:space="0" w:color="000000"/>
              <w:left w:val="single" w:sz="4" w:space="0" w:color="000000"/>
              <w:bottom w:val="single" w:sz="4" w:space="0" w:color="000000"/>
              <w:right w:val="single" w:sz="4" w:space="0" w:color="000000"/>
            </w:tcBorders>
          </w:tcPr>
          <w:p w14:paraId="11AD7E8D" w14:textId="77777777" w:rsidR="009E39C5" w:rsidRPr="000D3D7F" w:rsidRDefault="009E39C5" w:rsidP="001E1F5A">
            <w:pPr>
              <w:rPr>
                <w:lang w:val="sr-Latn-ME"/>
              </w:rPr>
            </w:pPr>
          </w:p>
          <w:p w14:paraId="47DC9D05" w14:textId="77777777" w:rsidR="009E39C5" w:rsidRPr="000D3D7F" w:rsidRDefault="009E39C5" w:rsidP="001E1F5A">
            <w:pPr>
              <w:rPr>
                <w:lang w:val="sr-Latn-ME"/>
              </w:rPr>
            </w:pPr>
            <w:r w:rsidRPr="000D3D7F">
              <w:rPr>
                <w:szCs w:val="22"/>
                <w:lang w:val="sr-Latn-ME"/>
              </w:rPr>
              <w:t>34,6 (26,4; 43,6)</w:t>
            </w:r>
          </w:p>
          <w:p w14:paraId="7580B2B0" w14:textId="77777777" w:rsidR="009E39C5" w:rsidRPr="000D3D7F" w:rsidRDefault="009E39C5" w:rsidP="001E1F5A">
            <w:pPr>
              <w:rPr>
                <w:lang w:val="sr-Latn-ME"/>
              </w:rPr>
            </w:pPr>
            <w:r w:rsidRPr="000D3D7F">
              <w:rPr>
                <w:szCs w:val="22"/>
                <w:lang w:val="sr-Latn-ME"/>
              </w:rPr>
              <w:t>56,7 (47,6; 65,5)</w:t>
            </w:r>
          </w:p>
        </w:tc>
        <w:tc>
          <w:tcPr>
            <w:tcW w:w="2413" w:type="dxa"/>
            <w:gridSpan w:val="3"/>
            <w:tcBorders>
              <w:top w:val="single" w:sz="4" w:space="0" w:color="000000"/>
              <w:left w:val="single" w:sz="4" w:space="0" w:color="000000"/>
              <w:bottom w:val="single" w:sz="4" w:space="0" w:color="000000"/>
              <w:right w:val="single" w:sz="4" w:space="0" w:color="000000"/>
            </w:tcBorders>
          </w:tcPr>
          <w:p w14:paraId="6553FD07" w14:textId="77777777" w:rsidR="009E39C5" w:rsidRPr="000D3D7F" w:rsidRDefault="009E39C5" w:rsidP="001E1F5A">
            <w:pPr>
              <w:rPr>
                <w:lang w:val="sr-Latn-ME"/>
              </w:rPr>
            </w:pPr>
          </w:p>
          <w:p w14:paraId="621ECF61" w14:textId="77777777" w:rsidR="009E39C5" w:rsidRPr="000D3D7F" w:rsidRDefault="009E39C5" w:rsidP="001E1F5A">
            <w:pPr>
              <w:rPr>
                <w:vertAlign w:val="superscript"/>
                <w:lang w:val="sr-Latn-ME"/>
              </w:rPr>
            </w:pPr>
            <w:r w:rsidRPr="000D3D7F">
              <w:rPr>
                <w:szCs w:val="22"/>
                <w:lang w:val="sr-Latn-ME"/>
              </w:rPr>
              <w:t>2,34 (1,42; 3,87); 0,001</w:t>
            </w:r>
            <w:r w:rsidRPr="000D3D7F">
              <w:rPr>
                <w:szCs w:val="22"/>
                <w:vertAlign w:val="superscript"/>
                <w:lang w:val="sr-Latn-ME"/>
              </w:rPr>
              <w:t>a</w:t>
            </w:r>
          </w:p>
          <w:p w14:paraId="5306B446" w14:textId="77777777" w:rsidR="009E39C5" w:rsidRPr="000D3D7F" w:rsidRDefault="009E39C5" w:rsidP="001E1F5A">
            <w:pPr>
              <w:rPr>
                <w:lang w:val="sr-Latn-ME"/>
              </w:rPr>
            </w:pPr>
            <w:r w:rsidRPr="000D3D7F">
              <w:rPr>
                <w:szCs w:val="22"/>
                <w:lang w:val="sr-Latn-ME"/>
              </w:rPr>
              <w:t>2,66 (1,55; 4,57);</w:t>
            </w:r>
          </w:p>
          <w:p w14:paraId="433EBAD2" w14:textId="77777777" w:rsidR="009E39C5" w:rsidRPr="000D3D7F" w:rsidRDefault="009E39C5" w:rsidP="001E1F5A">
            <w:pPr>
              <w:rPr>
                <w:vertAlign w:val="superscript"/>
                <w:lang w:val="sr-Latn-ME"/>
              </w:rPr>
            </w:pPr>
            <w:r w:rsidRPr="000D3D7F">
              <w:rPr>
                <w:szCs w:val="22"/>
                <w:lang w:val="sr-Latn-ME"/>
              </w:rPr>
              <w:t>&lt; 0,001</w:t>
            </w:r>
            <w:r w:rsidRPr="000D3D7F">
              <w:rPr>
                <w:szCs w:val="22"/>
                <w:vertAlign w:val="superscript"/>
                <w:lang w:val="sr-Latn-ME"/>
              </w:rPr>
              <w:t>a</w:t>
            </w:r>
          </w:p>
        </w:tc>
      </w:tr>
    </w:tbl>
    <w:p w14:paraId="0B4328FC" w14:textId="3F286336" w:rsidR="009E39C5" w:rsidRPr="000D3D7F" w:rsidRDefault="009E39C5" w:rsidP="001E1F5A">
      <w:pPr>
        <w:rPr>
          <w:szCs w:val="22"/>
          <w:lang w:val="sr-Latn-ME"/>
        </w:rPr>
      </w:pPr>
    </w:p>
    <w:p w14:paraId="2F132144" w14:textId="05410B90" w:rsidR="009E39C5" w:rsidRPr="000D3D7F" w:rsidRDefault="009E39C5" w:rsidP="001E1F5A">
      <w:pPr>
        <w:rPr>
          <w:szCs w:val="22"/>
          <w:lang w:val="sr-Latn-ME"/>
        </w:rPr>
      </w:pPr>
      <w:r w:rsidRPr="000D3D7F">
        <w:rPr>
          <w:szCs w:val="22"/>
          <w:lang w:val="sr-Latn-ME"/>
        </w:rPr>
        <w:t>CI=interval pov</w:t>
      </w:r>
      <w:r w:rsidR="00F547A5" w:rsidRPr="000D3D7F">
        <w:rPr>
          <w:szCs w:val="22"/>
          <w:lang w:val="sr-Latn-ME"/>
        </w:rPr>
        <w:t>j</w:t>
      </w:r>
      <w:r w:rsidRPr="000D3D7F">
        <w:rPr>
          <w:szCs w:val="22"/>
          <w:lang w:val="sr-Latn-ME"/>
        </w:rPr>
        <w:t>erenja, CR= kompletan odgovor; nCR- skoro kompletan odgovor; ITT= nam</w:t>
      </w:r>
      <w:r w:rsidR="00FF1730" w:rsidRPr="000D3D7F">
        <w:rPr>
          <w:szCs w:val="22"/>
          <w:lang w:val="sr-Latn-ME"/>
        </w:rPr>
        <w:t>j</w:t>
      </w:r>
      <w:r w:rsidRPr="000D3D7F">
        <w:rPr>
          <w:szCs w:val="22"/>
          <w:lang w:val="sr-Latn-ME"/>
        </w:rPr>
        <w:t>era za l</w:t>
      </w:r>
      <w:r w:rsidR="00FF1730" w:rsidRPr="000D3D7F">
        <w:rPr>
          <w:szCs w:val="22"/>
          <w:lang w:val="sr-Latn-ME"/>
        </w:rPr>
        <w:t>ij</w:t>
      </w:r>
      <w:r w:rsidRPr="000D3D7F">
        <w:rPr>
          <w:szCs w:val="22"/>
          <w:lang w:val="sr-Latn-ME"/>
        </w:rPr>
        <w:t>ečenje;</w:t>
      </w:r>
      <w:r w:rsidR="004B33C6" w:rsidRPr="000D3D7F">
        <w:rPr>
          <w:szCs w:val="22"/>
          <w:lang w:val="sr-Latn-ME"/>
        </w:rPr>
        <w:t xml:space="preserve"> </w:t>
      </w:r>
      <w:r w:rsidRPr="000D3D7F">
        <w:rPr>
          <w:szCs w:val="22"/>
          <w:lang w:val="sr-Latn-ME"/>
        </w:rPr>
        <w:t xml:space="preserve">RR= stepen odgovora; </w:t>
      </w:r>
      <w:r w:rsidR="003A5F11" w:rsidRPr="000D3D7F">
        <w:rPr>
          <w:szCs w:val="22"/>
          <w:lang w:val="sr-Latn-ME"/>
        </w:rPr>
        <w:t>Bz</w:t>
      </w:r>
      <w:r w:rsidRPr="000D3D7F">
        <w:rPr>
          <w:szCs w:val="22"/>
          <w:lang w:val="sr-Latn-ME"/>
        </w:rPr>
        <w:t>=</w:t>
      </w:r>
      <w:r w:rsidR="003A5F11" w:rsidRPr="000D3D7F">
        <w:rPr>
          <w:szCs w:val="22"/>
          <w:lang w:val="sr-Latn-ME"/>
        </w:rPr>
        <w:t xml:space="preserve"> bortezomib</w:t>
      </w:r>
      <w:r w:rsidR="003A5F11" w:rsidRPr="000D3D7F" w:rsidDel="003A5F11">
        <w:rPr>
          <w:szCs w:val="22"/>
          <w:lang w:val="sr-Latn-ME"/>
        </w:rPr>
        <w:t xml:space="preserve"> </w:t>
      </w:r>
      <w:r w:rsidRPr="000D3D7F">
        <w:rPr>
          <w:szCs w:val="22"/>
          <w:lang w:val="sr-Latn-ME"/>
        </w:rPr>
        <w:t xml:space="preserve">; </w:t>
      </w:r>
      <w:r w:rsidR="003A5F11" w:rsidRPr="000D3D7F">
        <w:rPr>
          <w:szCs w:val="22"/>
          <w:lang w:val="sr-Latn-ME"/>
        </w:rPr>
        <w:t>Bz</w:t>
      </w:r>
      <w:r w:rsidRPr="000D3D7F">
        <w:rPr>
          <w:szCs w:val="22"/>
          <w:lang w:val="sr-Latn-ME"/>
        </w:rPr>
        <w:t xml:space="preserve">TDx= </w:t>
      </w:r>
      <w:r w:rsidR="003A5F11" w:rsidRPr="000D3D7F">
        <w:rPr>
          <w:szCs w:val="22"/>
          <w:lang w:val="sr-Latn-ME"/>
        </w:rPr>
        <w:t>bortezomib</w:t>
      </w:r>
      <w:r w:rsidRPr="000D3D7F">
        <w:rPr>
          <w:szCs w:val="22"/>
          <w:lang w:val="sr-Latn-ME"/>
        </w:rPr>
        <w:t>, talidomid, deksametazon; TDx=talidomid,</w:t>
      </w:r>
      <w:r w:rsidR="004B33C6" w:rsidRPr="000D3D7F">
        <w:rPr>
          <w:szCs w:val="22"/>
          <w:lang w:val="sr-Latn-ME"/>
        </w:rPr>
        <w:t xml:space="preserve"> </w:t>
      </w:r>
      <w:r w:rsidRPr="000D3D7F">
        <w:rPr>
          <w:szCs w:val="22"/>
          <w:lang w:val="sr-Latn-ME"/>
        </w:rPr>
        <w:t>deksametazon; PR=parcijalni odgovor; OR= stepen ukupnog odgovora</w:t>
      </w:r>
    </w:p>
    <w:p w14:paraId="0BF00765" w14:textId="77777777" w:rsidR="009E39C5" w:rsidRPr="000D3D7F" w:rsidRDefault="009E39C5" w:rsidP="001E1F5A">
      <w:pPr>
        <w:rPr>
          <w:szCs w:val="22"/>
          <w:lang w:val="sr-Latn-ME"/>
        </w:rPr>
      </w:pPr>
      <w:r w:rsidRPr="000D3D7F">
        <w:rPr>
          <w:szCs w:val="22"/>
          <w:lang w:val="sr-Latn-ME"/>
        </w:rPr>
        <w:t>* Primarni parameter praćenja</w:t>
      </w:r>
    </w:p>
    <w:p w14:paraId="6604443A" w14:textId="767CBEB7" w:rsidR="009E39C5" w:rsidRPr="000D3D7F" w:rsidRDefault="009E39C5" w:rsidP="001E1F5A">
      <w:pPr>
        <w:rPr>
          <w:szCs w:val="22"/>
          <w:lang w:val="sr-Latn-ME"/>
        </w:rPr>
      </w:pPr>
      <w:r w:rsidRPr="000D3D7F">
        <w:rPr>
          <w:szCs w:val="22"/>
          <w:vertAlign w:val="superscript"/>
          <w:lang w:val="sr-Latn-ME"/>
        </w:rPr>
        <w:t>a</w:t>
      </w:r>
      <w:r w:rsidRPr="000D3D7F">
        <w:rPr>
          <w:szCs w:val="22"/>
          <w:lang w:val="sr-Latn-ME"/>
        </w:rPr>
        <w:t xml:space="preserve"> OR se zasniva na Mantel-Haenszel-ovom test</w:t>
      </w:r>
      <w:r w:rsidR="00FF1730" w:rsidRPr="000D3D7F">
        <w:rPr>
          <w:szCs w:val="22"/>
          <w:lang w:val="sr-Latn-ME"/>
        </w:rPr>
        <w:t>u</w:t>
      </w:r>
      <w:r w:rsidRPr="000D3D7F">
        <w:rPr>
          <w:szCs w:val="22"/>
          <w:lang w:val="sr-Latn-ME"/>
        </w:rPr>
        <w:t xml:space="preserve"> prilagođenog za faktore stratifikacije; p-vr</w:t>
      </w:r>
      <w:r w:rsidR="00FF1730" w:rsidRPr="000D3D7F">
        <w:rPr>
          <w:szCs w:val="22"/>
          <w:lang w:val="sr-Latn-ME"/>
        </w:rPr>
        <w:t>ij</w:t>
      </w:r>
      <w:r w:rsidRPr="000D3D7F">
        <w:rPr>
          <w:szCs w:val="22"/>
          <w:lang w:val="sr-Latn-ME"/>
        </w:rPr>
        <w:t>ednost</w:t>
      </w:r>
      <w:r w:rsidR="004B33C6" w:rsidRPr="000D3D7F">
        <w:rPr>
          <w:szCs w:val="22"/>
          <w:lang w:val="sr-Latn-ME"/>
        </w:rPr>
        <w:t xml:space="preserve"> </w:t>
      </w:r>
      <w:r w:rsidRPr="000D3D7F">
        <w:rPr>
          <w:szCs w:val="22"/>
          <w:lang w:val="sr-Latn-ME"/>
        </w:rPr>
        <w:t>zasnovana na Cochran-Mantel-Haenszel-ovom testu</w:t>
      </w:r>
      <w:r w:rsidR="004B33C6" w:rsidRPr="000D3D7F">
        <w:rPr>
          <w:szCs w:val="22"/>
          <w:lang w:val="sr-Latn-ME"/>
        </w:rPr>
        <w:t xml:space="preserve"> </w:t>
      </w:r>
    </w:p>
    <w:p w14:paraId="0B72D2E1" w14:textId="678782FC" w:rsidR="009E39C5" w:rsidRPr="000D3D7F" w:rsidRDefault="009E39C5" w:rsidP="001E1F5A">
      <w:pPr>
        <w:rPr>
          <w:szCs w:val="22"/>
          <w:lang w:val="sr-Latn-ME"/>
        </w:rPr>
      </w:pPr>
      <w:r w:rsidRPr="000D3D7F">
        <w:rPr>
          <w:szCs w:val="22"/>
          <w:lang w:val="sr-Latn-ME"/>
        </w:rPr>
        <w:t xml:space="preserve">Napomena: An OR &lt; 1 indikuje prednost za indukcionu terapiju koja sadrži </w:t>
      </w:r>
      <w:r w:rsidR="001B2C94" w:rsidRPr="000D3D7F">
        <w:rPr>
          <w:szCs w:val="22"/>
          <w:lang w:val="sr-Latn-ME"/>
        </w:rPr>
        <w:t>Bz</w:t>
      </w:r>
      <w:r w:rsidRPr="000D3D7F">
        <w:rPr>
          <w:szCs w:val="22"/>
          <w:lang w:val="sr-Latn-ME"/>
        </w:rPr>
        <w:t>.</w:t>
      </w:r>
    </w:p>
    <w:p w14:paraId="51BF513A" w14:textId="339BF37D" w:rsidR="009E39C5" w:rsidRPr="000D3D7F" w:rsidRDefault="009E39C5" w:rsidP="001E1F5A">
      <w:pPr>
        <w:rPr>
          <w:szCs w:val="22"/>
          <w:lang w:val="sr-Latn-ME"/>
        </w:rPr>
      </w:pPr>
    </w:p>
    <w:p w14:paraId="69A52EE6" w14:textId="77777777" w:rsidR="009E39C5" w:rsidRPr="000D3D7F" w:rsidRDefault="009E39C5" w:rsidP="001E1F5A">
      <w:pPr>
        <w:rPr>
          <w:i/>
          <w:iCs/>
          <w:szCs w:val="22"/>
          <w:lang w:val="sr-Latn-ME"/>
        </w:rPr>
      </w:pPr>
      <w:r w:rsidRPr="000D3D7F">
        <w:rPr>
          <w:i/>
          <w:iCs/>
          <w:szCs w:val="22"/>
          <w:lang w:val="sr-Latn-ME"/>
        </w:rPr>
        <w:t>Klinička efikasnost kod pacijenata sa relapsom ili refraktornim multiplim mijelomom</w:t>
      </w:r>
    </w:p>
    <w:p w14:paraId="12891FAC" w14:textId="65CBD584" w:rsidR="009E39C5" w:rsidRPr="000D3D7F" w:rsidRDefault="009E39C5" w:rsidP="001E1F5A">
      <w:pPr>
        <w:rPr>
          <w:szCs w:val="22"/>
          <w:lang w:val="sr-Latn-ME"/>
        </w:rPr>
      </w:pPr>
      <w:r w:rsidRPr="000D3D7F">
        <w:rPr>
          <w:szCs w:val="22"/>
          <w:lang w:val="sr-Latn-ME"/>
        </w:rPr>
        <w:t>Bezb</w:t>
      </w:r>
      <w:r w:rsidR="00FF1730" w:rsidRPr="000D3D7F">
        <w:rPr>
          <w:szCs w:val="22"/>
          <w:lang w:val="sr-Latn-ME"/>
        </w:rPr>
        <w:t>j</w:t>
      </w:r>
      <w:r w:rsidRPr="000D3D7F">
        <w:rPr>
          <w:szCs w:val="22"/>
          <w:lang w:val="sr-Latn-ME"/>
        </w:rPr>
        <w:t xml:space="preserve">ednost i efikasnost </w:t>
      </w:r>
      <w:r w:rsidR="00B32611" w:rsidRPr="000D3D7F">
        <w:rPr>
          <w:szCs w:val="22"/>
          <w:lang w:val="sr-Latn-ME"/>
        </w:rPr>
        <w:t>bortezomib</w:t>
      </w:r>
      <w:r w:rsidR="003A5F11" w:rsidRPr="000D3D7F">
        <w:rPr>
          <w:szCs w:val="22"/>
          <w:lang w:val="sr-Latn-ME"/>
        </w:rPr>
        <w:t>a</w:t>
      </w:r>
      <w:r w:rsidRPr="000D3D7F">
        <w:rPr>
          <w:szCs w:val="22"/>
          <w:lang w:val="sr-Latn-ME"/>
        </w:rPr>
        <w:t xml:space="preserve"> (prim</w:t>
      </w:r>
      <w:r w:rsidR="00FF1730" w:rsidRPr="000D3D7F">
        <w:rPr>
          <w:szCs w:val="22"/>
          <w:lang w:val="sr-Latn-ME"/>
        </w:rPr>
        <w:t>j</w:t>
      </w:r>
      <w:r w:rsidRPr="000D3D7F">
        <w:rPr>
          <w:szCs w:val="22"/>
          <w:lang w:val="sr-Latn-ME"/>
        </w:rPr>
        <w:t>enjivan intravenski) proc</w:t>
      </w:r>
      <w:r w:rsidR="00FF1730" w:rsidRPr="000D3D7F">
        <w:rPr>
          <w:szCs w:val="22"/>
          <w:lang w:val="sr-Latn-ME"/>
        </w:rPr>
        <w:t>j</w:t>
      </w:r>
      <w:r w:rsidRPr="000D3D7F">
        <w:rPr>
          <w:szCs w:val="22"/>
          <w:lang w:val="sr-Latn-ME"/>
        </w:rPr>
        <w:t>enjivane su u dva klinička ispitivanja sa</w:t>
      </w:r>
      <w:r w:rsidR="004B33C6" w:rsidRPr="000D3D7F">
        <w:rPr>
          <w:szCs w:val="22"/>
          <w:lang w:val="sr-Latn-ME"/>
        </w:rPr>
        <w:t xml:space="preserve"> </w:t>
      </w:r>
      <w:r w:rsidRPr="000D3D7F">
        <w:rPr>
          <w:szCs w:val="22"/>
          <w:lang w:val="sr-Latn-ME"/>
        </w:rPr>
        <w:t>preporučenom dozom od 1,3 mg/m</w:t>
      </w:r>
      <w:r w:rsidRPr="000D3D7F">
        <w:rPr>
          <w:szCs w:val="22"/>
          <w:vertAlign w:val="superscript"/>
          <w:lang w:val="sr-Latn-ME"/>
        </w:rPr>
        <w:t>2</w:t>
      </w:r>
      <w:r w:rsidRPr="000D3D7F">
        <w:rPr>
          <w:szCs w:val="22"/>
          <w:lang w:val="sr-Latn-ME"/>
        </w:rPr>
        <w:t>: randomizovana, komparativna studija faze III, (APEX) u odnosu na</w:t>
      </w:r>
      <w:r w:rsidR="004B33C6" w:rsidRPr="000D3D7F">
        <w:rPr>
          <w:szCs w:val="22"/>
          <w:lang w:val="sr-Latn-ME"/>
        </w:rPr>
        <w:t xml:space="preserve"> </w:t>
      </w:r>
      <w:r w:rsidRPr="000D3D7F">
        <w:rPr>
          <w:szCs w:val="22"/>
          <w:lang w:val="sr-Latn-ME"/>
        </w:rPr>
        <w:t>deksametazon , kod 669 pacijenata sa relapsom ili refraktornim multiplim mijelomom koji su prethodno</w:t>
      </w:r>
      <w:r w:rsidR="004B33C6" w:rsidRPr="000D3D7F">
        <w:rPr>
          <w:szCs w:val="22"/>
          <w:lang w:val="sr-Latn-ME"/>
        </w:rPr>
        <w:t xml:space="preserve"> </w:t>
      </w:r>
      <w:r w:rsidRPr="000D3D7F">
        <w:rPr>
          <w:szCs w:val="22"/>
          <w:lang w:val="sr-Latn-ME"/>
        </w:rPr>
        <w:t>primili 1-3 linije terapije i studija faze II sa jednom grupom od 202 pacijenta sa relapsom multiplog</w:t>
      </w:r>
      <w:r w:rsidR="004B33C6" w:rsidRPr="000D3D7F">
        <w:rPr>
          <w:szCs w:val="22"/>
          <w:lang w:val="sr-Latn-ME"/>
        </w:rPr>
        <w:t xml:space="preserve"> </w:t>
      </w:r>
      <w:r w:rsidRPr="000D3D7F">
        <w:rPr>
          <w:szCs w:val="22"/>
          <w:lang w:val="sr-Latn-ME"/>
        </w:rPr>
        <w:t>mijeloma i refraktornim multiplim mijelomom, koji su prethodno primili najmanje dv</w:t>
      </w:r>
      <w:r w:rsidR="00FF1730" w:rsidRPr="000D3D7F">
        <w:rPr>
          <w:szCs w:val="22"/>
          <w:lang w:val="sr-Latn-ME"/>
        </w:rPr>
        <w:t>ij</w:t>
      </w:r>
      <w:r w:rsidRPr="000D3D7F">
        <w:rPr>
          <w:szCs w:val="22"/>
          <w:lang w:val="sr-Latn-ME"/>
        </w:rPr>
        <w:t>e linije terapije, a u</w:t>
      </w:r>
      <w:r w:rsidR="004B33C6" w:rsidRPr="000D3D7F">
        <w:rPr>
          <w:szCs w:val="22"/>
          <w:lang w:val="sr-Latn-ME"/>
        </w:rPr>
        <w:t xml:space="preserve"> </w:t>
      </w:r>
      <w:r w:rsidRPr="000D3D7F">
        <w:rPr>
          <w:szCs w:val="22"/>
          <w:lang w:val="sr-Latn-ME"/>
        </w:rPr>
        <w:t>toku posl</w:t>
      </w:r>
      <w:r w:rsidR="00FF1730" w:rsidRPr="000D3D7F">
        <w:rPr>
          <w:szCs w:val="22"/>
          <w:lang w:val="sr-Latn-ME"/>
        </w:rPr>
        <w:t>j</w:t>
      </w:r>
      <w:r w:rsidRPr="000D3D7F">
        <w:rPr>
          <w:szCs w:val="22"/>
          <w:lang w:val="sr-Latn-ME"/>
        </w:rPr>
        <w:t>ednje bolest je napredovala</w:t>
      </w:r>
      <w:r w:rsidR="00FF1730" w:rsidRPr="000D3D7F">
        <w:rPr>
          <w:szCs w:val="22"/>
          <w:lang w:val="sr-Latn-ME"/>
        </w:rPr>
        <w:t>.</w:t>
      </w:r>
    </w:p>
    <w:p w14:paraId="1E40D844" w14:textId="1A1220C0" w:rsidR="009E39C5" w:rsidRPr="000D3D7F" w:rsidRDefault="009E39C5" w:rsidP="001E1F5A">
      <w:pPr>
        <w:rPr>
          <w:szCs w:val="22"/>
          <w:lang w:val="sr-Latn-ME"/>
        </w:rPr>
      </w:pPr>
      <w:r w:rsidRPr="000D3D7F">
        <w:rPr>
          <w:szCs w:val="22"/>
          <w:lang w:val="sr-Latn-ME"/>
        </w:rPr>
        <w:t xml:space="preserve">U studiji faze III, terapija </w:t>
      </w:r>
      <w:r w:rsidR="00B32611" w:rsidRPr="000D3D7F">
        <w:rPr>
          <w:szCs w:val="22"/>
          <w:lang w:val="sr-Latn-ME"/>
        </w:rPr>
        <w:t>bortezomib</w:t>
      </w:r>
      <w:r w:rsidR="003A5F11" w:rsidRPr="000D3D7F">
        <w:rPr>
          <w:szCs w:val="22"/>
          <w:lang w:val="sr-Latn-ME"/>
        </w:rPr>
        <w:t>om</w:t>
      </w:r>
      <w:r w:rsidR="00B32611" w:rsidRPr="000D3D7F">
        <w:rPr>
          <w:szCs w:val="22"/>
          <w:lang w:val="sr-Latn-ME"/>
        </w:rPr>
        <w:t xml:space="preserve"> </w:t>
      </w:r>
      <w:r w:rsidRPr="000D3D7F">
        <w:rPr>
          <w:szCs w:val="22"/>
          <w:lang w:val="sr-Latn-ME"/>
        </w:rPr>
        <w:t>značajno je produžila vr</w:t>
      </w:r>
      <w:r w:rsidR="00FF1730" w:rsidRPr="000D3D7F">
        <w:rPr>
          <w:szCs w:val="22"/>
          <w:lang w:val="sr-Latn-ME"/>
        </w:rPr>
        <w:t>ij</w:t>
      </w:r>
      <w:r w:rsidRPr="000D3D7F">
        <w:rPr>
          <w:szCs w:val="22"/>
          <w:lang w:val="sr-Latn-ME"/>
        </w:rPr>
        <w:t>eme do progresije bolesti, značajno je</w:t>
      </w:r>
      <w:r w:rsidR="004B33C6" w:rsidRPr="000D3D7F">
        <w:rPr>
          <w:szCs w:val="22"/>
          <w:lang w:val="sr-Latn-ME"/>
        </w:rPr>
        <w:t xml:space="preserve"> </w:t>
      </w:r>
      <w:r w:rsidRPr="000D3D7F">
        <w:rPr>
          <w:szCs w:val="22"/>
          <w:lang w:val="sr-Latn-ME"/>
        </w:rPr>
        <w:t>produžila preživljavanje i značajno je povećala stopu odgovora, u poređenju sa terapijom deksametazonom</w:t>
      </w:r>
      <w:r w:rsidR="004B33C6" w:rsidRPr="000D3D7F">
        <w:rPr>
          <w:szCs w:val="22"/>
          <w:lang w:val="sr-Latn-ME"/>
        </w:rPr>
        <w:t xml:space="preserve"> </w:t>
      </w:r>
      <w:r w:rsidRPr="000D3D7F">
        <w:rPr>
          <w:szCs w:val="22"/>
          <w:lang w:val="sr-Latn-ME"/>
        </w:rPr>
        <w:t>(vid</w:t>
      </w:r>
      <w:r w:rsidR="00FF1730" w:rsidRPr="000D3D7F">
        <w:rPr>
          <w:szCs w:val="22"/>
          <w:lang w:val="sr-Latn-ME"/>
        </w:rPr>
        <w:t>j</w:t>
      </w:r>
      <w:r w:rsidRPr="000D3D7F">
        <w:rPr>
          <w:szCs w:val="22"/>
          <w:lang w:val="sr-Latn-ME"/>
        </w:rPr>
        <w:t>eti Tabelu 14), kod svih pacijenata, kao i kod pacijenata koji su primili jednu prethodnu liniju terapije.</w:t>
      </w:r>
    </w:p>
    <w:p w14:paraId="253DCCFB" w14:textId="2CFE7385" w:rsidR="009E39C5" w:rsidRPr="000D3D7F" w:rsidRDefault="009E39C5" w:rsidP="001E1F5A">
      <w:pPr>
        <w:rPr>
          <w:szCs w:val="22"/>
          <w:lang w:val="sr-Latn-ME"/>
        </w:rPr>
      </w:pPr>
      <w:r w:rsidRPr="000D3D7F">
        <w:rPr>
          <w:szCs w:val="22"/>
          <w:lang w:val="sr-Latn-ME"/>
        </w:rPr>
        <w:t>Kao rezultat prethodno planirane međuanalize, grupa koja je primala deksametazon je obustavljena na</w:t>
      </w:r>
      <w:r w:rsidR="004B33C6" w:rsidRPr="000D3D7F">
        <w:rPr>
          <w:szCs w:val="22"/>
          <w:lang w:val="sr-Latn-ME"/>
        </w:rPr>
        <w:t xml:space="preserve"> </w:t>
      </w:r>
      <w:r w:rsidRPr="000D3D7F">
        <w:rPr>
          <w:szCs w:val="22"/>
          <w:lang w:val="sr-Latn-ME"/>
        </w:rPr>
        <w:t>preporuku komiteta za praćenje podataka i svim pacijentima randomizovanim da primaju deksametazon je</w:t>
      </w:r>
      <w:r w:rsidR="004B33C6" w:rsidRPr="000D3D7F">
        <w:rPr>
          <w:szCs w:val="22"/>
          <w:lang w:val="sr-Latn-ME"/>
        </w:rPr>
        <w:t xml:space="preserve"> </w:t>
      </w:r>
      <w:r w:rsidRPr="000D3D7F">
        <w:rPr>
          <w:szCs w:val="22"/>
          <w:lang w:val="sr-Latn-ME"/>
        </w:rPr>
        <w:t xml:space="preserve">tada ponuđen </w:t>
      </w:r>
      <w:r w:rsidR="00B32611" w:rsidRPr="000D3D7F">
        <w:rPr>
          <w:szCs w:val="22"/>
          <w:lang w:val="sr-Latn-ME"/>
        </w:rPr>
        <w:t>bortezomib</w:t>
      </w:r>
      <w:r w:rsidRPr="000D3D7F">
        <w:rPr>
          <w:szCs w:val="22"/>
          <w:lang w:val="sr-Latn-ME"/>
        </w:rPr>
        <w:t>, bez obzira na status bolesti. Usl</w:t>
      </w:r>
      <w:r w:rsidR="00FF1730" w:rsidRPr="000D3D7F">
        <w:rPr>
          <w:szCs w:val="22"/>
          <w:lang w:val="sr-Latn-ME"/>
        </w:rPr>
        <w:t>j</w:t>
      </w:r>
      <w:r w:rsidRPr="000D3D7F">
        <w:rPr>
          <w:szCs w:val="22"/>
          <w:lang w:val="sr-Latn-ME"/>
        </w:rPr>
        <w:t>ed ovog ranog prelaska, medijana vremena</w:t>
      </w:r>
      <w:r w:rsidR="004B33C6" w:rsidRPr="000D3D7F">
        <w:rPr>
          <w:szCs w:val="22"/>
          <w:lang w:val="sr-Latn-ME"/>
        </w:rPr>
        <w:t xml:space="preserve"> </w:t>
      </w:r>
      <w:r w:rsidRPr="000D3D7F">
        <w:rPr>
          <w:szCs w:val="22"/>
          <w:lang w:val="sr-Latn-ME"/>
        </w:rPr>
        <w:t>praćenja kod preživelih pacijenata iznosi 8,3 m</w:t>
      </w:r>
      <w:r w:rsidR="00FF1730" w:rsidRPr="000D3D7F">
        <w:rPr>
          <w:szCs w:val="22"/>
          <w:lang w:val="sr-Latn-ME"/>
        </w:rPr>
        <w:t>j</w:t>
      </w:r>
      <w:r w:rsidRPr="000D3D7F">
        <w:rPr>
          <w:szCs w:val="22"/>
          <w:lang w:val="sr-Latn-ME"/>
        </w:rPr>
        <w:t>eseca. I kod pacijenata koji su bili refraktorni na posl</w:t>
      </w:r>
      <w:r w:rsidR="00FF1730" w:rsidRPr="000D3D7F">
        <w:rPr>
          <w:szCs w:val="22"/>
          <w:lang w:val="sr-Latn-ME"/>
        </w:rPr>
        <w:t>j</w:t>
      </w:r>
      <w:r w:rsidRPr="000D3D7F">
        <w:rPr>
          <w:szCs w:val="22"/>
          <w:lang w:val="sr-Latn-ME"/>
        </w:rPr>
        <w:t>ednju</w:t>
      </w:r>
      <w:r w:rsidR="004B33C6" w:rsidRPr="000D3D7F">
        <w:rPr>
          <w:szCs w:val="22"/>
          <w:lang w:val="sr-Latn-ME"/>
        </w:rPr>
        <w:t xml:space="preserve"> </w:t>
      </w:r>
      <w:r w:rsidRPr="000D3D7F">
        <w:rPr>
          <w:szCs w:val="22"/>
          <w:lang w:val="sr-Latn-ME"/>
        </w:rPr>
        <w:t>prethodnu terapiju i kod onih koji ni</w:t>
      </w:r>
      <w:r w:rsidR="001E1F5A" w:rsidRPr="000D3D7F">
        <w:rPr>
          <w:szCs w:val="22"/>
          <w:lang w:val="sr-Latn-ME"/>
        </w:rPr>
        <w:t>je</w:t>
      </w:r>
      <w:r w:rsidRPr="000D3D7F">
        <w:rPr>
          <w:szCs w:val="22"/>
          <w:lang w:val="sr-Latn-ME"/>
        </w:rPr>
        <w:t>su bili refraktorni, ukupno preživljavanje je bilo značajno duže a</w:t>
      </w:r>
      <w:r w:rsidR="004B33C6" w:rsidRPr="000D3D7F">
        <w:rPr>
          <w:szCs w:val="22"/>
          <w:lang w:val="sr-Latn-ME"/>
        </w:rPr>
        <w:t xml:space="preserve"> </w:t>
      </w:r>
      <w:r w:rsidRPr="000D3D7F">
        <w:rPr>
          <w:szCs w:val="22"/>
          <w:lang w:val="sr-Latn-ME"/>
        </w:rPr>
        <w:t xml:space="preserve">procenat odgovora je bio značajno veći u grupi koja je primala </w:t>
      </w:r>
      <w:r w:rsidR="00B32611" w:rsidRPr="000D3D7F">
        <w:rPr>
          <w:szCs w:val="22"/>
          <w:lang w:val="sr-Latn-ME"/>
        </w:rPr>
        <w:t>bortezomib</w:t>
      </w:r>
      <w:r w:rsidRPr="000D3D7F">
        <w:rPr>
          <w:szCs w:val="22"/>
          <w:lang w:val="sr-Latn-ME"/>
        </w:rPr>
        <w:t>.</w:t>
      </w:r>
    </w:p>
    <w:p w14:paraId="5C207A70" w14:textId="01EF325A" w:rsidR="009E39C5" w:rsidRPr="000D3D7F" w:rsidRDefault="009E39C5" w:rsidP="001E1F5A">
      <w:pPr>
        <w:rPr>
          <w:szCs w:val="22"/>
          <w:lang w:val="sr-Latn-ME"/>
        </w:rPr>
      </w:pPr>
      <w:r w:rsidRPr="000D3D7F">
        <w:rPr>
          <w:szCs w:val="22"/>
          <w:lang w:val="sr-Latn-ME"/>
        </w:rPr>
        <w:t>Od 669 uključenih pacijenata, 245 (37%) bili su stari 65 godina ili više. Parametri odgovora kao i vr</w:t>
      </w:r>
      <w:r w:rsidR="00FF1730" w:rsidRPr="000D3D7F">
        <w:rPr>
          <w:szCs w:val="22"/>
          <w:lang w:val="sr-Latn-ME"/>
        </w:rPr>
        <w:t>ij</w:t>
      </w:r>
      <w:r w:rsidRPr="000D3D7F">
        <w:rPr>
          <w:szCs w:val="22"/>
          <w:lang w:val="sr-Latn-ME"/>
        </w:rPr>
        <w:t>eme do</w:t>
      </w:r>
      <w:r w:rsidR="004B33C6" w:rsidRPr="000D3D7F">
        <w:rPr>
          <w:szCs w:val="22"/>
          <w:lang w:val="sr-Latn-ME"/>
        </w:rPr>
        <w:t xml:space="preserve"> </w:t>
      </w:r>
      <w:r w:rsidRPr="000D3D7F">
        <w:rPr>
          <w:szCs w:val="22"/>
          <w:lang w:val="sr-Latn-ME"/>
        </w:rPr>
        <w:t xml:space="preserve">progresije bolesti su ostali značajno bolji kod </w:t>
      </w:r>
      <w:r w:rsidR="00B32611" w:rsidRPr="000D3D7F">
        <w:rPr>
          <w:szCs w:val="22"/>
          <w:lang w:val="sr-Latn-ME"/>
        </w:rPr>
        <w:t>bortezomib</w:t>
      </w:r>
      <w:r w:rsidR="003A5F11" w:rsidRPr="000D3D7F">
        <w:rPr>
          <w:szCs w:val="22"/>
          <w:lang w:val="sr-Latn-ME"/>
        </w:rPr>
        <w:t>a</w:t>
      </w:r>
      <w:r w:rsidR="00B32611" w:rsidRPr="000D3D7F">
        <w:rPr>
          <w:szCs w:val="22"/>
          <w:lang w:val="sr-Latn-ME"/>
        </w:rPr>
        <w:t xml:space="preserve"> </w:t>
      </w:r>
      <w:r w:rsidRPr="000D3D7F">
        <w:rPr>
          <w:szCs w:val="22"/>
          <w:lang w:val="sr-Latn-ME"/>
        </w:rPr>
        <w:t>nezavisno od godina starosti. Bez obzira na nivoe</w:t>
      </w:r>
      <w:r w:rsidR="004B33C6" w:rsidRPr="000D3D7F">
        <w:rPr>
          <w:szCs w:val="22"/>
          <w:lang w:val="sr-Latn-ME"/>
        </w:rPr>
        <w:t xml:space="preserve"> </w:t>
      </w:r>
      <w:r w:rsidRPr="000D3D7F">
        <w:rPr>
          <w:szCs w:val="22"/>
          <w:lang w:val="sr-Latn-ME"/>
        </w:rPr>
        <w:t>β2-mikroglobulina na početku, svi parametri praćenja efikasnosti (vr</w:t>
      </w:r>
      <w:r w:rsidR="00FF1730" w:rsidRPr="000D3D7F">
        <w:rPr>
          <w:szCs w:val="22"/>
          <w:lang w:val="sr-Latn-ME"/>
        </w:rPr>
        <w:t>ij</w:t>
      </w:r>
      <w:r w:rsidRPr="000D3D7F">
        <w:rPr>
          <w:szCs w:val="22"/>
          <w:lang w:val="sr-Latn-ME"/>
        </w:rPr>
        <w:t>eme do progresije bolesti i ukupno</w:t>
      </w:r>
      <w:r w:rsidR="004B33C6" w:rsidRPr="000D3D7F">
        <w:rPr>
          <w:szCs w:val="22"/>
          <w:lang w:val="sr-Latn-ME"/>
        </w:rPr>
        <w:t xml:space="preserve"> </w:t>
      </w:r>
      <w:r w:rsidRPr="000D3D7F">
        <w:rPr>
          <w:szCs w:val="22"/>
          <w:lang w:val="sr-Latn-ME"/>
        </w:rPr>
        <w:t xml:space="preserve">preživljavanje, kao i procenat odgovora) bili su značajno poboljšani u grupi koja je primala </w:t>
      </w:r>
      <w:r w:rsidR="00B32611" w:rsidRPr="000D3D7F">
        <w:rPr>
          <w:szCs w:val="22"/>
          <w:lang w:val="sr-Latn-ME"/>
        </w:rPr>
        <w:t>bortezomib</w:t>
      </w:r>
      <w:r w:rsidRPr="000D3D7F">
        <w:rPr>
          <w:szCs w:val="22"/>
          <w:lang w:val="sr-Latn-ME"/>
        </w:rPr>
        <w:t>.</w:t>
      </w:r>
    </w:p>
    <w:p w14:paraId="34BB8017" w14:textId="2C44A043" w:rsidR="009E39C5" w:rsidRPr="000D3D7F" w:rsidRDefault="009E39C5" w:rsidP="001E1F5A">
      <w:pPr>
        <w:rPr>
          <w:szCs w:val="22"/>
          <w:lang w:val="sr-Latn-ME"/>
        </w:rPr>
      </w:pPr>
      <w:r w:rsidRPr="000D3D7F">
        <w:rPr>
          <w:szCs w:val="22"/>
          <w:lang w:val="sr-Latn-ME"/>
        </w:rPr>
        <w:t>U refraktornoj populaciji u studiji faze II, odgovor je proc</w:t>
      </w:r>
      <w:r w:rsidR="00FF1730" w:rsidRPr="000D3D7F">
        <w:rPr>
          <w:szCs w:val="22"/>
          <w:lang w:val="sr-Latn-ME"/>
        </w:rPr>
        <w:t>j</w:t>
      </w:r>
      <w:r w:rsidRPr="000D3D7F">
        <w:rPr>
          <w:szCs w:val="22"/>
          <w:lang w:val="sr-Latn-ME"/>
        </w:rPr>
        <w:t>enjivao nezavisni odbor, a kriterijumi za odgovor</w:t>
      </w:r>
      <w:r w:rsidR="004B33C6" w:rsidRPr="000D3D7F">
        <w:rPr>
          <w:szCs w:val="22"/>
          <w:lang w:val="sr-Latn-ME"/>
        </w:rPr>
        <w:t xml:space="preserve"> </w:t>
      </w:r>
      <w:r w:rsidRPr="000D3D7F">
        <w:rPr>
          <w:szCs w:val="22"/>
          <w:lang w:val="sr-Latn-ME"/>
        </w:rPr>
        <w:t>su preuzeti od Evropske grupe za transplantaciju kostne srži (European Bone Marrow Transplant Group).</w:t>
      </w:r>
    </w:p>
    <w:p w14:paraId="217BF950" w14:textId="506B5467" w:rsidR="009E39C5" w:rsidRPr="000D3D7F" w:rsidRDefault="009E39C5" w:rsidP="001E1F5A">
      <w:pPr>
        <w:rPr>
          <w:szCs w:val="22"/>
          <w:lang w:val="sr-Latn-ME"/>
        </w:rPr>
      </w:pPr>
      <w:r w:rsidRPr="000D3D7F">
        <w:rPr>
          <w:szCs w:val="22"/>
          <w:lang w:val="sr-Latn-ME"/>
        </w:rPr>
        <w:t>Medijana preživljavanja svih uključenih pacijenata iznosilo je 17 m</w:t>
      </w:r>
      <w:r w:rsidR="00FF1730" w:rsidRPr="000D3D7F">
        <w:rPr>
          <w:szCs w:val="22"/>
          <w:lang w:val="sr-Latn-ME"/>
        </w:rPr>
        <w:t>j</w:t>
      </w:r>
      <w:r w:rsidRPr="000D3D7F">
        <w:rPr>
          <w:szCs w:val="22"/>
          <w:lang w:val="sr-Latn-ME"/>
        </w:rPr>
        <w:t>eseci (ops</w:t>
      </w:r>
      <w:r w:rsidR="00FF1730" w:rsidRPr="000D3D7F">
        <w:rPr>
          <w:szCs w:val="22"/>
          <w:lang w:val="sr-Latn-ME"/>
        </w:rPr>
        <w:t>j</w:t>
      </w:r>
      <w:r w:rsidRPr="000D3D7F">
        <w:rPr>
          <w:szCs w:val="22"/>
          <w:lang w:val="sr-Latn-ME"/>
        </w:rPr>
        <w:t>eg &lt;1 do 36+ m</w:t>
      </w:r>
      <w:r w:rsidR="00FF1730" w:rsidRPr="000D3D7F">
        <w:rPr>
          <w:szCs w:val="22"/>
          <w:lang w:val="sr-Latn-ME"/>
        </w:rPr>
        <w:t>j</w:t>
      </w:r>
      <w:r w:rsidRPr="000D3D7F">
        <w:rPr>
          <w:szCs w:val="22"/>
          <w:lang w:val="sr-Latn-ME"/>
        </w:rPr>
        <w:t>eseci). Ovo</w:t>
      </w:r>
      <w:r w:rsidR="004B33C6" w:rsidRPr="000D3D7F">
        <w:rPr>
          <w:szCs w:val="22"/>
          <w:lang w:val="sr-Latn-ME"/>
        </w:rPr>
        <w:t xml:space="preserve"> </w:t>
      </w:r>
      <w:r w:rsidRPr="000D3D7F">
        <w:rPr>
          <w:szCs w:val="22"/>
          <w:lang w:val="sr-Latn-ME"/>
        </w:rPr>
        <w:t>preživljavanje je bilo veće od medijane preživljavanje od šest do devet m</w:t>
      </w:r>
      <w:r w:rsidR="00FF1730" w:rsidRPr="000D3D7F">
        <w:rPr>
          <w:szCs w:val="22"/>
          <w:lang w:val="sr-Latn-ME"/>
        </w:rPr>
        <w:t>j</w:t>
      </w:r>
      <w:r w:rsidRPr="000D3D7F">
        <w:rPr>
          <w:szCs w:val="22"/>
          <w:lang w:val="sr-Latn-ME"/>
        </w:rPr>
        <w:t>eseci koje su predvid</w:t>
      </w:r>
      <w:r w:rsidR="00FF1730" w:rsidRPr="000D3D7F">
        <w:rPr>
          <w:szCs w:val="22"/>
          <w:lang w:val="sr-Latn-ME"/>
        </w:rPr>
        <w:t>j</w:t>
      </w:r>
      <w:r w:rsidRPr="000D3D7F">
        <w:rPr>
          <w:szCs w:val="22"/>
          <w:lang w:val="sr-Latn-ME"/>
        </w:rPr>
        <w:t>eli konsultanti</w:t>
      </w:r>
      <w:r w:rsidR="00395F63" w:rsidRPr="000D3D7F">
        <w:rPr>
          <w:szCs w:val="22"/>
          <w:lang w:val="sr-Latn-ME"/>
        </w:rPr>
        <w:t xml:space="preserve"> </w:t>
      </w:r>
      <w:r w:rsidRPr="000D3D7F">
        <w:rPr>
          <w:szCs w:val="22"/>
          <w:lang w:val="sr-Latn-ME"/>
        </w:rPr>
        <w:t>klinički</w:t>
      </w:r>
      <w:r w:rsidR="004B33C6" w:rsidRPr="000D3D7F">
        <w:rPr>
          <w:szCs w:val="22"/>
          <w:lang w:val="sr-Latn-ME"/>
        </w:rPr>
        <w:t xml:space="preserve"> </w:t>
      </w:r>
      <w:r w:rsidRPr="000D3D7F">
        <w:rPr>
          <w:szCs w:val="22"/>
          <w:lang w:val="sr-Latn-ME"/>
        </w:rPr>
        <w:t>istraživači za sličnu populaciju pacijenata. Prema rezultatima multivarijatne analize, stopa odgovora</w:t>
      </w:r>
      <w:r w:rsidR="004B33C6" w:rsidRPr="000D3D7F">
        <w:rPr>
          <w:szCs w:val="22"/>
          <w:lang w:val="sr-Latn-ME"/>
        </w:rPr>
        <w:t xml:space="preserve"> </w:t>
      </w:r>
      <w:r w:rsidRPr="000D3D7F">
        <w:rPr>
          <w:szCs w:val="22"/>
          <w:lang w:val="sr-Latn-ME"/>
        </w:rPr>
        <w:t>nije zavisila od vrste mijeloma, opšteg stanja pacijenta, delecije hromozoma 13, kao ni od broja i vrste</w:t>
      </w:r>
      <w:r w:rsidR="004B33C6" w:rsidRPr="000D3D7F">
        <w:rPr>
          <w:szCs w:val="22"/>
          <w:lang w:val="sr-Latn-ME"/>
        </w:rPr>
        <w:t xml:space="preserve"> </w:t>
      </w:r>
      <w:r w:rsidRPr="000D3D7F">
        <w:rPr>
          <w:szCs w:val="22"/>
          <w:lang w:val="sr-Latn-ME"/>
        </w:rPr>
        <w:t>prethodnih terapija; kod bolesnika koji su prethodno l</w:t>
      </w:r>
      <w:r w:rsidR="00FF1730" w:rsidRPr="000D3D7F">
        <w:rPr>
          <w:szCs w:val="22"/>
          <w:lang w:val="sr-Latn-ME"/>
        </w:rPr>
        <w:t>ij</w:t>
      </w:r>
      <w:r w:rsidRPr="000D3D7F">
        <w:rPr>
          <w:szCs w:val="22"/>
          <w:lang w:val="sr-Latn-ME"/>
        </w:rPr>
        <w:t>ečeni sa 2 do 3 linije terapije, stopa odgovora bila je</w:t>
      </w:r>
      <w:r w:rsidR="004B33C6" w:rsidRPr="000D3D7F">
        <w:rPr>
          <w:szCs w:val="22"/>
          <w:lang w:val="sr-Latn-ME"/>
        </w:rPr>
        <w:t xml:space="preserve"> </w:t>
      </w:r>
      <w:r w:rsidRPr="000D3D7F">
        <w:rPr>
          <w:szCs w:val="22"/>
          <w:lang w:val="sr-Latn-ME"/>
        </w:rPr>
        <w:t>32% (10/32), a kod pacijenata koji su primili više od 7 prethodnih linija terapije, stopa odgovora iznosila je</w:t>
      </w:r>
      <w:r w:rsidR="004B33C6" w:rsidRPr="000D3D7F">
        <w:rPr>
          <w:szCs w:val="22"/>
          <w:lang w:val="sr-Latn-ME"/>
        </w:rPr>
        <w:t xml:space="preserve"> </w:t>
      </w:r>
      <w:r w:rsidRPr="000D3D7F">
        <w:rPr>
          <w:szCs w:val="22"/>
          <w:lang w:val="sr-Latn-ME"/>
        </w:rPr>
        <w:t>31% (21/67).</w:t>
      </w:r>
    </w:p>
    <w:p w14:paraId="00D8DEF3" w14:textId="37C37585" w:rsidR="009E39C5" w:rsidRPr="000D3D7F" w:rsidRDefault="009E39C5" w:rsidP="001E1F5A">
      <w:pPr>
        <w:rPr>
          <w:i/>
          <w:iCs/>
          <w:szCs w:val="22"/>
          <w:lang w:val="sr-Latn-ME"/>
        </w:rPr>
      </w:pPr>
      <w:r w:rsidRPr="000D3D7F">
        <w:rPr>
          <w:i/>
          <w:iCs/>
          <w:szCs w:val="22"/>
          <w:lang w:val="sr-Latn-ME"/>
        </w:rPr>
        <w:t>Tabela 14: Rezime ishoda iz kliničkih ispitivanja faze III (APEX) i faze II</w:t>
      </w:r>
    </w:p>
    <w:tbl>
      <w:tblPr>
        <w:tblW w:w="10351" w:type="dxa"/>
        <w:tblInd w:w="-431" w:type="dxa"/>
        <w:tblLayout w:type="fixed"/>
        <w:tblCellMar>
          <w:left w:w="0" w:type="dxa"/>
          <w:right w:w="0" w:type="dxa"/>
        </w:tblCellMar>
        <w:tblLook w:val="0000" w:firstRow="0" w:lastRow="0" w:firstColumn="0" w:lastColumn="0" w:noHBand="0" w:noVBand="0"/>
      </w:tblPr>
      <w:tblGrid>
        <w:gridCol w:w="1171"/>
        <w:gridCol w:w="1141"/>
        <w:gridCol w:w="1110"/>
        <w:gridCol w:w="1349"/>
        <w:gridCol w:w="1440"/>
        <w:gridCol w:w="1262"/>
        <w:gridCol w:w="1348"/>
        <w:gridCol w:w="1530"/>
      </w:tblGrid>
      <w:tr w:rsidR="009E39C5" w:rsidRPr="000D3D7F" w14:paraId="7A5837C5" w14:textId="77777777" w:rsidTr="00DB317D">
        <w:trPr>
          <w:trHeight w:val="254"/>
        </w:trPr>
        <w:tc>
          <w:tcPr>
            <w:tcW w:w="1171" w:type="dxa"/>
            <w:tcBorders>
              <w:top w:val="single" w:sz="4" w:space="0" w:color="000000"/>
              <w:left w:val="single" w:sz="4" w:space="0" w:color="000000"/>
              <w:bottom w:val="single" w:sz="4" w:space="0" w:color="000000"/>
              <w:right w:val="single" w:sz="4" w:space="0" w:color="000000"/>
            </w:tcBorders>
          </w:tcPr>
          <w:p w14:paraId="1BF1C820" w14:textId="77777777" w:rsidR="009E39C5" w:rsidRPr="000D3D7F" w:rsidRDefault="009E39C5" w:rsidP="001E1F5A">
            <w:pPr>
              <w:rPr>
                <w:lang w:val="sr-Latn-ME"/>
              </w:rPr>
            </w:pPr>
          </w:p>
        </w:tc>
        <w:tc>
          <w:tcPr>
            <w:tcW w:w="2251" w:type="dxa"/>
            <w:gridSpan w:val="2"/>
            <w:tcBorders>
              <w:top w:val="single" w:sz="4" w:space="0" w:color="000000"/>
              <w:left w:val="single" w:sz="4" w:space="0" w:color="000000"/>
              <w:bottom w:val="single" w:sz="4" w:space="0" w:color="000000"/>
              <w:right w:val="single" w:sz="4" w:space="0" w:color="000000"/>
            </w:tcBorders>
          </w:tcPr>
          <w:p w14:paraId="2597357D" w14:textId="77777777" w:rsidR="009E39C5" w:rsidRPr="000D3D7F" w:rsidRDefault="009E39C5" w:rsidP="001E1F5A">
            <w:pPr>
              <w:rPr>
                <w:b/>
                <w:bCs/>
                <w:lang w:val="sr-Latn-ME"/>
              </w:rPr>
            </w:pPr>
            <w:r w:rsidRPr="000D3D7F">
              <w:rPr>
                <w:b/>
                <w:bCs/>
                <w:szCs w:val="22"/>
                <w:lang w:val="sr-Latn-ME"/>
              </w:rPr>
              <w:t>Faza III</w:t>
            </w:r>
          </w:p>
        </w:tc>
        <w:tc>
          <w:tcPr>
            <w:tcW w:w="2789" w:type="dxa"/>
            <w:gridSpan w:val="2"/>
            <w:tcBorders>
              <w:top w:val="single" w:sz="4" w:space="0" w:color="000000"/>
              <w:left w:val="single" w:sz="4" w:space="0" w:color="000000"/>
              <w:bottom w:val="single" w:sz="4" w:space="0" w:color="000000"/>
              <w:right w:val="single" w:sz="4" w:space="0" w:color="000000"/>
            </w:tcBorders>
          </w:tcPr>
          <w:p w14:paraId="34EBC94A" w14:textId="77777777" w:rsidR="009E39C5" w:rsidRPr="000D3D7F" w:rsidRDefault="009E39C5" w:rsidP="001E1F5A">
            <w:pPr>
              <w:rPr>
                <w:b/>
                <w:bCs/>
                <w:lang w:val="sr-Latn-ME"/>
              </w:rPr>
            </w:pPr>
            <w:r w:rsidRPr="000D3D7F">
              <w:rPr>
                <w:b/>
                <w:bCs/>
                <w:szCs w:val="22"/>
                <w:lang w:val="sr-Latn-ME"/>
              </w:rPr>
              <w:t>Faza III</w:t>
            </w:r>
          </w:p>
        </w:tc>
        <w:tc>
          <w:tcPr>
            <w:tcW w:w="2610" w:type="dxa"/>
            <w:gridSpan w:val="2"/>
            <w:tcBorders>
              <w:top w:val="single" w:sz="4" w:space="0" w:color="000000"/>
              <w:left w:val="single" w:sz="4" w:space="0" w:color="000000"/>
              <w:bottom w:val="single" w:sz="4" w:space="0" w:color="000000"/>
              <w:right w:val="single" w:sz="4" w:space="0" w:color="000000"/>
            </w:tcBorders>
          </w:tcPr>
          <w:p w14:paraId="5495DD4B" w14:textId="77777777" w:rsidR="009E39C5" w:rsidRPr="000D3D7F" w:rsidRDefault="009E39C5" w:rsidP="001E1F5A">
            <w:pPr>
              <w:rPr>
                <w:b/>
                <w:bCs/>
                <w:lang w:val="sr-Latn-ME"/>
              </w:rPr>
            </w:pPr>
            <w:r w:rsidRPr="000D3D7F">
              <w:rPr>
                <w:b/>
                <w:bCs/>
                <w:szCs w:val="22"/>
                <w:lang w:val="sr-Latn-ME"/>
              </w:rPr>
              <w:t>Faza III</w:t>
            </w:r>
          </w:p>
        </w:tc>
        <w:tc>
          <w:tcPr>
            <w:tcW w:w="1530" w:type="dxa"/>
            <w:tcBorders>
              <w:top w:val="single" w:sz="4" w:space="0" w:color="000000"/>
              <w:left w:val="single" w:sz="4" w:space="0" w:color="000000"/>
              <w:bottom w:val="single" w:sz="4" w:space="0" w:color="000000"/>
              <w:right w:val="single" w:sz="4" w:space="0" w:color="000000"/>
            </w:tcBorders>
          </w:tcPr>
          <w:p w14:paraId="1457760B" w14:textId="77777777" w:rsidR="009E39C5" w:rsidRPr="000D3D7F" w:rsidRDefault="009E39C5" w:rsidP="001E1F5A">
            <w:pPr>
              <w:rPr>
                <w:b/>
                <w:bCs/>
                <w:lang w:val="sr-Latn-ME"/>
              </w:rPr>
            </w:pPr>
            <w:r w:rsidRPr="000D3D7F">
              <w:rPr>
                <w:b/>
                <w:bCs/>
                <w:szCs w:val="22"/>
                <w:lang w:val="sr-Latn-ME"/>
              </w:rPr>
              <w:t>Faza II</w:t>
            </w:r>
          </w:p>
        </w:tc>
      </w:tr>
      <w:tr w:rsidR="009E39C5" w:rsidRPr="000D3D7F" w14:paraId="5F814659" w14:textId="77777777" w:rsidTr="00DB317D">
        <w:trPr>
          <w:trHeight w:val="565"/>
        </w:trPr>
        <w:tc>
          <w:tcPr>
            <w:tcW w:w="1171" w:type="dxa"/>
            <w:tcBorders>
              <w:top w:val="single" w:sz="4" w:space="0" w:color="000000"/>
              <w:left w:val="single" w:sz="4" w:space="0" w:color="000000"/>
              <w:bottom w:val="single" w:sz="4" w:space="0" w:color="000000"/>
              <w:right w:val="single" w:sz="4" w:space="0" w:color="000000"/>
            </w:tcBorders>
          </w:tcPr>
          <w:p w14:paraId="25606E1D" w14:textId="77777777" w:rsidR="009E39C5" w:rsidRPr="000D3D7F" w:rsidRDefault="009E39C5" w:rsidP="001E1F5A">
            <w:pPr>
              <w:rPr>
                <w:lang w:val="sr-Latn-ME"/>
              </w:rPr>
            </w:pPr>
          </w:p>
        </w:tc>
        <w:tc>
          <w:tcPr>
            <w:tcW w:w="2251" w:type="dxa"/>
            <w:gridSpan w:val="2"/>
            <w:tcBorders>
              <w:top w:val="single" w:sz="4" w:space="0" w:color="000000"/>
              <w:left w:val="single" w:sz="4" w:space="0" w:color="000000"/>
              <w:bottom w:val="single" w:sz="4" w:space="0" w:color="000000"/>
              <w:right w:val="single" w:sz="4" w:space="0" w:color="000000"/>
            </w:tcBorders>
          </w:tcPr>
          <w:p w14:paraId="7F6D1796" w14:textId="77777777" w:rsidR="009E39C5" w:rsidRPr="000D3D7F" w:rsidRDefault="009E39C5" w:rsidP="001E1F5A">
            <w:pPr>
              <w:rPr>
                <w:b/>
                <w:bCs/>
                <w:lang w:val="sr-Latn-ME"/>
              </w:rPr>
            </w:pPr>
            <w:r w:rsidRPr="000D3D7F">
              <w:rPr>
                <w:b/>
                <w:bCs/>
                <w:szCs w:val="22"/>
                <w:lang w:val="sr-Latn-ME"/>
              </w:rPr>
              <w:t>Svi pacijenti</w:t>
            </w:r>
          </w:p>
        </w:tc>
        <w:tc>
          <w:tcPr>
            <w:tcW w:w="2789" w:type="dxa"/>
            <w:gridSpan w:val="2"/>
            <w:tcBorders>
              <w:top w:val="single" w:sz="4" w:space="0" w:color="000000"/>
              <w:left w:val="single" w:sz="4" w:space="0" w:color="000000"/>
              <w:bottom w:val="single" w:sz="4" w:space="0" w:color="000000"/>
              <w:right w:val="single" w:sz="4" w:space="0" w:color="000000"/>
            </w:tcBorders>
          </w:tcPr>
          <w:p w14:paraId="172ED985" w14:textId="77777777" w:rsidR="009E39C5" w:rsidRPr="000D3D7F" w:rsidRDefault="009E39C5" w:rsidP="001E1F5A">
            <w:pPr>
              <w:rPr>
                <w:b/>
                <w:bCs/>
                <w:lang w:val="sr-Latn-ME"/>
              </w:rPr>
            </w:pPr>
            <w:r w:rsidRPr="000D3D7F">
              <w:rPr>
                <w:b/>
                <w:bCs/>
                <w:szCs w:val="22"/>
                <w:lang w:val="sr-Latn-ME"/>
              </w:rPr>
              <w:t>1 prethodna linija Terapije</w:t>
            </w:r>
          </w:p>
        </w:tc>
        <w:tc>
          <w:tcPr>
            <w:tcW w:w="2610" w:type="dxa"/>
            <w:gridSpan w:val="2"/>
            <w:tcBorders>
              <w:top w:val="single" w:sz="4" w:space="0" w:color="000000"/>
              <w:left w:val="single" w:sz="4" w:space="0" w:color="000000"/>
              <w:bottom w:val="single" w:sz="4" w:space="0" w:color="000000"/>
              <w:right w:val="single" w:sz="4" w:space="0" w:color="000000"/>
            </w:tcBorders>
          </w:tcPr>
          <w:p w14:paraId="7B5B78E3" w14:textId="77777777" w:rsidR="009E39C5" w:rsidRPr="000D3D7F" w:rsidRDefault="009E39C5" w:rsidP="001E1F5A">
            <w:pPr>
              <w:rPr>
                <w:b/>
                <w:bCs/>
                <w:lang w:val="sr-Latn-ME"/>
              </w:rPr>
            </w:pPr>
            <w:r w:rsidRPr="000D3D7F">
              <w:rPr>
                <w:b/>
                <w:bCs/>
                <w:szCs w:val="22"/>
                <w:lang w:val="sr-Latn-ME"/>
              </w:rPr>
              <w:t>&gt;1 prethodne linije terapije</w:t>
            </w:r>
          </w:p>
        </w:tc>
        <w:tc>
          <w:tcPr>
            <w:tcW w:w="1530" w:type="dxa"/>
            <w:tcBorders>
              <w:top w:val="single" w:sz="4" w:space="0" w:color="000000"/>
              <w:left w:val="single" w:sz="4" w:space="0" w:color="000000"/>
              <w:bottom w:val="single" w:sz="4" w:space="0" w:color="000000"/>
              <w:right w:val="single" w:sz="4" w:space="0" w:color="000000"/>
            </w:tcBorders>
          </w:tcPr>
          <w:p w14:paraId="7F3997CB" w14:textId="77777777" w:rsidR="009E39C5" w:rsidRPr="000D3D7F" w:rsidRDefault="009E39C5" w:rsidP="001E1F5A">
            <w:pPr>
              <w:rPr>
                <w:b/>
                <w:bCs/>
                <w:lang w:val="sr-Latn-ME"/>
              </w:rPr>
            </w:pPr>
            <w:r w:rsidRPr="000D3D7F">
              <w:rPr>
                <w:b/>
                <w:bCs/>
                <w:szCs w:val="22"/>
                <w:lang w:val="sr-Latn-ME"/>
              </w:rPr>
              <w:t>≥ 2 prethodne linije terapije</w:t>
            </w:r>
          </w:p>
        </w:tc>
      </w:tr>
      <w:tr w:rsidR="009E39C5" w:rsidRPr="000D3D7F" w14:paraId="0FBF2BEF" w14:textId="77777777" w:rsidTr="00DB317D">
        <w:trPr>
          <w:trHeight w:val="758"/>
        </w:trPr>
        <w:tc>
          <w:tcPr>
            <w:tcW w:w="1171" w:type="dxa"/>
            <w:tcBorders>
              <w:top w:val="single" w:sz="4" w:space="0" w:color="000000"/>
              <w:left w:val="single" w:sz="4" w:space="0" w:color="000000"/>
              <w:bottom w:val="single" w:sz="4" w:space="0" w:color="000000"/>
              <w:right w:val="single" w:sz="4" w:space="0" w:color="000000"/>
            </w:tcBorders>
          </w:tcPr>
          <w:p w14:paraId="7D74AB0E" w14:textId="77777777" w:rsidR="009E39C5" w:rsidRPr="000D3D7F" w:rsidRDefault="009E39C5" w:rsidP="001E1F5A">
            <w:pPr>
              <w:rPr>
                <w:b/>
                <w:bCs/>
                <w:lang w:val="sr-Latn-ME"/>
              </w:rPr>
            </w:pPr>
            <w:r w:rsidRPr="000D3D7F">
              <w:rPr>
                <w:b/>
                <w:bCs/>
                <w:szCs w:val="22"/>
                <w:lang w:val="sr-Latn-ME"/>
              </w:rPr>
              <w:t>Dogadjaji vezani za</w:t>
            </w:r>
          </w:p>
          <w:p w14:paraId="7FD33969" w14:textId="50DC7644" w:rsidR="009E39C5" w:rsidRPr="000D3D7F" w:rsidRDefault="009E39C5" w:rsidP="001E1F5A">
            <w:pPr>
              <w:rPr>
                <w:b/>
                <w:bCs/>
                <w:lang w:val="sr-Latn-ME"/>
              </w:rPr>
            </w:pPr>
            <w:r w:rsidRPr="000D3D7F">
              <w:rPr>
                <w:b/>
                <w:bCs/>
                <w:szCs w:val="22"/>
                <w:lang w:val="sr-Latn-ME"/>
              </w:rPr>
              <w:t>vr</w:t>
            </w:r>
            <w:r w:rsidR="00FF1730" w:rsidRPr="000D3D7F">
              <w:rPr>
                <w:b/>
                <w:bCs/>
                <w:szCs w:val="22"/>
                <w:lang w:val="sr-Latn-ME"/>
              </w:rPr>
              <w:t>ij</w:t>
            </w:r>
            <w:r w:rsidRPr="000D3D7F">
              <w:rPr>
                <w:b/>
                <w:bCs/>
                <w:szCs w:val="22"/>
                <w:lang w:val="sr-Latn-ME"/>
              </w:rPr>
              <w:t>eme</w:t>
            </w:r>
          </w:p>
        </w:tc>
        <w:tc>
          <w:tcPr>
            <w:tcW w:w="1141" w:type="dxa"/>
            <w:tcBorders>
              <w:top w:val="single" w:sz="4" w:space="0" w:color="000000"/>
              <w:left w:val="single" w:sz="4" w:space="0" w:color="000000"/>
              <w:bottom w:val="single" w:sz="4" w:space="0" w:color="000000"/>
              <w:right w:val="single" w:sz="4" w:space="0" w:color="000000"/>
            </w:tcBorders>
          </w:tcPr>
          <w:p w14:paraId="654E5EC3" w14:textId="75F87E84" w:rsidR="009E39C5" w:rsidRPr="000D3D7F" w:rsidRDefault="00B32611" w:rsidP="001E1F5A">
            <w:pPr>
              <w:rPr>
                <w:b/>
                <w:bCs/>
                <w:vertAlign w:val="superscript"/>
                <w:lang w:val="sr-Latn-ME"/>
              </w:rPr>
            </w:pPr>
            <w:r w:rsidRPr="000D3D7F">
              <w:rPr>
                <w:b/>
                <w:bCs/>
                <w:szCs w:val="22"/>
                <w:lang w:val="sr-Latn-ME"/>
              </w:rPr>
              <w:t>Bortezomib</w:t>
            </w:r>
            <w:r w:rsidR="009E39C5" w:rsidRPr="000D3D7F">
              <w:rPr>
                <w:b/>
                <w:bCs/>
                <w:szCs w:val="22"/>
                <w:lang w:val="sr-Latn-ME"/>
              </w:rPr>
              <w:t xml:space="preserve"> N=333</w:t>
            </w:r>
            <w:r w:rsidR="009E39C5" w:rsidRPr="000D3D7F">
              <w:rPr>
                <w:b/>
                <w:bCs/>
                <w:szCs w:val="22"/>
                <w:vertAlign w:val="superscript"/>
                <w:lang w:val="sr-Latn-ME"/>
              </w:rPr>
              <w:t>a</w:t>
            </w:r>
          </w:p>
        </w:tc>
        <w:tc>
          <w:tcPr>
            <w:tcW w:w="1110" w:type="dxa"/>
            <w:tcBorders>
              <w:top w:val="single" w:sz="4" w:space="0" w:color="000000"/>
              <w:left w:val="single" w:sz="4" w:space="0" w:color="000000"/>
              <w:bottom w:val="single" w:sz="4" w:space="0" w:color="000000"/>
              <w:right w:val="single" w:sz="4" w:space="0" w:color="000000"/>
            </w:tcBorders>
          </w:tcPr>
          <w:p w14:paraId="4816A907" w14:textId="77777777" w:rsidR="00B32611" w:rsidRPr="000D3D7F" w:rsidRDefault="009E39C5" w:rsidP="001E1F5A">
            <w:pPr>
              <w:rPr>
                <w:b/>
                <w:bCs/>
                <w:lang w:val="sr-Latn-ME"/>
              </w:rPr>
            </w:pPr>
            <w:r w:rsidRPr="000D3D7F">
              <w:rPr>
                <w:b/>
                <w:bCs/>
                <w:szCs w:val="22"/>
                <w:lang w:val="sr-Latn-ME"/>
              </w:rPr>
              <w:t xml:space="preserve">Dex </w:t>
            </w:r>
          </w:p>
          <w:p w14:paraId="0A965528" w14:textId="4EF5D5C4" w:rsidR="009E39C5" w:rsidRPr="000D3D7F" w:rsidRDefault="009E39C5" w:rsidP="001E1F5A">
            <w:pPr>
              <w:rPr>
                <w:b/>
                <w:bCs/>
                <w:vertAlign w:val="superscript"/>
                <w:lang w:val="sr-Latn-ME"/>
              </w:rPr>
            </w:pPr>
            <w:r w:rsidRPr="000D3D7F">
              <w:rPr>
                <w:b/>
                <w:bCs/>
                <w:szCs w:val="22"/>
                <w:lang w:val="sr-Latn-ME"/>
              </w:rPr>
              <w:t>N=336</w:t>
            </w:r>
            <w:r w:rsidRPr="000D3D7F">
              <w:rPr>
                <w:b/>
                <w:bCs/>
                <w:szCs w:val="22"/>
                <w:vertAlign w:val="superscript"/>
                <w:lang w:val="sr-Latn-ME"/>
              </w:rPr>
              <w:t>a</w:t>
            </w:r>
          </w:p>
        </w:tc>
        <w:tc>
          <w:tcPr>
            <w:tcW w:w="1349" w:type="dxa"/>
            <w:tcBorders>
              <w:top w:val="single" w:sz="4" w:space="0" w:color="000000"/>
              <w:left w:val="single" w:sz="4" w:space="0" w:color="000000"/>
              <w:bottom w:val="single" w:sz="4" w:space="0" w:color="000000"/>
              <w:right w:val="single" w:sz="4" w:space="0" w:color="000000"/>
            </w:tcBorders>
          </w:tcPr>
          <w:p w14:paraId="444D8BBD" w14:textId="7D33392A" w:rsidR="009E39C5" w:rsidRPr="000D3D7F" w:rsidRDefault="00F21E1D" w:rsidP="001E1F5A">
            <w:pPr>
              <w:rPr>
                <w:b/>
                <w:bCs/>
                <w:vertAlign w:val="superscript"/>
                <w:lang w:val="sr-Latn-ME"/>
              </w:rPr>
            </w:pPr>
            <w:r w:rsidRPr="000D3D7F">
              <w:rPr>
                <w:b/>
                <w:bCs/>
                <w:szCs w:val="22"/>
                <w:lang w:val="sr-Latn-ME"/>
              </w:rPr>
              <w:t xml:space="preserve">Bortezomib </w:t>
            </w:r>
            <w:r w:rsidR="009E39C5" w:rsidRPr="000D3D7F">
              <w:rPr>
                <w:b/>
                <w:bCs/>
                <w:szCs w:val="22"/>
                <w:lang w:val="sr-Latn-ME"/>
              </w:rPr>
              <w:t>N=132</w:t>
            </w:r>
            <w:r w:rsidR="009E39C5" w:rsidRPr="000D3D7F">
              <w:rPr>
                <w:b/>
                <w:bCs/>
                <w:szCs w:val="22"/>
                <w:vertAlign w:val="superscript"/>
                <w:lang w:val="sr-Latn-ME"/>
              </w:rPr>
              <w:t>a</w:t>
            </w:r>
          </w:p>
        </w:tc>
        <w:tc>
          <w:tcPr>
            <w:tcW w:w="1440" w:type="dxa"/>
            <w:tcBorders>
              <w:top w:val="single" w:sz="4" w:space="0" w:color="000000"/>
              <w:left w:val="single" w:sz="4" w:space="0" w:color="000000"/>
              <w:bottom w:val="single" w:sz="4" w:space="0" w:color="000000"/>
              <w:right w:val="single" w:sz="4" w:space="0" w:color="000000"/>
            </w:tcBorders>
          </w:tcPr>
          <w:p w14:paraId="6DF6B1F1" w14:textId="77777777" w:rsidR="009E39C5" w:rsidRPr="000D3D7F" w:rsidRDefault="009E39C5" w:rsidP="001E1F5A">
            <w:pPr>
              <w:rPr>
                <w:b/>
                <w:bCs/>
                <w:vertAlign w:val="superscript"/>
                <w:lang w:val="sr-Latn-ME"/>
              </w:rPr>
            </w:pPr>
            <w:r w:rsidRPr="000D3D7F">
              <w:rPr>
                <w:b/>
                <w:bCs/>
                <w:szCs w:val="22"/>
                <w:lang w:val="sr-Latn-ME"/>
              </w:rPr>
              <w:t>Dex N=119</w:t>
            </w:r>
            <w:r w:rsidRPr="000D3D7F">
              <w:rPr>
                <w:b/>
                <w:bCs/>
                <w:szCs w:val="22"/>
                <w:vertAlign w:val="superscript"/>
                <w:lang w:val="sr-Latn-ME"/>
              </w:rPr>
              <w:t>a</w:t>
            </w:r>
          </w:p>
        </w:tc>
        <w:tc>
          <w:tcPr>
            <w:tcW w:w="1262" w:type="dxa"/>
            <w:tcBorders>
              <w:top w:val="single" w:sz="4" w:space="0" w:color="000000"/>
              <w:left w:val="single" w:sz="4" w:space="0" w:color="000000"/>
              <w:bottom w:val="single" w:sz="4" w:space="0" w:color="000000"/>
              <w:right w:val="single" w:sz="4" w:space="0" w:color="000000"/>
            </w:tcBorders>
          </w:tcPr>
          <w:p w14:paraId="2C15540D" w14:textId="37F8F0B5" w:rsidR="009E39C5" w:rsidRPr="000D3D7F" w:rsidRDefault="00F21E1D" w:rsidP="001E1F5A">
            <w:pPr>
              <w:rPr>
                <w:b/>
                <w:bCs/>
                <w:vertAlign w:val="superscript"/>
                <w:lang w:val="sr-Latn-ME"/>
              </w:rPr>
            </w:pPr>
            <w:r w:rsidRPr="000D3D7F">
              <w:rPr>
                <w:b/>
                <w:bCs/>
                <w:szCs w:val="22"/>
                <w:lang w:val="sr-Latn-ME"/>
              </w:rPr>
              <w:t xml:space="preserve">Bortezomib </w:t>
            </w:r>
            <w:r w:rsidR="009E39C5" w:rsidRPr="000D3D7F">
              <w:rPr>
                <w:b/>
                <w:bCs/>
                <w:szCs w:val="22"/>
                <w:lang w:val="sr-Latn-ME"/>
              </w:rPr>
              <w:t>N=200</w:t>
            </w:r>
            <w:r w:rsidR="009E39C5" w:rsidRPr="000D3D7F">
              <w:rPr>
                <w:b/>
                <w:bCs/>
                <w:szCs w:val="22"/>
                <w:vertAlign w:val="superscript"/>
                <w:lang w:val="sr-Latn-ME"/>
              </w:rPr>
              <w:t>a</w:t>
            </w:r>
          </w:p>
        </w:tc>
        <w:tc>
          <w:tcPr>
            <w:tcW w:w="1348" w:type="dxa"/>
            <w:tcBorders>
              <w:top w:val="single" w:sz="4" w:space="0" w:color="000000"/>
              <w:left w:val="single" w:sz="4" w:space="0" w:color="000000"/>
              <w:bottom w:val="single" w:sz="4" w:space="0" w:color="000000"/>
              <w:right w:val="single" w:sz="4" w:space="0" w:color="000000"/>
            </w:tcBorders>
          </w:tcPr>
          <w:p w14:paraId="494646F8" w14:textId="77777777" w:rsidR="009E39C5" w:rsidRPr="000D3D7F" w:rsidRDefault="009E39C5" w:rsidP="001E1F5A">
            <w:pPr>
              <w:rPr>
                <w:b/>
                <w:bCs/>
                <w:vertAlign w:val="superscript"/>
                <w:lang w:val="sr-Latn-ME"/>
              </w:rPr>
            </w:pPr>
            <w:r w:rsidRPr="000D3D7F">
              <w:rPr>
                <w:b/>
                <w:bCs/>
                <w:szCs w:val="22"/>
                <w:lang w:val="sr-Latn-ME"/>
              </w:rPr>
              <w:t>Dex N=217</w:t>
            </w:r>
            <w:r w:rsidRPr="000D3D7F">
              <w:rPr>
                <w:b/>
                <w:bCs/>
                <w:szCs w:val="22"/>
                <w:vertAlign w:val="superscript"/>
                <w:lang w:val="sr-Latn-ME"/>
              </w:rPr>
              <w:t>a</w:t>
            </w:r>
          </w:p>
        </w:tc>
        <w:tc>
          <w:tcPr>
            <w:tcW w:w="1530" w:type="dxa"/>
            <w:tcBorders>
              <w:top w:val="single" w:sz="4" w:space="0" w:color="000000"/>
              <w:left w:val="single" w:sz="4" w:space="0" w:color="000000"/>
              <w:bottom w:val="single" w:sz="4" w:space="0" w:color="000000"/>
              <w:right w:val="single" w:sz="4" w:space="0" w:color="000000"/>
            </w:tcBorders>
          </w:tcPr>
          <w:p w14:paraId="281D868A" w14:textId="4D8A9285" w:rsidR="009E39C5" w:rsidRPr="000D3D7F" w:rsidRDefault="00F21E1D" w:rsidP="001E1F5A">
            <w:pPr>
              <w:rPr>
                <w:b/>
                <w:bCs/>
                <w:vertAlign w:val="superscript"/>
                <w:lang w:val="sr-Latn-ME"/>
              </w:rPr>
            </w:pPr>
            <w:r w:rsidRPr="000D3D7F">
              <w:rPr>
                <w:b/>
                <w:bCs/>
                <w:szCs w:val="22"/>
                <w:lang w:val="sr-Latn-ME"/>
              </w:rPr>
              <w:t xml:space="preserve">Bortezomib </w:t>
            </w:r>
            <w:r w:rsidR="009E39C5" w:rsidRPr="000D3D7F">
              <w:rPr>
                <w:b/>
                <w:bCs/>
                <w:szCs w:val="22"/>
                <w:lang w:val="sr-Latn-ME"/>
              </w:rPr>
              <w:t>N=202</w:t>
            </w:r>
            <w:r w:rsidR="009E39C5" w:rsidRPr="000D3D7F">
              <w:rPr>
                <w:b/>
                <w:bCs/>
                <w:szCs w:val="22"/>
                <w:vertAlign w:val="superscript"/>
                <w:lang w:val="sr-Latn-ME"/>
              </w:rPr>
              <w:t>a</w:t>
            </w:r>
          </w:p>
        </w:tc>
      </w:tr>
      <w:tr w:rsidR="009E39C5" w:rsidRPr="000D3D7F" w14:paraId="3A3A6E20" w14:textId="77777777" w:rsidTr="00DB317D">
        <w:trPr>
          <w:trHeight w:val="1132"/>
        </w:trPr>
        <w:tc>
          <w:tcPr>
            <w:tcW w:w="1171" w:type="dxa"/>
            <w:tcBorders>
              <w:top w:val="single" w:sz="4" w:space="0" w:color="000000"/>
              <w:left w:val="single" w:sz="4" w:space="0" w:color="000000"/>
              <w:bottom w:val="single" w:sz="4" w:space="0" w:color="000000"/>
              <w:right w:val="single" w:sz="4" w:space="0" w:color="000000"/>
            </w:tcBorders>
          </w:tcPr>
          <w:p w14:paraId="34053476" w14:textId="0323CACE" w:rsidR="009E39C5" w:rsidRPr="000D3D7F" w:rsidRDefault="009E39C5" w:rsidP="001E1F5A">
            <w:pPr>
              <w:rPr>
                <w:lang w:val="sr-Latn-ME"/>
              </w:rPr>
            </w:pPr>
            <w:r w:rsidRPr="000D3D7F">
              <w:rPr>
                <w:szCs w:val="22"/>
                <w:lang w:val="sr-Latn-ME"/>
              </w:rPr>
              <w:lastRenderedPageBreak/>
              <w:t>Vr</w:t>
            </w:r>
            <w:r w:rsidR="00E714CD" w:rsidRPr="000D3D7F">
              <w:rPr>
                <w:szCs w:val="22"/>
                <w:lang w:val="sr-Latn-ME"/>
              </w:rPr>
              <w:t>ij</w:t>
            </w:r>
            <w:r w:rsidRPr="000D3D7F">
              <w:rPr>
                <w:szCs w:val="22"/>
                <w:lang w:val="sr-Latn-ME"/>
              </w:rPr>
              <w:t>eme do progresije, dani</w:t>
            </w:r>
          </w:p>
          <w:p w14:paraId="46BA5507" w14:textId="77777777" w:rsidR="009E39C5" w:rsidRPr="000D3D7F" w:rsidRDefault="009E39C5" w:rsidP="001E1F5A">
            <w:pPr>
              <w:rPr>
                <w:lang w:val="sr-Latn-ME"/>
              </w:rPr>
            </w:pPr>
            <w:r w:rsidRPr="000D3D7F">
              <w:rPr>
                <w:szCs w:val="22"/>
                <w:lang w:val="sr-Latn-ME"/>
              </w:rPr>
              <w:t>[95% CI]</w:t>
            </w:r>
          </w:p>
        </w:tc>
        <w:tc>
          <w:tcPr>
            <w:tcW w:w="1141" w:type="dxa"/>
            <w:tcBorders>
              <w:top w:val="single" w:sz="4" w:space="0" w:color="000000"/>
              <w:left w:val="single" w:sz="4" w:space="0" w:color="000000"/>
              <w:bottom w:val="single" w:sz="4" w:space="0" w:color="000000"/>
              <w:right w:val="single" w:sz="4" w:space="0" w:color="000000"/>
            </w:tcBorders>
          </w:tcPr>
          <w:p w14:paraId="755CD64A" w14:textId="77777777" w:rsidR="009E39C5" w:rsidRPr="000D3D7F" w:rsidRDefault="009E39C5" w:rsidP="001E1F5A">
            <w:pPr>
              <w:rPr>
                <w:lang w:val="sr-Latn-ME"/>
              </w:rPr>
            </w:pPr>
          </w:p>
          <w:p w14:paraId="0595D28B" w14:textId="77777777" w:rsidR="009E39C5" w:rsidRPr="000D3D7F" w:rsidRDefault="009E39C5" w:rsidP="001E1F5A">
            <w:pPr>
              <w:rPr>
                <w:lang w:val="sr-Latn-ME"/>
              </w:rPr>
            </w:pPr>
            <w:r w:rsidRPr="000D3D7F">
              <w:rPr>
                <w:szCs w:val="22"/>
                <w:lang w:val="sr-Latn-ME"/>
              </w:rPr>
              <w:t>189</w:t>
            </w:r>
            <w:r w:rsidRPr="000D3D7F">
              <w:rPr>
                <w:szCs w:val="22"/>
                <w:vertAlign w:val="superscript"/>
                <w:lang w:val="sr-Latn-ME"/>
              </w:rPr>
              <w:t>b</w:t>
            </w:r>
            <w:r w:rsidRPr="000D3D7F">
              <w:rPr>
                <w:szCs w:val="22"/>
                <w:lang w:val="sr-Latn-ME"/>
              </w:rPr>
              <w:t xml:space="preserve"> [148,</w:t>
            </w:r>
          </w:p>
          <w:p w14:paraId="5FBAC322" w14:textId="77777777" w:rsidR="009E39C5" w:rsidRPr="000D3D7F" w:rsidRDefault="009E39C5" w:rsidP="001E1F5A">
            <w:pPr>
              <w:rPr>
                <w:lang w:val="sr-Latn-ME"/>
              </w:rPr>
            </w:pPr>
            <w:r w:rsidRPr="000D3D7F">
              <w:rPr>
                <w:szCs w:val="22"/>
                <w:lang w:val="sr-Latn-ME"/>
              </w:rPr>
              <w:t>211]</w:t>
            </w:r>
          </w:p>
        </w:tc>
        <w:tc>
          <w:tcPr>
            <w:tcW w:w="1110" w:type="dxa"/>
            <w:tcBorders>
              <w:top w:val="single" w:sz="4" w:space="0" w:color="000000"/>
              <w:left w:val="single" w:sz="4" w:space="0" w:color="000000"/>
              <w:bottom w:val="single" w:sz="4" w:space="0" w:color="000000"/>
              <w:right w:val="single" w:sz="4" w:space="0" w:color="000000"/>
            </w:tcBorders>
          </w:tcPr>
          <w:p w14:paraId="1ADCE8BD" w14:textId="77777777" w:rsidR="009E39C5" w:rsidRPr="000D3D7F" w:rsidRDefault="009E39C5" w:rsidP="001E1F5A">
            <w:pPr>
              <w:rPr>
                <w:lang w:val="sr-Latn-ME"/>
              </w:rPr>
            </w:pPr>
          </w:p>
          <w:p w14:paraId="27D95807" w14:textId="77777777" w:rsidR="009E39C5" w:rsidRPr="000D3D7F" w:rsidRDefault="009E39C5" w:rsidP="001E1F5A">
            <w:pPr>
              <w:rPr>
                <w:lang w:val="sr-Latn-ME"/>
              </w:rPr>
            </w:pPr>
            <w:r w:rsidRPr="000D3D7F">
              <w:rPr>
                <w:szCs w:val="22"/>
                <w:lang w:val="sr-Latn-ME"/>
              </w:rPr>
              <w:t>106</w:t>
            </w:r>
            <w:r w:rsidRPr="000D3D7F">
              <w:rPr>
                <w:szCs w:val="22"/>
                <w:vertAlign w:val="superscript"/>
                <w:lang w:val="sr-Latn-ME"/>
              </w:rPr>
              <w:t>b</w:t>
            </w:r>
            <w:r w:rsidRPr="000D3D7F">
              <w:rPr>
                <w:szCs w:val="22"/>
                <w:lang w:val="sr-Latn-ME"/>
              </w:rPr>
              <w:t xml:space="preserve"> [86,128]</w:t>
            </w:r>
          </w:p>
        </w:tc>
        <w:tc>
          <w:tcPr>
            <w:tcW w:w="1349" w:type="dxa"/>
            <w:tcBorders>
              <w:top w:val="single" w:sz="4" w:space="0" w:color="000000"/>
              <w:left w:val="single" w:sz="4" w:space="0" w:color="000000"/>
              <w:bottom w:val="single" w:sz="4" w:space="0" w:color="000000"/>
              <w:right w:val="single" w:sz="4" w:space="0" w:color="000000"/>
            </w:tcBorders>
          </w:tcPr>
          <w:p w14:paraId="5812D551" w14:textId="77777777" w:rsidR="009E39C5" w:rsidRPr="000D3D7F" w:rsidRDefault="009E39C5" w:rsidP="001E1F5A">
            <w:pPr>
              <w:rPr>
                <w:vertAlign w:val="superscript"/>
                <w:lang w:val="sr-Latn-ME"/>
              </w:rPr>
            </w:pPr>
            <w:r w:rsidRPr="000D3D7F">
              <w:rPr>
                <w:szCs w:val="22"/>
                <w:lang w:val="sr-Latn-ME"/>
              </w:rPr>
              <w:t>212</w:t>
            </w:r>
            <w:r w:rsidRPr="000D3D7F">
              <w:rPr>
                <w:szCs w:val="22"/>
                <w:vertAlign w:val="superscript"/>
                <w:lang w:val="sr-Latn-ME"/>
              </w:rPr>
              <w:t>d</w:t>
            </w:r>
          </w:p>
          <w:p w14:paraId="658E56EB" w14:textId="77777777" w:rsidR="009E39C5" w:rsidRPr="000D3D7F" w:rsidRDefault="009E39C5" w:rsidP="001E1F5A">
            <w:pPr>
              <w:rPr>
                <w:lang w:val="sr-Latn-ME"/>
              </w:rPr>
            </w:pPr>
            <w:r w:rsidRPr="000D3D7F">
              <w:rPr>
                <w:szCs w:val="22"/>
                <w:lang w:val="sr-Latn-ME"/>
              </w:rPr>
              <w:t>[188, 267]</w:t>
            </w:r>
          </w:p>
        </w:tc>
        <w:tc>
          <w:tcPr>
            <w:tcW w:w="1440" w:type="dxa"/>
            <w:tcBorders>
              <w:top w:val="single" w:sz="4" w:space="0" w:color="000000"/>
              <w:left w:val="single" w:sz="4" w:space="0" w:color="000000"/>
              <w:bottom w:val="single" w:sz="4" w:space="0" w:color="000000"/>
              <w:right w:val="single" w:sz="4" w:space="0" w:color="000000"/>
            </w:tcBorders>
          </w:tcPr>
          <w:p w14:paraId="20A9750D" w14:textId="77777777" w:rsidR="009E39C5" w:rsidRPr="000D3D7F" w:rsidRDefault="009E39C5" w:rsidP="001E1F5A">
            <w:pPr>
              <w:rPr>
                <w:lang w:val="sr-Latn-ME"/>
              </w:rPr>
            </w:pPr>
          </w:p>
          <w:p w14:paraId="1FFC3AFB" w14:textId="77777777" w:rsidR="009E39C5" w:rsidRPr="000D3D7F" w:rsidRDefault="009E39C5" w:rsidP="001E1F5A">
            <w:pPr>
              <w:rPr>
                <w:lang w:val="sr-Latn-ME"/>
              </w:rPr>
            </w:pPr>
            <w:r w:rsidRPr="000D3D7F">
              <w:rPr>
                <w:szCs w:val="22"/>
                <w:lang w:val="sr-Latn-ME"/>
              </w:rPr>
              <w:t>169</w:t>
            </w:r>
            <w:r w:rsidRPr="000D3D7F">
              <w:rPr>
                <w:szCs w:val="22"/>
                <w:vertAlign w:val="superscript"/>
                <w:lang w:val="sr-Latn-ME"/>
              </w:rPr>
              <w:t>d</w:t>
            </w:r>
            <w:r w:rsidRPr="000D3D7F">
              <w:rPr>
                <w:szCs w:val="22"/>
                <w:lang w:val="sr-Latn-ME"/>
              </w:rPr>
              <w:t xml:space="preserve"> [105,191]</w:t>
            </w:r>
          </w:p>
        </w:tc>
        <w:tc>
          <w:tcPr>
            <w:tcW w:w="1262" w:type="dxa"/>
            <w:tcBorders>
              <w:top w:val="single" w:sz="4" w:space="0" w:color="000000"/>
              <w:left w:val="single" w:sz="4" w:space="0" w:color="000000"/>
              <w:bottom w:val="single" w:sz="4" w:space="0" w:color="000000"/>
              <w:right w:val="single" w:sz="4" w:space="0" w:color="000000"/>
            </w:tcBorders>
          </w:tcPr>
          <w:p w14:paraId="2A6F7F0F" w14:textId="77777777" w:rsidR="009E39C5" w:rsidRPr="000D3D7F" w:rsidRDefault="009E39C5" w:rsidP="001E1F5A">
            <w:pPr>
              <w:rPr>
                <w:vertAlign w:val="superscript"/>
                <w:lang w:val="sr-Latn-ME"/>
              </w:rPr>
            </w:pPr>
            <w:r w:rsidRPr="000D3D7F">
              <w:rPr>
                <w:szCs w:val="22"/>
                <w:lang w:val="sr-Latn-ME"/>
              </w:rPr>
              <w:t>148</w:t>
            </w:r>
            <w:r w:rsidRPr="000D3D7F">
              <w:rPr>
                <w:szCs w:val="22"/>
                <w:vertAlign w:val="superscript"/>
                <w:lang w:val="sr-Latn-ME"/>
              </w:rPr>
              <w:t>b</w:t>
            </w:r>
          </w:p>
          <w:p w14:paraId="126A2E0E" w14:textId="77777777" w:rsidR="009E39C5" w:rsidRPr="000D3D7F" w:rsidRDefault="009E39C5" w:rsidP="001E1F5A">
            <w:pPr>
              <w:rPr>
                <w:lang w:val="sr-Latn-ME"/>
              </w:rPr>
            </w:pPr>
            <w:r w:rsidRPr="000D3D7F">
              <w:rPr>
                <w:szCs w:val="22"/>
                <w:lang w:val="sr-Latn-ME"/>
              </w:rPr>
              <w:t>[129, 192]</w:t>
            </w:r>
          </w:p>
        </w:tc>
        <w:tc>
          <w:tcPr>
            <w:tcW w:w="1348" w:type="dxa"/>
            <w:tcBorders>
              <w:top w:val="single" w:sz="4" w:space="0" w:color="000000"/>
              <w:left w:val="single" w:sz="4" w:space="0" w:color="000000"/>
              <w:bottom w:val="single" w:sz="4" w:space="0" w:color="000000"/>
              <w:right w:val="single" w:sz="4" w:space="0" w:color="000000"/>
            </w:tcBorders>
          </w:tcPr>
          <w:p w14:paraId="0E758D21" w14:textId="77777777" w:rsidR="009E39C5" w:rsidRPr="000D3D7F" w:rsidRDefault="009E39C5" w:rsidP="001E1F5A">
            <w:pPr>
              <w:rPr>
                <w:lang w:val="sr-Latn-ME"/>
              </w:rPr>
            </w:pPr>
          </w:p>
          <w:p w14:paraId="4EB3EDC0" w14:textId="77777777" w:rsidR="009E39C5" w:rsidRPr="000D3D7F" w:rsidRDefault="009E39C5" w:rsidP="001E1F5A">
            <w:pPr>
              <w:rPr>
                <w:lang w:val="sr-Latn-ME"/>
              </w:rPr>
            </w:pPr>
            <w:r w:rsidRPr="000D3D7F">
              <w:rPr>
                <w:szCs w:val="22"/>
                <w:lang w:val="sr-Latn-ME"/>
              </w:rPr>
              <w:t>87</w:t>
            </w:r>
            <w:r w:rsidRPr="000D3D7F">
              <w:rPr>
                <w:szCs w:val="22"/>
                <w:vertAlign w:val="superscript"/>
                <w:lang w:val="sr-Latn-ME"/>
              </w:rPr>
              <w:t>b</w:t>
            </w:r>
            <w:r w:rsidRPr="000D3D7F">
              <w:rPr>
                <w:szCs w:val="22"/>
                <w:lang w:val="sr-Latn-ME"/>
              </w:rPr>
              <w:t xml:space="preserve"> [84,107]</w:t>
            </w:r>
          </w:p>
        </w:tc>
        <w:tc>
          <w:tcPr>
            <w:tcW w:w="1530" w:type="dxa"/>
            <w:tcBorders>
              <w:top w:val="single" w:sz="4" w:space="0" w:color="000000"/>
              <w:left w:val="single" w:sz="4" w:space="0" w:color="000000"/>
              <w:bottom w:val="single" w:sz="4" w:space="0" w:color="000000"/>
              <w:right w:val="single" w:sz="4" w:space="0" w:color="000000"/>
            </w:tcBorders>
          </w:tcPr>
          <w:p w14:paraId="67B4B285" w14:textId="77777777" w:rsidR="009E39C5" w:rsidRPr="000D3D7F" w:rsidRDefault="009E39C5" w:rsidP="001E1F5A">
            <w:pPr>
              <w:rPr>
                <w:lang w:val="sr-Latn-ME"/>
              </w:rPr>
            </w:pPr>
          </w:p>
          <w:p w14:paraId="1A317501" w14:textId="77777777" w:rsidR="009E39C5" w:rsidRPr="000D3D7F" w:rsidRDefault="009E39C5" w:rsidP="001E1F5A">
            <w:pPr>
              <w:rPr>
                <w:lang w:val="sr-Latn-ME"/>
              </w:rPr>
            </w:pPr>
            <w:r w:rsidRPr="000D3D7F">
              <w:rPr>
                <w:szCs w:val="22"/>
                <w:lang w:val="sr-Latn-ME"/>
              </w:rPr>
              <w:t>210</w:t>
            </w:r>
          </w:p>
          <w:p w14:paraId="76627549" w14:textId="77777777" w:rsidR="009E39C5" w:rsidRPr="000D3D7F" w:rsidRDefault="009E39C5" w:rsidP="001E1F5A">
            <w:pPr>
              <w:rPr>
                <w:lang w:val="sr-Latn-ME"/>
              </w:rPr>
            </w:pPr>
            <w:r w:rsidRPr="000D3D7F">
              <w:rPr>
                <w:szCs w:val="22"/>
                <w:lang w:val="sr-Latn-ME"/>
              </w:rPr>
              <w:t>[154, 281]</w:t>
            </w:r>
          </w:p>
        </w:tc>
      </w:tr>
      <w:tr w:rsidR="009E39C5" w:rsidRPr="000D3D7F" w14:paraId="41DDCCF8" w14:textId="77777777" w:rsidTr="00DB317D">
        <w:trPr>
          <w:trHeight w:val="1132"/>
        </w:trPr>
        <w:tc>
          <w:tcPr>
            <w:tcW w:w="1171" w:type="dxa"/>
            <w:tcBorders>
              <w:top w:val="single" w:sz="4" w:space="0" w:color="000000"/>
              <w:left w:val="single" w:sz="4" w:space="0" w:color="000000"/>
              <w:bottom w:val="single" w:sz="4" w:space="0" w:color="000000"/>
              <w:right w:val="single" w:sz="4" w:space="0" w:color="000000"/>
            </w:tcBorders>
          </w:tcPr>
          <w:p w14:paraId="6E9F9E29" w14:textId="0D23282A" w:rsidR="009E39C5" w:rsidRPr="000D3D7F" w:rsidRDefault="009E39C5" w:rsidP="001E1F5A">
            <w:pPr>
              <w:rPr>
                <w:lang w:val="sr-Latn-ME"/>
              </w:rPr>
            </w:pPr>
            <w:r w:rsidRPr="000D3D7F">
              <w:rPr>
                <w:szCs w:val="22"/>
                <w:lang w:val="sr-Latn-ME"/>
              </w:rPr>
              <w:t>1</w:t>
            </w:r>
            <w:r w:rsidR="00E714CD" w:rsidRPr="000D3D7F">
              <w:rPr>
                <w:szCs w:val="22"/>
                <w:lang w:val="sr-Latn-ME"/>
              </w:rPr>
              <w:t xml:space="preserve"> </w:t>
            </w:r>
            <w:r w:rsidRPr="000D3D7F">
              <w:rPr>
                <w:szCs w:val="22"/>
                <w:lang w:val="sr-Latn-ME"/>
              </w:rPr>
              <w:t>godišnje preživljav anje %</w:t>
            </w:r>
          </w:p>
          <w:p w14:paraId="7C83713E" w14:textId="77777777" w:rsidR="009E39C5" w:rsidRPr="000D3D7F" w:rsidRDefault="009E39C5" w:rsidP="001E1F5A">
            <w:pPr>
              <w:rPr>
                <w:lang w:val="sr-Latn-ME"/>
              </w:rPr>
            </w:pPr>
            <w:r w:rsidRPr="000D3D7F">
              <w:rPr>
                <w:szCs w:val="22"/>
                <w:lang w:val="sr-Latn-ME"/>
              </w:rPr>
              <w:t>[95% CI]</w:t>
            </w:r>
          </w:p>
        </w:tc>
        <w:tc>
          <w:tcPr>
            <w:tcW w:w="1141" w:type="dxa"/>
            <w:tcBorders>
              <w:top w:val="single" w:sz="4" w:space="0" w:color="000000"/>
              <w:left w:val="single" w:sz="4" w:space="0" w:color="000000"/>
              <w:bottom w:val="single" w:sz="4" w:space="0" w:color="000000"/>
              <w:right w:val="single" w:sz="4" w:space="0" w:color="000000"/>
            </w:tcBorders>
          </w:tcPr>
          <w:p w14:paraId="599C5C85" w14:textId="77777777" w:rsidR="009E39C5" w:rsidRPr="000D3D7F" w:rsidRDefault="009E39C5" w:rsidP="001E1F5A">
            <w:pPr>
              <w:rPr>
                <w:lang w:val="sr-Latn-ME"/>
              </w:rPr>
            </w:pPr>
            <w:r w:rsidRPr="000D3D7F">
              <w:rPr>
                <w:szCs w:val="22"/>
                <w:lang w:val="sr-Latn-ME"/>
              </w:rPr>
              <w:t>80</w:t>
            </w:r>
            <w:r w:rsidRPr="000D3D7F">
              <w:rPr>
                <w:szCs w:val="22"/>
                <w:vertAlign w:val="superscript"/>
                <w:lang w:val="sr-Latn-ME"/>
              </w:rPr>
              <w:t>d</w:t>
            </w:r>
            <w:r w:rsidRPr="000D3D7F">
              <w:rPr>
                <w:szCs w:val="22"/>
                <w:lang w:val="sr-Latn-ME"/>
              </w:rPr>
              <w:t xml:space="preserve"> [74,85]</w:t>
            </w:r>
          </w:p>
        </w:tc>
        <w:tc>
          <w:tcPr>
            <w:tcW w:w="1110" w:type="dxa"/>
            <w:tcBorders>
              <w:top w:val="single" w:sz="4" w:space="0" w:color="000000"/>
              <w:left w:val="single" w:sz="4" w:space="0" w:color="000000"/>
              <w:bottom w:val="single" w:sz="4" w:space="0" w:color="000000"/>
              <w:right w:val="single" w:sz="4" w:space="0" w:color="000000"/>
            </w:tcBorders>
          </w:tcPr>
          <w:p w14:paraId="5E96440A" w14:textId="77777777" w:rsidR="009E39C5" w:rsidRPr="000D3D7F" w:rsidRDefault="009E39C5" w:rsidP="001E1F5A">
            <w:pPr>
              <w:rPr>
                <w:lang w:val="sr-Latn-ME"/>
              </w:rPr>
            </w:pPr>
            <w:r w:rsidRPr="000D3D7F">
              <w:rPr>
                <w:szCs w:val="22"/>
                <w:lang w:val="sr-Latn-ME"/>
              </w:rPr>
              <w:t>66</w:t>
            </w:r>
            <w:r w:rsidRPr="000D3D7F">
              <w:rPr>
                <w:szCs w:val="22"/>
                <w:vertAlign w:val="superscript"/>
                <w:lang w:val="sr-Latn-ME"/>
              </w:rPr>
              <w:t>d</w:t>
            </w:r>
            <w:r w:rsidRPr="000D3D7F">
              <w:rPr>
                <w:szCs w:val="22"/>
                <w:lang w:val="sr-Latn-ME"/>
              </w:rPr>
              <w:t xml:space="preserve"> [59,72]</w:t>
            </w:r>
          </w:p>
        </w:tc>
        <w:tc>
          <w:tcPr>
            <w:tcW w:w="1349" w:type="dxa"/>
            <w:tcBorders>
              <w:top w:val="single" w:sz="4" w:space="0" w:color="000000"/>
              <w:left w:val="single" w:sz="4" w:space="0" w:color="000000"/>
              <w:bottom w:val="single" w:sz="4" w:space="0" w:color="000000"/>
              <w:right w:val="single" w:sz="4" w:space="0" w:color="000000"/>
            </w:tcBorders>
          </w:tcPr>
          <w:p w14:paraId="45BD18C9" w14:textId="77777777" w:rsidR="009E39C5" w:rsidRPr="000D3D7F" w:rsidRDefault="009E39C5" w:rsidP="001E1F5A">
            <w:pPr>
              <w:rPr>
                <w:lang w:val="sr-Latn-ME"/>
              </w:rPr>
            </w:pPr>
            <w:r w:rsidRPr="000D3D7F">
              <w:rPr>
                <w:szCs w:val="22"/>
                <w:lang w:val="sr-Latn-ME"/>
              </w:rPr>
              <w:t>89</w:t>
            </w:r>
            <w:r w:rsidRPr="000D3D7F">
              <w:rPr>
                <w:szCs w:val="22"/>
                <w:vertAlign w:val="superscript"/>
                <w:lang w:val="sr-Latn-ME"/>
              </w:rPr>
              <w:t>d</w:t>
            </w:r>
            <w:r w:rsidRPr="000D3D7F">
              <w:rPr>
                <w:szCs w:val="22"/>
                <w:lang w:val="sr-Latn-ME"/>
              </w:rPr>
              <w:t xml:space="preserve"> [82,95]</w:t>
            </w:r>
          </w:p>
        </w:tc>
        <w:tc>
          <w:tcPr>
            <w:tcW w:w="1440" w:type="dxa"/>
            <w:tcBorders>
              <w:top w:val="single" w:sz="4" w:space="0" w:color="000000"/>
              <w:left w:val="single" w:sz="4" w:space="0" w:color="000000"/>
              <w:bottom w:val="single" w:sz="4" w:space="0" w:color="000000"/>
              <w:right w:val="single" w:sz="4" w:space="0" w:color="000000"/>
            </w:tcBorders>
          </w:tcPr>
          <w:p w14:paraId="026CB91B" w14:textId="77777777" w:rsidR="009E39C5" w:rsidRPr="000D3D7F" w:rsidRDefault="009E39C5" w:rsidP="001E1F5A">
            <w:pPr>
              <w:rPr>
                <w:lang w:val="sr-Latn-ME"/>
              </w:rPr>
            </w:pPr>
            <w:r w:rsidRPr="000D3D7F">
              <w:rPr>
                <w:szCs w:val="22"/>
                <w:lang w:val="sr-Latn-ME"/>
              </w:rPr>
              <w:t>72</w:t>
            </w:r>
            <w:r w:rsidRPr="000D3D7F">
              <w:rPr>
                <w:szCs w:val="22"/>
                <w:vertAlign w:val="superscript"/>
                <w:lang w:val="sr-Latn-ME"/>
              </w:rPr>
              <w:t>d</w:t>
            </w:r>
            <w:r w:rsidRPr="000D3D7F">
              <w:rPr>
                <w:szCs w:val="22"/>
                <w:lang w:val="sr-Latn-ME"/>
              </w:rPr>
              <w:t xml:space="preserve"> [62,83]</w:t>
            </w:r>
          </w:p>
        </w:tc>
        <w:tc>
          <w:tcPr>
            <w:tcW w:w="1262" w:type="dxa"/>
            <w:tcBorders>
              <w:top w:val="single" w:sz="4" w:space="0" w:color="000000"/>
              <w:left w:val="single" w:sz="4" w:space="0" w:color="000000"/>
              <w:bottom w:val="single" w:sz="4" w:space="0" w:color="000000"/>
              <w:right w:val="single" w:sz="4" w:space="0" w:color="000000"/>
            </w:tcBorders>
          </w:tcPr>
          <w:p w14:paraId="2005EB5F" w14:textId="77777777" w:rsidR="009E39C5" w:rsidRPr="000D3D7F" w:rsidRDefault="009E39C5" w:rsidP="001E1F5A">
            <w:pPr>
              <w:rPr>
                <w:lang w:val="sr-Latn-ME"/>
              </w:rPr>
            </w:pPr>
            <w:r w:rsidRPr="000D3D7F">
              <w:rPr>
                <w:szCs w:val="22"/>
                <w:lang w:val="sr-Latn-ME"/>
              </w:rPr>
              <w:t>73</w:t>
            </w:r>
          </w:p>
          <w:p w14:paraId="1E235596" w14:textId="77777777" w:rsidR="009E39C5" w:rsidRPr="000D3D7F" w:rsidRDefault="009E39C5" w:rsidP="001E1F5A">
            <w:pPr>
              <w:rPr>
                <w:lang w:val="sr-Latn-ME"/>
              </w:rPr>
            </w:pPr>
            <w:r w:rsidRPr="000D3D7F">
              <w:rPr>
                <w:szCs w:val="22"/>
                <w:lang w:val="sr-Latn-ME"/>
              </w:rPr>
              <w:t>[64,82]</w:t>
            </w:r>
          </w:p>
        </w:tc>
        <w:tc>
          <w:tcPr>
            <w:tcW w:w="1348" w:type="dxa"/>
            <w:tcBorders>
              <w:top w:val="single" w:sz="4" w:space="0" w:color="000000"/>
              <w:left w:val="single" w:sz="4" w:space="0" w:color="000000"/>
              <w:bottom w:val="single" w:sz="4" w:space="0" w:color="000000"/>
              <w:right w:val="single" w:sz="4" w:space="0" w:color="000000"/>
            </w:tcBorders>
          </w:tcPr>
          <w:p w14:paraId="4C971D34" w14:textId="77777777" w:rsidR="009E39C5" w:rsidRPr="000D3D7F" w:rsidRDefault="009E39C5" w:rsidP="001E1F5A">
            <w:pPr>
              <w:rPr>
                <w:lang w:val="sr-Latn-ME"/>
              </w:rPr>
            </w:pPr>
            <w:r w:rsidRPr="000D3D7F">
              <w:rPr>
                <w:szCs w:val="22"/>
                <w:lang w:val="sr-Latn-ME"/>
              </w:rPr>
              <w:t>62</w:t>
            </w:r>
          </w:p>
          <w:p w14:paraId="5C483931" w14:textId="77777777" w:rsidR="009E39C5" w:rsidRPr="000D3D7F" w:rsidRDefault="009E39C5" w:rsidP="001E1F5A">
            <w:pPr>
              <w:rPr>
                <w:lang w:val="sr-Latn-ME"/>
              </w:rPr>
            </w:pPr>
            <w:r w:rsidRPr="000D3D7F">
              <w:rPr>
                <w:szCs w:val="22"/>
                <w:lang w:val="sr-Latn-ME"/>
              </w:rPr>
              <w:t>[53,71]</w:t>
            </w:r>
          </w:p>
        </w:tc>
        <w:tc>
          <w:tcPr>
            <w:tcW w:w="1530" w:type="dxa"/>
            <w:tcBorders>
              <w:top w:val="single" w:sz="4" w:space="0" w:color="000000"/>
              <w:left w:val="single" w:sz="4" w:space="0" w:color="000000"/>
              <w:bottom w:val="single" w:sz="4" w:space="0" w:color="000000"/>
              <w:right w:val="single" w:sz="4" w:space="0" w:color="000000"/>
            </w:tcBorders>
          </w:tcPr>
          <w:p w14:paraId="59C6FCD1" w14:textId="77777777" w:rsidR="009E39C5" w:rsidRPr="000D3D7F" w:rsidRDefault="009E39C5" w:rsidP="001E1F5A">
            <w:pPr>
              <w:rPr>
                <w:lang w:val="sr-Latn-ME"/>
              </w:rPr>
            </w:pPr>
            <w:r w:rsidRPr="000D3D7F">
              <w:rPr>
                <w:szCs w:val="22"/>
                <w:lang w:val="sr-Latn-ME"/>
              </w:rPr>
              <w:t>60</w:t>
            </w:r>
          </w:p>
        </w:tc>
      </w:tr>
      <w:tr w:rsidR="009E39C5" w:rsidRPr="000D3D7F" w14:paraId="526F64CD"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750D2746" w14:textId="77777777" w:rsidR="009E39C5" w:rsidRPr="000D3D7F" w:rsidRDefault="009E39C5" w:rsidP="001E1F5A">
            <w:pPr>
              <w:rPr>
                <w:b/>
                <w:bCs/>
                <w:lang w:val="sr-Latn-ME"/>
              </w:rPr>
            </w:pPr>
            <w:r w:rsidRPr="000D3D7F">
              <w:rPr>
                <w:b/>
                <w:bCs/>
                <w:szCs w:val="22"/>
                <w:u w:val="single"/>
                <w:lang w:val="sr-Latn-ME"/>
              </w:rPr>
              <w:t>Najbolji</w:t>
            </w:r>
            <w:r w:rsidRPr="000D3D7F">
              <w:rPr>
                <w:b/>
                <w:bCs/>
                <w:szCs w:val="22"/>
                <w:lang w:val="sr-Latn-ME"/>
              </w:rPr>
              <w:t xml:space="preserve"> </w:t>
            </w:r>
            <w:r w:rsidRPr="000D3D7F">
              <w:rPr>
                <w:b/>
                <w:bCs/>
                <w:szCs w:val="22"/>
                <w:u w:val="single"/>
                <w:lang w:val="sr-Latn-ME"/>
              </w:rPr>
              <w:t>odgovor</w:t>
            </w:r>
          </w:p>
          <w:p w14:paraId="14A898D3" w14:textId="77777777" w:rsidR="009E39C5" w:rsidRPr="000D3D7F" w:rsidRDefault="009E39C5" w:rsidP="001E1F5A">
            <w:pPr>
              <w:rPr>
                <w:b/>
                <w:bCs/>
                <w:lang w:val="sr-Latn-ME"/>
              </w:rPr>
            </w:pPr>
            <w:r w:rsidRPr="000D3D7F">
              <w:rPr>
                <w:b/>
                <w:bCs/>
                <w:szCs w:val="22"/>
                <w:u w:val="single"/>
                <w:lang w:val="sr-Latn-ME"/>
              </w:rPr>
              <w:t>(%)</w:t>
            </w:r>
          </w:p>
        </w:tc>
        <w:tc>
          <w:tcPr>
            <w:tcW w:w="1141" w:type="dxa"/>
            <w:tcBorders>
              <w:top w:val="single" w:sz="4" w:space="0" w:color="000000"/>
              <w:left w:val="single" w:sz="4" w:space="0" w:color="000000"/>
              <w:bottom w:val="single" w:sz="4" w:space="0" w:color="000000"/>
              <w:right w:val="single" w:sz="4" w:space="0" w:color="000000"/>
            </w:tcBorders>
          </w:tcPr>
          <w:p w14:paraId="22FB9BD0" w14:textId="4091C59E" w:rsidR="009E39C5" w:rsidRPr="000D3D7F" w:rsidRDefault="006B7EE4" w:rsidP="001E1F5A">
            <w:pPr>
              <w:rPr>
                <w:b/>
                <w:bCs/>
                <w:vertAlign w:val="superscript"/>
                <w:lang w:val="sr-Latn-ME"/>
              </w:rPr>
            </w:pPr>
            <w:r w:rsidRPr="000D3D7F">
              <w:rPr>
                <w:b/>
                <w:bCs/>
                <w:szCs w:val="22"/>
                <w:lang w:val="sr-Latn-ME"/>
              </w:rPr>
              <w:t>Bortezomib</w:t>
            </w:r>
            <w:r w:rsidR="009E39C5" w:rsidRPr="000D3D7F">
              <w:rPr>
                <w:b/>
                <w:bCs/>
                <w:szCs w:val="22"/>
                <w:lang w:val="sr-Latn-ME"/>
              </w:rPr>
              <w:t xml:space="preserve"> N=315</w:t>
            </w:r>
            <w:r w:rsidR="009E39C5" w:rsidRPr="000D3D7F">
              <w:rPr>
                <w:b/>
                <w:bCs/>
                <w:szCs w:val="22"/>
                <w:vertAlign w:val="superscript"/>
                <w:lang w:val="sr-Latn-ME"/>
              </w:rPr>
              <w:t>c</w:t>
            </w:r>
          </w:p>
        </w:tc>
        <w:tc>
          <w:tcPr>
            <w:tcW w:w="1110" w:type="dxa"/>
            <w:tcBorders>
              <w:top w:val="single" w:sz="4" w:space="0" w:color="000000"/>
              <w:left w:val="single" w:sz="4" w:space="0" w:color="000000"/>
              <w:bottom w:val="single" w:sz="4" w:space="0" w:color="000000"/>
              <w:right w:val="single" w:sz="4" w:space="0" w:color="000000"/>
            </w:tcBorders>
          </w:tcPr>
          <w:p w14:paraId="29954724" w14:textId="77777777" w:rsidR="009E39C5" w:rsidRPr="000D3D7F" w:rsidRDefault="009E39C5" w:rsidP="001E1F5A">
            <w:pPr>
              <w:rPr>
                <w:b/>
                <w:bCs/>
                <w:vertAlign w:val="superscript"/>
                <w:lang w:val="sr-Latn-ME"/>
              </w:rPr>
            </w:pPr>
            <w:r w:rsidRPr="000D3D7F">
              <w:rPr>
                <w:b/>
                <w:bCs/>
                <w:szCs w:val="22"/>
                <w:lang w:val="sr-Latn-ME"/>
              </w:rPr>
              <w:t>Dex N=312</w:t>
            </w:r>
            <w:r w:rsidRPr="000D3D7F">
              <w:rPr>
                <w:b/>
                <w:bCs/>
                <w:szCs w:val="22"/>
                <w:vertAlign w:val="superscript"/>
                <w:lang w:val="sr-Latn-ME"/>
              </w:rPr>
              <w:t>c</w:t>
            </w:r>
          </w:p>
        </w:tc>
        <w:tc>
          <w:tcPr>
            <w:tcW w:w="1349" w:type="dxa"/>
            <w:tcBorders>
              <w:top w:val="single" w:sz="4" w:space="0" w:color="000000"/>
              <w:left w:val="single" w:sz="4" w:space="0" w:color="000000"/>
              <w:bottom w:val="single" w:sz="4" w:space="0" w:color="000000"/>
              <w:right w:val="single" w:sz="4" w:space="0" w:color="000000"/>
            </w:tcBorders>
          </w:tcPr>
          <w:p w14:paraId="5ED6FBFB" w14:textId="2E7AB725" w:rsidR="009E39C5" w:rsidRPr="000D3D7F" w:rsidRDefault="006B7EE4" w:rsidP="001E1F5A">
            <w:pPr>
              <w:rPr>
                <w:b/>
                <w:bCs/>
                <w:lang w:val="sr-Latn-ME"/>
              </w:rPr>
            </w:pPr>
            <w:r w:rsidRPr="000D3D7F">
              <w:rPr>
                <w:b/>
                <w:bCs/>
                <w:szCs w:val="22"/>
                <w:lang w:val="sr-Latn-ME"/>
              </w:rPr>
              <w:t>Bortezomib</w:t>
            </w:r>
            <w:r w:rsidRPr="000D3D7F" w:rsidDel="006B7EE4">
              <w:rPr>
                <w:b/>
                <w:bCs/>
                <w:szCs w:val="22"/>
                <w:lang w:val="sr-Latn-ME"/>
              </w:rPr>
              <w:t xml:space="preserve"> </w:t>
            </w:r>
            <w:r w:rsidR="009E39C5" w:rsidRPr="000D3D7F">
              <w:rPr>
                <w:b/>
                <w:bCs/>
                <w:szCs w:val="22"/>
                <w:lang w:val="sr-Latn-ME"/>
              </w:rPr>
              <w:t>N=128</w:t>
            </w:r>
          </w:p>
        </w:tc>
        <w:tc>
          <w:tcPr>
            <w:tcW w:w="1440" w:type="dxa"/>
            <w:tcBorders>
              <w:top w:val="single" w:sz="4" w:space="0" w:color="000000"/>
              <w:left w:val="single" w:sz="4" w:space="0" w:color="000000"/>
              <w:bottom w:val="single" w:sz="4" w:space="0" w:color="000000"/>
              <w:right w:val="single" w:sz="4" w:space="0" w:color="000000"/>
            </w:tcBorders>
          </w:tcPr>
          <w:p w14:paraId="788DA618" w14:textId="77777777" w:rsidR="009E39C5" w:rsidRPr="000D3D7F" w:rsidRDefault="009E39C5" w:rsidP="001E1F5A">
            <w:pPr>
              <w:rPr>
                <w:b/>
                <w:bCs/>
                <w:lang w:val="sr-Latn-ME"/>
              </w:rPr>
            </w:pPr>
            <w:r w:rsidRPr="000D3D7F">
              <w:rPr>
                <w:b/>
                <w:bCs/>
                <w:szCs w:val="22"/>
                <w:lang w:val="sr-Latn-ME"/>
              </w:rPr>
              <w:t>Dex N=110</w:t>
            </w:r>
          </w:p>
        </w:tc>
        <w:tc>
          <w:tcPr>
            <w:tcW w:w="1262" w:type="dxa"/>
            <w:tcBorders>
              <w:top w:val="single" w:sz="4" w:space="0" w:color="000000"/>
              <w:left w:val="single" w:sz="4" w:space="0" w:color="000000"/>
              <w:bottom w:val="single" w:sz="4" w:space="0" w:color="000000"/>
              <w:right w:val="single" w:sz="4" w:space="0" w:color="000000"/>
            </w:tcBorders>
          </w:tcPr>
          <w:p w14:paraId="6D29E5B8" w14:textId="4AA0CE31" w:rsidR="009E39C5" w:rsidRPr="000D3D7F" w:rsidRDefault="006B7EE4" w:rsidP="001E1F5A">
            <w:pPr>
              <w:rPr>
                <w:b/>
                <w:bCs/>
                <w:lang w:val="sr-Latn-ME"/>
              </w:rPr>
            </w:pPr>
            <w:r w:rsidRPr="000D3D7F">
              <w:rPr>
                <w:b/>
                <w:bCs/>
                <w:szCs w:val="22"/>
                <w:lang w:val="sr-Latn-ME"/>
              </w:rPr>
              <w:t>Bortezomib</w:t>
            </w:r>
            <w:r w:rsidRPr="000D3D7F" w:rsidDel="006B7EE4">
              <w:rPr>
                <w:b/>
                <w:bCs/>
                <w:szCs w:val="22"/>
                <w:lang w:val="sr-Latn-ME"/>
              </w:rPr>
              <w:t xml:space="preserve"> </w:t>
            </w:r>
            <w:r w:rsidR="009E39C5" w:rsidRPr="000D3D7F">
              <w:rPr>
                <w:b/>
                <w:bCs/>
                <w:szCs w:val="22"/>
                <w:lang w:val="sr-Latn-ME"/>
              </w:rPr>
              <w:t>N=187</w:t>
            </w:r>
          </w:p>
        </w:tc>
        <w:tc>
          <w:tcPr>
            <w:tcW w:w="1348" w:type="dxa"/>
            <w:tcBorders>
              <w:top w:val="single" w:sz="4" w:space="0" w:color="000000"/>
              <w:left w:val="single" w:sz="4" w:space="0" w:color="000000"/>
              <w:bottom w:val="single" w:sz="4" w:space="0" w:color="000000"/>
              <w:right w:val="single" w:sz="4" w:space="0" w:color="000000"/>
            </w:tcBorders>
          </w:tcPr>
          <w:p w14:paraId="7B5EBF8C" w14:textId="77777777" w:rsidR="009E39C5" w:rsidRPr="000D3D7F" w:rsidRDefault="009E39C5" w:rsidP="001E1F5A">
            <w:pPr>
              <w:rPr>
                <w:b/>
                <w:bCs/>
                <w:lang w:val="sr-Latn-ME"/>
              </w:rPr>
            </w:pPr>
            <w:r w:rsidRPr="000D3D7F">
              <w:rPr>
                <w:b/>
                <w:bCs/>
                <w:szCs w:val="22"/>
                <w:lang w:val="sr-Latn-ME"/>
              </w:rPr>
              <w:t>Dex N=202</w:t>
            </w:r>
          </w:p>
        </w:tc>
        <w:tc>
          <w:tcPr>
            <w:tcW w:w="1530" w:type="dxa"/>
            <w:tcBorders>
              <w:top w:val="single" w:sz="4" w:space="0" w:color="000000"/>
              <w:left w:val="single" w:sz="4" w:space="0" w:color="000000"/>
              <w:bottom w:val="single" w:sz="4" w:space="0" w:color="000000"/>
              <w:right w:val="single" w:sz="4" w:space="0" w:color="000000"/>
            </w:tcBorders>
          </w:tcPr>
          <w:p w14:paraId="7CE759DD" w14:textId="161310EF" w:rsidR="009E39C5" w:rsidRPr="000D3D7F" w:rsidRDefault="006B7EE4" w:rsidP="001E1F5A">
            <w:pPr>
              <w:rPr>
                <w:b/>
                <w:bCs/>
                <w:lang w:val="sr-Latn-ME"/>
              </w:rPr>
            </w:pPr>
            <w:r w:rsidRPr="000D3D7F">
              <w:rPr>
                <w:b/>
                <w:bCs/>
                <w:szCs w:val="22"/>
                <w:lang w:val="sr-Latn-ME"/>
              </w:rPr>
              <w:t>Bortezomib</w:t>
            </w:r>
            <w:r w:rsidR="009E39C5" w:rsidRPr="000D3D7F">
              <w:rPr>
                <w:b/>
                <w:bCs/>
                <w:szCs w:val="22"/>
                <w:lang w:val="sr-Latn-ME"/>
              </w:rPr>
              <w:t xml:space="preserve"> N=193</w:t>
            </w:r>
          </w:p>
        </w:tc>
      </w:tr>
      <w:tr w:rsidR="009E39C5" w:rsidRPr="000D3D7F" w14:paraId="3266243C"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559C9A12" w14:textId="77777777" w:rsidR="009E39C5" w:rsidRPr="000D3D7F" w:rsidRDefault="009E39C5" w:rsidP="001E1F5A">
            <w:pPr>
              <w:rPr>
                <w:b/>
                <w:bCs/>
                <w:u w:val="single"/>
                <w:lang w:val="sr-Latn-ME"/>
              </w:rPr>
            </w:pPr>
            <w:r w:rsidRPr="000D3D7F">
              <w:rPr>
                <w:b/>
                <w:bCs/>
                <w:szCs w:val="22"/>
                <w:u w:val="single"/>
                <w:lang w:val="sr-Latn-ME"/>
              </w:rPr>
              <w:t>CR</w:t>
            </w:r>
          </w:p>
        </w:tc>
        <w:tc>
          <w:tcPr>
            <w:tcW w:w="1141" w:type="dxa"/>
            <w:tcBorders>
              <w:top w:val="single" w:sz="4" w:space="0" w:color="000000"/>
              <w:left w:val="single" w:sz="4" w:space="0" w:color="000000"/>
              <w:bottom w:val="single" w:sz="4" w:space="0" w:color="000000"/>
              <w:right w:val="single" w:sz="4" w:space="0" w:color="000000"/>
            </w:tcBorders>
          </w:tcPr>
          <w:p w14:paraId="73CF917B" w14:textId="77777777" w:rsidR="009E39C5" w:rsidRPr="000D3D7F" w:rsidRDefault="009E39C5" w:rsidP="001E1F5A">
            <w:pPr>
              <w:rPr>
                <w:lang w:val="sr-Latn-ME"/>
              </w:rPr>
            </w:pPr>
            <w:r w:rsidRPr="000D3D7F">
              <w:rPr>
                <w:szCs w:val="22"/>
                <w:lang w:val="sr-Latn-ME"/>
              </w:rPr>
              <w:t>20 (6) b</w:t>
            </w:r>
          </w:p>
        </w:tc>
        <w:tc>
          <w:tcPr>
            <w:tcW w:w="1110" w:type="dxa"/>
            <w:tcBorders>
              <w:top w:val="single" w:sz="4" w:space="0" w:color="000000"/>
              <w:left w:val="single" w:sz="4" w:space="0" w:color="000000"/>
              <w:bottom w:val="single" w:sz="4" w:space="0" w:color="000000"/>
              <w:right w:val="single" w:sz="4" w:space="0" w:color="000000"/>
            </w:tcBorders>
          </w:tcPr>
          <w:p w14:paraId="7D0D1FEE" w14:textId="77777777" w:rsidR="009E39C5" w:rsidRPr="000D3D7F" w:rsidRDefault="009E39C5" w:rsidP="001E1F5A">
            <w:pPr>
              <w:rPr>
                <w:lang w:val="sr-Latn-ME"/>
              </w:rPr>
            </w:pPr>
            <w:r w:rsidRPr="000D3D7F">
              <w:rPr>
                <w:szCs w:val="22"/>
                <w:lang w:val="sr-Latn-ME"/>
              </w:rPr>
              <w:t>2 (&lt;1)b</w:t>
            </w:r>
          </w:p>
        </w:tc>
        <w:tc>
          <w:tcPr>
            <w:tcW w:w="1349" w:type="dxa"/>
            <w:tcBorders>
              <w:top w:val="single" w:sz="4" w:space="0" w:color="000000"/>
              <w:left w:val="single" w:sz="4" w:space="0" w:color="000000"/>
              <w:bottom w:val="single" w:sz="4" w:space="0" w:color="000000"/>
              <w:right w:val="single" w:sz="4" w:space="0" w:color="000000"/>
            </w:tcBorders>
          </w:tcPr>
          <w:p w14:paraId="7B8EDE3A" w14:textId="77777777" w:rsidR="009E39C5" w:rsidRPr="000D3D7F" w:rsidRDefault="009E39C5" w:rsidP="001E1F5A">
            <w:pPr>
              <w:rPr>
                <w:lang w:val="sr-Latn-ME"/>
              </w:rPr>
            </w:pPr>
            <w:r w:rsidRPr="000D3D7F">
              <w:rPr>
                <w:szCs w:val="22"/>
                <w:lang w:val="sr-Latn-ME"/>
              </w:rPr>
              <w:t>8 (6)</w:t>
            </w:r>
          </w:p>
        </w:tc>
        <w:tc>
          <w:tcPr>
            <w:tcW w:w="1440" w:type="dxa"/>
            <w:tcBorders>
              <w:top w:val="single" w:sz="4" w:space="0" w:color="000000"/>
              <w:left w:val="single" w:sz="4" w:space="0" w:color="000000"/>
              <w:bottom w:val="single" w:sz="4" w:space="0" w:color="000000"/>
              <w:right w:val="single" w:sz="4" w:space="0" w:color="000000"/>
            </w:tcBorders>
          </w:tcPr>
          <w:p w14:paraId="32F03F26" w14:textId="77777777" w:rsidR="009E39C5" w:rsidRPr="000D3D7F" w:rsidRDefault="009E39C5" w:rsidP="001E1F5A">
            <w:pPr>
              <w:rPr>
                <w:lang w:val="sr-Latn-ME"/>
              </w:rPr>
            </w:pPr>
            <w:r w:rsidRPr="000D3D7F">
              <w:rPr>
                <w:szCs w:val="22"/>
                <w:lang w:val="sr-Latn-ME"/>
              </w:rPr>
              <w:t>2 (2)</w:t>
            </w:r>
          </w:p>
        </w:tc>
        <w:tc>
          <w:tcPr>
            <w:tcW w:w="1262" w:type="dxa"/>
            <w:tcBorders>
              <w:top w:val="single" w:sz="4" w:space="0" w:color="000000"/>
              <w:left w:val="single" w:sz="4" w:space="0" w:color="000000"/>
              <w:bottom w:val="single" w:sz="4" w:space="0" w:color="000000"/>
              <w:right w:val="single" w:sz="4" w:space="0" w:color="000000"/>
            </w:tcBorders>
          </w:tcPr>
          <w:p w14:paraId="45B353D2" w14:textId="77777777" w:rsidR="009E39C5" w:rsidRPr="000D3D7F" w:rsidRDefault="009E39C5" w:rsidP="001E1F5A">
            <w:pPr>
              <w:rPr>
                <w:lang w:val="sr-Latn-ME"/>
              </w:rPr>
            </w:pPr>
            <w:r w:rsidRPr="000D3D7F">
              <w:rPr>
                <w:szCs w:val="22"/>
                <w:lang w:val="sr-Latn-ME"/>
              </w:rPr>
              <w:t>12 (6)</w:t>
            </w:r>
          </w:p>
        </w:tc>
        <w:tc>
          <w:tcPr>
            <w:tcW w:w="1348" w:type="dxa"/>
            <w:tcBorders>
              <w:top w:val="single" w:sz="4" w:space="0" w:color="000000"/>
              <w:left w:val="single" w:sz="4" w:space="0" w:color="000000"/>
              <w:bottom w:val="single" w:sz="4" w:space="0" w:color="000000"/>
              <w:right w:val="single" w:sz="4" w:space="0" w:color="000000"/>
            </w:tcBorders>
          </w:tcPr>
          <w:p w14:paraId="0BA36FEA" w14:textId="77777777" w:rsidR="009E39C5" w:rsidRPr="000D3D7F" w:rsidRDefault="009E39C5" w:rsidP="001E1F5A">
            <w:pPr>
              <w:rPr>
                <w:lang w:val="sr-Latn-ME"/>
              </w:rPr>
            </w:pPr>
            <w:r w:rsidRPr="000D3D7F">
              <w:rPr>
                <w:szCs w:val="22"/>
                <w:lang w:val="sr-Latn-ME"/>
              </w:rPr>
              <w:t>0 (0)</w:t>
            </w:r>
          </w:p>
        </w:tc>
        <w:tc>
          <w:tcPr>
            <w:tcW w:w="1530" w:type="dxa"/>
            <w:tcBorders>
              <w:top w:val="single" w:sz="4" w:space="0" w:color="000000"/>
              <w:left w:val="single" w:sz="4" w:space="0" w:color="000000"/>
              <w:bottom w:val="single" w:sz="4" w:space="0" w:color="000000"/>
              <w:right w:val="single" w:sz="4" w:space="0" w:color="000000"/>
            </w:tcBorders>
          </w:tcPr>
          <w:p w14:paraId="18092892" w14:textId="77777777" w:rsidR="009E39C5" w:rsidRPr="000D3D7F" w:rsidRDefault="009E39C5" w:rsidP="001E1F5A">
            <w:pPr>
              <w:rPr>
                <w:lang w:val="sr-Latn-ME"/>
              </w:rPr>
            </w:pPr>
            <w:r w:rsidRPr="000D3D7F">
              <w:rPr>
                <w:szCs w:val="22"/>
                <w:lang w:val="sr-Latn-ME"/>
              </w:rPr>
              <w:t>(4)**</w:t>
            </w:r>
          </w:p>
        </w:tc>
      </w:tr>
      <w:tr w:rsidR="009E39C5" w:rsidRPr="000D3D7F" w14:paraId="5903E618"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1388D84F" w14:textId="77777777" w:rsidR="009E39C5" w:rsidRPr="000D3D7F" w:rsidRDefault="009E39C5" w:rsidP="001E1F5A">
            <w:pPr>
              <w:rPr>
                <w:b/>
                <w:bCs/>
                <w:u w:val="single"/>
                <w:lang w:val="sr-Latn-ME"/>
              </w:rPr>
            </w:pPr>
            <w:r w:rsidRPr="000D3D7F">
              <w:rPr>
                <w:b/>
                <w:bCs/>
                <w:szCs w:val="22"/>
                <w:u w:val="single"/>
                <w:lang w:val="sr-Latn-ME"/>
              </w:rPr>
              <w:t>CR + nCR</w:t>
            </w:r>
          </w:p>
        </w:tc>
        <w:tc>
          <w:tcPr>
            <w:tcW w:w="1141" w:type="dxa"/>
            <w:tcBorders>
              <w:top w:val="single" w:sz="4" w:space="0" w:color="000000"/>
              <w:left w:val="single" w:sz="4" w:space="0" w:color="000000"/>
              <w:bottom w:val="single" w:sz="4" w:space="0" w:color="000000"/>
              <w:right w:val="single" w:sz="4" w:space="0" w:color="000000"/>
            </w:tcBorders>
          </w:tcPr>
          <w:p w14:paraId="03DEFF42" w14:textId="77777777" w:rsidR="009E39C5" w:rsidRPr="000D3D7F" w:rsidRDefault="009E39C5" w:rsidP="001E1F5A">
            <w:pPr>
              <w:rPr>
                <w:lang w:val="sr-Latn-ME"/>
              </w:rPr>
            </w:pPr>
            <w:r w:rsidRPr="000D3D7F">
              <w:rPr>
                <w:szCs w:val="22"/>
                <w:lang w:val="sr-Latn-ME"/>
              </w:rPr>
              <w:t>41 (13) b</w:t>
            </w:r>
          </w:p>
        </w:tc>
        <w:tc>
          <w:tcPr>
            <w:tcW w:w="1110" w:type="dxa"/>
            <w:tcBorders>
              <w:top w:val="single" w:sz="4" w:space="0" w:color="000000"/>
              <w:left w:val="single" w:sz="4" w:space="0" w:color="000000"/>
              <w:bottom w:val="single" w:sz="4" w:space="0" w:color="000000"/>
              <w:right w:val="single" w:sz="4" w:space="0" w:color="000000"/>
            </w:tcBorders>
          </w:tcPr>
          <w:p w14:paraId="1CF32F11" w14:textId="77777777" w:rsidR="009E39C5" w:rsidRPr="000D3D7F" w:rsidRDefault="009E39C5" w:rsidP="001E1F5A">
            <w:pPr>
              <w:rPr>
                <w:lang w:val="sr-Latn-ME"/>
              </w:rPr>
            </w:pPr>
            <w:r w:rsidRPr="000D3D7F">
              <w:rPr>
                <w:szCs w:val="22"/>
                <w:lang w:val="sr-Latn-ME"/>
              </w:rPr>
              <w:t>5 (2) b</w:t>
            </w:r>
          </w:p>
        </w:tc>
        <w:tc>
          <w:tcPr>
            <w:tcW w:w="1349" w:type="dxa"/>
            <w:tcBorders>
              <w:top w:val="single" w:sz="4" w:space="0" w:color="000000"/>
              <w:left w:val="single" w:sz="4" w:space="0" w:color="000000"/>
              <w:bottom w:val="single" w:sz="4" w:space="0" w:color="000000"/>
              <w:right w:val="single" w:sz="4" w:space="0" w:color="000000"/>
            </w:tcBorders>
          </w:tcPr>
          <w:p w14:paraId="38615979" w14:textId="77777777" w:rsidR="009E39C5" w:rsidRPr="000D3D7F" w:rsidRDefault="009E39C5" w:rsidP="001E1F5A">
            <w:pPr>
              <w:rPr>
                <w:lang w:val="sr-Latn-ME"/>
              </w:rPr>
            </w:pPr>
            <w:r w:rsidRPr="000D3D7F">
              <w:rPr>
                <w:szCs w:val="22"/>
                <w:lang w:val="sr-Latn-ME"/>
              </w:rPr>
              <w:t>16 (13)</w:t>
            </w:r>
          </w:p>
        </w:tc>
        <w:tc>
          <w:tcPr>
            <w:tcW w:w="1440" w:type="dxa"/>
            <w:tcBorders>
              <w:top w:val="single" w:sz="4" w:space="0" w:color="000000"/>
              <w:left w:val="single" w:sz="4" w:space="0" w:color="000000"/>
              <w:bottom w:val="single" w:sz="4" w:space="0" w:color="000000"/>
              <w:right w:val="single" w:sz="4" w:space="0" w:color="000000"/>
            </w:tcBorders>
          </w:tcPr>
          <w:p w14:paraId="09B23693" w14:textId="77777777" w:rsidR="009E39C5" w:rsidRPr="000D3D7F" w:rsidRDefault="009E39C5" w:rsidP="001E1F5A">
            <w:pPr>
              <w:rPr>
                <w:lang w:val="sr-Latn-ME"/>
              </w:rPr>
            </w:pPr>
            <w:r w:rsidRPr="000D3D7F">
              <w:rPr>
                <w:szCs w:val="22"/>
                <w:lang w:val="sr-Latn-ME"/>
              </w:rPr>
              <w:t>4 (4)</w:t>
            </w:r>
          </w:p>
        </w:tc>
        <w:tc>
          <w:tcPr>
            <w:tcW w:w="1262" w:type="dxa"/>
            <w:tcBorders>
              <w:top w:val="single" w:sz="4" w:space="0" w:color="000000"/>
              <w:left w:val="single" w:sz="4" w:space="0" w:color="000000"/>
              <w:bottom w:val="single" w:sz="4" w:space="0" w:color="000000"/>
              <w:right w:val="single" w:sz="4" w:space="0" w:color="000000"/>
            </w:tcBorders>
          </w:tcPr>
          <w:p w14:paraId="14E4610C" w14:textId="77777777" w:rsidR="009E39C5" w:rsidRPr="000D3D7F" w:rsidRDefault="009E39C5" w:rsidP="001E1F5A">
            <w:pPr>
              <w:rPr>
                <w:lang w:val="sr-Latn-ME"/>
              </w:rPr>
            </w:pPr>
            <w:r w:rsidRPr="000D3D7F">
              <w:rPr>
                <w:szCs w:val="22"/>
                <w:lang w:val="sr-Latn-ME"/>
              </w:rPr>
              <w:t>25 (13)</w:t>
            </w:r>
          </w:p>
        </w:tc>
        <w:tc>
          <w:tcPr>
            <w:tcW w:w="1348" w:type="dxa"/>
            <w:tcBorders>
              <w:top w:val="single" w:sz="4" w:space="0" w:color="000000"/>
              <w:left w:val="single" w:sz="4" w:space="0" w:color="000000"/>
              <w:bottom w:val="single" w:sz="4" w:space="0" w:color="000000"/>
              <w:right w:val="single" w:sz="4" w:space="0" w:color="000000"/>
            </w:tcBorders>
          </w:tcPr>
          <w:p w14:paraId="186BD351" w14:textId="77777777" w:rsidR="009E39C5" w:rsidRPr="000D3D7F" w:rsidRDefault="009E39C5" w:rsidP="001E1F5A">
            <w:pPr>
              <w:rPr>
                <w:lang w:val="sr-Latn-ME"/>
              </w:rPr>
            </w:pPr>
            <w:r w:rsidRPr="000D3D7F">
              <w:rPr>
                <w:szCs w:val="22"/>
                <w:lang w:val="sr-Latn-ME"/>
              </w:rPr>
              <w:t>1 (&lt;1)</w:t>
            </w:r>
          </w:p>
        </w:tc>
        <w:tc>
          <w:tcPr>
            <w:tcW w:w="1530" w:type="dxa"/>
            <w:tcBorders>
              <w:top w:val="single" w:sz="4" w:space="0" w:color="000000"/>
              <w:left w:val="single" w:sz="4" w:space="0" w:color="000000"/>
              <w:bottom w:val="single" w:sz="4" w:space="0" w:color="000000"/>
              <w:right w:val="single" w:sz="4" w:space="0" w:color="000000"/>
            </w:tcBorders>
          </w:tcPr>
          <w:p w14:paraId="7B96889D" w14:textId="77777777" w:rsidR="009E39C5" w:rsidRPr="000D3D7F" w:rsidRDefault="009E39C5" w:rsidP="001E1F5A">
            <w:pPr>
              <w:rPr>
                <w:lang w:val="sr-Latn-ME"/>
              </w:rPr>
            </w:pPr>
            <w:r w:rsidRPr="000D3D7F">
              <w:rPr>
                <w:szCs w:val="22"/>
                <w:lang w:val="sr-Latn-ME"/>
              </w:rPr>
              <w:t>(10)**</w:t>
            </w:r>
          </w:p>
        </w:tc>
      </w:tr>
      <w:tr w:rsidR="009E39C5" w:rsidRPr="000D3D7F" w14:paraId="3E966AD3"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059F18B0" w14:textId="77777777" w:rsidR="009E39C5" w:rsidRPr="000D3D7F" w:rsidRDefault="009E39C5" w:rsidP="001E1F5A">
            <w:pPr>
              <w:rPr>
                <w:b/>
                <w:bCs/>
                <w:u w:val="single"/>
                <w:lang w:val="sr-Latn-ME"/>
              </w:rPr>
            </w:pPr>
            <w:r w:rsidRPr="000D3D7F">
              <w:rPr>
                <w:b/>
                <w:bCs/>
                <w:szCs w:val="22"/>
                <w:u w:val="single"/>
                <w:lang w:val="sr-Latn-ME"/>
              </w:rPr>
              <w:t>CR+nCR+ PR</w:t>
            </w:r>
          </w:p>
        </w:tc>
        <w:tc>
          <w:tcPr>
            <w:tcW w:w="1141" w:type="dxa"/>
            <w:tcBorders>
              <w:top w:val="single" w:sz="4" w:space="0" w:color="000000"/>
              <w:left w:val="single" w:sz="4" w:space="0" w:color="000000"/>
              <w:bottom w:val="single" w:sz="4" w:space="0" w:color="000000"/>
              <w:right w:val="single" w:sz="4" w:space="0" w:color="000000"/>
            </w:tcBorders>
          </w:tcPr>
          <w:p w14:paraId="4382D5FA" w14:textId="77777777" w:rsidR="009E39C5" w:rsidRPr="000D3D7F" w:rsidRDefault="009E39C5" w:rsidP="001E1F5A">
            <w:pPr>
              <w:rPr>
                <w:lang w:val="sr-Latn-ME"/>
              </w:rPr>
            </w:pPr>
            <w:r w:rsidRPr="000D3D7F">
              <w:rPr>
                <w:szCs w:val="22"/>
                <w:lang w:val="sr-Latn-ME"/>
              </w:rPr>
              <w:t>121 (38)</w:t>
            </w:r>
          </w:p>
          <w:p w14:paraId="0D57C0F3" w14:textId="77777777" w:rsidR="009E39C5" w:rsidRPr="000D3D7F" w:rsidRDefault="009E39C5" w:rsidP="001E1F5A">
            <w:pPr>
              <w:rPr>
                <w:lang w:val="sr-Latn-ME"/>
              </w:rPr>
            </w:pPr>
            <w:r w:rsidRPr="000D3D7F">
              <w:rPr>
                <w:szCs w:val="22"/>
                <w:lang w:val="sr-Latn-ME"/>
              </w:rPr>
              <w:t>b</w:t>
            </w:r>
          </w:p>
        </w:tc>
        <w:tc>
          <w:tcPr>
            <w:tcW w:w="1110" w:type="dxa"/>
            <w:tcBorders>
              <w:top w:val="single" w:sz="4" w:space="0" w:color="000000"/>
              <w:left w:val="single" w:sz="4" w:space="0" w:color="000000"/>
              <w:bottom w:val="single" w:sz="4" w:space="0" w:color="000000"/>
              <w:right w:val="single" w:sz="4" w:space="0" w:color="000000"/>
            </w:tcBorders>
          </w:tcPr>
          <w:p w14:paraId="7A91D7AE" w14:textId="77777777" w:rsidR="009E39C5" w:rsidRPr="000D3D7F" w:rsidRDefault="009E39C5" w:rsidP="001E1F5A">
            <w:pPr>
              <w:rPr>
                <w:lang w:val="sr-Latn-ME"/>
              </w:rPr>
            </w:pPr>
            <w:r w:rsidRPr="000D3D7F">
              <w:rPr>
                <w:szCs w:val="22"/>
                <w:lang w:val="sr-Latn-ME"/>
              </w:rPr>
              <w:t>56 (18) b</w:t>
            </w:r>
          </w:p>
        </w:tc>
        <w:tc>
          <w:tcPr>
            <w:tcW w:w="1349" w:type="dxa"/>
            <w:tcBorders>
              <w:top w:val="single" w:sz="4" w:space="0" w:color="000000"/>
              <w:left w:val="single" w:sz="4" w:space="0" w:color="000000"/>
              <w:bottom w:val="single" w:sz="4" w:space="0" w:color="000000"/>
              <w:right w:val="single" w:sz="4" w:space="0" w:color="000000"/>
            </w:tcBorders>
          </w:tcPr>
          <w:p w14:paraId="480C3143" w14:textId="77777777" w:rsidR="009E39C5" w:rsidRPr="000D3D7F" w:rsidRDefault="009E39C5" w:rsidP="001E1F5A">
            <w:pPr>
              <w:rPr>
                <w:lang w:val="sr-Latn-ME"/>
              </w:rPr>
            </w:pPr>
            <w:r w:rsidRPr="000D3D7F">
              <w:rPr>
                <w:szCs w:val="22"/>
                <w:lang w:val="sr-Latn-ME"/>
              </w:rPr>
              <w:t>57 (45) d</w:t>
            </w:r>
          </w:p>
        </w:tc>
        <w:tc>
          <w:tcPr>
            <w:tcW w:w="1440" w:type="dxa"/>
            <w:tcBorders>
              <w:top w:val="single" w:sz="4" w:space="0" w:color="000000"/>
              <w:left w:val="single" w:sz="4" w:space="0" w:color="000000"/>
              <w:bottom w:val="single" w:sz="4" w:space="0" w:color="000000"/>
              <w:right w:val="single" w:sz="4" w:space="0" w:color="000000"/>
            </w:tcBorders>
          </w:tcPr>
          <w:p w14:paraId="16CAA558" w14:textId="77777777" w:rsidR="009E39C5" w:rsidRPr="000D3D7F" w:rsidRDefault="009E39C5" w:rsidP="001E1F5A">
            <w:pPr>
              <w:rPr>
                <w:lang w:val="sr-Latn-ME"/>
              </w:rPr>
            </w:pPr>
            <w:r w:rsidRPr="000D3D7F">
              <w:rPr>
                <w:szCs w:val="22"/>
                <w:lang w:val="sr-Latn-ME"/>
              </w:rPr>
              <w:t>29 (26)d</w:t>
            </w:r>
          </w:p>
        </w:tc>
        <w:tc>
          <w:tcPr>
            <w:tcW w:w="1262" w:type="dxa"/>
            <w:tcBorders>
              <w:top w:val="single" w:sz="4" w:space="0" w:color="000000"/>
              <w:left w:val="single" w:sz="4" w:space="0" w:color="000000"/>
              <w:bottom w:val="single" w:sz="4" w:space="0" w:color="000000"/>
              <w:right w:val="single" w:sz="4" w:space="0" w:color="000000"/>
            </w:tcBorders>
          </w:tcPr>
          <w:p w14:paraId="7735D7D0" w14:textId="77777777" w:rsidR="009E39C5" w:rsidRPr="000D3D7F" w:rsidRDefault="009E39C5" w:rsidP="001E1F5A">
            <w:pPr>
              <w:rPr>
                <w:lang w:val="sr-Latn-ME"/>
              </w:rPr>
            </w:pPr>
            <w:r w:rsidRPr="000D3D7F">
              <w:rPr>
                <w:szCs w:val="22"/>
                <w:lang w:val="sr-Latn-ME"/>
              </w:rPr>
              <w:t>64 (34) b</w:t>
            </w:r>
          </w:p>
        </w:tc>
        <w:tc>
          <w:tcPr>
            <w:tcW w:w="1348" w:type="dxa"/>
            <w:tcBorders>
              <w:top w:val="single" w:sz="4" w:space="0" w:color="000000"/>
              <w:left w:val="single" w:sz="4" w:space="0" w:color="000000"/>
              <w:bottom w:val="single" w:sz="4" w:space="0" w:color="000000"/>
              <w:right w:val="single" w:sz="4" w:space="0" w:color="000000"/>
            </w:tcBorders>
          </w:tcPr>
          <w:p w14:paraId="67A54544" w14:textId="77777777" w:rsidR="009E39C5" w:rsidRPr="000D3D7F" w:rsidRDefault="009E39C5" w:rsidP="001E1F5A">
            <w:pPr>
              <w:rPr>
                <w:lang w:val="sr-Latn-ME"/>
              </w:rPr>
            </w:pPr>
            <w:r w:rsidRPr="000D3D7F">
              <w:rPr>
                <w:szCs w:val="22"/>
                <w:lang w:val="sr-Latn-ME"/>
              </w:rPr>
              <w:t>27 (13)b</w:t>
            </w:r>
          </w:p>
        </w:tc>
        <w:tc>
          <w:tcPr>
            <w:tcW w:w="1530" w:type="dxa"/>
            <w:tcBorders>
              <w:top w:val="single" w:sz="4" w:space="0" w:color="000000"/>
              <w:left w:val="single" w:sz="4" w:space="0" w:color="000000"/>
              <w:bottom w:val="single" w:sz="4" w:space="0" w:color="000000"/>
              <w:right w:val="single" w:sz="4" w:space="0" w:color="000000"/>
            </w:tcBorders>
          </w:tcPr>
          <w:p w14:paraId="4A5F2189" w14:textId="77777777" w:rsidR="009E39C5" w:rsidRPr="000D3D7F" w:rsidRDefault="009E39C5" w:rsidP="001E1F5A">
            <w:pPr>
              <w:rPr>
                <w:lang w:val="sr-Latn-ME"/>
              </w:rPr>
            </w:pPr>
            <w:r w:rsidRPr="000D3D7F">
              <w:rPr>
                <w:szCs w:val="22"/>
                <w:lang w:val="sr-Latn-ME"/>
              </w:rPr>
              <w:t>(27)**</w:t>
            </w:r>
          </w:p>
        </w:tc>
      </w:tr>
      <w:tr w:rsidR="009E39C5" w:rsidRPr="000D3D7F" w14:paraId="6DAC9BF8"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2B8CE344" w14:textId="77777777" w:rsidR="009E39C5" w:rsidRPr="000D3D7F" w:rsidRDefault="009E39C5" w:rsidP="001E1F5A">
            <w:pPr>
              <w:rPr>
                <w:b/>
                <w:bCs/>
                <w:u w:val="single"/>
                <w:lang w:val="sr-Latn-ME"/>
              </w:rPr>
            </w:pPr>
            <w:r w:rsidRPr="000D3D7F">
              <w:rPr>
                <w:b/>
                <w:bCs/>
                <w:szCs w:val="22"/>
                <w:u w:val="single"/>
                <w:lang w:val="sr-Latn-ME"/>
              </w:rPr>
              <w:t>CR +</w:t>
            </w:r>
          </w:p>
          <w:p w14:paraId="56F76D89" w14:textId="77777777" w:rsidR="009E39C5" w:rsidRPr="000D3D7F" w:rsidRDefault="009E39C5" w:rsidP="001E1F5A">
            <w:pPr>
              <w:rPr>
                <w:b/>
                <w:bCs/>
                <w:u w:val="single"/>
                <w:lang w:val="sr-Latn-ME"/>
              </w:rPr>
            </w:pPr>
            <w:r w:rsidRPr="000D3D7F">
              <w:rPr>
                <w:b/>
                <w:bCs/>
                <w:szCs w:val="22"/>
                <w:u w:val="single"/>
                <w:lang w:val="sr-Latn-ME"/>
              </w:rPr>
              <w:t>nCR+ PR+MR</w:t>
            </w:r>
          </w:p>
        </w:tc>
        <w:tc>
          <w:tcPr>
            <w:tcW w:w="1141" w:type="dxa"/>
            <w:tcBorders>
              <w:top w:val="single" w:sz="4" w:space="0" w:color="000000"/>
              <w:left w:val="single" w:sz="4" w:space="0" w:color="000000"/>
              <w:bottom w:val="single" w:sz="4" w:space="0" w:color="000000"/>
              <w:right w:val="single" w:sz="4" w:space="0" w:color="000000"/>
            </w:tcBorders>
          </w:tcPr>
          <w:p w14:paraId="6D3205B2" w14:textId="77777777" w:rsidR="009E39C5" w:rsidRPr="000D3D7F" w:rsidRDefault="009E39C5" w:rsidP="001E1F5A">
            <w:pPr>
              <w:rPr>
                <w:lang w:val="sr-Latn-ME"/>
              </w:rPr>
            </w:pPr>
          </w:p>
          <w:p w14:paraId="33117134" w14:textId="77777777" w:rsidR="009E39C5" w:rsidRPr="000D3D7F" w:rsidRDefault="009E39C5" w:rsidP="001E1F5A">
            <w:pPr>
              <w:rPr>
                <w:lang w:val="sr-Latn-ME"/>
              </w:rPr>
            </w:pPr>
            <w:r w:rsidRPr="000D3D7F">
              <w:rPr>
                <w:szCs w:val="22"/>
                <w:lang w:val="sr-Latn-ME"/>
              </w:rPr>
              <w:t>146 (46)</w:t>
            </w:r>
          </w:p>
        </w:tc>
        <w:tc>
          <w:tcPr>
            <w:tcW w:w="1110" w:type="dxa"/>
            <w:tcBorders>
              <w:top w:val="single" w:sz="4" w:space="0" w:color="000000"/>
              <w:left w:val="single" w:sz="4" w:space="0" w:color="000000"/>
              <w:bottom w:val="single" w:sz="4" w:space="0" w:color="000000"/>
              <w:right w:val="single" w:sz="4" w:space="0" w:color="000000"/>
            </w:tcBorders>
          </w:tcPr>
          <w:p w14:paraId="3F30B554" w14:textId="77777777" w:rsidR="009E39C5" w:rsidRPr="000D3D7F" w:rsidRDefault="009E39C5" w:rsidP="001E1F5A">
            <w:pPr>
              <w:rPr>
                <w:lang w:val="sr-Latn-ME"/>
              </w:rPr>
            </w:pPr>
          </w:p>
          <w:p w14:paraId="4AA91E66" w14:textId="77777777" w:rsidR="009E39C5" w:rsidRPr="000D3D7F" w:rsidRDefault="009E39C5" w:rsidP="001E1F5A">
            <w:pPr>
              <w:rPr>
                <w:lang w:val="sr-Latn-ME"/>
              </w:rPr>
            </w:pPr>
            <w:r w:rsidRPr="000D3D7F">
              <w:rPr>
                <w:szCs w:val="22"/>
                <w:lang w:val="sr-Latn-ME"/>
              </w:rPr>
              <w:t>108 (35)</w:t>
            </w:r>
          </w:p>
        </w:tc>
        <w:tc>
          <w:tcPr>
            <w:tcW w:w="1349" w:type="dxa"/>
            <w:tcBorders>
              <w:top w:val="single" w:sz="4" w:space="0" w:color="000000"/>
              <w:left w:val="single" w:sz="4" w:space="0" w:color="000000"/>
              <w:bottom w:val="single" w:sz="4" w:space="0" w:color="000000"/>
              <w:right w:val="single" w:sz="4" w:space="0" w:color="000000"/>
            </w:tcBorders>
          </w:tcPr>
          <w:p w14:paraId="55000273" w14:textId="77777777" w:rsidR="009E39C5" w:rsidRPr="000D3D7F" w:rsidRDefault="009E39C5" w:rsidP="001E1F5A">
            <w:pPr>
              <w:rPr>
                <w:lang w:val="sr-Latn-ME"/>
              </w:rPr>
            </w:pPr>
          </w:p>
          <w:p w14:paraId="7C6AD5FB" w14:textId="77777777" w:rsidR="009E39C5" w:rsidRPr="000D3D7F" w:rsidRDefault="009E39C5" w:rsidP="001E1F5A">
            <w:pPr>
              <w:rPr>
                <w:lang w:val="sr-Latn-ME"/>
              </w:rPr>
            </w:pPr>
            <w:r w:rsidRPr="000D3D7F">
              <w:rPr>
                <w:szCs w:val="22"/>
                <w:lang w:val="sr-Latn-ME"/>
              </w:rPr>
              <w:t>66 (52)</w:t>
            </w:r>
          </w:p>
        </w:tc>
        <w:tc>
          <w:tcPr>
            <w:tcW w:w="1440" w:type="dxa"/>
            <w:tcBorders>
              <w:top w:val="single" w:sz="4" w:space="0" w:color="000000"/>
              <w:left w:val="single" w:sz="4" w:space="0" w:color="000000"/>
              <w:bottom w:val="single" w:sz="4" w:space="0" w:color="000000"/>
              <w:right w:val="single" w:sz="4" w:space="0" w:color="000000"/>
            </w:tcBorders>
          </w:tcPr>
          <w:p w14:paraId="29A00714" w14:textId="77777777" w:rsidR="009E39C5" w:rsidRPr="000D3D7F" w:rsidRDefault="009E39C5" w:rsidP="001E1F5A">
            <w:pPr>
              <w:rPr>
                <w:lang w:val="sr-Latn-ME"/>
              </w:rPr>
            </w:pPr>
          </w:p>
          <w:p w14:paraId="7B3C5EB5" w14:textId="77777777" w:rsidR="009E39C5" w:rsidRPr="000D3D7F" w:rsidRDefault="009E39C5" w:rsidP="001E1F5A">
            <w:pPr>
              <w:rPr>
                <w:lang w:val="sr-Latn-ME"/>
              </w:rPr>
            </w:pPr>
            <w:r w:rsidRPr="000D3D7F">
              <w:rPr>
                <w:szCs w:val="22"/>
                <w:lang w:val="sr-Latn-ME"/>
              </w:rPr>
              <w:t>45 (41)</w:t>
            </w:r>
          </w:p>
        </w:tc>
        <w:tc>
          <w:tcPr>
            <w:tcW w:w="1262" w:type="dxa"/>
            <w:tcBorders>
              <w:top w:val="single" w:sz="4" w:space="0" w:color="000000"/>
              <w:left w:val="single" w:sz="4" w:space="0" w:color="000000"/>
              <w:bottom w:val="single" w:sz="4" w:space="0" w:color="000000"/>
              <w:right w:val="single" w:sz="4" w:space="0" w:color="000000"/>
            </w:tcBorders>
          </w:tcPr>
          <w:p w14:paraId="560A3ACA" w14:textId="77777777" w:rsidR="009E39C5" w:rsidRPr="000D3D7F" w:rsidRDefault="009E39C5" w:rsidP="001E1F5A">
            <w:pPr>
              <w:rPr>
                <w:lang w:val="sr-Latn-ME"/>
              </w:rPr>
            </w:pPr>
          </w:p>
          <w:p w14:paraId="617E4D18" w14:textId="77777777" w:rsidR="009E39C5" w:rsidRPr="000D3D7F" w:rsidRDefault="009E39C5" w:rsidP="001E1F5A">
            <w:pPr>
              <w:rPr>
                <w:lang w:val="sr-Latn-ME"/>
              </w:rPr>
            </w:pPr>
            <w:r w:rsidRPr="000D3D7F">
              <w:rPr>
                <w:szCs w:val="22"/>
                <w:lang w:val="sr-Latn-ME"/>
              </w:rPr>
              <w:t>80 (43)</w:t>
            </w:r>
          </w:p>
        </w:tc>
        <w:tc>
          <w:tcPr>
            <w:tcW w:w="1348" w:type="dxa"/>
            <w:tcBorders>
              <w:top w:val="single" w:sz="4" w:space="0" w:color="000000"/>
              <w:left w:val="single" w:sz="4" w:space="0" w:color="000000"/>
              <w:bottom w:val="single" w:sz="4" w:space="0" w:color="000000"/>
              <w:right w:val="single" w:sz="4" w:space="0" w:color="000000"/>
            </w:tcBorders>
          </w:tcPr>
          <w:p w14:paraId="45607945" w14:textId="77777777" w:rsidR="009E39C5" w:rsidRPr="000D3D7F" w:rsidRDefault="009E39C5" w:rsidP="001E1F5A">
            <w:pPr>
              <w:rPr>
                <w:lang w:val="sr-Latn-ME"/>
              </w:rPr>
            </w:pPr>
          </w:p>
          <w:p w14:paraId="211926F5" w14:textId="77777777" w:rsidR="009E39C5" w:rsidRPr="000D3D7F" w:rsidRDefault="009E39C5" w:rsidP="001E1F5A">
            <w:pPr>
              <w:rPr>
                <w:lang w:val="sr-Latn-ME"/>
              </w:rPr>
            </w:pPr>
            <w:r w:rsidRPr="000D3D7F">
              <w:rPr>
                <w:szCs w:val="22"/>
                <w:lang w:val="sr-Latn-ME"/>
              </w:rPr>
              <w:t>63 (31)</w:t>
            </w:r>
          </w:p>
        </w:tc>
        <w:tc>
          <w:tcPr>
            <w:tcW w:w="1530" w:type="dxa"/>
            <w:tcBorders>
              <w:top w:val="single" w:sz="4" w:space="0" w:color="000000"/>
              <w:left w:val="single" w:sz="4" w:space="0" w:color="000000"/>
              <w:bottom w:val="single" w:sz="4" w:space="0" w:color="000000"/>
              <w:right w:val="single" w:sz="4" w:space="0" w:color="000000"/>
            </w:tcBorders>
          </w:tcPr>
          <w:p w14:paraId="5CF84524" w14:textId="77777777" w:rsidR="009E39C5" w:rsidRPr="000D3D7F" w:rsidRDefault="009E39C5" w:rsidP="001E1F5A">
            <w:pPr>
              <w:rPr>
                <w:lang w:val="sr-Latn-ME"/>
              </w:rPr>
            </w:pPr>
          </w:p>
          <w:p w14:paraId="3B816280" w14:textId="77777777" w:rsidR="009E39C5" w:rsidRPr="000D3D7F" w:rsidRDefault="009E39C5" w:rsidP="001E1F5A">
            <w:pPr>
              <w:rPr>
                <w:lang w:val="sr-Latn-ME"/>
              </w:rPr>
            </w:pPr>
            <w:r w:rsidRPr="000D3D7F">
              <w:rPr>
                <w:szCs w:val="22"/>
                <w:lang w:val="sr-Latn-ME"/>
              </w:rPr>
              <w:t>(35)**</w:t>
            </w:r>
          </w:p>
        </w:tc>
      </w:tr>
      <w:tr w:rsidR="009E39C5" w:rsidRPr="000D3D7F" w14:paraId="6E094664"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11E86046" w14:textId="18C88739" w:rsidR="009E39C5" w:rsidRPr="000D3D7F" w:rsidRDefault="009E39C5" w:rsidP="001E1F5A">
            <w:pPr>
              <w:rPr>
                <w:b/>
                <w:bCs/>
                <w:u w:val="single"/>
                <w:lang w:val="sr-Latn-ME"/>
              </w:rPr>
            </w:pPr>
            <w:r w:rsidRPr="000D3D7F">
              <w:rPr>
                <w:b/>
                <w:bCs/>
                <w:szCs w:val="22"/>
                <w:u w:val="single"/>
                <w:lang w:val="sr-Latn-ME"/>
              </w:rPr>
              <w:t>Pros</w:t>
            </w:r>
            <w:r w:rsidR="00E714CD" w:rsidRPr="000D3D7F">
              <w:rPr>
                <w:b/>
                <w:bCs/>
                <w:szCs w:val="22"/>
                <w:u w:val="single"/>
                <w:lang w:val="sr-Latn-ME"/>
              </w:rPr>
              <w:t>j</w:t>
            </w:r>
            <w:r w:rsidRPr="000D3D7F">
              <w:rPr>
                <w:b/>
                <w:bCs/>
                <w:szCs w:val="22"/>
                <w:u w:val="single"/>
                <w:lang w:val="sr-Latn-ME"/>
              </w:rPr>
              <w:t>ečno trajanje odgovora dani</w:t>
            </w:r>
          </w:p>
          <w:p w14:paraId="1AC2158E" w14:textId="5FF85B20" w:rsidR="009E39C5" w:rsidRPr="000D3D7F" w:rsidRDefault="009E39C5" w:rsidP="001E1F5A">
            <w:pPr>
              <w:rPr>
                <w:b/>
                <w:bCs/>
                <w:u w:val="single"/>
                <w:lang w:val="sr-Latn-ME"/>
              </w:rPr>
            </w:pPr>
            <w:r w:rsidRPr="000D3D7F">
              <w:rPr>
                <w:b/>
                <w:bCs/>
                <w:szCs w:val="22"/>
                <w:u w:val="single"/>
                <w:lang w:val="sr-Latn-ME"/>
              </w:rPr>
              <w:t>(m</w:t>
            </w:r>
            <w:r w:rsidR="00E714CD" w:rsidRPr="000D3D7F">
              <w:rPr>
                <w:b/>
                <w:bCs/>
                <w:szCs w:val="22"/>
                <w:u w:val="single"/>
                <w:lang w:val="sr-Latn-ME"/>
              </w:rPr>
              <w:t>j</w:t>
            </w:r>
            <w:r w:rsidRPr="000D3D7F">
              <w:rPr>
                <w:b/>
                <w:bCs/>
                <w:szCs w:val="22"/>
                <w:u w:val="single"/>
                <w:lang w:val="sr-Latn-ME"/>
              </w:rPr>
              <w:t>eseci)</w:t>
            </w:r>
          </w:p>
        </w:tc>
        <w:tc>
          <w:tcPr>
            <w:tcW w:w="1141" w:type="dxa"/>
            <w:tcBorders>
              <w:top w:val="single" w:sz="4" w:space="0" w:color="000000"/>
              <w:left w:val="single" w:sz="4" w:space="0" w:color="000000"/>
              <w:bottom w:val="single" w:sz="4" w:space="0" w:color="000000"/>
              <w:right w:val="single" w:sz="4" w:space="0" w:color="000000"/>
            </w:tcBorders>
          </w:tcPr>
          <w:p w14:paraId="22C19DF0" w14:textId="77777777" w:rsidR="009E39C5" w:rsidRPr="000D3D7F" w:rsidRDefault="009E39C5" w:rsidP="001E1F5A">
            <w:pPr>
              <w:rPr>
                <w:lang w:val="sr-Latn-ME"/>
              </w:rPr>
            </w:pPr>
          </w:p>
          <w:p w14:paraId="78D4C040" w14:textId="77777777" w:rsidR="009E39C5" w:rsidRPr="000D3D7F" w:rsidRDefault="009E39C5" w:rsidP="001E1F5A">
            <w:pPr>
              <w:rPr>
                <w:lang w:val="sr-Latn-ME"/>
              </w:rPr>
            </w:pPr>
            <w:r w:rsidRPr="000D3D7F">
              <w:rPr>
                <w:szCs w:val="22"/>
                <w:lang w:val="sr-Latn-ME"/>
              </w:rPr>
              <w:t>242 (8,0)</w:t>
            </w:r>
          </w:p>
        </w:tc>
        <w:tc>
          <w:tcPr>
            <w:tcW w:w="1110" w:type="dxa"/>
            <w:tcBorders>
              <w:top w:val="single" w:sz="4" w:space="0" w:color="000000"/>
              <w:left w:val="single" w:sz="4" w:space="0" w:color="000000"/>
              <w:bottom w:val="single" w:sz="4" w:space="0" w:color="000000"/>
              <w:right w:val="single" w:sz="4" w:space="0" w:color="000000"/>
            </w:tcBorders>
          </w:tcPr>
          <w:p w14:paraId="14E03CB5" w14:textId="77777777" w:rsidR="009E39C5" w:rsidRPr="000D3D7F" w:rsidRDefault="009E39C5" w:rsidP="001E1F5A">
            <w:pPr>
              <w:rPr>
                <w:lang w:val="sr-Latn-ME"/>
              </w:rPr>
            </w:pPr>
          </w:p>
          <w:p w14:paraId="79859D21" w14:textId="77777777" w:rsidR="009E39C5" w:rsidRPr="000D3D7F" w:rsidRDefault="009E39C5" w:rsidP="001E1F5A">
            <w:pPr>
              <w:rPr>
                <w:lang w:val="sr-Latn-ME"/>
              </w:rPr>
            </w:pPr>
            <w:r w:rsidRPr="000D3D7F">
              <w:rPr>
                <w:szCs w:val="22"/>
                <w:lang w:val="sr-Latn-ME"/>
              </w:rPr>
              <w:t>169 (5,6)</w:t>
            </w:r>
          </w:p>
        </w:tc>
        <w:tc>
          <w:tcPr>
            <w:tcW w:w="1349" w:type="dxa"/>
            <w:tcBorders>
              <w:top w:val="single" w:sz="4" w:space="0" w:color="000000"/>
              <w:left w:val="single" w:sz="4" w:space="0" w:color="000000"/>
              <w:bottom w:val="single" w:sz="4" w:space="0" w:color="000000"/>
              <w:right w:val="single" w:sz="4" w:space="0" w:color="000000"/>
            </w:tcBorders>
          </w:tcPr>
          <w:p w14:paraId="15E9EFBB" w14:textId="77777777" w:rsidR="009E39C5" w:rsidRPr="000D3D7F" w:rsidRDefault="009E39C5" w:rsidP="001E1F5A">
            <w:pPr>
              <w:rPr>
                <w:lang w:val="sr-Latn-ME"/>
              </w:rPr>
            </w:pPr>
          </w:p>
          <w:p w14:paraId="4A9E8C69" w14:textId="77777777" w:rsidR="009E39C5" w:rsidRPr="000D3D7F" w:rsidRDefault="009E39C5" w:rsidP="001E1F5A">
            <w:pPr>
              <w:rPr>
                <w:lang w:val="sr-Latn-ME"/>
              </w:rPr>
            </w:pPr>
            <w:r w:rsidRPr="000D3D7F">
              <w:rPr>
                <w:szCs w:val="22"/>
                <w:lang w:val="sr-Latn-ME"/>
              </w:rPr>
              <w:t>246 (8,1)</w:t>
            </w:r>
          </w:p>
        </w:tc>
        <w:tc>
          <w:tcPr>
            <w:tcW w:w="1440" w:type="dxa"/>
            <w:tcBorders>
              <w:top w:val="single" w:sz="4" w:space="0" w:color="000000"/>
              <w:left w:val="single" w:sz="4" w:space="0" w:color="000000"/>
              <w:bottom w:val="single" w:sz="4" w:space="0" w:color="000000"/>
              <w:right w:val="single" w:sz="4" w:space="0" w:color="000000"/>
            </w:tcBorders>
          </w:tcPr>
          <w:p w14:paraId="3F7D69D1" w14:textId="77777777" w:rsidR="009E39C5" w:rsidRPr="000D3D7F" w:rsidRDefault="009E39C5" w:rsidP="001E1F5A">
            <w:pPr>
              <w:rPr>
                <w:lang w:val="sr-Latn-ME"/>
              </w:rPr>
            </w:pPr>
          </w:p>
          <w:p w14:paraId="49515051" w14:textId="77777777" w:rsidR="009E39C5" w:rsidRPr="000D3D7F" w:rsidRDefault="009E39C5" w:rsidP="001E1F5A">
            <w:pPr>
              <w:rPr>
                <w:lang w:val="sr-Latn-ME"/>
              </w:rPr>
            </w:pPr>
            <w:r w:rsidRPr="000D3D7F">
              <w:rPr>
                <w:szCs w:val="22"/>
                <w:lang w:val="sr-Latn-ME"/>
              </w:rPr>
              <w:t>189(6,2)</w:t>
            </w:r>
          </w:p>
        </w:tc>
        <w:tc>
          <w:tcPr>
            <w:tcW w:w="1262" w:type="dxa"/>
            <w:tcBorders>
              <w:top w:val="single" w:sz="4" w:space="0" w:color="000000"/>
              <w:left w:val="single" w:sz="4" w:space="0" w:color="000000"/>
              <w:bottom w:val="single" w:sz="4" w:space="0" w:color="000000"/>
              <w:right w:val="single" w:sz="4" w:space="0" w:color="000000"/>
            </w:tcBorders>
          </w:tcPr>
          <w:p w14:paraId="4F8301A6" w14:textId="77777777" w:rsidR="009E39C5" w:rsidRPr="000D3D7F" w:rsidRDefault="009E39C5" w:rsidP="001E1F5A">
            <w:pPr>
              <w:rPr>
                <w:lang w:val="sr-Latn-ME"/>
              </w:rPr>
            </w:pPr>
          </w:p>
          <w:p w14:paraId="6FE32F6B" w14:textId="77777777" w:rsidR="009E39C5" w:rsidRPr="000D3D7F" w:rsidRDefault="009E39C5" w:rsidP="001E1F5A">
            <w:pPr>
              <w:rPr>
                <w:lang w:val="sr-Latn-ME"/>
              </w:rPr>
            </w:pPr>
            <w:r w:rsidRPr="000D3D7F">
              <w:rPr>
                <w:szCs w:val="22"/>
                <w:lang w:val="sr-Latn-ME"/>
              </w:rPr>
              <w:t>238 (7,8)</w:t>
            </w:r>
          </w:p>
        </w:tc>
        <w:tc>
          <w:tcPr>
            <w:tcW w:w="1348" w:type="dxa"/>
            <w:tcBorders>
              <w:top w:val="single" w:sz="4" w:space="0" w:color="000000"/>
              <w:left w:val="single" w:sz="4" w:space="0" w:color="000000"/>
              <w:bottom w:val="single" w:sz="4" w:space="0" w:color="000000"/>
              <w:right w:val="single" w:sz="4" w:space="0" w:color="000000"/>
            </w:tcBorders>
          </w:tcPr>
          <w:p w14:paraId="799F0E35" w14:textId="77777777" w:rsidR="009E39C5" w:rsidRPr="000D3D7F" w:rsidRDefault="009E39C5" w:rsidP="001E1F5A">
            <w:pPr>
              <w:rPr>
                <w:lang w:val="sr-Latn-ME"/>
              </w:rPr>
            </w:pPr>
          </w:p>
          <w:p w14:paraId="65F10EA6" w14:textId="77777777" w:rsidR="009E39C5" w:rsidRPr="000D3D7F" w:rsidRDefault="009E39C5" w:rsidP="001E1F5A">
            <w:pPr>
              <w:rPr>
                <w:lang w:val="sr-Latn-ME"/>
              </w:rPr>
            </w:pPr>
            <w:r w:rsidRPr="000D3D7F">
              <w:rPr>
                <w:szCs w:val="22"/>
                <w:lang w:val="sr-Latn-ME"/>
              </w:rPr>
              <w:t>126 (4,1)</w:t>
            </w:r>
          </w:p>
        </w:tc>
        <w:tc>
          <w:tcPr>
            <w:tcW w:w="1530" w:type="dxa"/>
            <w:tcBorders>
              <w:top w:val="single" w:sz="4" w:space="0" w:color="000000"/>
              <w:left w:val="single" w:sz="4" w:space="0" w:color="000000"/>
              <w:bottom w:val="single" w:sz="4" w:space="0" w:color="000000"/>
              <w:right w:val="single" w:sz="4" w:space="0" w:color="000000"/>
            </w:tcBorders>
          </w:tcPr>
          <w:p w14:paraId="6BCBD8D5" w14:textId="77777777" w:rsidR="009E39C5" w:rsidRPr="000D3D7F" w:rsidRDefault="009E39C5" w:rsidP="001E1F5A">
            <w:pPr>
              <w:rPr>
                <w:lang w:val="sr-Latn-ME"/>
              </w:rPr>
            </w:pPr>
          </w:p>
          <w:p w14:paraId="064A5E1E" w14:textId="77777777" w:rsidR="009E39C5" w:rsidRPr="000D3D7F" w:rsidRDefault="009E39C5" w:rsidP="001E1F5A">
            <w:pPr>
              <w:rPr>
                <w:lang w:val="sr-Latn-ME"/>
              </w:rPr>
            </w:pPr>
            <w:r w:rsidRPr="000D3D7F">
              <w:rPr>
                <w:szCs w:val="22"/>
                <w:lang w:val="sr-Latn-ME"/>
              </w:rPr>
              <w:t>385*</w:t>
            </w:r>
          </w:p>
        </w:tc>
      </w:tr>
      <w:tr w:rsidR="009E39C5" w:rsidRPr="000D3D7F" w14:paraId="2C50E0D2" w14:textId="77777777" w:rsidTr="00DB317D">
        <w:trPr>
          <w:trHeight w:val="878"/>
        </w:trPr>
        <w:tc>
          <w:tcPr>
            <w:tcW w:w="1171" w:type="dxa"/>
            <w:tcBorders>
              <w:top w:val="single" w:sz="4" w:space="0" w:color="000000"/>
              <w:left w:val="single" w:sz="4" w:space="0" w:color="000000"/>
              <w:bottom w:val="single" w:sz="4" w:space="0" w:color="000000"/>
              <w:right w:val="single" w:sz="4" w:space="0" w:color="000000"/>
            </w:tcBorders>
          </w:tcPr>
          <w:p w14:paraId="74DE4B95" w14:textId="2DBEC68E" w:rsidR="009E39C5" w:rsidRPr="000D3D7F" w:rsidRDefault="009E39C5" w:rsidP="001E1F5A">
            <w:pPr>
              <w:rPr>
                <w:b/>
                <w:bCs/>
                <w:u w:val="single"/>
                <w:lang w:val="sr-Latn-ME"/>
              </w:rPr>
            </w:pPr>
            <w:r w:rsidRPr="000D3D7F">
              <w:rPr>
                <w:b/>
                <w:bCs/>
                <w:szCs w:val="22"/>
                <w:u w:val="single"/>
                <w:lang w:val="sr-Latn-ME"/>
              </w:rPr>
              <w:t>VR</w:t>
            </w:r>
            <w:r w:rsidR="00E714CD" w:rsidRPr="000D3D7F">
              <w:rPr>
                <w:b/>
                <w:bCs/>
                <w:szCs w:val="22"/>
                <w:u w:val="single"/>
                <w:lang w:val="sr-Latn-ME"/>
              </w:rPr>
              <w:t>IJ</w:t>
            </w:r>
            <w:r w:rsidRPr="000D3D7F">
              <w:rPr>
                <w:b/>
                <w:bCs/>
                <w:szCs w:val="22"/>
                <w:u w:val="single"/>
                <w:lang w:val="sr-Latn-ME"/>
              </w:rPr>
              <w:t>EME DO ODGOV ORA</w:t>
            </w:r>
          </w:p>
          <w:p w14:paraId="0F068AA5" w14:textId="77777777" w:rsidR="009E39C5" w:rsidRPr="000D3D7F" w:rsidRDefault="009E39C5" w:rsidP="001E1F5A">
            <w:pPr>
              <w:rPr>
                <w:b/>
                <w:bCs/>
                <w:u w:val="single"/>
                <w:lang w:val="sr-Latn-ME"/>
              </w:rPr>
            </w:pPr>
            <w:r w:rsidRPr="000D3D7F">
              <w:rPr>
                <w:b/>
                <w:bCs/>
                <w:szCs w:val="22"/>
                <w:u w:val="single"/>
                <w:lang w:val="sr-Latn-ME"/>
              </w:rPr>
              <w:t>CR + PR</w:t>
            </w:r>
          </w:p>
          <w:p w14:paraId="090184A2" w14:textId="77777777" w:rsidR="009E39C5" w:rsidRPr="000D3D7F" w:rsidRDefault="009E39C5" w:rsidP="001E1F5A">
            <w:pPr>
              <w:rPr>
                <w:b/>
                <w:bCs/>
                <w:u w:val="single"/>
                <w:lang w:val="sr-Latn-ME"/>
              </w:rPr>
            </w:pPr>
            <w:r w:rsidRPr="000D3D7F">
              <w:rPr>
                <w:b/>
                <w:bCs/>
                <w:szCs w:val="22"/>
                <w:u w:val="single"/>
                <w:lang w:val="sr-Latn-ME"/>
              </w:rPr>
              <w:t>(dani)</w:t>
            </w:r>
          </w:p>
        </w:tc>
        <w:tc>
          <w:tcPr>
            <w:tcW w:w="1141" w:type="dxa"/>
            <w:tcBorders>
              <w:top w:val="single" w:sz="4" w:space="0" w:color="000000"/>
              <w:left w:val="single" w:sz="4" w:space="0" w:color="000000"/>
              <w:bottom w:val="single" w:sz="4" w:space="0" w:color="000000"/>
              <w:right w:val="single" w:sz="4" w:space="0" w:color="000000"/>
            </w:tcBorders>
          </w:tcPr>
          <w:p w14:paraId="1A49E02B" w14:textId="77777777" w:rsidR="009E39C5" w:rsidRPr="000D3D7F" w:rsidRDefault="009E39C5" w:rsidP="001E1F5A">
            <w:pPr>
              <w:rPr>
                <w:lang w:val="sr-Latn-ME"/>
              </w:rPr>
            </w:pPr>
          </w:p>
          <w:p w14:paraId="1F2996A2" w14:textId="77777777" w:rsidR="009E39C5" w:rsidRPr="000D3D7F" w:rsidRDefault="009E39C5" w:rsidP="001E1F5A">
            <w:pPr>
              <w:rPr>
                <w:lang w:val="sr-Latn-ME"/>
              </w:rPr>
            </w:pPr>
            <w:r w:rsidRPr="000D3D7F">
              <w:rPr>
                <w:szCs w:val="22"/>
                <w:lang w:val="sr-Latn-ME"/>
              </w:rPr>
              <w:t>43</w:t>
            </w:r>
          </w:p>
        </w:tc>
        <w:tc>
          <w:tcPr>
            <w:tcW w:w="1110" w:type="dxa"/>
            <w:tcBorders>
              <w:top w:val="single" w:sz="4" w:space="0" w:color="000000"/>
              <w:left w:val="single" w:sz="4" w:space="0" w:color="000000"/>
              <w:bottom w:val="single" w:sz="4" w:space="0" w:color="000000"/>
              <w:right w:val="single" w:sz="4" w:space="0" w:color="000000"/>
            </w:tcBorders>
          </w:tcPr>
          <w:p w14:paraId="1984837F" w14:textId="77777777" w:rsidR="009E39C5" w:rsidRPr="000D3D7F" w:rsidRDefault="009E39C5" w:rsidP="001E1F5A">
            <w:pPr>
              <w:rPr>
                <w:lang w:val="sr-Latn-ME"/>
              </w:rPr>
            </w:pPr>
          </w:p>
          <w:p w14:paraId="0BB54CEC" w14:textId="77777777" w:rsidR="009E39C5" w:rsidRPr="000D3D7F" w:rsidRDefault="009E39C5" w:rsidP="001E1F5A">
            <w:pPr>
              <w:rPr>
                <w:lang w:val="sr-Latn-ME"/>
              </w:rPr>
            </w:pPr>
            <w:r w:rsidRPr="000D3D7F">
              <w:rPr>
                <w:szCs w:val="22"/>
                <w:lang w:val="sr-Latn-ME"/>
              </w:rPr>
              <w:t>43</w:t>
            </w:r>
          </w:p>
        </w:tc>
        <w:tc>
          <w:tcPr>
            <w:tcW w:w="1349" w:type="dxa"/>
            <w:tcBorders>
              <w:top w:val="single" w:sz="4" w:space="0" w:color="000000"/>
              <w:left w:val="single" w:sz="4" w:space="0" w:color="000000"/>
              <w:bottom w:val="single" w:sz="4" w:space="0" w:color="000000"/>
              <w:right w:val="single" w:sz="4" w:space="0" w:color="000000"/>
            </w:tcBorders>
          </w:tcPr>
          <w:p w14:paraId="4554AC89" w14:textId="77777777" w:rsidR="009E39C5" w:rsidRPr="000D3D7F" w:rsidRDefault="009E39C5" w:rsidP="001E1F5A">
            <w:pPr>
              <w:rPr>
                <w:lang w:val="sr-Latn-ME"/>
              </w:rPr>
            </w:pPr>
          </w:p>
          <w:p w14:paraId="5C6BE374" w14:textId="77777777" w:rsidR="009E39C5" w:rsidRPr="000D3D7F" w:rsidRDefault="009E39C5" w:rsidP="001E1F5A">
            <w:pPr>
              <w:rPr>
                <w:lang w:val="sr-Latn-ME"/>
              </w:rPr>
            </w:pPr>
            <w:r w:rsidRPr="000D3D7F">
              <w:rPr>
                <w:szCs w:val="22"/>
                <w:lang w:val="sr-Latn-ME"/>
              </w:rPr>
              <w:t>44</w:t>
            </w:r>
          </w:p>
        </w:tc>
        <w:tc>
          <w:tcPr>
            <w:tcW w:w="1440" w:type="dxa"/>
            <w:tcBorders>
              <w:top w:val="single" w:sz="4" w:space="0" w:color="000000"/>
              <w:left w:val="single" w:sz="4" w:space="0" w:color="000000"/>
              <w:bottom w:val="single" w:sz="4" w:space="0" w:color="000000"/>
              <w:right w:val="single" w:sz="4" w:space="0" w:color="000000"/>
            </w:tcBorders>
          </w:tcPr>
          <w:p w14:paraId="3201B142" w14:textId="77777777" w:rsidR="009E39C5" w:rsidRPr="000D3D7F" w:rsidRDefault="009E39C5" w:rsidP="001E1F5A">
            <w:pPr>
              <w:rPr>
                <w:lang w:val="sr-Latn-ME"/>
              </w:rPr>
            </w:pPr>
          </w:p>
          <w:p w14:paraId="05F9FBD5" w14:textId="77777777" w:rsidR="009E39C5" w:rsidRPr="000D3D7F" w:rsidRDefault="009E39C5" w:rsidP="001E1F5A">
            <w:pPr>
              <w:rPr>
                <w:lang w:val="sr-Latn-ME"/>
              </w:rPr>
            </w:pPr>
            <w:r w:rsidRPr="000D3D7F">
              <w:rPr>
                <w:szCs w:val="22"/>
                <w:lang w:val="sr-Latn-ME"/>
              </w:rPr>
              <w:t>46</w:t>
            </w:r>
          </w:p>
        </w:tc>
        <w:tc>
          <w:tcPr>
            <w:tcW w:w="1262" w:type="dxa"/>
            <w:tcBorders>
              <w:top w:val="single" w:sz="4" w:space="0" w:color="000000"/>
              <w:left w:val="single" w:sz="4" w:space="0" w:color="000000"/>
              <w:bottom w:val="single" w:sz="4" w:space="0" w:color="000000"/>
              <w:right w:val="single" w:sz="4" w:space="0" w:color="000000"/>
            </w:tcBorders>
          </w:tcPr>
          <w:p w14:paraId="623EDF76" w14:textId="77777777" w:rsidR="009E39C5" w:rsidRPr="000D3D7F" w:rsidRDefault="009E39C5" w:rsidP="001E1F5A">
            <w:pPr>
              <w:rPr>
                <w:lang w:val="sr-Latn-ME"/>
              </w:rPr>
            </w:pPr>
          </w:p>
          <w:p w14:paraId="210F9DD7" w14:textId="77777777" w:rsidR="009E39C5" w:rsidRPr="000D3D7F" w:rsidRDefault="009E39C5" w:rsidP="001E1F5A">
            <w:pPr>
              <w:rPr>
                <w:lang w:val="sr-Latn-ME"/>
              </w:rPr>
            </w:pPr>
            <w:r w:rsidRPr="000D3D7F">
              <w:rPr>
                <w:szCs w:val="22"/>
                <w:lang w:val="sr-Latn-ME"/>
              </w:rPr>
              <w:t>41</w:t>
            </w:r>
          </w:p>
        </w:tc>
        <w:tc>
          <w:tcPr>
            <w:tcW w:w="1348" w:type="dxa"/>
            <w:tcBorders>
              <w:top w:val="single" w:sz="4" w:space="0" w:color="000000"/>
              <w:left w:val="single" w:sz="4" w:space="0" w:color="000000"/>
              <w:bottom w:val="single" w:sz="4" w:space="0" w:color="000000"/>
              <w:right w:val="single" w:sz="4" w:space="0" w:color="000000"/>
            </w:tcBorders>
          </w:tcPr>
          <w:p w14:paraId="6F271120" w14:textId="77777777" w:rsidR="009E39C5" w:rsidRPr="000D3D7F" w:rsidRDefault="009E39C5" w:rsidP="001E1F5A">
            <w:pPr>
              <w:rPr>
                <w:lang w:val="sr-Latn-ME"/>
              </w:rPr>
            </w:pPr>
          </w:p>
          <w:p w14:paraId="48C8F887" w14:textId="77777777" w:rsidR="009E39C5" w:rsidRPr="000D3D7F" w:rsidRDefault="009E39C5" w:rsidP="001E1F5A">
            <w:pPr>
              <w:rPr>
                <w:lang w:val="sr-Latn-ME"/>
              </w:rPr>
            </w:pPr>
            <w:r w:rsidRPr="000D3D7F">
              <w:rPr>
                <w:szCs w:val="22"/>
                <w:lang w:val="sr-Latn-ME"/>
              </w:rPr>
              <w:t>27</w:t>
            </w:r>
          </w:p>
        </w:tc>
        <w:tc>
          <w:tcPr>
            <w:tcW w:w="1530" w:type="dxa"/>
            <w:tcBorders>
              <w:top w:val="single" w:sz="4" w:space="0" w:color="000000"/>
              <w:left w:val="single" w:sz="4" w:space="0" w:color="000000"/>
              <w:bottom w:val="single" w:sz="4" w:space="0" w:color="000000"/>
              <w:right w:val="single" w:sz="4" w:space="0" w:color="000000"/>
            </w:tcBorders>
          </w:tcPr>
          <w:p w14:paraId="60F32F47" w14:textId="77777777" w:rsidR="009E39C5" w:rsidRPr="000D3D7F" w:rsidRDefault="009E39C5" w:rsidP="001E1F5A">
            <w:pPr>
              <w:rPr>
                <w:lang w:val="sr-Latn-ME"/>
              </w:rPr>
            </w:pPr>
          </w:p>
          <w:p w14:paraId="6C69A7A2" w14:textId="77777777" w:rsidR="009E39C5" w:rsidRPr="000D3D7F" w:rsidRDefault="009E39C5" w:rsidP="001E1F5A">
            <w:pPr>
              <w:rPr>
                <w:lang w:val="sr-Latn-ME"/>
              </w:rPr>
            </w:pPr>
            <w:r w:rsidRPr="000D3D7F">
              <w:rPr>
                <w:szCs w:val="22"/>
                <w:lang w:val="sr-Latn-ME"/>
              </w:rPr>
              <w:t>38*</w:t>
            </w:r>
          </w:p>
        </w:tc>
      </w:tr>
    </w:tbl>
    <w:p w14:paraId="33F6FD39" w14:textId="570B54B4" w:rsidR="009E39C5" w:rsidRPr="000D3D7F" w:rsidRDefault="009E39C5" w:rsidP="001E1F5A">
      <w:pPr>
        <w:rPr>
          <w:szCs w:val="22"/>
          <w:lang w:val="sr-Latn-ME"/>
        </w:rPr>
      </w:pPr>
    </w:p>
    <w:p w14:paraId="2482BC1F" w14:textId="77777777" w:rsidR="009E39C5" w:rsidRPr="000D3D7F" w:rsidRDefault="009E39C5" w:rsidP="001E1F5A">
      <w:pPr>
        <w:rPr>
          <w:szCs w:val="22"/>
          <w:lang w:val="sr-Latn-ME"/>
        </w:rPr>
      </w:pPr>
      <w:r w:rsidRPr="000D3D7F">
        <w:rPr>
          <w:szCs w:val="22"/>
          <w:lang w:val="sr-Latn-ME"/>
        </w:rPr>
        <w:t>CR – kompletna remisija; nCR – nekompletna remisija; PR – delimičan odgovor; MR – minimalan odgovor</w:t>
      </w:r>
    </w:p>
    <w:p w14:paraId="4677AACE" w14:textId="77777777" w:rsidR="009E39C5" w:rsidRPr="000D3D7F" w:rsidRDefault="009E39C5" w:rsidP="001E1F5A">
      <w:pPr>
        <w:rPr>
          <w:szCs w:val="22"/>
          <w:lang w:val="sr-Latn-ME"/>
        </w:rPr>
      </w:pPr>
      <w:r w:rsidRPr="000D3D7F">
        <w:rPr>
          <w:szCs w:val="22"/>
          <w:vertAlign w:val="superscript"/>
          <w:lang w:val="sr-Latn-ME"/>
        </w:rPr>
        <w:t>a</w:t>
      </w:r>
      <w:r w:rsidRPr="000D3D7F">
        <w:rPr>
          <w:szCs w:val="22"/>
          <w:lang w:val="sr-Latn-ME"/>
        </w:rPr>
        <w:t>ITT populacija (Intent to Treat Population)</w:t>
      </w:r>
    </w:p>
    <w:p w14:paraId="7CAEEF69" w14:textId="01303F01" w:rsidR="009E39C5" w:rsidRPr="000D3D7F" w:rsidRDefault="009E39C5" w:rsidP="001E1F5A">
      <w:pPr>
        <w:rPr>
          <w:szCs w:val="22"/>
          <w:lang w:val="sr-Latn-ME"/>
        </w:rPr>
      </w:pPr>
      <w:r w:rsidRPr="000D3D7F">
        <w:rPr>
          <w:szCs w:val="22"/>
          <w:vertAlign w:val="superscript"/>
          <w:lang w:val="sr-Latn-ME"/>
        </w:rPr>
        <w:t>b</w:t>
      </w:r>
      <w:r w:rsidRPr="000D3D7F">
        <w:rPr>
          <w:szCs w:val="22"/>
          <w:lang w:val="sr-Latn-ME"/>
        </w:rPr>
        <w:t>p-vr</w:t>
      </w:r>
      <w:r w:rsidR="00E714CD" w:rsidRPr="000D3D7F">
        <w:rPr>
          <w:szCs w:val="22"/>
          <w:lang w:val="sr-Latn-ME"/>
        </w:rPr>
        <w:t>ij</w:t>
      </w:r>
      <w:r w:rsidRPr="000D3D7F">
        <w:rPr>
          <w:szCs w:val="22"/>
          <w:lang w:val="sr-Latn-ME"/>
        </w:rPr>
        <w:t>ednost iz stratifikovanog log-rank testa; analiza po liniji terapije isključuje stratifikaciju u smislu</w:t>
      </w:r>
      <w:r w:rsidR="004B33C6" w:rsidRPr="000D3D7F">
        <w:rPr>
          <w:szCs w:val="22"/>
          <w:lang w:val="sr-Latn-ME"/>
        </w:rPr>
        <w:t xml:space="preserve"> </w:t>
      </w:r>
      <w:r w:rsidRPr="000D3D7F">
        <w:rPr>
          <w:szCs w:val="22"/>
          <w:lang w:val="sr-Latn-ME"/>
        </w:rPr>
        <w:t>prethodnih terapija; p&lt;0.0001</w:t>
      </w:r>
    </w:p>
    <w:p w14:paraId="1253BCB5" w14:textId="4B5AE064" w:rsidR="009E39C5" w:rsidRPr="000D3D7F" w:rsidRDefault="009E39C5" w:rsidP="001E1F5A">
      <w:pPr>
        <w:rPr>
          <w:szCs w:val="22"/>
          <w:lang w:val="sr-Latn-ME"/>
        </w:rPr>
      </w:pPr>
      <w:r w:rsidRPr="000D3D7F">
        <w:rPr>
          <w:szCs w:val="22"/>
          <w:vertAlign w:val="superscript"/>
          <w:lang w:val="sr-Latn-ME"/>
        </w:rPr>
        <w:t>c</w:t>
      </w:r>
      <w:r w:rsidRPr="000D3D7F">
        <w:rPr>
          <w:szCs w:val="22"/>
          <w:lang w:val="sr-Latn-ME"/>
        </w:rPr>
        <w:t>Populacija koja reaguje uključuje pacijente koji su na početku imali m</w:t>
      </w:r>
      <w:r w:rsidR="00E714CD" w:rsidRPr="000D3D7F">
        <w:rPr>
          <w:szCs w:val="22"/>
          <w:lang w:val="sr-Latn-ME"/>
        </w:rPr>
        <w:t>j</w:t>
      </w:r>
      <w:r w:rsidRPr="000D3D7F">
        <w:rPr>
          <w:szCs w:val="22"/>
          <w:lang w:val="sr-Latn-ME"/>
        </w:rPr>
        <w:t>erljivu bolest i koji su primili</w:t>
      </w:r>
      <w:r w:rsidR="004B33C6" w:rsidRPr="000D3D7F">
        <w:rPr>
          <w:szCs w:val="22"/>
          <w:lang w:val="sr-Latn-ME"/>
        </w:rPr>
        <w:t xml:space="preserve"> </w:t>
      </w:r>
      <w:r w:rsidRPr="000D3D7F">
        <w:rPr>
          <w:szCs w:val="22"/>
          <w:lang w:val="sr-Latn-ME"/>
        </w:rPr>
        <w:t>najmanje 1dozu proučavanog l</w:t>
      </w:r>
      <w:r w:rsidR="00E714CD" w:rsidRPr="000D3D7F">
        <w:rPr>
          <w:szCs w:val="22"/>
          <w:lang w:val="sr-Latn-ME"/>
        </w:rPr>
        <w:t>ij</w:t>
      </w:r>
      <w:r w:rsidRPr="000D3D7F">
        <w:rPr>
          <w:szCs w:val="22"/>
          <w:lang w:val="sr-Latn-ME"/>
        </w:rPr>
        <w:t>eka.</w:t>
      </w:r>
    </w:p>
    <w:p w14:paraId="5BFC8582" w14:textId="7AE6DC2C" w:rsidR="009E39C5" w:rsidRPr="000D3D7F" w:rsidRDefault="009E39C5" w:rsidP="001E1F5A">
      <w:pPr>
        <w:rPr>
          <w:szCs w:val="22"/>
          <w:lang w:val="sr-Latn-ME"/>
        </w:rPr>
      </w:pPr>
      <w:r w:rsidRPr="000D3D7F">
        <w:rPr>
          <w:szCs w:val="22"/>
          <w:vertAlign w:val="superscript"/>
          <w:lang w:val="sr-Latn-ME"/>
        </w:rPr>
        <w:t>d</w:t>
      </w:r>
      <w:r w:rsidRPr="000D3D7F">
        <w:rPr>
          <w:szCs w:val="22"/>
          <w:lang w:val="sr-Latn-ME"/>
        </w:rPr>
        <w:t>p-vr</w:t>
      </w:r>
      <w:r w:rsidR="00E714CD" w:rsidRPr="000D3D7F">
        <w:rPr>
          <w:szCs w:val="22"/>
          <w:lang w:val="sr-Latn-ME"/>
        </w:rPr>
        <w:t>ij</w:t>
      </w:r>
      <w:r w:rsidRPr="000D3D7F">
        <w:rPr>
          <w:szCs w:val="22"/>
          <w:lang w:val="sr-Latn-ME"/>
        </w:rPr>
        <w:t>ednost iz Cochran-Mantel-Haenszel hi-kvadrat testa podešenog u smislu faktora stratifikacije;</w:t>
      </w:r>
      <w:r w:rsidR="004B33C6" w:rsidRPr="000D3D7F">
        <w:rPr>
          <w:szCs w:val="22"/>
          <w:lang w:val="sr-Latn-ME"/>
        </w:rPr>
        <w:t xml:space="preserve"> </w:t>
      </w:r>
      <w:r w:rsidRPr="000D3D7F">
        <w:rPr>
          <w:szCs w:val="22"/>
          <w:lang w:val="sr-Latn-ME"/>
        </w:rPr>
        <w:t>analiza po liniji terapije isključuje stratifikaciju u smislu terapijske istorije</w:t>
      </w:r>
    </w:p>
    <w:p w14:paraId="019AB9A0" w14:textId="77777777" w:rsidR="009E39C5" w:rsidRPr="000D3D7F" w:rsidRDefault="009E39C5" w:rsidP="001E1F5A">
      <w:pPr>
        <w:rPr>
          <w:szCs w:val="22"/>
          <w:lang w:val="sr-Latn-ME"/>
        </w:rPr>
      </w:pPr>
      <w:r w:rsidRPr="000D3D7F">
        <w:rPr>
          <w:szCs w:val="22"/>
          <w:lang w:val="sr-Latn-ME"/>
        </w:rPr>
        <w:t>*CR+PR+MR **CR=CR, (IF-); nCR=CR (IF+)</w:t>
      </w:r>
    </w:p>
    <w:p w14:paraId="27CFEA18" w14:textId="592E40B5" w:rsidR="009E39C5" w:rsidRPr="000D3D7F" w:rsidRDefault="009E39C5" w:rsidP="001E1F5A">
      <w:pPr>
        <w:rPr>
          <w:szCs w:val="22"/>
          <w:lang w:val="sr-Latn-ME"/>
        </w:rPr>
      </w:pPr>
      <w:r w:rsidRPr="000D3D7F">
        <w:rPr>
          <w:szCs w:val="22"/>
          <w:lang w:val="sr-Latn-ME"/>
        </w:rPr>
        <w:t>NA = ne prim</w:t>
      </w:r>
      <w:r w:rsidR="00E714CD" w:rsidRPr="000D3D7F">
        <w:rPr>
          <w:szCs w:val="22"/>
          <w:lang w:val="sr-Latn-ME"/>
        </w:rPr>
        <w:t>j</w:t>
      </w:r>
      <w:r w:rsidRPr="000D3D7F">
        <w:rPr>
          <w:szCs w:val="22"/>
          <w:lang w:val="sr-Latn-ME"/>
        </w:rPr>
        <w:t>enjuje se, NE = nije proc</w:t>
      </w:r>
      <w:r w:rsidR="00E714CD" w:rsidRPr="000D3D7F">
        <w:rPr>
          <w:szCs w:val="22"/>
          <w:lang w:val="sr-Latn-ME"/>
        </w:rPr>
        <w:t>ij</w:t>
      </w:r>
      <w:r w:rsidRPr="000D3D7F">
        <w:rPr>
          <w:szCs w:val="22"/>
          <w:lang w:val="sr-Latn-ME"/>
        </w:rPr>
        <w:t>enjeno</w:t>
      </w:r>
    </w:p>
    <w:p w14:paraId="5E75389E" w14:textId="33DA5C67" w:rsidR="00085E9C" w:rsidRPr="000D3D7F" w:rsidRDefault="00085E9C" w:rsidP="001E1F5A">
      <w:pPr>
        <w:rPr>
          <w:szCs w:val="22"/>
          <w:lang w:val="sr-Latn-ME"/>
        </w:rPr>
      </w:pPr>
      <w:r w:rsidRPr="000D3D7F">
        <w:rPr>
          <w:szCs w:val="22"/>
          <w:lang w:val="sr-Latn-ME"/>
        </w:rPr>
        <w:t>CI – interval pov</w:t>
      </w:r>
      <w:r w:rsidR="00FE3E8C" w:rsidRPr="000D3D7F">
        <w:rPr>
          <w:szCs w:val="22"/>
          <w:lang w:val="sr-Latn-ME"/>
        </w:rPr>
        <w:t>j</w:t>
      </w:r>
      <w:r w:rsidRPr="000D3D7F">
        <w:rPr>
          <w:szCs w:val="22"/>
          <w:lang w:val="sr-Latn-ME"/>
        </w:rPr>
        <w:t>erenja</w:t>
      </w:r>
    </w:p>
    <w:p w14:paraId="38F86EFB" w14:textId="77777777" w:rsidR="003A2940" w:rsidRPr="000D3D7F" w:rsidRDefault="003A2940" w:rsidP="001E1F5A">
      <w:pPr>
        <w:rPr>
          <w:szCs w:val="22"/>
          <w:lang w:val="sr-Latn-ME"/>
        </w:rPr>
      </w:pPr>
    </w:p>
    <w:p w14:paraId="38C0925B" w14:textId="13716A9F" w:rsidR="009E39C5" w:rsidRPr="000D3D7F" w:rsidRDefault="009E39C5" w:rsidP="001E1F5A">
      <w:pPr>
        <w:rPr>
          <w:szCs w:val="22"/>
          <w:lang w:val="sr-Latn-ME"/>
        </w:rPr>
      </w:pPr>
      <w:r w:rsidRPr="000D3D7F">
        <w:rPr>
          <w:szCs w:val="22"/>
          <w:lang w:val="sr-Latn-ME"/>
        </w:rPr>
        <w:t>U studiji faze II, pacijenti koji ni</w:t>
      </w:r>
      <w:r w:rsidR="001E1F5A" w:rsidRPr="000D3D7F">
        <w:rPr>
          <w:szCs w:val="22"/>
          <w:lang w:val="sr-Latn-ME"/>
        </w:rPr>
        <w:t>je</w:t>
      </w:r>
      <w:r w:rsidRPr="000D3D7F">
        <w:rPr>
          <w:szCs w:val="22"/>
          <w:lang w:val="sr-Latn-ME"/>
        </w:rPr>
        <w:t xml:space="preserve">su postigli optimalnu reakciju na terapiju samo </w:t>
      </w:r>
      <w:r w:rsidR="003A2940" w:rsidRPr="000D3D7F">
        <w:rPr>
          <w:szCs w:val="22"/>
          <w:lang w:val="sr-Latn-ME"/>
        </w:rPr>
        <w:t>bortezomib</w:t>
      </w:r>
      <w:r w:rsidR="006B7EE4" w:rsidRPr="000D3D7F">
        <w:rPr>
          <w:szCs w:val="22"/>
          <w:lang w:val="sr-Latn-ME"/>
        </w:rPr>
        <w:t>om</w:t>
      </w:r>
      <w:r w:rsidRPr="000D3D7F">
        <w:rPr>
          <w:szCs w:val="22"/>
          <w:lang w:val="sr-Latn-ME"/>
        </w:rPr>
        <w:t xml:space="preserve"> bili su u</w:t>
      </w:r>
      <w:r w:rsidR="004B33C6" w:rsidRPr="000D3D7F">
        <w:rPr>
          <w:szCs w:val="22"/>
          <w:lang w:val="sr-Latn-ME"/>
        </w:rPr>
        <w:t xml:space="preserve"> </w:t>
      </w:r>
      <w:r w:rsidRPr="000D3D7F">
        <w:rPr>
          <w:szCs w:val="22"/>
          <w:lang w:val="sr-Latn-ME"/>
        </w:rPr>
        <w:t xml:space="preserve">stanju da prime veliku dozu deksametazona u kombinaciji sa </w:t>
      </w:r>
      <w:r w:rsidR="003A2940" w:rsidRPr="000D3D7F">
        <w:rPr>
          <w:szCs w:val="22"/>
          <w:lang w:val="sr-Latn-ME"/>
        </w:rPr>
        <w:t>bortezomib</w:t>
      </w:r>
      <w:r w:rsidR="006B7EE4" w:rsidRPr="000D3D7F">
        <w:rPr>
          <w:szCs w:val="22"/>
          <w:lang w:val="sr-Latn-ME"/>
        </w:rPr>
        <w:t>om</w:t>
      </w:r>
      <w:r w:rsidRPr="000D3D7F">
        <w:rPr>
          <w:szCs w:val="22"/>
          <w:lang w:val="sr-Latn-ME"/>
        </w:rPr>
        <w:t>.</w:t>
      </w:r>
    </w:p>
    <w:p w14:paraId="3BBDF42D" w14:textId="2F3A1474" w:rsidR="009E39C5" w:rsidRPr="000D3D7F" w:rsidRDefault="009E39C5" w:rsidP="001E1F5A">
      <w:pPr>
        <w:rPr>
          <w:szCs w:val="22"/>
          <w:lang w:val="sr-Latn-ME"/>
        </w:rPr>
      </w:pPr>
      <w:r w:rsidRPr="000D3D7F">
        <w:rPr>
          <w:szCs w:val="22"/>
          <w:lang w:val="sr-Latn-ME"/>
        </w:rPr>
        <w:t>Protokol je omogućavao pacijentima da primaju deksametazon ukoliko su imali reakciju manju od optimalne</w:t>
      </w:r>
      <w:r w:rsidR="004B33C6" w:rsidRPr="000D3D7F">
        <w:rPr>
          <w:szCs w:val="22"/>
          <w:lang w:val="sr-Latn-ME"/>
        </w:rPr>
        <w:t xml:space="preserve"> </w:t>
      </w:r>
      <w:r w:rsidRPr="000D3D7F">
        <w:rPr>
          <w:szCs w:val="22"/>
          <w:lang w:val="sr-Latn-ME"/>
        </w:rPr>
        <w:t xml:space="preserve">na terapiju samo </w:t>
      </w:r>
      <w:r w:rsidR="003A2940" w:rsidRPr="000D3D7F">
        <w:rPr>
          <w:szCs w:val="22"/>
          <w:lang w:val="sr-Latn-ME"/>
        </w:rPr>
        <w:t>bortezomib</w:t>
      </w:r>
      <w:r w:rsidR="006B7EE4" w:rsidRPr="000D3D7F">
        <w:rPr>
          <w:szCs w:val="22"/>
          <w:lang w:val="sr-Latn-ME"/>
        </w:rPr>
        <w:t>om</w:t>
      </w:r>
      <w:r w:rsidRPr="000D3D7F">
        <w:rPr>
          <w:szCs w:val="22"/>
          <w:lang w:val="sr-Latn-ME"/>
        </w:rPr>
        <w:t>. Ukupno 74 pacijenta koje je bilo moguće proc</w:t>
      </w:r>
      <w:r w:rsidR="00E714CD" w:rsidRPr="000D3D7F">
        <w:rPr>
          <w:szCs w:val="22"/>
          <w:lang w:val="sr-Latn-ME"/>
        </w:rPr>
        <w:t>j</w:t>
      </w:r>
      <w:r w:rsidRPr="000D3D7F">
        <w:rPr>
          <w:szCs w:val="22"/>
          <w:lang w:val="sr-Latn-ME"/>
        </w:rPr>
        <w:t>enjivati primali su</w:t>
      </w:r>
      <w:r w:rsidR="004B33C6" w:rsidRPr="000D3D7F">
        <w:rPr>
          <w:szCs w:val="22"/>
          <w:lang w:val="sr-Latn-ME"/>
        </w:rPr>
        <w:t xml:space="preserve"> </w:t>
      </w:r>
      <w:r w:rsidRPr="000D3D7F">
        <w:rPr>
          <w:szCs w:val="22"/>
          <w:lang w:val="sr-Latn-ME"/>
        </w:rPr>
        <w:lastRenderedPageBreak/>
        <w:t xml:space="preserve">deksametazon u kombinaciji sa </w:t>
      </w:r>
      <w:r w:rsidR="003A2940" w:rsidRPr="000D3D7F">
        <w:rPr>
          <w:szCs w:val="22"/>
          <w:lang w:val="sr-Latn-ME"/>
        </w:rPr>
        <w:t>bortezomib</w:t>
      </w:r>
      <w:r w:rsidR="006B7EE4" w:rsidRPr="000D3D7F">
        <w:rPr>
          <w:szCs w:val="22"/>
          <w:lang w:val="sr-Latn-ME"/>
        </w:rPr>
        <w:t>om</w:t>
      </w:r>
      <w:r w:rsidRPr="000D3D7F">
        <w:rPr>
          <w:szCs w:val="22"/>
          <w:lang w:val="sr-Latn-ME"/>
        </w:rPr>
        <w:t>. Osamnaest procenata pacijenata postigli su, ili su imali</w:t>
      </w:r>
      <w:r w:rsidR="004B33C6" w:rsidRPr="000D3D7F">
        <w:rPr>
          <w:szCs w:val="22"/>
          <w:lang w:val="sr-Latn-ME"/>
        </w:rPr>
        <w:t xml:space="preserve"> </w:t>
      </w:r>
      <w:r w:rsidRPr="000D3D7F">
        <w:rPr>
          <w:szCs w:val="22"/>
          <w:lang w:val="sr-Latn-ME"/>
        </w:rPr>
        <w:t>poboljšanu reakciju (MR (11%) ili PR (7%)) sa kombinovanim l</w:t>
      </w:r>
      <w:r w:rsidR="00E714CD" w:rsidRPr="000D3D7F">
        <w:rPr>
          <w:szCs w:val="22"/>
          <w:lang w:val="sr-Latn-ME"/>
        </w:rPr>
        <w:t>ij</w:t>
      </w:r>
      <w:r w:rsidRPr="000D3D7F">
        <w:rPr>
          <w:szCs w:val="22"/>
          <w:lang w:val="sr-Latn-ME"/>
        </w:rPr>
        <w:t>ečenjem.</w:t>
      </w:r>
    </w:p>
    <w:p w14:paraId="0A589722" w14:textId="7D6C76B2" w:rsidR="009E39C5" w:rsidRPr="000D3D7F" w:rsidRDefault="009E39C5" w:rsidP="001E1F5A">
      <w:pPr>
        <w:rPr>
          <w:i/>
          <w:iCs/>
          <w:szCs w:val="22"/>
          <w:lang w:val="sr-Latn-ME"/>
        </w:rPr>
      </w:pPr>
      <w:r w:rsidRPr="000D3D7F">
        <w:rPr>
          <w:i/>
          <w:iCs/>
          <w:szCs w:val="22"/>
          <w:lang w:val="sr-Latn-ME"/>
        </w:rPr>
        <w:t>Klinička efikasnost su</w:t>
      </w:r>
      <w:r w:rsidR="007F7413" w:rsidRPr="000D3D7F">
        <w:rPr>
          <w:i/>
          <w:iCs/>
          <w:szCs w:val="22"/>
          <w:lang w:val="sr-Latn-ME"/>
        </w:rPr>
        <w:t>b</w:t>
      </w:r>
      <w:r w:rsidRPr="000D3D7F">
        <w:rPr>
          <w:i/>
          <w:iCs/>
          <w:szCs w:val="22"/>
          <w:lang w:val="sr-Latn-ME"/>
        </w:rPr>
        <w:t>kutane prim</w:t>
      </w:r>
      <w:r w:rsidR="00E714CD" w:rsidRPr="000D3D7F">
        <w:rPr>
          <w:i/>
          <w:iCs/>
          <w:szCs w:val="22"/>
          <w:lang w:val="sr-Latn-ME"/>
        </w:rPr>
        <w:t>j</w:t>
      </w:r>
      <w:r w:rsidRPr="000D3D7F">
        <w:rPr>
          <w:i/>
          <w:iCs/>
          <w:szCs w:val="22"/>
          <w:lang w:val="sr-Latn-ME"/>
        </w:rPr>
        <w:t xml:space="preserve">ene </w:t>
      </w:r>
      <w:r w:rsidR="003A2940" w:rsidRPr="000D3D7F">
        <w:rPr>
          <w:i/>
          <w:iCs/>
          <w:szCs w:val="22"/>
          <w:lang w:val="sr-Latn-ME"/>
        </w:rPr>
        <w:t>bortezomib</w:t>
      </w:r>
      <w:r w:rsidR="006B7EE4" w:rsidRPr="000D3D7F">
        <w:rPr>
          <w:i/>
          <w:iCs/>
          <w:szCs w:val="22"/>
          <w:lang w:val="sr-Latn-ME"/>
        </w:rPr>
        <w:t>a</w:t>
      </w:r>
      <w:r w:rsidR="003A2940" w:rsidRPr="000D3D7F">
        <w:rPr>
          <w:i/>
          <w:iCs/>
          <w:szCs w:val="22"/>
          <w:lang w:val="sr-Latn-ME"/>
        </w:rPr>
        <w:t xml:space="preserve"> </w:t>
      </w:r>
      <w:r w:rsidRPr="000D3D7F">
        <w:rPr>
          <w:i/>
          <w:iCs/>
          <w:szCs w:val="22"/>
          <w:lang w:val="sr-Latn-ME"/>
        </w:rPr>
        <w:t>kod pacijenata sa relapsnim/refraktornim multiplim</w:t>
      </w:r>
      <w:r w:rsidR="004B33C6" w:rsidRPr="000D3D7F">
        <w:rPr>
          <w:i/>
          <w:iCs/>
          <w:szCs w:val="22"/>
          <w:lang w:val="sr-Latn-ME"/>
        </w:rPr>
        <w:t xml:space="preserve"> </w:t>
      </w:r>
      <w:r w:rsidRPr="000D3D7F">
        <w:rPr>
          <w:i/>
          <w:iCs/>
          <w:szCs w:val="22"/>
          <w:lang w:val="sr-Latn-ME"/>
        </w:rPr>
        <w:t>mijelomom</w:t>
      </w:r>
    </w:p>
    <w:p w14:paraId="68BD6B62" w14:textId="70C2B6B6" w:rsidR="009E39C5" w:rsidRPr="000D3D7F" w:rsidRDefault="009E39C5" w:rsidP="001E1F5A">
      <w:pPr>
        <w:rPr>
          <w:szCs w:val="22"/>
          <w:lang w:val="sr-Latn-ME"/>
        </w:rPr>
      </w:pPr>
      <w:r w:rsidRPr="000D3D7F">
        <w:rPr>
          <w:szCs w:val="22"/>
          <w:lang w:val="sr-Latn-ME"/>
        </w:rPr>
        <w:t>Otvorenim randomiziranim ne-inferiornim kliničkim ispitivanjem Faze III upoređivana je efikasnost i</w:t>
      </w:r>
      <w:r w:rsidR="004B33C6" w:rsidRPr="000D3D7F">
        <w:rPr>
          <w:szCs w:val="22"/>
          <w:lang w:val="sr-Latn-ME"/>
        </w:rPr>
        <w:t xml:space="preserve"> </w:t>
      </w:r>
      <w:r w:rsidRPr="000D3D7F">
        <w:rPr>
          <w:szCs w:val="22"/>
          <w:lang w:val="sr-Latn-ME"/>
        </w:rPr>
        <w:t>bezb</w:t>
      </w:r>
      <w:r w:rsidR="00E714CD" w:rsidRPr="000D3D7F">
        <w:rPr>
          <w:szCs w:val="22"/>
          <w:lang w:val="sr-Latn-ME"/>
        </w:rPr>
        <w:t>j</w:t>
      </w:r>
      <w:r w:rsidRPr="000D3D7F">
        <w:rPr>
          <w:szCs w:val="22"/>
          <w:lang w:val="sr-Latn-ME"/>
        </w:rPr>
        <w:t>ednost su</w:t>
      </w:r>
      <w:r w:rsidR="007F7413" w:rsidRPr="000D3D7F">
        <w:rPr>
          <w:szCs w:val="22"/>
          <w:lang w:val="sr-Latn-ME"/>
        </w:rPr>
        <w:t>b</w:t>
      </w:r>
      <w:r w:rsidRPr="000D3D7F">
        <w:rPr>
          <w:szCs w:val="22"/>
          <w:lang w:val="sr-Latn-ME"/>
        </w:rPr>
        <w:t>kutane prim</w:t>
      </w:r>
      <w:r w:rsidR="00E714CD" w:rsidRPr="000D3D7F">
        <w:rPr>
          <w:szCs w:val="22"/>
          <w:lang w:val="sr-Latn-ME"/>
        </w:rPr>
        <w:t>j</w:t>
      </w:r>
      <w:r w:rsidRPr="000D3D7F">
        <w:rPr>
          <w:szCs w:val="22"/>
          <w:lang w:val="sr-Latn-ME"/>
        </w:rPr>
        <w:t>ene u odnosu na intravensku prim</w:t>
      </w:r>
      <w:r w:rsidR="00E714CD" w:rsidRPr="000D3D7F">
        <w:rPr>
          <w:szCs w:val="22"/>
          <w:lang w:val="sr-Latn-ME"/>
        </w:rPr>
        <w:t>j</w:t>
      </w:r>
      <w:r w:rsidRPr="000D3D7F">
        <w:rPr>
          <w:szCs w:val="22"/>
          <w:lang w:val="sr-Latn-ME"/>
        </w:rPr>
        <w:t xml:space="preserve">enu </w:t>
      </w:r>
      <w:r w:rsidR="003A2940" w:rsidRPr="000D3D7F">
        <w:rPr>
          <w:szCs w:val="22"/>
          <w:lang w:val="sr-Latn-ME"/>
        </w:rPr>
        <w:t>bortezomib</w:t>
      </w:r>
      <w:r w:rsidR="00943CA2" w:rsidRPr="000D3D7F">
        <w:rPr>
          <w:szCs w:val="22"/>
          <w:lang w:val="sr-Latn-ME"/>
        </w:rPr>
        <w:t>a</w:t>
      </w:r>
      <w:r w:rsidRPr="000D3D7F">
        <w:rPr>
          <w:szCs w:val="22"/>
          <w:lang w:val="sr-Latn-ME"/>
        </w:rPr>
        <w:t>. U ovo ispitivanje je bilo</w:t>
      </w:r>
      <w:r w:rsidR="004B33C6" w:rsidRPr="000D3D7F">
        <w:rPr>
          <w:szCs w:val="22"/>
          <w:lang w:val="sr-Latn-ME"/>
        </w:rPr>
        <w:t xml:space="preserve"> </w:t>
      </w:r>
      <w:r w:rsidRPr="000D3D7F">
        <w:rPr>
          <w:szCs w:val="22"/>
          <w:lang w:val="sr-Latn-ME"/>
        </w:rPr>
        <w:t>uključeno 222 pacijenta sa relapsnim/refraktornim mijelomom, koji su bili randomizirani u odnosu 2:1 da</w:t>
      </w:r>
      <w:r w:rsidR="004B33C6" w:rsidRPr="000D3D7F">
        <w:rPr>
          <w:szCs w:val="22"/>
          <w:lang w:val="sr-Latn-ME"/>
        </w:rPr>
        <w:t xml:space="preserve"> </w:t>
      </w:r>
      <w:r w:rsidRPr="000D3D7F">
        <w:rPr>
          <w:szCs w:val="22"/>
          <w:lang w:val="sr-Latn-ME"/>
        </w:rPr>
        <w:t>primaju 1,3mg/m</w:t>
      </w:r>
      <w:r w:rsidRPr="000D3D7F">
        <w:rPr>
          <w:szCs w:val="22"/>
          <w:vertAlign w:val="superscript"/>
          <w:lang w:val="sr-Latn-ME"/>
        </w:rPr>
        <w:t>2</w:t>
      </w:r>
      <w:r w:rsidRPr="000D3D7F">
        <w:rPr>
          <w:szCs w:val="22"/>
          <w:lang w:val="sr-Latn-ME"/>
        </w:rPr>
        <w:t xml:space="preserve"> </w:t>
      </w:r>
      <w:r w:rsidR="003A2940" w:rsidRPr="000D3D7F">
        <w:rPr>
          <w:szCs w:val="22"/>
          <w:lang w:val="sr-Latn-ME"/>
        </w:rPr>
        <w:t xml:space="preserve">bortezomib </w:t>
      </w:r>
      <w:r w:rsidRPr="000D3D7F">
        <w:rPr>
          <w:szCs w:val="22"/>
          <w:lang w:val="sr-Latn-ME"/>
        </w:rPr>
        <w:t>ili su</w:t>
      </w:r>
      <w:r w:rsidR="00765D0B" w:rsidRPr="000D3D7F">
        <w:rPr>
          <w:szCs w:val="22"/>
          <w:lang w:val="sr-Latn-ME"/>
        </w:rPr>
        <w:t>b</w:t>
      </w:r>
      <w:r w:rsidRPr="000D3D7F">
        <w:rPr>
          <w:szCs w:val="22"/>
          <w:lang w:val="sr-Latn-ME"/>
        </w:rPr>
        <w:t>kutanim ili intravenskim putem 8 ciklusa. Pacijentima koji ni</w:t>
      </w:r>
      <w:r w:rsidR="001E1F5A" w:rsidRPr="000D3D7F">
        <w:rPr>
          <w:szCs w:val="22"/>
          <w:lang w:val="sr-Latn-ME"/>
        </w:rPr>
        <w:t>je</w:t>
      </w:r>
      <w:r w:rsidRPr="000D3D7F">
        <w:rPr>
          <w:szCs w:val="22"/>
          <w:lang w:val="sr-Latn-ME"/>
        </w:rPr>
        <w:t>su</w:t>
      </w:r>
      <w:r w:rsidR="004B33C6" w:rsidRPr="000D3D7F">
        <w:rPr>
          <w:szCs w:val="22"/>
          <w:lang w:val="sr-Latn-ME"/>
        </w:rPr>
        <w:t xml:space="preserve"> </w:t>
      </w:r>
      <w:r w:rsidRPr="000D3D7F">
        <w:rPr>
          <w:szCs w:val="22"/>
          <w:lang w:val="sr-Latn-ME"/>
        </w:rPr>
        <w:t xml:space="preserve">dostigli optimani odgovor (manje od kompletnog odgovora(CR)), kada su dobijali </w:t>
      </w:r>
      <w:r w:rsidR="003A2940" w:rsidRPr="000D3D7F">
        <w:rPr>
          <w:szCs w:val="22"/>
          <w:lang w:val="sr-Latn-ME"/>
        </w:rPr>
        <w:t xml:space="preserve">bortezomib </w:t>
      </w:r>
      <w:r w:rsidRPr="000D3D7F">
        <w:rPr>
          <w:szCs w:val="22"/>
          <w:lang w:val="sr-Latn-ME"/>
        </w:rPr>
        <w:t>tokom 4</w:t>
      </w:r>
      <w:r w:rsidR="004B33C6" w:rsidRPr="000D3D7F">
        <w:rPr>
          <w:szCs w:val="22"/>
          <w:lang w:val="sr-Latn-ME"/>
        </w:rPr>
        <w:t xml:space="preserve"> </w:t>
      </w:r>
      <w:r w:rsidRPr="000D3D7F">
        <w:rPr>
          <w:szCs w:val="22"/>
          <w:lang w:val="sr-Latn-ME"/>
        </w:rPr>
        <w:t>ciklusa, bilo je dozvoljeno da primaju deksametazon 20mg dnevno, dan pr</w:t>
      </w:r>
      <w:r w:rsidR="00E714CD" w:rsidRPr="000D3D7F">
        <w:rPr>
          <w:szCs w:val="22"/>
          <w:lang w:val="sr-Latn-ME"/>
        </w:rPr>
        <w:t>ij</w:t>
      </w:r>
      <w:r w:rsidRPr="000D3D7F">
        <w:rPr>
          <w:szCs w:val="22"/>
          <w:lang w:val="sr-Latn-ME"/>
        </w:rPr>
        <w:t>e i dan posl</w:t>
      </w:r>
      <w:r w:rsidR="00E714CD" w:rsidRPr="000D3D7F">
        <w:rPr>
          <w:szCs w:val="22"/>
          <w:lang w:val="sr-Latn-ME"/>
        </w:rPr>
        <w:t>ij</w:t>
      </w:r>
      <w:r w:rsidRPr="000D3D7F">
        <w:rPr>
          <w:szCs w:val="22"/>
          <w:lang w:val="sr-Latn-ME"/>
        </w:rPr>
        <w:t>e prim</w:t>
      </w:r>
      <w:r w:rsidR="00E714CD" w:rsidRPr="000D3D7F">
        <w:rPr>
          <w:szCs w:val="22"/>
          <w:lang w:val="sr-Latn-ME"/>
        </w:rPr>
        <w:t>j</w:t>
      </w:r>
      <w:r w:rsidRPr="000D3D7F">
        <w:rPr>
          <w:szCs w:val="22"/>
          <w:lang w:val="sr-Latn-ME"/>
        </w:rPr>
        <w:t>ene</w:t>
      </w:r>
      <w:r w:rsidR="004B33C6" w:rsidRPr="000D3D7F">
        <w:rPr>
          <w:szCs w:val="22"/>
          <w:lang w:val="sr-Latn-ME"/>
        </w:rPr>
        <w:t xml:space="preserve"> </w:t>
      </w:r>
      <w:r w:rsidR="003A2940" w:rsidRPr="000D3D7F">
        <w:rPr>
          <w:szCs w:val="22"/>
          <w:lang w:val="sr-Latn-ME"/>
        </w:rPr>
        <w:t>bortezomib</w:t>
      </w:r>
      <w:r w:rsidR="006B7EE4" w:rsidRPr="000D3D7F">
        <w:rPr>
          <w:szCs w:val="22"/>
          <w:lang w:val="sr-Latn-ME"/>
        </w:rPr>
        <w:t>a</w:t>
      </w:r>
      <w:r w:rsidRPr="000D3D7F">
        <w:rPr>
          <w:szCs w:val="22"/>
          <w:lang w:val="sr-Latn-ME"/>
        </w:rPr>
        <w:t>. Pacijenti koji su na početku imali stepen ≥2 periferne neuropatije ili broj trombocita</w:t>
      </w:r>
      <w:r w:rsidR="004B33C6" w:rsidRPr="000D3D7F">
        <w:rPr>
          <w:szCs w:val="22"/>
          <w:lang w:val="sr-Latn-ME"/>
        </w:rPr>
        <w:t xml:space="preserve"> </w:t>
      </w:r>
      <w:r w:rsidRPr="000D3D7F">
        <w:rPr>
          <w:szCs w:val="22"/>
          <w:lang w:val="sr-Latn-ME"/>
        </w:rPr>
        <w:t>&lt;50000/mikrolitar su bili isključeni. Kod ukupno 218 pacijenata bila je moguća proc</w:t>
      </w:r>
      <w:r w:rsidR="00E714CD" w:rsidRPr="000D3D7F">
        <w:rPr>
          <w:szCs w:val="22"/>
          <w:lang w:val="sr-Latn-ME"/>
        </w:rPr>
        <w:t>j</w:t>
      </w:r>
      <w:r w:rsidRPr="000D3D7F">
        <w:rPr>
          <w:szCs w:val="22"/>
          <w:lang w:val="sr-Latn-ME"/>
        </w:rPr>
        <w:t>ena odgovora.</w:t>
      </w:r>
    </w:p>
    <w:p w14:paraId="037B3351" w14:textId="1B2F0764" w:rsidR="009E39C5" w:rsidRPr="000D3D7F" w:rsidRDefault="009E39C5" w:rsidP="001E1F5A">
      <w:pPr>
        <w:rPr>
          <w:szCs w:val="22"/>
          <w:lang w:val="sr-Latn-ME"/>
        </w:rPr>
      </w:pPr>
    </w:p>
    <w:p w14:paraId="01C15902" w14:textId="01F3C271" w:rsidR="003A2940" w:rsidRPr="000D3D7F" w:rsidRDefault="009E39C5" w:rsidP="001E1F5A">
      <w:pPr>
        <w:rPr>
          <w:szCs w:val="22"/>
          <w:lang w:val="sr-Latn-ME"/>
        </w:rPr>
      </w:pPr>
      <w:r w:rsidRPr="000D3D7F">
        <w:rPr>
          <w:szCs w:val="22"/>
          <w:lang w:val="sr-Latn-ME"/>
        </w:rPr>
        <w:t>Ovo ispitivanje je dostiglo primarni parametar praćenja ne-inferiornosti za kompletan odgovor (CR+PR)</w:t>
      </w:r>
      <w:r w:rsidR="004B33C6" w:rsidRPr="000D3D7F">
        <w:rPr>
          <w:szCs w:val="22"/>
          <w:lang w:val="sr-Latn-ME"/>
        </w:rPr>
        <w:t xml:space="preserve"> </w:t>
      </w:r>
      <w:r w:rsidRPr="000D3D7F">
        <w:rPr>
          <w:szCs w:val="22"/>
          <w:lang w:val="sr-Latn-ME"/>
        </w:rPr>
        <w:t xml:space="preserve">nakon 4 ciklusa kada je </w:t>
      </w:r>
      <w:r w:rsidR="003A2940" w:rsidRPr="000D3D7F">
        <w:rPr>
          <w:szCs w:val="22"/>
          <w:lang w:val="sr-Latn-ME"/>
        </w:rPr>
        <w:t xml:space="preserve">bortezomib </w:t>
      </w:r>
      <w:r w:rsidRPr="000D3D7F">
        <w:rPr>
          <w:szCs w:val="22"/>
          <w:lang w:val="sr-Latn-ME"/>
        </w:rPr>
        <w:t>prim</w:t>
      </w:r>
      <w:r w:rsidR="00E714CD" w:rsidRPr="000D3D7F">
        <w:rPr>
          <w:szCs w:val="22"/>
          <w:lang w:val="sr-Latn-ME"/>
        </w:rPr>
        <w:t>j</w:t>
      </w:r>
      <w:r w:rsidRPr="000D3D7F">
        <w:rPr>
          <w:szCs w:val="22"/>
          <w:lang w:val="sr-Latn-ME"/>
        </w:rPr>
        <w:t>enjivan kao monoterapija i su</w:t>
      </w:r>
      <w:r w:rsidR="007F7413" w:rsidRPr="000D3D7F">
        <w:rPr>
          <w:szCs w:val="22"/>
          <w:lang w:val="sr-Latn-ME"/>
        </w:rPr>
        <w:t>b</w:t>
      </w:r>
      <w:r w:rsidRPr="000D3D7F">
        <w:rPr>
          <w:szCs w:val="22"/>
          <w:lang w:val="sr-Latn-ME"/>
        </w:rPr>
        <w:t>kutano i za intravensku prim</w:t>
      </w:r>
      <w:r w:rsidR="00E714CD" w:rsidRPr="000D3D7F">
        <w:rPr>
          <w:szCs w:val="22"/>
          <w:lang w:val="sr-Latn-ME"/>
        </w:rPr>
        <w:t>j</w:t>
      </w:r>
      <w:r w:rsidRPr="000D3D7F">
        <w:rPr>
          <w:szCs w:val="22"/>
          <w:lang w:val="sr-Latn-ME"/>
        </w:rPr>
        <w:t>enu,</w:t>
      </w:r>
      <w:r w:rsidR="004B33C6" w:rsidRPr="000D3D7F">
        <w:rPr>
          <w:szCs w:val="22"/>
          <w:lang w:val="sr-Latn-ME"/>
        </w:rPr>
        <w:t xml:space="preserve"> </w:t>
      </w:r>
      <w:r w:rsidRPr="000D3D7F">
        <w:rPr>
          <w:szCs w:val="22"/>
          <w:lang w:val="sr-Latn-ME"/>
        </w:rPr>
        <w:t>42% u ob</w:t>
      </w:r>
      <w:r w:rsidR="00E714CD" w:rsidRPr="000D3D7F">
        <w:rPr>
          <w:szCs w:val="22"/>
          <w:lang w:val="sr-Latn-ME"/>
        </w:rPr>
        <w:t>j</w:t>
      </w:r>
      <w:r w:rsidRPr="000D3D7F">
        <w:rPr>
          <w:szCs w:val="22"/>
          <w:lang w:val="sr-Latn-ME"/>
        </w:rPr>
        <w:t>e grupe. U dodatku, sekundarni odgovori i vr</w:t>
      </w:r>
      <w:r w:rsidR="00E714CD" w:rsidRPr="000D3D7F">
        <w:rPr>
          <w:szCs w:val="22"/>
          <w:lang w:val="sr-Latn-ME"/>
        </w:rPr>
        <w:t>ij</w:t>
      </w:r>
      <w:r w:rsidRPr="000D3D7F">
        <w:rPr>
          <w:szCs w:val="22"/>
          <w:lang w:val="sr-Latn-ME"/>
        </w:rPr>
        <w:t>eme da se dostigne cilj u efikasnosti su bili</w:t>
      </w:r>
      <w:r w:rsidR="004B33C6" w:rsidRPr="000D3D7F">
        <w:rPr>
          <w:szCs w:val="22"/>
          <w:lang w:val="sr-Latn-ME"/>
        </w:rPr>
        <w:t xml:space="preserve"> </w:t>
      </w:r>
      <w:r w:rsidRPr="000D3D7F">
        <w:rPr>
          <w:szCs w:val="22"/>
          <w:lang w:val="sr-Latn-ME"/>
        </w:rPr>
        <w:t>konzistentni i za su</w:t>
      </w:r>
      <w:r w:rsidR="007F7413" w:rsidRPr="000D3D7F">
        <w:rPr>
          <w:szCs w:val="22"/>
          <w:lang w:val="sr-Latn-ME"/>
        </w:rPr>
        <w:t>b</w:t>
      </w:r>
      <w:r w:rsidRPr="000D3D7F">
        <w:rPr>
          <w:szCs w:val="22"/>
          <w:lang w:val="sr-Latn-ME"/>
        </w:rPr>
        <w:t>kutanu i intravensku prim</w:t>
      </w:r>
      <w:r w:rsidR="00E714CD" w:rsidRPr="000D3D7F">
        <w:rPr>
          <w:szCs w:val="22"/>
          <w:lang w:val="sr-Latn-ME"/>
        </w:rPr>
        <w:t>j</w:t>
      </w:r>
      <w:r w:rsidRPr="000D3D7F">
        <w:rPr>
          <w:szCs w:val="22"/>
          <w:lang w:val="sr-Latn-ME"/>
        </w:rPr>
        <w:t>enu (Tabela15).</w:t>
      </w:r>
    </w:p>
    <w:p w14:paraId="763B363B" w14:textId="7F770C0A" w:rsidR="009E39C5" w:rsidRPr="000D3D7F" w:rsidRDefault="009E39C5" w:rsidP="001E1F5A">
      <w:pPr>
        <w:rPr>
          <w:i/>
          <w:iCs/>
          <w:szCs w:val="22"/>
          <w:lang w:val="sr-Latn-ME"/>
        </w:rPr>
      </w:pPr>
      <w:r w:rsidRPr="000D3D7F">
        <w:rPr>
          <w:i/>
          <w:iCs/>
          <w:szCs w:val="22"/>
          <w:lang w:val="sr-Latn-ME"/>
        </w:rPr>
        <w:t>Tabela 15: Sažetak analize efikasnosti upoređujući su</w:t>
      </w:r>
      <w:r w:rsidR="00765D0B" w:rsidRPr="000D3D7F">
        <w:rPr>
          <w:i/>
          <w:iCs/>
          <w:szCs w:val="22"/>
          <w:lang w:val="sr-Latn-ME"/>
        </w:rPr>
        <w:t>b</w:t>
      </w:r>
      <w:r w:rsidRPr="000D3D7F">
        <w:rPr>
          <w:i/>
          <w:iCs/>
          <w:szCs w:val="22"/>
          <w:lang w:val="sr-Latn-ME"/>
        </w:rPr>
        <w:t>kutani i intravenski način prim</w:t>
      </w:r>
      <w:r w:rsidR="00E714CD" w:rsidRPr="000D3D7F">
        <w:rPr>
          <w:i/>
          <w:iCs/>
          <w:szCs w:val="22"/>
          <w:lang w:val="sr-Latn-ME"/>
        </w:rPr>
        <w:t>j</w:t>
      </w:r>
      <w:r w:rsidRPr="000D3D7F">
        <w:rPr>
          <w:i/>
          <w:iCs/>
          <w:szCs w:val="22"/>
          <w:lang w:val="sr-Latn-ME"/>
        </w:rPr>
        <w:t xml:space="preserve">ene </w:t>
      </w:r>
      <w:r w:rsidR="003A2940" w:rsidRPr="000D3D7F">
        <w:rPr>
          <w:i/>
          <w:iCs/>
          <w:szCs w:val="22"/>
          <w:lang w:val="sr-Latn-ME"/>
        </w:rPr>
        <w:t>bortezomib</w:t>
      </w:r>
      <w:r w:rsidR="006B7EE4" w:rsidRPr="000D3D7F">
        <w:rPr>
          <w:i/>
          <w:iCs/>
          <w:szCs w:val="22"/>
          <w:lang w:val="sr-Latn-ME"/>
        </w:rPr>
        <w:t>a</w:t>
      </w:r>
    </w:p>
    <w:tbl>
      <w:tblPr>
        <w:tblW w:w="0" w:type="auto"/>
        <w:tblInd w:w="114" w:type="dxa"/>
        <w:tblCellMar>
          <w:left w:w="0" w:type="dxa"/>
          <w:right w:w="0" w:type="dxa"/>
        </w:tblCellMar>
        <w:tblLook w:val="0000" w:firstRow="0" w:lastRow="0" w:firstColumn="0" w:lastColumn="0" w:noHBand="0" w:noVBand="0"/>
      </w:tblPr>
      <w:tblGrid>
        <w:gridCol w:w="3714"/>
        <w:gridCol w:w="2081"/>
        <w:gridCol w:w="1959"/>
      </w:tblGrid>
      <w:tr w:rsidR="004B33C6" w:rsidRPr="000D3D7F" w14:paraId="775FAAD3" w14:textId="77777777" w:rsidTr="00DB317D">
        <w:trPr>
          <w:trHeight w:val="282"/>
        </w:trPr>
        <w:tc>
          <w:tcPr>
            <w:tcW w:w="0" w:type="auto"/>
            <w:tcBorders>
              <w:top w:val="single" w:sz="8" w:space="0" w:color="000000"/>
              <w:left w:val="single" w:sz="4" w:space="0" w:color="auto"/>
              <w:bottom w:val="none" w:sz="6" w:space="0" w:color="auto"/>
              <w:right w:val="single" w:sz="4" w:space="0" w:color="auto"/>
            </w:tcBorders>
          </w:tcPr>
          <w:p w14:paraId="044BBFCD" w14:textId="77777777" w:rsidR="004B33C6" w:rsidRPr="000D3D7F" w:rsidRDefault="004B33C6" w:rsidP="001E1F5A">
            <w:pPr>
              <w:tabs>
                <w:tab w:val="clear" w:pos="284"/>
              </w:tabs>
              <w:rPr>
                <w:b/>
                <w:bCs/>
                <w:lang w:val="sr-Latn-ME"/>
              </w:rPr>
            </w:pPr>
          </w:p>
        </w:tc>
        <w:tc>
          <w:tcPr>
            <w:tcW w:w="0" w:type="auto"/>
            <w:tcBorders>
              <w:top w:val="single" w:sz="8" w:space="0" w:color="000000"/>
              <w:left w:val="single" w:sz="4" w:space="0" w:color="auto"/>
              <w:bottom w:val="none" w:sz="6" w:space="0" w:color="auto"/>
              <w:right w:val="single" w:sz="4" w:space="0" w:color="auto"/>
            </w:tcBorders>
          </w:tcPr>
          <w:p w14:paraId="25C6F312" w14:textId="6279E743" w:rsidR="004B33C6" w:rsidRPr="000D3D7F" w:rsidRDefault="003A2940" w:rsidP="001E1F5A">
            <w:pPr>
              <w:rPr>
                <w:lang w:val="sr-Latn-ME"/>
              </w:rPr>
            </w:pPr>
            <w:r w:rsidRPr="000D3D7F">
              <w:rPr>
                <w:szCs w:val="22"/>
                <w:lang w:val="sr-Latn-ME"/>
              </w:rPr>
              <w:t xml:space="preserve">bortezomib </w:t>
            </w:r>
            <w:r w:rsidR="004B33C6" w:rsidRPr="000D3D7F">
              <w:rPr>
                <w:szCs w:val="22"/>
                <w:lang w:val="sr-Latn-ME"/>
              </w:rPr>
              <w:t>intravenska</w:t>
            </w:r>
          </w:p>
          <w:p w14:paraId="6909D5B1" w14:textId="2B01F437" w:rsidR="004B33C6" w:rsidRPr="000D3D7F" w:rsidRDefault="004B33C6" w:rsidP="001E1F5A">
            <w:pPr>
              <w:rPr>
                <w:lang w:val="sr-Latn-ME"/>
              </w:rPr>
            </w:pPr>
            <w:r w:rsidRPr="000D3D7F">
              <w:rPr>
                <w:szCs w:val="22"/>
                <w:lang w:val="sr-Latn-ME"/>
              </w:rPr>
              <w:t>prim</w:t>
            </w:r>
            <w:r w:rsidR="00B90B43" w:rsidRPr="000D3D7F">
              <w:rPr>
                <w:szCs w:val="22"/>
                <w:lang w:val="sr-Latn-ME"/>
              </w:rPr>
              <w:t>j</w:t>
            </w:r>
            <w:r w:rsidRPr="000D3D7F">
              <w:rPr>
                <w:szCs w:val="22"/>
                <w:lang w:val="sr-Latn-ME"/>
              </w:rPr>
              <w:t>ena</w:t>
            </w:r>
          </w:p>
        </w:tc>
        <w:tc>
          <w:tcPr>
            <w:tcW w:w="0" w:type="auto"/>
            <w:tcBorders>
              <w:top w:val="single" w:sz="8" w:space="0" w:color="000000"/>
              <w:left w:val="single" w:sz="4" w:space="0" w:color="auto"/>
              <w:bottom w:val="none" w:sz="6" w:space="0" w:color="auto"/>
              <w:right w:val="single" w:sz="4" w:space="0" w:color="auto"/>
            </w:tcBorders>
          </w:tcPr>
          <w:p w14:paraId="2EEAF029" w14:textId="1515D52C" w:rsidR="004B33C6" w:rsidRPr="000D3D7F" w:rsidRDefault="003A2940" w:rsidP="001E1F5A">
            <w:pPr>
              <w:rPr>
                <w:lang w:val="sr-Latn-ME"/>
              </w:rPr>
            </w:pPr>
            <w:r w:rsidRPr="000D3D7F">
              <w:rPr>
                <w:szCs w:val="22"/>
                <w:lang w:val="sr-Latn-ME"/>
              </w:rPr>
              <w:t xml:space="preserve">bortezomib </w:t>
            </w:r>
            <w:r w:rsidR="004B33C6" w:rsidRPr="000D3D7F">
              <w:rPr>
                <w:szCs w:val="22"/>
                <w:lang w:val="sr-Latn-ME"/>
              </w:rPr>
              <w:t>su</w:t>
            </w:r>
            <w:r w:rsidR="007F7413" w:rsidRPr="000D3D7F">
              <w:rPr>
                <w:szCs w:val="22"/>
                <w:lang w:val="sr-Latn-ME"/>
              </w:rPr>
              <w:t>b</w:t>
            </w:r>
            <w:r w:rsidR="004B33C6" w:rsidRPr="000D3D7F">
              <w:rPr>
                <w:szCs w:val="22"/>
                <w:lang w:val="sr-Latn-ME"/>
              </w:rPr>
              <w:t>kutana</w:t>
            </w:r>
          </w:p>
          <w:p w14:paraId="3957C650" w14:textId="29A4A6F2" w:rsidR="004B33C6" w:rsidRPr="000D3D7F" w:rsidRDefault="004B33C6" w:rsidP="001E1F5A">
            <w:pPr>
              <w:rPr>
                <w:lang w:val="sr-Latn-ME"/>
              </w:rPr>
            </w:pPr>
            <w:r w:rsidRPr="000D3D7F">
              <w:rPr>
                <w:szCs w:val="22"/>
                <w:lang w:val="sr-Latn-ME"/>
              </w:rPr>
              <w:t>prim</w:t>
            </w:r>
            <w:r w:rsidR="00B90B43" w:rsidRPr="000D3D7F">
              <w:rPr>
                <w:szCs w:val="22"/>
                <w:lang w:val="sr-Latn-ME"/>
              </w:rPr>
              <w:t>j</w:t>
            </w:r>
            <w:r w:rsidRPr="000D3D7F">
              <w:rPr>
                <w:szCs w:val="22"/>
                <w:lang w:val="sr-Latn-ME"/>
              </w:rPr>
              <w:t>ena</w:t>
            </w:r>
          </w:p>
        </w:tc>
      </w:tr>
      <w:tr w:rsidR="004B33C6" w:rsidRPr="000D3D7F" w14:paraId="242A2F96" w14:textId="77777777" w:rsidTr="00DB317D">
        <w:trPr>
          <w:trHeight w:val="282"/>
        </w:trPr>
        <w:tc>
          <w:tcPr>
            <w:tcW w:w="0" w:type="auto"/>
            <w:tcBorders>
              <w:top w:val="single" w:sz="8" w:space="0" w:color="000000"/>
              <w:left w:val="single" w:sz="4" w:space="0" w:color="auto"/>
              <w:bottom w:val="none" w:sz="6" w:space="0" w:color="auto"/>
              <w:right w:val="single" w:sz="4" w:space="0" w:color="auto"/>
            </w:tcBorders>
          </w:tcPr>
          <w:p w14:paraId="3E4D05DF" w14:textId="3B482DE0" w:rsidR="004B33C6" w:rsidRPr="000D3D7F" w:rsidRDefault="004B33C6" w:rsidP="001E1F5A">
            <w:pPr>
              <w:rPr>
                <w:b/>
                <w:bCs/>
                <w:lang w:val="sr-Latn-ME"/>
              </w:rPr>
            </w:pPr>
            <w:r w:rsidRPr="000D3D7F">
              <w:rPr>
                <w:b/>
                <w:bCs/>
                <w:szCs w:val="22"/>
                <w:lang w:val="sr-Latn-ME"/>
              </w:rPr>
              <w:t>Populacija kod koje je proc</w:t>
            </w:r>
            <w:r w:rsidR="00E714CD" w:rsidRPr="000D3D7F">
              <w:rPr>
                <w:b/>
                <w:bCs/>
                <w:szCs w:val="22"/>
                <w:lang w:val="sr-Latn-ME"/>
              </w:rPr>
              <w:t>ij</w:t>
            </w:r>
            <w:r w:rsidRPr="000D3D7F">
              <w:rPr>
                <w:b/>
                <w:bCs/>
                <w:szCs w:val="22"/>
                <w:lang w:val="sr-Latn-ME"/>
              </w:rPr>
              <w:t>enjen</w:t>
            </w:r>
          </w:p>
          <w:p w14:paraId="519B6ECB" w14:textId="2BE7200B" w:rsidR="004B33C6" w:rsidRPr="000D3D7F" w:rsidRDefault="004B33C6" w:rsidP="001E1F5A">
            <w:pPr>
              <w:rPr>
                <w:b/>
                <w:bCs/>
                <w:lang w:val="sr-Latn-ME"/>
              </w:rPr>
            </w:pPr>
            <w:r w:rsidRPr="000D3D7F">
              <w:rPr>
                <w:b/>
                <w:bCs/>
                <w:szCs w:val="22"/>
                <w:lang w:val="sr-Latn-ME"/>
              </w:rPr>
              <w:t>odgovor</w:t>
            </w:r>
          </w:p>
        </w:tc>
        <w:tc>
          <w:tcPr>
            <w:tcW w:w="0" w:type="auto"/>
            <w:tcBorders>
              <w:top w:val="single" w:sz="8" w:space="0" w:color="000000"/>
              <w:left w:val="single" w:sz="4" w:space="0" w:color="auto"/>
              <w:bottom w:val="none" w:sz="6" w:space="0" w:color="auto"/>
              <w:right w:val="single" w:sz="4" w:space="0" w:color="auto"/>
            </w:tcBorders>
          </w:tcPr>
          <w:p w14:paraId="52F638E3" w14:textId="74F38707" w:rsidR="004B33C6" w:rsidRPr="000D3D7F" w:rsidRDefault="004B33C6" w:rsidP="001E1F5A">
            <w:pPr>
              <w:rPr>
                <w:lang w:val="sr-Latn-ME"/>
              </w:rPr>
            </w:pPr>
            <w:r w:rsidRPr="000D3D7F">
              <w:rPr>
                <w:szCs w:val="22"/>
                <w:lang w:val="sr-Latn-ME"/>
              </w:rPr>
              <w:t>n=73</w:t>
            </w:r>
          </w:p>
        </w:tc>
        <w:tc>
          <w:tcPr>
            <w:tcW w:w="0" w:type="auto"/>
            <w:tcBorders>
              <w:top w:val="single" w:sz="8" w:space="0" w:color="000000"/>
              <w:left w:val="single" w:sz="4" w:space="0" w:color="auto"/>
              <w:bottom w:val="none" w:sz="6" w:space="0" w:color="auto"/>
              <w:right w:val="single" w:sz="4" w:space="0" w:color="auto"/>
            </w:tcBorders>
          </w:tcPr>
          <w:p w14:paraId="4AF13FD2" w14:textId="37342AD0" w:rsidR="004B33C6" w:rsidRPr="000D3D7F" w:rsidRDefault="004B33C6" w:rsidP="001E1F5A">
            <w:pPr>
              <w:rPr>
                <w:lang w:val="sr-Latn-ME"/>
              </w:rPr>
            </w:pPr>
            <w:r w:rsidRPr="000D3D7F">
              <w:rPr>
                <w:szCs w:val="22"/>
                <w:lang w:val="sr-Latn-ME"/>
              </w:rPr>
              <w:t>n=145</w:t>
            </w:r>
          </w:p>
        </w:tc>
      </w:tr>
      <w:tr w:rsidR="009E39C5" w:rsidRPr="000D3D7F" w14:paraId="50B7260E" w14:textId="77777777" w:rsidTr="00DB317D">
        <w:trPr>
          <w:trHeight w:val="282"/>
        </w:trPr>
        <w:tc>
          <w:tcPr>
            <w:tcW w:w="0" w:type="auto"/>
            <w:tcBorders>
              <w:top w:val="single" w:sz="8" w:space="0" w:color="000000"/>
              <w:left w:val="single" w:sz="4" w:space="0" w:color="auto"/>
              <w:bottom w:val="none" w:sz="6" w:space="0" w:color="auto"/>
              <w:right w:val="single" w:sz="4" w:space="0" w:color="auto"/>
            </w:tcBorders>
          </w:tcPr>
          <w:p w14:paraId="7E0810DD" w14:textId="77777777" w:rsidR="009E39C5" w:rsidRPr="000D3D7F" w:rsidRDefault="009E39C5" w:rsidP="001E1F5A">
            <w:pPr>
              <w:rPr>
                <w:b/>
                <w:bCs/>
                <w:lang w:val="sr-Latn-ME"/>
              </w:rPr>
            </w:pPr>
            <w:r w:rsidRPr="000D3D7F">
              <w:rPr>
                <w:b/>
                <w:bCs/>
                <w:szCs w:val="22"/>
                <w:lang w:val="sr-Latn-ME"/>
              </w:rPr>
              <w:t>Stepen odgovora(RR) u 4 ciklusu n (%)</w:t>
            </w:r>
          </w:p>
        </w:tc>
        <w:tc>
          <w:tcPr>
            <w:tcW w:w="0" w:type="auto"/>
            <w:tcBorders>
              <w:top w:val="single" w:sz="8" w:space="0" w:color="000000"/>
              <w:left w:val="single" w:sz="4" w:space="0" w:color="auto"/>
              <w:bottom w:val="none" w:sz="6" w:space="0" w:color="auto"/>
              <w:right w:val="single" w:sz="4" w:space="0" w:color="auto"/>
            </w:tcBorders>
          </w:tcPr>
          <w:p w14:paraId="167BECEB" w14:textId="77777777" w:rsidR="009E39C5" w:rsidRPr="000D3D7F" w:rsidRDefault="009E39C5" w:rsidP="001E1F5A">
            <w:pPr>
              <w:rPr>
                <w:lang w:val="sr-Latn-ME"/>
              </w:rPr>
            </w:pPr>
          </w:p>
        </w:tc>
        <w:tc>
          <w:tcPr>
            <w:tcW w:w="0" w:type="auto"/>
            <w:tcBorders>
              <w:top w:val="single" w:sz="8" w:space="0" w:color="000000"/>
              <w:left w:val="single" w:sz="4" w:space="0" w:color="auto"/>
              <w:bottom w:val="none" w:sz="6" w:space="0" w:color="auto"/>
              <w:right w:val="single" w:sz="4" w:space="0" w:color="auto"/>
            </w:tcBorders>
          </w:tcPr>
          <w:p w14:paraId="2B3CA5F3" w14:textId="77777777" w:rsidR="009E39C5" w:rsidRPr="000D3D7F" w:rsidRDefault="009E39C5" w:rsidP="001E1F5A">
            <w:pPr>
              <w:rPr>
                <w:lang w:val="sr-Latn-ME"/>
              </w:rPr>
            </w:pPr>
          </w:p>
        </w:tc>
      </w:tr>
      <w:tr w:rsidR="009E39C5" w:rsidRPr="000D3D7F" w14:paraId="0ABCA507" w14:textId="77777777" w:rsidTr="007B0B42">
        <w:trPr>
          <w:trHeight w:val="210"/>
        </w:trPr>
        <w:tc>
          <w:tcPr>
            <w:tcW w:w="0" w:type="auto"/>
            <w:tcBorders>
              <w:top w:val="none" w:sz="6" w:space="0" w:color="auto"/>
              <w:left w:val="single" w:sz="4" w:space="0" w:color="auto"/>
              <w:bottom w:val="single" w:sz="4" w:space="0" w:color="auto"/>
              <w:right w:val="single" w:sz="4" w:space="0" w:color="auto"/>
            </w:tcBorders>
          </w:tcPr>
          <w:p w14:paraId="1D3BCB91" w14:textId="77777777" w:rsidR="009E39C5" w:rsidRPr="000D3D7F" w:rsidRDefault="009E39C5" w:rsidP="001E1F5A">
            <w:pPr>
              <w:rPr>
                <w:lang w:val="sr-Latn-ME"/>
              </w:rPr>
            </w:pPr>
            <w:r w:rsidRPr="000D3D7F">
              <w:rPr>
                <w:szCs w:val="22"/>
                <w:lang w:val="sr-Latn-ME"/>
              </w:rPr>
              <w:t>ORR (CR+PR)</w:t>
            </w:r>
          </w:p>
        </w:tc>
        <w:tc>
          <w:tcPr>
            <w:tcW w:w="0" w:type="auto"/>
            <w:tcBorders>
              <w:top w:val="none" w:sz="6" w:space="0" w:color="auto"/>
              <w:left w:val="single" w:sz="4" w:space="0" w:color="auto"/>
              <w:bottom w:val="single" w:sz="4" w:space="0" w:color="auto"/>
              <w:right w:val="single" w:sz="4" w:space="0" w:color="auto"/>
            </w:tcBorders>
          </w:tcPr>
          <w:p w14:paraId="19FD4368" w14:textId="77777777" w:rsidR="009E39C5" w:rsidRPr="000D3D7F" w:rsidRDefault="009E39C5" w:rsidP="001E1F5A">
            <w:pPr>
              <w:rPr>
                <w:lang w:val="sr-Latn-ME"/>
              </w:rPr>
            </w:pPr>
            <w:r w:rsidRPr="000D3D7F">
              <w:rPr>
                <w:szCs w:val="22"/>
                <w:lang w:val="sr-Latn-ME"/>
              </w:rPr>
              <w:t>31 (42)</w:t>
            </w:r>
          </w:p>
        </w:tc>
        <w:tc>
          <w:tcPr>
            <w:tcW w:w="0" w:type="auto"/>
            <w:tcBorders>
              <w:top w:val="none" w:sz="6" w:space="0" w:color="auto"/>
              <w:left w:val="single" w:sz="4" w:space="0" w:color="auto"/>
              <w:bottom w:val="single" w:sz="4" w:space="0" w:color="auto"/>
              <w:right w:val="single" w:sz="4" w:space="0" w:color="auto"/>
            </w:tcBorders>
          </w:tcPr>
          <w:p w14:paraId="240FBC6F" w14:textId="77777777" w:rsidR="009E39C5" w:rsidRPr="000D3D7F" w:rsidRDefault="009E39C5" w:rsidP="001E1F5A">
            <w:pPr>
              <w:rPr>
                <w:lang w:val="sr-Latn-ME"/>
              </w:rPr>
            </w:pPr>
            <w:r w:rsidRPr="000D3D7F">
              <w:rPr>
                <w:szCs w:val="22"/>
                <w:lang w:val="sr-Latn-ME"/>
              </w:rPr>
              <w:t>61 (42)</w:t>
            </w:r>
          </w:p>
        </w:tc>
      </w:tr>
      <w:tr w:rsidR="007B0B42" w:rsidRPr="000D3D7F" w14:paraId="6729CD10" w14:textId="77777777" w:rsidTr="007B0B42">
        <w:trPr>
          <w:trHeight w:val="80"/>
        </w:trPr>
        <w:tc>
          <w:tcPr>
            <w:tcW w:w="0" w:type="auto"/>
            <w:tcBorders>
              <w:top w:val="single" w:sz="4" w:space="0" w:color="auto"/>
              <w:left w:val="single" w:sz="4" w:space="0" w:color="auto"/>
              <w:bottom w:val="none" w:sz="6" w:space="0" w:color="auto"/>
              <w:right w:val="single" w:sz="4" w:space="0" w:color="auto"/>
            </w:tcBorders>
          </w:tcPr>
          <w:p w14:paraId="2229338C" w14:textId="77777777" w:rsidR="007B0B42" w:rsidRPr="000D3D7F" w:rsidRDefault="007B0B42" w:rsidP="001E1F5A">
            <w:pPr>
              <w:rPr>
                <w:szCs w:val="22"/>
                <w:lang w:val="sr-Latn-ME"/>
              </w:rPr>
            </w:pPr>
          </w:p>
        </w:tc>
        <w:tc>
          <w:tcPr>
            <w:tcW w:w="0" w:type="auto"/>
            <w:tcBorders>
              <w:top w:val="single" w:sz="4" w:space="0" w:color="auto"/>
              <w:left w:val="single" w:sz="4" w:space="0" w:color="auto"/>
              <w:bottom w:val="none" w:sz="6" w:space="0" w:color="auto"/>
              <w:right w:val="single" w:sz="4" w:space="0" w:color="auto"/>
            </w:tcBorders>
          </w:tcPr>
          <w:p w14:paraId="21AB4CDD" w14:textId="77777777" w:rsidR="007B0B42" w:rsidRPr="000D3D7F" w:rsidRDefault="007B0B42" w:rsidP="001E1F5A">
            <w:pPr>
              <w:rPr>
                <w:szCs w:val="22"/>
                <w:lang w:val="sr-Latn-ME"/>
              </w:rPr>
            </w:pPr>
          </w:p>
        </w:tc>
        <w:tc>
          <w:tcPr>
            <w:tcW w:w="0" w:type="auto"/>
            <w:tcBorders>
              <w:top w:val="single" w:sz="4" w:space="0" w:color="auto"/>
              <w:left w:val="single" w:sz="4" w:space="0" w:color="auto"/>
              <w:bottom w:val="none" w:sz="6" w:space="0" w:color="auto"/>
              <w:right w:val="single" w:sz="4" w:space="0" w:color="auto"/>
            </w:tcBorders>
          </w:tcPr>
          <w:p w14:paraId="43B08D4E" w14:textId="77777777" w:rsidR="007B0B42" w:rsidRPr="000D3D7F" w:rsidRDefault="007B0B42" w:rsidP="001E1F5A">
            <w:pPr>
              <w:rPr>
                <w:szCs w:val="22"/>
                <w:lang w:val="sr-Latn-ME"/>
              </w:rPr>
            </w:pPr>
          </w:p>
        </w:tc>
      </w:tr>
      <w:tr w:rsidR="009E39C5" w:rsidRPr="000D3D7F" w14:paraId="3E9225EE" w14:textId="77777777" w:rsidTr="00DB317D">
        <w:trPr>
          <w:trHeight w:val="328"/>
        </w:trPr>
        <w:tc>
          <w:tcPr>
            <w:tcW w:w="0" w:type="auto"/>
            <w:tcBorders>
              <w:top w:val="none" w:sz="6" w:space="0" w:color="auto"/>
              <w:left w:val="single" w:sz="4" w:space="0" w:color="auto"/>
              <w:bottom w:val="none" w:sz="6" w:space="0" w:color="auto"/>
              <w:right w:val="single" w:sz="4" w:space="0" w:color="auto"/>
            </w:tcBorders>
          </w:tcPr>
          <w:p w14:paraId="0213A196" w14:textId="77777777" w:rsidR="009E39C5" w:rsidRPr="000D3D7F" w:rsidRDefault="009E39C5" w:rsidP="001E1F5A">
            <w:pPr>
              <w:rPr>
                <w:vertAlign w:val="superscript"/>
                <w:lang w:val="sr-Latn-ME"/>
              </w:rPr>
            </w:pPr>
            <w:r w:rsidRPr="000D3D7F">
              <w:rPr>
                <w:szCs w:val="22"/>
                <w:lang w:val="sr-Latn-ME"/>
              </w:rPr>
              <w:t>p-value</w:t>
            </w:r>
            <w:r w:rsidRPr="000D3D7F">
              <w:rPr>
                <w:szCs w:val="22"/>
                <w:vertAlign w:val="superscript"/>
                <w:lang w:val="sr-Latn-ME"/>
              </w:rPr>
              <w:t>a</w:t>
            </w:r>
          </w:p>
        </w:tc>
        <w:tc>
          <w:tcPr>
            <w:tcW w:w="0" w:type="auto"/>
            <w:tcBorders>
              <w:top w:val="none" w:sz="6" w:space="0" w:color="auto"/>
              <w:left w:val="single" w:sz="4" w:space="0" w:color="auto"/>
              <w:bottom w:val="none" w:sz="6" w:space="0" w:color="auto"/>
              <w:right w:val="single" w:sz="4" w:space="0" w:color="auto"/>
            </w:tcBorders>
          </w:tcPr>
          <w:p w14:paraId="462AB921" w14:textId="77777777" w:rsidR="009E39C5" w:rsidRPr="000D3D7F" w:rsidRDefault="009E39C5" w:rsidP="001E1F5A">
            <w:pPr>
              <w:rPr>
                <w:lang w:val="sr-Latn-ME"/>
              </w:rPr>
            </w:pPr>
            <w:r w:rsidRPr="000D3D7F">
              <w:rPr>
                <w:szCs w:val="22"/>
                <w:lang w:val="sr-Latn-ME"/>
              </w:rPr>
              <w:t>0,00201</w:t>
            </w:r>
          </w:p>
        </w:tc>
        <w:tc>
          <w:tcPr>
            <w:tcW w:w="0" w:type="auto"/>
            <w:tcBorders>
              <w:top w:val="none" w:sz="6" w:space="0" w:color="auto"/>
              <w:left w:val="single" w:sz="4" w:space="0" w:color="auto"/>
              <w:bottom w:val="none" w:sz="6" w:space="0" w:color="auto"/>
              <w:right w:val="single" w:sz="4" w:space="0" w:color="auto"/>
            </w:tcBorders>
          </w:tcPr>
          <w:p w14:paraId="700D0553" w14:textId="77777777" w:rsidR="009E39C5" w:rsidRPr="000D3D7F" w:rsidRDefault="009E39C5" w:rsidP="001E1F5A">
            <w:pPr>
              <w:rPr>
                <w:lang w:val="sr-Latn-ME"/>
              </w:rPr>
            </w:pPr>
          </w:p>
        </w:tc>
      </w:tr>
      <w:tr w:rsidR="009E39C5" w:rsidRPr="000D3D7F" w14:paraId="783FAE23" w14:textId="77777777" w:rsidTr="00DB317D">
        <w:trPr>
          <w:trHeight w:val="314"/>
        </w:trPr>
        <w:tc>
          <w:tcPr>
            <w:tcW w:w="0" w:type="auto"/>
            <w:tcBorders>
              <w:top w:val="none" w:sz="6" w:space="0" w:color="auto"/>
              <w:left w:val="single" w:sz="4" w:space="0" w:color="auto"/>
              <w:bottom w:val="none" w:sz="6" w:space="0" w:color="auto"/>
              <w:right w:val="single" w:sz="4" w:space="0" w:color="auto"/>
            </w:tcBorders>
          </w:tcPr>
          <w:p w14:paraId="07C60124" w14:textId="77777777" w:rsidR="009E39C5" w:rsidRPr="000D3D7F" w:rsidRDefault="009E39C5" w:rsidP="001E1F5A">
            <w:pPr>
              <w:rPr>
                <w:lang w:val="sr-Latn-ME"/>
              </w:rPr>
            </w:pPr>
            <w:r w:rsidRPr="000D3D7F">
              <w:rPr>
                <w:szCs w:val="22"/>
                <w:lang w:val="sr-Latn-ME"/>
              </w:rPr>
              <w:t>CR n (%)</w:t>
            </w:r>
          </w:p>
        </w:tc>
        <w:tc>
          <w:tcPr>
            <w:tcW w:w="0" w:type="auto"/>
            <w:tcBorders>
              <w:top w:val="none" w:sz="6" w:space="0" w:color="auto"/>
              <w:left w:val="single" w:sz="4" w:space="0" w:color="auto"/>
              <w:bottom w:val="none" w:sz="6" w:space="0" w:color="auto"/>
              <w:right w:val="single" w:sz="4" w:space="0" w:color="auto"/>
            </w:tcBorders>
          </w:tcPr>
          <w:p w14:paraId="52268836" w14:textId="77777777" w:rsidR="009E39C5" w:rsidRPr="000D3D7F" w:rsidRDefault="009E39C5" w:rsidP="001E1F5A">
            <w:pPr>
              <w:rPr>
                <w:lang w:val="sr-Latn-ME"/>
              </w:rPr>
            </w:pPr>
            <w:r w:rsidRPr="000D3D7F">
              <w:rPr>
                <w:szCs w:val="22"/>
                <w:lang w:val="sr-Latn-ME"/>
              </w:rPr>
              <w:t>6 (8)</w:t>
            </w:r>
          </w:p>
        </w:tc>
        <w:tc>
          <w:tcPr>
            <w:tcW w:w="0" w:type="auto"/>
            <w:tcBorders>
              <w:top w:val="none" w:sz="6" w:space="0" w:color="auto"/>
              <w:left w:val="single" w:sz="4" w:space="0" w:color="auto"/>
              <w:bottom w:val="none" w:sz="6" w:space="0" w:color="auto"/>
              <w:right w:val="single" w:sz="4" w:space="0" w:color="auto"/>
            </w:tcBorders>
          </w:tcPr>
          <w:p w14:paraId="2B445A0F" w14:textId="77777777" w:rsidR="009E39C5" w:rsidRPr="000D3D7F" w:rsidRDefault="009E39C5" w:rsidP="001E1F5A">
            <w:pPr>
              <w:rPr>
                <w:lang w:val="sr-Latn-ME"/>
              </w:rPr>
            </w:pPr>
            <w:r w:rsidRPr="000D3D7F">
              <w:rPr>
                <w:szCs w:val="22"/>
                <w:lang w:val="sr-Latn-ME"/>
              </w:rPr>
              <w:t>9 (6)</w:t>
            </w:r>
          </w:p>
        </w:tc>
      </w:tr>
      <w:tr w:rsidR="009E39C5" w:rsidRPr="000D3D7F" w14:paraId="51533376" w14:textId="77777777" w:rsidTr="00DB317D">
        <w:trPr>
          <w:trHeight w:val="316"/>
        </w:trPr>
        <w:tc>
          <w:tcPr>
            <w:tcW w:w="0" w:type="auto"/>
            <w:tcBorders>
              <w:top w:val="none" w:sz="6" w:space="0" w:color="auto"/>
              <w:left w:val="single" w:sz="4" w:space="0" w:color="auto"/>
              <w:bottom w:val="none" w:sz="6" w:space="0" w:color="auto"/>
              <w:right w:val="single" w:sz="4" w:space="0" w:color="auto"/>
            </w:tcBorders>
          </w:tcPr>
          <w:p w14:paraId="3E0879DD" w14:textId="77777777" w:rsidR="009E39C5" w:rsidRPr="000D3D7F" w:rsidRDefault="009E39C5" w:rsidP="001E1F5A">
            <w:pPr>
              <w:rPr>
                <w:lang w:val="sr-Latn-ME"/>
              </w:rPr>
            </w:pPr>
            <w:r w:rsidRPr="000D3D7F">
              <w:rPr>
                <w:szCs w:val="22"/>
                <w:lang w:val="sr-Latn-ME"/>
              </w:rPr>
              <w:t>PR n (%)</w:t>
            </w:r>
          </w:p>
        </w:tc>
        <w:tc>
          <w:tcPr>
            <w:tcW w:w="0" w:type="auto"/>
            <w:tcBorders>
              <w:top w:val="none" w:sz="6" w:space="0" w:color="auto"/>
              <w:left w:val="single" w:sz="4" w:space="0" w:color="auto"/>
              <w:bottom w:val="none" w:sz="6" w:space="0" w:color="auto"/>
              <w:right w:val="single" w:sz="4" w:space="0" w:color="auto"/>
            </w:tcBorders>
          </w:tcPr>
          <w:p w14:paraId="6637E495" w14:textId="77777777" w:rsidR="009E39C5" w:rsidRPr="000D3D7F" w:rsidRDefault="009E39C5" w:rsidP="001E1F5A">
            <w:pPr>
              <w:rPr>
                <w:lang w:val="sr-Latn-ME"/>
              </w:rPr>
            </w:pPr>
            <w:r w:rsidRPr="000D3D7F">
              <w:rPr>
                <w:szCs w:val="22"/>
                <w:lang w:val="sr-Latn-ME"/>
              </w:rPr>
              <w:t>25 (34)</w:t>
            </w:r>
          </w:p>
        </w:tc>
        <w:tc>
          <w:tcPr>
            <w:tcW w:w="0" w:type="auto"/>
            <w:tcBorders>
              <w:top w:val="none" w:sz="6" w:space="0" w:color="auto"/>
              <w:left w:val="single" w:sz="4" w:space="0" w:color="auto"/>
              <w:bottom w:val="none" w:sz="6" w:space="0" w:color="auto"/>
              <w:right w:val="single" w:sz="4" w:space="0" w:color="auto"/>
            </w:tcBorders>
          </w:tcPr>
          <w:p w14:paraId="0949050B" w14:textId="77777777" w:rsidR="009E39C5" w:rsidRPr="000D3D7F" w:rsidRDefault="009E39C5" w:rsidP="001E1F5A">
            <w:pPr>
              <w:rPr>
                <w:lang w:val="sr-Latn-ME"/>
              </w:rPr>
            </w:pPr>
            <w:r w:rsidRPr="000D3D7F">
              <w:rPr>
                <w:szCs w:val="22"/>
                <w:lang w:val="sr-Latn-ME"/>
              </w:rPr>
              <w:t>52 (36)</w:t>
            </w:r>
          </w:p>
        </w:tc>
      </w:tr>
      <w:tr w:rsidR="009E39C5" w:rsidRPr="000D3D7F" w14:paraId="7A587EA1" w14:textId="77777777" w:rsidTr="00DB317D">
        <w:trPr>
          <w:trHeight w:val="347"/>
        </w:trPr>
        <w:tc>
          <w:tcPr>
            <w:tcW w:w="0" w:type="auto"/>
            <w:tcBorders>
              <w:top w:val="none" w:sz="6" w:space="0" w:color="auto"/>
              <w:left w:val="single" w:sz="4" w:space="0" w:color="auto"/>
              <w:bottom w:val="single" w:sz="4" w:space="0" w:color="000000"/>
              <w:right w:val="single" w:sz="4" w:space="0" w:color="auto"/>
            </w:tcBorders>
          </w:tcPr>
          <w:p w14:paraId="7FEA261B" w14:textId="4F057E7C" w:rsidR="007B0B42" w:rsidRPr="000D3D7F" w:rsidRDefault="009E39C5" w:rsidP="001E1F5A">
            <w:pPr>
              <w:rPr>
                <w:szCs w:val="22"/>
                <w:lang w:val="sr-Latn-ME"/>
              </w:rPr>
            </w:pPr>
            <w:r w:rsidRPr="000D3D7F">
              <w:rPr>
                <w:szCs w:val="22"/>
                <w:lang w:val="sr-Latn-ME"/>
              </w:rPr>
              <w:t>nCR n (%)</w:t>
            </w:r>
          </w:p>
        </w:tc>
        <w:tc>
          <w:tcPr>
            <w:tcW w:w="0" w:type="auto"/>
            <w:tcBorders>
              <w:top w:val="none" w:sz="6" w:space="0" w:color="auto"/>
              <w:left w:val="single" w:sz="4" w:space="0" w:color="auto"/>
              <w:bottom w:val="single" w:sz="4" w:space="0" w:color="000000"/>
              <w:right w:val="single" w:sz="4" w:space="0" w:color="auto"/>
            </w:tcBorders>
          </w:tcPr>
          <w:p w14:paraId="54C4DDC2" w14:textId="77777777" w:rsidR="009E39C5" w:rsidRPr="000D3D7F" w:rsidRDefault="009E39C5" w:rsidP="001E1F5A">
            <w:pPr>
              <w:rPr>
                <w:lang w:val="sr-Latn-ME"/>
              </w:rPr>
            </w:pPr>
            <w:r w:rsidRPr="000D3D7F">
              <w:rPr>
                <w:szCs w:val="22"/>
                <w:lang w:val="sr-Latn-ME"/>
              </w:rPr>
              <w:t>4 (5)</w:t>
            </w:r>
          </w:p>
        </w:tc>
        <w:tc>
          <w:tcPr>
            <w:tcW w:w="0" w:type="auto"/>
            <w:tcBorders>
              <w:top w:val="none" w:sz="6" w:space="0" w:color="auto"/>
              <w:left w:val="single" w:sz="4" w:space="0" w:color="auto"/>
              <w:bottom w:val="single" w:sz="4" w:space="0" w:color="000000"/>
              <w:right w:val="single" w:sz="4" w:space="0" w:color="auto"/>
            </w:tcBorders>
          </w:tcPr>
          <w:p w14:paraId="1F7C305F" w14:textId="77777777" w:rsidR="009E39C5" w:rsidRPr="000D3D7F" w:rsidRDefault="009E39C5" w:rsidP="001E1F5A">
            <w:pPr>
              <w:rPr>
                <w:lang w:val="sr-Latn-ME"/>
              </w:rPr>
            </w:pPr>
            <w:r w:rsidRPr="000D3D7F">
              <w:rPr>
                <w:szCs w:val="22"/>
                <w:lang w:val="sr-Latn-ME"/>
              </w:rPr>
              <w:t>9 (6)</w:t>
            </w:r>
          </w:p>
        </w:tc>
      </w:tr>
      <w:tr w:rsidR="009E39C5" w:rsidRPr="000D3D7F" w14:paraId="4C77F70F" w14:textId="77777777" w:rsidTr="00DB317D">
        <w:trPr>
          <w:trHeight w:val="282"/>
        </w:trPr>
        <w:tc>
          <w:tcPr>
            <w:tcW w:w="0" w:type="auto"/>
            <w:tcBorders>
              <w:top w:val="single" w:sz="4" w:space="0" w:color="000000"/>
              <w:left w:val="single" w:sz="4" w:space="0" w:color="auto"/>
              <w:bottom w:val="none" w:sz="6" w:space="0" w:color="auto"/>
              <w:right w:val="single" w:sz="4" w:space="0" w:color="auto"/>
            </w:tcBorders>
          </w:tcPr>
          <w:p w14:paraId="2FFEE9B0" w14:textId="77777777" w:rsidR="009E39C5" w:rsidRPr="000D3D7F" w:rsidRDefault="009E39C5" w:rsidP="001E1F5A">
            <w:pPr>
              <w:rPr>
                <w:b/>
                <w:bCs/>
                <w:lang w:val="sr-Latn-ME"/>
              </w:rPr>
            </w:pPr>
            <w:r w:rsidRPr="000D3D7F">
              <w:rPr>
                <w:b/>
                <w:bCs/>
                <w:szCs w:val="22"/>
                <w:lang w:val="sr-Latn-ME"/>
              </w:rPr>
              <w:t>Stepen odgovora(RR)u 8 ciklusu n (%)</w:t>
            </w:r>
          </w:p>
        </w:tc>
        <w:tc>
          <w:tcPr>
            <w:tcW w:w="0" w:type="auto"/>
            <w:tcBorders>
              <w:top w:val="single" w:sz="4" w:space="0" w:color="000000"/>
              <w:left w:val="single" w:sz="4" w:space="0" w:color="auto"/>
              <w:bottom w:val="none" w:sz="6" w:space="0" w:color="auto"/>
              <w:right w:val="single" w:sz="4" w:space="0" w:color="auto"/>
            </w:tcBorders>
          </w:tcPr>
          <w:p w14:paraId="6157E0DF" w14:textId="77777777" w:rsidR="009E39C5" w:rsidRPr="000D3D7F" w:rsidRDefault="009E39C5" w:rsidP="001E1F5A">
            <w:pPr>
              <w:rPr>
                <w:lang w:val="sr-Latn-ME"/>
              </w:rPr>
            </w:pPr>
          </w:p>
        </w:tc>
        <w:tc>
          <w:tcPr>
            <w:tcW w:w="0" w:type="auto"/>
            <w:tcBorders>
              <w:top w:val="single" w:sz="4" w:space="0" w:color="000000"/>
              <w:left w:val="single" w:sz="4" w:space="0" w:color="auto"/>
              <w:bottom w:val="none" w:sz="6" w:space="0" w:color="auto"/>
              <w:right w:val="single" w:sz="4" w:space="0" w:color="auto"/>
            </w:tcBorders>
          </w:tcPr>
          <w:p w14:paraId="035AC659" w14:textId="77777777" w:rsidR="009E39C5" w:rsidRPr="000D3D7F" w:rsidRDefault="009E39C5" w:rsidP="001E1F5A">
            <w:pPr>
              <w:rPr>
                <w:lang w:val="sr-Latn-ME"/>
              </w:rPr>
            </w:pPr>
          </w:p>
        </w:tc>
      </w:tr>
      <w:tr w:rsidR="009E39C5" w:rsidRPr="000D3D7F" w14:paraId="5A117E01" w14:textId="77777777" w:rsidTr="007B0B42">
        <w:trPr>
          <w:trHeight w:val="297"/>
        </w:trPr>
        <w:tc>
          <w:tcPr>
            <w:tcW w:w="0" w:type="auto"/>
            <w:tcBorders>
              <w:top w:val="none" w:sz="6" w:space="0" w:color="auto"/>
              <w:left w:val="single" w:sz="4" w:space="0" w:color="auto"/>
              <w:bottom w:val="single" w:sz="4" w:space="0" w:color="auto"/>
              <w:right w:val="single" w:sz="4" w:space="0" w:color="auto"/>
            </w:tcBorders>
          </w:tcPr>
          <w:p w14:paraId="314DD32A" w14:textId="77777777" w:rsidR="009E39C5" w:rsidRPr="000D3D7F" w:rsidRDefault="009E39C5" w:rsidP="001E1F5A">
            <w:pPr>
              <w:rPr>
                <w:lang w:val="sr-Latn-ME"/>
              </w:rPr>
            </w:pPr>
            <w:r w:rsidRPr="000D3D7F">
              <w:rPr>
                <w:szCs w:val="22"/>
                <w:lang w:val="sr-Latn-ME"/>
              </w:rPr>
              <w:t>ORR (CR+PR)</w:t>
            </w:r>
          </w:p>
        </w:tc>
        <w:tc>
          <w:tcPr>
            <w:tcW w:w="0" w:type="auto"/>
            <w:tcBorders>
              <w:top w:val="none" w:sz="6" w:space="0" w:color="auto"/>
              <w:left w:val="single" w:sz="4" w:space="0" w:color="auto"/>
              <w:bottom w:val="single" w:sz="4" w:space="0" w:color="auto"/>
              <w:right w:val="single" w:sz="4" w:space="0" w:color="auto"/>
            </w:tcBorders>
          </w:tcPr>
          <w:p w14:paraId="11AACE7F" w14:textId="77777777" w:rsidR="009E39C5" w:rsidRPr="000D3D7F" w:rsidRDefault="009E39C5" w:rsidP="001E1F5A">
            <w:pPr>
              <w:rPr>
                <w:lang w:val="sr-Latn-ME"/>
              </w:rPr>
            </w:pPr>
            <w:r w:rsidRPr="000D3D7F">
              <w:rPr>
                <w:szCs w:val="22"/>
                <w:lang w:val="sr-Latn-ME"/>
              </w:rPr>
              <w:t>38 (52)</w:t>
            </w:r>
          </w:p>
        </w:tc>
        <w:tc>
          <w:tcPr>
            <w:tcW w:w="0" w:type="auto"/>
            <w:tcBorders>
              <w:top w:val="none" w:sz="6" w:space="0" w:color="auto"/>
              <w:left w:val="single" w:sz="4" w:space="0" w:color="auto"/>
              <w:bottom w:val="single" w:sz="4" w:space="0" w:color="auto"/>
              <w:right w:val="single" w:sz="4" w:space="0" w:color="auto"/>
            </w:tcBorders>
          </w:tcPr>
          <w:p w14:paraId="60C0A89D" w14:textId="77777777" w:rsidR="009E39C5" w:rsidRPr="000D3D7F" w:rsidRDefault="009E39C5" w:rsidP="001E1F5A">
            <w:pPr>
              <w:rPr>
                <w:lang w:val="sr-Latn-ME"/>
              </w:rPr>
            </w:pPr>
            <w:r w:rsidRPr="000D3D7F">
              <w:rPr>
                <w:szCs w:val="22"/>
                <w:lang w:val="sr-Latn-ME"/>
              </w:rPr>
              <w:t>76 (52)</w:t>
            </w:r>
          </w:p>
        </w:tc>
      </w:tr>
      <w:tr w:rsidR="009E39C5" w:rsidRPr="000D3D7F" w14:paraId="02ED2B81" w14:textId="77777777" w:rsidTr="007B0B42">
        <w:trPr>
          <w:trHeight w:val="359"/>
        </w:trPr>
        <w:tc>
          <w:tcPr>
            <w:tcW w:w="0" w:type="auto"/>
            <w:tcBorders>
              <w:top w:val="single" w:sz="4" w:space="0" w:color="auto"/>
              <w:left w:val="single" w:sz="4" w:space="0" w:color="auto"/>
              <w:bottom w:val="none" w:sz="6" w:space="0" w:color="auto"/>
              <w:right w:val="none" w:sz="6" w:space="0" w:color="auto"/>
            </w:tcBorders>
          </w:tcPr>
          <w:p w14:paraId="6C1BC693" w14:textId="77777777" w:rsidR="009E39C5" w:rsidRPr="000D3D7F" w:rsidRDefault="009E39C5" w:rsidP="001E1F5A">
            <w:pPr>
              <w:rPr>
                <w:vertAlign w:val="superscript"/>
                <w:lang w:val="sr-Latn-ME"/>
              </w:rPr>
            </w:pPr>
            <w:r w:rsidRPr="000D3D7F">
              <w:rPr>
                <w:szCs w:val="22"/>
                <w:lang w:val="sr-Latn-ME"/>
              </w:rPr>
              <w:t>p-value</w:t>
            </w:r>
            <w:r w:rsidRPr="000D3D7F">
              <w:rPr>
                <w:szCs w:val="22"/>
                <w:vertAlign w:val="superscript"/>
                <w:lang w:val="sr-Latn-ME"/>
              </w:rPr>
              <w:t>a</w:t>
            </w:r>
          </w:p>
        </w:tc>
        <w:tc>
          <w:tcPr>
            <w:tcW w:w="0" w:type="auto"/>
            <w:tcBorders>
              <w:top w:val="single" w:sz="4" w:space="0" w:color="auto"/>
              <w:left w:val="none" w:sz="6" w:space="0" w:color="auto"/>
              <w:bottom w:val="none" w:sz="6" w:space="0" w:color="auto"/>
              <w:right w:val="none" w:sz="6" w:space="0" w:color="auto"/>
            </w:tcBorders>
          </w:tcPr>
          <w:p w14:paraId="009DE9EC" w14:textId="77777777" w:rsidR="009E39C5" w:rsidRPr="000D3D7F" w:rsidRDefault="009E39C5" w:rsidP="001E1F5A">
            <w:pPr>
              <w:rPr>
                <w:lang w:val="sr-Latn-ME"/>
              </w:rPr>
            </w:pPr>
            <w:r w:rsidRPr="000D3D7F">
              <w:rPr>
                <w:szCs w:val="22"/>
                <w:lang w:val="sr-Latn-ME"/>
              </w:rPr>
              <w:t>0,0001</w:t>
            </w:r>
          </w:p>
        </w:tc>
        <w:tc>
          <w:tcPr>
            <w:tcW w:w="0" w:type="auto"/>
            <w:tcBorders>
              <w:top w:val="single" w:sz="4" w:space="0" w:color="auto"/>
              <w:left w:val="none" w:sz="6" w:space="0" w:color="auto"/>
              <w:bottom w:val="none" w:sz="6" w:space="0" w:color="auto"/>
              <w:right w:val="single" w:sz="4" w:space="0" w:color="auto"/>
            </w:tcBorders>
          </w:tcPr>
          <w:p w14:paraId="4523A13B" w14:textId="77777777" w:rsidR="009E39C5" w:rsidRPr="000D3D7F" w:rsidRDefault="009E39C5" w:rsidP="001E1F5A">
            <w:pPr>
              <w:rPr>
                <w:lang w:val="sr-Latn-ME"/>
              </w:rPr>
            </w:pPr>
          </w:p>
        </w:tc>
      </w:tr>
      <w:tr w:rsidR="009E39C5" w:rsidRPr="000D3D7F" w14:paraId="74248683" w14:textId="77777777" w:rsidTr="007B0B42">
        <w:trPr>
          <w:trHeight w:val="316"/>
        </w:trPr>
        <w:tc>
          <w:tcPr>
            <w:tcW w:w="0" w:type="auto"/>
            <w:tcBorders>
              <w:top w:val="none" w:sz="6" w:space="0" w:color="auto"/>
              <w:left w:val="single" w:sz="4" w:space="0" w:color="auto"/>
              <w:bottom w:val="none" w:sz="6" w:space="0" w:color="auto"/>
              <w:right w:val="none" w:sz="6" w:space="0" w:color="auto"/>
            </w:tcBorders>
          </w:tcPr>
          <w:p w14:paraId="5FAAB559" w14:textId="77777777" w:rsidR="009E39C5" w:rsidRPr="000D3D7F" w:rsidRDefault="009E39C5" w:rsidP="001E1F5A">
            <w:pPr>
              <w:rPr>
                <w:lang w:val="sr-Latn-ME"/>
              </w:rPr>
            </w:pPr>
            <w:r w:rsidRPr="000D3D7F">
              <w:rPr>
                <w:szCs w:val="22"/>
                <w:lang w:val="sr-Latn-ME"/>
              </w:rPr>
              <w:t>CR n (%)</w:t>
            </w:r>
          </w:p>
        </w:tc>
        <w:tc>
          <w:tcPr>
            <w:tcW w:w="0" w:type="auto"/>
            <w:tcBorders>
              <w:top w:val="none" w:sz="6" w:space="0" w:color="auto"/>
              <w:left w:val="none" w:sz="6" w:space="0" w:color="auto"/>
              <w:bottom w:val="none" w:sz="6" w:space="0" w:color="auto"/>
              <w:right w:val="none" w:sz="6" w:space="0" w:color="auto"/>
            </w:tcBorders>
          </w:tcPr>
          <w:p w14:paraId="32FC0E19" w14:textId="77777777" w:rsidR="009E39C5" w:rsidRPr="000D3D7F" w:rsidRDefault="009E39C5" w:rsidP="001E1F5A">
            <w:pPr>
              <w:rPr>
                <w:lang w:val="sr-Latn-ME"/>
              </w:rPr>
            </w:pPr>
            <w:r w:rsidRPr="000D3D7F">
              <w:rPr>
                <w:szCs w:val="22"/>
                <w:lang w:val="sr-Latn-ME"/>
              </w:rPr>
              <w:t>9 (12)</w:t>
            </w:r>
          </w:p>
        </w:tc>
        <w:tc>
          <w:tcPr>
            <w:tcW w:w="0" w:type="auto"/>
            <w:tcBorders>
              <w:top w:val="none" w:sz="6" w:space="0" w:color="auto"/>
              <w:left w:val="none" w:sz="6" w:space="0" w:color="auto"/>
              <w:bottom w:val="none" w:sz="6" w:space="0" w:color="auto"/>
              <w:right w:val="single" w:sz="4" w:space="0" w:color="auto"/>
            </w:tcBorders>
          </w:tcPr>
          <w:p w14:paraId="0AB59BBE" w14:textId="77777777" w:rsidR="009E39C5" w:rsidRPr="000D3D7F" w:rsidRDefault="009E39C5" w:rsidP="001E1F5A">
            <w:pPr>
              <w:rPr>
                <w:lang w:val="sr-Latn-ME"/>
              </w:rPr>
            </w:pPr>
            <w:r w:rsidRPr="000D3D7F">
              <w:rPr>
                <w:szCs w:val="22"/>
                <w:lang w:val="sr-Latn-ME"/>
              </w:rPr>
              <w:t>15 (10)</w:t>
            </w:r>
          </w:p>
        </w:tc>
      </w:tr>
      <w:tr w:rsidR="009E39C5" w:rsidRPr="000D3D7F" w14:paraId="0C6FB756" w14:textId="77777777" w:rsidTr="007B0B42">
        <w:trPr>
          <w:trHeight w:val="283"/>
        </w:trPr>
        <w:tc>
          <w:tcPr>
            <w:tcW w:w="0" w:type="auto"/>
            <w:tcBorders>
              <w:top w:val="none" w:sz="6" w:space="0" w:color="auto"/>
              <w:left w:val="single" w:sz="4" w:space="0" w:color="auto"/>
              <w:bottom w:val="none" w:sz="6" w:space="0" w:color="auto"/>
              <w:right w:val="none" w:sz="6" w:space="0" w:color="auto"/>
            </w:tcBorders>
          </w:tcPr>
          <w:p w14:paraId="38493C29" w14:textId="77777777" w:rsidR="009E39C5" w:rsidRPr="000D3D7F" w:rsidRDefault="009E39C5" w:rsidP="001E1F5A">
            <w:pPr>
              <w:rPr>
                <w:lang w:val="sr-Latn-ME"/>
              </w:rPr>
            </w:pPr>
            <w:r w:rsidRPr="000D3D7F">
              <w:rPr>
                <w:szCs w:val="22"/>
                <w:lang w:val="sr-Latn-ME"/>
              </w:rPr>
              <w:t>PR n (%)</w:t>
            </w:r>
          </w:p>
        </w:tc>
        <w:tc>
          <w:tcPr>
            <w:tcW w:w="0" w:type="auto"/>
            <w:tcBorders>
              <w:top w:val="none" w:sz="6" w:space="0" w:color="auto"/>
              <w:left w:val="none" w:sz="6" w:space="0" w:color="auto"/>
              <w:bottom w:val="none" w:sz="6" w:space="0" w:color="auto"/>
              <w:right w:val="none" w:sz="6" w:space="0" w:color="auto"/>
            </w:tcBorders>
          </w:tcPr>
          <w:p w14:paraId="6C95D260" w14:textId="77777777" w:rsidR="009E39C5" w:rsidRPr="000D3D7F" w:rsidRDefault="009E39C5" w:rsidP="001E1F5A">
            <w:pPr>
              <w:rPr>
                <w:lang w:val="sr-Latn-ME"/>
              </w:rPr>
            </w:pPr>
            <w:r w:rsidRPr="000D3D7F">
              <w:rPr>
                <w:szCs w:val="22"/>
                <w:lang w:val="sr-Latn-ME"/>
              </w:rPr>
              <w:t>29 (40)</w:t>
            </w:r>
          </w:p>
        </w:tc>
        <w:tc>
          <w:tcPr>
            <w:tcW w:w="0" w:type="auto"/>
            <w:tcBorders>
              <w:top w:val="none" w:sz="6" w:space="0" w:color="auto"/>
              <w:left w:val="none" w:sz="6" w:space="0" w:color="auto"/>
              <w:bottom w:val="none" w:sz="6" w:space="0" w:color="auto"/>
              <w:right w:val="single" w:sz="4" w:space="0" w:color="auto"/>
            </w:tcBorders>
          </w:tcPr>
          <w:p w14:paraId="4AB492C7" w14:textId="77777777" w:rsidR="009E39C5" w:rsidRPr="000D3D7F" w:rsidRDefault="009E39C5" w:rsidP="001E1F5A">
            <w:pPr>
              <w:rPr>
                <w:lang w:val="sr-Latn-ME"/>
              </w:rPr>
            </w:pPr>
            <w:r w:rsidRPr="000D3D7F">
              <w:rPr>
                <w:szCs w:val="22"/>
                <w:lang w:val="sr-Latn-ME"/>
              </w:rPr>
              <w:t>61 (42)</w:t>
            </w:r>
          </w:p>
        </w:tc>
      </w:tr>
      <w:tr w:rsidR="009E39C5" w:rsidRPr="000D3D7F" w14:paraId="291D245C" w14:textId="77777777" w:rsidTr="007B0B42">
        <w:trPr>
          <w:trHeight w:val="350"/>
        </w:trPr>
        <w:tc>
          <w:tcPr>
            <w:tcW w:w="0" w:type="auto"/>
            <w:tcBorders>
              <w:top w:val="none" w:sz="6" w:space="0" w:color="auto"/>
              <w:left w:val="single" w:sz="4" w:space="0" w:color="auto"/>
              <w:bottom w:val="single" w:sz="4" w:space="0" w:color="000000"/>
              <w:right w:val="none" w:sz="6" w:space="0" w:color="auto"/>
            </w:tcBorders>
          </w:tcPr>
          <w:p w14:paraId="34D905F5" w14:textId="77777777" w:rsidR="009E39C5" w:rsidRPr="000D3D7F" w:rsidRDefault="009E39C5" w:rsidP="001E1F5A">
            <w:pPr>
              <w:rPr>
                <w:lang w:val="sr-Latn-ME"/>
              </w:rPr>
            </w:pPr>
            <w:r w:rsidRPr="000D3D7F">
              <w:rPr>
                <w:szCs w:val="22"/>
                <w:lang w:val="sr-Latn-ME"/>
              </w:rPr>
              <w:t>nCR n (%)</w:t>
            </w:r>
          </w:p>
        </w:tc>
        <w:tc>
          <w:tcPr>
            <w:tcW w:w="0" w:type="auto"/>
            <w:tcBorders>
              <w:top w:val="none" w:sz="6" w:space="0" w:color="auto"/>
              <w:left w:val="none" w:sz="6" w:space="0" w:color="auto"/>
              <w:bottom w:val="single" w:sz="4" w:space="0" w:color="000000"/>
              <w:right w:val="none" w:sz="6" w:space="0" w:color="auto"/>
            </w:tcBorders>
          </w:tcPr>
          <w:p w14:paraId="04C645D3" w14:textId="77777777" w:rsidR="009E39C5" w:rsidRPr="000D3D7F" w:rsidRDefault="009E39C5" w:rsidP="001E1F5A">
            <w:pPr>
              <w:rPr>
                <w:lang w:val="sr-Latn-ME"/>
              </w:rPr>
            </w:pPr>
            <w:r w:rsidRPr="000D3D7F">
              <w:rPr>
                <w:szCs w:val="22"/>
                <w:lang w:val="sr-Latn-ME"/>
              </w:rPr>
              <w:t>7 (10)</w:t>
            </w:r>
          </w:p>
        </w:tc>
        <w:tc>
          <w:tcPr>
            <w:tcW w:w="0" w:type="auto"/>
            <w:tcBorders>
              <w:top w:val="none" w:sz="6" w:space="0" w:color="auto"/>
              <w:left w:val="none" w:sz="6" w:space="0" w:color="auto"/>
              <w:bottom w:val="single" w:sz="4" w:space="0" w:color="000000"/>
              <w:right w:val="single" w:sz="4" w:space="0" w:color="auto"/>
            </w:tcBorders>
          </w:tcPr>
          <w:p w14:paraId="45715D82" w14:textId="77777777" w:rsidR="009E39C5" w:rsidRPr="000D3D7F" w:rsidRDefault="009E39C5" w:rsidP="001E1F5A">
            <w:pPr>
              <w:rPr>
                <w:lang w:val="sr-Latn-ME"/>
              </w:rPr>
            </w:pPr>
            <w:r w:rsidRPr="000D3D7F">
              <w:rPr>
                <w:szCs w:val="22"/>
                <w:lang w:val="sr-Latn-ME"/>
              </w:rPr>
              <w:t>14 (10)</w:t>
            </w:r>
          </w:p>
        </w:tc>
      </w:tr>
      <w:tr w:rsidR="009E39C5" w:rsidRPr="000D3D7F" w14:paraId="77995C92" w14:textId="77777777" w:rsidTr="007B0B42">
        <w:trPr>
          <w:trHeight w:val="296"/>
        </w:trPr>
        <w:tc>
          <w:tcPr>
            <w:tcW w:w="0" w:type="auto"/>
            <w:tcBorders>
              <w:top w:val="none" w:sz="6" w:space="0" w:color="auto"/>
              <w:left w:val="single" w:sz="4" w:space="0" w:color="auto"/>
              <w:bottom w:val="none" w:sz="6" w:space="0" w:color="auto"/>
              <w:right w:val="none" w:sz="6" w:space="0" w:color="auto"/>
            </w:tcBorders>
          </w:tcPr>
          <w:p w14:paraId="5E08B8FC" w14:textId="77777777" w:rsidR="009E39C5" w:rsidRPr="000D3D7F" w:rsidRDefault="009E39C5" w:rsidP="001E1F5A">
            <w:pPr>
              <w:rPr>
                <w:vertAlign w:val="superscript"/>
                <w:lang w:val="sr-Latn-ME"/>
              </w:rPr>
            </w:pPr>
            <w:r w:rsidRPr="000D3D7F">
              <w:rPr>
                <w:b/>
                <w:bCs/>
                <w:szCs w:val="22"/>
                <w:lang w:val="sr-Latn-ME"/>
              </w:rPr>
              <w:t>Intent to Treat Population</w:t>
            </w:r>
            <w:r w:rsidRPr="000D3D7F">
              <w:rPr>
                <w:szCs w:val="22"/>
                <w:vertAlign w:val="superscript"/>
                <w:lang w:val="sr-Latn-ME"/>
              </w:rPr>
              <w:t>b</w:t>
            </w:r>
          </w:p>
        </w:tc>
        <w:tc>
          <w:tcPr>
            <w:tcW w:w="0" w:type="auto"/>
            <w:tcBorders>
              <w:top w:val="none" w:sz="6" w:space="0" w:color="auto"/>
              <w:left w:val="none" w:sz="6" w:space="0" w:color="auto"/>
              <w:bottom w:val="none" w:sz="6" w:space="0" w:color="auto"/>
              <w:right w:val="none" w:sz="6" w:space="0" w:color="auto"/>
            </w:tcBorders>
          </w:tcPr>
          <w:p w14:paraId="0FAD740A" w14:textId="77777777" w:rsidR="009E39C5" w:rsidRPr="000D3D7F" w:rsidRDefault="009E39C5" w:rsidP="001E1F5A">
            <w:pPr>
              <w:rPr>
                <w:b/>
                <w:bCs/>
                <w:lang w:val="sr-Latn-ME"/>
              </w:rPr>
            </w:pPr>
            <w:r w:rsidRPr="000D3D7F">
              <w:rPr>
                <w:b/>
                <w:bCs/>
                <w:szCs w:val="22"/>
                <w:lang w:val="sr-Latn-ME"/>
              </w:rPr>
              <w:t>n=74</w:t>
            </w:r>
          </w:p>
        </w:tc>
        <w:tc>
          <w:tcPr>
            <w:tcW w:w="0" w:type="auto"/>
            <w:tcBorders>
              <w:top w:val="none" w:sz="6" w:space="0" w:color="auto"/>
              <w:left w:val="none" w:sz="6" w:space="0" w:color="auto"/>
              <w:bottom w:val="none" w:sz="6" w:space="0" w:color="auto"/>
              <w:right w:val="single" w:sz="4" w:space="0" w:color="auto"/>
            </w:tcBorders>
          </w:tcPr>
          <w:p w14:paraId="0C496AF8" w14:textId="77777777" w:rsidR="009E39C5" w:rsidRPr="000D3D7F" w:rsidRDefault="009E39C5" w:rsidP="001E1F5A">
            <w:pPr>
              <w:rPr>
                <w:b/>
                <w:bCs/>
                <w:lang w:val="sr-Latn-ME"/>
              </w:rPr>
            </w:pPr>
            <w:r w:rsidRPr="000D3D7F">
              <w:rPr>
                <w:b/>
                <w:bCs/>
                <w:szCs w:val="22"/>
                <w:lang w:val="sr-Latn-ME"/>
              </w:rPr>
              <w:t>n=148</w:t>
            </w:r>
          </w:p>
        </w:tc>
      </w:tr>
      <w:tr w:rsidR="009E39C5" w:rsidRPr="000D3D7F" w14:paraId="38AA3FEA" w14:textId="77777777" w:rsidTr="007B0B42">
        <w:trPr>
          <w:trHeight w:val="362"/>
        </w:trPr>
        <w:tc>
          <w:tcPr>
            <w:tcW w:w="0" w:type="auto"/>
            <w:tcBorders>
              <w:top w:val="single" w:sz="8" w:space="0" w:color="000000"/>
              <w:left w:val="single" w:sz="4" w:space="0" w:color="auto"/>
              <w:bottom w:val="none" w:sz="6" w:space="0" w:color="auto"/>
              <w:right w:val="none" w:sz="6" w:space="0" w:color="auto"/>
            </w:tcBorders>
          </w:tcPr>
          <w:p w14:paraId="51813AE2" w14:textId="66FBA916" w:rsidR="009E39C5" w:rsidRPr="000D3D7F" w:rsidRDefault="009E39C5" w:rsidP="001E1F5A">
            <w:pPr>
              <w:rPr>
                <w:b/>
                <w:bCs/>
                <w:lang w:val="sr-Latn-ME"/>
              </w:rPr>
            </w:pPr>
            <w:r w:rsidRPr="000D3D7F">
              <w:rPr>
                <w:b/>
                <w:bCs/>
                <w:szCs w:val="22"/>
                <w:lang w:val="sr-Latn-ME"/>
              </w:rPr>
              <w:t>TTP-vr</w:t>
            </w:r>
            <w:r w:rsidR="00E714CD" w:rsidRPr="000D3D7F">
              <w:rPr>
                <w:b/>
                <w:bCs/>
                <w:szCs w:val="22"/>
                <w:lang w:val="sr-Latn-ME"/>
              </w:rPr>
              <w:t>ij</w:t>
            </w:r>
            <w:r w:rsidRPr="000D3D7F">
              <w:rPr>
                <w:b/>
                <w:bCs/>
                <w:szCs w:val="22"/>
                <w:lang w:val="sr-Latn-ME"/>
              </w:rPr>
              <w:t>eme do progresije, m</w:t>
            </w:r>
            <w:r w:rsidR="00E714CD" w:rsidRPr="000D3D7F">
              <w:rPr>
                <w:b/>
                <w:bCs/>
                <w:szCs w:val="22"/>
                <w:lang w:val="sr-Latn-ME"/>
              </w:rPr>
              <w:t>j</w:t>
            </w:r>
            <w:r w:rsidRPr="000D3D7F">
              <w:rPr>
                <w:b/>
                <w:bCs/>
                <w:szCs w:val="22"/>
                <w:lang w:val="sr-Latn-ME"/>
              </w:rPr>
              <w:t>eseci</w:t>
            </w:r>
          </w:p>
        </w:tc>
        <w:tc>
          <w:tcPr>
            <w:tcW w:w="0" w:type="auto"/>
            <w:tcBorders>
              <w:top w:val="single" w:sz="8" w:space="0" w:color="000000"/>
              <w:left w:val="none" w:sz="6" w:space="0" w:color="auto"/>
              <w:bottom w:val="none" w:sz="6" w:space="0" w:color="auto"/>
              <w:right w:val="none" w:sz="6" w:space="0" w:color="auto"/>
            </w:tcBorders>
          </w:tcPr>
          <w:p w14:paraId="65BCD507" w14:textId="77777777" w:rsidR="009E39C5" w:rsidRPr="000D3D7F" w:rsidRDefault="009E39C5" w:rsidP="001E1F5A">
            <w:pPr>
              <w:rPr>
                <w:lang w:val="sr-Latn-ME"/>
              </w:rPr>
            </w:pPr>
            <w:r w:rsidRPr="000D3D7F">
              <w:rPr>
                <w:szCs w:val="22"/>
                <w:lang w:val="sr-Latn-ME"/>
              </w:rPr>
              <w:t>9,4</w:t>
            </w:r>
          </w:p>
        </w:tc>
        <w:tc>
          <w:tcPr>
            <w:tcW w:w="0" w:type="auto"/>
            <w:tcBorders>
              <w:top w:val="single" w:sz="8" w:space="0" w:color="000000"/>
              <w:left w:val="none" w:sz="6" w:space="0" w:color="auto"/>
              <w:bottom w:val="none" w:sz="6" w:space="0" w:color="auto"/>
              <w:right w:val="single" w:sz="4" w:space="0" w:color="auto"/>
            </w:tcBorders>
          </w:tcPr>
          <w:p w14:paraId="18456116" w14:textId="77777777" w:rsidR="009E39C5" w:rsidRPr="000D3D7F" w:rsidRDefault="009E39C5" w:rsidP="001E1F5A">
            <w:pPr>
              <w:rPr>
                <w:lang w:val="sr-Latn-ME"/>
              </w:rPr>
            </w:pPr>
            <w:r w:rsidRPr="000D3D7F">
              <w:rPr>
                <w:szCs w:val="22"/>
                <w:lang w:val="sr-Latn-ME"/>
              </w:rPr>
              <w:t>10,4</w:t>
            </w:r>
          </w:p>
        </w:tc>
      </w:tr>
      <w:tr w:rsidR="009E39C5" w:rsidRPr="000D3D7F" w14:paraId="5C8EE8DC" w14:textId="77777777" w:rsidTr="007B0B42">
        <w:trPr>
          <w:trHeight w:val="794"/>
        </w:trPr>
        <w:tc>
          <w:tcPr>
            <w:tcW w:w="0" w:type="auto"/>
            <w:tcBorders>
              <w:top w:val="none" w:sz="6" w:space="0" w:color="auto"/>
              <w:left w:val="single" w:sz="4" w:space="0" w:color="auto"/>
              <w:bottom w:val="single" w:sz="8" w:space="0" w:color="000000"/>
              <w:right w:val="none" w:sz="6" w:space="0" w:color="auto"/>
            </w:tcBorders>
          </w:tcPr>
          <w:p w14:paraId="7662D350" w14:textId="77777777" w:rsidR="009E39C5" w:rsidRPr="000D3D7F" w:rsidRDefault="009E39C5" w:rsidP="001E1F5A">
            <w:pPr>
              <w:rPr>
                <w:lang w:val="sr-Latn-ME"/>
              </w:rPr>
            </w:pPr>
            <w:r w:rsidRPr="000D3D7F">
              <w:rPr>
                <w:szCs w:val="22"/>
                <w:lang w:val="sr-Latn-ME"/>
              </w:rPr>
              <w:t>(95% CI)</w:t>
            </w:r>
          </w:p>
          <w:p w14:paraId="4851A610" w14:textId="77777777" w:rsidR="009E39C5" w:rsidRPr="000D3D7F" w:rsidRDefault="009E39C5" w:rsidP="001E1F5A">
            <w:pPr>
              <w:rPr>
                <w:vertAlign w:val="superscript"/>
                <w:lang w:val="sr-Latn-ME"/>
              </w:rPr>
            </w:pPr>
            <w:r w:rsidRPr="000D3D7F">
              <w:rPr>
                <w:i/>
                <w:iCs/>
                <w:szCs w:val="22"/>
                <w:lang w:val="sr-Latn-ME"/>
              </w:rPr>
              <w:t xml:space="preserve">Hazard ratio </w:t>
            </w:r>
            <w:r w:rsidRPr="000D3D7F">
              <w:rPr>
                <w:szCs w:val="22"/>
                <w:lang w:val="sr-Latn-ME"/>
              </w:rPr>
              <w:t>(HR) (95% CI)</w:t>
            </w:r>
            <w:r w:rsidRPr="000D3D7F">
              <w:rPr>
                <w:szCs w:val="22"/>
                <w:vertAlign w:val="superscript"/>
                <w:lang w:val="sr-Latn-ME"/>
              </w:rPr>
              <w:t>c</w:t>
            </w:r>
            <w:r w:rsidRPr="000D3D7F">
              <w:rPr>
                <w:szCs w:val="22"/>
                <w:lang w:val="sr-Latn-ME"/>
              </w:rPr>
              <w:t xml:space="preserve"> p-value</w:t>
            </w:r>
            <w:r w:rsidRPr="000D3D7F">
              <w:rPr>
                <w:szCs w:val="22"/>
                <w:vertAlign w:val="superscript"/>
                <w:lang w:val="sr-Latn-ME"/>
              </w:rPr>
              <w:t>d</w:t>
            </w:r>
          </w:p>
        </w:tc>
        <w:tc>
          <w:tcPr>
            <w:tcW w:w="0" w:type="auto"/>
            <w:tcBorders>
              <w:top w:val="none" w:sz="6" w:space="0" w:color="auto"/>
              <w:left w:val="none" w:sz="6" w:space="0" w:color="auto"/>
              <w:bottom w:val="single" w:sz="8" w:space="0" w:color="000000"/>
              <w:right w:val="none" w:sz="6" w:space="0" w:color="auto"/>
            </w:tcBorders>
          </w:tcPr>
          <w:p w14:paraId="7F5C9358" w14:textId="77777777" w:rsidR="009E39C5" w:rsidRPr="000D3D7F" w:rsidRDefault="009E39C5" w:rsidP="001E1F5A">
            <w:pPr>
              <w:rPr>
                <w:lang w:val="sr-Latn-ME"/>
              </w:rPr>
            </w:pPr>
            <w:r w:rsidRPr="000D3D7F">
              <w:rPr>
                <w:szCs w:val="22"/>
                <w:lang w:val="sr-Latn-ME"/>
              </w:rPr>
              <w:t>(7,6; 10,6)</w:t>
            </w:r>
          </w:p>
          <w:p w14:paraId="1D8D8783" w14:textId="77777777" w:rsidR="009E39C5" w:rsidRPr="000D3D7F" w:rsidRDefault="009E39C5" w:rsidP="001E1F5A">
            <w:pPr>
              <w:rPr>
                <w:lang w:val="sr-Latn-ME"/>
              </w:rPr>
            </w:pPr>
            <w:r w:rsidRPr="000D3D7F">
              <w:rPr>
                <w:szCs w:val="22"/>
                <w:lang w:val="sr-Latn-ME"/>
              </w:rPr>
              <w:t>0,839 (0,564; 1,249)</w:t>
            </w:r>
          </w:p>
          <w:p w14:paraId="59947FD5" w14:textId="77777777" w:rsidR="009E39C5" w:rsidRPr="000D3D7F" w:rsidRDefault="009E39C5" w:rsidP="001E1F5A">
            <w:pPr>
              <w:rPr>
                <w:lang w:val="sr-Latn-ME"/>
              </w:rPr>
            </w:pPr>
            <w:r w:rsidRPr="000D3D7F">
              <w:rPr>
                <w:szCs w:val="22"/>
                <w:lang w:val="sr-Latn-ME"/>
              </w:rPr>
              <w:t>0,38657</w:t>
            </w:r>
          </w:p>
        </w:tc>
        <w:tc>
          <w:tcPr>
            <w:tcW w:w="0" w:type="auto"/>
            <w:tcBorders>
              <w:top w:val="none" w:sz="6" w:space="0" w:color="auto"/>
              <w:left w:val="none" w:sz="6" w:space="0" w:color="auto"/>
              <w:bottom w:val="single" w:sz="8" w:space="0" w:color="000000"/>
              <w:right w:val="single" w:sz="4" w:space="0" w:color="auto"/>
            </w:tcBorders>
          </w:tcPr>
          <w:p w14:paraId="30F90704" w14:textId="77777777" w:rsidR="009E39C5" w:rsidRPr="000D3D7F" w:rsidRDefault="009E39C5" w:rsidP="001E1F5A">
            <w:pPr>
              <w:rPr>
                <w:lang w:val="sr-Latn-ME"/>
              </w:rPr>
            </w:pPr>
            <w:r w:rsidRPr="000D3D7F">
              <w:rPr>
                <w:szCs w:val="22"/>
                <w:lang w:val="sr-Latn-ME"/>
              </w:rPr>
              <w:t>(8,5; 11,7)</w:t>
            </w:r>
          </w:p>
        </w:tc>
      </w:tr>
      <w:tr w:rsidR="009E39C5" w:rsidRPr="000D3D7F" w14:paraId="48945B44" w14:textId="77777777" w:rsidTr="007B0B42">
        <w:trPr>
          <w:trHeight w:val="397"/>
        </w:trPr>
        <w:tc>
          <w:tcPr>
            <w:tcW w:w="0" w:type="auto"/>
            <w:tcBorders>
              <w:top w:val="single" w:sz="8" w:space="0" w:color="000000"/>
              <w:left w:val="single" w:sz="4" w:space="0" w:color="auto"/>
              <w:bottom w:val="none" w:sz="6" w:space="0" w:color="auto"/>
              <w:right w:val="none" w:sz="6" w:space="0" w:color="auto"/>
            </w:tcBorders>
          </w:tcPr>
          <w:p w14:paraId="718839E7" w14:textId="5B40B43D" w:rsidR="009E39C5" w:rsidRPr="000D3D7F" w:rsidRDefault="009E39C5" w:rsidP="001E1F5A">
            <w:pPr>
              <w:rPr>
                <w:lang w:val="sr-Latn-ME"/>
              </w:rPr>
            </w:pPr>
            <w:r w:rsidRPr="000D3D7F">
              <w:rPr>
                <w:szCs w:val="22"/>
                <w:lang w:val="sr-Latn-ME"/>
              </w:rPr>
              <w:t>Vr</w:t>
            </w:r>
            <w:r w:rsidR="00E714CD" w:rsidRPr="000D3D7F">
              <w:rPr>
                <w:szCs w:val="22"/>
                <w:lang w:val="sr-Latn-ME"/>
              </w:rPr>
              <w:t>ij</w:t>
            </w:r>
            <w:r w:rsidRPr="000D3D7F">
              <w:rPr>
                <w:szCs w:val="22"/>
                <w:lang w:val="sr-Latn-ME"/>
              </w:rPr>
              <w:t>eme do progresije, m</w:t>
            </w:r>
            <w:r w:rsidR="00E714CD" w:rsidRPr="000D3D7F">
              <w:rPr>
                <w:szCs w:val="22"/>
                <w:lang w:val="sr-Latn-ME"/>
              </w:rPr>
              <w:t>j</w:t>
            </w:r>
            <w:r w:rsidRPr="000D3D7F">
              <w:rPr>
                <w:szCs w:val="22"/>
                <w:lang w:val="sr-Latn-ME"/>
              </w:rPr>
              <w:t>eseci</w:t>
            </w:r>
          </w:p>
        </w:tc>
        <w:tc>
          <w:tcPr>
            <w:tcW w:w="0" w:type="auto"/>
            <w:tcBorders>
              <w:top w:val="single" w:sz="8" w:space="0" w:color="000000"/>
              <w:left w:val="none" w:sz="6" w:space="0" w:color="auto"/>
              <w:bottom w:val="none" w:sz="6" w:space="0" w:color="auto"/>
              <w:right w:val="none" w:sz="6" w:space="0" w:color="auto"/>
            </w:tcBorders>
          </w:tcPr>
          <w:p w14:paraId="12224809" w14:textId="77777777" w:rsidR="009E39C5" w:rsidRPr="000D3D7F" w:rsidRDefault="009E39C5" w:rsidP="001E1F5A">
            <w:pPr>
              <w:rPr>
                <w:lang w:val="sr-Latn-ME"/>
              </w:rPr>
            </w:pPr>
            <w:r w:rsidRPr="000D3D7F">
              <w:rPr>
                <w:szCs w:val="22"/>
                <w:lang w:val="sr-Latn-ME"/>
              </w:rPr>
              <w:t>8,0</w:t>
            </w:r>
          </w:p>
        </w:tc>
        <w:tc>
          <w:tcPr>
            <w:tcW w:w="0" w:type="auto"/>
            <w:tcBorders>
              <w:top w:val="single" w:sz="8" w:space="0" w:color="000000"/>
              <w:left w:val="none" w:sz="6" w:space="0" w:color="auto"/>
              <w:bottom w:val="none" w:sz="6" w:space="0" w:color="auto"/>
              <w:right w:val="single" w:sz="4" w:space="0" w:color="auto"/>
            </w:tcBorders>
          </w:tcPr>
          <w:p w14:paraId="48323126" w14:textId="77777777" w:rsidR="009E39C5" w:rsidRPr="000D3D7F" w:rsidRDefault="009E39C5" w:rsidP="001E1F5A">
            <w:pPr>
              <w:rPr>
                <w:lang w:val="sr-Latn-ME"/>
              </w:rPr>
            </w:pPr>
            <w:r w:rsidRPr="000D3D7F">
              <w:rPr>
                <w:szCs w:val="22"/>
                <w:lang w:val="sr-Latn-ME"/>
              </w:rPr>
              <w:t>10,2</w:t>
            </w:r>
          </w:p>
        </w:tc>
      </w:tr>
      <w:tr w:rsidR="009E39C5" w:rsidRPr="000D3D7F" w14:paraId="181B0241" w14:textId="77777777" w:rsidTr="007B0B42">
        <w:trPr>
          <w:trHeight w:val="791"/>
        </w:trPr>
        <w:tc>
          <w:tcPr>
            <w:tcW w:w="0" w:type="auto"/>
            <w:tcBorders>
              <w:top w:val="none" w:sz="6" w:space="0" w:color="auto"/>
              <w:left w:val="single" w:sz="4" w:space="0" w:color="auto"/>
              <w:bottom w:val="single" w:sz="4" w:space="0" w:color="000000"/>
              <w:right w:val="none" w:sz="6" w:space="0" w:color="auto"/>
            </w:tcBorders>
          </w:tcPr>
          <w:p w14:paraId="7E7E1F15" w14:textId="77777777" w:rsidR="009E39C5" w:rsidRPr="000D3D7F" w:rsidRDefault="009E39C5" w:rsidP="001E1F5A">
            <w:pPr>
              <w:rPr>
                <w:lang w:val="sr-Latn-ME"/>
              </w:rPr>
            </w:pPr>
            <w:r w:rsidRPr="000D3D7F">
              <w:rPr>
                <w:szCs w:val="22"/>
                <w:lang w:val="sr-Latn-ME"/>
              </w:rPr>
              <w:t>(95% CI)</w:t>
            </w:r>
          </w:p>
          <w:p w14:paraId="477B7199" w14:textId="77777777" w:rsidR="009E39C5" w:rsidRPr="000D3D7F" w:rsidRDefault="009E39C5" w:rsidP="001E1F5A">
            <w:pPr>
              <w:rPr>
                <w:vertAlign w:val="superscript"/>
                <w:lang w:val="sr-Latn-ME"/>
              </w:rPr>
            </w:pPr>
            <w:r w:rsidRPr="000D3D7F">
              <w:rPr>
                <w:i/>
                <w:iCs/>
                <w:szCs w:val="22"/>
                <w:lang w:val="sr-Latn-ME"/>
              </w:rPr>
              <w:t xml:space="preserve">Hazard ratio </w:t>
            </w:r>
            <w:r w:rsidRPr="000D3D7F">
              <w:rPr>
                <w:szCs w:val="22"/>
                <w:lang w:val="sr-Latn-ME"/>
              </w:rPr>
              <w:t>(HR) (95% CI)</w:t>
            </w:r>
            <w:r w:rsidRPr="000D3D7F">
              <w:rPr>
                <w:szCs w:val="22"/>
                <w:vertAlign w:val="superscript"/>
                <w:lang w:val="sr-Latn-ME"/>
              </w:rPr>
              <w:t>c</w:t>
            </w:r>
            <w:r w:rsidRPr="000D3D7F">
              <w:rPr>
                <w:szCs w:val="22"/>
                <w:lang w:val="sr-Latn-ME"/>
              </w:rPr>
              <w:t xml:space="preserve"> p-value</w:t>
            </w:r>
            <w:r w:rsidRPr="000D3D7F">
              <w:rPr>
                <w:szCs w:val="22"/>
                <w:vertAlign w:val="superscript"/>
                <w:lang w:val="sr-Latn-ME"/>
              </w:rPr>
              <w:t>d</w:t>
            </w:r>
          </w:p>
        </w:tc>
        <w:tc>
          <w:tcPr>
            <w:tcW w:w="0" w:type="auto"/>
            <w:tcBorders>
              <w:top w:val="none" w:sz="6" w:space="0" w:color="auto"/>
              <w:left w:val="none" w:sz="6" w:space="0" w:color="auto"/>
              <w:bottom w:val="single" w:sz="4" w:space="0" w:color="000000"/>
              <w:right w:val="none" w:sz="6" w:space="0" w:color="auto"/>
            </w:tcBorders>
          </w:tcPr>
          <w:p w14:paraId="65C1D5EB" w14:textId="77777777" w:rsidR="009E39C5" w:rsidRPr="000D3D7F" w:rsidRDefault="009E39C5" w:rsidP="001E1F5A">
            <w:pPr>
              <w:rPr>
                <w:lang w:val="sr-Latn-ME"/>
              </w:rPr>
            </w:pPr>
            <w:r w:rsidRPr="000D3D7F">
              <w:rPr>
                <w:szCs w:val="22"/>
                <w:lang w:val="sr-Latn-ME"/>
              </w:rPr>
              <w:t>(6,7; 9,8)</w:t>
            </w:r>
          </w:p>
          <w:p w14:paraId="58388252" w14:textId="77777777" w:rsidR="009E39C5" w:rsidRPr="000D3D7F" w:rsidRDefault="009E39C5" w:rsidP="001E1F5A">
            <w:pPr>
              <w:rPr>
                <w:lang w:val="sr-Latn-ME"/>
              </w:rPr>
            </w:pPr>
            <w:r w:rsidRPr="000D3D7F">
              <w:rPr>
                <w:szCs w:val="22"/>
                <w:lang w:val="sr-Latn-ME"/>
              </w:rPr>
              <w:t>0,824 (0,574; 1,183)</w:t>
            </w:r>
          </w:p>
          <w:p w14:paraId="0AEC577D" w14:textId="77777777" w:rsidR="009E39C5" w:rsidRPr="000D3D7F" w:rsidRDefault="009E39C5" w:rsidP="001E1F5A">
            <w:pPr>
              <w:rPr>
                <w:lang w:val="sr-Latn-ME"/>
              </w:rPr>
            </w:pPr>
            <w:r w:rsidRPr="000D3D7F">
              <w:rPr>
                <w:szCs w:val="22"/>
                <w:lang w:val="sr-Latn-ME"/>
              </w:rPr>
              <w:t>0,295</w:t>
            </w:r>
          </w:p>
        </w:tc>
        <w:tc>
          <w:tcPr>
            <w:tcW w:w="0" w:type="auto"/>
            <w:tcBorders>
              <w:top w:val="none" w:sz="6" w:space="0" w:color="auto"/>
              <w:left w:val="none" w:sz="6" w:space="0" w:color="auto"/>
              <w:bottom w:val="single" w:sz="4" w:space="0" w:color="000000"/>
              <w:right w:val="single" w:sz="4" w:space="0" w:color="auto"/>
            </w:tcBorders>
          </w:tcPr>
          <w:p w14:paraId="27E505C4" w14:textId="77777777" w:rsidR="009E39C5" w:rsidRPr="000D3D7F" w:rsidRDefault="009E39C5" w:rsidP="001E1F5A">
            <w:pPr>
              <w:rPr>
                <w:lang w:val="sr-Latn-ME"/>
              </w:rPr>
            </w:pPr>
            <w:r w:rsidRPr="000D3D7F">
              <w:rPr>
                <w:szCs w:val="22"/>
                <w:lang w:val="sr-Latn-ME"/>
              </w:rPr>
              <w:t>(8,1; 10,8)</w:t>
            </w:r>
          </w:p>
        </w:tc>
      </w:tr>
      <w:tr w:rsidR="009E39C5" w:rsidRPr="000D3D7F" w14:paraId="79E8E341" w14:textId="77777777" w:rsidTr="007B0B42">
        <w:trPr>
          <w:trHeight w:val="654"/>
        </w:trPr>
        <w:tc>
          <w:tcPr>
            <w:tcW w:w="0" w:type="auto"/>
            <w:tcBorders>
              <w:top w:val="single" w:sz="4" w:space="0" w:color="000000"/>
              <w:left w:val="single" w:sz="4" w:space="0" w:color="auto"/>
              <w:bottom w:val="none" w:sz="6" w:space="0" w:color="auto"/>
              <w:right w:val="none" w:sz="6" w:space="0" w:color="auto"/>
            </w:tcBorders>
          </w:tcPr>
          <w:p w14:paraId="5F32271E" w14:textId="77777777" w:rsidR="009E39C5" w:rsidRPr="000D3D7F" w:rsidRDefault="009E39C5" w:rsidP="001E1F5A">
            <w:pPr>
              <w:rPr>
                <w:vertAlign w:val="superscript"/>
                <w:lang w:val="sr-Latn-ME"/>
              </w:rPr>
            </w:pPr>
            <w:r w:rsidRPr="000D3D7F">
              <w:rPr>
                <w:szCs w:val="22"/>
                <w:lang w:val="sr-Latn-ME"/>
              </w:rPr>
              <w:t xml:space="preserve">1 godišnje preživljavanje </w:t>
            </w:r>
            <w:r w:rsidRPr="000D3D7F">
              <w:rPr>
                <w:b/>
                <w:bCs/>
                <w:szCs w:val="22"/>
                <w:lang w:val="sr-Latn-ME"/>
              </w:rPr>
              <w:t>(%)</w:t>
            </w:r>
            <w:r w:rsidRPr="000D3D7F">
              <w:rPr>
                <w:szCs w:val="22"/>
                <w:vertAlign w:val="superscript"/>
                <w:lang w:val="sr-Latn-ME"/>
              </w:rPr>
              <w:t>e</w:t>
            </w:r>
          </w:p>
        </w:tc>
        <w:tc>
          <w:tcPr>
            <w:tcW w:w="0" w:type="auto"/>
            <w:tcBorders>
              <w:top w:val="single" w:sz="4" w:space="0" w:color="000000"/>
              <w:left w:val="none" w:sz="6" w:space="0" w:color="auto"/>
              <w:bottom w:val="none" w:sz="6" w:space="0" w:color="auto"/>
              <w:right w:val="none" w:sz="6" w:space="0" w:color="auto"/>
            </w:tcBorders>
          </w:tcPr>
          <w:p w14:paraId="221389E2" w14:textId="77777777" w:rsidR="009E39C5" w:rsidRPr="000D3D7F" w:rsidRDefault="009E39C5" w:rsidP="001E1F5A">
            <w:pPr>
              <w:rPr>
                <w:b/>
                <w:bCs/>
                <w:lang w:val="sr-Latn-ME"/>
              </w:rPr>
            </w:pPr>
          </w:p>
          <w:p w14:paraId="629D70BA" w14:textId="77777777" w:rsidR="009E39C5" w:rsidRPr="000D3D7F" w:rsidRDefault="009E39C5" w:rsidP="001E1F5A">
            <w:pPr>
              <w:rPr>
                <w:lang w:val="sr-Latn-ME"/>
              </w:rPr>
            </w:pPr>
            <w:r w:rsidRPr="000D3D7F">
              <w:rPr>
                <w:szCs w:val="22"/>
                <w:lang w:val="sr-Latn-ME"/>
              </w:rPr>
              <w:t>76,7</w:t>
            </w:r>
          </w:p>
        </w:tc>
        <w:tc>
          <w:tcPr>
            <w:tcW w:w="0" w:type="auto"/>
            <w:tcBorders>
              <w:top w:val="single" w:sz="4" w:space="0" w:color="000000"/>
              <w:left w:val="none" w:sz="6" w:space="0" w:color="auto"/>
              <w:bottom w:val="none" w:sz="6" w:space="0" w:color="auto"/>
              <w:right w:val="single" w:sz="4" w:space="0" w:color="auto"/>
            </w:tcBorders>
          </w:tcPr>
          <w:p w14:paraId="4CFA704D" w14:textId="77777777" w:rsidR="009E39C5" w:rsidRPr="000D3D7F" w:rsidRDefault="009E39C5" w:rsidP="001E1F5A">
            <w:pPr>
              <w:rPr>
                <w:b/>
                <w:bCs/>
                <w:lang w:val="sr-Latn-ME"/>
              </w:rPr>
            </w:pPr>
          </w:p>
          <w:p w14:paraId="3EB326EB" w14:textId="77777777" w:rsidR="009E39C5" w:rsidRPr="000D3D7F" w:rsidRDefault="009E39C5" w:rsidP="001E1F5A">
            <w:pPr>
              <w:rPr>
                <w:lang w:val="sr-Latn-ME"/>
              </w:rPr>
            </w:pPr>
            <w:r w:rsidRPr="000D3D7F">
              <w:rPr>
                <w:szCs w:val="22"/>
                <w:lang w:val="sr-Latn-ME"/>
              </w:rPr>
              <w:t>72,6</w:t>
            </w:r>
          </w:p>
        </w:tc>
      </w:tr>
      <w:tr w:rsidR="009E39C5" w:rsidRPr="000D3D7F" w14:paraId="50F19194" w14:textId="77777777" w:rsidTr="007B0B42">
        <w:trPr>
          <w:trHeight w:val="290"/>
        </w:trPr>
        <w:tc>
          <w:tcPr>
            <w:tcW w:w="0" w:type="auto"/>
            <w:tcBorders>
              <w:top w:val="none" w:sz="6" w:space="0" w:color="auto"/>
              <w:left w:val="single" w:sz="4" w:space="0" w:color="auto"/>
              <w:bottom w:val="single" w:sz="4" w:space="0" w:color="000000"/>
              <w:right w:val="none" w:sz="6" w:space="0" w:color="auto"/>
            </w:tcBorders>
          </w:tcPr>
          <w:p w14:paraId="7663254D" w14:textId="77777777" w:rsidR="009E39C5" w:rsidRPr="000D3D7F" w:rsidRDefault="009E39C5" w:rsidP="001E1F5A">
            <w:pPr>
              <w:rPr>
                <w:lang w:val="sr-Latn-ME"/>
              </w:rPr>
            </w:pPr>
            <w:r w:rsidRPr="000D3D7F">
              <w:rPr>
                <w:szCs w:val="22"/>
                <w:lang w:val="sr-Latn-ME"/>
              </w:rPr>
              <w:t>(95% CI)</w:t>
            </w:r>
          </w:p>
        </w:tc>
        <w:tc>
          <w:tcPr>
            <w:tcW w:w="0" w:type="auto"/>
            <w:tcBorders>
              <w:top w:val="none" w:sz="6" w:space="0" w:color="auto"/>
              <w:left w:val="none" w:sz="6" w:space="0" w:color="auto"/>
              <w:bottom w:val="single" w:sz="4" w:space="0" w:color="000000"/>
              <w:right w:val="none" w:sz="6" w:space="0" w:color="auto"/>
            </w:tcBorders>
          </w:tcPr>
          <w:p w14:paraId="549B025E" w14:textId="77777777" w:rsidR="009E39C5" w:rsidRPr="000D3D7F" w:rsidRDefault="009E39C5" w:rsidP="001E1F5A">
            <w:pPr>
              <w:rPr>
                <w:lang w:val="sr-Latn-ME"/>
              </w:rPr>
            </w:pPr>
            <w:r w:rsidRPr="000D3D7F">
              <w:rPr>
                <w:szCs w:val="22"/>
                <w:lang w:val="sr-Latn-ME"/>
              </w:rPr>
              <w:t>(64,1; 85,4)</w:t>
            </w:r>
          </w:p>
        </w:tc>
        <w:tc>
          <w:tcPr>
            <w:tcW w:w="0" w:type="auto"/>
            <w:tcBorders>
              <w:top w:val="none" w:sz="6" w:space="0" w:color="auto"/>
              <w:left w:val="none" w:sz="6" w:space="0" w:color="auto"/>
              <w:bottom w:val="single" w:sz="4" w:space="0" w:color="000000"/>
              <w:right w:val="single" w:sz="4" w:space="0" w:color="auto"/>
            </w:tcBorders>
          </w:tcPr>
          <w:p w14:paraId="59B6B2AE" w14:textId="77777777" w:rsidR="009E39C5" w:rsidRPr="000D3D7F" w:rsidRDefault="009E39C5" w:rsidP="001E1F5A">
            <w:pPr>
              <w:rPr>
                <w:lang w:val="sr-Latn-ME"/>
              </w:rPr>
            </w:pPr>
            <w:r w:rsidRPr="000D3D7F">
              <w:rPr>
                <w:szCs w:val="22"/>
                <w:lang w:val="sr-Latn-ME"/>
              </w:rPr>
              <w:t>(63,1; 80,0)</w:t>
            </w:r>
          </w:p>
        </w:tc>
      </w:tr>
    </w:tbl>
    <w:p w14:paraId="660B4B42" w14:textId="56B88A78" w:rsidR="009E39C5" w:rsidRPr="000D3D7F" w:rsidRDefault="009E39C5" w:rsidP="001E1F5A">
      <w:pPr>
        <w:rPr>
          <w:szCs w:val="22"/>
          <w:lang w:val="sr-Latn-ME"/>
        </w:rPr>
      </w:pPr>
    </w:p>
    <w:p w14:paraId="76EBDB6E" w14:textId="57D42C2A" w:rsidR="009E39C5" w:rsidRPr="000D3D7F" w:rsidRDefault="00627301" w:rsidP="001E1F5A">
      <w:pPr>
        <w:rPr>
          <w:szCs w:val="22"/>
          <w:lang w:val="sr-Latn-ME"/>
        </w:rPr>
      </w:pPr>
      <w:r w:rsidRPr="000D3D7F">
        <w:rPr>
          <w:szCs w:val="22"/>
          <w:vertAlign w:val="superscript"/>
          <w:lang w:val="sr-Latn-ME"/>
        </w:rPr>
        <w:lastRenderedPageBreak/>
        <w:t>a</w:t>
      </w:r>
      <w:r w:rsidRPr="000D3D7F">
        <w:rPr>
          <w:szCs w:val="22"/>
          <w:lang w:val="sr-Latn-ME"/>
        </w:rPr>
        <w:t xml:space="preserve"> </w:t>
      </w:r>
      <w:r w:rsidR="009E39C5" w:rsidRPr="000D3D7F">
        <w:rPr>
          <w:szCs w:val="22"/>
          <w:lang w:val="sr-Latn-ME"/>
        </w:rPr>
        <w:t>p-vr</w:t>
      </w:r>
      <w:r w:rsidR="00E714CD" w:rsidRPr="000D3D7F">
        <w:rPr>
          <w:szCs w:val="22"/>
          <w:lang w:val="sr-Latn-ME"/>
        </w:rPr>
        <w:t>ij</w:t>
      </w:r>
      <w:r w:rsidR="009E39C5" w:rsidRPr="000D3D7F">
        <w:rPr>
          <w:szCs w:val="22"/>
          <w:lang w:val="sr-Latn-ME"/>
        </w:rPr>
        <w:t>ednost za ne-inferiornu hipotezu u kojoj je SC prim</w:t>
      </w:r>
      <w:r w:rsidR="00E714CD" w:rsidRPr="000D3D7F">
        <w:rPr>
          <w:szCs w:val="22"/>
          <w:lang w:val="sr-Latn-ME"/>
        </w:rPr>
        <w:t>j</w:t>
      </w:r>
      <w:r w:rsidR="009E39C5" w:rsidRPr="000D3D7F">
        <w:rPr>
          <w:szCs w:val="22"/>
          <w:lang w:val="sr-Latn-ME"/>
        </w:rPr>
        <w:t>ena održava najmanje 60% stepena odgovora IV</w:t>
      </w:r>
      <w:r w:rsidR="004B33C6" w:rsidRPr="000D3D7F">
        <w:rPr>
          <w:szCs w:val="22"/>
          <w:lang w:val="sr-Latn-ME"/>
        </w:rPr>
        <w:t xml:space="preserve"> </w:t>
      </w:r>
      <w:r w:rsidR="009E39C5" w:rsidRPr="000D3D7F">
        <w:rPr>
          <w:szCs w:val="22"/>
          <w:lang w:val="sr-Latn-ME"/>
        </w:rPr>
        <w:t>prim</w:t>
      </w:r>
      <w:r w:rsidR="00E714CD" w:rsidRPr="000D3D7F">
        <w:rPr>
          <w:szCs w:val="22"/>
          <w:lang w:val="sr-Latn-ME"/>
        </w:rPr>
        <w:t>j</w:t>
      </w:r>
      <w:r w:rsidR="009E39C5" w:rsidRPr="000D3D7F">
        <w:rPr>
          <w:szCs w:val="22"/>
          <w:lang w:val="sr-Latn-ME"/>
        </w:rPr>
        <w:t>ene</w:t>
      </w:r>
    </w:p>
    <w:p w14:paraId="514E11AE" w14:textId="3D04FE7F" w:rsidR="009E39C5" w:rsidRPr="000D3D7F" w:rsidRDefault="009E39C5" w:rsidP="001E1F5A">
      <w:pPr>
        <w:rPr>
          <w:szCs w:val="22"/>
          <w:lang w:val="sr-Latn-ME"/>
        </w:rPr>
      </w:pPr>
      <w:r w:rsidRPr="000D3D7F">
        <w:rPr>
          <w:szCs w:val="22"/>
          <w:vertAlign w:val="superscript"/>
          <w:lang w:val="sr-Latn-ME"/>
        </w:rPr>
        <w:t>b</w:t>
      </w:r>
      <w:r w:rsidR="00627301" w:rsidRPr="000D3D7F">
        <w:rPr>
          <w:szCs w:val="22"/>
          <w:lang w:val="sr-Latn-ME"/>
        </w:rPr>
        <w:t xml:space="preserve"> </w:t>
      </w:r>
      <w:r w:rsidRPr="000D3D7F">
        <w:rPr>
          <w:szCs w:val="22"/>
          <w:lang w:val="sr-Latn-ME"/>
        </w:rPr>
        <w:t>222 ispitanika je bilo uključeno u studiju , 221 ispitanik je bio l</w:t>
      </w:r>
      <w:r w:rsidR="00E714CD" w:rsidRPr="000D3D7F">
        <w:rPr>
          <w:szCs w:val="22"/>
          <w:lang w:val="sr-Latn-ME"/>
        </w:rPr>
        <w:t>ij</w:t>
      </w:r>
      <w:r w:rsidRPr="000D3D7F">
        <w:rPr>
          <w:szCs w:val="22"/>
          <w:lang w:val="sr-Latn-ME"/>
        </w:rPr>
        <w:t xml:space="preserve">ečen </w:t>
      </w:r>
      <w:r w:rsidR="003A2940" w:rsidRPr="000D3D7F">
        <w:rPr>
          <w:szCs w:val="22"/>
          <w:lang w:val="sr-Latn-ME"/>
        </w:rPr>
        <w:t>bortezomib</w:t>
      </w:r>
      <w:r w:rsidR="00943CA2" w:rsidRPr="000D3D7F">
        <w:rPr>
          <w:szCs w:val="22"/>
          <w:lang w:val="sr-Latn-ME"/>
        </w:rPr>
        <w:t>om</w:t>
      </w:r>
    </w:p>
    <w:p w14:paraId="6AA30F14" w14:textId="1D925C2A" w:rsidR="009E39C5" w:rsidRPr="000D3D7F" w:rsidRDefault="009E39C5" w:rsidP="001E1F5A">
      <w:pPr>
        <w:rPr>
          <w:szCs w:val="22"/>
          <w:lang w:val="sr-Latn-ME"/>
        </w:rPr>
      </w:pPr>
      <w:r w:rsidRPr="000D3D7F">
        <w:rPr>
          <w:szCs w:val="22"/>
          <w:vertAlign w:val="superscript"/>
          <w:lang w:val="sr-Latn-ME"/>
        </w:rPr>
        <w:t>c</w:t>
      </w:r>
      <w:r w:rsidRPr="000D3D7F">
        <w:rPr>
          <w:szCs w:val="22"/>
          <w:lang w:val="sr-Latn-ME"/>
        </w:rPr>
        <w:t xml:space="preserve"> Proc</w:t>
      </w:r>
      <w:r w:rsidR="00E714CD" w:rsidRPr="000D3D7F">
        <w:rPr>
          <w:szCs w:val="22"/>
          <w:lang w:val="sr-Latn-ME"/>
        </w:rPr>
        <w:t>j</w:t>
      </w:r>
      <w:r w:rsidRPr="000D3D7F">
        <w:rPr>
          <w:szCs w:val="22"/>
          <w:lang w:val="sr-Latn-ME"/>
        </w:rPr>
        <w:t xml:space="preserve">ena </w:t>
      </w:r>
      <w:r w:rsidRPr="000D3D7F">
        <w:rPr>
          <w:i/>
          <w:iCs/>
          <w:szCs w:val="22"/>
          <w:lang w:val="sr-Latn-ME"/>
        </w:rPr>
        <w:t xml:space="preserve">Hazard ratio </w:t>
      </w:r>
      <w:r w:rsidRPr="000D3D7F">
        <w:rPr>
          <w:szCs w:val="22"/>
          <w:lang w:val="sr-Latn-ME"/>
        </w:rPr>
        <w:t>(HR) je zasnovana na Cox modelu, prilagođena stratifikacijskim faktorima: ISS</w:t>
      </w:r>
      <w:r w:rsidR="004B33C6" w:rsidRPr="000D3D7F">
        <w:rPr>
          <w:szCs w:val="22"/>
          <w:lang w:val="sr-Latn-ME"/>
        </w:rPr>
        <w:t xml:space="preserve"> </w:t>
      </w:r>
      <w:r w:rsidRPr="000D3D7F">
        <w:rPr>
          <w:szCs w:val="22"/>
          <w:lang w:val="sr-Latn-ME"/>
        </w:rPr>
        <w:t xml:space="preserve">postavka </w:t>
      </w:r>
      <w:r w:rsidR="00E714CD" w:rsidRPr="000D3D7F">
        <w:rPr>
          <w:szCs w:val="22"/>
          <w:lang w:val="sr-Latn-ME"/>
        </w:rPr>
        <w:t>I</w:t>
      </w:r>
      <w:r w:rsidRPr="000D3D7F">
        <w:rPr>
          <w:szCs w:val="22"/>
          <w:lang w:val="sr-Latn-ME"/>
        </w:rPr>
        <w:t xml:space="preserve"> broj prethodnih linja</w:t>
      </w:r>
    </w:p>
    <w:p w14:paraId="0C8658D9" w14:textId="0FCDC3E1" w:rsidR="009E39C5" w:rsidRPr="000D3D7F" w:rsidRDefault="009E39C5" w:rsidP="001E1F5A">
      <w:pPr>
        <w:rPr>
          <w:szCs w:val="22"/>
          <w:lang w:val="sr-Latn-ME"/>
        </w:rPr>
      </w:pPr>
      <w:r w:rsidRPr="000D3D7F">
        <w:rPr>
          <w:szCs w:val="22"/>
          <w:vertAlign w:val="superscript"/>
          <w:lang w:val="sr-Latn-ME"/>
        </w:rPr>
        <w:t>d</w:t>
      </w:r>
      <w:r w:rsidR="00627301" w:rsidRPr="000D3D7F">
        <w:rPr>
          <w:szCs w:val="22"/>
          <w:lang w:val="sr-Latn-ME"/>
        </w:rPr>
        <w:t xml:space="preserve"> </w:t>
      </w:r>
      <w:r w:rsidRPr="000D3D7F">
        <w:rPr>
          <w:szCs w:val="22"/>
          <w:lang w:val="sr-Latn-ME"/>
        </w:rPr>
        <w:t>Log rank test prilagođen stratifikacijskim faktorima: ISS postavka I broj prethodnih linja</w:t>
      </w:r>
    </w:p>
    <w:p w14:paraId="190B237F" w14:textId="09BD43C1" w:rsidR="009E39C5" w:rsidRPr="000D3D7F" w:rsidRDefault="009E39C5" w:rsidP="001E1F5A">
      <w:pPr>
        <w:rPr>
          <w:szCs w:val="22"/>
          <w:vertAlign w:val="superscript"/>
          <w:lang w:val="sr-Latn-ME"/>
        </w:rPr>
      </w:pPr>
      <w:r w:rsidRPr="000D3D7F">
        <w:rPr>
          <w:szCs w:val="22"/>
          <w:vertAlign w:val="superscript"/>
          <w:lang w:val="sr-Latn-ME"/>
        </w:rPr>
        <w:t>e</w:t>
      </w:r>
      <w:r w:rsidR="00627301" w:rsidRPr="000D3D7F">
        <w:rPr>
          <w:szCs w:val="22"/>
          <w:lang w:val="sr-Latn-ME"/>
        </w:rPr>
        <w:t xml:space="preserve"> </w:t>
      </w:r>
      <w:r w:rsidRPr="000D3D7F">
        <w:rPr>
          <w:szCs w:val="22"/>
          <w:lang w:val="sr-Latn-ME"/>
        </w:rPr>
        <w:t>Medijana trajanja praćenja je bila 11,8 m</w:t>
      </w:r>
      <w:r w:rsidR="00E714CD" w:rsidRPr="000D3D7F">
        <w:rPr>
          <w:szCs w:val="22"/>
          <w:lang w:val="sr-Latn-ME"/>
        </w:rPr>
        <w:t>j</w:t>
      </w:r>
      <w:r w:rsidRPr="000D3D7F">
        <w:rPr>
          <w:szCs w:val="22"/>
          <w:lang w:val="sr-Latn-ME"/>
        </w:rPr>
        <w:t>eseci</w:t>
      </w:r>
    </w:p>
    <w:p w14:paraId="775F55F5" w14:textId="77777777" w:rsidR="00627301" w:rsidRPr="000D3D7F" w:rsidRDefault="00627301" w:rsidP="001E1F5A">
      <w:pPr>
        <w:rPr>
          <w:i/>
          <w:iCs/>
          <w:szCs w:val="22"/>
          <w:lang w:val="sr-Latn-ME"/>
        </w:rPr>
      </w:pPr>
    </w:p>
    <w:p w14:paraId="2F301299" w14:textId="1AC538B4" w:rsidR="009E39C5" w:rsidRPr="000D3D7F" w:rsidRDefault="006B7EE4" w:rsidP="001E1F5A">
      <w:pPr>
        <w:rPr>
          <w:i/>
          <w:iCs/>
          <w:szCs w:val="22"/>
          <w:lang w:val="sr-Latn-ME"/>
        </w:rPr>
      </w:pPr>
      <w:r w:rsidRPr="000D3D7F">
        <w:rPr>
          <w:i/>
          <w:iCs/>
          <w:szCs w:val="22"/>
          <w:lang w:val="sr-Latn-ME"/>
        </w:rPr>
        <w:t>B</w:t>
      </w:r>
      <w:r w:rsidR="00627301" w:rsidRPr="000D3D7F">
        <w:rPr>
          <w:i/>
          <w:iCs/>
          <w:szCs w:val="22"/>
          <w:lang w:val="sr-Latn-ME"/>
        </w:rPr>
        <w:t>ortezomib</w:t>
      </w:r>
      <w:r w:rsidR="009E39C5" w:rsidRPr="000D3D7F">
        <w:rPr>
          <w:i/>
          <w:iCs/>
          <w:szCs w:val="22"/>
          <w:lang w:val="sr-Latn-ME"/>
        </w:rPr>
        <w:t xml:space="preserve"> u kombinovanoj terapiji sa pegilovanim lipozomalnim doksorubicinom (ispitvanje DOXIL</w:t>
      </w:r>
      <w:r w:rsidR="004B33C6" w:rsidRPr="000D3D7F">
        <w:rPr>
          <w:i/>
          <w:iCs/>
          <w:szCs w:val="22"/>
          <w:lang w:val="sr-Latn-ME"/>
        </w:rPr>
        <w:t xml:space="preserve"> </w:t>
      </w:r>
      <w:r w:rsidR="009E39C5" w:rsidRPr="000D3D7F">
        <w:rPr>
          <w:i/>
          <w:iCs/>
          <w:szCs w:val="22"/>
          <w:lang w:val="sr-Latn-ME"/>
        </w:rPr>
        <w:t>MMY-3001)</w:t>
      </w:r>
    </w:p>
    <w:p w14:paraId="205E3143" w14:textId="3C19A161" w:rsidR="009E39C5" w:rsidRPr="000D3D7F" w:rsidRDefault="009E39C5" w:rsidP="001E1F5A">
      <w:pPr>
        <w:rPr>
          <w:szCs w:val="22"/>
          <w:lang w:val="sr-Latn-ME"/>
        </w:rPr>
      </w:pPr>
      <w:r w:rsidRPr="000D3D7F">
        <w:rPr>
          <w:szCs w:val="22"/>
          <w:lang w:val="sr-Latn-ME"/>
        </w:rPr>
        <w:t>Randomizovano, otvoreno, multicentrično kliničko ispitivanje faze III sa paralelnim grupama je sprovedeno</w:t>
      </w:r>
      <w:r w:rsidR="004B33C6" w:rsidRPr="000D3D7F">
        <w:rPr>
          <w:szCs w:val="22"/>
          <w:lang w:val="sr-Latn-ME"/>
        </w:rPr>
        <w:t xml:space="preserve"> </w:t>
      </w:r>
      <w:r w:rsidRPr="000D3D7F">
        <w:rPr>
          <w:szCs w:val="22"/>
          <w:lang w:val="sr-Latn-ME"/>
        </w:rPr>
        <w:t>je kod 646 pacijenata i poredilo je bezb</w:t>
      </w:r>
      <w:r w:rsidR="005E12B2" w:rsidRPr="000D3D7F">
        <w:rPr>
          <w:szCs w:val="22"/>
          <w:lang w:val="sr-Latn-ME"/>
        </w:rPr>
        <w:t>j</w:t>
      </w:r>
      <w:r w:rsidRPr="000D3D7F">
        <w:rPr>
          <w:szCs w:val="22"/>
          <w:lang w:val="sr-Latn-ME"/>
        </w:rPr>
        <w:t xml:space="preserve">ednost i efikasnost </w:t>
      </w:r>
      <w:r w:rsidR="00627301" w:rsidRPr="000D3D7F">
        <w:rPr>
          <w:szCs w:val="22"/>
          <w:lang w:val="sr-Latn-ME"/>
        </w:rPr>
        <w:t>bortezomib</w:t>
      </w:r>
      <w:r w:rsidR="006B7EE4" w:rsidRPr="000D3D7F">
        <w:rPr>
          <w:szCs w:val="22"/>
          <w:lang w:val="sr-Latn-ME"/>
        </w:rPr>
        <w:t>a</w:t>
      </w:r>
      <w:r w:rsidR="00627301" w:rsidRPr="000D3D7F">
        <w:rPr>
          <w:szCs w:val="22"/>
          <w:lang w:val="sr-Latn-ME"/>
        </w:rPr>
        <w:t xml:space="preserve"> </w:t>
      </w:r>
      <w:r w:rsidRPr="000D3D7F">
        <w:rPr>
          <w:szCs w:val="22"/>
          <w:lang w:val="sr-Latn-ME"/>
        </w:rPr>
        <w:t>sa pegilovanim lipozomalnim</w:t>
      </w:r>
      <w:r w:rsidR="004B33C6" w:rsidRPr="000D3D7F">
        <w:rPr>
          <w:szCs w:val="22"/>
          <w:lang w:val="sr-Latn-ME"/>
        </w:rPr>
        <w:t xml:space="preserve"> </w:t>
      </w:r>
      <w:r w:rsidRPr="000D3D7F">
        <w:rPr>
          <w:szCs w:val="22"/>
          <w:lang w:val="sr-Latn-ME"/>
        </w:rPr>
        <w:t xml:space="preserve">doksorubicinom u odnosu na monoterapiju </w:t>
      </w:r>
      <w:r w:rsidR="00627301" w:rsidRPr="000D3D7F">
        <w:rPr>
          <w:szCs w:val="22"/>
          <w:lang w:val="sr-Latn-ME"/>
        </w:rPr>
        <w:t>bortezomib</w:t>
      </w:r>
      <w:r w:rsidR="006B7EE4" w:rsidRPr="000D3D7F">
        <w:rPr>
          <w:szCs w:val="22"/>
          <w:lang w:val="sr-Latn-ME"/>
        </w:rPr>
        <w:t>om</w:t>
      </w:r>
      <w:r w:rsidR="00627301" w:rsidRPr="000D3D7F">
        <w:rPr>
          <w:szCs w:val="22"/>
          <w:lang w:val="sr-Latn-ME"/>
        </w:rPr>
        <w:t xml:space="preserve"> </w:t>
      </w:r>
      <w:r w:rsidRPr="000D3D7F">
        <w:rPr>
          <w:szCs w:val="22"/>
          <w:lang w:val="sr-Latn-ME"/>
        </w:rPr>
        <w:t>kod pacijenata sa multiplim mijelomom koji su</w:t>
      </w:r>
      <w:r w:rsidR="004B33C6" w:rsidRPr="000D3D7F">
        <w:rPr>
          <w:szCs w:val="22"/>
          <w:lang w:val="sr-Latn-ME"/>
        </w:rPr>
        <w:t xml:space="preserve"> </w:t>
      </w:r>
      <w:r w:rsidRPr="000D3D7F">
        <w:rPr>
          <w:szCs w:val="22"/>
          <w:lang w:val="sr-Latn-ME"/>
        </w:rPr>
        <w:t>dobijali prethodno najmanje jedan terapijski protokol i koji ni</w:t>
      </w:r>
      <w:r w:rsidR="001E1F5A" w:rsidRPr="000D3D7F">
        <w:rPr>
          <w:szCs w:val="22"/>
          <w:lang w:val="sr-Latn-ME"/>
        </w:rPr>
        <w:t>je</w:t>
      </w:r>
      <w:r w:rsidRPr="000D3D7F">
        <w:rPr>
          <w:szCs w:val="22"/>
          <w:lang w:val="sr-Latn-ME"/>
        </w:rPr>
        <w:t>su progredirali tokom uzimanja terapije</w:t>
      </w:r>
      <w:r w:rsidR="004B33C6" w:rsidRPr="000D3D7F">
        <w:rPr>
          <w:szCs w:val="22"/>
          <w:lang w:val="sr-Latn-ME"/>
        </w:rPr>
        <w:t xml:space="preserve"> </w:t>
      </w:r>
      <w:r w:rsidRPr="000D3D7F">
        <w:rPr>
          <w:szCs w:val="22"/>
          <w:lang w:val="sr-Latn-ME"/>
        </w:rPr>
        <w:t>zasnovane na antraciklinima. Primarni parametar praćenja efikasnosti je bilo vr</w:t>
      </w:r>
      <w:r w:rsidR="005E12B2" w:rsidRPr="000D3D7F">
        <w:rPr>
          <w:szCs w:val="22"/>
          <w:lang w:val="sr-Latn-ME"/>
        </w:rPr>
        <w:t>ij</w:t>
      </w:r>
      <w:r w:rsidRPr="000D3D7F">
        <w:rPr>
          <w:szCs w:val="22"/>
          <w:lang w:val="sr-Latn-ME"/>
        </w:rPr>
        <w:t>eme do progresije (TTP) dok</w:t>
      </w:r>
      <w:r w:rsidR="004B33C6" w:rsidRPr="000D3D7F">
        <w:rPr>
          <w:szCs w:val="22"/>
          <w:lang w:val="sr-Latn-ME"/>
        </w:rPr>
        <w:t xml:space="preserve"> </w:t>
      </w:r>
      <w:r w:rsidRPr="000D3D7F">
        <w:rPr>
          <w:szCs w:val="22"/>
          <w:lang w:val="sr-Latn-ME"/>
        </w:rPr>
        <w:t>su sekundarni parametri praćenja efikasnosti bili ukupno preživljavanje (OS) ili ukupni stepen odgovora</w:t>
      </w:r>
      <w:r w:rsidR="004B33C6" w:rsidRPr="000D3D7F">
        <w:rPr>
          <w:szCs w:val="22"/>
          <w:lang w:val="sr-Latn-ME"/>
        </w:rPr>
        <w:t xml:space="preserve"> </w:t>
      </w:r>
      <w:r w:rsidRPr="000D3D7F">
        <w:rPr>
          <w:szCs w:val="22"/>
          <w:lang w:val="sr-Latn-ME"/>
        </w:rPr>
        <w:t>ORR (CR +PR), koristeći kriterijume EBMT grupe (European Group for Blood and Marrow</w:t>
      </w:r>
      <w:r w:rsidR="004B33C6" w:rsidRPr="000D3D7F">
        <w:rPr>
          <w:szCs w:val="22"/>
          <w:lang w:val="sr-Latn-ME"/>
        </w:rPr>
        <w:t xml:space="preserve"> </w:t>
      </w:r>
      <w:r w:rsidRPr="000D3D7F">
        <w:rPr>
          <w:szCs w:val="22"/>
          <w:lang w:val="sr-Latn-ME"/>
        </w:rPr>
        <w:t>Transplantation).</w:t>
      </w:r>
    </w:p>
    <w:p w14:paraId="5A66B554" w14:textId="181A176A" w:rsidR="009E39C5" w:rsidRPr="000D3D7F" w:rsidRDefault="009E39C5" w:rsidP="001E1F5A">
      <w:pPr>
        <w:rPr>
          <w:szCs w:val="22"/>
          <w:lang w:val="sr-Latn-ME"/>
        </w:rPr>
      </w:pPr>
      <w:r w:rsidRPr="000D3D7F">
        <w:rPr>
          <w:szCs w:val="22"/>
          <w:lang w:val="sr-Latn-ME"/>
        </w:rPr>
        <w:t>Protokolom definisana interim analiza (zasnovana na 249 TTP događaja) je bila okidač za pr</w:t>
      </w:r>
      <w:r w:rsidR="005E12B2" w:rsidRPr="000D3D7F">
        <w:rPr>
          <w:szCs w:val="22"/>
          <w:lang w:val="sr-Latn-ME"/>
        </w:rPr>
        <w:t>ij</w:t>
      </w:r>
      <w:r w:rsidRPr="000D3D7F">
        <w:rPr>
          <w:szCs w:val="22"/>
          <w:lang w:val="sr-Latn-ME"/>
        </w:rPr>
        <w:t>evremeni</w:t>
      </w:r>
      <w:r w:rsidR="004B33C6" w:rsidRPr="000D3D7F">
        <w:rPr>
          <w:szCs w:val="22"/>
          <w:lang w:val="sr-Latn-ME"/>
        </w:rPr>
        <w:t xml:space="preserve"> </w:t>
      </w:r>
      <w:r w:rsidRPr="000D3D7F">
        <w:rPr>
          <w:szCs w:val="22"/>
          <w:lang w:val="sr-Latn-ME"/>
        </w:rPr>
        <w:t>završetak ispitivanja efikasnosti. Ova interim analiza je pokazala da se TTP rizik smanjio za 45% (95% CI;</w:t>
      </w:r>
      <w:r w:rsidR="004B33C6" w:rsidRPr="000D3D7F">
        <w:rPr>
          <w:szCs w:val="22"/>
          <w:lang w:val="sr-Latn-ME"/>
        </w:rPr>
        <w:t xml:space="preserve"> </w:t>
      </w:r>
      <w:r w:rsidRPr="000D3D7F">
        <w:rPr>
          <w:szCs w:val="22"/>
          <w:lang w:val="sr-Latn-ME"/>
        </w:rPr>
        <w:t>29-57%, p&lt; 0,0001) kod pacijenata koji su l</w:t>
      </w:r>
      <w:r w:rsidR="005E12B2" w:rsidRPr="000D3D7F">
        <w:rPr>
          <w:szCs w:val="22"/>
          <w:lang w:val="sr-Latn-ME"/>
        </w:rPr>
        <w:t>ij</w:t>
      </w:r>
      <w:r w:rsidRPr="000D3D7F">
        <w:rPr>
          <w:szCs w:val="22"/>
          <w:lang w:val="sr-Latn-ME"/>
        </w:rPr>
        <w:t xml:space="preserve">ečeni kombinovanom terapijom sa </w:t>
      </w:r>
      <w:r w:rsidR="006B7EE4" w:rsidRPr="000D3D7F">
        <w:rPr>
          <w:szCs w:val="22"/>
          <w:lang w:val="sr-Latn-ME"/>
        </w:rPr>
        <w:t xml:space="preserve">bortezomibom </w:t>
      </w:r>
      <w:r w:rsidRPr="000D3D7F">
        <w:rPr>
          <w:szCs w:val="22"/>
          <w:lang w:val="sr-Latn-ME"/>
        </w:rPr>
        <w:t>i pegilovanim</w:t>
      </w:r>
      <w:r w:rsidR="004B33C6" w:rsidRPr="000D3D7F">
        <w:rPr>
          <w:szCs w:val="22"/>
          <w:lang w:val="sr-Latn-ME"/>
        </w:rPr>
        <w:t xml:space="preserve"> </w:t>
      </w:r>
      <w:r w:rsidRPr="000D3D7F">
        <w:rPr>
          <w:szCs w:val="22"/>
          <w:lang w:val="sr-Latn-ME"/>
        </w:rPr>
        <w:t>lipozomalnim doksorubicinom. Medijana TTP je bila 6,5 m</w:t>
      </w:r>
      <w:r w:rsidR="005E12B2" w:rsidRPr="000D3D7F">
        <w:rPr>
          <w:szCs w:val="22"/>
          <w:lang w:val="sr-Latn-ME"/>
        </w:rPr>
        <w:t>j</w:t>
      </w:r>
      <w:r w:rsidRPr="000D3D7F">
        <w:rPr>
          <w:szCs w:val="22"/>
          <w:lang w:val="sr-Latn-ME"/>
        </w:rPr>
        <w:t xml:space="preserve">eseci za pacijente koji su dobijali </w:t>
      </w:r>
      <w:r w:rsidR="006B7EE4" w:rsidRPr="000D3D7F">
        <w:rPr>
          <w:szCs w:val="22"/>
          <w:lang w:val="sr-Latn-ME"/>
        </w:rPr>
        <w:t>bortezomib</w:t>
      </w:r>
      <w:r w:rsidR="006B7EE4" w:rsidRPr="000D3D7F" w:rsidDel="006B7EE4">
        <w:rPr>
          <w:szCs w:val="22"/>
          <w:lang w:val="sr-Latn-ME"/>
        </w:rPr>
        <w:t xml:space="preserve"> </w:t>
      </w:r>
      <w:r w:rsidRPr="000D3D7F">
        <w:rPr>
          <w:szCs w:val="22"/>
          <w:lang w:val="sr-Latn-ME"/>
        </w:rPr>
        <w:t>kao</w:t>
      </w:r>
      <w:r w:rsidR="004B33C6" w:rsidRPr="000D3D7F">
        <w:rPr>
          <w:szCs w:val="22"/>
          <w:lang w:val="sr-Latn-ME"/>
        </w:rPr>
        <w:t xml:space="preserve"> </w:t>
      </w:r>
      <w:r w:rsidRPr="000D3D7F">
        <w:rPr>
          <w:szCs w:val="22"/>
          <w:lang w:val="sr-Latn-ME"/>
        </w:rPr>
        <w:t>monoterapiju u odnosu na 9,3 m</w:t>
      </w:r>
      <w:r w:rsidR="005E12B2" w:rsidRPr="000D3D7F">
        <w:rPr>
          <w:szCs w:val="22"/>
          <w:lang w:val="sr-Latn-ME"/>
        </w:rPr>
        <w:t>j</w:t>
      </w:r>
      <w:r w:rsidRPr="000D3D7F">
        <w:rPr>
          <w:szCs w:val="22"/>
          <w:lang w:val="sr-Latn-ME"/>
        </w:rPr>
        <w:t xml:space="preserve">eseca kod pacijenata koji su dobijali kombinovanu terapiju sa </w:t>
      </w:r>
      <w:r w:rsidR="006B7EE4" w:rsidRPr="000D3D7F">
        <w:rPr>
          <w:szCs w:val="22"/>
          <w:lang w:val="sr-Latn-ME"/>
        </w:rPr>
        <w:t>bortezomibom</w:t>
      </w:r>
      <w:r w:rsidR="006B7EE4" w:rsidRPr="000D3D7F" w:rsidDel="006B7EE4">
        <w:rPr>
          <w:szCs w:val="22"/>
          <w:lang w:val="sr-Latn-ME"/>
        </w:rPr>
        <w:t xml:space="preserve"> </w:t>
      </w:r>
      <w:r w:rsidRPr="000D3D7F">
        <w:rPr>
          <w:szCs w:val="22"/>
          <w:lang w:val="sr-Latn-ME"/>
        </w:rPr>
        <w:t>i lipozomalnim doksorubicinom. Ovim rezultatima, mada ne završenim, konstituisana je protokolom</w:t>
      </w:r>
      <w:r w:rsidR="004B33C6" w:rsidRPr="000D3D7F">
        <w:rPr>
          <w:szCs w:val="22"/>
          <w:lang w:val="sr-Latn-ME"/>
        </w:rPr>
        <w:t xml:space="preserve"> </w:t>
      </w:r>
      <w:r w:rsidRPr="000D3D7F">
        <w:rPr>
          <w:szCs w:val="22"/>
          <w:lang w:val="sr-Latn-ME"/>
        </w:rPr>
        <w:t>definisana finalna analiza.</w:t>
      </w:r>
    </w:p>
    <w:p w14:paraId="4C1E43B3" w14:textId="61F92A88" w:rsidR="009E39C5" w:rsidRPr="000D3D7F" w:rsidRDefault="009E39C5" w:rsidP="001E1F5A">
      <w:pPr>
        <w:rPr>
          <w:szCs w:val="22"/>
          <w:lang w:val="sr-Latn-ME"/>
        </w:rPr>
      </w:pPr>
      <w:r w:rsidRPr="000D3D7F">
        <w:rPr>
          <w:szCs w:val="22"/>
          <w:lang w:val="sr-Latn-ME"/>
        </w:rPr>
        <w:t>Finalna analiza ukupnog preživljavanja (OS) izvršena nakon medijane vremena praćenja od 8,6 godina je</w:t>
      </w:r>
      <w:r w:rsidR="004B33C6" w:rsidRPr="000D3D7F">
        <w:rPr>
          <w:szCs w:val="22"/>
          <w:lang w:val="sr-Latn-ME"/>
        </w:rPr>
        <w:t xml:space="preserve"> </w:t>
      </w:r>
      <w:r w:rsidRPr="000D3D7F">
        <w:rPr>
          <w:szCs w:val="22"/>
          <w:lang w:val="sr-Latn-ME"/>
        </w:rPr>
        <w:t>pokazala da nema značajne razlike u ukupnom preživljavanju (OS) između ove dv</w:t>
      </w:r>
      <w:r w:rsidR="005E12B2" w:rsidRPr="000D3D7F">
        <w:rPr>
          <w:szCs w:val="22"/>
          <w:lang w:val="sr-Latn-ME"/>
        </w:rPr>
        <w:t>ij</w:t>
      </w:r>
      <w:r w:rsidRPr="000D3D7F">
        <w:rPr>
          <w:szCs w:val="22"/>
          <w:lang w:val="sr-Latn-ME"/>
        </w:rPr>
        <w:t>e grupe. Medijana</w:t>
      </w:r>
      <w:r w:rsidR="004B33C6" w:rsidRPr="000D3D7F">
        <w:rPr>
          <w:szCs w:val="22"/>
          <w:lang w:val="sr-Latn-ME"/>
        </w:rPr>
        <w:t xml:space="preserve"> </w:t>
      </w:r>
      <w:r w:rsidRPr="000D3D7F">
        <w:rPr>
          <w:szCs w:val="22"/>
          <w:lang w:val="sr-Latn-ME"/>
        </w:rPr>
        <w:t xml:space="preserve">vremena preživljavanja (OS) u grupi pacijenata koja je primala </w:t>
      </w:r>
      <w:r w:rsidR="006B7EE4" w:rsidRPr="000D3D7F">
        <w:rPr>
          <w:szCs w:val="22"/>
          <w:lang w:val="sr-Latn-ME"/>
        </w:rPr>
        <w:t>bortezomib</w:t>
      </w:r>
      <w:r w:rsidRPr="000D3D7F">
        <w:rPr>
          <w:szCs w:val="22"/>
          <w:lang w:val="sr-Latn-ME"/>
        </w:rPr>
        <w:t xml:space="preserve"> kao monoterapiju je bilo 30,8</w:t>
      </w:r>
      <w:r w:rsidR="004B33C6" w:rsidRPr="000D3D7F">
        <w:rPr>
          <w:szCs w:val="22"/>
          <w:lang w:val="sr-Latn-ME"/>
        </w:rPr>
        <w:t xml:space="preserve"> </w:t>
      </w:r>
      <w:r w:rsidRPr="000D3D7F">
        <w:rPr>
          <w:szCs w:val="22"/>
          <w:lang w:val="sr-Latn-ME"/>
        </w:rPr>
        <w:t>m</w:t>
      </w:r>
      <w:r w:rsidR="005E12B2" w:rsidRPr="000D3D7F">
        <w:rPr>
          <w:szCs w:val="22"/>
          <w:lang w:val="sr-Latn-ME"/>
        </w:rPr>
        <w:t>j</w:t>
      </w:r>
      <w:r w:rsidRPr="000D3D7F">
        <w:rPr>
          <w:szCs w:val="22"/>
          <w:lang w:val="sr-Latn-ME"/>
        </w:rPr>
        <w:t>eseci (95%CI; 25,2-36,5 m</w:t>
      </w:r>
      <w:r w:rsidR="005E12B2" w:rsidRPr="000D3D7F">
        <w:rPr>
          <w:szCs w:val="22"/>
          <w:lang w:val="sr-Latn-ME"/>
        </w:rPr>
        <w:t>j</w:t>
      </w:r>
      <w:r w:rsidRPr="000D3D7F">
        <w:rPr>
          <w:szCs w:val="22"/>
          <w:lang w:val="sr-Latn-ME"/>
        </w:rPr>
        <w:t>eseci) i 33,0 m</w:t>
      </w:r>
      <w:r w:rsidR="005E12B2" w:rsidRPr="000D3D7F">
        <w:rPr>
          <w:szCs w:val="22"/>
          <w:lang w:val="sr-Latn-ME"/>
        </w:rPr>
        <w:t>j</w:t>
      </w:r>
      <w:r w:rsidRPr="000D3D7F">
        <w:rPr>
          <w:szCs w:val="22"/>
          <w:lang w:val="sr-Latn-ME"/>
        </w:rPr>
        <w:t>eseci (95% CI; 28.9-37.1</w:t>
      </w:r>
      <w:r w:rsidR="005E12B2" w:rsidRPr="000D3D7F">
        <w:rPr>
          <w:szCs w:val="22"/>
          <w:lang w:val="sr-Latn-ME"/>
        </w:rPr>
        <w:t xml:space="preserve"> </w:t>
      </w:r>
      <w:r w:rsidRPr="000D3D7F">
        <w:rPr>
          <w:szCs w:val="22"/>
          <w:lang w:val="sr-Latn-ME"/>
        </w:rPr>
        <w:t>m</w:t>
      </w:r>
      <w:r w:rsidR="005E12B2" w:rsidRPr="000D3D7F">
        <w:rPr>
          <w:szCs w:val="22"/>
          <w:lang w:val="sr-Latn-ME"/>
        </w:rPr>
        <w:t>j</w:t>
      </w:r>
      <w:r w:rsidRPr="000D3D7F">
        <w:rPr>
          <w:szCs w:val="22"/>
          <w:lang w:val="sr-Latn-ME"/>
        </w:rPr>
        <w:t>eseci) u grupi pacijenata koja je</w:t>
      </w:r>
      <w:r w:rsidR="004B33C6" w:rsidRPr="000D3D7F">
        <w:rPr>
          <w:szCs w:val="22"/>
          <w:lang w:val="sr-Latn-ME"/>
        </w:rPr>
        <w:t xml:space="preserve"> </w:t>
      </w:r>
      <w:r w:rsidRPr="000D3D7F">
        <w:rPr>
          <w:szCs w:val="22"/>
          <w:lang w:val="sr-Latn-ME"/>
        </w:rPr>
        <w:t xml:space="preserve">primala </w:t>
      </w:r>
      <w:r w:rsidR="00627301" w:rsidRPr="000D3D7F">
        <w:rPr>
          <w:szCs w:val="22"/>
          <w:lang w:val="sr-Latn-ME"/>
        </w:rPr>
        <w:t xml:space="preserve">bortezomib </w:t>
      </w:r>
      <w:r w:rsidRPr="000D3D7F">
        <w:rPr>
          <w:szCs w:val="22"/>
          <w:lang w:val="sr-Latn-ME"/>
        </w:rPr>
        <w:t>u kombinavonoj terapiji sa pegilovanim lipozomalnim doksorubicinom.</w:t>
      </w:r>
    </w:p>
    <w:p w14:paraId="50AF84D3" w14:textId="77777777" w:rsidR="00627301" w:rsidRPr="000D3D7F" w:rsidRDefault="00627301" w:rsidP="001E1F5A">
      <w:pPr>
        <w:rPr>
          <w:i/>
          <w:iCs/>
          <w:szCs w:val="22"/>
          <w:lang w:val="sr-Latn-ME"/>
        </w:rPr>
      </w:pPr>
    </w:p>
    <w:p w14:paraId="4017F9E7" w14:textId="6FBB4302" w:rsidR="009E39C5" w:rsidRPr="000D3D7F" w:rsidRDefault="006B7EE4" w:rsidP="001E1F5A">
      <w:pPr>
        <w:rPr>
          <w:i/>
          <w:iCs/>
          <w:szCs w:val="22"/>
          <w:lang w:val="sr-Latn-ME"/>
        </w:rPr>
      </w:pPr>
      <w:r w:rsidRPr="000D3D7F">
        <w:rPr>
          <w:i/>
          <w:iCs/>
          <w:szCs w:val="22"/>
          <w:lang w:val="sr-Latn-ME"/>
        </w:rPr>
        <w:t>B</w:t>
      </w:r>
      <w:r w:rsidR="00627301" w:rsidRPr="000D3D7F">
        <w:rPr>
          <w:i/>
          <w:iCs/>
          <w:szCs w:val="22"/>
          <w:lang w:val="sr-Latn-ME"/>
        </w:rPr>
        <w:t xml:space="preserve">ortezomib </w:t>
      </w:r>
      <w:r w:rsidR="009E39C5" w:rsidRPr="000D3D7F">
        <w:rPr>
          <w:i/>
          <w:iCs/>
          <w:szCs w:val="22"/>
          <w:lang w:val="sr-Latn-ME"/>
        </w:rPr>
        <w:t>u kombinovanoj terapiji sa deksametazonom</w:t>
      </w:r>
    </w:p>
    <w:p w14:paraId="69DDF461" w14:textId="6AABDF48" w:rsidR="009E39C5" w:rsidRPr="000D3D7F" w:rsidRDefault="009E39C5" w:rsidP="001E1F5A">
      <w:pPr>
        <w:rPr>
          <w:szCs w:val="22"/>
          <w:lang w:val="sr-Latn-ME"/>
        </w:rPr>
      </w:pPr>
      <w:r w:rsidRPr="000D3D7F">
        <w:rPr>
          <w:szCs w:val="22"/>
          <w:lang w:val="sr-Latn-ME"/>
        </w:rPr>
        <w:t xml:space="preserve">U nedostatku studija u kojima se direktno poredi terapija </w:t>
      </w:r>
      <w:r w:rsidR="00627301" w:rsidRPr="000D3D7F">
        <w:rPr>
          <w:szCs w:val="22"/>
          <w:lang w:val="sr-Latn-ME"/>
        </w:rPr>
        <w:t>bortezomib</w:t>
      </w:r>
      <w:r w:rsidR="006B7EE4" w:rsidRPr="000D3D7F">
        <w:rPr>
          <w:szCs w:val="22"/>
          <w:lang w:val="sr-Latn-ME"/>
        </w:rPr>
        <w:t>om</w:t>
      </w:r>
      <w:r w:rsidR="00627301" w:rsidRPr="000D3D7F">
        <w:rPr>
          <w:szCs w:val="22"/>
          <w:lang w:val="sr-Latn-ME"/>
        </w:rPr>
        <w:t xml:space="preserve"> </w:t>
      </w:r>
      <w:r w:rsidRPr="000D3D7F">
        <w:rPr>
          <w:szCs w:val="22"/>
          <w:lang w:val="sr-Latn-ME"/>
        </w:rPr>
        <w:t>sa kombinovanom terapijom</w:t>
      </w:r>
      <w:r w:rsidR="004B33C6" w:rsidRPr="000D3D7F">
        <w:rPr>
          <w:szCs w:val="22"/>
          <w:lang w:val="sr-Latn-ME"/>
        </w:rPr>
        <w:t xml:space="preserve"> </w:t>
      </w:r>
      <w:r w:rsidR="00627301" w:rsidRPr="000D3D7F">
        <w:rPr>
          <w:szCs w:val="22"/>
          <w:lang w:val="sr-Latn-ME"/>
        </w:rPr>
        <w:t xml:space="preserve">bortezomib </w:t>
      </w:r>
      <w:r w:rsidRPr="000D3D7F">
        <w:rPr>
          <w:szCs w:val="22"/>
          <w:lang w:val="sr-Latn-ME"/>
        </w:rPr>
        <w:t>deksametazon kod pacijenata sa progresivnim multiplim mijelomom, urađena je statistička analiza</w:t>
      </w:r>
      <w:r w:rsidR="004B33C6" w:rsidRPr="000D3D7F">
        <w:rPr>
          <w:szCs w:val="22"/>
          <w:lang w:val="sr-Latn-ME"/>
        </w:rPr>
        <w:t xml:space="preserve"> </w:t>
      </w:r>
      <w:r w:rsidRPr="000D3D7F">
        <w:rPr>
          <w:szCs w:val="22"/>
          <w:lang w:val="sr-Latn-ME"/>
        </w:rPr>
        <w:t>uporednih parova (matched-pair analysis) sa ciljem da se uporede rezultati iz ne-randomizovane grupe</w:t>
      </w:r>
      <w:r w:rsidR="004B33C6" w:rsidRPr="000D3D7F">
        <w:rPr>
          <w:szCs w:val="22"/>
          <w:lang w:val="sr-Latn-ME"/>
        </w:rPr>
        <w:t xml:space="preserve"> </w:t>
      </w:r>
      <w:r w:rsidRPr="000D3D7F">
        <w:rPr>
          <w:szCs w:val="22"/>
          <w:lang w:val="sr-Latn-ME"/>
        </w:rPr>
        <w:t xml:space="preserve">pacijenata koji su primali </w:t>
      </w:r>
      <w:r w:rsidR="00627301" w:rsidRPr="000D3D7F">
        <w:rPr>
          <w:szCs w:val="22"/>
          <w:lang w:val="sr-Latn-ME"/>
        </w:rPr>
        <w:t xml:space="preserve">bortezomib </w:t>
      </w:r>
      <w:r w:rsidRPr="000D3D7F">
        <w:rPr>
          <w:szCs w:val="22"/>
          <w:lang w:val="sr-Latn-ME"/>
        </w:rPr>
        <w:t>sa deksametazonom (otvoreno ispitivanje faze II, MMY-2045) u grupama</w:t>
      </w:r>
      <w:r w:rsidR="004B33C6" w:rsidRPr="000D3D7F">
        <w:rPr>
          <w:szCs w:val="22"/>
          <w:lang w:val="sr-Latn-ME"/>
        </w:rPr>
        <w:t xml:space="preserve"> </w:t>
      </w:r>
      <w:r w:rsidRPr="000D3D7F">
        <w:rPr>
          <w:szCs w:val="22"/>
          <w:lang w:val="sr-Latn-ME"/>
        </w:rPr>
        <w:t>pacijenata koji bili l</w:t>
      </w:r>
      <w:r w:rsidR="005E12B2" w:rsidRPr="000D3D7F">
        <w:rPr>
          <w:szCs w:val="22"/>
          <w:lang w:val="sr-Latn-ME"/>
        </w:rPr>
        <w:t>ij</w:t>
      </w:r>
      <w:r w:rsidRPr="000D3D7F">
        <w:rPr>
          <w:szCs w:val="22"/>
          <w:lang w:val="sr-Latn-ME"/>
        </w:rPr>
        <w:t xml:space="preserve">eceni </w:t>
      </w:r>
      <w:r w:rsidR="00627301" w:rsidRPr="000D3D7F">
        <w:rPr>
          <w:szCs w:val="22"/>
          <w:lang w:val="sr-Latn-ME"/>
        </w:rPr>
        <w:t>bortezomib</w:t>
      </w:r>
      <w:r w:rsidR="006B7EE4" w:rsidRPr="000D3D7F">
        <w:rPr>
          <w:szCs w:val="22"/>
          <w:lang w:val="sr-Latn-ME"/>
        </w:rPr>
        <w:t>om</w:t>
      </w:r>
      <w:r w:rsidR="00627301" w:rsidRPr="000D3D7F">
        <w:rPr>
          <w:szCs w:val="22"/>
          <w:lang w:val="sr-Latn-ME"/>
        </w:rPr>
        <w:t xml:space="preserve"> </w:t>
      </w:r>
      <w:r w:rsidRPr="000D3D7F">
        <w:rPr>
          <w:szCs w:val="22"/>
          <w:lang w:val="sr-Latn-ME"/>
        </w:rPr>
        <w:t>kao monoterapijom u razlicitim randomizovanim studijama faze III</w:t>
      </w:r>
      <w:r w:rsidR="004B33C6" w:rsidRPr="000D3D7F">
        <w:rPr>
          <w:szCs w:val="22"/>
          <w:lang w:val="sr-Latn-ME"/>
        </w:rPr>
        <w:t xml:space="preserve"> </w:t>
      </w:r>
      <w:r w:rsidRPr="000D3D7F">
        <w:rPr>
          <w:szCs w:val="22"/>
          <w:lang w:val="sr-Latn-ME"/>
        </w:rPr>
        <w:t>(M34101-039 [APEX] and DOXIL MMY-3001), u istoj indikaciji.</w:t>
      </w:r>
    </w:p>
    <w:p w14:paraId="73B0F589" w14:textId="13EB3B10" w:rsidR="009E39C5" w:rsidRPr="000D3D7F" w:rsidRDefault="009E39C5" w:rsidP="001E1F5A">
      <w:pPr>
        <w:rPr>
          <w:szCs w:val="22"/>
          <w:lang w:val="sr-Latn-ME"/>
        </w:rPr>
      </w:pPr>
      <w:r w:rsidRPr="000D3D7F">
        <w:rPr>
          <w:szCs w:val="22"/>
          <w:lang w:val="sr-Latn-ME"/>
        </w:rPr>
        <w:t xml:space="preserve">Analiza uporednih parova je statistički metod u kome se pacijenti u terapijskoj grupi (npr. </w:t>
      </w:r>
      <w:r w:rsidR="006B7EE4" w:rsidRPr="000D3D7F">
        <w:rPr>
          <w:szCs w:val="22"/>
          <w:lang w:val="sr-Latn-ME"/>
        </w:rPr>
        <w:t>bortezomib</w:t>
      </w:r>
      <w:r w:rsidR="006B7EE4" w:rsidRPr="000D3D7F" w:rsidDel="006B7EE4">
        <w:rPr>
          <w:szCs w:val="22"/>
          <w:lang w:val="sr-Latn-ME"/>
        </w:rPr>
        <w:t xml:space="preserve"> </w:t>
      </w:r>
      <w:r w:rsidRPr="000D3D7F">
        <w:rPr>
          <w:szCs w:val="22"/>
          <w:lang w:val="sr-Latn-ME"/>
        </w:rPr>
        <w:t>u</w:t>
      </w:r>
      <w:r w:rsidR="004B33C6" w:rsidRPr="000D3D7F">
        <w:rPr>
          <w:szCs w:val="22"/>
          <w:lang w:val="sr-Latn-ME"/>
        </w:rPr>
        <w:t xml:space="preserve"> </w:t>
      </w:r>
      <w:r w:rsidRPr="000D3D7F">
        <w:rPr>
          <w:szCs w:val="22"/>
          <w:lang w:val="sr-Latn-ME"/>
        </w:rPr>
        <w:t xml:space="preserve">kombinaciji sa deksametazonom) i pacijenti u komparativnoj grupi (npr. </w:t>
      </w:r>
      <w:r w:rsidR="006B7EE4" w:rsidRPr="000D3D7F">
        <w:rPr>
          <w:szCs w:val="22"/>
          <w:lang w:val="sr-Latn-ME"/>
        </w:rPr>
        <w:t>bortezomib</w:t>
      </w:r>
      <w:r w:rsidRPr="000D3D7F">
        <w:rPr>
          <w:szCs w:val="22"/>
          <w:lang w:val="sr-Latn-ME"/>
        </w:rPr>
        <w:t>) učine uporedivim u</w:t>
      </w:r>
      <w:r w:rsidR="004B33C6" w:rsidRPr="000D3D7F">
        <w:rPr>
          <w:szCs w:val="22"/>
          <w:lang w:val="sr-Latn-ME"/>
        </w:rPr>
        <w:t xml:space="preserve"> </w:t>
      </w:r>
      <w:r w:rsidRPr="000D3D7F">
        <w:rPr>
          <w:szCs w:val="22"/>
          <w:lang w:val="sr-Latn-ME"/>
        </w:rPr>
        <w:t xml:space="preserve">uzimajući u obzir varijabilne faktore pri </w:t>
      </w:r>
      <w:r w:rsidR="008D60C9" w:rsidRPr="000D3D7F">
        <w:rPr>
          <w:szCs w:val="22"/>
          <w:lang w:val="sr-Latn-ME"/>
        </w:rPr>
        <w:t>če</w:t>
      </w:r>
      <w:r w:rsidRPr="000D3D7F">
        <w:rPr>
          <w:szCs w:val="22"/>
          <w:lang w:val="sr-Latn-ME"/>
        </w:rPr>
        <w:t>mu se pacijenti individualno uparuju. Na ovaj na</w:t>
      </w:r>
      <w:r w:rsidR="008D60C9" w:rsidRPr="000D3D7F">
        <w:rPr>
          <w:szCs w:val="22"/>
          <w:lang w:val="sr-Latn-ME"/>
        </w:rPr>
        <w:t>č</w:t>
      </w:r>
      <w:r w:rsidRPr="000D3D7F">
        <w:rPr>
          <w:szCs w:val="22"/>
          <w:lang w:val="sr-Latn-ME"/>
        </w:rPr>
        <w:t>in se</w:t>
      </w:r>
      <w:r w:rsidR="004B33C6" w:rsidRPr="000D3D7F">
        <w:rPr>
          <w:szCs w:val="22"/>
          <w:lang w:val="sr-Latn-ME"/>
        </w:rPr>
        <w:t xml:space="preserve"> </w:t>
      </w:r>
      <w:r w:rsidRPr="000D3D7F">
        <w:rPr>
          <w:szCs w:val="22"/>
          <w:lang w:val="sr-Latn-ME"/>
        </w:rPr>
        <w:t>minimiziraju efekti skrivenih prom</w:t>
      </w:r>
      <w:r w:rsidR="005E12B2" w:rsidRPr="000D3D7F">
        <w:rPr>
          <w:szCs w:val="22"/>
          <w:lang w:val="sr-Latn-ME"/>
        </w:rPr>
        <w:t>j</w:t>
      </w:r>
      <w:r w:rsidRPr="000D3D7F">
        <w:rPr>
          <w:szCs w:val="22"/>
          <w:lang w:val="sr-Latn-ME"/>
        </w:rPr>
        <w:t>enljivih faktora kada se proc</w:t>
      </w:r>
      <w:r w:rsidR="005E12B2" w:rsidRPr="000D3D7F">
        <w:rPr>
          <w:szCs w:val="22"/>
          <w:lang w:val="sr-Latn-ME"/>
        </w:rPr>
        <w:t>j</w:t>
      </w:r>
      <w:r w:rsidRPr="000D3D7F">
        <w:rPr>
          <w:szCs w:val="22"/>
          <w:lang w:val="sr-Latn-ME"/>
        </w:rPr>
        <w:t>enjuju efekti terapije uz upotrebu nerandomizovanih</w:t>
      </w:r>
      <w:r w:rsidR="004B33C6" w:rsidRPr="000D3D7F">
        <w:rPr>
          <w:szCs w:val="22"/>
          <w:lang w:val="sr-Latn-ME"/>
        </w:rPr>
        <w:t xml:space="preserve"> </w:t>
      </w:r>
      <w:r w:rsidRPr="000D3D7F">
        <w:rPr>
          <w:szCs w:val="22"/>
          <w:lang w:val="sr-Latn-ME"/>
        </w:rPr>
        <w:t>podataka.</w:t>
      </w:r>
    </w:p>
    <w:p w14:paraId="535A405D" w14:textId="5013E6F1" w:rsidR="009E39C5" w:rsidRPr="000D3D7F" w:rsidRDefault="009E39C5" w:rsidP="001E1F5A">
      <w:pPr>
        <w:rPr>
          <w:szCs w:val="22"/>
          <w:lang w:val="sr-Latn-ME"/>
        </w:rPr>
      </w:pPr>
      <w:r w:rsidRPr="000D3D7F">
        <w:rPr>
          <w:szCs w:val="22"/>
          <w:lang w:val="sr-Latn-ME"/>
        </w:rPr>
        <w:t>Sto dvadestet sedam parova pacijenata je identifikovano. Analiza je pokazala poboljšanje OOR (CR+PR)</w:t>
      </w:r>
      <w:r w:rsidR="004B33C6" w:rsidRPr="000D3D7F">
        <w:rPr>
          <w:szCs w:val="22"/>
          <w:lang w:val="sr-Latn-ME"/>
        </w:rPr>
        <w:t xml:space="preserve"> </w:t>
      </w:r>
      <w:r w:rsidRPr="000D3D7F">
        <w:rPr>
          <w:szCs w:val="22"/>
          <w:lang w:val="sr-Latn-ME"/>
        </w:rPr>
        <w:t>(odds odnos 3,769; 95% CI 2.045-6.947; p&lt;0,001) PFS (hazard odnos 0,511; 95% CI 0,309-0,845; p=0,008),</w:t>
      </w:r>
      <w:r w:rsidR="004B33C6" w:rsidRPr="000D3D7F">
        <w:rPr>
          <w:szCs w:val="22"/>
          <w:lang w:val="sr-Latn-ME"/>
        </w:rPr>
        <w:t xml:space="preserve"> </w:t>
      </w:r>
      <w:r w:rsidRPr="000D3D7F">
        <w:rPr>
          <w:szCs w:val="22"/>
          <w:lang w:val="sr-Latn-ME"/>
        </w:rPr>
        <w:t>TTP (</w:t>
      </w:r>
      <w:r w:rsidRPr="000D3D7F">
        <w:rPr>
          <w:i/>
          <w:iCs/>
          <w:szCs w:val="22"/>
          <w:lang w:val="sr-Latn-ME"/>
        </w:rPr>
        <w:t xml:space="preserve">hazard ratio </w:t>
      </w:r>
      <w:r w:rsidRPr="000D3D7F">
        <w:rPr>
          <w:szCs w:val="22"/>
          <w:lang w:val="sr-Latn-ME"/>
        </w:rPr>
        <w:t xml:space="preserve">0,385; 95% CI 0,212-0,698; p=0,001) za </w:t>
      </w:r>
      <w:r w:rsidR="00627301" w:rsidRPr="000D3D7F">
        <w:rPr>
          <w:szCs w:val="22"/>
          <w:lang w:val="sr-Latn-ME"/>
        </w:rPr>
        <w:t xml:space="preserve">bortezomib </w:t>
      </w:r>
      <w:r w:rsidRPr="000D3D7F">
        <w:rPr>
          <w:szCs w:val="22"/>
          <w:lang w:val="sr-Latn-ME"/>
        </w:rPr>
        <w:t>u kombinaciji sa deksametazonom u</w:t>
      </w:r>
      <w:r w:rsidR="004B33C6" w:rsidRPr="000D3D7F">
        <w:rPr>
          <w:szCs w:val="22"/>
          <w:lang w:val="sr-Latn-ME"/>
        </w:rPr>
        <w:t xml:space="preserve"> </w:t>
      </w:r>
      <w:r w:rsidRPr="000D3D7F">
        <w:rPr>
          <w:szCs w:val="22"/>
          <w:lang w:val="sr-Latn-ME"/>
        </w:rPr>
        <w:t xml:space="preserve">odnosu na monoterapiju </w:t>
      </w:r>
      <w:r w:rsidR="00627301" w:rsidRPr="000D3D7F">
        <w:rPr>
          <w:szCs w:val="22"/>
          <w:lang w:val="sr-Latn-ME"/>
        </w:rPr>
        <w:t>bortezomib</w:t>
      </w:r>
      <w:r w:rsidR="006B7EE4" w:rsidRPr="000D3D7F">
        <w:rPr>
          <w:szCs w:val="22"/>
          <w:lang w:val="sr-Latn-ME"/>
        </w:rPr>
        <w:t>om</w:t>
      </w:r>
      <w:r w:rsidRPr="000D3D7F">
        <w:rPr>
          <w:szCs w:val="22"/>
          <w:lang w:val="sr-Latn-ME"/>
        </w:rPr>
        <w:t>.</w:t>
      </w:r>
    </w:p>
    <w:p w14:paraId="486405BA" w14:textId="019C33A6" w:rsidR="009E39C5" w:rsidRPr="000D3D7F" w:rsidRDefault="009E39C5" w:rsidP="001E1F5A">
      <w:pPr>
        <w:rPr>
          <w:szCs w:val="22"/>
          <w:lang w:val="sr-Latn-ME"/>
        </w:rPr>
      </w:pPr>
      <w:r w:rsidRPr="000D3D7F">
        <w:rPr>
          <w:szCs w:val="22"/>
          <w:lang w:val="sr-Latn-ME"/>
        </w:rPr>
        <w:t>Dostupne su ograničene informacije o ponovljenom l</w:t>
      </w:r>
      <w:r w:rsidR="00351ADF" w:rsidRPr="000D3D7F">
        <w:rPr>
          <w:szCs w:val="22"/>
          <w:lang w:val="sr-Latn-ME"/>
        </w:rPr>
        <w:t>ij</w:t>
      </w:r>
      <w:r w:rsidRPr="000D3D7F">
        <w:rPr>
          <w:szCs w:val="22"/>
          <w:lang w:val="sr-Latn-ME"/>
        </w:rPr>
        <w:t xml:space="preserve">ečenju relapsa multiplog mijeloma </w:t>
      </w:r>
      <w:r w:rsidR="00627301" w:rsidRPr="000D3D7F">
        <w:rPr>
          <w:szCs w:val="22"/>
          <w:lang w:val="sr-Latn-ME"/>
        </w:rPr>
        <w:t>bortezomib</w:t>
      </w:r>
      <w:r w:rsidR="006B7EE4" w:rsidRPr="000D3D7F">
        <w:rPr>
          <w:szCs w:val="22"/>
          <w:lang w:val="sr-Latn-ME"/>
        </w:rPr>
        <w:t>om</w:t>
      </w:r>
      <w:r w:rsidRPr="000D3D7F">
        <w:rPr>
          <w:szCs w:val="22"/>
          <w:lang w:val="sr-Latn-ME"/>
        </w:rPr>
        <w:t>.</w:t>
      </w:r>
      <w:r w:rsidR="004B33C6" w:rsidRPr="000D3D7F">
        <w:rPr>
          <w:szCs w:val="22"/>
          <w:lang w:val="sr-Latn-ME"/>
        </w:rPr>
        <w:t xml:space="preserve"> </w:t>
      </w:r>
    </w:p>
    <w:p w14:paraId="65E87F14" w14:textId="3AE82B9D" w:rsidR="009E39C5" w:rsidRPr="000D3D7F" w:rsidRDefault="009E39C5" w:rsidP="001E1F5A">
      <w:pPr>
        <w:rPr>
          <w:szCs w:val="22"/>
          <w:lang w:val="sr-Latn-ME"/>
        </w:rPr>
      </w:pPr>
      <w:r w:rsidRPr="000D3D7F">
        <w:rPr>
          <w:szCs w:val="22"/>
          <w:lang w:val="sr-Latn-ME"/>
        </w:rPr>
        <w:t>Ispitivanje MMY-2036 (RETRIVE) je bilo ispitivanje faze II, otvoreno, dizajnirano sa jednom grupom, da bi</w:t>
      </w:r>
      <w:r w:rsidR="004B33C6" w:rsidRPr="000D3D7F">
        <w:rPr>
          <w:szCs w:val="22"/>
          <w:lang w:val="sr-Latn-ME"/>
        </w:rPr>
        <w:t xml:space="preserve"> </w:t>
      </w:r>
      <w:r w:rsidRPr="000D3D7F">
        <w:rPr>
          <w:szCs w:val="22"/>
          <w:lang w:val="sr-Latn-ME"/>
        </w:rPr>
        <w:t>se ustanovila efikasnost i bezb</w:t>
      </w:r>
      <w:r w:rsidR="00351ADF" w:rsidRPr="000D3D7F">
        <w:rPr>
          <w:szCs w:val="22"/>
          <w:lang w:val="sr-Latn-ME"/>
        </w:rPr>
        <w:t>j</w:t>
      </w:r>
      <w:r w:rsidRPr="000D3D7F">
        <w:rPr>
          <w:szCs w:val="22"/>
          <w:lang w:val="sr-Latn-ME"/>
        </w:rPr>
        <w:t xml:space="preserve">ednost ponovljene terapije </w:t>
      </w:r>
      <w:r w:rsidR="00627301" w:rsidRPr="000D3D7F">
        <w:rPr>
          <w:szCs w:val="22"/>
          <w:lang w:val="sr-Latn-ME"/>
        </w:rPr>
        <w:t>bortezomib</w:t>
      </w:r>
      <w:r w:rsidR="006B7EE4" w:rsidRPr="000D3D7F">
        <w:rPr>
          <w:szCs w:val="22"/>
          <w:lang w:val="sr-Latn-ME"/>
        </w:rPr>
        <w:t>om</w:t>
      </w:r>
      <w:r w:rsidRPr="000D3D7F">
        <w:rPr>
          <w:szCs w:val="22"/>
          <w:lang w:val="sr-Latn-ME"/>
        </w:rPr>
        <w:t>. 130 pacijenata (≥ 18 godina</w:t>
      </w:r>
      <w:r w:rsidR="004B33C6" w:rsidRPr="000D3D7F">
        <w:rPr>
          <w:szCs w:val="22"/>
          <w:lang w:val="sr-Latn-ME"/>
        </w:rPr>
        <w:t xml:space="preserve"> </w:t>
      </w:r>
      <w:r w:rsidRPr="000D3D7F">
        <w:rPr>
          <w:szCs w:val="22"/>
          <w:lang w:val="sr-Latn-ME"/>
        </w:rPr>
        <w:t>starosti) sa multiplim mijelomom koji su prethodno imali najmanje parcijalan odgovor na režimu l</w:t>
      </w:r>
      <w:r w:rsidR="00351ADF" w:rsidRPr="000D3D7F">
        <w:rPr>
          <w:szCs w:val="22"/>
          <w:lang w:val="sr-Latn-ME"/>
        </w:rPr>
        <w:t>ij</w:t>
      </w:r>
      <w:r w:rsidRPr="000D3D7F">
        <w:rPr>
          <w:szCs w:val="22"/>
          <w:lang w:val="sr-Latn-ME"/>
        </w:rPr>
        <w:t>ečenja koji</w:t>
      </w:r>
      <w:r w:rsidR="004B33C6" w:rsidRPr="000D3D7F">
        <w:rPr>
          <w:szCs w:val="22"/>
          <w:lang w:val="sr-Latn-ME"/>
        </w:rPr>
        <w:t xml:space="preserve"> </w:t>
      </w:r>
      <w:r w:rsidRPr="000D3D7F">
        <w:rPr>
          <w:szCs w:val="22"/>
          <w:lang w:val="sr-Latn-ME"/>
        </w:rPr>
        <w:t xml:space="preserve">je uključivao </w:t>
      </w:r>
      <w:r w:rsidR="00627301" w:rsidRPr="000D3D7F">
        <w:rPr>
          <w:szCs w:val="22"/>
          <w:lang w:val="sr-Latn-ME"/>
        </w:rPr>
        <w:t xml:space="preserve">bortezomib </w:t>
      </w:r>
      <w:r w:rsidRPr="000D3D7F">
        <w:rPr>
          <w:szCs w:val="22"/>
          <w:lang w:val="sr-Latn-ME"/>
        </w:rPr>
        <w:t>ponovo su l</w:t>
      </w:r>
      <w:r w:rsidR="00351ADF" w:rsidRPr="000D3D7F">
        <w:rPr>
          <w:szCs w:val="22"/>
          <w:lang w:val="sr-Latn-ME"/>
        </w:rPr>
        <w:t>ij</w:t>
      </w:r>
      <w:r w:rsidRPr="000D3D7F">
        <w:rPr>
          <w:szCs w:val="22"/>
          <w:lang w:val="sr-Latn-ME"/>
        </w:rPr>
        <w:t>ečeni do pojave progresije. Najmanje 6 m</w:t>
      </w:r>
      <w:r w:rsidR="00351ADF" w:rsidRPr="000D3D7F">
        <w:rPr>
          <w:szCs w:val="22"/>
          <w:lang w:val="sr-Latn-ME"/>
        </w:rPr>
        <w:t>j</w:t>
      </w:r>
      <w:r w:rsidRPr="000D3D7F">
        <w:rPr>
          <w:szCs w:val="22"/>
          <w:lang w:val="sr-Latn-ME"/>
        </w:rPr>
        <w:t>eseci nakon prethodne</w:t>
      </w:r>
      <w:r w:rsidR="004B33C6" w:rsidRPr="000D3D7F">
        <w:rPr>
          <w:szCs w:val="22"/>
          <w:lang w:val="sr-Latn-ME"/>
        </w:rPr>
        <w:t xml:space="preserve"> </w:t>
      </w:r>
      <w:r w:rsidRPr="000D3D7F">
        <w:rPr>
          <w:szCs w:val="22"/>
          <w:lang w:val="sr-Latn-ME"/>
        </w:rPr>
        <w:t xml:space="preserve">terapije, započeto je davanje </w:t>
      </w:r>
      <w:r w:rsidR="00627301" w:rsidRPr="000D3D7F">
        <w:rPr>
          <w:szCs w:val="22"/>
          <w:lang w:val="sr-Latn-ME"/>
        </w:rPr>
        <w:t>bortezomib</w:t>
      </w:r>
      <w:r w:rsidR="00251927" w:rsidRPr="000D3D7F">
        <w:rPr>
          <w:szCs w:val="22"/>
          <w:lang w:val="sr-Latn-ME"/>
        </w:rPr>
        <w:t>a</w:t>
      </w:r>
      <w:r w:rsidR="00627301" w:rsidRPr="000D3D7F">
        <w:rPr>
          <w:szCs w:val="22"/>
          <w:lang w:val="sr-Latn-ME"/>
        </w:rPr>
        <w:t xml:space="preserve"> </w:t>
      </w:r>
      <w:r w:rsidRPr="000D3D7F">
        <w:rPr>
          <w:szCs w:val="22"/>
          <w:lang w:val="sr-Latn-ME"/>
        </w:rPr>
        <w:t>u posl</w:t>
      </w:r>
      <w:r w:rsidR="00351ADF" w:rsidRPr="000D3D7F">
        <w:rPr>
          <w:szCs w:val="22"/>
          <w:lang w:val="sr-Latn-ME"/>
        </w:rPr>
        <w:t>j</w:t>
      </w:r>
      <w:r w:rsidRPr="000D3D7F">
        <w:rPr>
          <w:szCs w:val="22"/>
          <w:lang w:val="sr-Latn-ME"/>
        </w:rPr>
        <w:t>ednjoj odgovarajućoj dozi od 1,3mg/m</w:t>
      </w:r>
      <w:r w:rsidRPr="000D3D7F">
        <w:rPr>
          <w:szCs w:val="22"/>
          <w:vertAlign w:val="superscript"/>
          <w:lang w:val="sr-Latn-ME"/>
        </w:rPr>
        <w:t>2</w:t>
      </w:r>
      <w:r w:rsidRPr="000D3D7F">
        <w:rPr>
          <w:szCs w:val="22"/>
          <w:lang w:val="sr-Latn-ME"/>
        </w:rPr>
        <w:t xml:space="preserve"> (n=93) ili ≤</w:t>
      </w:r>
      <w:r w:rsidR="004B33C6" w:rsidRPr="000D3D7F">
        <w:rPr>
          <w:szCs w:val="22"/>
          <w:lang w:val="sr-Latn-ME"/>
        </w:rPr>
        <w:t xml:space="preserve"> </w:t>
      </w:r>
      <w:r w:rsidRPr="000D3D7F">
        <w:rPr>
          <w:szCs w:val="22"/>
          <w:lang w:val="sr-Latn-ME"/>
        </w:rPr>
        <w:t>1,0mg/m</w:t>
      </w:r>
      <w:r w:rsidRPr="000D3D7F">
        <w:rPr>
          <w:szCs w:val="22"/>
          <w:vertAlign w:val="superscript"/>
          <w:lang w:val="sr-Latn-ME"/>
        </w:rPr>
        <w:t>2</w:t>
      </w:r>
      <w:r w:rsidRPr="000D3D7F">
        <w:rPr>
          <w:szCs w:val="22"/>
          <w:lang w:val="sr-Latn-ME"/>
        </w:rPr>
        <w:t xml:space="preserve"> (n=37) u danima 1,4,8 i 11 svake 3 ned</w:t>
      </w:r>
      <w:r w:rsidR="00351ADF" w:rsidRPr="000D3D7F">
        <w:rPr>
          <w:szCs w:val="22"/>
          <w:lang w:val="sr-Latn-ME"/>
        </w:rPr>
        <w:t>j</w:t>
      </w:r>
      <w:r w:rsidRPr="000D3D7F">
        <w:rPr>
          <w:szCs w:val="22"/>
          <w:lang w:val="sr-Latn-ME"/>
        </w:rPr>
        <w:t>elje do maksimalno 8 ciklusa ili kao monoterapije ili u</w:t>
      </w:r>
      <w:r w:rsidR="004B33C6" w:rsidRPr="000D3D7F">
        <w:rPr>
          <w:szCs w:val="22"/>
          <w:lang w:val="sr-Latn-ME"/>
        </w:rPr>
        <w:t xml:space="preserve"> </w:t>
      </w:r>
      <w:r w:rsidRPr="000D3D7F">
        <w:rPr>
          <w:szCs w:val="22"/>
          <w:lang w:val="sr-Latn-ME"/>
        </w:rPr>
        <w:t>kombinaciji sa deksametazonom u skladu sa standardnom l</w:t>
      </w:r>
      <w:r w:rsidR="00351ADF" w:rsidRPr="000D3D7F">
        <w:rPr>
          <w:szCs w:val="22"/>
          <w:lang w:val="sr-Latn-ME"/>
        </w:rPr>
        <w:t>ij</w:t>
      </w:r>
      <w:r w:rsidRPr="000D3D7F">
        <w:rPr>
          <w:szCs w:val="22"/>
          <w:lang w:val="sr-Latn-ME"/>
        </w:rPr>
        <w:t>ečenja. Deksametazon je bio prim</w:t>
      </w:r>
      <w:r w:rsidR="00351ADF" w:rsidRPr="000D3D7F">
        <w:rPr>
          <w:szCs w:val="22"/>
          <w:lang w:val="sr-Latn-ME"/>
        </w:rPr>
        <w:t>ij</w:t>
      </w:r>
      <w:r w:rsidRPr="000D3D7F">
        <w:rPr>
          <w:szCs w:val="22"/>
          <w:lang w:val="sr-Latn-ME"/>
        </w:rPr>
        <w:t>enjen u</w:t>
      </w:r>
      <w:r w:rsidR="004B33C6" w:rsidRPr="000D3D7F">
        <w:rPr>
          <w:szCs w:val="22"/>
          <w:lang w:val="sr-Latn-ME"/>
        </w:rPr>
        <w:t xml:space="preserve"> </w:t>
      </w:r>
      <w:r w:rsidRPr="000D3D7F">
        <w:rPr>
          <w:szCs w:val="22"/>
          <w:lang w:val="sr-Latn-ME"/>
        </w:rPr>
        <w:t xml:space="preserve">kombinaciji sa </w:t>
      </w:r>
      <w:r w:rsidR="00627301" w:rsidRPr="000D3D7F">
        <w:rPr>
          <w:szCs w:val="22"/>
          <w:lang w:val="sr-Latn-ME"/>
        </w:rPr>
        <w:lastRenderedPageBreak/>
        <w:t>bortezomib</w:t>
      </w:r>
      <w:r w:rsidR="00251927" w:rsidRPr="000D3D7F">
        <w:rPr>
          <w:szCs w:val="22"/>
          <w:lang w:val="sr-Latn-ME"/>
        </w:rPr>
        <w:t>om</w:t>
      </w:r>
      <w:r w:rsidR="00627301" w:rsidRPr="000D3D7F">
        <w:rPr>
          <w:szCs w:val="22"/>
          <w:lang w:val="sr-Latn-ME"/>
        </w:rPr>
        <w:t xml:space="preserve"> </w:t>
      </w:r>
      <w:r w:rsidRPr="000D3D7F">
        <w:rPr>
          <w:szCs w:val="22"/>
          <w:lang w:val="sr-Latn-ME"/>
        </w:rPr>
        <w:t>kod 83 pacijenata u ciklusu 1 sa dodatnim brojem od 11 pacijenata koji su</w:t>
      </w:r>
      <w:r w:rsidR="004B33C6" w:rsidRPr="000D3D7F">
        <w:rPr>
          <w:szCs w:val="22"/>
          <w:lang w:val="sr-Latn-ME"/>
        </w:rPr>
        <w:t xml:space="preserve"> </w:t>
      </w:r>
      <w:r w:rsidRPr="000D3D7F">
        <w:rPr>
          <w:szCs w:val="22"/>
          <w:lang w:val="sr-Latn-ME"/>
        </w:rPr>
        <w:t xml:space="preserve">primali deksamentazon tokom </w:t>
      </w:r>
      <w:r w:rsidR="00627301" w:rsidRPr="000D3D7F">
        <w:rPr>
          <w:szCs w:val="22"/>
          <w:lang w:val="sr-Latn-ME"/>
        </w:rPr>
        <w:t xml:space="preserve">bortezomib </w:t>
      </w:r>
      <w:r w:rsidRPr="000D3D7F">
        <w:rPr>
          <w:szCs w:val="22"/>
          <w:lang w:val="sr-Latn-ME"/>
        </w:rPr>
        <w:t>ponovnog ciklusa.</w:t>
      </w:r>
    </w:p>
    <w:p w14:paraId="0C52660D" w14:textId="1D1FDD26" w:rsidR="009E39C5" w:rsidRPr="000D3D7F" w:rsidRDefault="009E39C5" w:rsidP="001E1F5A">
      <w:pPr>
        <w:rPr>
          <w:szCs w:val="22"/>
          <w:lang w:val="sr-Latn-ME"/>
        </w:rPr>
      </w:pPr>
      <w:r w:rsidRPr="000D3D7F">
        <w:rPr>
          <w:szCs w:val="22"/>
          <w:lang w:val="sr-Latn-ME"/>
        </w:rPr>
        <w:t>Primarni cilj je bio najbolji potvrđen odgovor na ponovljenu terapiju u skladu sa EMBT kriterijumom.</w:t>
      </w:r>
      <w:r w:rsidR="004B33C6" w:rsidRPr="000D3D7F">
        <w:rPr>
          <w:szCs w:val="22"/>
          <w:lang w:val="sr-Latn-ME"/>
        </w:rPr>
        <w:t xml:space="preserve"> </w:t>
      </w:r>
      <w:r w:rsidRPr="000D3D7F">
        <w:rPr>
          <w:szCs w:val="22"/>
          <w:lang w:val="sr-Latn-ME"/>
        </w:rPr>
        <w:t>Ukupan najbolji odgovor (CR + PR), za ponovljenu terapiju kod 130 pacijenata je bio 38,5% (95% CI: 30,1;</w:t>
      </w:r>
      <w:r w:rsidR="00E83F4F" w:rsidRPr="000D3D7F">
        <w:rPr>
          <w:szCs w:val="22"/>
          <w:lang w:val="sr-Latn-ME"/>
        </w:rPr>
        <w:t xml:space="preserve"> </w:t>
      </w:r>
      <w:r w:rsidRPr="000D3D7F">
        <w:rPr>
          <w:szCs w:val="22"/>
          <w:lang w:val="sr-Latn-ME"/>
        </w:rPr>
        <w:t>47,4).</w:t>
      </w:r>
    </w:p>
    <w:p w14:paraId="607A3789" w14:textId="77777777" w:rsidR="00627301" w:rsidRPr="000D3D7F" w:rsidRDefault="00627301" w:rsidP="001E1F5A">
      <w:pPr>
        <w:rPr>
          <w:szCs w:val="22"/>
          <w:lang w:val="sr-Latn-ME"/>
        </w:rPr>
      </w:pPr>
    </w:p>
    <w:p w14:paraId="3377F10F" w14:textId="600C1FB2" w:rsidR="009E39C5" w:rsidRPr="000D3D7F" w:rsidRDefault="009E39C5" w:rsidP="001E1F5A">
      <w:pPr>
        <w:rPr>
          <w:szCs w:val="22"/>
          <w:lang w:val="sr-Latn-ME"/>
        </w:rPr>
      </w:pPr>
      <w:r w:rsidRPr="000D3D7F">
        <w:rPr>
          <w:szCs w:val="22"/>
          <w:u w:val="single"/>
          <w:lang w:val="sr-Latn-ME"/>
        </w:rPr>
        <w:t>Klinička efikasnost terapije kod pacijenata sa prethodno nel</w:t>
      </w:r>
      <w:r w:rsidR="00351ADF" w:rsidRPr="000D3D7F">
        <w:rPr>
          <w:szCs w:val="22"/>
          <w:u w:val="single"/>
          <w:lang w:val="sr-Latn-ME"/>
        </w:rPr>
        <w:t>ij</w:t>
      </w:r>
      <w:r w:rsidRPr="000D3D7F">
        <w:rPr>
          <w:szCs w:val="22"/>
          <w:u w:val="single"/>
          <w:lang w:val="sr-Latn-ME"/>
        </w:rPr>
        <w:t>ečenim mantle ćelijskim limfomom (MCL)</w:t>
      </w:r>
      <w:r w:rsidR="00E83F4F" w:rsidRPr="000D3D7F">
        <w:rPr>
          <w:szCs w:val="22"/>
          <w:lang w:val="sr-Latn-ME"/>
        </w:rPr>
        <w:t xml:space="preserve"> </w:t>
      </w:r>
      <w:r w:rsidRPr="000D3D7F">
        <w:rPr>
          <w:szCs w:val="22"/>
          <w:lang w:val="sr-Latn-ME"/>
        </w:rPr>
        <w:t>Randomizovanim, otvorenim kliničkim ispitivanjem LYM-3002, faze III poredila se klinička efikasnost i</w:t>
      </w:r>
      <w:r w:rsidR="00E83F4F" w:rsidRPr="000D3D7F">
        <w:rPr>
          <w:szCs w:val="22"/>
          <w:lang w:val="sr-Latn-ME"/>
        </w:rPr>
        <w:t xml:space="preserve"> </w:t>
      </w:r>
      <w:r w:rsidRPr="000D3D7F">
        <w:rPr>
          <w:szCs w:val="22"/>
          <w:lang w:val="sr-Latn-ME"/>
        </w:rPr>
        <w:t>bezb</w:t>
      </w:r>
      <w:r w:rsidR="00351ADF" w:rsidRPr="000D3D7F">
        <w:rPr>
          <w:szCs w:val="22"/>
          <w:lang w:val="sr-Latn-ME"/>
        </w:rPr>
        <w:t>j</w:t>
      </w:r>
      <w:r w:rsidRPr="000D3D7F">
        <w:rPr>
          <w:szCs w:val="22"/>
          <w:lang w:val="sr-Latn-ME"/>
        </w:rPr>
        <w:t xml:space="preserve">ednost terapije </w:t>
      </w:r>
      <w:r w:rsidR="00627301" w:rsidRPr="000D3D7F">
        <w:rPr>
          <w:szCs w:val="22"/>
          <w:lang w:val="sr-Latn-ME"/>
        </w:rPr>
        <w:t>bortezomib</w:t>
      </w:r>
      <w:r w:rsidR="00251927" w:rsidRPr="000D3D7F">
        <w:rPr>
          <w:szCs w:val="22"/>
          <w:lang w:val="sr-Latn-ME"/>
        </w:rPr>
        <w:t>om</w:t>
      </w:r>
      <w:r w:rsidR="00627301" w:rsidRPr="000D3D7F">
        <w:rPr>
          <w:szCs w:val="22"/>
          <w:lang w:val="sr-Latn-ME"/>
        </w:rPr>
        <w:t xml:space="preserve"> </w:t>
      </w:r>
      <w:r w:rsidRPr="000D3D7F">
        <w:rPr>
          <w:szCs w:val="22"/>
          <w:lang w:val="sr-Latn-ME"/>
        </w:rPr>
        <w:t>u kombinaciji sa rituksimabom, ciklofosfamidom, doksorubicinom i</w:t>
      </w:r>
      <w:r w:rsidR="00E83F4F" w:rsidRPr="000D3D7F">
        <w:rPr>
          <w:szCs w:val="22"/>
          <w:lang w:val="sr-Latn-ME"/>
        </w:rPr>
        <w:t xml:space="preserve"> </w:t>
      </w:r>
      <w:r w:rsidRPr="000D3D7F">
        <w:rPr>
          <w:szCs w:val="22"/>
          <w:lang w:val="sr-Latn-ME"/>
        </w:rPr>
        <w:t>prednizonom (</w:t>
      </w:r>
      <w:r w:rsidR="00943CA2" w:rsidRPr="000D3D7F">
        <w:rPr>
          <w:szCs w:val="22"/>
          <w:lang w:val="sr-Latn-ME"/>
        </w:rPr>
        <w:t>Bz</w:t>
      </w:r>
      <w:r w:rsidRPr="000D3D7F">
        <w:rPr>
          <w:szCs w:val="22"/>
          <w:lang w:val="sr-Latn-ME"/>
        </w:rPr>
        <w:t>R-CAP; n=243) u odnosu na terapiju rituksimabom, cikofosfamidom, doksorubicinom,</w:t>
      </w:r>
      <w:r w:rsidR="00E83F4F" w:rsidRPr="000D3D7F">
        <w:rPr>
          <w:szCs w:val="22"/>
          <w:lang w:val="sr-Latn-ME"/>
        </w:rPr>
        <w:t xml:space="preserve"> </w:t>
      </w:r>
      <w:r w:rsidRPr="000D3D7F">
        <w:rPr>
          <w:szCs w:val="22"/>
          <w:lang w:val="sr-Latn-ME"/>
        </w:rPr>
        <w:t>vinkristinom i prednizonom (R-CHOP; n= 244) kod odraslih pacijenata sa MCL-om (stepen II, III ili IV) koji</w:t>
      </w:r>
      <w:r w:rsidR="00E83F4F" w:rsidRPr="000D3D7F">
        <w:rPr>
          <w:szCs w:val="22"/>
          <w:lang w:val="sr-Latn-ME"/>
        </w:rPr>
        <w:t xml:space="preserve"> </w:t>
      </w:r>
      <w:r w:rsidRPr="000D3D7F">
        <w:rPr>
          <w:szCs w:val="22"/>
          <w:lang w:val="sr-Latn-ME"/>
        </w:rPr>
        <w:t>prethodno ni</w:t>
      </w:r>
      <w:r w:rsidR="001E1F5A" w:rsidRPr="000D3D7F">
        <w:rPr>
          <w:szCs w:val="22"/>
          <w:lang w:val="sr-Latn-ME"/>
        </w:rPr>
        <w:t>je</w:t>
      </w:r>
      <w:r w:rsidRPr="000D3D7F">
        <w:rPr>
          <w:szCs w:val="22"/>
          <w:lang w:val="sr-Latn-ME"/>
        </w:rPr>
        <w:t>su l</w:t>
      </w:r>
      <w:r w:rsidR="00351ADF" w:rsidRPr="000D3D7F">
        <w:rPr>
          <w:szCs w:val="22"/>
          <w:lang w:val="sr-Latn-ME"/>
        </w:rPr>
        <w:t>ij</w:t>
      </w:r>
      <w:r w:rsidRPr="000D3D7F">
        <w:rPr>
          <w:szCs w:val="22"/>
          <w:lang w:val="sr-Latn-ME"/>
        </w:rPr>
        <w:t xml:space="preserve">ečeni. Pacijenti u </w:t>
      </w:r>
      <w:r w:rsidR="00943CA2" w:rsidRPr="000D3D7F">
        <w:rPr>
          <w:szCs w:val="22"/>
          <w:lang w:val="sr-Latn-ME"/>
        </w:rPr>
        <w:t>Bz</w:t>
      </w:r>
      <w:r w:rsidRPr="000D3D7F">
        <w:rPr>
          <w:szCs w:val="22"/>
          <w:lang w:val="sr-Latn-ME"/>
        </w:rPr>
        <w:t xml:space="preserve">R-CAP grupi su primali </w:t>
      </w:r>
      <w:r w:rsidR="00627301" w:rsidRPr="000D3D7F">
        <w:rPr>
          <w:szCs w:val="22"/>
          <w:lang w:val="sr-Latn-ME"/>
        </w:rPr>
        <w:t xml:space="preserve">bortezomib </w:t>
      </w:r>
      <w:r w:rsidRPr="000D3D7F">
        <w:rPr>
          <w:szCs w:val="22"/>
          <w:lang w:val="sr-Latn-ME"/>
        </w:rPr>
        <w:t>(1,3mg/m</w:t>
      </w:r>
      <w:r w:rsidRPr="000D3D7F">
        <w:rPr>
          <w:szCs w:val="22"/>
          <w:vertAlign w:val="superscript"/>
          <w:lang w:val="sr-Latn-ME"/>
        </w:rPr>
        <w:t>2</w:t>
      </w:r>
      <w:r w:rsidRPr="000D3D7F">
        <w:rPr>
          <w:szCs w:val="22"/>
          <w:lang w:val="sr-Latn-ME"/>
        </w:rPr>
        <w:t>; u 1,4,8,11 dana, period</w:t>
      </w:r>
      <w:r w:rsidR="00E83F4F" w:rsidRPr="000D3D7F">
        <w:rPr>
          <w:szCs w:val="22"/>
          <w:lang w:val="sr-Latn-ME"/>
        </w:rPr>
        <w:t xml:space="preserve"> </w:t>
      </w:r>
      <w:r w:rsidRPr="000D3D7F">
        <w:rPr>
          <w:szCs w:val="22"/>
          <w:lang w:val="sr-Latn-ME"/>
        </w:rPr>
        <w:t>odmora 12-21 dana), rituksimab 375mg/m</w:t>
      </w:r>
      <w:r w:rsidRPr="000D3D7F">
        <w:rPr>
          <w:szCs w:val="22"/>
          <w:vertAlign w:val="superscript"/>
          <w:lang w:val="sr-Latn-ME"/>
        </w:rPr>
        <w:t>2</w:t>
      </w:r>
      <w:r w:rsidRPr="000D3D7F">
        <w:rPr>
          <w:szCs w:val="22"/>
          <w:lang w:val="sr-Latn-ME"/>
        </w:rPr>
        <w:t xml:space="preserve"> prvog dana; ciklofosfamid 750mg/m</w:t>
      </w:r>
      <w:r w:rsidRPr="000D3D7F">
        <w:rPr>
          <w:szCs w:val="22"/>
          <w:vertAlign w:val="superscript"/>
          <w:lang w:val="sr-Latn-ME"/>
        </w:rPr>
        <w:t>2</w:t>
      </w:r>
      <w:r w:rsidRPr="000D3D7F">
        <w:rPr>
          <w:szCs w:val="22"/>
          <w:lang w:val="sr-Latn-ME"/>
        </w:rPr>
        <w:t xml:space="preserve"> I.V. prvog dana;</w:t>
      </w:r>
      <w:r w:rsidR="00E83F4F" w:rsidRPr="000D3D7F">
        <w:rPr>
          <w:szCs w:val="22"/>
          <w:lang w:val="sr-Latn-ME"/>
        </w:rPr>
        <w:t xml:space="preserve"> </w:t>
      </w:r>
      <w:r w:rsidRPr="000D3D7F">
        <w:rPr>
          <w:szCs w:val="22"/>
          <w:lang w:val="sr-Latn-ME"/>
        </w:rPr>
        <w:t>doksorubicin 50mg/m</w:t>
      </w:r>
      <w:r w:rsidRPr="000D3D7F">
        <w:rPr>
          <w:szCs w:val="22"/>
          <w:vertAlign w:val="superscript"/>
          <w:lang w:val="sr-Latn-ME"/>
        </w:rPr>
        <w:t>2</w:t>
      </w:r>
      <w:r w:rsidRPr="000D3D7F">
        <w:rPr>
          <w:szCs w:val="22"/>
          <w:lang w:val="sr-Latn-ME"/>
        </w:rPr>
        <w:t xml:space="preserve"> I.V. prvog dana; i prednizon 100mg/m</w:t>
      </w:r>
      <w:r w:rsidRPr="000D3D7F">
        <w:rPr>
          <w:szCs w:val="22"/>
          <w:vertAlign w:val="superscript"/>
          <w:lang w:val="sr-Latn-ME"/>
        </w:rPr>
        <w:t>2</w:t>
      </w:r>
      <w:r w:rsidRPr="000D3D7F">
        <w:rPr>
          <w:szCs w:val="22"/>
          <w:lang w:val="sr-Latn-ME"/>
        </w:rPr>
        <w:t xml:space="preserve"> oralno 1. do 5. dana </w:t>
      </w:r>
      <w:r w:rsidR="00627301" w:rsidRPr="000D3D7F">
        <w:rPr>
          <w:szCs w:val="22"/>
          <w:lang w:val="sr-Latn-ME"/>
        </w:rPr>
        <w:t xml:space="preserve">bortezomib </w:t>
      </w:r>
      <w:r w:rsidRPr="000D3D7F">
        <w:rPr>
          <w:szCs w:val="22"/>
          <w:lang w:val="sr-Latn-ME"/>
        </w:rPr>
        <w:t>terapijskg</w:t>
      </w:r>
      <w:r w:rsidR="00E83F4F" w:rsidRPr="000D3D7F">
        <w:rPr>
          <w:szCs w:val="22"/>
          <w:lang w:val="sr-Latn-ME"/>
        </w:rPr>
        <w:t xml:space="preserve"> </w:t>
      </w:r>
      <w:r w:rsidRPr="000D3D7F">
        <w:rPr>
          <w:szCs w:val="22"/>
          <w:lang w:val="sr-Latn-ME"/>
        </w:rPr>
        <w:t>ciklusa koji traje 21 dan. Pacijentima kojima je prvi odgovor zab</w:t>
      </w:r>
      <w:r w:rsidR="00351ADF" w:rsidRPr="000D3D7F">
        <w:rPr>
          <w:szCs w:val="22"/>
          <w:lang w:val="sr-Latn-ME"/>
        </w:rPr>
        <w:t>i</w:t>
      </w:r>
      <w:r w:rsidRPr="000D3D7F">
        <w:rPr>
          <w:szCs w:val="22"/>
          <w:lang w:val="sr-Latn-ME"/>
        </w:rPr>
        <w:t>l</w:t>
      </w:r>
      <w:r w:rsidR="00351ADF" w:rsidRPr="000D3D7F">
        <w:rPr>
          <w:szCs w:val="22"/>
          <w:lang w:val="sr-Latn-ME"/>
        </w:rPr>
        <w:t>j</w:t>
      </w:r>
      <w:r w:rsidRPr="000D3D7F">
        <w:rPr>
          <w:szCs w:val="22"/>
          <w:lang w:val="sr-Latn-ME"/>
        </w:rPr>
        <w:t>ežen u 6 ciklusu, prim</w:t>
      </w:r>
      <w:r w:rsidR="00351ADF" w:rsidRPr="000D3D7F">
        <w:rPr>
          <w:szCs w:val="22"/>
          <w:lang w:val="sr-Latn-ME"/>
        </w:rPr>
        <w:t>ij</w:t>
      </w:r>
      <w:r w:rsidRPr="000D3D7F">
        <w:rPr>
          <w:szCs w:val="22"/>
          <w:lang w:val="sr-Latn-ME"/>
        </w:rPr>
        <w:t>enjena su dva</w:t>
      </w:r>
      <w:r w:rsidR="00E83F4F" w:rsidRPr="000D3D7F">
        <w:rPr>
          <w:szCs w:val="22"/>
          <w:lang w:val="sr-Latn-ME"/>
        </w:rPr>
        <w:t xml:space="preserve"> </w:t>
      </w:r>
      <w:r w:rsidRPr="000D3D7F">
        <w:rPr>
          <w:szCs w:val="22"/>
          <w:lang w:val="sr-Latn-ME"/>
        </w:rPr>
        <w:t>dodatna terapijska ciklusa.</w:t>
      </w:r>
    </w:p>
    <w:p w14:paraId="6638A2CA" w14:textId="4C9A8644" w:rsidR="009E39C5" w:rsidRPr="000D3D7F" w:rsidRDefault="009E39C5" w:rsidP="001E1F5A">
      <w:pPr>
        <w:rPr>
          <w:szCs w:val="22"/>
          <w:lang w:val="sr-Latn-ME"/>
        </w:rPr>
      </w:pPr>
      <w:r w:rsidRPr="000D3D7F">
        <w:rPr>
          <w:szCs w:val="22"/>
          <w:lang w:val="sr-Latn-ME"/>
        </w:rPr>
        <w:t>Primarni parametar praćenja efikasnosti je bilo preživljavanje bez progresije (PFS) zasnovano na izv</w:t>
      </w:r>
      <w:r w:rsidR="00351ADF" w:rsidRPr="000D3D7F">
        <w:rPr>
          <w:szCs w:val="22"/>
          <w:lang w:val="sr-Latn-ME"/>
        </w:rPr>
        <w:t>j</w:t>
      </w:r>
      <w:r w:rsidRPr="000D3D7F">
        <w:rPr>
          <w:szCs w:val="22"/>
          <w:lang w:val="sr-Latn-ME"/>
        </w:rPr>
        <w:t>eštaju</w:t>
      </w:r>
      <w:r w:rsidR="00E83F4F" w:rsidRPr="000D3D7F">
        <w:rPr>
          <w:szCs w:val="22"/>
          <w:lang w:val="sr-Latn-ME"/>
        </w:rPr>
        <w:t xml:space="preserve"> </w:t>
      </w:r>
      <w:r w:rsidRPr="000D3D7F">
        <w:rPr>
          <w:szCs w:val="22"/>
          <w:lang w:val="sr-Latn-ME"/>
        </w:rPr>
        <w:t>Nezavisnog komiteta za proc</w:t>
      </w:r>
      <w:r w:rsidR="00351ADF" w:rsidRPr="000D3D7F">
        <w:rPr>
          <w:szCs w:val="22"/>
          <w:lang w:val="sr-Latn-ME"/>
        </w:rPr>
        <w:t>j</w:t>
      </w:r>
      <w:r w:rsidRPr="000D3D7F">
        <w:rPr>
          <w:szCs w:val="22"/>
          <w:lang w:val="sr-Latn-ME"/>
        </w:rPr>
        <w:t xml:space="preserve">enu (engl. </w:t>
      </w:r>
      <w:r w:rsidRPr="000D3D7F">
        <w:rPr>
          <w:i/>
          <w:iCs/>
          <w:szCs w:val="22"/>
          <w:lang w:val="sr-Latn-ME"/>
        </w:rPr>
        <w:t>Indipendet Review Commitiee</w:t>
      </w:r>
      <w:r w:rsidRPr="000D3D7F">
        <w:rPr>
          <w:szCs w:val="22"/>
          <w:lang w:val="sr-Latn-ME"/>
        </w:rPr>
        <w:t>, IRC). Sekundarni parametri praćenja</w:t>
      </w:r>
      <w:r w:rsidR="00E83F4F" w:rsidRPr="000D3D7F">
        <w:rPr>
          <w:szCs w:val="22"/>
          <w:lang w:val="sr-Latn-ME"/>
        </w:rPr>
        <w:t xml:space="preserve"> </w:t>
      </w:r>
      <w:r w:rsidRPr="000D3D7F">
        <w:rPr>
          <w:szCs w:val="22"/>
          <w:lang w:val="sr-Latn-ME"/>
        </w:rPr>
        <w:t>su uključivali: vr</w:t>
      </w:r>
      <w:r w:rsidR="00351ADF" w:rsidRPr="000D3D7F">
        <w:rPr>
          <w:szCs w:val="22"/>
          <w:lang w:val="sr-Latn-ME"/>
        </w:rPr>
        <w:t>ij</w:t>
      </w:r>
      <w:r w:rsidRPr="000D3D7F">
        <w:rPr>
          <w:szCs w:val="22"/>
          <w:lang w:val="sr-Latn-ME"/>
        </w:rPr>
        <w:t>eme do progresije (TTP), vr</w:t>
      </w:r>
      <w:r w:rsidR="00351ADF" w:rsidRPr="000D3D7F">
        <w:rPr>
          <w:szCs w:val="22"/>
          <w:lang w:val="sr-Latn-ME"/>
        </w:rPr>
        <w:t>ij</w:t>
      </w:r>
      <w:r w:rsidRPr="000D3D7F">
        <w:rPr>
          <w:szCs w:val="22"/>
          <w:lang w:val="sr-Latn-ME"/>
        </w:rPr>
        <w:t>eme do sl</w:t>
      </w:r>
      <w:r w:rsidR="00351ADF" w:rsidRPr="000D3D7F">
        <w:rPr>
          <w:szCs w:val="22"/>
          <w:lang w:val="sr-Latn-ME"/>
        </w:rPr>
        <w:t>j</w:t>
      </w:r>
      <w:r w:rsidRPr="000D3D7F">
        <w:rPr>
          <w:szCs w:val="22"/>
          <w:lang w:val="sr-Latn-ME"/>
        </w:rPr>
        <w:t>edeće anti-limfom terapije (TNT), trajanje intervala</w:t>
      </w:r>
      <w:r w:rsidR="00E83F4F" w:rsidRPr="000D3D7F">
        <w:rPr>
          <w:szCs w:val="22"/>
          <w:lang w:val="sr-Latn-ME"/>
        </w:rPr>
        <w:t xml:space="preserve"> </w:t>
      </w:r>
      <w:r w:rsidRPr="000D3D7F">
        <w:rPr>
          <w:szCs w:val="22"/>
          <w:lang w:val="sr-Latn-ME"/>
        </w:rPr>
        <w:t>bez terapije (TFI), ukupni odgovor (ORR) i kompletan odgovor (CR/CRu), ukupno preživljavanje (OS) i</w:t>
      </w:r>
      <w:r w:rsidR="00E83F4F" w:rsidRPr="000D3D7F">
        <w:rPr>
          <w:szCs w:val="22"/>
          <w:lang w:val="sr-Latn-ME"/>
        </w:rPr>
        <w:t xml:space="preserve"> </w:t>
      </w:r>
      <w:r w:rsidRPr="000D3D7F">
        <w:rPr>
          <w:szCs w:val="22"/>
          <w:lang w:val="sr-Latn-ME"/>
        </w:rPr>
        <w:t>trajanje odgovora.</w:t>
      </w:r>
    </w:p>
    <w:p w14:paraId="680795B0" w14:textId="56DAC819" w:rsidR="009E39C5" w:rsidRPr="000D3D7F" w:rsidRDefault="009E39C5" w:rsidP="001E1F5A">
      <w:pPr>
        <w:rPr>
          <w:szCs w:val="22"/>
          <w:lang w:val="sr-Latn-ME"/>
        </w:rPr>
      </w:pPr>
      <w:r w:rsidRPr="000D3D7F">
        <w:rPr>
          <w:szCs w:val="22"/>
          <w:lang w:val="sr-Latn-ME"/>
        </w:rPr>
        <w:t>Demografski podaci i osnovne karakteristike bolesti su bile uopšteno dobro balansirane između dv</w:t>
      </w:r>
      <w:r w:rsidR="00351ADF" w:rsidRPr="000D3D7F">
        <w:rPr>
          <w:szCs w:val="22"/>
          <w:lang w:val="sr-Latn-ME"/>
        </w:rPr>
        <w:t>ij</w:t>
      </w:r>
      <w:r w:rsidRPr="000D3D7F">
        <w:rPr>
          <w:szCs w:val="22"/>
          <w:lang w:val="sr-Latn-ME"/>
        </w:rPr>
        <w:t>e</w:t>
      </w:r>
      <w:r w:rsidR="00E83F4F" w:rsidRPr="000D3D7F">
        <w:rPr>
          <w:szCs w:val="22"/>
          <w:lang w:val="sr-Latn-ME"/>
        </w:rPr>
        <w:t xml:space="preserve"> </w:t>
      </w:r>
      <w:r w:rsidRPr="000D3D7F">
        <w:rPr>
          <w:szCs w:val="22"/>
          <w:lang w:val="sr-Latn-ME"/>
        </w:rPr>
        <w:t>terapijske grupe: medijana starost pacijenata je bila 66 godina, 74% su bili muškog pola, 66% su bili b</w:t>
      </w:r>
      <w:r w:rsidR="00351ADF" w:rsidRPr="000D3D7F">
        <w:rPr>
          <w:szCs w:val="22"/>
          <w:lang w:val="sr-Latn-ME"/>
        </w:rPr>
        <w:t>ij</w:t>
      </w:r>
      <w:r w:rsidRPr="000D3D7F">
        <w:rPr>
          <w:szCs w:val="22"/>
          <w:lang w:val="sr-Latn-ME"/>
        </w:rPr>
        <w:t>elci i</w:t>
      </w:r>
      <w:r w:rsidR="00E83F4F" w:rsidRPr="000D3D7F">
        <w:rPr>
          <w:szCs w:val="22"/>
          <w:lang w:val="sr-Latn-ME"/>
        </w:rPr>
        <w:t xml:space="preserve"> </w:t>
      </w:r>
      <w:r w:rsidRPr="000D3D7F">
        <w:rPr>
          <w:szCs w:val="22"/>
          <w:lang w:val="sr-Latn-ME"/>
        </w:rPr>
        <w:t>32% azijati, 69% pacijenata je imalo pozitivan aspirat koštane srži i/ili pozitivnu biospiju koštane srži na</w:t>
      </w:r>
      <w:r w:rsidR="00E83F4F" w:rsidRPr="000D3D7F">
        <w:rPr>
          <w:szCs w:val="22"/>
          <w:lang w:val="sr-Latn-ME"/>
        </w:rPr>
        <w:t xml:space="preserve"> </w:t>
      </w:r>
      <w:r w:rsidRPr="000D3D7F">
        <w:rPr>
          <w:szCs w:val="22"/>
          <w:lang w:val="sr-Latn-ME"/>
        </w:rPr>
        <w:t>MCL, 54% pacijenata je imalo skor Internacionalnog Prognostičkog Faktora (engl. International prognostic</w:t>
      </w:r>
      <w:r w:rsidR="00E83F4F" w:rsidRPr="000D3D7F">
        <w:rPr>
          <w:szCs w:val="22"/>
          <w:lang w:val="sr-Latn-ME"/>
        </w:rPr>
        <w:t xml:space="preserve"> </w:t>
      </w:r>
      <w:r w:rsidRPr="000D3D7F">
        <w:rPr>
          <w:szCs w:val="22"/>
          <w:lang w:val="sr-Latn-ME"/>
        </w:rPr>
        <w:t>Index, IPI) ≥ 3 i 76% je imalo stadijum IV bolesti. Trajanje terapije (medijana=17 ned</w:t>
      </w:r>
      <w:r w:rsidR="00B90B43" w:rsidRPr="000D3D7F">
        <w:rPr>
          <w:szCs w:val="22"/>
          <w:lang w:val="sr-Latn-ME"/>
        </w:rPr>
        <w:t>j</w:t>
      </w:r>
      <w:r w:rsidRPr="000D3D7F">
        <w:rPr>
          <w:szCs w:val="22"/>
          <w:lang w:val="sr-Latn-ME"/>
        </w:rPr>
        <w:t>elja) i trajanje praćenja</w:t>
      </w:r>
      <w:r w:rsidR="00E83F4F" w:rsidRPr="000D3D7F">
        <w:rPr>
          <w:szCs w:val="22"/>
          <w:lang w:val="sr-Latn-ME"/>
        </w:rPr>
        <w:t xml:space="preserve"> </w:t>
      </w:r>
      <w:r w:rsidRPr="000D3D7F">
        <w:rPr>
          <w:szCs w:val="22"/>
          <w:lang w:val="sr-Latn-ME"/>
        </w:rPr>
        <w:t>(medijana=40 m</w:t>
      </w:r>
      <w:r w:rsidR="00351ADF" w:rsidRPr="000D3D7F">
        <w:rPr>
          <w:szCs w:val="22"/>
          <w:lang w:val="sr-Latn-ME"/>
        </w:rPr>
        <w:t>j</w:t>
      </w:r>
      <w:r w:rsidRPr="000D3D7F">
        <w:rPr>
          <w:szCs w:val="22"/>
          <w:lang w:val="sr-Latn-ME"/>
        </w:rPr>
        <w:t>eseci) je bilo komparabilno u ob</w:t>
      </w:r>
      <w:r w:rsidR="00351ADF" w:rsidRPr="000D3D7F">
        <w:rPr>
          <w:szCs w:val="22"/>
          <w:lang w:val="sr-Latn-ME"/>
        </w:rPr>
        <w:t>j</w:t>
      </w:r>
      <w:r w:rsidRPr="000D3D7F">
        <w:rPr>
          <w:szCs w:val="22"/>
          <w:lang w:val="sr-Latn-ME"/>
        </w:rPr>
        <w:t>e terapijske grupe. Medijana od 6 ciklusa primili su pacijenti</w:t>
      </w:r>
      <w:r w:rsidR="00E83F4F" w:rsidRPr="000D3D7F">
        <w:rPr>
          <w:szCs w:val="22"/>
          <w:lang w:val="sr-Latn-ME"/>
        </w:rPr>
        <w:t xml:space="preserve"> </w:t>
      </w:r>
      <w:r w:rsidRPr="000D3D7F">
        <w:rPr>
          <w:szCs w:val="22"/>
          <w:lang w:val="sr-Latn-ME"/>
        </w:rPr>
        <w:t>u ob</w:t>
      </w:r>
      <w:r w:rsidR="00351ADF" w:rsidRPr="000D3D7F">
        <w:rPr>
          <w:szCs w:val="22"/>
          <w:lang w:val="sr-Latn-ME"/>
        </w:rPr>
        <w:t>j</w:t>
      </w:r>
      <w:r w:rsidRPr="000D3D7F">
        <w:rPr>
          <w:szCs w:val="22"/>
          <w:lang w:val="sr-Latn-ME"/>
        </w:rPr>
        <w:t>e terapijske grupe</w:t>
      </w:r>
      <w:r w:rsidR="00351ADF" w:rsidRPr="000D3D7F">
        <w:rPr>
          <w:szCs w:val="22"/>
          <w:lang w:val="sr-Latn-ME"/>
        </w:rPr>
        <w:t xml:space="preserve"> </w:t>
      </w:r>
      <w:r w:rsidRPr="000D3D7F">
        <w:rPr>
          <w:szCs w:val="22"/>
          <w:lang w:val="sr-Latn-ME"/>
        </w:rPr>
        <w:t xml:space="preserve">sa 14% ispitanika u </w:t>
      </w:r>
      <w:r w:rsidR="00251927" w:rsidRPr="000D3D7F">
        <w:rPr>
          <w:szCs w:val="22"/>
          <w:lang w:val="sr-Latn-ME"/>
        </w:rPr>
        <w:t>Bz</w:t>
      </w:r>
      <w:r w:rsidRPr="000D3D7F">
        <w:rPr>
          <w:szCs w:val="22"/>
          <w:lang w:val="sr-Latn-ME"/>
        </w:rPr>
        <w:t>R grupi i 17% pacijenata u R-CHOP grupi koji su dobili još dva</w:t>
      </w:r>
      <w:r w:rsidR="00E83F4F" w:rsidRPr="000D3D7F">
        <w:rPr>
          <w:szCs w:val="22"/>
          <w:lang w:val="sr-Latn-ME"/>
        </w:rPr>
        <w:t xml:space="preserve"> </w:t>
      </w:r>
      <w:r w:rsidRPr="000D3D7F">
        <w:rPr>
          <w:szCs w:val="22"/>
          <w:lang w:val="sr-Latn-ME"/>
        </w:rPr>
        <w:t>dodatna ciklusa. Većina pacijenata u ob</w:t>
      </w:r>
      <w:r w:rsidR="00351ADF" w:rsidRPr="000D3D7F">
        <w:rPr>
          <w:szCs w:val="22"/>
          <w:lang w:val="sr-Latn-ME"/>
        </w:rPr>
        <w:t>j</w:t>
      </w:r>
      <w:r w:rsidRPr="000D3D7F">
        <w:rPr>
          <w:szCs w:val="22"/>
          <w:lang w:val="sr-Latn-ME"/>
        </w:rPr>
        <w:t xml:space="preserve">e grupe je završila terapiju, 80% u </w:t>
      </w:r>
      <w:r w:rsidR="00251927" w:rsidRPr="000D3D7F">
        <w:rPr>
          <w:szCs w:val="22"/>
          <w:lang w:val="sr-Latn-ME"/>
        </w:rPr>
        <w:t>Bz</w:t>
      </w:r>
      <w:r w:rsidRPr="000D3D7F">
        <w:rPr>
          <w:szCs w:val="22"/>
          <w:lang w:val="sr-Latn-ME"/>
        </w:rPr>
        <w:t>R-CAP grupi i 82% u R-CHOP</w:t>
      </w:r>
      <w:r w:rsidR="00E83F4F" w:rsidRPr="000D3D7F">
        <w:rPr>
          <w:szCs w:val="22"/>
          <w:lang w:val="sr-Latn-ME"/>
        </w:rPr>
        <w:t xml:space="preserve"> </w:t>
      </w:r>
      <w:r w:rsidRPr="000D3D7F">
        <w:rPr>
          <w:szCs w:val="22"/>
          <w:lang w:val="sr-Latn-ME"/>
        </w:rPr>
        <w:t>grupi. Efikasnost je prikazana u Tabeli 16:</w:t>
      </w:r>
    </w:p>
    <w:p w14:paraId="690F8A33" w14:textId="77777777" w:rsidR="00627301" w:rsidRPr="000D3D7F" w:rsidRDefault="00627301" w:rsidP="001E1F5A">
      <w:pPr>
        <w:rPr>
          <w:szCs w:val="22"/>
          <w:lang w:val="sr-Latn-ME"/>
        </w:rPr>
      </w:pPr>
    </w:p>
    <w:p w14:paraId="5FE368CB" w14:textId="0606712F" w:rsidR="009E39C5" w:rsidRPr="000D3D7F" w:rsidRDefault="009E39C5" w:rsidP="001E1F5A">
      <w:pPr>
        <w:rPr>
          <w:szCs w:val="22"/>
          <w:lang w:val="sr-Latn-ME"/>
        </w:rPr>
      </w:pPr>
      <w:r w:rsidRPr="000D3D7F">
        <w:rPr>
          <w:i/>
          <w:iCs/>
          <w:szCs w:val="22"/>
          <w:lang w:val="sr-Latn-ME"/>
        </w:rPr>
        <w:t>Tabela 16: Rezultati efikasnosti iz studije LYM-3002</w:t>
      </w:r>
    </w:p>
    <w:tbl>
      <w:tblPr>
        <w:tblW w:w="9570" w:type="dxa"/>
        <w:tblInd w:w="112" w:type="dxa"/>
        <w:tblLayout w:type="fixed"/>
        <w:tblCellMar>
          <w:left w:w="0" w:type="dxa"/>
          <w:right w:w="0" w:type="dxa"/>
        </w:tblCellMar>
        <w:tblLook w:val="0000" w:firstRow="0" w:lastRow="0" w:firstColumn="0" w:lastColumn="0" w:noHBand="0" w:noVBand="0"/>
      </w:tblPr>
      <w:tblGrid>
        <w:gridCol w:w="2211"/>
        <w:gridCol w:w="1097"/>
        <w:gridCol w:w="760"/>
        <w:gridCol w:w="811"/>
        <w:gridCol w:w="1565"/>
        <w:gridCol w:w="2307"/>
        <w:gridCol w:w="819"/>
      </w:tblGrid>
      <w:tr w:rsidR="009E39C5" w:rsidRPr="000D3D7F" w14:paraId="4F3EA3A2" w14:textId="77777777" w:rsidTr="009E39C5">
        <w:trPr>
          <w:trHeight w:val="503"/>
        </w:trPr>
        <w:tc>
          <w:tcPr>
            <w:tcW w:w="3308" w:type="dxa"/>
            <w:gridSpan w:val="2"/>
            <w:tcBorders>
              <w:top w:val="single" w:sz="4" w:space="0" w:color="000000"/>
              <w:left w:val="single" w:sz="4" w:space="0" w:color="000000"/>
              <w:bottom w:val="single" w:sz="4" w:space="0" w:color="000000"/>
              <w:right w:val="single" w:sz="4" w:space="0" w:color="000000"/>
            </w:tcBorders>
          </w:tcPr>
          <w:p w14:paraId="079101EC" w14:textId="77777777" w:rsidR="009E39C5" w:rsidRPr="000D3D7F" w:rsidRDefault="009E39C5" w:rsidP="001E1F5A">
            <w:pPr>
              <w:rPr>
                <w:lang w:val="sr-Latn-ME"/>
              </w:rPr>
            </w:pPr>
            <w:r w:rsidRPr="000D3D7F">
              <w:rPr>
                <w:szCs w:val="22"/>
                <w:lang w:val="sr-Latn-ME"/>
              </w:rPr>
              <w:t>Parametar praćenja efikasnosti</w:t>
            </w:r>
          </w:p>
        </w:tc>
        <w:tc>
          <w:tcPr>
            <w:tcW w:w="1571" w:type="dxa"/>
            <w:gridSpan w:val="2"/>
            <w:tcBorders>
              <w:top w:val="single" w:sz="4" w:space="0" w:color="000000"/>
              <w:left w:val="single" w:sz="4" w:space="0" w:color="000000"/>
              <w:bottom w:val="single" w:sz="4" w:space="0" w:color="000000"/>
              <w:right w:val="single" w:sz="4" w:space="0" w:color="000000"/>
            </w:tcBorders>
          </w:tcPr>
          <w:p w14:paraId="610362BF" w14:textId="223B5634" w:rsidR="009E39C5" w:rsidRPr="000D3D7F" w:rsidRDefault="00251927" w:rsidP="001E1F5A">
            <w:pPr>
              <w:rPr>
                <w:b/>
                <w:bCs/>
                <w:lang w:val="sr-Latn-ME"/>
              </w:rPr>
            </w:pPr>
            <w:r w:rsidRPr="000D3D7F">
              <w:rPr>
                <w:b/>
                <w:bCs/>
                <w:szCs w:val="22"/>
                <w:lang w:val="sr-Latn-ME"/>
              </w:rPr>
              <w:t>Bz</w:t>
            </w:r>
            <w:r w:rsidR="009E39C5" w:rsidRPr="000D3D7F">
              <w:rPr>
                <w:b/>
                <w:bCs/>
                <w:szCs w:val="22"/>
                <w:lang w:val="sr-Latn-ME"/>
              </w:rPr>
              <w:t>R-CAP</w:t>
            </w:r>
          </w:p>
        </w:tc>
        <w:tc>
          <w:tcPr>
            <w:tcW w:w="1565" w:type="dxa"/>
            <w:tcBorders>
              <w:top w:val="single" w:sz="4" w:space="0" w:color="000000"/>
              <w:left w:val="single" w:sz="4" w:space="0" w:color="000000"/>
              <w:bottom w:val="single" w:sz="4" w:space="0" w:color="000000"/>
              <w:right w:val="single" w:sz="4" w:space="0" w:color="000000"/>
            </w:tcBorders>
          </w:tcPr>
          <w:p w14:paraId="59F01313" w14:textId="77777777" w:rsidR="009E39C5" w:rsidRPr="000D3D7F" w:rsidRDefault="009E39C5" w:rsidP="001E1F5A">
            <w:pPr>
              <w:rPr>
                <w:b/>
                <w:bCs/>
                <w:lang w:val="sr-Latn-ME"/>
              </w:rPr>
            </w:pPr>
            <w:r w:rsidRPr="000D3D7F">
              <w:rPr>
                <w:b/>
                <w:bCs/>
                <w:szCs w:val="22"/>
                <w:lang w:val="sr-Latn-ME"/>
              </w:rPr>
              <w:t>R-CHOP</w:t>
            </w:r>
          </w:p>
        </w:tc>
        <w:tc>
          <w:tcPr>
            <w:tcW w:w="3126" w:type="dxa"/>
            <w:gridSpan w:val="2"/>
            <w:vMerge w:val="restart"/>
            <w:tcBorders>
              <w:top w:val="single" w:sz="4" w:space="0" w:color="000000"/>
              <w:left w:val="single" w:sz="4" w:space="0" w:color="000000"/>
              <w:bottom w:val="single" w:sz="4" w:space="0" w:color="000000"/>
              <w:right w:val="single" w:sz="4" w:space="0" w:color="000000"/>
            </w:tcBorders>
          </w:tcPr>
          <w:p w14:paraId="6A18AA00" w14:textId="77777777" w:rsidR="009E39C5" w:rsidRPr="000D3D7F" w:rsidRDefault="009E39C5" w:rsidP="001E1F5A">
            <w:pPr>
              <w:rPr>
                <w:lang w:val="sr-Latn-ME"/>
              </w:rPr>
            </w:pPr>
          </w:p>
        </w:tc>
      </w:tr>
      <w:tr w:rsidR="009E39C5" w:rsidRPr="000D3D7F" w14:paraId="21714D52" w14:textId="77777777" w:rsidTr="009E39C5">
        <w:trPr>
          <w:trHeight w:val="253"/>
        </w:trPr>
        <w:tc>
          <w:tcPr>
            <w:tcW w:w="3308" w:type="dxa"/>
            <w:gridSpan w:val="2"/>
            <w:tcBorders>
              <w:top w:val="single" w:sz="4" w:space="0" w:color="000000"/>
              <w:left w:val="single" w:sz="4" w:space="0" w:color="000000"/>
              <w:bottom w:val="single" w:sz="4" w:space="0" w:color="000000"/>
              <w:right w:val="single" w:sz="4" w:space="0" w:color="000000"/>
            </w:tcBorders>
          </w:tcPr>
          <w:p w14:paraId="31184B54" w14:textId="77777777" w:rsidR="009E39C5" w:rsidRPr="000D3D7F" w:rsidRDefault="009E39C5" w:rsidP="001E1F5A">
            <w:pPr>
              <w:rPr>
                <w:lang w:val="sr-Latn-ME"/>
              </w:rPr>
            </w:pPr>
            <w:r w:rsidRPr="000D3D7F">
              <w:rPr>
                <w:szCs w:val="22"/>
                <w:lang w:val="sr-Latn-ME"/>
              </w:rPr>
              <w:t>n: ITT pacijenti</w:t>
            </w:r>
          </w:p>
        </w:tc>
        <w:tc>
          <w:tcPr>
            <w:tcW w:w="1571" w:type="dxa"/>
            <w:gridSpan w:val="2"/>
            <w:tcBorders>
              <w:top w:val="single" w:sz="4" w:space="0" w:color="000000"/>
              <w:left w:val="single" w:sz="4" w:space="0" w:color="000000"/>
              <w:bottom w:val="single" w:sz="4" w:space="0" w:color="000000"/>
              <w:right w:val="single" w:sz="4" w:space="0" w:color="000000"/>
            </w:tcBorders>
          </w:tcPr>
          <w:p w14:paraId="0C0EA851" w14:textId="77777777" w:rsidR="009E39C5" w:rsidRPr="000D3D7F" w:rsidRDefault="009E39C5" w:rsidP="001E1F5A">
            <w:pPr>
              <w:rPr>
                <w:lang w:val="sr-Latn-ME"/>
              </w:rPr>
            </w:pPr>
            <w:r w:rsidRPr="000D3D7F">
              <w:rPr>
                <w:szCs w:val="22"/>
                <w:u w:val="single"/>
                <w:lang w:val="sr-Latn-ME"/>
              </w:rPr>
              <w:t>243</w:t>
            </w:r>
          </w:p>
        </w:tc>
        <w:tc>
          <w:tcPr>
            <w:tcW w:w="1565" w:type="dxa"/>
            <w:tcBorders>
              <w:top w:val="single" w:sz="4" w:space="0" w:color="000000"/>
              <w:left w:val="single" w:sz="4" w:space="0" w:color="000000"/>
              <w:bottom w:val="single" w:sz="4" w:space="0" w:color="000000"/>
              <w:right w:val="single" w:sz="4" w:space="0" w:color="000000"/>
            </w:tcBorders>
          </w:tcPr>
          <w:p w14:paraId="295BD3E4" w14:textId="77777777" w:rsidR="009E39C5" w:rsidRPr="000D3D7F" w:rsidRDefault="009E39C5" w:rsidP="001E1F5A">
            <w:pPr>
              <w:rPr>
                <w:lang w:val="sr-Latn-ME"/>
              </w:rPr>
            </w:pPr>
            <w:r w:rsidRPr="000D3D7F">
              <w:rPr>
                <w:szCs w:val="22"/>
                <w:u w:val="single"/>
                <w:lang w:val="sr-Latn-ME"/>
              </w:rPr>
              <w:t>244</w:t>
            </w:r>
          </w:p>
        </w:tc>
        <w:tc>
          <w:tcPr>
            <w:tcW w:w="3126" w:type="dxa"/>
            <w:gridSpan w:val="2"/>
            <w:vMerge/>
            <w:tcBorders>
              <w:top w:val="nil"/>
              <w:left w:val="single" w:sz="4" w:space="0" w:color="000000"/>
              <w:bottom w:val="single" w:sz="4" w:space="0" w:color="000000"/>
              <w:right w:val="single" w:sz="4" w:space="0" w:color="000000"/>
            </w:tcBorders>
          </w:tcPr>
          <w:p w14:paraId="42DC889A" w14:textId="77777777" w:rsidR="009E39C5" w:rsidRPr="000D3D7F" w:rsidRDefault="009E39C5" w:rsidP="001E1F5A">
            <w:pPr>
              <w:rPr>
                <w:lang w:val="sr-Latn-ME"/>
              </w:rPr>
            </w:pPr>
          </w:p>
        </w:tc>
      </w:tr>
      <w:tr w:rsidR="009E39C5" w:rsidRPr="000D3D7F" w14:paraId="05088F0D" w14:textId="77777777" w:rsidTr="009E39C5">
        <w:trPr>
          <w:trHeight w:val="253"/>
        </w:trPr>
        <w:tc>
          <w:tcPr>
            <w:tcW w:w="9570" w:type="dxa"/>
            <w:gridSpan w:val="7"/>
            <w:tcBorders>
              <w:top w:val="single" w:sz="4" w:space="0" w:color="000000"/>
              <w:left w:val="single" w:sz="4" w:space="0" w:color="000000"/>
              <w:bottom w:val="single" w:sz="4" w:space="0" w:color="000000"/>
              <w:right w:val="single" w:sz="4" w:space="0" w:color="000000"/>
            </w:tcBorders>
          </w:tcPr>
          <w:p w14:paraId="12B0004F" w14:textId="77777777" w:rsidR="009E39C5" w:rsidRPr="000D3D7F" w:rsidRDefault="009E39C5" w:rsidP="001E1F5A">
            <w:pPr>
              <w:rPr>
                <w:b/>
                <w:bCs/>
                <w:vertAlign w:val="superscript"/>
                <w:lang w:val="sr-Latn-ME"/>
              </w:rPr>
            </w:pPr>
            <w:r w:rsidRPr="000D3D7F">
              <w:rPr>
                <w:b/>
                <w:bCs/>
                <w:szCs w:val="22"/>
                <w:lang w:val="sr-Latn-ME"/>
              </w:rPr>
              <w:t>Preživljavanje bez progresije (IRC)</w:t>
            </w:r>
            <w:r w:rsidRPr="000D3D7F">
              <w:rPr>
                <w:b/>
                <w:bCs/>
                <w:szCs w:val="22"/>
                <w:vertAlign w:val="superscript"/>
                <w:lang w:val="sr-Latn-ME"/>
              </w:rPr>
              <w:t>a</w:t>
            </w:r>
          </w:p>
        </w:tc>
      </w:tr>
      <w:tr w:rsidR="009E39C5" w:rsidRPr="000D3D7F" w14:paraId="7F92E0C0" w14:textId="77777777" w:rsidTr="009E39C5">
        <w:trPr>
          <w:trHeight w:val="249"/>
        </w:trPr>
        <w:tc>
          <w:tcPr>
            <w:tcW w:w="3308" w:type="dxa"/>
            <w:gridSpan w:val="2"/>
            <w:tcBorders>
              <w:top w:val="single" w:sz="4" w:space="0" w:color="000000"/>
              <w:left w:val="single" w:sz="4" w:space="0" w:color="000000"/>
              <w:bottom w:val="single" w:sz="4" w:space="0" w:color="000000"/>
              <w:right w:val="single" w:sz="4" w:space="0" w:color="000000"/>
            </w:tcBorders>
          </w:tcPr>
          <w:p w14:paraId="3464899D" w14:textId="77777777" w:rsidR="009E39C5" w:rsidRPr="000D3D7F" w:rsidRDefault="009E39C5" w:rsidP="001E1F5A">
            <w:pPr>
              <w:rPr>
                <w:lang w:val="sr-Latn-ME"/>
              </w:rPr>
            </w:pPr>
            <w:r w:rsidRPr="000D3D7F">
              <w:rPr>
                <w:szCs w:val="22"/>
                <w:lang w:val="sr-Latn-ME"/>
              </w:rPr>
              <w:t>Događaji n (%)</w:t>
            </w:r>
          </w:p>
        </w:tc>
        <w:tc>
          <w:tcPr>
            <w:tcW w:w="1571" w:type="dxa"/>
            <w:gridSpan w:val="2"/>
            <w:tcBorders>
              <w:top w:val="single" w:sz="4" w:space="0" w:color="000000"/>
              <w:left w:val="single" w:sz="4" w:space="0" w:color="000000"/>
              <w:bottom w:val="single" w:sz="4" w:space="0" w:color="000000"/>
              <w:right w:val="single" w:sz="4" w:space="0" w:color="000000"/>
            </w:tcBorders>
          </w:tcPr>
          <w:p w14:paraId="1000261A" w14:textId="77777777" w:rsidR="009E39C5" w:rsidRPr="000D3D7F" w:rsidRDefault="009E39C5" w:rsidP="001E1F5A">
            <w:pPr>
              <w:rPr>
                <w:lang w:val="sr-Latn-ME"/>
              </w:rPr>
            </w:pPr>
            <w:r w:rsidRPr="000D3D7F">
              <w:rPr>
                <w:szCs w:val="22"/>
                <w:lang w:val="sr-Latn-ME"/>
              </w:rPr>
              <w:t>133 (54,7%)</w:t>
            </w:r>
          </w:p>
        </w:tc>
        <w:tc>
          <w:tcPr>
            <w:tcW w:w="1565" w:type="dxa"/>
            <w:tcBorders>
              <w:top w:val="single" w:sz="4" w:space="0" w:color="000000"/>
              <w:left w:val="single" w:sz="4" w:space="0" w:color="000000"/>
              <w:bottom w:val="single" w:sz="4" w:space="0" w:color="000000"/>
              <w:right w:val="single" w:sz="4" w:space="0" w:color="000000"/>
            </w:tcBorders>
          </w:tcPr>
          <w:p w14:paraId="70C273A8" w14:textId="77777777" w:rsidR="009E39C5" w:rsidRPr="000D3D7F" w:rsidRDefault="009E39C5" w:rsidP="001E1F5A">
            <w:pPr>
              <w:rPr>
                <w:lang w:val="sr-Latn-ME"/>
              </w:rPr>
            </w:pPr>
            <w:r w:rsidRPr="000D3D7F">
              <w:rPr>
                <w:szCs w:val="22"/>
                <w:lang w:val="sr-Latn-ME"/>
              </w:rPr>
              <w:t>165 (67,6%)</w:t>
            </w:r>
          </w:p>
        </w:tc>
        <w:tc>
          <w:tcPr>
            <w:tcW w:w="3126" w:type="dxa"/>
            <w:gridSpan w:val="2"/>
            <w:vMerge w:val="restart"/>
            <w:tcBorders>
              <w:top w:val="single" w:sz="4" w:space="0" w:color="000000"/>
              <w:left w:val="single" w:sz="4" w:space="0" w:color="000000"/>
              <w:bottom w:val="single" w:sz="4" w:space="0" w:color="000000"/>
              <w:right w:val="single" w:sz="4" w:space="0" w:color="000000"/>
            </w:tcBorders>
          </w:tcPr>
          <w:p w14:paraId="6EDBE76B" w14:textId="77777777" w:rsidR="009E39C5" w:rsidRPr="000D3D7F" w:rsidRDefault="009E39C5" w:rsidP="001E1F5A">
            <w:pPr>
              <w:rPr>
                <w:lang w:val="sr-Latn-ME"/>
              </w:rPr>
            </w:pPr>
            <w:r w:rsidRPr="000D3D7F">
              <w:rPr>
                <w:szCs w:val="22"/>
                <w:lang w:val="sr-Latn-ME"/>
              </w:rPr>
              <w:t>HR</w:t>
            </w:r>
            <w:r w:rsidRPr="000D3D7F">
              <w:rPr>
                <w:szCs w:val="22"/>
                <w:vertAlign w:val="superscript"/>
                <w:lang w:val="sr-Latn-ME"/>
              </w:rPr>
              <w:t>b</w:t>
            </w:r>
            <w:r w:rsidRPr="000D3D7F">
              <w:rPr>
                <w:szCs w:val="22"/>
                <w:lang w:val="sr-Latn-ME"/>
              </w:rPr>
              <w:t xml:space="preserve"> (95% CI)= 0,63 (0,50; 0,79)</w:t>
            </w:r>
          </w:p>
          <w:p w14:paraId="0549E996" w14:textId="77777777" w:rsidR="009E39C5" w:rsidRPr="000D3D7F" w:rsidRDefault="009E39C5" w:rsidP="001E1F5A">
            <w:pPr>
              <w:rPr>
                <w:lang w:val="sr-Latn-ME"/>
              </w:rPr>
            </w:pPr>
            <w:r w:rsidRPr="000D3D7F">
              <w:rPr>
                <w:szCs w:val="22"/>
                <w:lang w:val="sr-Latn-ME"/>
              </w:rPr>
              <w:t>p-value</w:t>
            </w:r>
            <w:r w:rsidRPr="000D3D7F">
              <w:rPr>
                <w:szCs w:val="22"/>
                <w:vertAlign w:val="superscript"/>
                <w:lang w:val="sr-Latn-ME"/>
              </w:rPr>
              <w:t>d</w:t>
            </w:r>
            <w:r w:rsidRPr="000D3D7F">
              <w:rPr>
                <w:szCs w:val="22"/>
                <w:lang w:val="sr-Latn-ME"/>
              </w:rPr>
              <w:t xml:space="preserve"> &lt; 0,001</w:t>
            </w:r>
          </w:p>
        </w:tc>
      </w:tr>
      <w:tr w:rsidR="009E39C5" w:rsidRPr="000D3D7F" w14:paraId="5826D36A" w14:textId="77777777" w:rsidTr="009E39C5">
        <w:trPr>
          <w:trHeight w:val="508"/>
        </w:trPr>
        <w:tc>
          <w:tcPr>
            <w:tcW w:w="3308" w:type="dxa"/>
            <w:gridSpan w:val="2"/>
            <w:tcBorders>
              <w:top w:val="single" w:sz="4" w:space="0" w:color="000000"/>
              <w:left w:val="single" w:sz="4" w:space="0" w:color="000000"/>
              <w:bottom w:val="single" w:sz="4" w:space="0" w:color="000000"/>
              <w:right w:val="single" w:sz="4" w:space="0" w:color="000000"/>
            </w:tcBorders>
          </w:tcPr>
          <w:p w14:paraId="40C52DF8" w14:textId="7E66C702" w:rsidR="009E39C5" w:rsidRPr="000D3D7F" w:rsidRDefault="009E39C5" w:rsidP="001E1F5A">
            <w:pPr>
              <w:rPr>
                <w:lang w:val="sr-Latn-ME"/>
              </w:rPr>
            </w:pPr>
            <w:r w:rsidRPr="000D3D7F">
              <w:rPr>
                <w:szCs w:val="22"/>
                <w:lang w:val="sr-Latn-ME"/>
              </w:rPr>
              <w:t>Medijana</w:t>
            </w:r>
            <w:r w:rsidRPr="000D3D7F">
              <w:rPr>
                <w:szCs w:val="22"/>
                <w:vertAlign w:val="superscript"/>
                <w:lang w:val="sr-Latn-ME"/>
              </w:rPr>
              <w:t>c</w:t>
            </w:r>
            <w:r w:rsidRPr="000D3D7F">
              <w:rPr>
                <w:szCs w:val="22"/>
                <w:lang w:val="sr-Latn-ME"/>
              </w:rPr>
              <w:t xml:space="preserve"> (95% CI) (m</w:t>
            </w:r>
            <w:r w:rsidR="00351ADF" w:rsidRPr="000D3D7F">
              <w:rPr>
                <w:szCs w:val="22"/>
                <w:lang w:val="sr-Latn-ME"/>
              </w:rPr>
              <w:t>j</w:t>
            </w:r>
            <w:r w:rsidRPr="000D3D7F">
              <w:rPr>
                <w:szCs w:val="22"/>
                <w:lang w:val="sr-Latn-ME"/>
              </w:rPr>
              <w:t>eseci)</w:t>
            </w:r>
          </w:p>
        </w:tc>
        <w:tc>
          <w:tcPr>
            <w:tcW w:w="760" w:type="dxa"/>
            <w:tcBorders>
              <w:top w:val="single" w:sz="4" w:space="0" w:color="000000"/>
              <w:left w:val="single" w:sz="4" w:space="0" w:color="000000"/>
              <w:bottom w:val="single" w:sz="4" w:space="0" w:color="000000"/>
              <w:right w:val="none" w:sz="6" w:space="0" w:color="auto"/>
            </w:tcBorders>
          </w:tcPr>
          <w:p w14:paraId="6781659F" w14:textId="77777777" w:rsidR="009E39C5" w:rsidRPr="000D3D7F" w:rsidRDefault="009E39C5" w:rsidP="001E1F5A">
            <w:pPr>
              <w:rPr>
                <w:lang w:val="sr-Latn-ME"/>
              </w:rPr>
            </w:pPr>
            <w:r w:rsidRPr="000D3D7F">
              <w:rPr>
                <w:szCs w:val="22"/>
                <w:lang w:val="sr-Latn-ME"/>
              </w:rPr>
              <w:t>24,7</w:t>
            </w:r>
          </w:p>
          <w:p w14:paraId="6A247F7E" w14:textId="77777777" w:rsidR="009E39C5" w:rsidRPr="000D3D7F" w:rsidRDefault="009E39C5" w:rsidP="001E1F5A">
            <w:pPr>
              <w:rPr>
                <w:lang w:val="sr-Latn-ME"/>
              </w:rPr>
            </w:pPr>
            <w:r w:rsidRPr="000D3D7F">
              <w:rPr>
                <w:szCs w:val="22"/>
                <w:lang w:val="sr-Latn-ME"/>
              </w:rPr>
              <w:t>31,8)</w:t>
            </w:r>
          </w:p>
        </w:tc>
        <w:tc>
          <w:tcPr>
            <w:tcW w:w="811" w:type="dxa"/>
            <w:tcBorders>
              <w:top w:val="single" w:sz="4" w:space="0" w:color="000000"/>
              <w:left w:val="none" w:sz="6" w:space="0" w:color="auto"/>
              <w:bottom w:val="single" w:sz="4" w:space="0" w:color="000000"/>
              <w:right w:val="single" w:sz="4" w:space="0" w:color="000000"/>
            </w:tcBorders>
          </w:tcPr>
          <w:p w14:paraId="153BF2D9" w14:textId="77777777" w:rsidR="009E39C5" w:rsidRPr="000D3D7F" w:rsidRDefault="009E39C5" w:rsidP="001E1F5A">
            <w:pPr>
              <w:rPr>
                <w:lang w:val="sr-Latn-ME"/>
              </w:rPr>
            </w:pPr>
            <w:r w:rsidRPr="000D3D7F">
              <w:rPr>
                <w:szCs w:val="22"/>
                <w:lang w:val="sr-Latn-ME"/>
              </w:rPr>
              <w:t>(19,8;</w:t>
            </w:r>
          </w:p>
        </w:tc>
        <w:tc>
          <w:tcPr>
            <w:tcW w:w="1565" w:type="dxa"/>
            <w:tcBorders>
              <w:top w:val="single" w:sz="4" w:space="0" w:color="000000"/>
              <w:left w:val="single" w:sz="4" w:space="0" w:color="000000"/>
              <w:bottom w:val="single" w:sz="4" w:space="0" w:color="000000"/>
              <w:right w:val="single" w:sz="4" w:space="0" w:color="000000"/>
            </w:tcBorders>
          </w:tcPr>
          <w:p w14:paraId="37E01BCA" w14:textId="77777777" w:rsidR="009E39C5" w:rsidRPr="000D3D7F" w:rsidRDefault="009E39C5" w:rsidP="001E1F5A">
            <w:pPr>
              <w:rPr>
                <w:lang w:val="sr-Latn-ME"/>
              </w:rPr>
            </w:pPr>
            <w:r w:rsidRPr="000D3D7F">
              <w:rPr>
                <w:szCs w:val="22"/>
                <w:lang w:val="sr-Latn-ME"/>
              </w:rPr>
              <w:t>14,4 (12; 16,9)</w:t>
            </w:r>
          </w:p>
        </w:tc>
        <w:tc>
          <w:tcPr>
            <w:tcW w:w="3126" w:type="dxa"/>
            <w:gridSpan w:val="2"/>
            <w:vMerge/>
            <w:tcBorders>
              <w:top w:val="nil"/>
              <w:left w:val="single" w:sz="4" w:space="0" w:color="000000"/>
              <w:bottom w:val="single" w:sz="4" w:space="0" w:color="000000"/>
              <w:right w:val="single" w:sz="4" w:space="0" w:color="000000"/>
            </w:tcBorders>
          </w:tcPr>
          <w:p w14:paraId="2B96EDA0" w14:textId="77777777" w:rsidR="009E39C5" w:rsidRPr="000D3D7F" w:rsidRDefault="009E39C5" w:rsidP="001E1F5A">
            <w:pPr>
              <w:rPr>
                <w:lang w:val="sr-Latn-ME"/>
              </w:rPr>
            </w:pPr>
          </w:p>
        </w:tc>
      </w:tr>
      <w:tr w:rsidR="009E39C5" w:rsidRPr="000D3D7F" w14:paraId="04D4E918" w14:textId="77777777" w:rsidTr="009E39C5">
        <w:trPr>
          <w:trHeight w:val="253"/>
        </w:trPr>
        <w:tc>
          <w:tcPr>
            <w:tcW w:w="9570" w:type="dxa"/>
            <w:gridSpan w:val="7"/>
            <w:tcBorders>
              <w:top w:val="single" w:sz="4" w:space="0" w:color="000000"/>
              <w:left w:val="single" w:sz="4" w:space="0" w:color="000000"/>
              <w:bottom w:val="single" w:sz="4" w:space="0" w:color="000000"/>
              <w:right w:val="single" w:sz="4" w:space="0" w:color="000000"/>
            </w:tcBorders>
          </w:tcPr>
          <w:p w14:paraId="64895D80" w14:textId="77777777" w:rsidR="009E39C5" w:rsidRPr="000D3D7F" w:rsidRDefault="009E39C5" w:rsidP="001E1F5A">
            <w:pPr>
              <w:rPr>
                <w:b/>
                <w:bCs/>
                <w:lang w:val="sr-Latn-ME"/>
              </w:rPr>
            </w:pPr>
            <w:r w:rsidRPr="000D3D7F">
              <w:rPr>
                <w:b/>
                <w:bCs/>
                <w:szCs w:val="22"/>
                <w:lang w:val="sr-Latn-ME"/>
              </w:rPr>
              <w:t>Stepen odgovora</w:t>
            </w:r>
          </w:p>
        </w:tc>
      </w:tr>
      <w:tr w:rsidR="009E39C5" w:rsidRPr="000D3D7F" w14:paraId="036D53AD" w14:textId="77777777" w:rsidTr="009E39C5">
        <w:trPr>
          <w:trHeight w:val="253"/>
        </w:trPr>
        <w:tc>
          <w:tcPr>
            <w:tcW w:w="3308" w:type="dxa"/>
            <w:gridSpan w:val="2"/>
            <w:tcBorders>
              <w:top w:val="single" w:sz="4" w:space="0" w:color="000000"/>
              <w:left w:val="single" w:sz="4" w:space="0" w:color="000000"/>
              <w:bottom w:val="single" w:sz="4" w:space="0" w:color="000000"/>
              <w:right w:val="single" w:sz="4" w:space="0" w:color="000000"/>
            </w:tcBorders>
          </w:tcPr>
          <w:p w14:paraId="76FEFF47" w14:textId="47ED8F3D" w:rsidR="009E39C5" w:rsidRPr="000D3D7F" w:rsidRDefault="009E39C5" w:rsidP="001E1F5A">
            <w:pPr>
              <w:rPr>
                <w:lang w:val="sr-Latn-ME"/>
              </w:rPr>
            </w:pPr>
            <w:r w:rsidRPr="000D3D7F">
              <w:rPr>
                <w:szCs w:val="22"/>
                <w:lang w:val="sr-Latn-ME"/>
              </w:rPr>
              <w:t>n: odgovori: proc</w:t>
            </w:r>
            <w:r w:rsidR="00351ADF" w:rsidRPr="000D3D7F">
              <w:rPr>
                <w:szCs w:val="22"/>
                <w:lang w:val="sr-Latn-ME"/>
              </w:rPr>
              <w:t>j</w:t>
            </w:r>
            <w:r w:rsidRPr="000D3D7F">
              <w:rPr>
                <w:szCs w:val="22"/>
                <w:lang w:val="sr-Latn-ME"/>
              </w:rPr>
              <w:t>enjivani pacijenti</w:t>
            </w:r>
          </w:p>
        </w:tc>
        <w:tc>
          <w:tcPr>
            <w:tcW w:w="1571" w:type="dxa"/>
            <w:gridSpan w:val="2"/>
            <w:tcBorders>
              <w:top w:val="single" w:sz="4" w:space="0" w:color="000000"/>
              <w:left w:val="single" w:sz="4" w:space="0" w:color="000000"/>
              <w:bottom w:val="single" w:sz="4" w:space="0" w:color="000000"/>
              <w:right w:val="single" w:sz="4" w:space="0" w:color="000000"/>
            </w:tcBorders>
          </w:tcPr>
          <w:p w14:paraId="2F944486" w14:textId="77777777" w:rsidR="009E39C5" w:rsidRPr="000D3D7F" w:rsidRDefault="009E39C5" w:rsidP="001E1F5A">
            <w:pPr>
              <w:rPr>
                <w:lang w:val="sr-Latn-ME"/>
              </w:rPr>
            </w:pPr>
            <w:r w:rsidRPr="000D3D7F">
              <w:rPr>
                <w:szCs w:val="22"/>
                <w:lang w:val="sr-Latn-ME"/>
              </w:rPr>
              <w:t>229</w:t>
            </w:r>
          </w:p>
        </w:tc>
        <w:tc>
          <w:tcPr>
            <w:tcW w:w="1565" w:type="dxa"/>
            <w:tcBorders>
              <w:top w:val="single" w:sz="4" w:space="0" w:color="000000"/>
              <w:left w:val="single" w:sz="4" w:space="0" w:color="000000"/>
              <w:bottom w:val="single" w:sz="4" w:space="0" w:color="000000"/>
              <w:right w:val="single" w:sz="4" w:space="0" w:color="000000"/>
            </w:tcBorders>
          </w:tcPr>
          <w:p w14:paraId="66159AB9" w14:textId="77777777" w:rsidR="009E39C5" w:rsidRPr="000D3D7F" w:rsidRDefault="009E39C5" w:rsidP="001E1F5A">
            <w:pPr>
              <w:rPr>
                <w:lang w:val="sr-Latn-ME"/>
              </w:rPr>
            </w:pPr>
            <w:r w:rsidRPr="000D3D7F">
              <w:rPr>
                <w:szCs w:val="22"/>
                <w:lang w:val="sr-Latn-ME"/>
              </w:rPr>
              <w:t>228</w:t>
            </w:r>
          </w:p>
        </w:tc>
        <w:tc>
          <w:tcPr>
            <w:tcW w:w="3126" w:type="dxa"/>
            <w:gridSpan w:val="2"/>
            <w:tcBorders>
              <w:top w:val="single" w:sz="4" w:space="0" w:color="000000"/>
              <w:left w:val="single" w:sz="4" w:space="0" w:color="000000"/>
              <w:bottom w:val="single" w:sz="4" w:space="0" w:color="000000"/>
              <w:right w:val="single" w:sz="4" w:space="0" w:color="000000"/>
            </w:tcBorders>
          </w:tcPr>
          <w:p w14:paraId="65DDA770" w14:textId="77777777" w:rsidR="009E39C5" w:rsidRPr="000D3D7F" w:rsidRDefault="009E39C5" w:rsidP="001E1F5A">
            <w:pPr>
              <w:rPr>
                <w:lang w:val="sr-Latn-ME"/>
              </w:rPr>
            </w:pPr>
          </w:p>
        </w:tc>
      </w:tr>
      <w:tr w:rsidR="009E39C5" w:rsidRPr="000D3D7F" w14:paraId="34404078" w14:textId="77777777" w:rsidTr="009E39C5">
        <w:trPr>
          <w:trHeight w:val="758"/>
        </w:trPr>
        <w:tc>
          <w:tcPr>
            <w:tcW w:w="2211" w:type="dxa"/>
            <w:tcBorders>
              <w:top w:val="single" w:sz="4" w:space="0" w:color="000000"/>
              <w:left w:val="single" w:sz="4" w:space="0" w:color="000000"/>
              <w:bottom w:val="single" w:sz="4" w:space="0" w:color="000000"/>
              <w:right w:val="none" w:sz="6" w:space="0" w:color="auto"/>
            </w:tcBorders>
          </w:tcPr>
          <w:p w14:paraId="142FBB1D" w14:textId="77777777" w:rsidR="009E39C5" w:rsidRPr="000D3D7F" w:rsidRDefault="009E39C5" w:rsidP="001E1F5A">
            <w:pPr>
              <w:rPr>
                <w:i/>
                <w:iCs/>
                <w:lang w:val="sr-Latn-ME"/>
              </w:rPr>
            </w:pPr>
            <w:r w:rsidRPr="000D3D7F">
              <w:rPr>
                <w:i/>
                <w:iCs/>
                <w:szCs w:val="22"/>
                <w:lang w:val="sr-Latn-ME"/>
              </w:rPr>
              <w:t>Ukupni kompletni (CR+CRu)</w:t>
            </w:r>
            <w:r w:rsidRPr="000D3D7F">
              <w:rPr>
                <w:szCs w:val="22"/>
                <w:vertAlign w:val="superscript"/>
                <w:lang w:val="sr-Latn-ME"/>
              </w:rPr>
              <w:t>f</w:t>
            </w:r>
            <w:r w:rsidRPr="000D3D7F">
              <w:rPr>
                <w:szCs w:val="22"/>
                <w:lang w:val="sr-Latn-ME"/>
              </w:rPr>
              <w:t xml:space="preserve"> </w:t>
            </w:r>
            <w:r w:rsidRPr="000D3D7F">
              <w:rPr>
                <w:i/>
                <w:iCs/>
                <w:szCs w:val="22"/>
                <w:lang w:val="sr-Latn-ME"/>
              </w:rPr>
              <w:t>n(%)</w:t>
            </w:r>
          </w:p>
        </w:tc>
        <w:tc>
          <w:tcPr>
            <w:tcW w:w="1097" w:type="dxa"/>
            <w:tcBorders>
              <w:top w:val="single" w:sz="4" w:space="0" w:color="000000"/>
              <w:left w:val="none" w:sz="6" w:space="0" w:color="auto"/>
              <w:bottom w:val="single" w:sz="4" w:space="0" w:color="000000"/>
              <w:right w:val="single" w:sz="4" w:space="0" w:color="000000"/>
            </w:tcBorders>
          </w:tcPr>
          <w:p w14:paraId="062A01E8" w14:textId="77777777" w:rsidR="009E39C5" w:rsidRPr="000D3D7F" w:rsidRDefault="009E39C5" w:rsidP="001E1F5A">
            <w:pPr>
              <w:rPr>
                <w:i/>
                <w:iCs/>
                <w:lang w:val="sr-Latn-ME"/>
              </w:rPr>
            </w:pPr>
            <w:r w:rsidRPr="000D3D7F">
              <w:rPr>
                <w:i/>
                <w:iCs/>
                <w:szCs w:val="22"/>
                <w:lang w:val="sr-Latn-ME"/>
              </w:rPr>
              <w:t>odgovori</w:t>
            </w:r>
          </w:p>
        </w:tc>
        <w:tc>
          <w:tcPr>
            <w:tcW w:w="1571" w:type="dxa"/>
            <w:gridSpan w:val="2"/>
            <w:tcBorders>
              <w:top w:val="single" w:sz="4" w:space="0" w:color="000000"/>
              <w:left w:val="single" w:sz="4" w:space="0" w:color="000000"/>
              <w:bottom w:val="single" w:sz="4" w:space="0" w:color="000000"/>
              <w:right w:val="single" w:sz="4" w:space="0" w:color="000000"/>
            </w:tcBorders>
          </w:tcPr>
          <w:p w14:paraId="1497E7DE" w14:textId="77777777" w:rsidR="009E39C5" w:rsidRPr="000D3D7F" w:rsidRDefault="009E39C5" w:rsidP="001E1F5A">
            <w:pPr>
              <w:rPr>
                <w:lang w:val="sr-Latn-ME"/>
              </w:rPr>
            </w:pPr>
            <w:r w:rsidRPr="000D3D7F">
              <w:rPr>
                <w:szCs w:val="22"/>
                <w:lang w:val="sr-Latn-ME"/>
              </w:rPr>
              <w:t>122 (53,3%)</w:t>
            </w:r>
          </w:p>
        </w:tc>
        <w:tc>
          <w:tcPr>
            <w:tcW w:w="1565" w:type="dxa"/>
            <w:tcBorders>
              <w:top w:val="single" w:sz="4" w:space="0" w:color="000000"/>
              <w:left w:val="single" w:sz="4" w:space="0" w:color="000000"/>
              <w:bottom w:val="single" w:sz="4" w:space="0" w:color="000000"/>
              <w:right w:val="single" w:sz="4" w:space="0" w:color="000000"/>
            </w:tcBorders>
          </w:tcPr>
          <w:p w14:paraId="22A6E72C" w14:textId="77777777" w:rsidR="009E39C5" w:rsidRPr="000D3D7F" w:rsidRDefault="009E39C5" w:rsidP="001E1F5A">
            <w:pPr>
              <w:rPr>
                <w:lang w:val="sr-Latn-ME"/>
              </w:rPr>
            </w:pPr>
            <w:r w:rsidRPr="000D3D7F">
              <w:rPr>
                <w:szCs w:val="22"/>
                <w:lang w:val="sr-Latn-ME"/>
              </w:rPr>
              <w:t>95 (41,7%)</w:t>
            </w:r>
          </w:p>
        </w:tc>
        <w:tc>
          <w:tcPr>
            <w:tcW w:w="2307" w:type="dxa"/>
            <w:tcBorders>
              <w:top w:val="single" w:sz="4" w:space="0" w:color="000000"/>
              <w:left w:val="single" w:sz="4" w:space="0" w:color="000000"/>
              <w:bottom w:val="single" w:sz="4" w:space="0" w:color="000000"/>
              <w:right w:val="none" w:sz="6" w:space="0" w:color="auto"/>
            </w:tcBorders>
          </w:tcPr>
          <w:p w14:paraId="77FF4D4F" w14:textId="77777777" w:rsidR="009E39C5" w:rsidRPr="000D3D7F" w:rsidRDefault="009E39C5" w:rsidP="001E1F5A">
            <w:pPr>
              <w:rPr>
                <w:lang w:val="sr-Latn-ME"/>
              </w:rPr>
            </w:pPr>
            <w:r w:rsidRPr="000D3D7F">
              <w:rPr>
                <w:szCs w:val="22"/>
                <w:lang w:val="sr-Latn-ME"/>
              </w:rPr>
              <w:t>OR</w:t>
            </w:r>
            <w:r w:rsidRPr="000D3D7F">
              <w:rPr>
                <w:szCs w:val="22"/>
                <w:vertAlign w:val="superscript"/>
                <w:lang w:val="sr-Latn-ME"/>
              </w:rPr>
              <w:t>e</w:t>
            </w:r>
            <w:r w:rsidRPr="000D3D7F">
              <w:rPr>
                <w:szCs w:val="22"/>
                <w:lang w:val="sr-Latn-ME"/>
              </w:rPr>
              <w:t xml:space="preserve"> (95% CI)=1,688</w:t>
            </w:r>
          </w:p>
          <w:p w14:paraId="1845D719" w14:textId="77777777" w:rsidR="009E39C5" w:rsidRPr="000D3D7F" w:rsidRDefault="009E39C5" w:rsidP="001E1F5A">
            <w:pPr>
              <w:rPr>
                <w:lang w:val="sr-Latn-ME"/>
              </w:rPr>
            </w:pPr>
            <w:r w:rsidRPr="000D3D7F">
              <w:rPr>
                <w:szCs w:val="22"/>
                <w:lang w:val="sr-Latn-ME"/>
              </w:rPr>
              <w:t>2,481)</w:t>
            </w:r>
          </w:p>
          <w:p w14:paraId="4A599640" w14:textId="4138714C" w:rsidR="009E39C5" w:rsidRPr="000D3D7F" w:rsidRDefault="009E39C5" w:rsidP="001E1F5A">
            <w:pPr>
              <w:rPr>
                <w:lang w:val="sr-Latn-ME"/>
              </w:rPr>
            </w:pPr>
            <w:r w:rsidRPr="000D3D7F">
              <w:rPr>
                <w:szCs w:val="22"/>
                <w:lang w:val="sr-Latn-ME"/>
              </w:rPr>
              <w:t>p-vr</w:t>
            </w:r>
            <w:r w:rsidR="00351ADF" w:rsidRPr="000D3D7F">
              <w:rPr>
                <w:szCs w:val="22"/>
                <w:lang w:val="sr-Latn-ME"/>
              </w:rPr>
              <w:t>ij</w:t>
            </w:r>
            <w:r w:rsidRPr="000D3D7F">
              <w:rPr>
                <w:szCs w:val="22"/>
                <w:lang w:val="sr-Latn-ME"/>
              </w:rPr>
              <w:t>ednost</w:t>
            </w:r>
            <w:r w:rsidRPr="000D3D7F">
              <w:rPr>
                <w:szCs w:val="22"/>
                <w:vertAlign w:val="superscript"/>
                <w:lang w:val="sr-Latn-ME"/>
              </w:rPr>
              <w:t>g</w:t>
            </w:r>
            <w:r w:rsidRPr="000D3D7F">
              <w:rPr>
                <w:szCs w:val="22"/>
                <w:lang w:val="sr-Latn-ME"/>
              </w:rPr>
              <w:t>=0,007</w:t>
            </w:r>
          </w:p>
        </w:tc>
        <w:tc>
          <w:tcPr>
            <w:tcW w:w="819" w:type="dxa"/>
            <w:tcBorders>
              <w:top w:val="single" w:sz="4" w:space="0" w:color="000000"/>
              <w:left w:val="none" w:sz="6" w:space="0" w:color="auto"/>
              <w:bottom w:val="single" w:sz="4" w:space="0" w:color="000000"/>
              <w:right w:val="single" w:sz="4" w:space="0" w:color="000000"/>
            </w:tcBorders>
          </w:tcPr>
          <w:p w14:paraId="69E5E99E" w14:textId="77777777" w:rsidR="009E39C5" w:rsidRPr="000D3D7F" w:rsidRDefault="009E39C5" w:rsidP="001E1F5A">
            <w:pPr>
              <w:rPr>
                <w:lang w:val="sr-Latn-ME"/>
              </w:rPr>
            </w:pPr>
            <w:r w:rsidRPr="000D3D7F">
              <w:rPr>
                <w:szCs w:val="22"/>
                <w:lang w:val="sr-Latn-ME"/>
              </w:rPr>
              <w:t>(1,148;</w:t>
            </w:r>
          </w:p>
        </w:tc>
      </w:tr>
      <w:tr w:rsidR="009E39C5" w:rsidRPr="000D3D7F" w14:paraId="65E96C33" w14:textId="77777777" w:rsidTr="009E39C5">
        <w:trPr>
          <w:trHeight w:val="757"/>
        </w:trPr>
        <w:tc>
          <w:tcPr>
            <w:tcW w:w="3308" w:type="dxa"/>
            <w:gridSpan w:val="2"/>
            <w:tcBorders>
              <w:top w:val="single" w:sz="4" w:space="0" w:color="000000"/>
              <w:left w:val="single" w:sz="4" w:space="0" w:color="000000"/>
              <w:bottom w:val="single" w:sz="4" w:space="0" w:color="000000"/>
              <w:right w:val="single" w:sz="4" w:space="0" w:color="000000"/>
            </w:tcBorders>
          </w:tcPr>
          <w:p w14:paraId="1FF60EEB" w14:textId="77777777" w:rsidR="009E39C5" w:rsidRPr="000D3D7F" w:rsidRDefault="009E39C5" w:rsidP="001E1F5A">
            <w:pPr>
              <w:rPr>
                <w:i/>
                <w:iCs/>
                <w:lang w:val="sr-Latn-ME"/>
              </w:rPr>
            </w:pPr>
            <w:r w:rsidRPr="000D3D7F">
              <w:rPr>
                <w:i/>
                <w:iCs/>
                <w:szCs w:val="22"/>
                <w:lang w:val="sr-Latn-ME"/>
              </w:rPr>
              <w:t>Ukupni odgovori (CR+CRu+PR)</w:t>
            </w:r>
            <w:r w:rsidRPr="000D3D7F">
              <w:rPr>
                <w:i/>
                <w:iCs/>
                <w:szCs w:val="22"/>
                <w:vertAlign w:val="superscript"/>
                <w:lang w:val="sr-Latn-ME"/>
              </w:rPr>
              <w:t>h</w:t>
            </w:r>
            <w:r w:rsidRPr="000D3D7F">
              <w:rPr>
                <w:i/>
                <w:iCs/>
                <w:szCs w:val="22"/>
                <w:lang w:val="sr-Latn-ME"/>
              </w:rPr>
              <w:t xml:space="preserve"> n(%)</w:t>
            </w:r>
          </w:p>
        </w:tc>
        <w:tc>
          <w:tcPr>
            <w:tcW w:w="1571" w:type="dxa"/>
            <w:gridSpan w:val="2"/>
            <w:tcBorders>
              <w:top w:val="single" w:sz="4" w:space="0" w:color="000000"/>
              <w:left w:val="single" w:sz="4" w:space="0" w:color="000000"/>
              <w:bottom w:val="single" w:sz="4" w:space="0" w:color="000000"/>
              <w:right w:val="single" w:sz="4" w:space="0" w:color="000000"/>
            </w:tcBorders>
          </w:tcPr>
          <w:p w14:paraId="3DA7003F" w14:textId="77777777" w:rsidR="009E39C5" w:rsidRPr="000D3D7F" w:rsidRDefault="009E39C5" w:rsidP="001E1F5A">
            <w:pPr>
              <w:rPr>
                <w:lang w:val="sr-Latn-ME"/>
              </w:rPr>
            </w:pPr>
            <w:r w:rsidRPr="000D3D7F">
              <w:rPr>
                <w:szCs w:val="22"/>
                <w:lang w:val="sr-Latn-ME"/>
              </w:rPr>
              <w:t>211 (92,1%)</w:t>
            </w:r>
          </w:p>
        </w:tc>
        <w:tc>
          <w:tcPr>
            <w:tcW w:w="1565" w:type="dxa"/>
            <w:tcBorders>
              <w:top w:val="single" w:sz="4" w:space="0" w:color="000000"/>
              <w:left w:val="single" w:sz="4" w:space="0" w:color="000000"/>
              <w:bottom w:val="single" w:sz="4" w:space="0" w:color="000000"/>
              <w:right w:val="single" w:sz="4" w:space="0" w:color="000000"/>
            </w:tcBorders>
          </w:tcPr>
          <w:p w14:paraId="4AC1578A" w14:textId="77777777" w:rsidR="009E39C5" w:rsidRPr="000D3D7F" w:rsidRDefault="009E39C5" w:rsidP="001E1F5A">
            <w:pPr>
              <w:rPr>
                <w:lang w:val="sr-Latn-ME"/>
              </w:rPr>
            </w:pPr>
            <w:r w:rsidRPr="000D3D7F">
              <w:rPr>
                <w:szCs w:val="22"/>
                <w:lang w:val="sr-Latn-ME"/>
              </w:rPr>
              <w:t>204 (89,5%)</w:t>
            </w:r>
          </w:p>
        </w:tc>
        <w:tc>
          <w:tcPr>
            <w:tcW w:w="2307" w:type="dxa"/>
            <w:tcBorders>
              <w:top w:val="single" w:sz="4" w:space="0" w:color="000000"/>
              <w:left w:val="single" w:sz="4" w:space="0" w:color="000000"/>
              <w:bottom w:val="single" w:sz="4" w:space="0" w:color="000000"/>
              <w:right w:val="none" w:sz="6" w:space="0" w:color="auto"/>
            </w:tcBorders>
          </w:tcPr>
          <w:p w14:paraId="76481D20" w14:textId="77777777" w:rsidR="009E39C5" w:rsidRPr="000D3D7F" w:rsidRDefault="009E39C5" w:rsidP="001E1F5A">
            <w:pPr>
              <w:rPr>
                <w:lang w:val="sr-Latn-ME"/>
              </w:rPr>
            </w:pPr>
            <w:r w:rsidRPr="000D3D7F">
              <w:rPr>
                <w:szCs w:val="22"/>
                <w:lang w:val="sr-Latn-ME"/>
              </w:rPr>
              <w:t>OR</w:t>
            </w:r>
            <w:r w:rsidRPr="000D3D7F">
              <w:rPr>
                <w:szCs w:val="22"/>
                <w:vertAlign w:val="superscript"/>
                <w:lang w:val="sr-Latn-ME"/>
              </w:rPr>
              <w:t>e</w:t>
            </w:r>
            <w:r w:rsidRPr="000D3D7F">
              <w:rPr>
                <w:szCs w:val="22"/>
                <w:lang w:val="sr-Latn-ME"/>
              </w:rPr>
              <w:t xml:space="preserve"> (95% CI)</w:t>
            </w:r>
            <w:r w:rsidRPr="000D3D7F">
              <w:rPr>
                <w:b/>
                <w:bCs/>
                <w:szCs w:val="22"/>
                <w:lang w:val="sr-Latn-ME"/>
              </w:rPr>
              <w:t>=</w:t>
            </w:r>
            <w:r w:rsidRPr="000D3D7F">
              <w:rPr>
                <w:szCs w:val="22"/>
                <w:lang w:val="sr-Latn-ME"/>
              </w:rPr>
              <w:t>1,428</w:t>
            </w:r>
          </w:p>
          <w:p w14:paraId="47924637" w14:textId="77777777" w:rsidR="009E39C5" w:rsidRPr="000D3D7F" w:rsidRDefault="009E39C5" w:rsidP="001E1F5A">
            <w:pPr>
              <w:rPr>
                <w:lang w:val="sr-Latn-ME"/>
              </w:rPr>
            </w:pPr>
            <w:r w:rsidRPr="000D3D7F">
              <w:rPr>
                <w:szCs w:val="22"/>
                <w:lang w:val="sr-Latn-ME"/>
              </w:rPr>
              <w:t>2,722)</w:t>
            </w:r>
          </w:p>
          <w:p w14:paraId="519C93E8" w14:textId="389E9325" w:rsidR="009E39C5" w:rsidRPr="000D3D7F" w:rsidRDefault="009E39C5" w:rsidP="001E1F5A">
            <w:pPr>
              <w:rPr>
                <w:lang w:val="sr-Latn-ME"/>
              </w:rPr>
            </w:pPr>
            <w:r w:rsidRPr="000D3D7F">
              <w:rPr>
                <w:szCs w:val="22"/>
                <w:lang w:val="sr-Latn-ME"/>
              </w:rPr>
              <w:t>p-vr</w:t>
            </w:r>
            <w:r w:rsidR="00351ADF" w:rsidRPr="000D3D7F">
              <w:rPr>
                <w:szCs w:val="22"/>
                <w:lang w:val="sr-Latn-ME"/>
              </w:rPr>
              <w:t>ij</w:t>
            </w:r>
            <w:r w:rsidRPr="000D3D7F">
              <w:rPr>
                <w:szCs w:val="22"/>
                <w:lang w:val="sr-Latn-ME"/>
              </w:rPr>
              <w:t>ednost</w:t>
            </w:r>
            <w:r w:rsidRPr="000D3D7F">
              <w:rPr>
                <w:szCs w:val="22"/>
                <w:vertAlign w:val="superscript"/>
                <w:lang w:val="sr-Latn-ME"/>
              </w:rPr>
              <w:t>g</w:t>
            </w:r>
            <w:r w:rsidRPr="000D3D7F">
              <w:rPr>
                <w:szCs w:val="22"/>
                <w:lang w:val="sr-Latn-ME"/>
              </w:rPr>
              <w:t xml:space="preserve"> 5</w:t>
            </w:r>
          </w:p>
        </w:tc>
        <w:tc>
          <w:tcPr>
            <w:tcW w:w="819" w:type="dxa"/>
            <w:tcBorders>
              <w:top w:val="single" w:sz="4" w:space="0" w:color="000000"/>
              <w:left w:val="none" w:sz="6" w:space="0" w:color="auto"/>
              <w:bottom w:val="single" w:sz="4" w:space="0" w:color="000000"/>
              <w:right w:val="single" w:sz="4" w:space="0" w:color="000000"/>
            </w:tcBorders>
          </w:tcPr>
          <w:p w14:paraId="7EE302A5" w14:textId="77777777" w:rsidR="009E39C5" w:rsidRPr="000D3D7F" w:rsidRDefault="009E39C5" w:rsidP="001E1F5A">
            <w:pPr>
              <w:rPr>
                <w:lang w:val="sr-Latn-ME"/>
              </w:rPr>
            </w:pPr>
            <w:r w:rsidRPr="000D3D7F">
              <w:rPr>
                <w:szCs w:val="22"/>
                <w:lang w:val="sr-Latn-ME"/>
              </w:rPr>
              <w:t>(0,749;</w:t>
            </w:r>
          </w:p>
        </w:tc>
      </w:tr>
    </w:tbl>
    <w:p w14:paraId="59F84915" w14:textId="5DB60FE2" w:rsidR="009E39C5" w:rsidRPr="000D3D7F" w:rsidRDefault="009E39C5" w:rsidP="001E1F5A">
      <w:pPr>
        <w:rPr>
          <w:szCs w:val="22"/>
          <w:lang w:val="sr-Latn-ME"/>
        </w:rPr>
      </w:pPr>
      <w:r w:rsidRPr="000D3D7F">
        <w:rPr>
          <w:szCs w:val="22"/>
          <w:vertAlign w:val="superscript"/>
          <w:lang w:val="sr-Latn-ME"/>
        </w:rPr>
        <w:t>a</w:t>
      </w:r>
      <w:r w:rsidRPr="000D3D7F">
        <w:rPr>
          <w:szCs w:val="22"/>
          <w:lang w:val="sr-Latn-ME"/>
        </w:rPr>
        <w:t xml:space="preserve"> Na osnovu izv</w:t>
      </w:r>
      <w:r w:rsidR="00351ADF" w:rsidRPr="000D3D7F">
        <w:rPr>
          <w:szCs w:val="22"/>
          <w:lang w:val="sr-Latn-ME"/>
        </w:rPr>
        <w:t>j</w:t>
      </w:r>
      <w:r w:rsidRPr="000D3D7F">
        <w:rPr>
          <w:szCs w:val="22"/>
          <w:lang w:val="sr-Latn-ME"/>
        </w:rPr>
        <w:t>eštaja Nezavisnog komiteta za proc</w:t>
      </w:r>
      <w:r w:rsidR="00351ADF" w:rsidRPr="000D3D7F">
        <w:rPr>
          <w:szCs w:val="22"/>
          <w:lang w:val="sr-Latn-ME"/>
        </w:rPr>
        <w:t>j</w:t>
      </w:r>
      <w:r w:rsidRPr="000D3D7F">
        <w:rPr>
          <w:szCs w:val="22"/>
          <w:lang w:val="sr-Latn-ME"/>
        </w:rPr>
        <w:t>enu (IRC) (samo radiološki podaci)</w:t>
      </w:r>
    </w:p>
    <w:p w14:paraId="251898B3" w14:textId="2C8C29BE" w:rsidR="009E39C5" w:rsidRPr="000D3D7F" w:rsidRDefault="009E39C5" w:rsidP="001E1F5A">
      <w:pPr>
        <w:rPr>
          <w:szCs w:val="22"/>
          <w:lang w:val="sr-Latn-ME"/>
        </w:rPr>
      </w:pPr>
      <w:r w:rsidRPr="000D3D7F">
        <w:rPr>
          <w:szCs w:val="22"/>
          <w:vertAlign w:val="superscript"/>
          <w:lang w:val="sr-Latn-ME"/>
        </w:rPr>
        <w:t xml:space="preserve">b </w:t>
      </w:r>
      <w:r w:rsidRPr="000D3D7F">
        <w:rPr>
          <w:szCs w:val="22"/>
          <w:lang w:val="sr-Latn-ME"/>
        </w:rPr>
        <w:t>Proc</w:t>
      </w:r>
      <w:r w:rsidR="00351ADF" w:rsidRPr="000D3D7F">
        <w:rPr>
          <w:szCs w:val="22"/>
          <w:lang w:val="sr-Latn-ME"/>
        </w:rPr>
        <w:t>j</w:t>
      </w:r>
      <w:r w:rsidRPr="000D3D7F">
        <w:rPr>
          <w:szCs w:val="22"/>
          <w:lang w:val="sr-Latn-ME"/>
        </w:rPr>
        <w:t xml:space="preserve">ena </w:t>
      </w:r>
      <w:r w:rsidRPr="000D3D7F">
        <w:rPr>
          <w:i/>
          <w:iCs/>
          <w:szCs w:val="22"/>
          <w:lang w:val="sr-Latn-ME"/>
        </w:rPr>
        <w:t xml:space="preserve">hazard ratio </w:t>
      </w:r>
      <w:r w:rsidRPr="000D3D7F">
        <w:rPr>
          <w:szCs w:val="22"/>
          <w:lang w:val="sr-Latn-ME"/>
        </w:rPr>
        <w:t>(HR) je zasnovana na Cox modelu, prilagođena stratifikacijskim faktorima: IPI</w:t>
      </w:r>
    </w:p>
    <w:p w14:paraId="3BA6DE59" w14:textId="5966CAAD" w:rsidR="009E39C5" w:rsidRPr="000D3D7F" w:rsidRDefault="009E39C5" w:rsidP="001E1F5A">
      <w:pPr>
        <w:rPr>
          <w:szCs w:val="22"/>
          <w:lang w:val="sr-Latn-ME"/>
        </w:rPr>
      </w:pPr>
      <w:r w:rsidRPr="000D3D7F">
        <w:rPr>
          <w:szCs w:val="22"/>
          <w:lang w:val="sr-Latn-ME"/>
        </w:rPr>
        <w:t>rizik i stepen bolesti. Odnos rizika &lt; 1 indikuje prednost terapiji</w:t>
      </w:r>
      <w:r w:rsidR="00251927" w:rsidRPr="000D3D7F">
        <w:rPr>
          <w:szCs w:val="22"/>
          <w:lang w:val="sr-Latn-ME"/>
        </w:rPr>
        <w:t>Bz</w:t>
      </w:r>
      <w:r w:rsidRPr="000D3D7F">
        <w:rPr>
          <w:szCs w:val="22"/>
          <w:lang w:val="sr-Latn-ME"/>
        </w:rPr>
        <w:t>R-CAP.</w:t>
      </w:r>
    </w:p>
    <w:p w14:paraId="0BACD593" w14:textId="182A334B" w:rsidR="009E39C5" w:rsidRPr="000D3D7F" w:rsidRDefault="009E39C5" w:rsidP="001E1F5A">
      <w:pPr>
        <w:rPr>
          <w:szCs w:val="22"/>
          <w:lang w:val="sr-Latn-ME"/>
        </w:rPr>
      </w:pPr>
      <w:r w:rsidRPr="000D3D7F">
        <w:rPr>
          <w:szCs w:val="22"/>
          <w:vertAlign w:val="superscript"/>
          <w:lang w:val="sr-Latn-ME"/>
        </w:rPr>
        <w:t xml:space="preserve">c </w:t>
      </w:r>
      <w:r w:rsidRPr="000D3D7F">
        <w:rPr>
          <w:szCs w:val="22"/>
          <w:lang w:val="sr-Latn-ME"/>
        </w:rPr>
        <w:t>Na osnovu Kaplan-Meier proc</w:t>
      </w:r>
      <w:r w:rsidR="00351ADF" w:rsidRPr="000D3D7F">
        <w:rPr>
          <w:szCs w:val="22"/>
          <w:lang w:val="sr-Latn-ME"/>
        </w:rPr>
        <w:t>j</w:t>
      </w:r>
      <w:r w:rsidRPr="000D3D7F">
        <w:rPr>
          <w:szCs w:val="22"/>
          <w:lang w:val="sr-Latn-ME"/>
        </w:rPr>
        <w:t>ene</w:t>
      </w:r>
    </w:p>
    <w:p w14:paraId="008A28B2" w14:textId="77777777" w:rsidR="009E39C5" w:rsidRPr="000D3D7F" w:rsidRDefault="009E39C5" w:rsidP="001E1F5A">
      <w:pPr>
        <w:rPr>
          <w:szCs w:val="22"/>
          <w:lang w:val="sr-Latn-ME"/>
        </w:rPr>
      </w:pPr>
      <w:r w:rsidRPr="000D3D7F">
        <w:rPr>
          <w:szCs w:val="22"/>
          <w:vertAlign w:val="superscript"/>
          <w:lang w:val="sr-Latn-ME"/>
        </w:rPr>
        <w:t>d</w:t>
      </w:r>
      <w:r w:rsidRPr="000D3D7F">
        <w:rPr>
          <w:szCs w:val="22"/>
          <w:lang w:val="sr-Latn-ME"/>
        </w:rPr>
        <w:t xml:space="preserve"> Na osnovu Log rank testu stratifikovanog IPI faktorom i stepenom bolesti</w:t>
      </w:r>
    </w:p>
    <w:p w14:paraId="79142D21" w14:textId="577A3B1E" w:rsidR="009E39C5" w:rsidRPr="000D3D7F" w:rsidRDefault="009E39C5" w:rsidP="001E1F5A">
      <w:pPr>
        <w:rPr>
          <w:szCs w:val="22"/>
          <w:lang w:val="sr-Latn-ME"/>
        </w:rPr>
      </w:pPr>
      <w:r w:rsidRPr="000D3D7F">
        <w:rPr>
          <w:szCs w:val="22"/>
          <w:vertAlign w:val="superscript"/>
          <w:lang w:val="sr-Latn-ME"/>
        </w:rPr>
        <w:t>e</w:t>
      </w:r>
      <w:r w:rsidRPr="000D3D7F">
        <w:rPr>
          <w:szCs w:val="22"/>
          <w:lang w:val="sr-Latn-ME"/>
        </w:rPr>
        <w:t xml:space="preserve"> Koristi se </w:t>
      </w:r>
      <w:r w:rsidRPr="000D3D7F">
        <w:rPr>
          <w:i/>
          <w:iCs/>
          <w:szCs w:val="22"/>
          <w:lang w:val="sr-Latn-ME"/>
        </w:rPr>
        <w:t xml:space="preserve">Mantel-Haenszel </w:t>
      </w:r>
      <w:r w:rsidRPr="000D3D7F">
        <w:rPr>
          <w:szCs w:val="22"/>
          <w:lang w:val="sr-Latn-ME"/>
        </w:rPr>
        <w:t>proc</w:t>
      </w:r>
      <w:r w:rsidR="004F2334" w:rsidRPr="000D3D7F">
        <w:rPr>
          <w:szCs w:val="22"/>
          <w:lang w:val="sr-Latn-ME"/>
        </w:rPr>
        <w:t>j</w:t>
      </w:r>
      <w:r w:rsidRPr="000D3D7F">
        <w:rPr>
          <w:szCs w:val="22"/>
          <w:lang w:val="sr-Latn-ME"/>
        </w:rPr>
        <w:t>ena ukupnog odgovora za stratifikovane tabele, sa IPI rizikom i</w:t>
      </w:r>
      <w:r w:rsidR="00E83F4F" w:rsidRPr="000D3D7F">
        <w:rPr>
          <w:szCs w:val="22"/>
          <w:lang w:val="sr-Latn-ME"/>
        </w:rPr>
        <w:t xml:space="preserve"> </w:t>
      </w:r>
      <w:r w:rsidRPr="000D3D7F">
        <w:rPr>
          <w:szCs w:val="22"/>
          <w:lang w:val="sr-Latn-ME"/>
        </w:rPr>
        <w:t>stadijumom bolesti kao stratifikacijskim faktorima. Ukupan odgovor (OR) &gt; 1 ukazuje na prednost za</w:t>
      </w:r>
      <w:r w:rsidR="00E83F4F" w:rsidRPr="000D3D7F">
        <w:rPr>
          <w:szCs w:val="22"/>
          <w:lang w:val="sr-Latn-ME"/>
        </w:rPr>
        <w:t xml:space="preserve"> </w:t>
      </w:r>
      <w:r w:rsidR="00251927" w:rsidRPr="000D3D7F">
        <w:rPr>
          <w:szCs w:val="22"/>
          <w:lang w:val="sr-Latn-ME"/>
        </w:rPr>
        <w:t>Bz</w:t>
      </w:r>
      <w:r w:rsidRPr="000D3D7F">
        <w:rPr>
          <w:szCs w:val="22"/>
          <w:lang w:val="sr-Latn-ME"/>
        </w:rPr>
        <w:t>R-CAP.</w:t>
      </w:r>
    </w:p>
    <w:p w14:paraId="161440B4" w14:textId="77777777" w:rsidR="009E39C5" w:rsidRPr="000D3D7F" w:rsidRDefault="009E39C5" w:rsidP="001E1F5A">
      <w:pPr>
        <w:rPr>
          <w:szCs w:val="22"/>
          <w:lang w:val="sr-Latn-ME"/>
        </w:rPr>
      </w:pPr>
      <w:r w:rsidRPr="000D3D7F">
        <w:rPr>
          <w:szCs w:val="22"/>
          <w:vertAlign w:val="superscript"/>
          <w:lang w:val="sr-Latn-ME"/>
        </w:rPr>
        <w:t xml:space="preserve">f </w:t>
      </w:r>
      <w:r w:rsidRPr="000D3D7F">
        <w:rPr>
          <w:szCs w:val="22"/>
          <w:lang w:val="sr-Latn-ME"/>
        </w:rPr>
        <w:t>Uključuje sve CR+CRu, od strane IRC, koštane srži i LDH.</w:t>
      </w:r>
    </w:p>
    <w:p w14:paraId="6756BA86" w14:textId="01C61A97" w:rsidR="009E39C5" w:rsidRPr="000D3D7F" w:rsidRDefault="009E39C5" w:rsidP="001E1F5A">
      <w:pPr>
        <w:rPr>
          <w:szCs w:val="22"/>
          <w:lang w:val="sr-Latn-ME"/>
        </w:rPr>
      </w:pPr>
      <w:r w:rsidRPr="000D3D7F">
        <w:rPr>
          <w:szCs w:val="22"/>
          <w:lang w:val="sr-Latn-ME"/>
        </w:rPr>
        <w:lastRenderedPageBreak/>
        <w:t>g p-vr</w:t>
      </w:r>
      <w:r w:rsidR="004F2334" w:rsidRPr="000D3D7F">
        <w:rPr>
          <w:szCs w:val="22"/>
          <w:lang w:val="sr-Latn-ME"/>
        </w:rPr>
        <w:t>ij</w:t>
      </w:r>
      <w:r w:rsidRPr="000D3D7F">
        <w:rPr>
          <w:szCs w:val="22"/>
          <w:lang w:val="sr-Latn-ME"/>
        </w:rPr>
        <w:t xml:space="preserve">ednost iz </w:t>
      </w:r>
      <w:r w:rsidRPr="000D3D7F">
        <w:rPr>
          <w:i/>
          <w:iCs/>
          <w:szCs w:val="22"/>
          <w:lang w:val="sr-Latn-ME"/>
        </w:rPr>
        <w:t>Cochran-Mantel-Haenszel hi</w:t>
      </w:r>
      <w:r w:rsidRPr="000D3D7F">
        <w:rPr>
          <w:szCs w:val="22"/>
          <w:lang w:val="sr-Latn-ME"/>
        </w:rPr>
        <w:t>-kvadrat testa sa IPI rizikom i stepenom bolesti kao</w:t>
      </w:r>
      <w:r w:rsidR="00E83F4F" w:rsidRPr="000D3D7F">
        <w:rPr>
          <w:szCs w:val="22"/>
          <w:lang w:val="sr-Latn-ME"/>
        </w:rPr>
        <w:t xml:space="preserve"> </w:t>
      </w:r>
      <w:r w:rsidRPr="000D3D7F">
        <w:rPr>
          <w:szCs w:val="22"/>
          <w:lang w:val="sr-Latn-ME"/>
        </w:rPr>
        <w:t>stratifikacijskim faktorima</w:t>
      </w:r>
    </w:p>
    <w:p w14:paraId="053E8910" w14:textId="27F6C61C" w:rsidR="009E39C5" w:rsidRPr="000D3D7F" w:rsidRDefault="009E39C5" w:rsidP="001E1F5A">
      <w:pPr>
        <w:rPr>
          <w:szCs w:val="22"/>
          <w:lang w:val="sr-Latn-ME"/>
        </w:rPr>
      </w:pPr>
      <w:r w:rsidRPr="000D3D7F">
        <w:rPr>
          <w:szCs w:val="22"/>
          <w:lang w:val="sr-Latn-ME"/>
        </w:rPr>
        <w:t>h Uključuje sve radiološke odgovore CR+CRu+PR od strane IRC bez prov</w:t>
      </w:r>
      <w:r w:rsidR="004F2334" w:rsidRPr="000D3D7F">
        <w:rPr>
          <w:szCs w:val="22"/>
          <w:lang w:val="sr-Latn-ME"/>
        </w:rPr>
        <w:t>j</w:t>
      </w:r>
      <w:r w:rsidRPr="000D3D7F">
        <w:rPr>
          <w:szCs w:val="22"/>
          <w:lang w:val="sr-Latn-ME"/>
        </w:rPr>
        <w:t>ere koštane srži i LDH.</w:t>
      </w:r>
    </w:p>
    <w:p w14:paraId="303F2DAF" w14:textId="148F633B" w:rsidR="009E39C5" w:rsidRPr="000D3D7F" w:rsidRDefault="009E39C5" w:rsidP="001E1F5A">
      <w:pPr>
        <w:rPr>
          <w:szCs w:val="22"/>
          <w:lang w:val="sr-Latn-ME"/>
        </w:rPr>
      </w:pPr>
      <w:r w:rsidRPr="000D3D7F">
        <w:rPr>
          <w:szCs w:val="22"/>
          <w:lang w:val="sr-Latn-ME"/>
        </w:rPr>
        <w:t>CR= kompletan odgovor; CRu =nepotvrđen kompletan odgovor; PR=parcijalni odgovor; CI=interval</w:t>
      </w:r>
      <w:r w:rsidR="00E83F4F" w:rsidRPr="000D3D7F">
        <w:rPr>
          <w:szCs w:val="22"/>
          <w:lang w:val="sr-Latn-ME"/>
        </w:rPr>
        <w:t xml:space="preserve"> </w:t>
      </w:r>
      <w:r w:rsidRPr="000D3D7F">
        <w:rPr>
          <w:szCs w:val="22"/>
          <w:lang w:val="sr-Latn-ME"/>
        </w:rPr>
        <w:t>pov</w:t>
      </w:r>
      <w:r w:rsidR="004F2334" w:rsidRPr="000D3D7F">
        <w:rPr>
          <w:szCs w:val="22"/>
          <w:lang w:val="sr-Latn-ME"/>
        </w:rPr>
        <w:t>j</w:t>
      </w:r>
      <w:r w:rsidRPr="000D3D7F">
        <w:rPr>
          <w:szCs w:val="22"/>
          <w:lang w:val="sr-Latn-ME"/>
        </w:rPr>
        <w:t xml:space="preserve">erenja, HR= </w:t>
      </w:r>
      <w:r w:rsidRPr="000D3D7F">
        <w:rPr>
          <w:i/>
          <w:iCs/>
          <w:szCs w:val="22"/>
          <w:lang w:val="sr-Latn-ME"/>
        </w:rPr>
        <w:t>Hazard ratio</w:t>
      </w:r>
      <w:r w:rsidRPr="000D3D7F">
        <w:rPr>
          <w:szCs w:val="22"/>
          <w:lang w:val="sr-Latn-ME"/>
        </w:rPr>
        <w:t>; RR= stepen odgovora; ITT= populačija nam</w:t>
      </w:r>
      <w:r w:rsidR="004F2334" w:rsidRPr="000D3D7F">
        <w:rPr>
          <w:szCs w:val="22"/>
          <w:lang w:val="sr-Latn-ME"/>
        </w:rPr>
        <w:t>ij</w:t>
      </w:r>
      <w:r w:rsidRPr="000D3D7F">
        <w:rPr>
          <w:szCs w:val="22"/>
          <w:lang w:val="sr-Latn-ME"/>
        </w:rPr>
        <w:t>enjena za l</w:t>
      </w:r>
      <w:r w:rsidR="004F2334" w:rsidRPr="000D3D7F">
        <w:rPr>
          <w:szCs w:val="22"/>
          <w:lang w:val="sr-Latn-ME"/>
        </w:rPr>
        <w:t>ij</w:t>
      </w:r>
      <w:r w:rsidRPr="000D3D7F">
        <w:rPr>
          <w:szCs w:val="22"/>
          <w:lang w:val="sr-Latn-ME"/>
        </w:rPr>
        <w:t>ečenje</w:t>
      </w:r>
    </w:p>
    <w:p w14:paraId="5D671684" w14:textId="56D7A976" w:rsidR="009E39C5" w:rsidRPr="000D3D7F" w:rsidRDefault="009E39C5" w:rsidP="001E1F5A">
      <w:pPr>
        <w:rPr>
          <w:szCs w:val="22"/>
          <w:lang w:val="sr-Latn-ME"/>
        </w:rPr>
      </w:pPr>
    </w:p>
    <w:p w14:paraId="6B53B5FF" w14:textId="7DFD4B4E" w:rsidR="009E39C5" w:rsidRPr="000D3D7F" w:rsidRDefault="009E39C5" w:rsidP="001E1F5A">
      <w:pPr>
        <w:rPr>
          <w:szCs w:val="22"/>
          <w:lang w:val="sr-Latn-ME"/>
        </w:rPr>
      </w:pPr>
      <w:r w:rsidRPr="000D3D7F">
        <w:rPr>
          <w:szCs w:val="22"/>
          <w:lang w:val="sr-Latn-ME"/>
        </w:rPr>
        <w:t>Medijana preživljavanja bez progresije (PFS) prema izv</w:t>
      </w:r>
      <w:r w:rsidR="00A71F68" w:rsidRPr="000D3D7F">
        <w:rPr>
          <w:szCs w:val="22"/>
          <w:lang w:val="sr-Latn-ME"/>
        </w:rPr>
        <w:t>j</w:t>
      </w:r>
      <w:r w:rsidRPr="000D3D7F">
        <w:rPr>
          <w:szCs w:val="22"/>
          <w:lang w:val="sr-Latn-ME"/>
        </w:rPr>
        <w:t>eštaju istraživača je bilo 30,7 m</w:t>
      </w:r>
      <w:r w:rsidR="00A71F68" w:rsidRPr="000D3D7F">
        <w:rPr>
          <w:szCs w:val="22"/>
          <w:lang w:val="sr-Latn-ME"/>
        </w:rPr>
        <w:t>j</w:t>
      </w:r>
      <w:r w:rsidRPr="000D3D7F">
        <w:rPr>
          <w:szCs w:val="22"/>
          <w:lang w:val="sr-Latn-ME"/>
        </w:rPr>
        <w:t xml:space="preserve">eseci u </w:t>
      </w:r>
      <w:r w:rsidR="00251927" w:rsidRPr="000D3D7F">
        <w:rPr>
          <w:szCs w:val="22"/>
          <w:lang w:val="sr-Latn-ME"/>
        </w:rPr>
        <w:t>Bz</w:t>
      </w:r>
      <w:r w:rsidRPr="000D3D7F">
        <w:rPr>
          <w:szCs w:val="22"/>
          <w:lang w:val="sr-Latn-ME"/>
        </w:rPr>
        <w:t>R-CAP</w:t>
      </w:r>
      <w:r w:rsidR="00E83F4F" w:rsidRPr="000D3D7F">
        <w:rPr>
          <w:szCs w:val="22"/>
          <w:lang w:val="sr-Latn-ME"/>
        </w:rPr>
        <w:t xml:space="preserve"> </w:t>
      </w:r>
      <w:r w:rsidRPr="000D3D7F">
        <w:rPr>
          <w:szCs w:val="22"/>
          <w:lang w:val="sr-Latn-ME"/>
        </w:rPr>
        <w:t>grupi i 16,1 m</w:t>
      </w:r>
      <w:r w:rsidR="00A71F68" w:rsidRPr="000D3D7F">
        <w:rPr>
          <w:szCs w:val="22"/>
          <w:lang w:val="sr-Latn-ME"/>
        </w:rPr>
        <w:t>j</w:t>
      </w:r>
      <w:r w:rsidRPr="000D3D7F">
        <w:rPr>
          <w:szCs w:val="22"/>
          <w:lang w:val="sr-Latn-ME"/>
        </w:rPr>
        <w:t>eseci u R-CHOP grupi (</w:t>
      </w:r>
      <w:r w:rsidRPr="000D3D7F">
        <w:rPr>
          <w:i/>
          <w:iCs/>
          <w:szCs w:val="22"/>
          <w:lang w:val="sr-Latn-ME"/>
        </w:rPr>
        <w:t xml:space="preserve">Hazard ratio </w:t>
      </w:r>
      <w:r w:rsidRPr="000D3D7F">
        <w:rPr>
          <w:szCs w:val="22"/>
          <w:lang w:val="sr-Latn-ME"/>
        </w:rPr>
        <w:t>(HR)=0,51; p&lt;0,001). Statistički značajna korist</w:t>
      </w:r>
      <w:r w:rsidR="00E83F4F" w:rsidRPr="000D3D7F">
        <w:rPr>
          <w:szCs w:val="22"/>
          <w:lang w:val="sr-Latn-ME"/>
        </w:rPr>
        <w:t xml:space="preserve"> </w:t>
      </w:r>
      <w:r w:rsidRPr="000D3D7F">
        <w:rPr>
          <w:szCs w:val="22"/>
          <w:lang w:val="sr-Latn-ME"/>
        </w:rPr>
        <w:t xml:space="preserve">(p&lt;0,001) za </w:t>
      </w:r>
      <w:r w:rsidR="00251927" w:rsidRPr="000D3D7F">
        <w:rPr>
          <w:szCs w:val="22"/>
          <w:lang w:val="sr-Latn-ME"/>
        </w:rPr>
        <w:t>Bz</w:t>
      </w:r>
      <w:r w:rsidRPr="000D3D7F">
        <w:rPr>
          <w:szCs w:val="22"/>
          <w:lang w:val="sr-Latn-ME"/>
        </w:rPr>
        <w:t>R-CAP grupu u odnosu na R-CHOP grupu je bila prim</w:t>
      </w:r>
      <w:r w:rsidR="00A71F68" w:rsidRPr="000D3D7F">
        <w:rPr>
          <w:szCs w:val="22"/>
          <w:lang w:val="sr-Latn-ME"/>
        </w:rPr>
        <w:t>ij</w:t>
      </w:r>
      <w:r w:rsidRPr="000D3D7F">
        <w:rPr>
          <w:szCs w:val="22"/>
          <w:lang w:val="sr-Latn-ME"/>
        </w:rPr>
        <w:t>ećena za vr</w:t>
      </w:r>
      <w:r w:rsidR="00A71F68" w:rsidRPr="000D3D7F">
        <w:rPr>
          <w:szCs w:val="22"/>
          <w:lang w:val="sr-Latn-ME"/>
        </w:rPr>
        <w:t>ij</w:t>
      </w:r>
      <w:r w:rsidRPr="000D3D7F">
        <w:rPr>
          <w:szCs w:val="22"/>
          <w:lang w:val="sr-Latn-ME"/>
        </w:rPr>
        <w:t>eme do progresije (TTP)</w:t>
      </w:r>
      <w:r w:rsidR="00E83F4F" w:rsidRPr="000D3D7F">
        <w:rPr>
          <w:szCs w:val="22"/>
          <w:lang w:val="sr-Latn-ME"/>
        </w:rPr>
        <w:t xml:space="preserve"> </w:t>
      </w:r>
      <w:r w:rsidRPr="000D3D7F">
        <w:rPr>
          <w:szCs w:val="22"/>
          <w:lang w:val="sr-Latn-ME"/>
        </w:rPr>
        <w:t>(medijana 30,5 u odnosu na 16,1 m</w:t>
      </w:r>
      <w:r w:rsidR="00A71F68" w:rsidRPr="000D3D7F">
        <w:rPr>
          <w:szCs w:val="22"/>
          <w:lang w:val="sr-Latn-ME"/>
        </w:rPr>
        <w:t>j</w:t>
      </w:r>
      <w:r w:rsidRPr="000D3D7F">
        <w:rPr>
          <w:szCs w:val="22"/>
          <w:lang w:val="sr-Latn-ME"/>
        </w:rPr>
        <w:t>esec), TNT (medijana 44,5 u odnosu na 24,8 m</w:t>
      </w:r>
      <w:r w:rsidR="00A71F68" w:rsidRPr="000D3D7F">
        <w:rPr>
          <w:szCs w:val="22"/>
          <w:lang w:val="sr-Latn-ME"/>
        </w:rPr>
        <w:t>j</w:t>
      </w:r>
      <w:r w:rsidRPr="000D3D7F">
        <w:rPr>
          <w:szCs w:val="22"/>
          <w:lang w:val="sr-Latn-ME"/>
        </w:rPr>
        <w:t>eseci) TFI (medijana 40,6</w:t>
      </w:r>
      <w:r w:rsidR="00E83F4F" w:rsidRPr="000D3D7F">
        <w:rPr>
          <w:szCs w:val="22"/>
          <w:lang w:val="sr-Latn-ME"/>
        </w:rPr>
        <w:t xml:space="preserve"> </w:t>
      </w:r>
      <w:r w:rsidRPr="000D3D7F">
        <w:rPr>
          <w:szCs w:val="22"/>
          <w:lang w:val="sr-Latn-ME"/>
        </w:rPr>
        <w:t>u odnosu na 20,5 m</w:t>
      </w:r>
      <w:r w:rsidR="00A71F68" w:rsidRPr="000D3D7F">
        <w:rPr>
          <w:szCs w:val="22"/>
          <w:lang w:val="sr-Latn-ME"/>
        </w:rPr>
        <w:t>j</w:t>
      </w:r>
      <w:r w:rsidRPr="000D3D7F">
        <w:rPr>
          <w:szCs w:val="22"/>
          <w:lang w:val="sr-Latn-ME"/>
        </w:rPr>
        <w:t>eseci). Medijana trajanja kompletnog odgovora je bilo 42,1 m</w:t>
      </w:r>
      <w:r w:rsidR="00A71F68" w:rsidRPr="000D3D7F">
        <w:rPr>
          <w:szCs w:val="22"/>
          <w:lang w:val="sr-Latn-ME"/>
        </w:rPr>
        <w:t>j</w:t>
      </w:r>
      <w:r w:rsidRPr="000D3D7F">
        <w:rPr>
          <w:szCs w:val="22"/>
          <w:lang w:val="sr-Latn-ME"/>
        </w:rPr>
        <w:t xml:space="preserve">esec u </w:t>
      </w:r>
      <w:r w:rsidR="00251927" w:rsidRPr="000D3D7F">
        <w:rPr>
          <w:szCs w:val="22"/>
          <w:lang w:val="sr-Latn-ME"/>
        </w:rPr>
        <w:t>Bz</w:t>
      </w:r>
      <w:r w:rsidRPr="000D3D7F">
        <w:rPr>
          <w:szCs w:val="22"/>
          <w:lang w:val="sr-Latn-ME"/>
        </w:rPr>
        <w:t>R-CAP grupi</w:t>
      </w:r>
      <w:r w:rsidR="00E83F4F" w:rsidRPr="000D3D7F">
        <w:rPr>
          <w:szCs w:val="22"/>
          <w:lang w:val="sr-Latn-ME"/>
        </w:rPr>
        <w:t xml:space="preserve"> </w:t>
      </w:r>
      <w:r w:rsidRPr="000D3D7F">
        <w:rPr>
          <w:szCs w:val="22"/>
          <w:lang w:val="sr-Latn-ME"/>
        </w:rPr>
        <w:t>naspram sa 18 m</w:t>
      </w:r>
      <w:r w:rsidR="00A71F68" w:rsidRPr="000D3D7F">
        <w:rPr>
          <w:szCs w:val="22"/>
          <w:lang w:val="sr-Latn-ME"/>
        </w:rPr>
        <w:t>j</w:t>
      </w:r>
      <w:r w:rsidRPr="000D3D7F">
        <w:rPr>
          <w:szCs w:val="22"/>
          <w:lang w:val="sr-Latn-ME"/>
        </w:rPr>
        <w:t>eseci u R-CHOP grupi. Trajanje ukupnog odgovora je bilo 21,4 m</w:t>
      </w:r>
      <w:r w:rsidR="00A71F68" w:rsidRPr="000D3D7F">
        <w:rPr>
          <w:szCs w:val="22"/>
          <w:lang w:val="sr-Latn-ME"/>
        </w:rPr>
        <w:t>j</w:t>
      </w:r>
      <w:r w:rsidRPr="000D3D7F">
        <w:rPr>
          <w:szCs w:val="22"/>
          <w:lang w:val="sr-Latn-ME"/>
        </w:rPr>
        <w:t xml:space="preserve">esec duže u </w:t>
      </w:r>
      <w:r w:rsidR="00251927" w:rsidRPr="000D3D7F">
        <w:rPr>
          <w:szCs w:val="22"/>
          <w:lang w:val="sr-Latn-ME"/>
        </w:rPr>
        <w:t>Bz</w:t>
      </w:r>
      <w:r w:rsidRPr="000D3D7F">
        <w:rPr>
          <w:szCs w:val="22"/>
          <w:lang w:val="sr-Latn-ME"/>
        </w:rPr>
        <w:t>R-CAP</w:t>
      </w:r>
      <w:r w:rsidR="00E83F4F" w:rsidRPr="000D3D7F">
        <w:rPr>
          <w:szCs w:val="22"/>
          <w:lang w:val="sr-Latn-ME"/>
        </w:rPr>
        <w:t xml:space="preserve"> </w:t>
      </w:r>
      <w:r w:rsidRPr="000D3D7F">
        <w:rPr>
          <w:szCs w:val="22"/>
          <w:lang w:val="sr-Latn-ME"/>
        </w:rPr>
        <w:t>grupi (medijana 36,5 m</w:t>
      </w:r>
      <w:r w:rsidR="00A71F68" w:rsidRPr="000D3D7F">
        <w:rPr>
          <w:szCs w:val="22"/>
          <w:lang w:val="sr-Latn-ME"/>
        </w:rPr>
        <w:t>j</w:t>
      </w:r>
      <w:r w:rsidRPr="000D3D7F">
        <w:rPr>
          <w:szCs w:val="22"/>
          <w:lang w:val="sr-Latn-ME"/>
        </w:rPr>
        <w:t>eseci u odnosu na 15,1 m</w:t>
      </w:r>
      <w:r w:rsidR="00A71F68" w:rsidRPr="000D3D7F">
        <w:rPr>
          <w:szCs w:val="22"/>
          <w:lang w:val="sr-Latn-ME"/>
        </w:rPr>
        <w:t>j</w:t>
      </w:r>
      <w:r w:rsidRPr="000D3D7F">
        <w:rPr>
          <w:szCs w:val="22"/>
          <w:lang w:val="sr-Latn-ME"/>
        </w:rPr>
        <w:t>esec u R-CHOP grupi).</w:t>
      </w:r>
    </w:p>
    <w:p w14:paraId="023A617F" w14:textId="793EEABD" w:rsidR="009E39C5" w:rsidRPr="000D3D7F" w:rsidRDefault="009E39C5" w:rsidP="001E1F5A">
      <w:pPr>
        <w:rPr>
          <w:szCs w:val="22"/>
          <w:lang w:val="sr-Latn-ME"/>
        </w:rPr>
      </w:pPr>
      <w:r w:rsidRPr="000D3D7F">
        <w:rPr>
          <w:szCs w:val="22"/>
          <w:lang w:val="sr-Latn-ME"/>
        </w:rPr>
        <w:t>Finalna analiza ukupnog preživljavanja (OS) je izvršena nakon medijane vremena praćenja od 82 m</w:t>
      </w:r>
      <w:r w:rsidR="00A71F68" w:rsidRPr="000D3D7F">
        <w:rPr>
          <w:szCs w:val="22"/>
          <w:lang w:val="sr-Latn-ME"/>
        </w:rPr>
        <w:t>j</w:t>
      </w:r>
      <w:r w:rsidRPr="000D3D7F">
        <w:rPr>
          <w:szCs w:val="22"/>
          <w:lang w:val="sr-Latn-ME"/>
        </w:rPr>
        <w:t>eseci.</w:t>
      </w:r>
      <w:r w:rsidR="00E83F4F" w:rsidRPr="000D3D7F">
        <w:rPr>
          <w:szCs w:val="22"/>
          <w:lang w:val="sr-Latn-ME"/>
        </w:rPr>
        <w:t xml:space="preserve"> </w:t>
      </w:r>
      <w:r w:rsidRPr="000D3D7F">
        <w:rPr>
          <w:szCs w:val="22"/>
          <w:lang w:val="sr-Latn-ME"/>
        </w:rPr>
        <w:t>Medijana ukupnog preživaljavanja je iznosila 90,7 m</w:t>
      </w:r>
      <w:r w:rsidR="00A71F68" w:rsidRPr="000D3D7F">
        <w:rPr>
          <w:szCs w:val="22"/>
          <w:lang w:val="sr-Latn-ME"/>
        </w:rPr>
        <w:t>j</w:t>
      </w:r>
      <w:r w:rsidRPr="000D3D7F">
        <w:rPr>
          <w:szCs w:val="22"/>
          <w:lang w:val="sr-Latn-ME"/>
        </w:rPr>
        <w:t xml:space="preserve">eseci u </w:t>
      </w:r>
      <w:r w:rsidR="00251927" w:rsidRPr="000D3D7F">
        <w:rPr>
          <w:szCs w:val="22"/>
          <w:lang w:val="sr-Latn-ME"/>
        </w:rPr>
        <w:t>Bz</w:t>
      </w:r>
      <w:r w:rsidRPr="000D3D7F">
        <w:rPr>
          <w:szCs w:val="22"/>
          <w:lang w:val="sr-Latn-ME"/>
        </w:rPr>
        <w:t>R-CAP grupi u poređenju sa 55,7 m</w:t>
      </w:r>
      <w:r w:rsidR="00A71F68" w:rsidRPr="000D3D7F">
        <w:rPr>
          <w:szCs w:val="22"/>
          <w:lang w:val="sr-Latn-ME"/>
        </w:rPr>
        <w:t>j</w:t>
      </w:r>
      <w:r w:rsidRPr="000D3D7F">
        <w:rPr>
          <w:szCs w:val="22"/>
          <w:lang w:val="sr-Latn-ME"/>
        </w:rPr>
        <w:t>eseci u</w:t>
      </w:r>
      <w:r w:rsidR="00E83F4F" w:rsidRPr="000D3D7F">
        <w:rPr>
          <w:szCs w:val="22"/>
          <w:lang w:val="sr-Latn-ME"/>
        </w:rPr>
        <w:t xml:space="preserve"> </w:t>
      </w:r>
      <w:r w:rsidRPr="000D3D7F">
        <w:rPr>
          <w:szCs w:val="22"/>
          <w:lang w:val="sr-Latn-ME"/>
        </w:rPr>
        <w:t>R-CHOP grupi (HR=0,66; p=0,001). Uočena finalna medijana razlike u ukupnom preživaljavanju između</w:t>
      </w:r>
      <w:r w:rsidR="00E83F4F" w:rsidRPr="000D3D7F">
        <w:rPr>
          <w:szCs w:val="22"/>
          <w:lang w:val="sr-Latn-ME"/>
        </w:rPr>
        <w:t xml:space="preserve"> </w:t>
      </w:r>
      <w:r w:rsidRPr="000D3D7F">
        <w:rPr>
          <w:szCs w:val="22"/>
          <w:lang w:val="sr-Latn-ME"/>
        </w:rPr>
        <w:t>dv</w:t>
      </w:r>
      <w:r w:rsidR="00A71F68" w:rsidRPr="000D3D7F">
        <w:rPr>
          <w:szCs w:val="22"/>
          <w:lang w:val="sr-Latn-ME"/>
        </w:rPr>
        <w:t>ij</w:t>
      </w:r>
      <w:r w:rsidRPr="000D3D7F">
        <w:rPr>
          <w:szCs w:val="22"/>
          <w:lang w:val="sr-Latn-ME"/>
        </w:rPr>
        <w:t>e terapijske grupe je iznosila 35 m</w:t>
      </w:r>
      <w:r w:rsidR="00A71F68" w:rsidRPr="000D3D7F">
        <w:rPr>
          <w:szCs w:val="22"/>
          <w:lang w:val="sr-Latn-ME"/>
        </w:rPr>
        <w:t>j</w:t>
      </w:r>
      <w:r w:rsidRPr="000D3D7F">
        <w:rPr>
          <w:szCs w:val="22"/>
          <w:lang w:val="sr-Latn-ME"/>
        </w:rPr>
        <w:t>eseci.</w:t>
      </w:r>
    </w:p>
    <w:p w14:paraId="6A7B0F1E" w14:textId="77777777" w:rsidR="00627301" w:rsidRPr="000D3D7F" w:rsidRDefault="00627301" w:rsidP="001E1F5A">
      <w:pPr>
        <w:rPr>
          <w:szCs w:val="22"/>
          <w:lang w:val="sr-Latn-ME"/>
        </w:rPr>
      </w:pPr>
    </w:p>
    <w:p w14:paraId="14BAE968" w14:textId="1E6A454E" w:rsidR="009E39C5" w:rsidRPr="000D3D7F" w:rsidRDefault="009E39C5" w:rsidP="001E1F5A">
      <w:pPr>
        <w:rPr>
          <w:szCs w:val="22"/>
          <w:u w:val="single"/>
          <w:lang w:val="sr-Latn-ME"/>
        </w:rPr>
      </w:pPr>
      <w:r w:rsidRPr="000D3D7F">
        <w:rPr>
          <w:szCs w:val="22"/>
          <w:u w:val="single"/>
          <w:lang w:val="sr-Latn-ME"/>
        </w:rPr>
        <w:t>Pacijenti koji su prethodno l</w:t>
      </w:r>
      <w:r w:rsidR="00A71F68" w:rsidRPr="000D3D7F">
        <w:rPr>
          <w:szCs w:val="22"/>
          <w:u w:val="single"/>
          <w:lang w:val="sr-Latn-ME"/>
        </w:rPr>
        <w:t>ij</w:t>
      </w:r>
      <w:r w:rsidRPr="000D3D7F">
        <w:rPr>
          <w:szCs w:val="22"/>
          <w:u w:val="single"/>
          <w:lang w:val="sr-Latn-ME"/>
        </w:rPr>
        <w:t>ečeni od amiloidoze lakih lanaca (AL)</w:t>
      </w:r>
    </w:p>
    <w:p w14:paraId="32C8C1DB" w14:textId="1D6DED51" w:rsidR="009E39C5" w:rsidRPr="000D3D7F" w:rsidRDefault="009E39C5" w:rsidP="001E1F5A">
      <w:pPr>
        <w:rPr>
          <w:szCs w:val="22"/>
          <w:lang w:val="sr-Latn-ME"/>
        </w:rPr>
      </w:pPr>
      <w:r w:rsidRPr="000D3D7F">
        <w:rPr>
          <w:szCs w:val="22"/>
          <w:lang w:val="sr-Latn-ME"/>
        </w:rPr>
        <w:t>Faza I/II ispitivanja je sprovedena sa ciljem da se odredi bezb</w:t>
      </w:r>
      <w:r w:rsidR="00A71F68" w:rsidRPr="000D3D7F">
        <w:rPr>
          <w:szCs w:val="22"/>
          <w:lang w:val="sr-Latn-ME"/>
        </w:rPr>
        <w:t>j</w:t>
      </w:r>
      <w:r w:rsidRPr="000D3D7F">
        <w:rPr>
          <w:szCs w:val="22"/>
          <w:lang w:val="sr-Latn-ME"/>
        </w:rPr>
        <w:t>ednost i efikasnost prim</w:t>
      </w:r>
      <w:r w:rsidR="00A71F68" w:rsidRPr="000D3D7F">
        <w:rPr>
          <w:szCs w:val="22"/>
          <w:lang w:val="sr-Latn-ME"/>
        </w:rPr>
        <w:t>j</w:t>
      </w:r>
      <w:r w:rsidRPr="000D3D7F">
        <w:rPr>
          <w:szCs w:val="22"/>
          <w:lang w:val="sr-Latn-ME"/>
        </w:rPr>
        <w:t xml:space="preserve">ene </w:t>
      </w:r>
      <w:r w:rsidR="00627301" w:rsidRPr="000D3D7F">
        <w:rPr>
          <w:szCs w:val="22"/>
          <w:lang w:val="sr-Latn-ME"/>
        </w:rPr>
        <w:t>bortezomib</w:t>
      </w:r>
      <w:r w:rsidR="00251927" w:rsidRPr="000D3D7F">
        <w:rPr>
          <w:szCs w:val="22"/>
          <w:lang w:val="sr-Latn-ME"/>
        </w:rPr>
        <w:t>a</w:t>
      </w:r>
      <w:r w:rsidR="00627301" w:rsidRPr="000D3D7F">
        <w:rPr>
          <w:szCs w:val="22"/>
          <w:lang w:val="sr-Latn-ME"/>
        </w:rPr>
        <w:t xml:space="preserve"> </w:t>
      </w:r>
      <w:r w:rsidRPr="000D3D7F">
        <w:rPr>
          <w:szCs w:val="22"/>
          <w:lang w:val="sr-Latn-ME"/>
        </w:rPr>
        <w:t>kod</w:t>
      </w:r>
      <w:r w:rsidR="00E83F4F" w:rsidRPr="000D3D7F">
        <w:rPr>
          <w:szCs w:val="22"/>
          <w:lang w:val="sr-Latn-ME"/>
        </w:rPr>
        <w:t xml:space="preserve"> </w:t>
      </w:r>
      <w:r w:rsidRPr="000D3D7F">
        <w:rPr>
          <w:szCs w:val="22"/>
          <w:lang w:val="sr-Latn-ME"/>
        </w:rPr>
        <w:t>pacijenata koji su prethodno bili l</w:t>
      </w:r>
      <w:r w:rsidR="00A71F68" w:rsidRPr="000D3D7F">
        <w:rPr>
          <w:szCs w:val="22"/>
          <w:lang w:val="sr-Latn-ME"/>
        </w:rPr>
        <w:t>ij</w:t>
      </w:r>
      <w:r w:rsidRPr="000D3D7F">
        <w:rPr>
          <w:szCs w:val="22"/>
          <w:lang w:val="sr-Latn-ME"/>
        </w:rPr>
        <w:t>ečeni od amiloidoze lakih lanaca. Tokom ispitivanja nije bilo novih</w:t>
      </w:r>
      <w:r w:rsidR="00E83F4F" w:rsidRPr="000D3D7F">
        <w:rPr>
          <w:szCs w:val="22"/>
          <w:lang w:val="sr-Latn-ME"/>
        </w:rPr>
        <w:t xml:space="preserve"> </w:t>
      </w:r>
      <w:r w:rsidRPr="000D3D7F">
        <w:rPr>
          <w:szCs w:val="22"/>
          <w:lang w:val="sr-Latn-ME"/>
        </w:rPr>
        <w:t>neželjenih bezb</w:t>
      </w:r>
      <w:r w:rsidR="00A71F68" w:rsidRPr="000D3D7F">
        <w:rPr>
          <w:szCs w:val="22"/>
          <w:lang w:val="sr-Latn-ME"/>
        </w:rPr>
        <w:t>j</w:t>
      </w:r>
      <w:r w:rsidRPr="000D3D7F">
        <w:rPr>
          <w:szCs w:val="22"/>
          <w:lang w:val="sr-Latn-ME"/>
        </w:rPr>
        <w:t>ednosnih događaja, i prim</w:t>
      </w:r>
      <w:r w:rsidR="00A71F68" w:rsidRPr="000D3D7F">
        <w:rPr>
          <w:szCs w:val="22"/>
          <w:lang w:val="sr-Latn-ME"/>
        </w:rPr>
        <w:t>j</w:t>
      </w:r>
      <w:r w:rsidRPr="000D3D7F">
        <w:rPr>
          <w:szCs w:val="22"/>
          <w:lang w:val="sr-Latn-ME"/>
        </w:rPr>
        <w:t xml:space="preserve">ena </w:t>
      </w:r>
      <w:r w:rsidR="00627301" w:rsidRPr="000D3D7F">
        <w:rPr>
          <w:szCs w:val="22"/>
          <w:lang w:val="sr-Latn-ME"/>
        </w:rPr>
        <w:t>bortezomib</w:t>
      </w:r>
      <w:r w:rsidR="00251927" w:rsidRPr="000D3D7F">
        <w:rPr>
          <w:szCs w:val="22"/>
          <w:lang w:val="sr-Latn-ME"/>
        </w:rPr>
        <w:t>a</w:t>
      </w:r>
      <w:r w:rsidRPr="000D3D7F">
        <w:rPr>
          <w:szCs w:val="22"/>
          <w:lang w:val="sr-Latn-ME"/>
        </w:rPr>
        <w:t>, u suštini, nije dovela do pogoršanja oštećenja</w:t>
      </w:r>
      <w:r w:rsidR="00E83F4F" w:rsidRPr="000D3D7F">
        <w:rPr>
          <w:szCs w:val="22"/>
          <w:lang w:val="sr-Latn-ME"/>
        </w:rPr>
        <w:t xml:space="preserve"> </w:t>
      </w:r>
      <w:r w:rsidRPr="000D3D7F">
        <w:rPr>
          <w:szCs w:val="22"/>
          <w:lang w:val="sr-Latn-ME"/>
        </w:rPr>
        <w:t>ciljnih organa (srca, bubrega i jetre).</w:t>
      </w:r>
    </w:p>
    <w:p w14:paraId="55E451BA" w14:textId="6C5E348C" w:rsidR="009E39C5" w:rsidRPr="000D3D7F" w:rsidRDefault="009E39C5" w:rsidP="001E1F5A">
      <w:pPr>
        <w:rPr>
          <w:szCs w:val="22"/>
          <w:lang w:val="sr-Latn-ME"/>
        </w:rPr>
      </w:pPr>
      <w:r w:rsidRPr="000D3D7F">
        <w:rPr>
          <w:szCs w:val="22"/>
          <w:lang w:val="sr-Latn-ME"/>
        </w:rPr>
        <w:t>Od 49 pacijenata koji su jednom ned</w:t>
      </w:r>
      <w:r w:rsidR="00A71F68" w:rsidRPr="000D3D7F">
        <w:rPr>
          <w:szCs w:val="22"/>
          <w:lang w:val="sr-Latn-ME"/>
        </w:rPr>
        <w:t>j</w:t>
      </w:r>
      <w:r w:rsidRPr="000D3D7F">
        <w:rPr>
          <w:szCs w:val="22"/>
          <w:lang w:val="sr-Latn-ME"/>
        </w:rPr>
        <w:t>eljno primali 1,6mg/m 2 i dva puta ned</w:t>
      </w:r>
      <w:r w:rsidR="00A71F68" w:rsidRPr="000D3D7F">
        <w:rPr>
          <w:szCs w:val="22"/>
          <w:lang w:val="sr-Latn-ME"/>
        </w:rPr>
        <w:t>j</w:t>
      </w:r>
      <w:r w:rsidRPr="000D3D7F">
        <w:rPr>
          <w:szCs w:val="22"/>
          <w:lang w:val="sr-Latn-ME"/>
        </w:rPr>
        <w:t>eljno 1,3mg/m</w:t>
      </w:r>
      <w:r w:rsidRPr="000D3D7F">
        <w:rPr>
          <w:szCs w:val="22"/>
          <w:vertAlign w:val="superscript"/>
          <w:lang w:val="sr-Latn-ME"/>
        </w:rPr>
        <w:t>2</w:t>
      </w:r>
      <w:r w:rsidRPr="000D3D7F">
        <w:rPr>
          <w:szCs w:val="22"/>
          <w:lang w:val="sr-Latn-ME"/>
        </w:rPr>
        <w:t>, 67,3% pacijenata</w:t>
      </w:r>
      <w:r w:rsidR="00E83F4F" w:rsidRPr="000D3D7F">
        <w:rPr>
          <w:szCs w:val="22"/>
          <w:lang w:val="sr-Latn-ME"/>
        </w:rPr>
        <w:t xml:space="preserve"> </w:t>
      </w:r>
      <w:r w:rsidRPr="000D3D7F">
        <w:rPr>
          <w:szCs w:val="22"/>
          <w:lang w:val="sr-Latn-ME"/>
        </w:rPr>
        <w:t>je odgovorilo na terapiju (uključujući i 28,6% sa CR) što je praćeno m</w:t>
      </w:r>
      <w:r w:rsidR="00A71F68" w:rsidRPr="000D3D7F">
        <w:rPr>
          <w:szCs w:val="22"/>
          <w:lang w:val="sr-Latn-ME"/>
        </w:rPr>
        <w:t>j</w:t>
      </w:r>
      <w:r w:rsidRPr="000D3D7F">
        <w:rPr>
          <w:szCs w:val="22"/>
          <w:lang w:val="sr-Latn-ME"/>
        </w:rPr>
        <w:t>erenjem hematološkog odgovora (Mprotein).</w:t>
      </w:r>
    </w:p>
    <w:p w14:paraId="332037A5" w14:textId="7512DAA3" w:rsidR="009E39C5" w:rsidRPr="000D3D7F" w:rsidRDefault="009E39C5" w:rsidP="001E1F5A">
      <w:pPr>
        <w:rPr>
          <w:szCs w:val="22"/>
          <w:lang w:val="sr-Latn-ME"/>
        </w:rPr>
      </w:pPr>
      <w:r w:rsidRPr="000D3D7F">
        <w:rPr>
          <w:szCs w:val="22"/>
          <w:lang w:val="sr-Latn-ME"/>
        </w:rPr>
        <w:t>Prilikom prim</w:t>
      </w:r>
      <w:r w:rsidR="00A71F68" w:rsidRPr="000D3D7F">
        <w:rPr>
          <w:szCs w:val="22"/>
          <w:lang w:val="sr-Latn-ME"/>
        </w:rPr>
        <w:t>j</w:t>
      </w:r>
      <w:r w:rsidRPr="000D3D7F">
        <w:rPr>
          <w:szCs w:val="22"/>
          <w:lang w:val="sr-Latn-ME"/>
        </w:rPr>
        <w:t>ene ovih doza, kombinovana jednogodišnja stopa preživljavanja je bila 88,1%.</w:t>
      </w:r>
    </w:p>
    <w:p w14:paraId="4AC78689" w14:textId="77777777" w:rsidR="00627301" w:rsidRPr="000D3D7F" w:rsidRDefault="00627301" w:rsidP="001E1F5A">
      <w:pPr>
        <w:rPr>
          <w:szCs w:val="22"/>
          <w:lang w:val="sr-Latn-ME"/>
        </w:rPr>
      </w:pPr>
    </w:p>
    <w:p w14:paraId="76037E12" w14:textId="36FAB391" w:rsidR="009E39C5" w:rsidRPr="000D3D7F" w:rsidRDefault="009E39C5" w:rsidP="001E1F5A">
      <w:pPr>
        <w:rPr>
          <w:szCs w:val="22"/>
          <w:u w:val="single"/>
          <w:lang w:val="sr-Latn-ME"/>
        </w:rPr>
      </w:pPr>
      <w:r w:rsidRPr="000D3D7F">
        <w:rPr>
          <w:szCs w:val="22"/>
          <w:u w:val="single"/>
          <w:lang w:val="sr-Latn-ME"/>
        </w:rPr>
        <w:t>Pedijatrijska populacija</w:t>
      </w:r>
    </w:p>
    <w:p w14:paraId="1B2C483D" w14:textId="40335F2A" w:rsidR="009E39C5" w:rsidRPr="000D3D7F" w:rsidRDefault="009E39C5" w:rsidP="001E1F5A">
      <w:pPr>
        <w:rPr>
          <w:szCs w:val="22"/>
          <w:lang w:val="sr-Latn-ME"/>
        </w:rPr>
      </w:pPr>
      <w:r w:rsidRPr="000D3D7F">
        <w:rPr>
          <w:szCs w:val="22"/>
          <w:lang w:val="sr-Latn-ME"/>
        </w:rPr>
        <w:t>Evropska agencija za l</w:t>
      </w:r>
      <w:r w:rsidR="00A71F68" w:rsidRPr="000D3D7F">
        <w:rPr>
          <w:szCs w:val="22"/>
          <w:lang w:val="sr-Latn-ME"/>
        </w:rPr>
        <w:t>j</w:t>
      </w:r>
      <w:r w:rsidRPr="000D3D7F">
        <w:rPr>
          <w:szCs w:val="22"/>
          <w:lang w:val="sr-Latn-ME"/>
        </w:rPr>
        <w:t xml:space="preserve">ekove je izuzela obavezu podnošenja rezultata ispitivanja </w:t>
      </w:r>
      <w:r w:rsidR="00627301" w:rsidRPr="000D3D7F">
        <w:rPr>
          <w:szCs w:val="22"/>
          <w:lang w:val="sr-Latn-ME"/>
        </w:rPr>
        <w:t xml:space="preserve">bortezomib </w:t>
      </w:r>
      <w:r w:rsidRPr="000D3D7F">
        <w:rPr>
          <w:szCs w:val="22"/>
          <w:lang w:val="sr-Latn-ME"/>
        </w:rPr>
        <w:t>u svim podgrupama</w:t>
      </w:r>
      <w:r w:rsidR="00E83F4F" w:rsidRPr="000D3D7F">
        <w:rPr>
          <w:szCs w:val="22"/>
          <w:lang w:val="sr-Latn-ME"/>
        </w:rPr>
        <w:t xml:space="preserve"> </w:t>
      </w:r>
      <w:r w:rsidRPr="000D3D7F">
        <w:rPr>
          <w:szCs w:val="22"/>
          <w:lang w:val="sr-Latn-ME"/>
        </w:rPr>
        <w:t>pedijatrijske populacije sa multiplimm mijelomom i mantle ćelijskim limfomom (vid</w:t>
      </w:r>
      <w:r w:rsidR="00A71F68"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4.2 za</w:t>
      </w:r>
      <w:r w:rsidR="00E83F4F" w:rsidRPr="000D3D7F">
        <w:rPr>
          <w:szCs w:val="22"/>
          <w:lang w:val="sr-Latn-ME"/>
        </w:rPr>
        <w:t xml:space="preserve"> </w:t>
      </w:r>
      <w:r w:rsidRPr="000D3D7F">
        <w:rPr>
          <w:szCs w:val="22"/>
          <w:lang w:val="sr-Latn-ME"/>
        </w:rPr>
        <w:t>informacije o upotrebi kod d</w:t>
      </w:r>
      <w:r w:rsidR="00A71F68" w:rsidRPr="000D3D7F">
        <w:rPr>
          <w:szCs w:val="22"/>
          <w:lang w:val="sr-Latn-ME"/>
        </w:rPr>
        <w:t>j</w:t>
      </w:r>
      <w:r w:rsidRPr="000D3D7F">
        <w:rPr>
          <w:szCs w:val="22"/>
          <w:lang w:val="sr-Latn-ME"/>
        </w:rPr>
        <w:t>ece).</w:t>
      </w:r>
    </w:p>
    <w:p w14:paraId="1F73CD94" w14:textId="3E2D6D8E" w:rsidR="009E39C5" w:rsidRPr="000D3D7F" w:rsidRDefault="009E39C5" w:rsidP="001E1F5A">
      <w:pPr>
        <w:rPr>
          <w:szCs w:val="22"/>
          <w:lang w:val="sr-Latn-ME"/>
        </w:rPr>
      </w:pPr>
      <w:r w:rsidRPr="000D3D7F">
        <w:rPr>
          <w:szCs w:val="22"/>
          <w:lang w:val="sr-Latn-ME"/>
        </w:rPr>
        <w:t>Kliničko ispitivanje faze II u kojem su se ispitivali aktivnost, bezb</w:t>
      </w:r>
      <w:r w:rsidR="00A71F68" w:rsidRPr="000D3D7F">
        <w:rPr>
          <w:szCs w:val="22"/>
          <w:lang w:val="sr-Latn-ME"/>
        </w:rPr>
        <w:t>j</w:t>
      </w:r>
      <w:r w:rsidRPr="000D3D7F">
        <w:rPr>
          <w:szCs w:val="22"/>
          <w:lang w:val="sr-Latn-ME"/>
        </w:rPr>
        <w:t>ednost i farmakokinetika</w:t>
      </w:r>
      <w:r w:rsidR="008D60C9" w:rsidRPr="000D3D7F">
        <w:rPr>
          <w:szCs w:val="22"/>
          <w:lang w:val="sr-Latn-ME"/>
        </w:rPr>
        <w:t>,</w:t>
      </w:r>
      <w:r w:rsidRPr="000D3D7F">
        <w:rPr>
          <w:szCs w:val="22"/>
          <w:lang w:val="sr-Latn-ME"/>
        </w:rPr>
        <w:t xml:space="preserve"> a sprovedeno je</w:t>
      </w:r>
      <w:r w:rsidR="00E83F4F" w:rsidRPr="000D3D7F">
        <w:rPr>
          <w:szCs w:val="22"/>
          <w:lang w:val="sr-Latn-ME"/>
        </w:rPr>
        <w:t xml:space="preserve"> </w:t>
      </w:r>
      <w:r w:rsidRPr="000D3D7F">
        <w:rPr>
          <w:szCs w:val="22"/>
          <w:lang w:val="sr-Latn-ME"/>
        </w:rPr>
        <w:t>od strane Grupe za d</w:t>
      </w:r>
      <w:r w:rsidR="00A71F68" w:rsidRPr="000D3D7F">
        <w:rPr>
          <w:szCs w:val="22"/>
          <w:lang w:val="sr-Latn-ME"/>
        </w:rPr>
        <w:t>j</w:t>
      </w:r>
      <w:r w:rsidRPr="000D3D7F">
        <w:rPr>
          <w:szCs w:val="22"/>
          <w:lang w:val="sr-Latn-ME"/>
        </w:rPr>
        <w:t>ečiju onkologiju, proc</w:t>
      </w:r>
      <w:r w:rsidR="00A71F68" w:rsidRPr="000D3D7F">
        <w:rPr>
          <w:szCs w:val="22"/>
          <w:lang w:val="sr-Latn-ME"/>
        </w:rPr>
        <w:t>j</w:t>
      </w:r>
      <w:r w:rsidRPr="000D3D7F">
        <w:rPr>
          <w:szCs w:val="22"/>
          <w:lang w:val="sr-Latn-ME"/>
        </w:rPr>
        <w:t>enjivalo je aktivnost dodavanja bortezomiba u ponovo uvedenu</w:t>
      </w:r>
      <w:r w:rsidR="00E83F4F" w:rsidRPr="000D3D7F">
        <w:rPr>
          <w:szCs w:val="22"/>
          <w:lang w:val="sr-Latn-ME"/>
        </w:rPr>
        <w:t xml:space="preserve"> </w:t>
      </w:r>
      <w:r w:rsidRPr="000D3D7F">
        <w:rPr>
          <w:szCs w:val="22"/>
          <w:lang w:val="sr-Latn-ME"/>
        </w:rPr>
        <w:t>hemoterapiju sa više l</w:t>
      </w:r>
      <w:r w:rsidR="00A71F68" w:rsidRPr="000D3D7F">
        <w:rPr>
          <w:szCs w:val="22"/>
          <w:lang w:val="sr-Latn-ME"/>
        </w:rPr>
        <w:t>j</w:t>
      </w:r>
      <w:r w:rsidRPr="000D3D7F">
        <w:rPr>
          <w:szCs w:val="22"/>
          <w:lang w:val="sr-Latn-ME"/>
        </w:rPr>
        <w:t>ekova kod pedijatrijskih mladih odraslih pacijenata sa limfoidnim malignim</w:t>
      </w:r>
      <w:r w:rsidR="00E83F4F" w:rsidRPr="000D3D7F">
        <w:rPr>
          <w:szCs w:val="22"/>
          <w:lang w:val="sr-Latn-ME"/>
        </w:rPr>
        <w:t xml:space="preserve"> </w:t>
      </w:r>
      <w:r w:rsidRPr="000D3D7F">
        <w:rPr>
          <w:szCs w:val="22"/>
          <w:lang w:val="sr-Latn-ME"/>
        </w:rPr>
        <w:t>oboljenjima (pre-B akutna limfoblastna leukemija (ALL), T-ćelijska akutna limfoblastna leukemija i Tćelijski</w:t>
      </w:r>
      <w:r w:rsidR="00E83F4F" w:rsidRPr="000D3D7F">
        <w:rPr>
          <w:szCs w:val="22"/>
          <w:lang w:val="sr-Latn-ME"/>
        </w:rPr>
        <w:t xml:space="preserve"> </w:t>
      </w:r>
      <w:r w:rsidRPr="000D3D7F">
        <w:rPr>
          <w:szCs w:val="22"/>
          <w:lang w:val="sr-Latn-ME"/>
        </w:rPr>
        <w:t>limfoblastni limfom (LL)). Efektivno ponovo uvođenje režima hemoterapije sa više l</w:t>
      </w:r>
      <w:r w:rsidR="00A71F68" w:rsidRPr="000D3D7F">
        <w:rPr>
          <w:szCs w:val="22"/>
          <w:lang w:val="sr-Latn-ME"/>
        </w:rPr>
        <w:t>j</w:t>
      </w:r>
      <w:r w:rsidRPr="000D3D7F">
        <w:rPr>
          <w:szCs w:val="22"/>
          <w:lang w:val="sr-Latn-ME"/>
        </w:rPr>
        <w:t>ekova je</w:t>
      </w:r>
      <w:r w:rsidR="00E83F4F" w:rsidRPr="000D3D7F">
        <w:rPr>
          <w:szCs w:val="22"/>
          <w:lang w:val="sr-Latn-ME"/>
        </w:rPr>
        <w:t xml:space="preserve"> </w:t>
      </w:r>
      <w:r w:rsidRPr="000D3D7F">
        <w:rPr>
          <w:szCs w:val="22"/>
          <w:lang w:val="sr-Latn-ME"/>
        </w:rPr>
        <w:t>prim</w:t>
      </w:r>
      <w:r w:rsidR="00A71F68" w:rsidRPr="000D3D7F">
        <w:rPr>
          <w:szCs w:val="22"/>
          <w:lang w:val="sr-Latn-ME"/>
        </w:rPr>
        <w:t>ij</w:t>
      </w:r>
      <w:r w:rsidRPr="000D3D7F">
        <w:rPr>
          <w:szCs w:val="22"/>
          <w:lang w:val="sr-Latn-ME"/>
        </w:rPr>
        <w:t xml:space="preserve">enjeno u 3 bloka.  </w:t>
      </w:r>
      <w:r w:rsidR="00251927" w:rsidRPr="000D3D7F">
        <w:rPr>
          <w:szCs w:val="22"/>
          <w:lang w:val="sr-Latn-ME"/>
        </w:rPr>
        <w:t>B</w:t>
      </w:r>
      <w:r w:rsidR="00627301" w:rsidRPr="000D3D7F">
        <w:rPr>
          <w:szCs w:val="22"/>
          <w:lang w:val="sr-Latn-ME"/>
        </w:rPr>
        <w:t xml:space="preserve">ortezomib </w:t>
      </w:r>
      <w:r w:rsidRPr="000D3D7F">
        <w:rPr>
          <w:szCs w:val="22"/>
          <w:lang w:val="sr-Latn-ME"/>
        </w:rPr>
        <w:t>je bio prim</w:t>
      </w:r>
      <w:r w:rsidR="00A71F68" w:rsidRPr="000D3D7F">
        <w:rPr>
          <w:szCs w:val="22"/>
          <w:lang w:val="sr-Latn-ME"/>
        </w:rPr>
        <w:t>ij</w:t>
      </w:r>
      <w:r w:rsidRPr="000D3D7F">
        <w:rPr>
          <w:szCs w:val="22"/>
          <w:lang w:val="sr-Latn-ME"/>
        </w:rPr>
        <w:t>enjen samo u bloku 1 i 2 da bi se izb</w:t>
      </w:r>
      <w:r w:rsidR="00A71F68" w:rsidRPr="000D3D7F">
        <w:rPr>
          <w:szCs w:val="22"/>
          <w:lang w:val="sr-Latn-ME"/>
        </w:rPr>
        <w:t>j</w:t>
      </w:r>
      <w:r w:rsidRPr="000D3D7F">
        <w:rPr>
          <w:szCs w:val="22"/>
          <w:lang w:val="sr-Latn-ME"/>
        </w:rPr>
        <w:t>eglo potencijalno</w:t>
      </w:r>
      <w:r w:rsidR="00E83F4F" w:rsidRPr="000D3D7F">
        <w:rPr>
          <w:szCs w:val="22"/>
          <w:lang w:val="sr-Latn-ME"/>
        </w:rPr>
        <w:t xml:space="preserve"> </w:t>
      </w:r>
      <w:r w:rsidRPr="000D3D7F">
        <w:rPr>
          <w:szCs w:val="22"/>
          <w:lang w:val="sr-Latn-ME"/>
        </w:rPr>
        <w:t>preklapanje toksičnosti sa zajedno prim</w:t>
      </w:r>
      <w:r w:rsidR="00A71F68" w:rsidRPr="000D3D7F">
        <w:rPr>
          <w:szCs w:val="22"/>
          <w:lang w:val="sr-Latn-ME"/>
        </w:rPr>
        <w:t>ij</w:t>
      </w:r>
      <w:r w:rsidRPr="000D3D7F">
        <w:rPr>
          <w:szCs w:val="22"/>
          <w:lang w:val="sr-Latn-ME"/>
        </w:rPr>
        <w:t>enjenim l</w:t>
      </w:r>
      <w:r w:rsidR="00A71F68" w:rsidRPr="000D3D7F">
        <w:rPr>
          <w:szCs w:val="22"/>
          <w:lang w:val="sr-Latn-ME"/>
        </w:rPr>
        <w:t>j</w:t>
      </w:r>
      <w:r w:rsidRPr="000D3D7F">
        <w:rPr>
          <w:szCs w:val="22"/>
          <w:lang w:val="sr-Latn-ME"/>
        </w:rPr>
        <w:t>ekovima u bloku 3.</w:t>
      </w:r>
    </w:p>
    <w:p w14:paraId="6790D032" w14:textId="23E41C76" w:rsidR="009E39C5" w:rsidRPr="000D3D7F" w:rsidRDefault="009E39C5" w:rsidP="001E1F5A">
      <w:pPr>
        <w:rPr>
          <w:szCs w:val="22"/>
          <w:lang w:val="sr-Latn-ME"/>
        </w:rPr>
      </w:pPr>
      <w:r w:rsidRPr="000D3D7F">
        <w:rPr>
          <w:szCs w:val="22"/>
          <w:lang w:val="sr-Latn-ME"/>
        </w:rPr>
        <w:t>Kompletan odgovo</w:t>
      </w:r>
      <w:r w:rsidR="00A71F68" w:rsidRPr="000D3D7F">
        <w:rPr>
          <w:szCs w:val="22"/>
          <w:lang w:val="sr-Latn-ME"/>
        </w:rPr>
        <w:t>r</w:t>
      </w:r>
      <w:r w:rsidRPr="000D3D7F">
        <w:rPr>
          <w:szCs w:val="22"/>
          <w:lang w:val="sr-Latn-ME"/>
        </w:rPr>
        <w:t xml:space="preserve"> (CR) je bio evaluiran na kraju bloka 1. Kod pacijenata sa B-ALL sa relapsom unutar 18</w:t>
      </w:r>
      <w:r w:rsidR="00E83F4F" w:rsidRPr="000D3D7F">
        <w:rPr>
          <w:szCs w:val="22"/>
          <w:lang w:val="sr-Latn-ME"/>
        </w:rPr>
        <w:t xml:space="preserve"> </w:t>
      </w:r>
      <w:r w:rsidRPr="000D3D7F">
        <w:rPr>
          <w:szCs w:val="22"/>
          <w:lang w:val="sr-Latn-ME"/>
        </w:rPr>
        <w:t>m</w:t>
      </w:r>
      <w:r w:rsidR="00A71F68" w:rsidRPr="000D3D7F">
        <w:rPr>
          <w:szCs w:val="22"/>
          <w:lang w:val="sr-Latn-ME"/>
        </w:rPr>
        <w:t>j</w:t>
      </w:r>
      <w:r w:rsidRPr="000D3D7F">
        <w:rPr>
          <w:szCs w:val="22"/>
          <w:lang w:val="sr-Latn-ME"/>
        </w:rPr>
        <w:t>eseci od dijagnoze (N=27) stopa CR je bila 67% (95% CI: 46, 84); stopa četvorom</w:t>
      </w:r>
      <w:r w:rsidR="00A71F68" w:rsidRPr="000D3D7F">
        <w:rPr>
          <w:szCs w:val="22"/>
          <w:lang w:val="sr-Latn-ME"/>
        </w:rPr>
        <w:t>j</w:t>
      </w:r>
      <w:r w:rsidRPr="000D3D7F">
        <w:rPr>
          <w:szCs w:val="22"/>
          <w:lang w:val="sr-Latn-ME"/>
        </w:rPr>
        <w:t>esečnog preživljavanja</w:t>
      </w:r>
      <w:r w:rsidR="00E83F4F" w:rsidRPr="000D3D7F">
        <w:rPr>
          <w:szCs w:val="22"/>
          <w:lang w:val="sr-Latn-ME"/>
        </w:rPr>
        <w:t xml:space="preserve"> </w:t>
      </w:r>
      <w:r w:rsidRPr="000D3D7F">
        <w:rPr>
          <w:szCs w:val="22"/>
          <w:lang w:val="sr-Latn-ME"/>
        </w:rPr>
        <w:t>bez događaja je bila 44% (95% CI: 26, 62). Kod pacijenata sa B-ALL sa relapsom između 18-36 m</w:t>
      </w:r>
      <w:r w:rsidR="00A71F68" w:rsidRPr="000D3D7F">
        <w:rPr>
          <w:szCs w:val="22"/>
          <w:lang w:val="sr-Latn-ME"/>
        </w:rPr>
        <w:t>j</w:t>
      </w:r>
      <w:r w:rsidRPr="000D3D7F">
        <w:rPr>
          <w:szCs w:val="22"/>
          <w:lang w:val="sr-Latn-ME"/>
        </w:rPr>
        <w:t>eseci od</w:t>
      </w:r>
      <w:r w:rsidR="00E83F4F" w:rsidRPr="000D3D7F">
        <w:rPr>
          <w:szCs w:val="22"/>
          <w:lang w:val="sr-Latn-ME"/>
        </w:rPr>
        <w:t xml:space="preserve"> </w:t>
      </w:r>
      <w:r w:rsidRPr="000D3D7F">
        <w:rPr>
          <w:szCs w:val="22"/>
          <w:lang w:val="sr-Latn-ME"/>
        </w:rPr>
        <w:t>dijagnoze (n=33) stopa CR je bila 79% (95% CI61,91) i stopa četvorom</w:t>
      </w:r>
      <w:r w:rsidR="00A71F68" w:rsidRPr="000D3D7F">
        <w:rPr>
          <w:szCs w:val="22"/>
          <w:lang w:val="sr-Latn-ME"/>
        </w:rPr>
        <w:t>j</w:t>
      </w:r>
      <w:r w:rsidRPr="000D3D7F">
        <w:rPr>
          <w:szCs w:val="22"/>
          <w:lang w:val="sr-Latn-ME"/>
        </w:rPr>
        <w:t>esečnog preživljavanja bez događaja</w:t>
      </w:r>
      <w:r w:rsidR="00E83F4F" w:rsidRPr="000D3D7F">
        <w:rPr>
          <w:szCs w:val="22"/>
          <w:lang w:val="sr-Latn-ME"/>
        </w:rPr>
        <w:t xml:space="preserve"> </w:t>
      </w:r>
      <w:r w:rsidRPr="000D3D7F">
        <w:rPr>
          <w:szCs w:val="22"/>
          <w:lang w:val="sr-Latn-ME"/>
        </w:rPr>
        <w:t>je bila 73% (95% CI:54,85). Stopa CR kod prvog relapsa kod pacijenata sa T-ćelijskim ALL (n=22) je bila</w:t>
      </w:r>
      <w:r w:rsidR="00E83F4F" w:rsidRPr="000D3D7F">
        <w:rPr>
          <w:szCs w:val="22"/>
          <w:lang w:val="sr-Latn-ME"/>
        </w:rPr>
        <w:t xml:space="preserve"> </w:t>
      </w:r>
      <w:r w:rsidRPr="000D3D7F">
        <w:rPr>
          <w:szCs w:val="22"/>
          <w:lang w:val="sr-Latn-ME"/>
        </w:rPr>
        <w:t>68% (95% CI: 45, 86) sa stopom četvorom</w:t>
      </w:r>
      <w:r w:rsidR="00A71F68" w:rsidRPr="000D3D7F">
        <w:rPr>
          <w:szCs w:val="22"/>
          <w:lang w:val="sr-Latn-ME"/>
        </w:rPr>
        <w:t>j</w:t>
      </w:r>
      <w:r w:rsidRPr="000D3D7F">
        <w:rPr>
          <w:szCs w:val="22"/>
          <w:lang w:val="sr-Latn-ME"/>
        </w:rPr>
        <w:t>esečnog preživljavanja od 67% (95% CI: 42, 83). Prijavljeni</w:t>
      </w:r>
      <w:r w:rsidR="00E83F4F" w:rsidRPr="000D3D7F">
        <w:rPr>
          <w:szCs w:val="22"/>
          <w:lang w:val="sr-Latn-ME"/>
        </w:rPr>
        <w:t xml:space="preserve"> </w:t>
      </w:r>
      <w:r w:rsidRPr="000D3D7F">
        <w:rPr>
          <w:szCs w:val="22"/>
          <w:lang w:val="sr-Latn-ME"/>
        </w:rPr>
        <w:t>podaci o efikasnosti se smatraju nepotpuni. (vid</w:t>
      </w:r>
      <w:r w:rsidR="00A71F68" w:rsidRPr="000D3D7F">
        <w:rPr>
          <w:szCs w:val="22"/>
          <w:lang w:val="sr-Latn-ME"/>
        </w:rPr>
        <w:t>j</w:t>
      </w:r>
      <w:r w:rsidRPr="000D3D7F">
        <w:rPr>
          <w:szCs w:val="22"/>
          <w:lang w:val="sr-Latn-ME"/>
        </w:rPr>
        <w:t>eti d</w:t>
      </w:r>
      <w:r w:rsidR="00A71F68" w:rsidRPr="000D3D7F">
        <w:rPr>
          <w:szCs w:val="22"/>
          <w:lang w:val="sr-Latn-ME"/>
        </w:rPr>
        <w:t>i</w:t>
      </w:r>
      <w:r w:rsidRPr="000D3D7F">
        <w:rPr>
          <w:szCs w:val="22"/>
          <w:lang w:val="sr-Latn-ME"/>
        </w:rPr>
        <w:t>o 4.2).</w:t>
      </w:r>
    </w:p>
    <w:p w14:paraId="1D705928" w14:textId="0D7D1C77" w:rsidR="009E39C5" w:rsidRPr="000D3D7F" w:rsidRDefault="009E39C5" w:rsidP="001E1F5A">
      <w:pPr>
        <w:rPr>
          <w:szCs w:val="22"/>
          <w:lang w:val="sr-Latn-ME"/>
        </w:rPr>
      </w:pPr>
      <w:r w:rsidRPr="000D3D7F">
        <w:rPr>
          <w:szCs w:val="22"/>
          <w:lang w:val="sr-Latn-ME"/>
        </w:rPr>
        <w:t>Za ispitivanje bezb</w:t>
      </w:r>
      <w:r w:rsidR="00A71F68" w:rsidRPr="000D3D7F">
        <w:rPr>
          <w:szCs w:val="22"/>
          <w:lang w:val="sr-Latn-ME"/>
        </w:rPr>
        <w:t>j</w:t>
      </w:r>
      <w:r w:rsidRPr="000D3D7F">
        <w:rPr>
          <w:szCs w:val="22"/>
          <w:lang w:val="sr-Latn-ME"/>
        </w:rPr>
        <w:t>ednosti, bilo je uključeno 140 pacijenata sa ALL ili LL pros</w:t>
      </w:r>
      <w:r w:rsidR="00A71F68" w:rsidRPr="000D3D7F">
        <w:rPr>
          <w:szCs w:val="22"/>
          <w:lang w:val="sr-Latn-ME"/>
        </w:rPr>
        <w:t>j</w:t>
      </w:r>
      <w:r w:rsidRPr="000D3D7F">
        <w:rPr>
          <w:szCs w:val="22"/>
          <w:lang w:val="sr-Latn-ME"/>
        </w:rPr>
        <w:t>ečnog uzrasta od 10 godina</w:t>
      </w:r>
      <w:r w:rsidR="00E83F4F" w:rsidRPr="000D3D7F">
        <w:rPr>
          <w:szCs w:val="22"/>
          <w:lang w:val="sr-Latn-ME"/>
        </w:rPr>
        <w:t xml:space="preserve"> </w:t>
      </w:r>
      <w:r w:rsidRPr="000D3D7F">
        <w:rPr>
          <w:szCs w:val="22"/>
          <w:lang w:val="sr-Latn-ME"/>
        </w:rPr>
        <w:t>(raspon od 1 do 26). Nije bilo novih bezb</w:t>
      </w:r>
      <w:r w:rsidR="00A71F68" w:rsidRPr="000D3D7F">
        <w:rPr>
          <w:szCs w:val="22"/>
          <w:lang w:val="sr-Latn-ME"/>
        </w:rPr>
        <w:t>j</w:t>
      </w:r>
      <w:r w:rsidRPr="000D3D7F">
        <w:rPr>
          <w:szCs w:val="22"/>
          <w:lang w:val="sr-Latn-ME"/>
        </w:rPr>
        <w:t xml:space="preserve">ednosnih podataka kada je </w:t>
      </w:r>
      <w:r w:rsidR="00251927" w:rsidRPr="000D3D7F">
        <w:rPr>
          <w:szCs w:val="22"/>
          <w:lang w:val="sr-Latn-ME"/>
        </w:rPr>
        <w:t>bortezomib</w:t>
      </w:r>
      <w:r w:rsidR="00251927" w:rsidRPr="000D3D7F" w:rsidDel="00251927">
        <w:rPr>
          <w:szCs w:val="22"/>
          <w:lang w:val="sr-Latn-ME"/>
        </w:rPr>
        <w:t xml:space="preserve"> </w:t>
      </w:r>
      <w:r w:rsidRPr="000D3D7F">
        <w:rPr>
          <w:szCs w:val="22"/>
          <w:lang w:val="sr-Latn-ME"/>
        </w:rPr>
        <w:t>dodat standardnoj osnovnoj</w:t>
      </w:r>
      <w:r w:rsidR="00E83F4F" w:rsidRPr="000D3D7F">
        <w:rPr>
          <w:szCs w:val="22"/>
          <w:lang w:val="sr-Latn-ME"/>
        </w:rPr>
        <w:t xml:space="preserve"> </w:t>
      </w:r>
      <w:r w:rsidRPr="000D3D7F">
        <w:rPr>
          <w:szCs w:val="22"/>
          <w:lang w:val="sr-Latn-ME"/>
        </w:rPr>
        <w:t>pedijatrijskoj hemoterapiji za pr</w:t>
      </w:r>
      <w:r w:rsidR="00A71F68" w:rsidRPr="000D3D7F">
        <w:rPr>
          <w:szCs w:val="22"/>
          <w:lang w:val="sr-Latn-ME"/>
        </w:rPr>
        <w:t>ij</w:t>
      </w:r>
      <w:r w:rsidRPr="000D3D7F">
        <w:rPr>
          <w:szCs w:val="22"/>
          <w:lang w:val="sr-Latn-ME"/>
        </w:rPr>
        <w:t>e-B ćelijsku ALL. Sl</w:t>
      </w:r>
      <w:r w:rsidR="00A71F68" w:rsidRPr="000D3D7F">
        <w:rPr>
          <w:szCs w:val="22"/>
          <w:lang w:val="sr-Latn-ME"/>
        </w:rPr>
        <w:t>j</w:t>
      </w:r>
      <w:r w:rsidRPr="000D3D7F">
        <w:rPr>
          <w:szCs w:val="22"/>
          <w:lang w:val="sr-Latn-ME"/>
        </w:rPr>
        <w:t>edeće navedeni neželjeni efekti (Gradusa ≥ 3) su bili</w:t>
      </w:r>
      <w:r w:rsidR="00E83F4F" w:rsidRPr="000D3D7F">
        <w:rPr>
          <w:szCs w:val="22"/>
          <w:lang w:val="sr-Latn-ME"/>
        </w:rPr>
        <w:t xml:space="preserve"> </w:t>
      </w:r>
      <w:r w:rsidRPr="000D3D7F">
        <w:rPr>
          <w:szCs w:val="22"/>
          <w:lang w:val="sr-Latn-ME"/>
        </w:rPr>
        <w:t>zab</w:t>
      </w:r>
      <w:r w:rsidR="00A71F68" w:rsidRPr="000D3D7F">
        <w:rPr>
          <w:szCs w:val="22"/>
          <w:lang w:val="sr-Latn-ME"/>
        </w:rPr>
        <w:t>i</w:t>
      </w:r>
      <w:r w:rsidRPr="000D3D7F">
        <w:rPr>
          <w:szCs w:val="22"/>
          <w:lang w:val="sr-Latn-ME"/>
        </w:rPr>
        <w:t>l</w:t>
      </w:r>
      <w:r w:rsidR="00A71F68" w:rsidRPr="000D3D7F">
        <w:rPr>
          <w:szCs w:val="22"/>
          <w:lang w:val="sr-Latn-ME"/>
        </w:rPr>
        <w:t>j</w:t>
      </w:r>
      <w:r w:rsidRPr="000D3D7F">
        <w:rPr>
          <w:szCs w:val="22"/>
          <w:lang w:val="sr-Latn-ME"/>
        </w:rPr>
        <w:t xml:space="preserve">eženi u većoj incidenci sa režimom kome je dodat </w:t>
      </w:r>
      <w:r w:rsidR="00251927" w:rsidRPr="000D3D7F">
        <w:rPr>
          <w:szCs w:val="22"/>
          <w:lang w:val="sr-Latn-ME"/>
        </w:rPr>
        <w:t>bortezomib</w:t>
      </w:r>
      <w:r w:rsidRPr="000D3D7F">
        <w:rPr>
          <w:szCs w:val="22"/>
          <w:lang w:val="sr-Latn-ME"/>
        </w:rPr>
        <w:t xml:space="preserve"> u odnosu na kontrolnu studiju kada je</w:t>
      </w:r>
      <w:r w:rsidR="00E83F4F" w:rsidRPr="000D3D7F">
        <w:rPr>
          <w:szCs w:val="22"/>
          <w:lang w:val="sr-Latn-ME"/>
        </w:rPr>
        <w:t xml:space="preserve"> </w:t>
      </w:r>
      <w:r w:rsidRPr="000D3D7F">
        <w:rPr>
          <w:szCs w:val="22"/>
          <w:lang w:val="sr-Latn-ME"/>
        </w:rPr>
        <w:t xml:space="preserve">terapijski režim </w:t>
      </w:r>
      <w:r w:rsidR="00395F63" w:rsidRPr="000D3D7F">
        <w:rPr>
          <w:szCs w:val="22"/>
          <w:lang w:val="sr-Latn-ME"/>
        </w:rPr>
        <w:t xml:space="preserve">primijenjen </w:t>
      </w:r>
      <w:r w:rsidRPr="000D3D7F">
        <w:rPr>
          <w:szCs w:val="22"/>
          <w:lang w:val="sr-Latn-ME"/>
        </w:rPr>
        <w:t>samostalno: u bloku 1 periferna senzorna neuropatija (3% u odnosu na 0%); ileus</w:t>
      </w:r>
      <w:r w:rsidR="00E83F4F" w:rsidRPr="000D3D7F">
        <w:rPr>
          <w:szCs w:val="22"/>
          <w:lang w:val="sr-Latn-ME"/>
        </w:rPr>
        <w:t xml:space="preserve"> </w:t>
      </w:r>
      <w:r w:rsidRPr="000D3D7F">
        <w:rPr>
          <w:szCs w:val="22"/>
          <w:lang w:val="sr-Latn-ME"/>
        </w:rPr>
        <w:t>(2,1% u odnosu na 0%); hipoksija (8% u odnosu na 2%). Nije bilo dostupnih informacija o mogućim</w:t>
      </w:r>
      <w:r w:rsidR="00E83F4F" w:rsidRPr="000D3D7F">
        <w:rPr>
          <w:szCs w:val="22"/>
          <w:lang w:val="sr-Latn-ME"/>
        </w:rPr>
        <w:t xml:space="preserve"> </w:t>
      </w:r>
      <w:r w:rsidRPr="000D3D7F">
        <w:rPr>
          <w:szCs w:val="22"/>
          <w:lang w:val="sr-Latn-ME"/>
        </w:rPr>
        <w:t>posl</w:t>
      </w:r>
      <w:r w:rsidR="00A71F68" w:rsidRPr="000D3D7F">
        <w:rPr>
          <w:szCs w:val="22"/>
          <w:lang w:val="sr-Latn-ME"/>
        </w:rPr>
        <w:t>j</w:t>
      </w:r>
      <w:r w:rsidRPr="000D3D7F">
        <w:rPr>
          <w:szCs w:val="22"/>
          <w:lang w:val="sr-Latn-ME"/>
        </w:rPr>
        <w:t>edicama ili stopama povlačenja periferne neuropatije u ovom ispitivanju. Takođe su zab</w:t>
      </w:r>
      <w:r w:rsidR="00A71F68" w:rsidRPr="000D3D7F">
        <w:rPr>
          <w:szCs w:val="22"/>
          <w:lang w:val="sr-Latn-ME"/>
        </w:rPr>
        <w:t>i</w:t>
      </w:r>
      <w:r w:rsidRPr="000D3D7F">
        <w:rPr>
          <w:szCs w:val="22"/>
          <w:lang w:val="sr-Latn-ME"/>
        </w:rPr>
        <w:t>l</w:t>
      </w:r>
      <w:r w:rsidR="00A71F68" w:rsidRPr="000D3D7F">
        <w:rPr>
          <w:szCs w:val="22"/>
          <w:lang w:val="sr-Latn-ME"/>
        </w:rPr>
        <w:t>j</w:t>
      </w:r>
      <w:r w:rsidRPr="000D3D7F">
        <w:rPr>
          <w:szCs w:val="22"/>
          <w:lang w:val="sr-Latn-ME"/>
        </w:rPr>
        <w:t>ežene veće</w:t>
      </w:r>
      <w:r w:rsidR="00E83F4F" w:rsidRPr="000D3D7F">
        <w:rPr>
          <w:szCs w:val="22"/>
          <w:lang w:val="sr-Latn-ME"/>
        </w:rPr>
        <w:t xml:space="preserve"> </w:t>
      </w:r>
      <w:r w:rsidRPr="000D3D7F">
        <w:rPr>
          <w:szCs w:val="22"/>
          <w:lang w:val="sr-Latn-ME"/>
        </w:rPr>
        <w:t xml:space="preserve">incidence infekcija sa gradusom ≥ </w:t>
      </w:r>
      <w:r w:rsidR="00641887" w:rsidRPr="000D3D7F">
        <w:rPr>
          <w:szCs w:val="22"/>
          <w:lang w:val="sr-Latn-ME"/>
        </w:rPr>
        <w:t xml:space="preserve">3 </w:t>
      </w:r>
      <w:r w:rsidRPr="000D3D7F">
        <w:rPr>
          <w:szCs w:val="22"/>
          <w:lang w:val="sr-Latn-ME"/>
        </w:rPr>
        <w:t>neutropenije (24% u odnosu na 19% u 1. bloku i 22% u odnosu na 11% u</w:t>
      </w:r>
      <w:r w:rsidR="00E83F4F" w:rsidRPr="000D3D7F">
        <w:rPr>
          <w:szCs w:val="22"/>
          <w:lang w:val="sr-Latn-ME"/>
        </w:rPr>
        <w:t xml:space="preserve"> </w:t>
      </w:r>
      <w:r w:rsidRPr="000D3D7F">
        <w:rPr>
          <w:szCs w:val="22"/>
          <w:lang w:val="sr-Latn-ME"/>
        </w:rPr>
        <w:lastRenderedPageBreak/>
        <w:t>2. Bloku), povišen ALT (17% u odnosu na 8% u 2. bloku), hipokalemija (18% u odnosu na 6% u 1. bloku i</w:t>
      </w:r>
      <w:r w:rsidR="00E83F4F" w:rsidRPr="000D3D7F">
        <w:rPr>
          <w:szCs w:val="22"/>
          <w:lang w:val="sr-Latn-ME"/>
        </w:rPr>
        <w:t xml:space="preserve"> </w:t>
      </w:r>
      <w:r w:rsidRPr="000D3D7F">
        <w:rPr>
          <w:szCs w:val="22"/>
          <w:lang w:val="sr-Latn-ME"/>
        </w:rPr>
        <w:t>21% u odnosu na 12% u 2.bloku) i hiponatremija (12% u odnosu na 5% u 1.bloku i 4% u odnosu na 0 u</w:t>
      </w:r>
      <w:r w:rsidR="00E83F4F" w:rsidRPr="000D3D7F">
        <w:rPr>
          <w:szCs w:val="22"/>
          <w:lang w:val="sr-Latn-ME"/>
        </w:rPr>
        <w:t xml:space="preserve"> </w:t>
      </w:r>
      <w:r w:rsidRPr="000D3D7F">
        <w:rPr>
          <w:szCs w:val="22"/>
          <w:lang w:val="sr-Latn-ME"/>
        </w:rPr>
        <w:t>2.bloku).</w:t>
      </w:r>
    </w:p>
    <w:p w14:paraId="17A3FEC9" w14:textId="77777777" w:rsidR="00007EF9" w:rsidRPr="000D3D7F" w:rsidRDefault="00007EF9" w:rsidP="001E1F5A">
      <w:pPr>
        <w:rPr>
          <w:szCs w:val="22"/>
          <w:lang w:val="sr-Latn-ME"/>
        </w:rPr>
      </w:pPr>
    </w:p>
    <w:p w14:paraId="17A3FECA" w14:textId="77777777" w:rsidR="00007EF9" w:rsidRPr="000D3D7F" w:rsidRDefault="00007EF9" w:rsidP="001E1F5A">
      <w:pPr>
        <w:rPr>
          <w:b/>
          <w:bCs/>
          <w:szCs w:val="22"/>
          <w:lang w:val="sr-Latn-ME"/>
        </w:rPr>
      </w:pPr>
      <w:r w:rsidRPr="000D3D7F">
        <w:rPr>
          <w:b/>
          <w:bCs/>
          <w:szCs w:val="22"/>
          <w:lang w:val="sr-Latn-ME"/>
        </w:rPr>
        <w:t>5.2. Farmakokinetički podaci</w:t>
      </w:r>
    </w:p>
    <w:p w14:paraId="39749AFA" w14:textId="6B7ECF9A" w:rsidR="009E39C5" w:rsidRPr="000D3D7F" w:rsidRDefault="00E83F4F" w:rsidP="001E1F5A">
      <w:pPr>
        <w:rPr>
          <w:szCs w:val="22"/>
          <w:lang w:val="sr-Latn-ME"/>
        </w:rPr>
      </w:pPr>
      <w:r w:rsidRPr="000D3D7F">
        <w:rPr>
          <w:szCs w:val="22"/>
          <w:u w:val="single"/>
          <w:lang w:val="sr-Latn-ME"/>
        </w:rPr>
        <w:t>Res</w:t>
      </w:r>
      <w:r w:rsidR="009E39C5" w:rsidRPr="000D3D7F">
        <w:rPr>
          <w:szCs w:val="22"/>
          <w:u w:val="single"/>
          <w:lang w:val="sr-Latn-ME"/>
        </w:rPr>
        <w:t>orpcija</w:t>
      </w:r>
    </w:p>
    <w:p w14:paraId="496A292F" w14:textId="3FB3C052" w:rsidR="009E39C5" w:rsidRPr="000D3D7F" w:rsidRDefault="009E39C5" w:rsidP="001E1F5A">
      <w:pPr>
        <w:rPr>
          <w:szCs w:val="22"/>
          <w:lang w:val="sr-Latn-ME"/>
        </w:rPr>
      </w:pPr>
      <w:r w:rsidRPr="000D3D7F">
        <w:rPr>
          <w:szCs w:val="22"/>
          <w:lang w:val="sr-Latn-ME"/>
        </w:rPr>
        <w:t>Kod 11 pacijenata sa multiplim mijelomom i klirensom kreatinina većim od 50 m</w:t>
      </w:r>
      <w:r w:rsidR="00695513" w:rsidRPr="000D3D7F">
        <w:rPr>
          <w:szCs w:val="22"/>
          <w:lang w:val="sr-Latn-ME"/>
        </w:rPr>
        <w:t>l</w:t>
      </w:r>
      <w:r w:rsidRPr="000D3D7F">
        <w:rPr>
          <w:szCs w:val="22"/>
          <w:lang w:val="sr-Latn-ME"/>
        </w:rPr>
        <w:t>/min, nakon prim</w:t>
      </w:r>
      <w:r w:rsidR="00A71F68" w:rsidRPr="000D3D7F">
        <w:rPr>
          <w:szCs w:val="22"/>
          <w:lang w:val="sr-Latn-ME"/>
        </w:rPr>
        <w:t>j</w:t>
      </w:r>
      <w:r w:rsidRPr="000D3D7F">
        <w:rPr>
          <w:szCs w:val="22"/>
          <w:lang w:val="sr-Latn-ME"/>
        </w:rPr>
        <w:t>ene bortezomiba u dozi od 1,0 mg/m</w:t>
      </w:r>
      <w:r w:rsidRPr="000D3D7F">
        <w:rPr>
          <w:szCs w:val="22"/>
          <w:vertAlign w:val="superscript"/>
          <w:lang w:val="sr-Latn-ME"/>
        </w:rPr>
        <w:t>2</w:t>
      </w:r>
      <w:r w:rsidRPr="000D3D7F">
        <w:rPr>
          <w:szCs w:val="22"/>
          <w:lang w:val="sr-Latn-ME"/>
        </w:rPr>
        <w:t xml:space="preserve"> i 1,3 mg/m</w:t>
      </w:r>
      <w:r w:rsidRPr="000D3D7F">
        <w:rPr>
          <w:szCs w:val="22"/>
          <w:vertAlign w:val="superscript"/>
          <w:lang w:val="sr-Latn-ME"/>
        </w:rPr>
        <w:t>2</w:t>
      </w:r>
      <w:r w:rsidRPr="000D3D7F">
        <w:rPr>
          <w:szCs w:val="22"/>
          <w:lang w:val="sr-Latn-ME"/>
        </w:rPr>
        <w:t>, u vidu bolusne intravenske injekcije, pros</w:t>
      </w:r>
      <w:r w:rsidR="00A71F68" w:rsidRPr="000D3D7F">
        <w:rPr>
          <w:szCs w:val="22"/>
          <w:lang w:val="sr-Latn-ME"/>
        </w:rPr>
        <w:t>j</w:t>
      </w:r>
      <w:r w:rsidRPr="000D3D7F">
        <w:rPr>
          <w:szCs w:val="22"/>
          <w:lang w:val="sr-Latn-ME"/>
        </w:rPr>
        <w:t>ečne maksimalne koncentracije bortezomiba u plazmi nakon prve doze su bile 57 i 112 nanograma/m</w:t>
      </w:r>
      <w:r w:rsidR="00695513" w:rsidRPr="000D3D7F">
        <w:rPr>
          <w:szCs w:val="22"/>
          <w:lang w:val="sr-Latn-ME"/>
        </w:rPr>
        <w:t>l</w:t>
      </w:r>
      <w:r w:rsidRPr="000D3D7F">
        <w:rPr>
          <w:szCs w:val="22"/>
          <w:lang w:val="sr-Latn-ME"/>
        </w:rPr>
        <w:t>. Pros</w:t>
      </w:r>
      <w:r w:rsidR="00A71F68" w:rsidRPr="000D3D7F">
        <w:rPr>
          <w:szCs w:val="22"/>
          <w:lang w:val="sr-Latn-ME"/>
        </w:rPr>
        <w:t>j</w:t>
      </w:r>
      <w:r w:rsidRPr="000D3D7F">
        <w:rPr>
          <w:szCs w:val="22"/>
          <w:lang w:val="sr-Latn-ME"/>
        </w:rPr>
        <w:t>ečne maksimalne koncentracije bortezomiba u plazmi pri narednim doziranjima kretale su se u ops</w:t>
      </w:r>
      <w:r w:rsidR="00A508FA" w:rsidRPr="000D3D7F">
        <w:rPr>
          <w:szCs w:val="22"/>
          <w:lang w:val="sr-Latn-ME"/>
        </w:rPr>
        <w:t>j</w:t>
      </w:r>
      <w:r w:rsidRPr="000D3D7F">
        <w:rPr>
          <w:szCs w:val="22"/>
          <w:lang w:val="sr-Latn-ME"/>
        </w:rPr>
        <w:t>egu od 67 nanograma/m</w:t>
      </w:r>
      <w:r w:rsidR="00695513" w:rsidRPr="000D3D7F">
        <w:rPr>
          <w:szCs w:val="22"/>
          <w:lang w:val="sr-Latn-ME"/>
        </w:rPr>
        <w:t>l</w:t>
      </w:r>
      <w:r w:rsidR="00A508FA" w:rsidRPr="000D3D7F">
        <w:rPr>
          <w:szCs w:val="22"/>
          <w:lang w:val="sr-Latn-ME"/>
        </w:rPr>
        <w:t xml:space="preserve"> </w:t>
      </w:r>
      <w:r w:rsidRPr="000D3D7F">
        <w:rPr>
          <w:szCs w:val="22"/>
          <w:lang w:val="sr-Latn-ME"/>
        </w:rPr>
        <w:t>do 106 nanograma/m</w:t>
      </w:r>
      <w:r w:rsidR="00695513" w:rsidRPr="000D3D7F">
        <w:rPr>
          <w:szCs w:val="22"/>
          <w:lang w:val="sr-Latn-ME"/>
        </w:rPr>
        <w:t>l</w:t>
      </w:r>
      <w:r w:rsidRPr="000D3D7F">
        <w:rPr>
          <w:szCs w:val="22"/>
          <w:lang w:val="sr-Latn-ME"/>
        </w:rPr>
        <w:t xml:space="preserve"> za dozu l</w:t>
      </w:r>
      <w:r w:rsidR="00A508FA" w:rsidRPr="000D3D7F">
        <w:rPr>
          <w:szCs w:val="22"/>
          <w:lang w:val="sr-Latn-ME"/>
        </w:rPr>
        <w:t>ij</w:t>
      </w:r>
      <w:r w:rsidRPr="000D3D7F">
        <w:rPr>
          <w:szCs w:val="22"/>
          <w:lang w:val="sr-Latn-ME"/>
        </w:rPr>
        <w:t>eka od 1,0 mg/m</w:t>
      </w:r>
      <w:r w:rsidRPr="000D3D7F">
        <w:rPr>
          <w:szCs w:val="22"/>
          <w:vertAlign w:val="superscript"/>
          <w:lang w:val="sr-Latn-ME"/>
        </w:rPr>
        <w:t>2</w:t>
      </w:r>
      <w:r w:rsidRPr="000D3D7F">
        <w:rPr>
          <w:szCs w:val="22"/>
          <w:lang w:val="sr-Latn-ME"/>
        </w:rPr>
        <w:t>, odnosno od 89 nanograma/m</w:t>
      </w:r>
      <w:r w:rsidR="00695513" w:rsidRPr="000D3D7F">
        <w:rPr>
          <w:szCs w:val="22"/>
          <w:lang w:val="sr-Latn-ME"/>
        </w:rPr>
        <w:t>l</w:t>
      </w:r>
      <w:r w:rsidRPr="000D3D7F">
        <w:rPr>
          <w:szCs w:val="22"/>
          <w:lang w:val="sr-Latn-ME"/>
        </w:rPr>
        <w:t xml:space="preserve"> do 120 nanograma/m</w:t>
      </w:r>
      <w:r w:rsidR="00695513" w:rsidRPr="000D3D7F">
        <w:rPr>
          <w:szCs w:val="22"/>
          <w:lang w:val="sr-Latn-ME"/>
        </w:rPr>
        <w:t>l</w:t>
      </w:r>
      <w:r w:rsidRPr="000D3D7F">
        <w:rPr>
          <w:szCs w:val="22"/>
          <w:lang w:val="sr-Latn-ME"/>
        </w:rPr>
        <w:t xml:space="preserve"> za dozu l</w:t>
      </w:r>
      <w:r w:rsidR="00A508FA" w:rsidRPr="000D3D7F">
        <w:rPr>
          <w:szCs w:val="22"/>
          <w:lang w:val="sr-Latn-ME"/>
        </w:rPr>
        <w:t>ij</w:t>
      </w:r>
      <w:r w:rsidRPr="000D3D7F">
        <w:rPr>
          <w:szCs w:val="22"/>
          <w:lang w:val="sr-Latn-ME"/>
        </w:rPr>
        <w:t>eka 1,3 mg/m</w:t>
      </w:r>
      <w:r w:rsidRPr="000D3D7F">
        <w:rPr>
          <w:szCs w:val="22"/>
          <w:vertAlign w:val="superscript"/>
          <w:lang w:val="sr-Latn-ME"/>
        </w:rPr>
        <w:t>2</w:t>
      </w:r>
      <w:r w:rsidRPr="000D3D7F">
        <w:rPr>
          <w:szCs w:val="22"/>
          <w:lang w:val="sr-Latn-ME"/>
        </w:rPr>
        <w:t>.</w:t>
      </w:r>
    </w:p>
    <w:p w14:paraId="08BACB0A" w14:textId="79B24066" w:rsidR="009E39C5" w:rsidRPr="000D3D7F" w:rsidRDefault="009E39C5" w:rsidP="001E1F5A">
      <w:pPr>
        <w:rPr>
          <w:szCs w:val="22"/>
          <w:lang w:val="sr-Latn-ME"/>
        </w:rPr>
      </w:pPr>
      <w:r w:rsidRPr="000D3D7F">
        <w:rPr>
          <w:szCs w:val="22"/>
          <w:lang w:val="sr-Latn-ME"/>
        </w:rPr>
        <w:t>Nakon prim</w:t>
      </w:r>
      <w:r w:rsidR="00A508FA" w:rsidRPr="000D3D7F">
        <w:rPr>
          <w:szCs w:val="22"/>
          <w:lang w:val="sr-Latn-ME"/>
        </w:rPr>
        <w:t>j</w:t>
      </w:r>
      <w:r w:rsidRPr="000D3D7F">
        <w:rPr>
          <w:szCs w:val="22"/>
          <w:lang w:val="sr-Latn-ME"/>
        </w:rPr>
        <w:t>ene 1,3mg/m2 doze intravenskog bolusa ili su</w:t>
      </w:r>
      <w:r w:rsidR="00765D0B" w:rsidRPr="000D3D7F">
        <w:rPr>
          <w:szCs w:val="22"/>
          <w:lang w:val="sr-Latn-ME"/>
        </w:rPr>
        <w:t>b</w:t>
      </w:r>
      <w:r w:rsidRPr="000D3D7F">
        <w:rPr>
          <w:szCs w:val="22"/>
          <w:lang w:val="sr-Latn-ME"/>
        </w:rPr>
        <w:t>kutane injekcije kod pacijenata sa multiplim mijelomom (n=14 u intravenoznoj grupi, n=17 u su</w:t>
      </w:r>
      <w:r w:rsidR="00765D0B" w:rsidRPr="000D3D7F">
        <w:rPr>
          <w:szCs w:val="22"/>
          <w:lang w:val="sr-Latn-ME"/>
        </w:rPr>
        <w:t>b</w:t>
      </w:r>
      <w:r w:rsidRPr="000D3D7F">
        <w:rPr>
          <w:szCs w:val="22"/>
          <w:lang w:val="sr-Latn-ME"/>
        </w:rPr>
        <w:t>kutanoj grupi) ukupna izloženost nakon ponovljenih doza prim</w:t>
      </w:r>
      <w:r w:rsidR="00A508FA" w:rsidRPr="000D3D7F">
        <w:rPr>
          <w:szCs w:val="22"/>
          <w:lang w:val="sr-Latn-ME"/>
        </w:rPr>
        <w:t>j</w:t>
      </w:r>
      <w:r w:rsidRPr="000D3D7F">
        <w:rPr>
          <w:szCs w:val="22"/>
          <w:lang w:val="sr-Latn-ME"/>
        </w:rPr>
        <w:t>ene (PIK</w:t>
      </w:r>
      <w:r w:rsidRPr="000D3D7F">
        <w:rPr>
          <w:szCs w:val="22"/>
          <w:vertAlign w:val="subscript"/>
          <w:lang w:val="sr-Latn-ME"/>
        </w:rPr>
        <w:t>last</w:t>
      </w:r>
      <w:r w:rsidRPr="000D3D7F">
        <w:rPr>
          <w:szCs w:val="22"/>
          <w:lang w:val="sr-Latn-ME"/>
        </w:rPr>
        <w:t>) je bila ekvivalentna pri su</w:t>
      </w:r>
      <w:r w:rsidR="007F7413" w:rsidRPr="000D3D7F">
        <w:rPr>
          <w:szCs w:val="22"/>
          <w:lang w:val="sr-Latn-ME"/>
        </w:rPr>
        <w:t>b</w:t>
      </w:r>
      <w:r w:rsidRPr="000D3D7F">
        <w:rPr>
          <w:szCs w:val="22"/>
          <w:lang w:val="sr-Latn-ME"/>
        </w:rPr>
        <w:t>kutanoj i inravenskoj prim</w:t>
      </w:r>
      <w:r w:rsidR="00A508FA" w:rsidRPr="000D3D7F">
        <w:rPr>
          <w:szCs w:val="22"/>
          <w:lang w:val="sr-Latn-ME"/>
        </w:rPr>
        <w:t>j</w:t>
      </w:r>
      <w:r w:rsidRPr="000D3D7F">
        <w:rPr>
          <w:szCs w:val="22"/>
          <w:lang w:val="sr-Latn-ME"/>
        </w:rPr>
        <w:t>eni. Cmax nakon su</w:t>
      </w:r>
      <w:r w:rsidR="007F7413" w:rsidRPr="000D3D7F">
        <w:rPr>
          <w:szCs w:val="22"/>
          <w:lang w:val="sr-Latn-ME"/>
        </w:rPr>
        <w:t>b</w:t>
      </w:r>
      <w:r w:rsidRPr="000D3D7F">
        <w:rPr>
          <w:szCs w:val="22"/>
          <w:lang w:val="sr-Latn-ME"/>
        </w:rPr>
        <w:t>kutane prim</w:t>
      </w:r>
      <w:r w:rsidR="00A508FA" w:rsidRPr="000D3D7F">
        <w:rPr>
          <w:szCs w:val="22"/>
          <w:lang w:val="sr-Latn-ME"/>
        </w:rPr>
        <w:t>j</w:t>
      </w:r>
      <w:r w:rsidRPr="000D3D7F">
        <w:rPr>
          <w:szCs w:val="22"/>
          <w:lang w:val="sr-Latn-ME"/>
        </w:rPr>
        <w:t>ene (20,4 nanograma/m</w:t>
      </w:r>
      <w:r w:rsidR="0098487C" w:rsidRPr="000D3D7F">
        <w:rPr>
          <w:szCs w:val="22"/>
          <w:lang w:val="sr-Latn-ME"/>
        </w:rPr>
        <w:t>l</w:t>
      </w:r>
      <w:r w:rsidRPr="000D3D7F">
        <w:rPr>
          <w:szCs w:val="22"/>
          <w:lang w:val="sr-Latn-ME"/>
        </w:rPr>
        <w:t>) je bio niži od intravenskog (223 nanograma/m</w:t>
      </w:r>
      <w:r w:rsidR="0098487C" w:rsidRPr="000D3D7F">
        <w:rPr>
          <w:szCs w:val="22"/>
          <w:lang w:val="sr-Latn-ME"/>
        </w:rPr>
        <w:t>l</w:t>
      </w:r>
      <w:r w:rsidRPr="000D3D7F">
        <w:rPr>
          <w:szCs w:val="22"/>
          <w:lang w:val="sr-Latn-ME"/>
        </w:rPr>
        <w:t>). Odnos geometrijskih sredina PIK</w:t>
      </w:r>
      <w:r w:rsidRPr="000D3D7F">
        <w:rPr>
          <w:szCs w:val="22"/>
          <w:vertAlign w:val="subscript"/>
          <w:lang w:val="sr-Latn-ME"/>
        </w:rPr>
        <w:t>last</w:t>
      </w:r>
      <w:r w:rsidRPr="000D3D7F">
        <w:rPr>
          <w:szCs w:val="22"/>
          <w:lang w:val="sr-Latn-ME"/>
        </w:rPr>
        <w:t xml:space="preserve"> je bio 0,99 i 90% intervali pov</w:t>
      </w:r>
      <w:r w:rsidR="00A508FA" w:rsidRPr="000D3D7F">
        <w:rPr>
          <w:szCs w:val="22"/>
          <w:lang w:val="sr-Latn-ME"/>
        </w:rPr>
        <w:t>j</w:t>
      </w:r>
      <w:r w:rsidRPr="000D3D7F">
        <w:rPr>
          <w:szCs w:val="22"/>
          <w:lang w:val="sr-Latn-ME"/>
        </w:rPr>
        <w:t>erenja su bili 80,18%-122,80%.</w:t>
      </w:r>
    </w:p>
    <w:p w14:paraId="010C05BE" w14:textId="77777777" w:rsidR="009E39C5" w:rsidRPr="000D3D7F" w:rsidRDefault="009E39C5" w:rsidP="001E1F5A">
      <w:pPr>
        <w:rPr>
          <w:szCs w:val="22"/>
          <w:lang w:val="sr-Latn-ME"/>
        </w:rPr>
      </w:pPr>
    </w:p>
    <w:p w14:paraId="45450BF6" w14:textId="77777777" w:rsidR="009E39C5" w:rsidRPr="000D3D7F" w:rsidRDefault="009E39C5" w:rsidP="001E1F5A">
      <w:pPr>
        <w:rPr>
          <w:szCs w:val="22"/>
          <w:lang w:val="sr-Latn-ME"/>
        </w:rPr>
      </w:pPr>
      <w:r w:rsidRPr="000D3D7F">
        <w:rPr>
          <w:szCs w:val="22"/>
          <w:u w:val="single"/>
          <w:lang w:val="sr-Latn-ME"/>
        </w:rPr>
        <w:t>Distibucija</w:t>
      </w:r>
    </w:p>
    <w:p w14:paraId="04E8B038" w14:textId="751E7594" w:rsidR="009E39C5" w:rsidRPr="000D3D7F" w:rsidRDefault="009E39C5" w:rsidP="001E1F5A">
      <w:pPr>
        <w:rPr>
          <w:szCs w:val="22"/>
          <w:lang w:val="sr-Latn-ME"/>
        </w:rPr>
      </w:pPr>
      <w:r w:rsidRPr="000D3D7F">
        <w:rPr>
          <w:szCs w:val="22"/>
          <w:lang w:val="sr-Latn-ME"/>
        </w:rPr>
        <w:t>Kod pacijenata sa multiplim mijelomom nakon prim</w:t>
      </w:r>
      <w:r w:rsidR="00A508FA" w:rsidRPr="000D3D7F">
        <w:rPr>
          <w:szCs w:val="22"/>
          <w:lang w:val="sr-Latn-ME"/>
        </w:rPr>
        <w:t>j</w:t>
      </w:r>
      <w:r w:rsidRPr="000D3D7F">
        <w:rPr>
          <w:szCs w:val="22"/>
          <w:lang w:val="sr-Latn-ME"/>
        </w:rPr>
        <w:t>ene pojedinačne ili ponovljene intravenske doze od 1,0 mg/m</w:t>
      </w:r>
      <w:r w:rsidRPr="000D3D7F">
        <w:rPr>
          <w:szCs w:val="22"/>
          <w:vertAlign w:val="superscript"/>
          <w:lang w:val="sr-Latn-ME"/>
        </w:rPr>
        <w:t>2</w:t>
      </w:r>
      <w:r w:rsidRPr="000D3D7F">
        <w:rPr>
          <w:szCs w:val="22"/>
          <w:lang w:val="sr-Latn-ME"/>
        </w:rPr>
        <w:t xml:space="preserve"> i 1,3 mg/m</w:t>
      </w:r>
      <w:r w:rsidRPr="000D3D7F">
        <w:rPr>
          <w:szCs w:val="22"/>
          <w:vertAlign w:val="superscript"/>
          <w:lang w:val="sr-Latn-ME"/>
        </w:rPr>
        <w:t>2</w:t>
      </w:r>
      <w:r w:rsidRPr="000D3D7F">
        <w:rPr>
          <w:szCs w:val="22"/>
          <w:lang w:val="sr-Latn-ME"/>
        </w:rPr>
        <w:t>, pros</w:t>
      </w:r>
      <w:r w:rsidR="00A508FA" w:rsidRPr="000D3D7F">
        <w:rPr>
          <w:szCs w:val="22"/>
          <w:lang w:val="sr-Latn-ME"/>
        </w:rPr>
        <w:t>j</w:t>
      </w:r>
      <w:r w:rsidRPr="000D3D7F">
        <w:rPr>
          <w:szCs w:val="22"/>
          <w:lang w:val="sr-Latn-ME"/>
        </w:rPr>
        <w:t>ečan volumen distribucije bortezomiba kretao se od 1659 litara do 3294 litara, što ukazuje da se bortezomib u velikom stepenu distribuira u periferna tkiva. U rasponu koncentracija bortezomiba od 0,01 do 1,0 mikrogram/m</w:t>
      </w:r>
      <w:r w:rsidR="0098487C" w:rsidRPr="000D3D7F">
        <w:rPr>
          <w:szCs w:val="22"/>
          <w:lang w:val="sr-Latn-ME"/>
        </w:rPr>
        <w:t>l</w:t>
      </w:r>
      <w:r w:rsidRPr="000D3D7F">
        <w:rPr>
          <w:szCs w:val="22"/>
          <w:lang w:val="sr-Latn-ME"/>
        </w:rPr>
        <w:t xml:space="preserve">, vezivanje za proteine u humanoj plazmi </w:t>
      </w:r>
      <w:r w:rsidRPr="000D3D7F">
        <w:rPr>
          <w:i/>
          <w:iCs/>
          <w:szCs w:val="22"/>
          <w:lang w:val="sr-Latn-ME"/>
        </w:rPr>
        <w:t xml:space="preserve">in vitro </w:t>
      </w:r>
      <w:r w:rsidRPr="000D3D7F">
        <w:rPr>
          <w:szCs w:val="22"/>
          <w:lang w:val="sr-Latn-ME"/>
        </w:rPr>
        <w:t>u pros</w:t>
      </w:r>
      <w:r w:rsidR="00A508FA" w:rsidRPr="000D3D7F">
        <w:rPr>
          <w:szCs w:val="22"/>
          <w:lang w:val="sr-Latn-ME"/>
        </w:rPr>
        <w:t>j</w:t>
      </w:r>
      <w:r w:rsidRPr="000D3D7F">
        <w:rPr>
          <w:szCs w:val="22"/>
          <w:lang w:val="sr-Latn-ME"/>
        </w:rPr>
        <w:t>eku je iznosilo 82,9%. Procenat vezivanja bortezomiba za proteine plazme nije zavisio od koncentracije.</w:t>
      </w:r>
    </w:p>
    <w:p w14:paraId="6DBCF6BC" w14:textId="77777777" w:rsidR="009E39C5" w:rsidRPr="000D3D7F" w:rsidRDefault="009E39C5" w:rsidP="001E1F5A">
      <w:pPr>
        <w:rPr>
          <w:szCs w:val="22"/>
          <w:lang w:val="sr-Latn-ME"/>
        </w:rPr>
      </w:pPr>
    </w:p>
    <w:p w14:paraId="05527273" w14:textId="77777777" w:rsidR="009E39C5" w:rsidRPr="000D3D7F" w:rsidRDefault="009E39C5" w:rsidP="001E1F5A">
      <w:pPr>
        <w:rPr>
          <w:szCs w:val="22"/>
          <w:lang w:val="sr-Latn-ME"/>
        </w:rPr>
      </w:pPr>
      <w:r w:rsidRPr="000D3D7F">
        <w:rPr>
          <w:szCs w:val="22"/>
          <w:u w:val="single"/>
          <w:lang w:val="sr-Latn-ME"/>
        </w:rPr>
        <w:t>Biotransformacija</w:t>
      </w:r>
    </w:p>
    <w:p w14:paraId="46FD6BD6" w14:textId="300BD39B" w:rsidR="009E39C5" w:rsidRPr="000D3D7F" w:rsidRDefault="009E39C5" w:rsidP="001E1F5A">
      <w:pPr>
        <w:rPr>
          <w:szCs w:val="22"/>
          <w:lang w:val="sr-Latn-ME"/>
        </w:rPr>
      </w:pPr>
      <w:r w:rsidRPr="000D3D7F">
        <w:rPr>
          <w:szCs w:val="22"/>
          <w:lang w:val="sr-Latn-ME"/>
        </w:rPr>
        <w:t>Ispitivanja i</w:t>
      </w:r>
      <w:r w:rsidRPr="000D3D7F">
        <w:rPr>
          <w:i/>
          <w:iCs/>
          <w:szCs w:val="22"/>
          <w:lang w:val="sr-Latn-ME"/>
        </w:rPr>
        <w:t xml:space="preserve">n vitro </w:t>
      </w:r>
      <w:r w:rsidRPr="000D3D7F">
        <w:rPr>
          <w:szCs w:val="22"/>
          <w:lang w:val="sr-Latn-ME"/>
        </w:rPr>
        <w:t>sa humanim mikrozomima jetre i humanim cDNA citohrom P450 izozimima pokazuju da se bortezomib primarno oksidativno metaboliše preko enzima citohroma P450, 3A4, 2C19 i 1A2. Glavni metabolički put je prevođenje bortezomiba u dva metabolita bez bora (deboronizacija) koji nakon toga podl</w:t>
      </w:r>
      <w:r w:rsidR="00395F63" w:rsidRPr="000D3D7F">
        <w:rPr>
          <w:szCs w:val="22"/>
          <w:lang w:val="sr-Latn-ME"/>
        </w:rPr>
        <w:t>ij</w:t>
      </w:r>
      <w:r w:rsidRPr="000D3D7F">
        <w:rPr>
          <w:szCs w:val="22"/>
          <w:lang w:val="sr-Latn-ME"/>
        </w:rPr>
        <w:t>ežu hidroksilaciji. Hidroksilacijom nastaje nekoliko metabolita. Metaboliti bortezomiba bez bora su neaktivni kao inhibitori proteozoma 26S.</w:t>
      </w:r>
    </w:p>
    <w:p w14:paraId="031EC437" w14:textId="77777777" w:rsidR="009E39C5" w:rsidRPr="000D3D7F" w:rsidRDefault="009E39C5" w:rsidP="001E1F5A">
      <w:pPr>
        <w:rPr>
          <w:szCs w:val="22"/>
          <w:lang w:val="sr-Latn-ME"/>
        </w:rPr>
      </w:pPr>
    </w:p>
    <w:p w14:paraId="4E5A32CB" w14:textId="77777777" w:rsidR="009E39C5" w:rsidRPr="000D3D7F" w:rsidRDefault="009E39C5" w:rsidP="001E1F5A">
      <w:pPr>
        <w:rPr>
          <w:szCs w:val="22"/>
          <w:lang w:val="sr-Latn-ME"/>
        </w:rPr>
      </w:pPr>
      <w:r w:rsidRPr="000D3D7F">
        <w:rPr>
          <w:szCs w:val="22"/>
          <w:u w:val="single"/>
          <w:lang w:val="sr-Latn-ME"/>
        </w:rPr>
        <w:t>Eliminacija</w:t>
      </w:r>
    </w:p>
    <w:p w14:paraId="755B7428" w14:textId="1B67C0CF" w:rsidR="009E39C5" w:rsidRPr="000D3D7F" w:rsidRDefault="009E39C5" w:rsidP="001E1F5A">
      <w:pPr>
        <w:rPr>
          <w:szCs w:val="22"/>
          <w:vertAlign w:val="superscript"/>
          <w:lang w:val="sr-Latn-ME"/>
        </w:rPr>
      </w:pPr>
      <w:r w:rsidRPr="000D3D7F">
        <w:rPr>
          <w:szCs w:val="22"/>
          <w:lang w:val="sr-Latn-ME"/>
        </w:rPr>
        <w:t>Poluvr</w:t>
      </w:r>
      <w:r w:rsidR="00A508FA" w:rsidRPr="000D3D7F">
        <w:rPr>
          <w:szCs w:val="22"/>
          <w:lang w:val="sr-Latn-ME"/>
        </w:rPr>
        <w:t>ij</w:t>
      </w:r>
      <w:r w:rsidRPr="000D3D7F">
        <w:rPr>
          <w:szCs w:val="22"/>
          <w:lang w:val="sr-Latn-ME"/>
        </w:rPr>
        <w:t>eme eliminacije (t</w:t>
      </w:r>
      <w:r w:rsidRPr="000D3D7F">
        <w:rPr>
          <w:szCs w:val="22"/>
          <w:vertAlign w:val="subscript"/>
          <w:lang w:val="sr-Latn-ME"/>
        </w:rPr>
        <w:t>1/2</w:t>
      </w:r>
      <w:r w:rsidRPr="000D3D7F">
        <w:rPr>
          <w:szCs w:val="22"/>
          <w:lang w:val="sr-Latn-ME"/>
        </w:rPr>
        <w:t>) bortezomiba nakon multiplog doziranja iznosi 40-193 sata. Bortezomib se brže eliminiše nakon prve doze u odnosu na naredne. Ukupan srednji klirens je bio 102 i 112</w:t>
      </w:r>
      <w:r w:rsidR="00B11634" w:rsidRPr="000D3D7F">
        <w:rPr>
          <w:szCs w:val="22"/>
          <w:lang w:val="sr-Latn-ME"/>
        </w:rPr>
        <w:t>l</w:t>
      </w:r>
      <w:r w:rsidRPr="000D3D7F">
        <w:rPr>
          <w:szCs w:val="22"/>
          <w:lang w:val="sr-Latn-ME"/>
        </w:rPr>
        <w:t>/h nakon prve doze u dozama od 1mg/m</w:t>
      </w:r>
      <w:r w:rsidRPr="000D3D7F">
        <w:rPr>
          <w:szCs w:val="22"/>
          <w:vertAlign w:val="superscript"/>
          <w:lang w:val="sr-Latn-ME"/>
        </w:rPr>
        <w:t>2</w:t>
      </w:r>
      <w:r w:rsidRPr="000D3D7F">
        <w:rPr>
          <w:szCs w:val="22"/>
          <w:lang w:val="sr-Latn-ME"/>
        </w:rPr>
        <w:t xml:space="preserve"> i 1,3mg/ m</w:t>
      </w:r>
      <w:r w:rsidRPr="000D3D7F">
        <w:rPr>
          <w:szCs w:val="22"/>
          <w:vertAlign w:val="superscript"/>
          <w:lang w:val="sr-Latn-ME"/>
        </w:rPr>
        <w:t>2</w:t>
      </w:r>
      <w:r w:rsidRPr="000D3D7F">
        <w:rPr>
          <w:szCs w:val="22"/>
          <w:lang w:val="sr-Latn-ME"/>
        </w:rPr>
        <w:t xml:space="preserve"> i između 15 do 32 </w:t>
      </w:r>
      <w:r w:rsidR="00B11634" w:rsidRPr="000D3D7F">
        <w:rPr>
          <w:szCs w:val="22"/>
          <w:lang w:val="sr-Latn-ME"/>
        </w:rPr>
        <w:t>l</w:t>
      </w:r>
      <w:r w:rsidRPr="000D3D7F">
        <w:rPr>
          <w:szCs w:val="22"/>
          <w:lang w:val="sr-Latn-ME"/>
        </w:rPr>
        <w:t xml:space="preserve">/h i 18 do 32 </w:t>
      </w:r>
      <w:r w:rsidR="00B11634" w:rsidRPr="000D3D7F">
        <w:rPr>
          <w:szCs w:val="22"/>
          <w:lang w:val="sr-Latn-ME"/>
        </w:rPr>
        <w:t>l</w:t>
      </w:r>
      <w:r w:rsidRPr="000D3D7F">
        <w:rPr>
          <w:szCs w:val="22"/>
          <w:lang w:val="sr-Latn-ME"/>
        </w:rPr>
        <w:t>/h za naredne doze u dozama od 1mg/ m</w:t>
      </w:r>
      <w:r w:rsidRPr="000D3D7F">
        <w:rPr>
          <w:szCs w:val="22"/>
          <w:vertAlign w:val="superscript"/>
          <w:lang w:val="sr-Latn-ME"/>
        </w:rPr>
        <w:t>2</w:t>
      </w:r>
      <w:r w:rsidRPr="000D3D7F">
        <w:rPr>
          <w:szCs w:val="22"/>
          <w:lang w:val="sr-Latn-ME"/>
        </w:rPr>
        <w:t xml:space="preserve"> i 1,3mg/ m</w:t>
      </w:r>
      <w:r w:rsidRPr="000D3D7F">
        <w:rPr>
          <w:szCs w:val="22"/>
          <w:vertAlign w:val="superscript"/>
          <w:lang w:val="sr-Latn-ME"/>
        </w:rPr>
        <w:t>2</w:t>
      </w:r>
    </w:p>
    <w:p w14:paraId="50840E47" w14:textId="77777777" w:rsidR="009E39C5" w:rsidRPr="000D3D7F" w:rsidRDefault="009E39C5" w:rsidP="001E1F5A">
      <w:pPr>
        <w:rPr>
          <w:szCs w:val="22"/>
          <w:lang w:val="sr-Latn-ME"/>
        </w:rPr>
      </w:pPr>
    </w:p>
    <w:p w14:paraId="75249B6C" w14:textId="77777777" w:rsidR="009E39C5" w:rsidRPr="000D3D7F" w:rsidRDefault="009E39C5" w:rsidP="001E1F5A">
      <w:pPr>
        <w:rPr>
          <w:szCs w:val="22"/>
          <w:lang w:val="sr-Latn-ME"/>
        </w:rPr>
      </w:pPr>
      <w:r w:rsidRPr="000D3D7F">
        <w:rPr>
          <w:szCs w:val="22"/>
          <w:u w:val="single"/>
          <w:lang w:val="sr-Latn-ME"/>
        </w:rPr>
        <w:t>Specijalne populacije</w:t>
      </w:r>
    </w:p>
    <w:p w14:paraId="45D29515" w14:textId="77777777" w:rsidR="00627301" w:rsidRPr="000D3D7F" w:rsidRDefault="009E39C5" w:rsidP="001E1F5A">
      <w:pPr>
        <w:rPr>
          <w:i/>
          <w:iCs/>
          <w:szCs w:val="22"/>
          <w:lang w:val="sr-Latn-ME"/>
        </w:rPr>
      </w:pPr>
      <w:r w:rsidRPr="000D3D7F">
        <w:rPr>
          <w:i/>
          <w:iCs/>
          <w:szCs w:val="22"/>
          <w:lang w:val="sr-Latn-ME"/>
        </w:rPr>
        <w:t xml:space="preserve">Oštećenje jetre </w:t>
      </w:r>
    </w:p>
    <w:p w14:paraId="186B7214" w14:textId="4E78D54B" w:rsidR="009E39C5" w:rsidRPr="000D3D7F" w:rsidRDefault="009E39C5" w:rsidP="001E1F5A">
      <w:pPr>
        <w:rPr>
          <w:szCs w:val="22"/>
          <w:lang w:val="sr-Latn-ME"/>
        </w:rPr>
      </w:pPr>
      <w:r w:rsidRPr="000D3D7F">
        <w:rPr>
          <w:szCs w:val="22"/>
          <w:lang w:val="sr-Latn-ME"/>
        </w:rPr>
        <w:t>Uticaj insuficijencije jetre na farmakokinetiku bortezomiba proc</w:t>
      </w:r>
      <w:r w:rsidR="00A508FA" w:rsidRPr="000D3D7F">
        <w:rPr>
          <w:szCs w:val="22"/>
          <w:lang w:val="sr-Latn-ME"/>
        </w:rPr>
        <w:t>ij</w:t>
      </w:r>
      <w:r w:rsidRPr="000D3D7F">
        <w:rPr>
          <w:szCs w:val="22"/>
          <w:lang w:val="sr-Latn-ME"/>
        </w:rPr>
        <w:t>enjen je u studiji faze I, tokom prvog ciklusa, uključujući 61 pacijenta prvenstveno sa solidnim tumorima i različitim stepenom insuficijencije jetre, koji su primali doze bortezomiba u ops</w:t>
      </w:r>
      <w:r w:rsidR="00A508FA" w:rsidRPr="000D3D7F">
        <w:rPr>
          <w:szCs w:val="22"/>
          <w:lang w:val="sr-Latn-ME"/>
        </w:rPr>
        <w:t>j</w:t>
      </w:r>
      <w:r w:rsidRPr="000D3D7F">
        <w:rPr>
          <w:szCs w:val="22"/>
          <w:lang w:val="sr-Latn-ME"/>
        </w:rPr>
        <w:t>egu od 0,5 do 1,3 mg/m</w:t>
      </w:r>
      <w:r w:rsidRPr="000D3D7F">
        <w:rPr>
          <w:szCs w:val="22"/>
          <w:vertAlign w:val="superscript"/>
          <w:lang w:val="sr-Latn-ME"/>
        </w:rPr>
        <w:t>2</w:t>
      </w:r>
      <w:r w:rsidRPr="000D3D7F">
        <w:rPr>
          <w:szCs w:val="22"/>
          <w:lang w:val="sr-Latn-ME"/>
        </w:rPr>
        <w:t>.</w:t>
      </w:r>
    </w:p>
    <w:p w14:paraId="1F9B2F4D" w14:textId="701E80E1" w:rsidR="009E39C5" w:rsidRPr="000D3D7F" w:rsidRDefault="009E39C5" w:rsidP="001E1F5A">
      <w:pPr>
        <w:rPr>
          <w:szCs w:val="22"/>
          <w:lang w:val="sr-Latn-ME"/>
        </w:rPr>
      </w:pPr>
      <w:r w:rsidRPr="000D3D7F">
        <w:rPr>
          <w:szCs w:val="22"/>
          <w:lang w:val="sr-Latn-ME"/>
        </w:rPr>
        <w:t>Kod pacijenata sa blagom insuficijencijom jetre, nije bilo prom</w:t>
      </w:r>
      <w:r w:rsidR="00A508FA" w:rsidRPr="000D3D7F">
        <w:rPr>
          <w:szCs w:val="22"/>
          <w:lang w:val="sr-Latn-ME"/>
        </w:rPr>
        <w:t>j</w:t>
      </w:r>
      <w:r w:rsidRPr="000D3D7F">
        <w:rPr>
          <w:szCs w:val="22"/>
          <w:lang w:val="sr-Latn-ME"/>
        </w:rPr>
        <w:t>ene vr</w:t>
      </w:r>
      <w:r w:rsidR="00A508FA" w:rsidRPr="000D3D7F">
        <w:rPr>
          <w:szCs w:val="22"/>
          <w:lang w:val="sr-Latn-ME"/>
        </w:rPr>
        <w:t>ij</w:t>
      </w:r>
      <w:r w:rsidRPr="000D3D7F">
        <w:rPr>
          <w:szCs w:val="22"/>
          <w:lang w:val="sr-Latn-ME"/>
        </w:rPr>
        <w:t>ednosti dozno-normalizovanih PIK</w:t>
      </w:r>
      <w:r w:rsidR="00E83F4F" w:rsidRPr="000D3D7F">
        <w:rPr>
          <w:szCs w:val="22"/>
          <w:lang w:val="sr-Latn-ME"/>
        </w:rPr>
        <w:t xml:space="preserve"> </w:t>
      </w:r>
      <w:r w:rsidRPr="000D3D7F">
        <w:rPr>
          <w:szCs w:val="22"/>
          <w:lang w:val="sr-Latn-ME"/>
        </w:rPr>
        <w:t>bortezomiba, u poređenju sa pacijentima sa normalnom funkcijom jetre. Međutim, kod pacijenata sa</w:t>
      </w:r>
      <w:r w:rsidR="00E83F4F" w:rsidRPr="000D3D7F">
        <w:rPr>
          <w:szCs w:val="22"/>
          <w:lang w:val="sr-Latn-ME"/>
        </w:rPr>
        <w:t xml:space="preserve"> </w:t>
      </w:r>
      <w:r w:rsidRPr="000D3D7F">
        <w:rPr>
          <w:szCs w:val="22"/>
          <w:lang w:val="sr-Latn-ME"/>
        </w:rPr>
        <w:t>um</w:t>
      </w:r>
      <w:r w:rsidR="00A508FA" w:rsidRPr="000D3D7F">
        <w:rPr>
          <w:szCs w:val="22"/>
          <w:lang w:val="sr-Latn-ME"/>
        </w:rPr>
        <w:t>j</w:t>
      </w:r>
      <w:r w:rsidRPr="000D3D7F">
        <w:rPr>
          <w:szCs w:val="22"/>
          <w:lang w:val="sr-Latn-ME"/>
        </w:rPr>
        <w:t>erenom ili teškom insuficijencijom jetre, srednje vr</w:t>
      </w:r>
      <w:r w:rsidR="00A508FA" w:rsidRPr="000D3D7F">
        <w:rPr>
          <w:szCs w:val="22"/>
          <w:lang w:val="sr-Latn-ME"/>
        </w:rPr>
        <w:t>ij</w:t>
      </w:r>
      <w:r w:rsidRPr="000D3D7F">
        <w:rPr>
          <w:szCs w:val="22"/>
          <w:lang w:val="sr-Latn-ME"/>
        </w:rPr>
        <w:t>ednosti dozno-normalizovanih PIK bile su povećane</w:t>
      </w:r>
      <w:r w:rsidR="00E83F4F" w:rsidRPr="000D3D7F">
        <w:rPr>
          <w:szCs w:val="22"/>
          <w:lang w:val="sr-Latn-ME"/>
        </w:rPr>
        <w:t xml:space="preserve"> </w:t>
      </w:r>
      <w:r w:rsidRPr="000D3D7F">
        <w:rPr>
          <w:szCs w:val="22"/>
          <w:lang w:val="sr-Latn-ME"/>
        </w:rPr>
        <w:t>za približno 60%. Kod pacijenata sa um</w:t>
      </w:r>
      <w:r w:rsidR="00A508FA" w:rsidRPr="000D3D7F">
        <w:rPr>
          <w:szCs w:val="22"/>
          <w:lang w:val="sr-Latn-ME"/>
        </w:rPr>
        <w:t>j</w:t>
      </w:r>
      <w:r w:rsidRPr="000D3D7F">
        <w:rPr>
          <w:szCs w:val="22"/>
          <w:lang w:val="sr-Latn-ME"/>
        </w:rPr>
        <w:t>erenom ili teškom insuficijencijom jetre preporučuju se niže početne</w:t>
      </w:r>
      <w:r w:rsidR="00E83F4F" w:rsidRPr="000D3D7F">
        <w:rPr>
          <w:szCs w:val="22"/>
          <w:lang w:val="sr-Latn-ME"/>
        </w:rPr>
        <w:t xml:space="preserve"> </w:t>
      </w:r>
      <w:r w:rsidRPr="000D3D7F">
        <w:rPr>
          <w:szCs w:val="22"/>
          <w:lang w:val="sr-Latn-ME"/>
        </w:rPr>
        <w:t>doze l</w:t>
      </w:r>
      <w:r w:rsidR="00A508FA" w:rsidRPr="000D3D7F">
        <w:rPr>
          <w:szCs w:val="22"/>
          <w:lang w:val="sr-Latn-ME"/>
        </w:rPr>
        <w:t>ij</w:t>
      </w:r>
      <w:r w:rsidRPr="000D3D7F">
        <w:rPr>
          <w:szCs w:val="22"/>
          <w:lang w:val="sr-Latn-ME"/>
        </w:rPr>
        <w:t>eka i ove pacijente je potrebno pažljivo pratiti (vid</w:t>
      </w:r>
      <w:r w:rsidR="00A508FA" w:rsidRPr="000D3D7F">
        <w:rPr>
          <w:szCs w:val="22"/>
          <w:lang w:val="sr-Latn-ME"/>
        </w:rPr>
        <w:t>j</w:t>
      </w:r>
      <w:r w:rsidRPr="000D3D7F">
        <w:rPr>
          <w:szCs w:val="22"/>
          <w:lang w:val="sr-Latn-ME"/>
        </w:rPr>
        <w:t xml:space="preserve">eti </w:t>
      </w:r>
      <w:r w:rsidR="00A34C43" w:rsidRPr="000D3D7F">
        <w:rPr>
          <w:szCs w:val="22"/>
          <w:lang w:val="sr-Latn-ME"/>
        </w:rPr>
        <w:t>dio</w:t>
      </w:r>
      <w:r w:rsidRPr="000D3D7F">
        <w:rPr>
          <w:szCs w:val="22"/>
          <w:lang w:val="sr-Latn-ME"/>
        </w:rPr>
        <w:t xml:space="preserve"> 4.2 Tabela 2).</w:t>
      </w:r>
    </w:p>
    <w:p w14:paraId="1F72570B" w14:textId="77777777" w:rsidR="009E39C5" w:rsidRPr="000D3D7F" w:rsidRDefault="009E39C5" w:rsidP="001E1F5A">
      <w:pPr>
        <w:rPr>
          <w:i/>
          <w:iCs/>
          <w:szCs w:val="22"/>
          <w:lang w:val="sr-Latn-ME"/>
        </w:rPr>
      </w:pPr>
      <w:r w:rsidRPr="000D3D7F">
        <w:rPr>
          <w:i/>
          <w:iCs/>
          <w:szCs w:val="22"/>
          <w:lang w:val="sr-Latn-ME"/>
        </w:rPr>
        <w:t>Oštećenje bubrega</w:t>
      </w:r>
    </w:p>
    <w:p w14:paraId="6149CC32" w14:textId="35B178D8" w:rsidR="009E39C5" w:rsidRPr="000D3D7F" w:rsidRDefault="009E39C5" w:rsidP="001E1F5A">
      <w:pPr>
        <w:rPr>
          <w:szCs w:val="22"/>
          <w:lang w:val="sr-Latn-ME"/>
        </w:rPr>
      </w:pPr>
      <w:r w:rsidRPr="000D3D7F">
        <w:rPr>
          <w:szCs w:val="22"/>
          <w:lang w:val="sr-Latn-ME"/>
        </w:rPr>
        <w:t>Farmakokinetičko ispitivanje je sprovedeno kod pacijenata sa različitim stepenom renalne insuficijencije koji</w:t>
      </w:r>
      <w:r w:rsidR="00E83F4F" w:rsidRPr="000D3D7F">
        <w:rPr>
          <w:szCs w:val="22"/>
          <w:lang w:val="sr-Latn-ME"/>
        </w:rPr>
        <w:t xml:space="preserve"> </w:t>
      </w:r>
      <w:r w:rsidRPr="000D3D7F">
        <w:rPr>
          <w:szCs w:val="22"/>
          <w:lang w:val="sr-Latn-ME"/>
        </w:rPr>
        <w:t>su, prema vr</w:t>
      </w:r>
      <w:r w:rsidR="003B7F03" w:rsidRPr="000D3D7F">
        <w:rPr>
          <w:szCs w:val="22"/>
          <w:lang w:val="sr-Latn-ME"/>
        </w:rPr>
        <w:t>ij</w:t>
      </w:r>
      <w:r w:rsidRPr="000D3D7F">
        <w:rPr>
          <w:szCs w:val="22"/>
          <w:lang w:val="sr-Latn-ME"/>
        </w:rPr>
        <w:t>ednosti klirensa kreatinina, klasifikovani u sl</w:t>
      </w:r>
      <w:r w:rsidR="003B7F03" w:rsidRPr="000D3D7F">
        <w:rPr>
          <w:szCs w:val="22"/>
          <w:lang w:val="sr-Latn-ME"/>
        </w:rPr>
        <w:t>j</w:t>
      </w:r>
      <w:r w:rsidRPr="000D3D7F">
        <w:rPr>
          <w:szCs w:val="22"/>
          <w:lang w:val="sr-Latn-ME"/>
        </w:rPr>
        <w:t>edeće grupe: Normalna funkcija bubrega (CrCL</w:t>
      </w:r>
      <w:r w:rsidR="00641887" w:rsidRPr="000D3D7F">
        <w:rPr>
          <w:lang w:val="sr-Latn-ME"/>
        </w:rPr>
        <w:t xml:space="preserve"> ≥</w:t>
      </w:r>
      <w:r w:rsidRPr="000D3D7F">
        <w:rPr>
          <w:szCs w:val="22"/>
          <w:lang w:val="sr-Latn-ME"/>
        </w:rPr>
        <w:t>60</w:t>
      </w:r>
      <w:r w:rsidR="00E83F4F" w:rsidRPr="000D3D7F">
        <w:rPr>
          <w:szCs w:val="22"/>
          <w:lang w:val="sr-Latn-ME"/>
        </w:rPr>
        <w:t xml:space="preserve"> </w:t>
      </w:r>
      <w:r w:rsidRPr="000D3D7F">
        <w:rPr>
          <w:szCs w:val="22"/>
          <w:lang w:val="sr-Latn-ME"/>
        </w:rPr>
        <w:t>m</w:t>
      </w:r>
      <w:r w:rsidR="0098487C"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n=12), blaga (CrCL=40-59 m</w:t>
      </w:r>
      <w:r w:rsidR="0098487C"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n=10), um</w:t>
      </w:r>
      <w:r w:rsidR="003B7F03" w:rsidRPr="000D3D7F">
        <w:rPr>
          <w:szCs w:val="22"/>
          <w:lang w:val="sr-Latn-ME"/>
        </w:rPr>
        <w:t>j</w:t>
      </w:r>
      <w:r w:rsidRPr="000D3D7F">
        <w:rPr>
          <w:szCs w:val="22"/>
          <w:lang w:val="sr-Latn-ME"/>
        </w:rPr>
        <w:t>erena (CrCL=20-39 m</w:t>
      </w:r>
      <w:r w:rsidR="0098487C"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n=9) i teška (CrCL&lt;20 m</w:t>
      </w:r>
      <w:r w:rsidR="0098487C" w:rsidRPr="000D3D7F">
        <w:rPr>
          <w:szCs w:val="22"/>
          <w:lang w:val="sr-Latn-ME"/>
        </w:rPr>
        <w:t>l</w:t>
      </w:r>
      <w:r w:rsidRPr="000D3D7F">
        <w:rPr>
          <w:szCs w:val="22"/>
          <w:lang w:val="sr-Latn-ME"/>
        </w:rPr>
        <w:t>/min/1,73m</w:t>
      </w:r>
      <w:r w:rsidRPr="000D3D7F">
        <w:rPr>
          <w:szCs w:val="22"/>
          <w:vertAlign w:val="superscript"/>
          <w:lang w:val="sr-Latn-ME"/>
        </w:rPr>
        <w:t>2</w:t>
      </w:r>
      <w:r w:rsidRPr="000D3D7F">
        <w:rPr>
          <w:szCs w:val="22"/>
          <w:lang w:val="sr-Latn-ME"/>
        </w:rPr>
        <w:t>, n=3) renalna insuficijencija. U ispitivanje je bila uključena i</w:t>
      </w:r>
      <w:r w:rsidR="00E83F4F" w:rsidRPr="000D3D7F">
        <w:rPr>
          <w:szCs w:val="22"/>
          <w:lang w:val="sr-Latn-ME"/>
        </w:rPr>
        <w:t xml:space="preserve"> </w:t>
      </w:r>
      <w:r w:rsidRPr="000D3D7F">
        <w:rPr>
          <w:szCs w:val="22"/>
          <w:lang w:val="sr-Latn-ME"/>
        </w:rPr>
        <w:t>grupa od 8 pacijenata koji su bili na dijalizi i kojima je l</w:t>
      </w:r>
      <w:r w:rsidR="003B7F03" w:rsidRPr="000D3D7F">
        <w:rPr>
          <w:szCs w:val="22"/>
          <w:lang w:val="sr-Latn-ME"/>
        </w:rPr>
        <w:t>ij</w:t>
      </w:r>
      <w:r w:rsidRPr="000D3D7F">
        <w:rPr>
          <w:szCs w:val="22"/>
          <w:lang w:val="sr-Latn-ME"/>
        </w:rPr>
        <w:t>ek prim</w:t>
      </w:r>
      <w:r w:rsidR="003B7F03" w:rsidRPr="000D3D7F">
        <w:rPr>
          <w:szCs w:val="22"/>
          <w:lang w:val="sr-Latn-ME"/>
        </w:rPr>
        <w:t>j</w:t>
      </w:r>
      <w:r w:rsidRPr="000D3D7F">
        <w:rPr>
          <w:szCs w:val="22"/>
          <w:lang w:val="sr-Latn-ME"/>
        </w:rPr>
        <w:t xml:space="preserve">enjivan nakon dijalize. Pacijenti </w:t>
      </w:r>
      <w:r w:rsidRPr="000D3D7F">
        <w:rPr>
          <w:szCs w:val="22"/>
          <w:lang w:val="sr-Latn-ME"/>
        </w:rPr>
        <w:lastRenderedPageBreak/>
        <w:t>su</w:t>
      </w:r>
      <w:r w:rsidR="00E83F4F" w:rsidRPr="000D3D7F">
        <w:rPr>
          <w:szCs w:val="22"/>
          <w:lang w:val="sr-Latn-ME"/>
        </w:rPr>
        <w:t xml:space="preserve"> </w:t>
      </w:r>
      <w:r w:rsidRPr="000D3D7F">
        <w:rPr>
          <w:szCs w:val="22"/>
          <w:lang w:val="sr-Latn-ME"/>
        </w:rPr>
        <w:t xml:space="preserve">intravenski primali </w:t>
      </w:r>
      <w:r w:rsidR="00251927" w:rsidRPr="000D3D7F">
        <w:rPr>
          <w:szCs w:val="22"/>
          <w:lang w:val="sr-Latn-ME"/>
        </w:rPr>
        <w:t>bortezomib</w:t>
      </w:r>
      <w:r w:rsidRPr="000D3D7F">
        <w:rPr>
          <w:szCs w:val="22"/>
          <w:lang w:val="sr-Latn-ME"/>
        </w:rPr>
        <w:t xml:space="preserve"> u dozi od 0,7 mg/m</w:t>
      </w:r>
      <w:r w:rsidRPr="000D3D7F">
        <w:rPr>
          <w:szCs w:val="22"/>
          <w:vertAlign w:val="superscript"/>
          <w:lang w:val="sr-Latn-ME"/>
        </w:rPr>
        <w:t>2</w:t>
      </w:r>
      <w:r w:rsidRPr="000D3D7F">
        <w:rPr>
          <w:szCs w:val="22"/>
          <w:lang w:val="sr-Latn-ME"/>
        </w:rPr>
        <w:t xml:space="preserve"> do 1,3mg/m</w:t>
      </w:r>
      <w:r w:rsidRPr="000D3D7F">
        <w:rPr>
          <w:szCs w:val="22"/>
          <w:vertAlign w:val="superscript"/>
          <w:lang w:val="sr-Latn-ME"/>
        </w:rPr>
        <w:t>2</w:t>
      </w:r>
      <w:r w:rsidRPr="000D3D7F">
        <w:rPr>
          <w:szCs w:val="22"/>
          <w:lang w:val="sr-Latn-ME"/>
        </w:rPr>
        <w:t xml:space="preserve"> dva puta ned</w:t>
      </w:r>
      <w:r w:rsidR="003B7F03" w:rsidRPr="000D3D7F">
        <w:rPr>
          <w:szCs w:val="22"/>
          <w:lang w:val="sr-Latn-ME"/>
        </w:rPr>
        <w:t>j</w:t>
      </w:r>
      <w:r w:rsidRPr="000D3D7F">
        <w:rPr>
          <w:szCs w:val="22"/>
          <w:lang w:val="sr-Latn-ME"/>
        </w:rPr>
        <w:t xml:space="preserve">eljno. Izloženost </w:t>
      </w:r>
      <w:r w:rsidR="00251927" w:rsidRPr="000D3D7F">
        <w:rPr>
          <w:szCs w:val="22"/>
          <w:lang w:val="sr-Latn-ME"/>
        </w:rPr>
        <w:t>bortezomibu</w:t>
      </w:r>
      <w:r w:rsidR="00E83F4F" w:rsidRPr="000D3D7F">
        <w:rPr>
          <w:szCs w:val="22"/>
          <w:lang w:val="sr-Latn-ME"/>
        </w:rPr>
        <w:t xml:space="preserve"> </w:t>
      </w:r>
      <w:r w:rsidRPr="000D3D7F">
        <w:rPr>
          <w:szCs w:val="22"/>
          <w:lang w:val="sr-Latn-ME"/>
        </w:rPr>
        <w:t>(dozno-normalizovani PIK i C</w:t>
      </w:r>
      <w:r w:rsidRPr="000D3D7F">
        <w:rPr>
          <w:szCs w:val="22"/>
          <w:vertAlign w:val="subscript"/>
          <w:lang w:val="sr-Latn-ME"/>
        </w:rPr>
        <w:t>max</w:t>
      </w:r>
      <w:r w:rsidRPr="000D3D7F">
        <w:rPr>
          <w:szCs w:val="22"/>
          <w:lang w:val="sr-Latn-ME"/>
        </w:rPr>
        <w:t>) je bila komparabilna među svim grupama (vid</w:t>
      </w:r>
      <w:r w:rsidR="003B7F03" w:rsidRPr="000D3D7F">
        <w:rPr>
          <w:szCs w:val="22"/>
          <w:lang w:val="sr-Latn-ME"/>
        </w:rPr>
        <w:t>j</w:t>
      </w:r>
      <w:r w:rsidRPr="000D3D7F">
        <w:rPr>
          <w:szCs w:val="22"/>
          <w:lang w:val="sr-Latn-ME"/>
        </w:rPr>
        <w:t>eti d</w:t>
      </w:r>
      <w:r w:rsidR="003B7F03" w:rsidRPr="000D3D7F">
        <w:rPr>
          <w:szCs w:val="22"/>
          <w:lang w:val="sr-Latn-ME"/>
        </w:rPr>
        <w:t>i</w:t>
      </w:r>
      <w:r w:rsidRPr="000D3D7F">
        <w:rPr>
          <w:szCs w:val="22"/>
          <w:lang w:val="sr-Latn-ME"/>
        </w:rPr>
        <w:t>o 4.2).</w:t>
      </w:r>
    </w:p>
    <w:p w14:paraId="44AD7270" w14:textId="77777777" w:rsidR="00627301" w:rsidRPr="000D3D7F" w:rsidRDefault="00627301" w:rsidP="001E1F5A">
      <w:pPr>
        <w:rPr>
          <w:i/>
          <w:iCs/>
          <w:szCs w:val="22"/>
          <w:lang w:val="sr-Latn-ME"/>
        </w:rPr>
      </w:pPr>
    </w:p>
    <w:p w14:paraId="672B8622" w14:textId="3AAE1D79" w:rsidR="009E39C5" w:rsidRPr="000D3D7F" w:rsidRDefault="009E39C5" w:rsidP="001E1F5A">
      <w:pPr>
        <w:rPr>
          <w:i/>
          <w:iCs/>
          <w:szCs w:val="22"/>
          <w:lang w:val="sr-Latn-ME"/>
        </w:rPr>
      </w:pPr>
      <w:r w:rsidRPr="000D3D7F">
        <w:rPr>
          <w:i/>
          <w:iCs/>
          <w:szCs w:val="22"/>
          <w:lang w:val="sr-Latn-ME"/>
        </w:rPr>
        <w:t>Godine starosti</w:t>
      </w:r>
    </w:p>
    <w:p w14:paraId="579E77E1" w14:textId="64443535" w:rsidR="009E39C5" w:rsidRPr="000D3D7F" w:rsidRDefault="009E39C5" w:rsidP="001E1F5A">
      <w:pPr>
        <w:rPr>
          <w:szCs w:val="22"/>
          <w:lang w:val="sr-Latn-ME"/>
        </w:rPr>
      </w:pPr>
      <w:r w:rsidRPr="000D3D7F">
        <w:rPr>
          <w:szCs w:val="22"/>
          <w:lang w:val="sr-Latn-ME"/>
        </w:rPr>
        <w:t>Farmakokinetika bortezomiba je bila određena nakon prim</w:t>
      </w:r>
      <w:r w:rsidR="003B7F03" w:rsidRPr="000D3D7F">
        <w:rPr>
          <w:szCs w:val="22"/>
          <w:lang w:val="sr-Latn-ME"/>
        </w:rPr>
        <w:t>j</w:t>
      </w:r>
      <w:r w:rsidRPr="000D3D7F">
        <w:rPr>
          <w:szCs w:val="22"/>
          <w:lang w:val="sr-Latn-ME"/>
        </w:rPr>
        <w:t>ene bolusa u dozi od 1,3mg/m</w:t>
      </w:r>
      <w:r w:rsidRPr="000D3D7F">
        <w:rPr>
          <w:szCs w:val="22"/>
          <w:vertAlign w:val="superscript"/>
          <w:lang w:val="sr-Latn-ME"/>
        </w:rPr>
        <w:t>2</w:t>
      </w:r>
      <w:r w:rsidRPr="000D3D7F">
        <w:rPr>
          <w:szCs w:val="22"/>
          <w:lang w:val="sr-Latn-ME"/>
        </w:rPr>
        <w:t xml:space="preserve"> dva puta ned</w:t>
      </w:r>
      <w:r w:rsidR="003B7F03" w:rsidRPr="000D3D7F">
        <w:rPr>
          <w:szCs w:val="22"/>
          <w:lang w:val="sr-Latn-ME"/>
        </w:rPr>
        <w:t>j</w:t>
      </w:r>
      <w:r w:rsidRPr="000D3D7F">
        <w:rPr>
          <w:szCs w:val="22"/>
          <w:lang w:val="sr-Latn-ME"/>
        </w:rPr>
        <w:t>eljno</w:t>
      </w:r>
      <w:r w:rsidR="00E83F4F" w:rsidRPr="000D3D7F">
        <w:rPr>
          <w:szCs w:val="22"/>
          <w:lang w:val="sr-Latn-ME"/>
        </w:rPr>
        <w:t xml:space="preserve"> </w:t>
      </w:r>
      <w:r w:rsidRPr="000D3D7F">
        <w:rPr>
          <w:szCs w:val="22"/>
          <w:lang w:val="sr-Latn-ME"/>
        </w:rPr>
        <w:t>kod 104 pedijatrijska pacijenta (uzrasta 2-16 godina) sa akutnom limfoblastnom leukemijom (ALL) ili</w:t>
      </w:r>
      <w:r w:rsidR="00E83F4F" w:rsidRPr="000D3D7F">
        <w:rPr>
          <w:szCs w:val="22"/>
          <w:lang w:val="sr-Latn-ME"/>
        </w:rPr>
        <w:t xml:space="preserve"> </w:t>
      </w:r>
      <w:r w:rsidRPr="000D3D7F">
        <w:rPr>
          <w:szCs w:val="22"/>
          <w:lang w:val="sr-Latn-ME"/>
        </w:rPr>
        <w:t>akutnom mijeloidnom leukemijom (AML). Za osnovu populacione farmakokinetičke analize, klirens</w:t>
      </w:r>
      <w:r w:rsidR="00E83F4F" w:rsidRPr="000D3D7F">
        <w:rPr>
          <w:szCs w:val="22"/>
          <w:lang w:val="sr-Latn-ME"/>
        </w:rPr>
        <w:t xml:space="preserve"> </w:t>
      </w:r>
      <w:r w:rsidRPr="000D3D7F">
        <w:rPr>
          <w:szCs w:val="22"/>
          <w:lang w:val="sr-Latn-ME"/>
        </w:rPr>
        <w:t>bortezomiba se povećava sa porastom površine t</w:t>
      </w:r>
      <w:r w:rsidR="003B7F03" w:rsidRPr="000D3D7F">
        <w:rPr>
          <w:szCs w:val="22"/>
          <w:lang w:val="sr-Latn-ME"/>
        </w:rPr>
        <w:t>ij</w:t>
      </w:r>
      <w:r w:rsidRPr="000D3D7F">
        <w:rPr>
          <w:szCs w:val="22"/>
          <w:lang w:val="sr-Latn-ME"/>
        </w:rPr>
        <w:t>ela (BSA). Geometrijska sredina (%CV) klirensa je bila 7,79</w:t>
      </w:r>
      <w:r w:rsidR="00E83F4F" w:rsidRPr="000D3D7F">
        <w:rPr>
          <w:szCs w:val="22"/>
          <w:lang w:val="sr-Latn-ME"/>
        </w:rPr>
        <w:t xml:space="preserve"> </w:t>
      </w:r>
      <w:r w:rsidRPr="000D3D7F">
        <w:rPr>
          <w:szCs w:val="22"/>
          <w:lang w:val="sr-Latn-ME"/>
        </w:rPr>
        <w:t>(25%)</w:t>
      </w:r>
      <w:r w:rsidR="00B11634" w:rsidRPr="000D3D7F">
        <w:rPr>
          <w:szCs w:val="22"/>
          <w:lang w:val="sr-Latn-ME"/>
        </w:rPr>
        <w:t>l</w:t>
      </w:r>
      <w:r w:rsidRPr="000D3D7F">
        <w:rPr>
          <w:szCs w:val="22"/>
          <w:lang w:val="sr-Latn-ME"/>
        </w:rPr>
        <w:t>/h/m</w:t>
      </w:r>
      <w:r w:rsidRPr="000D3D7F">
        <w:rPr>
          <w:szCs w:val="22"/>
          <w:vertAlign w:val="superscript"/>
          <w:lang w:val="sr-Latn-ME"/>
        </w:rPr>
        <w:t>2</w:t>
      </w:r>
      <w:r w:rsidRPr="000D3D7F">
        <w:rPr>
          <w:szCs w:val="22"/>
          <w:lang w:val="sr-Latn-ME"/>
        </w:rPr>
        <w:t>, volumen distribucije u stanju dinamičke ravnoteže je bio 834 (39%)</w:t>
      </w:r>
      <w:r w:rsidR="00B11634" w:rsidRPr="000D3D7F">
        <w:rPr>
          <w:szCs w:val="22"/>
          <w:lang w:val="sr-Latn-ME"/>
        </w:rPr>
        <w:t>l</w:t>
      </w:r>
      <w:r w:rsidRPr="000D3D7F">
        <w:rPr>
          <w:szCs w:val="22"/>
          <w:lang w:val="sr-Latn-ME"/>
        </w:rPr>
        <w:t>/h/m</w:t>
      </w:r>
      <w:r w:rsidRPr="000D3D7F">
        <w:rPr>
          <w:szCs w:val="22"/>
          <w:vertAlign w:val="superscript"/>
          <w:lang w:val="sr-Latn-ME"/>
        </w:rPr>
        <w:t>2</w:t>
      </w:r>
      <w:r w:rsidRPr="000D3D7F">
        <w:rPr>
          <w:szCs w:val="22"/>
          <w:lang w:val="sr-Latn-ME"/>
        </w:rPr>
        <w:t>, poluvr</w:t>
      </w:r>
      <w:r w:rsidR="003B7F03" w:rsidRPr="000D3D7F">
        <w:rPr>
          <w:szCs w:val="22"/>
          <w:lang w:val="sr-Latn-ME"/>
        </w:rPr>
        <w:t>ij</w:t>
      </w:r>
      <w:r w:rsidRPr="000D3D7F">
        <w:rPr>
          <w:szCs w:val="22"/>
          <w:lang w:val="sr-Latn-ME"/>
        </w:rPr>
        <w:t>eme</w:t>
      </w:r>
      <w:r w:rsidR="00E83F4F" w:rsidRPr="000D3D7F">
        <w:rPr>
          <w:szCs w:val="22"/>
          <w:lang w:val="sr-Latn-ME"/>
        </w:rPr>
        <w:t xml:space="preserve"> </w:t>
      </w:r>
      <w:r w:rsidRPr="000D3D7F">
        <w:rPr>
          <w:szCs w:val="22"/>
          <w:lang w:val="sr-Latn-ME"/>
        </w:rPr>
        <w:t>eliminacije je bilo 100 (44%) sati. Nakon korekcije za efekat BSA, druge demografske karakteristike kao sto</w:t>
      </w:r>
      <w:r w:rsidR="00E83F4F" w:rsidRPr="000D3D7F">
        <w:rPr>
          <w:szCs w:val="22"/>
          <w:lang w:val="sr-Latn-ME"/>
        </w:rPr>
        <w:t xml:space="preserve"> </w:t>
      </w:r>
      <w:r w:rsidRPr="000D3D7F">
        <w:rPr>
          <w:szCs w:val="22"/>
          <w:lang w:val="sr-Latn-ME"/>
        </w:rPr>
        <w:t>su godine starosti, t</w:t>
      </w:r>
      <w:r w:rsidR="003B7F03" w:rsidRPr="000D3D7F">
        <w:rPr>
          <w:szCs w:val="22"/>
          <w:lang w:val="sr-Latn-ME"/>
        </w:rPr>
        <w:t>j</w:t>
      </w:r>
      <w:r w:rsidRPr="000D3D7F">
        <w:rPr>
          <w:szCs w:val="22"/>
          <w:lang w:val="sr-Latn-ME"/>
        </w:rPr>
        <w:t>elesna masa i pol ni</w:t>
      </w:r>
      <w:r w:rsidR="001E1F5A" w:rsidRPr="000D3D7F">
        <w:rPr>
          <w:szCs w:val="22"/>
          <w:lang w:val="sr-Latn-ME"/>
        </w:rPr>
        <w:t>je</w:t>
      </w:r>
      <w:r w:rsidRPr="000D3D7F">
        <w:rPr>
          <w:szCs w:val="22"/>
          <w:lang w:val="sr-Latn-ME"/>
        </w:rPr>
        <w:t>su imale klinički značajan efekat na klirens bortezomiba.</w:t>
      </w:r>
      <w:r w:rsidR="00E83F4F" w:rsidRPr="000D3D7F">
        <w:rPr>
          <w:szCs w:val="22"/>
          <w:lang w:val="sr-Latn-ME"/>
        </w:rPr>
        <w:t xml:space="preserve"> </w:t>
      </w:r>
    </w:p>
    <w:p w14:paraId="62409C95" w14:textId="72770DB4" w:rsidR="009E39C5" w:rsidRPr="000D3D7F" w:rsidRDefault="009E39C5" w:rsidP="001E1F5A">
      <w:pPr>
        <w:rPr>
          <w:szCs w:val="22"/>
          <w:lang w:val="sr-Latn-ME"/>
        </w:rPr>
      </w:pPr>
      <w:r w:rsidRPr="000D3D7F">
        <w:rPr>
          <w:szCs w:val="22"/>
          <w:lang w:val="sr-Latn-ME"/>
        </w:rPr>
        <w:t>Normalizovani BSA klirens bortezomiba kod pedijatrijskih pacijenata je bio sličan onim zab</w:t>
      </w:r>
      <w:r w:rsidR="003B7F03" w:rsidRPr="000D3D7F">
        <w:rPr>
          <w:szCs w:val="22"/>
          <w:lang w:val="sr-Latn-ME"/>
        </w:rPr>
        <w:t>i</w:t>
      </w:r>
      <w:r w:rsidRPr="000D3D7F">
        <w:rPr>
          <w:szCs w:val="22"/>
          <w:lang w:val="sr-Latn-ME"/>
        </w:rPr>
        <w:t>l</w:t>
      </w:r>
      <w:r w:rsidR="003B7F03" w:rsidRPr="000D3D7F">
        <w:rPr>
          <w:szCs w:val="22"/>
          <w:lang w:val="sr-Latn-ME"/>
        </w:rPr>
        <w:t>j</w:t>
      </w:r>
      <w:r w:rsidRPr="000D3D7F">
        <w:rPr>
          <w:szCs w:val="22"/>
          <w:lang w:val="sr-Latn-ME"/>
        </w:rPr>
        <w:t>eženim kod</w:t>
      </w:r>
      <w:r w:rsidR="00E83F4F" w:rsidRPr="000D3D7F">
        <w:rPr>
          <w:szCs w:val="22"/>
          <w:lang w:val="sr-Latn-ME"/>
        </w:rPr>
        <w:t xml:space="preserve"> </w:t>
      </w:r>
      <w:r w:rsidRPr="000D3D7F">
        <w:rPr>
          <w:szCs w:val="22"/>
          <w:lang w:val="sr-Latn-ME"/>
        </w:rPr>
        <w:t>odraslih.</w:t>
      </w:r>
    </w:p>
    <w:p w14:paraId="45034284" w14:textId="291B9E0B" w:rsidR="009E39C5" w:rsidRPr="000D3D7F" w:rsidRDefault="009E39C5" w:rsidP="001E1F5A">
      <w:pPr>
        <w:rPr>
          <w:szCs w:val="22"/>
          <w:lang w:val="sr-Latn-ME"/>
        </w:rPr>
      </w:pPr>
    </w:p>
    <w:p w14:paraId="17A3FECC" w14:textId="6DF96245" w:rsidR="00007EF9" w:rsidRPr="000D3D7F" w:rsidRDefault="00007EF9" w:rsidP="001E1F5A">
      <w:pPr>
        <w:rPr>
          <w:b/>
          <w:bCs/>
          <w:szCs w:val="22"/>
          <w:lang w:val="sr-Latn-ME"/>
        </w:rPr>
      </w:pPr>
      <w:r w:rsidRPr="000D3D7F">
        <w:rPr>
          <w:b/>
          <w:bCs/>
          <w:szCs w:val="22"/>
          <w:lang w:val="sr-Latn-ME"/>
        </w:rPr>
        <w:t>5.3. Pretklinički podaci o bezb</w:t>
      </w:r>
      <w:r w:rsidR="003B7F03" w:rsidRPr="000D3D7F">
        <w:rPr>
          <w:b/>
          <w:bCs/>
          <w:szCs w:val="22"/>
          <w:lang w:val="sr-Latn-ME"/>
        </w:rPr>
        <w:t>j</w:t>
      </w:r>
      <w:r w:rsidRPr="000D3D7F">
        <w:rPr>
          <w:b/>
          <w:bCs/>
          <w:szCs w:val="22"/>
          <w:lang w:val="sr-Latn-ME"/>
        </w:rPr>
        <w:t>ednosti</w:t>
      </w:r>
    </w:p>
    <w:p w14:paraId="0276131C" w14:textId="6A3834BC" w:rsidR="009E39C5" w:rsidRPr="000D3D7F" w:rsidRDefault="009E39C5" w:rsidP="001E1F5A">
      <w:pPr>
        <w:rPr>
          <w:szCs w:val="22"/>
          <w:lang w:val="sr-Latn-ME"/>
        </w:rPr>
      </w:pPr>
      <w:r w:rsidRPr="000D3D7F">
        <w:rPr>
          <w:szCs w:val="22"/>
          <w:lang w:val="sr-Latn-ME"/>
        </w:rPr>
        <w:t>I u niskim koncentracijama, čak i u najnižoj izm</w:t>
      </w:r>
      <w:r w:rsidR="003B7F03" w:rsidRPr="000D3D7F">
        <w:rPr>
          <w:szCs w:val="22"/>
          <w:lang w:val="sr-Latn-ME"/>
        </w:rPr>
        <w:t>j</w:t>
      </w:r>
      <w:r w:rsidRPr="000D3D7F">
        <w:rPr>
          <w:szCs w:val="22"/>
          <w:lang w:val="sr-Latn-ME"/>
        </w:rPr>
        <w:t>erenoj koncentraciji od 3,125 mikrograma/m</w:t>
      </w:r>
      <w:r w:rsidR="0098487C" w:rsidRPr="000D3D7F">
        <w:rPr>
          <w:szCs w:val="22"/>
          <w:lang w:val="sr-Latn-ME"/>
        </w:rPr>
        <w:t>l</w:t>
      </w:r>
      <w:r w:rsidRPr="000D3D7F">
        <w:rPr>
          <w:szCs w:val="22"/>
          <w:lang w:val="sr-Latn-ME"/>
        </w:rPr>
        <w:t>, bortezomib</w:t>
      </w:r>
      <w:r w:rsidR="00E83F4F" w:rsidRPr="000D3D7F">
        <w:rPr>
          <w:szCs w:val="22"/>
          <w:lang w:val="sr-Latn-ME"/>
        </w:rPr>
        <w:t xml:space="preserve"> </w:t>
      </w:r>
      <w:r w:rsidRPr="000D3D7F">
        <w:rPr>
          <w:szCs w:val="22"/>
          <w:lang w:val="sr-Latn-ME"/>
        </w:rPr>
        <w:t xml:space="preserve">je bio pozitivan na klastogenu aktivnost (strukturne hromozomske aberacije) u </w:t>
      </w:r>
      <w:r w:rsidRPr="000D3D7F">
        <w:rPr>
          <w:i/>
          <w:iCs/>
          <w:szCs w:val="22"/>
          <w:lang w:val="sr-Latn-ME"/>
        </w:rPr>
        <w:t xml:space="preserve">in vitro </w:t>
      </w:r>
      <w:r w:rsidRPr="000D3D7F">
        <w:rPr>
          <w:szCs w:val="22"/>
          <w:lang w:val="sr-Latn-ME"/>
        </w:rPr>
        <w:t>ispitivanju</w:t>
      </w:r>
      <w:r w:rsidR="00E83F4F" w:rsidRPr="000D3D7F">
        <w:rPr>
          <w:szCs w:val="22"/>
          <w:lang w:val="sr-Latn-ME"/>
        </w:rPr>
        <w:t xml:space="preserve"> </w:t>
      </w:r>
      <w:r w:rsidRPr="000D3D7F">
        <w:rPr>
          <w:szCs w:val="22"/>
          <w:lang w:val="sr-Latn-ME"/>
        </w:rPr>
        <w:t xml:space="preserve">hromozomskih aberacija na jajnim ćelijama kineskoga hrčka. Bortezomib nije bio genotoksičan u </w:t>
      </w:r>
      <w:r w:rsidRPr="000D3D7F">
        <w:rPr>
          <w:i/>
          <w:iCs/>
          <w:szCs w:val="22"/>
          <w:lang w:val="sr-Latn-ME"/>
        </w:rPr>
        <w:t>in vitro</w:t>
      </w:r>
      <w:r w:rsidR="00E83F4F" w:rsidRPr="000D3D7F">
        <w:rPr>
          <w:i/>
          <w:iCs/>
          <w:szCs w:val="22"/>
          <w:lang w:val="sr-Latn-ME"/>
        </w:rPr>
        <w:t xml:space="preserve"> </w:t>
      </w:r>
      <w:r w:rsidRPr="000D3D7F">
        <w:rPr>
          <w:szCs w:val="22"/>
          <w:lang w:val="sr-Latn-ME"/>
        </w:rPr>
        <w:t xml:space="preserve">ispitivanju mutagenosti (Amesov test) ni u </w:t>
      </w:r>
      <w:r w:rsidRPr="000D3D7F">
        <w:rPr>
          <w:i/>
          <w:iCs/>
          <w:szCs w:val="22"/>
          <w:lang w:val="sr-Latn-ME"/>
        </w:rPr>
        <w:t xml:space="preserve">in vivo </w:t>
      </w:r>
      <w:r w:rsidRPr="000D3D7F">
        <w:rPr>
          <w:szCs w:val="22"/>
          <w:lang w:val="sr-Latn-ME"/>
        </w:rPr>
        <w:t>ispitivanju mikronukleusa kod miševa.</w:t>
      </w:r>
    </w:p>
    <w:p w14:paraId="6D612F2F" w14:textId="1BFA0E94" w:rsidR="009E39C5" w:rsidRPr="000D3D7F" w:rsidRDefault="009E39C5" w:rsidP="001E1F5A">
      <w:pPr>
        <w:rPr>
          <w:szCs w:val="22"/>
          <w:lang w:val="sr-Latn-ME"/>
        </w:rPr>
      </w:pPr>
      <w:r w:rsidRPr="000D3D7F">
        <w:rPr>
          <w:szCs w:val="22"/>
          <w:lang w:val="sr-Latn-ME"/>
        </w:rPr>
        <w:t>Ispitivanja teratogenosti na pacovima i kunićima pokazala su embrio-fetalnu letalnost pri dozama toksičnim</w:t>
      </w:r>
      <w:r w:rsidR="00E83F4F" w:rsidRPr="000D3D7F">
        <w:rPr>
          <w:szCs w:val="22"/>
          <w:lang w:val="sr-Latn-ME"/>
        </w:rPr>
        <w:t xml:space="preserve"> </w:t>
      </w:r>
      <w:r w:rsidRPr="000D3D7F">
        <w:rPr>
          <w:szCs w:val="22"/>
          <w:lang w:val="sr-Latn-ME"/>
        </w:rPr>
        <w:t>po majku, ali ne i direktnu embrio-fetalnu toksičnost ispod doza toksičnih po majku. Studije fertilnosti ni</w:t>
      </w:r>
      <w:r w:rsidR="001E1F5A" w:rsidRPr="000D3D7F">
        <w:rPr>
          <w:szCs w:val="22"/>
          <w:lang w:val="sr-Latn-ME"/>
        </w:rPr>
        <w:t>je</w:t>
      </w:r>
      <w:r w:rsidRPr="000D3D7F">
        <w:rPr>
          <w:szCs w:val="22"/>
          <w:lang w:val="sr-Latn-ME"/>
        </w:rPr>
        <w:t>su</w:t>
      </w:r>
      <w:r w:rsidR="00E83F4F" w:rsidRPr="000D3D7F">
        <w:rPr>
          <w:szCs w:val="22"/>
          <w:lang w:val="sr-Latn-ME"/>
        </w:rPr>
        <w:t xml:space="preserve"> </w:t>
      </w:r>
      <w:r w:rsidRPr="000D3D7F">
        <w:rPr>
          <w:szCs w:val="22"/>
          <w:lang w:val="sr-Latn-ME"/>
        </w:rPr>
        <w:t>sprovedene, ali proc</w:t>
      </w:r>
      <w:r w:rsidR="003B7F03" w:rsidRPr="000D3D7F">
        <w:rPr>
          <w:szCs w:val="22"/>
          <w:lang w:val="sr-Latn-ME"/>
        </w:rPr>
        <w:t>j</w:t>
      </w:r>
      <w:r w:rsidRPr="000D3D7F">
        <w:rPr>
          <w:szCs w:val="22"/>
          <w:lang w:val="sr-Latn-ME"/>
        </w:rPr>
        <w:t>ena reproduktivnih tkiva je urađena u opštim studijama toksičnosti. U 6-m</w:t>
      </w:r>
      <w:r w:rsidR="003B7F03" w:rsidRPr="000D3D7F">
        <w:rPr>
          <w:szCs w:val="22"/>
          <w:lang w:val="sr-Latn-ME"/>
        </w:rPr>
        <w:t>j</w:t>
      </w:r>
      <w:r w:rsidRPr="000D3D7F">
        <w:rPr>
          <w:szCs w:val="22"/>
          <w:lang w:val="sr-Latn-ME"/>
        </w:rPr>
        <w:t>esečnoj studiji</w:t>
      </w:r>
      <w:r w:rsidR="00E83F4F" w:rsidRPr="000D3D7F">
        <w:rPr>
          <w:szCs w:val="22"/>
          <w:lang w:val="sr-Latn-ME"/>
        </w:rPr>
        <w:t xml:space="preserve"> </w:t>
      </w:r>
      <w:r w:rsidRPr="000D3D7F">
        <w:rPr>
          <w:szCs w:val="22"/>
          <w:lang w:val="sr-Latn-ME"/>
        </w:rPr>
        <w:t>na pacovima, degenerativni efekti su zapaženi kako na testisima tako i jajnicima. Stoga postoji v</w:t>
      </w:r>
      <w:r w:rsidR="003B7F03" w:rsidRPr="000D3D7F">
        <w:rPr>
          <w:szCs w:val="22"/>
          <w:lang w:val="sr-Latn-ME"/>
        </w:rPr>
        <w:t>j</w:t>
      </w:r>
      <w:r w:rsidRPr="000D3D7F">
        <w:rPr>
          <w:szCs w:val="22"/>
          <w:lang w:val="sr-Latn-ME"/>
        </w:rPr>
        <w:t>erovatnoća</w:t>
      </w:r>
      <w:r w:rsidR="00E83F4F" w:rsidRPr="000D3D7F">
        <w:rPr>
          <w:szCs w:val="22"/>
          <w:lang w:val="sr-Latn-ME"/>
        </w:rPr>
        <w:t xml:space="preserve"> </w:t>
      </w:r>
      <w:r w:rsidRPr="000D3D7F">
        <w:rPr>
          <w:szCs w:val="22"/>
          <w:lang w:val="sr-Latn-ME"/>
        </w:rPr>
        <w:t>da bi bortezomib mogao d</w:t>
      </w:r>
      <w:r w:rsidR="003B7F03" w:rsidRPr="000D3D7F">
        <w:rPr>
          <w:szCs w:val="22"/>
          <w:lang w:val="sr-Latn-ME"/>
        </w:rPr>
        <w:t>j</w:t>
      </w:r>
      <w:r w:rsidRPr="000D3D7F">
        <w:rPr>
          <w:szCs w:val="22"/>
          <w:lang w:val="sr-Latn-ME"/>
        </w:rPr>
        <w:t>elovati i na muški i ženski fertilitet. Peri- i postnatalna ispitivanja toksičnosti ni</w:t>
      </w:r>
      <w:r w:rsidR="001E1F5A" w:rsidRPr="000D3D7F">
        <w:rPr>
          <w:szCs w:val="22"/>
          <w:lang w:val="sr-Latn-ME"/>
        </w:rPr>
        <w:t>je</w:t>
      </w:r>
      <w:r w:rsidRPr="000D3D7F">
        <w:rPr>
          <w:szCs w:val="22"/>
          <w:lang w:val="sr-Latn-ME"/>
        </w:rPr>
        <w:t>su</w:t>
      </w:r>
      <w:r w:rsidR="00E83F4F" w:rsidRPr="000D3D7F">
        <w:rPr>
          <w:szCs w:val="22"/>
          <w:lang w:val="sr-Latn-ME"/>
        </w:rPr>
        <w:t xml:space="preserve"> </w:t>
      </w:r>
      <w:r w:rsidRPr="000D3D7F">
        <w:rPr>
          <w:szCs w:val="22"/>
          <w:lang w:val="sr-Latn-ME"/>
        </w:rPr>
        <w:t>sprovođene.</w:t>
      </w:r>
    </w:p>
    <w:p w14:paraId="650E49DE" w14:textId="15B7A24E" w:rsidR="009E39C5" w:rsidRPr="000D3D7F" w:rsidRDefault="009E39C5" w:rsidP="001E1F5A">
      <w:pPr>
        <w:rPr>
          <w:szCs w:val="22"/>
          <w:lang w:val="sr-Latn-ME"/>
        </w:rPr>
      </w:pPr>
      <w:r w:rsidRPr="000D3D7F">
        <w:rPr>
          <w:szCs w:val="22"/>
          <w:lang w:val="sr-Latn-ME"/>
        </w:rPr>
        <w:t>U multicik</w:t>
      </w:r>
      <w:r w:rsidR="00B11634" w:rsidRPr="000D3D7F">
        <w:rPr>
          <w:szCs w:val="22"/>
          <w:lang w:val="sr-Latn-ME"/>
        </w:rPr>
        <w:t>l</w:t>
      </w:r>
      <w:r w:rsidRPr="000D3D7F">
        <w:rPr>
          <w:szCs w:val="22"/>
          <w:lang w:val="sr-Latn-ME"/>
        </w:rPr>
        <w:t>ičnim studijama opšte toksičnosti sprovedenim na pacovima i majmunima, ciljni organi bili su</w:t>
      </w:r>
      <w:r w:rsidR="00E83F4F" w:rsidRPr="000D3D7F">
        <w:rPr>
          <w:szCs w:val="22"/>
          <w:lang w:val="sr-Latn-ME"/>
        </w:rPr>
        <w:t xml:space="preserve"> </w:t>
      </w:r>
      <w:r w:rsidRPr="000D3D7F">
        <w:rPr>
          <w:szCs w:val="22"/>
          <w:lang w:val="sr-Latn-ME"/>
        </w:rPr>
        <w:t>gastrointestinalni trakt, što je za rezultat imalo povraćanje i/ili diareju, hematopoetska i limfatična tkiva</w:t>
      </w:r>
      <w:r w:rsidR="00E83F4F" w:rsidRPr="000D3D7F">
        <w:rPr>
          <w:szCs w:val="22"/>
          <w:lang w:val="sr-Latn-ME"/>
        </w:rPr>
        <w:t xml:space="preserve"> </w:t>
      </w:r>
      <w:r w:rsidRPr="000D3D7F">
        <w:rPr>
          <w:szCs w:val="22"/>
          <w:lang w:val="sr-Latn-ME"/>
        </w:rPr>
        <w:t>(citopenija u perifernoj krvi i atrofija limfoidnog tkiva i hematopoetska hipocelularnost kostne srži),</w:t>
      </w:r>
      <w:r w:rsidR="00E83F4F" w:rsidRPr="000D3D7F">
        <w:rPr>
          <w:szCs w:val="22"/>
          <w:lang w:val="sr-Latn-ME"/>
        </w:rPr>
        <w:t xml:space="preserve"> </w:t>
      </w:r>
      <w:r w:rsidRPr="000D3D7F">
        <w:rPr>
          <w:szCs w:val="22"/>
          <w:lang w:val="sr-Latn-ME"/>
        </w:rPr>
        <w:t>periferna neuropatija (zapažena kod majmuna, miševa i pasa) koja je zahvatala aksone senzornih nerava, i</w:t>
      </w:r>
      <w:r w:rsidR="00E83F4F" w:rsidRPr="000D3D7F">
        <w:rPr>
          <w:szCs w:val="22"/>
          <w:lang w:val="sr-Latn-ME"/>
        </w:rPr>
        <w:t xml:space="preserve"> </w:t>
      </w:r>
      <w:r w:rsidRPr="000D3D7F">
        <w:rPr>
          <w:szCs w:val="22"/>
          <w:lang w:val="sr-Latn-ME"/>
        </w:rPr>
        <w:t>blage prom</w:t>
      </w:r>
      <w:r w:rsidR="003B7F03" w:rsidRPr="000D3D7F">
        <w:rPr>
          <w:szCs w:val="22"/>
          <w:lang w:val="sr-Latn-ME"/>
        </w:rPr>
        <w:t>j</w:t>
      </w:r>
      <w:r w:rsidRPr="000D3D7F">
        <w:rPr>
          <w:szCs w:val="22"/>
          <w:lang w:val="sr-Latn-ME"/>
        </w:rPr>
        <w:t>ene na bubrezima. Svi ovi ciljni organi su pokazali d</w:t>
      </w:r>
      <w:r w:rsidR="003B7F03" w:rsidRPr="000D3D7F">
        <w:rPr>
          <w:szCs w:val="22"/>
          <w:lang w:val="sr-Latn-ME"/>
        </w:rPr>
        <w:t>j</w:t>
      </w:r>
      <w:r w:rsidRPr="000D3D7F">
        <w:rPr>
          <w:szCs w:val="22"/>
          <w:lang w:val="sr-Latn-ME"/>
        </w:rPr>
        <w:t>elimičan do potpuni oporavak posl</w:t>
      </w:r>
      <w:r w:rsidR="003B7F03" w:rsidRPr="000D3D7F">
        <w:rPr>
          <w:szCs w:val="22"/>
          <w:lang w:val="sr-Latn-ME"/>
        </w:rPr>
        <w:t>ij</w:t>
      </w:r>
      <w:r w:rsidRPr="000D3D7F">
        <w:rPr>
          <w:szCs w:val="22"/>
          <w:lang w:val="sr-Latn-ME"/>
        </w:rPr>
        <w:t>e prekida</w:t>
      </w:r>
      <w:r w:rsidR="00E83F4F" w:rsidRPr="000D3D7F">
        <w:rPr>
          <w:szCs w:val="22"/>
          <w:lang w:val="sr-Latn-ME"/>
        </w:rPr>
        <w:t xml:space="preserve"> </w:t>
      </w:r>
      <w:r w:rsidRPr="000D3D7F">
        <w:rPr>
          <w:szCs w:val="22"/>
          <w:lang w:val="sr-Latn-ME"/>
        </w:rPr>
        <w:t>l</w:t>
      </w:r>
      <w:r w:rsidR="003B7F03" w:rsidRPr="000D3D7F">
        <w:rPr>
          <w:szCs w:val="22"/>
          <w:lang w:val="sr-Latn-ME"/>
        </w:rPr>
        <w:t>ij</w:t>
      </w:r>
      <w:r w:rsidRPr="000D3D7F">
        <w:rPr>
          <w:szCs w:val="22"/>
          <w:lang w:val="sr-Latn-ME"/>
        </w:rPr>
        <w:t>ečenja.</w:t>
      </w:r>
    </w:p>
    <w:p w14:paraId="5C0588DB" w14:textId="77777777" w:rsidR="00E83F4F" w:rsidRPr="000D3D7F" w:rsidRDefault="009E39C5" w:rsidP="001E1F5A">
      <w:pPr>
        <w:rPr>
          <w:szCs w:val="22"/>
          <w:lang w:val="sr-Latn-ME"/>
        </w:rPr>
      </w:pPr>
      <w:r w:rsidRPr="000D3D7F">
        <w:rPr>
          <w:szCs w:val="22"/>
          <w:lang w:val="sr-Latn-ME"/>
        </w:rPr>
        <w:t>Na osnovu studija na životinjama, čini se da je prelaz bortezomiba kroz krvno-moždanu barijeru ograničen,</w:t>
      </w:r>
      <w:r w:rsidR="00E83F4F" w:rsidRPr="000D3D7F">
        <w:rPr>
          <w:szCs w:val="22"/>
          <w:lang w:val="sr-Latn-ME"/>
        </w:rPr>
        <w:t xml:space="preserve"> </w:t>
      </w:r>
      <w:r w:rsidRPr="000D3D7F">
        <w:rPr>
          <w:szCs w:val="22"/>
          <w:lang w:val="sr-Latn-ME"/>
        </w:rPr>
        <w:t>ukoliko uopšte postoji, a značaj kod ljudi nije poznat.</w:t>
      </w:r>
      <w:r w:rsidR="00E83F4F" w:rsidRPr="000D3D7F">
        <w:rPr>
          <w:szCs w:val="22"/>
          <w:lang w:val="sr-Latn-ME"/>
        </w:rPr>
        <w:t xml:space="preserve"> </w:t>
      </w:r>
    </w:p>
    <w:p w14:paraId="060B15A5" w14:textId="685754DA" w:rsidR="009E39C5" w:rsidRPr="000D3D7F" w:rsidRDefault="009E39C5" w:rsidP="001E1F5A">
      <w:pPr>
        <w:rPr>
          <w:szCs w:val="22"/>
          <w:lang w:val="sr-Latn-ME"/>
        </w:rPr>
      </w:pPr>
      <w:r w:rsidRPr="000D3D7F">
        <w:rPr>
          <w:szCs w:val="22"/>
          <w:lang w:val="sr-Latn-ME"/>
        </w:rPr>
        <w:t>Farmakološke studije kardiovaskularne bezb</w:t>
      </w:r>
      <w:r w:rsidR="003B7F03" w:rsidRPr="000D3D7F">
        <w:rPr>
          <w:szCs w:val="22"/>
          <w:lang w:val="sr-Latn-ME"/>
        </w:rPr>
        <w:t>j</w:t>
      </w:r>
      <w:r w:rsidRPr="000D3D7F">
        <w:rPr>
          <w:szCs w:val="22"/>
          <w:lang w:val="sr-Latn-ME"/>
        </w:rPr>
        <w:t>ednosti na majmunima i psima pokazuju da su intravenske doze</w:t>
      </w:r>
      <w:r w:rsidR="00E83F4F" w:rsidRPr="000D3D7F">
        <w:rPr>
          <w:szCs w:val="22"/>
          <w:lang w:val="sr-Latn-ME"/>
        </w:rPr>
        <w:t xml:space="preserve"> </w:t>
      </w:r>
      <w:r w:rsidRPr="000D3D7F">
        <w:rPr>
          <w:szCs w:val="22"/>
          <w:lang w:val="sr-Latn-ME"/>
        </w:rPr>
        <w:t>približno dva do tri puta veće od preporučene kliničke doze na bazi mg/m</w:t>
      </w:r>
      <w:r w:rsidRPr="000D3D7F">
        <w:rPr>
          <w:szCs w:val="22"/>
          <w:vertAlign w:val="superscript"/>
          <w:lang w:val="sr-Latn-ME"/>
        </w:rPr>
        <w:t>2</w:t>
      </w:r>
      <w:r w:rsidRPr="000D3D7F">
        <w:rPr>
          <w:szCs w:val="22"/>
          <w:lang w:val="sr-Latn-ME"/>
        </w:rPr>
        <w:t xml:space="preserve"> povezane sa ubrzanjem srčanog</w:t>
      </w:r>
      <w:r w:rsidR="00E83F4F" w:rsidRPr="000D3D7F">
        <w:rPr>
          <w:szCs w:val="22"/>
          <w:lang w:val="sr-Latn-ME"/>
        </w:rPr>
        <w:t xml:space="preserve"> </w:t>
      </w:r>
      <w:r w:rsidRPr="000D3D7F">
        <w:rPr>
          <w:szCs w:val="22"/>
          <w:lang w:val="sr-Latn-ME"/>
        </w:rPr>
        <w:t>rada, smanjenjem kontraktilnosti, hipotenzijom i smrću. Kod pasa su smanjena srčana kontraktilnost i</w:t>
      </w:r>
      <w:r w:rsidR="00E83F4F" w:rsidRPr="000D3D7F">
        <w:rPr>
          <w:szCs w:val="22"/>
          <w:lang w:val="sr-Latn-ME"/>
        </w:rPr>
        <w:t xml:space="preserve"> </w:t>
      </w:r>
      <w:r w:rsidRPr="000D3D7F">
        <w:rPr>
          <w:szCs w:val="22"/>
          <w:lang w:val="sr-Latn-ME"/>
        </w:rPr>
        <w:t>hipotenzija reagovali na akutnu intervenciju prim</w:t>
      </w:r>
      <w:r w:rsidR="003B7F03" w:rsidRPr="000D3D7F">
        <w:rPr>
          <w:szCs w:val="22"/>
          <w:lang w:val="sr-Latn-ME"/>
        </w:rPr>
        <w:t>j</w:t>
      </w:r>
      <w:r w:rsidRPr="000D3D7F">
        <w:rPr>
          <w:szCs w:val="22"/>
          <w:lang w:val="sr-Latn-ME"/>
        </w:rPr>
        <w:t>enom pozitivnih inotropnih ili vazokonstriktornih sredstava.</w:t>
      </w:r>
    </w:p>
    <w:p w14:paraId="17A3FECD" w14:textId="724A0366" w:rsidR="00007EF9" w:rsidRPr="000D3D7F" w:rsidRDefault="009E39C5" w:rsidP="001E1F5A">
      <w:pPr>
        <w:rPr>
          <w:szCs w:val="22"/>
          <w:lang w:val="sr-Latn-ME"/>
        </w:rPr>
      </w:pPr>
      <w:r w:rsidRPr="000D3D7F">
        <w:rPr>
          <w:szCs w:val="22"/>
          <w:lang w:val="sr-Latn-ME"/>
        </w:rPr>
        <w:t>Pored toga, u studijama na psima, zapažen je blag porast korigovanog QT intervala.</w:t>
      </w:r>
    </w:p>
    <w:p w14:paraId="17A3FECE" w14:textId="77777777" w:rsidR="00007EF9" w:rsidRPr="000D3D7F" w:rsidRDefault="00007EF9" w:rsidP="001E1F5A">
      <w:pPr>
        <w:rPr>
          <w:szCs w:val="22"/>
          <w:lang w:val="sr-Latn-ME"/>
        </w:rPr>
      </w:pPr>
    </w:p>
    <w:p w14:paraId="6E2903AD" w14:textId="77777777" w:rsidR="00302E39" w:rsidRPr="000D3D7F" w:rsidRDefault="00302E39" w:rsidP="001E1F5A">
      <w:pPr>
        <w:pStyle w:val="NASLOV123"/>
        <w:jc w:val="both"/>
        <w:rPr>
          <w:lang w:val="sr-Latn-ME"/>
        </w:rPr>
      </w:pPr>
    </w:p>
    <w:p w14:paraId="17A3FECF" w14:textId="5D5A5984" w:rsidR="00007EF9" w:rsidRPr="000D3D7F" w:rsidRDefault="00007EF9" w:rsidP="001E1F5A">
      <w:pPr>
        <w:pStyle w:val="NASLOV123"/>
        <w:jc w:val="both"/>
        <w:rPr>
          <w:lang w:val="sr-Latn-ME"/>
        </w:rPr>
      </w:pPr>
      <w:r w:rsidRPr="000D3D7F">
        <w:rPr>
          <w:lang w:val="sr-Latn-ME"/>
        </w:rPr>
        <w:t>6. FARMACEUTSKI PODACI</w:t>
      </w:r>
    </w:p>
    <w:p w14:paraId="17A3FED0" w14:textId="77777777" w:rsidR="00007EF9" w:rsidRPr="000D3D7F" w:rsidRDefault="00007EF9" w:rsidP="001E1F5A">
      <w:pPr>
        <w:rPr>
          <w:b/>
          <w:bCs/>
          <w:szCs w:val="22"/>
          <w:lang w:val="sr-Latn-ME"/>
        </w:rPr>
      </w:pPr>
      <w:r w:rsidRPr="000D3D7F">
        <w:rPr>
          <w:b/>
          <w:bCs/>
          <w:szCs w:val="22"/>
          <w:lang w:val="sr-Latn-ME"/>
        </w:rPr>
        <w:t>6.1. Lista pomoćnih supstanci</w:t>
      </w:r>
    </w:p>
    <w:p w14:paraId="17A3FED2" w14:textId="04B93D7D" w:rsidR="00007EF9" w:rsidRPr="000D3D7F" w:rsidRDefault="00B12253" w:rsidP="001E1F5A">
      <w:pPr>
        <w:rPr>
          <w:szCs w:val="22"/>
          <w:lang w:val="sr-Latn-ME"/>
        </w:rPr>
      </w:pPr>
      <w:r w:rsidRPr="000D3D7F">
        <w:rPr>
          <w:szCs w:val="22"/>
          <w:lang w:val="sr-Latn-ME"/>
        </w:rPr>
        <w:t>Manitol (E421)</w:t>
      </w:r>
    </w:p>
    <w:p w14:paraId="51789F14" w14:textId="77777777" w:rsidR="00B12253" w:rsidRPr="000D3D7F" w:rsidRDefault="00B12253" w:rsidP="001E1F5A">
      <w:pPr>
        <w:rPr>
          <w:szCs w:val="22"/>
          <w:lang w:val="sr-Latn-ME"/>
        </w:rPr>
      </w:pPr>
    </w:p>
    <w:p w14:paraId="17A3FED4" w14:textId="133BEE93" w:rsidR="00007EF9" w:rsidRPr="000D3D7F" w:rsidRDefault="00007EF9" w:rsidP="001E1F5A">
      <w:pPr>
        <w:rPr>
          <w:b/>
          <w:bCs/>
          <w:szCs w:val="22"/>
          <w:lang w:val="sr-Latn-ME"/>
        </w:rPr>
      </w:pPr>
      <w:r w:rsidRPr="000D3D7F">
        <w:rPr>
          <w:b/>
          <w:bCs/>
          <w:szCs w:val="22"/>
          <w:lang w:val="sr-Latn-ME"/>
        </w:rPr>
        <w:t>6.2. Inkompatibilnost</w:t>
      </w:r>
      <w:r w:rsidR="00DE515F" w:rsidRPr="000D3D7F">
        <w:rPr>
          <w:b/>
          <w:bCs/>
          <w:szCs w:val="22"/>
          <w:lang w:val="sr-Latn-ME"/>
        </w:rPr>
        <w:t>i</w:t>
      </w:r>
    </w:p>
    <w:p w14:paraId="17A3FED5" w14:textId="795F1625" w:rsidR="00007EF9" w:rsidRPr="000D3D7F" w:rsidRDefault="000A5D5B" w:rsidP="001E1F5A">
      <w:pPr>
        <w:rPr>
          <w:szCs w:val="22"/>
          <w:lang w:val="sr-Latn-ME"/>
        </w:rPr>
      </w:pPr>
      <w:r w:rsidRPr="000D3D7F">
        <w:rPr>
          <w:szCs w:val="22"/>
          <w:lang w:val="sr-Latn-ME"/>
        </w:rPr>
        <w:t>Nije prim</w:t>
      </w:r>
      <w:r w:rsidR="003B7F03" w:rsidRPr="000D3D7F">
        <w:rPr>
          <w:szCs w:val="22"/>
          <w:lang w:val="sr-Latn-ME"/>
        </w:rPr>
        <w:t>j</w:t>
      </w:r>
      <w:r w:rsidRPr="000D3D7F">
        <w:rPr>
          <w:szCs w:val="22"/>
          <w:lang w:val="sr-Latn-ME"/>
        </w:rPr>
        <w:t>enljivo.</w:t>
      </w:r>
    </w:p>
    <w:p w14:paraId="208DC2B6" w14:textId="77777777" w:rsidR="000A5D5B" w:rsidRPr="000D3D7F" w:rsidRDefault="000A5D5B" w:rsidP="001E1F5A">
      <w:pPr>
        <w:rPr>
          <w:szCs w:val="22"/>
          <w:lang w:val="sr-Latn-ME"/>
        </w:rPr>
      </w:pPr>
    </w:p>
    <w:p w14:paraId="17A3FED6" w14:textId="77777777" w:rsidR="00007EF9" w:rsidRPr="000D3D7F" w:rsidRDefault="00007EF9" w:rsidP="001E1F5A">
      <w:pPr>
        <w:rPr>
          <w:b/>
          <w:bCs/>
          <w:szCs w:val="22"/>
          <w:lang w:val="sr-Latn-ME"/>
        </w:rPr>
      </w:pPr>
      <w:r w:rsidRPr="000D3D7F">
        <w:rPr>
          <w:b/>
          <w:bCs/>
          <w:szCs w:val="22"/>
          <w:lang w:val="sr-Latn-ME"/>
        </w:rPr>
        <w:t>6.3. Rok upotrebe</w:t>
      </w:r>
    </w:p>
    <w:p w14:paraId="17A3FED7" w14:textId="5F509C07" w:rsidR="00007EF9" w:rsidRPr="000D3D7F" w:rsidRDefault="001D43AE" w:rsidP="001E1F5A">
      <w:pPr>
        <w:rPr>
          <w:szCs w:val="22"/>
          <w:lang w:val="sr-Latn-ME"/>
        </w:rPr>
      </w:pPr>
      <w:r w:rsidRPr="000D3D7F">
        <w:rPr>
          <w:rFonts w:eastAsia="TimesNewRoman"/>
          <w:szCs w:val="22"/>
          <w:lang w:val="sr-Latn-ME"/>
        </w:rPr>
        <w:t xml:space="preserve">Rok upotrebe u originalnoj bočici: </w:t>
      </w:r>
      <w:r w:rsidR="00C511E5" w:rsidRPr="000D3D7F">
        <w:rPr>
          <w:szCs w:val="22"/>
          <w:lang w:val="sr-Latn-ME"/>
        </w:rPr>
        <w:t>3</w:t>
      </w:r>
      <w:r w:rsidR="000A5D5B" w:rsidRPr="000D3D7F">
        <w:rPr>
          <w:szCs w:val="22"/>
          <w:lang w:val="sr-Latn-ME"/>
        </w:rPr>
        <w:t xml:space="preserve"> godine</w:t>
      </w:r>
    </w:p>
    <w:p w14:paraId="2A3D219E" w14:textId="44EF6C86" w:rsidR="000A5D5B" w:rsidRPr="000D3D7F" w:rsidRDefault="000A5D5B" w:rsidP="001E1F5A">
      <w:pPr>
        <w:rPr>
          <w:lang w:val="sr-Latn-ME"/>
        </w:rPr>
      </w:pPr>
      <w:r w:rsidRPr="000D3D7F">
        <w:rPr>
          <w:color w:val="000000"/>
          <w:lang w:val="sr-Latn-ME"/>
        </w:rPr>
        <w:t>L</w:t>
      </w:r>
      <w:r w:rsidR="003B7F03" w:rsidRPr="000D3D7F">
        <w:rPr>
          <w:color w:val="000000"/>
          <w:lang w:val="sr-Latn-ME"/>
        </w:rPr>
        <w:t>ij</w:t>
      </w:r>
      <w:r w:rsidRPr="000D3D7F">
        <w:rPr>
          <w:color w:val="000000"/>
          <w:lang w:val="sr-Latn-ME"/>
        </w:rPr>
        <w:t>ek se ne sm</w:t>
      </w:r>
      <w:r w:rsidR="003B7F03" w:rsidRPr="000D3D7F">
        <w:rPr>
          <w:color w:val="000000"/>
          <w:lang w:val="sr-Latn-ME"/>
        </w:rPr>
        <w:t>ij</w:t>
      </w:r>
      <w:r w:rsidRPr="000D3D7F">
        <w:rPr>
          <w:color w:val="000000"/>
          <w:lang w:val="sr-Latn-ME"/>
        </w:rPr>
        <w:t>e koristiti posl</w:t>
      </w:r>
      <w:r w:rsidR="003B7F03" w:rsidRPr="000D3D7F">
        <w:rPr>
          <w:color w:val="000000"/>
          <w:lang w:val="sr-Latn-ME"/>
        </w:rPr>
        <w:t>ij</w:t>
      </w:r>
      <w:r w:rsidRPr="000D3D7F">
        <w:rPr>
          <w:color w:val="000000"/>
          <w:lang w:val="sr-Latn-ME"/>
        </w:rPr>
        <w:t>e isteka roka upotrebe označenog na pakovanju.</w:t>
      </w:r>
    </w:p>
    <w:p w14:paraId="17A3FED8" w14:textId="0D077323" w:rsidR="00007EF9" w:rsidRPr="000D3D7F" w:rsidRDefault="00007EF9" w:rsidP="001E1F5A">
      <w:pPr>
        <w:rPr>
          <w:szCs w:val="22"/>
          <w:lang w:val="sr-Latn-ME"/>
        </w:rPr>
      </w:pPr>
    </w:p>
    <w:p w14:paraId="71D8C9BF" w14:textId="42868D24" w:rsidR="000A5D5B" w:rsidRPr="000D3D7F" w:rsidRDefault="000A5D5B" w:rsidP="001E1F5A">
      <w:pPr>
        <w:rPr>
          <w:rFonts w:eastAsia="TimesNewRoman"/>
          <w:szCs w:val="22"/>
          <w:lang w:val="sr-Latn-ME"/>
        </w:rPr>
      </w:pPr>
      <w:r w:rsidRPr="000D3D7F">
        <w:rPr>
          <w:rFonts w:eastAsia="TimesNewRoman"/>
          <w:szCs w:val="22"/>
          <w:lang w:val="sr-Latn-ME"/>
        </w:rPr>
        <w:t>Rok upotrebe nakon rekonstitucije:</w:t>
      </w:r>
    </w:p>
    <w:p w14:paraId="3EE175E5" w14:textId="27BA305C" w:rsidR="000A5D5B" w:rsidRPr="000D3D7F" w:rsidRDefault="00886B30" w:rsidP="001E1F5A">
      <w:pPr>
        <w:tabs>
          <w:tab w:val="clear" w:pos="284"/>
        </w:tabs>
        <w:autoSpaceDE w:val="0"/>
        <w:autoSpaceDN w:val="0"/>
        <w:adjustRightInd w:val="0"/>
        <w:rPr>
          <w:rFonts w:eastAsia="TimesNewRoman"/>
          <w:szCs w:val="22"/>
          <w:lang w:val="sr-Latn-ME"/>
        </w:rPr>
      </w:pPr>
      <w:r w:rsidRPr="000D3D7F">
        <w:rPr>
          <w:rFonts w:eastAsia="TimesNewRoman"/>
          <w:szCs w:val="22"/>
          <w:lang w:val="sr-Latn-ME"/>
        </w:rPr>
        <w:lastRenderedPageBreak/>
        <w:t>Pripremljen rastvor upotr</w:t>
      </w:r>
      <w:r w:rsidR="003B7F03" w:rsidRPr="000D3D7F">
        <w:rPr>
          <w:rFonts w:eastAsia="TimesNewRoman"/>
          <w:szCs w:val="22"/>
          <w:lang w:val="sr-Latn-ME"/>
        </w:rPr>
        <w:t>ij</w:t>
      </w:r>
      <w:r w:rsidRPr="000D3D7F">
        <w:rPr>
          <w:rFonts w:eastAsia="TimesNewRoman"/>
          <w:szCs w:val="22"/>
          <w:lang w:val="sr-Latn-ME"/>
        </w:rPr>
        <w:t>ebiti odmah nakon pripreme. Dokazana je hemijska i fizička stabilnost</w:t>
      </w:r>
      <w:r w:rsidR="009715F5" w:rsidRPr="000D3D7F">
        <w:rPr>
          <w:rFonts w:eastAsia="TimesNewRoman"/>
          <w:szCs w:val="22"/>
          <w:lang w:val="sr-Latn-ME"/>
        </w:rPr>
        <w:t xml:space="preserve"> </w:t>
      </w:r>
      <w:r w:rsidRPr="000D3D7F">
        <w:rPr>
          <w:rFonts w:eastAsia="TimesNewRoman"/>
          <w:szCs w:val="22"/>
          <w:lang w:val="sr-Latn-ME"/>
        </w:rPr>
        <w:t xml:space="preserve">pripremljenog rastvora u toku 8 sati na temperaturi od 25 </w:t>
      </w:r>
      <w:r w:rsidR="00674F8E" w:rsidRPr="000D3D7F">
        <w:rPr>
          <w:szCs w:val="22"/>
          <w:lang w:val="sr-Latn-ME"/>
        </w:rPr>
        <w:sym w:font="Symbol" w:char="F0B0"/>
      </w:r>
      <w:r w:rsidR="00674F8E" w:rsidRPr="000D3D7F">
        <w:rPr>
          <w:szCs w:val="22"/>
          <w:lang w:val="sr-Latn-ME"/>
        </w:rPr>
        <w:t>C</w:t>
      </w:r>
      <w:r w:rsidRPr="000D3D7F">
        <w:rPr>
          <w:rFonts w:eastAsia="TimesNewRoman"/>
          <w:szCs w:val="22"/>
          <w:lang w:val="sr-Latn-ME"/>
        </w:rPr>
        <w:t xml:space="preserve"> ako se pr</w:t>
      </w:r>
      <w:r w:rsidR="003B7F03" w:rsidRPr="000D3D7F">
        <w:rPr>
          <w:rFonts w:eastAsia="TimesNewRoman"/>
          <w:szCs w:val="22"/>
          <w:lang w:val="sr-Latn-ME"/>
        </w:rPr>
        <w:t>ij</w:t>
      </w:r>
      <w:r w:rsidRPr="000D3D7F">
        <w:rPr>
          <w:rFonts w:eastAsia="TimesNewRoman"/>
          <w:szCs w:val="22"/>
          <w:lang w:val="sr-Latn-ME"/>
        </w:rPr>
        <w:t>e prim</w:t>
      </w:r>
      <w:r w:rsidR="003B7F03" w:rsidRPr="000D3D7F">
        <w:rPr>
          <w:rFonts w:eastAsia="TimesNewRoman"/>
          <w:szCs w:val="22"/>
          <w:lang w:val="sr-Latn-ME"/>
        </w:rPr>
        <w:t>j</w:t>
      </w:r>
      <w:r w:rsidRPr="000D3D7F">
        <w:rPr>
          <w:rFonts w:eastAsia="TimesNewRoman"/>
          <w:szCs w:val="22"/>
          <w:lang w:val="sr-Latn-ME"/>
        </w:rPr>
        <w:t>ene čuva u originalnoj bočici i/ili špricu</w:t>
      </w:r>
      <w:r w:rsidR="00C20907" w:rsidRPr="000D3D7F">
        <w:rPr>
          <w:rFonts w:eastAsia="TimesNewRoman"/>
          <w:szCs w:val="22"/>
          <w:lang w:val="sr-Latn-ME"/>
        </w:rPr>
        <w:t>.</w:t>
      </w:r>
    </w:p>
    <w:p w14:paraId="184C0857" w14:textId="77777777" w:rsidR="000A5D5B" w:rsidRPr="000D3D7F" w:rsidRDefault="000A5D5B" w:rsidP="001E1F5A">
      <w:pPr>
        <w:rPr>
          <w:szCs w:val="22"/>
          <w:lang w:val="sr-Latn-ME"/>
        </w:rPr>
      </w:pPr>
    </w:p>
    <w:p w14:paraId="17A3FED9" w14:textId="16F160BB" w:rsidR="00007EF9" w:rsidRPr="000D3D7F" w:rsidRDefault="00007EF9" w:rsidP="001E1F5A">
      <w:pPr>
        <w:rPr>
          <w:b/>
          <w:bCs/>
          <w:szCs w:val="22"/>
          <w:lang w:val="sr-Latn-ME"/>
        </w:rPr>
      </w:pPr>
      <w:r w:rsidRPr="000D3D7F">
        <w:rPr>
          <w:b/>
          <w:bCs/>
          <w:szCs w:val="22"/>
          <w:lang w:val="sr-Latn-ME"/>
        </w:rPr>
        <w:t>6.4. Posebne m</w:t>
      </w:r>
      <w:r w:rsidR="003B7F03" w:rsidRPr="000D3D7F">
        <w:rPr>
          <w:b/>
          <w:bCs/>
          <w:szCs w:val="22"/>
          <w:lang w:val="sr-Latn-ME"/>
        </w:rPr>
        <w:t>j</w:t>
      </w:r>
      <w:r w:rsidRPr="000D3D7F">
        <w:rPr>
          <w:b/>
          <w:bCs/>
          <w:szCs w:val="22"/>
          <w:lang w:val="sr-Latn-ME"/>
        </w:rPr>
        <w:t>ere opreza pri čuvanju</w:t>
      </w:r>
      <w:r w:rsidR="00DE515F" w:rsidRPr="000D3D7F">
        <w:rPr>
          <w:b/>
          <w:bCs/>
          <w:szCs w:val="22"/>
          <w:lang w:val="sr-Latn-ME"/>
        </w:rPr>
        <w:t xml:space="preserve"> lijeka</w:t>
      </w:r>
    </w:p>
    <w:p w14:paraId="07F9AD08" w14:textId="7B10BF8A" w:rsidR="001D43AE" w:rsidRPr="000D3D7F" w:rsidRDefault="001D43AE" w:rsidP="001E1F5A">
      <w:pPr>
        <w:rPr>
          <w:szCs w:val="22"/>
          <w:lang w:val="sr-Latn-ME"/>
        </w:rPr>
      </w:pPr>
      <w:r w:rsidRPr="000D3D7F">
        <w:rPr>
          <w:szCs w:val="22"/>
          <w:lang w:val="sr-Latn-ME"/>
        </w:rPr>
        <w:t>Čuvati u originalnom pakovanju, radi zaštite od sv</w:t>
      </w:r>
      <w:r w:rsidR="003B7F03" w:rsidRPr="000D3D7F">
        <w:rPr>
          <w:szCs w:val="22"/>
          <w:lang w:val="sr-Latn-ME"/>
        </w:rPr>
        <w:t>j</w:t>
      </w:r>
      <w:r w:rsidRPr="000D3D7F">
        <w:rPr>
          <w:szCs w:val="22"/>
          <w:lang w:val="sr-Latn-ME"/>
        </w:rPr>
        <w:t>etlost</w:t>
      </w:r>
      <w:r w:rsidR="003728A8" w:rsidRPr="000D3D7F">
        <w:rPr>
          <w:szCs w:val="22"/>
          <w:lang w:val="sr-Latn-ME"/>
        </w:rPr>
        <w:t>i</w:t>
      </w:r>
      <w:r w:rsidRPr="000D3D7F">
        <w:rPr>
          <w:szCs w:val="22"/>
          <w:lang w:val="sr-Latn-ME"/>
        </w:rPr>
        <w:t>.</w:t>
      </w:r>
    </w:p>
    <w:p w14:paraId="6C8EAB22" w14:textId="77777777" w:rsidR="00BD2CC8" w:rsidRPr="000D3D7F" w:rsidRDefault="00BD2CC8" w:rsidP="001E1F5A">
      <w:pPr>
        <w:rPr>
          <w:rFonts w:eastAsia="TimesNewRoman"/>
          <w:szCs w:val="22"/>
          <w:lang w:val="sr-Latn-ME"/>
        </w:rPr>
      </w:pPr>
    </w:p>
    <w:p w14:paraId="17A3FEDB" w14:textId="63862470" w:rsidR="00007EF9" w:rsidRPr="000D3D7F" w:rsidRDefault="00BD2CC8" w:rsidP="001E1F5A">
      <w:pPr>
        <w:rPr>
          <w:szCs w:val="22"/>
          <w:lang w:val="sr-Latn-ME"/>
        </w:rPr>
      </w:pPr>
      <w:r w:rsidRPr="000D3D7F">
        <w:rPr>
          <w:rFonts w:eastAsia="TimesNewRoman"/>
          <w:szCs w:val="22"/>
          <w:lang w:val="sr-Latn-ME"/>
        </w:rPr>
        <w:t>Za uslove čuvanja l</w:t>
      </w:r>
      <w:r w:rsidR="003B7F03" w:rsidRPr="000D3D7F">
        <w:rPr>
          <w:rFonts w:eastAsia="TimesNewRoman"/>
          <w:szCs w:val="22"/>
          <w:lang w:val="sr-Latn-ME"/>
        </w:rPr>
        <w:t>ij</w:t>
      </w:r>
      <w:r w:rsidRPr="000D3D7F">
        <w:rPr>
          <w:rFonts w:eastAsia="TimesNewRoman"/>
          <w:szCs w:val="22"/>
          <w:lang w:val="sr-Latn-ME"/>
        </w:rPr>
        <w:t>eka nakon rekonstitucije vid</w:t>
      </w:r>
      <w:r w:rsidR="003B7F03" w:rsidRPr="000D3D7F">
        <w:rPr>
          <w:rFonts w:eastAsia="TimesNewRoman"/>
          <w:szCs w:val="22"/>
          <w:lang w:val="sr-Latn-ME"/>
        </w:rPr>
        <w:t>j</w:t>
      </w:r>
      <w:r w:rsidRPr="000D3D7F">
        <w:rPr>
          <w:rFonts w:eastAsia="TimesNewRoman"/>
          <w:szCs w:val="22"/>
          <w:lang w:val="sr-Latn-ME"/>
        </w:rPr>
        <w:t xml:space="preserve">eti </w:t>
      </w:r>
      <w:r w:rsidR="00A34C43" w:rsidRPr="000D3D7F">
        <w:rPr>
          <w:rFonts w:eastAsia="TimesNewRoman"/>
          <w:szCs w:val="22"/>
          <w:lang w:val="sr-Latn-ME"/>
        </w:rPr>
        <w:t>dio</w:t>
      </w:r>
      <w:r w:rsidRPr="000D3D7F">
        <w:rPr>
          <w:rFonts w:eastAsia="TimesNewRoman"/>
          <w:szCs w:val="22"/>
          <w:lang w:val="sr-Latn-ME"/>
        </w:rPr>
        <w:t xml:space="preserve"> 6.3.</w:t>
      </w:r>
    </w:p>
    <w:p w14:paraId="5F32F363" w14:textId="77777777" w:rsidR="00BD2CC8" w:rsidRPr="000D3D7F" w:rsidRDefault="00BD2CC8" w:rsidP="001E1F5A">
      <w:pPr>
        <w:rPr>
          <w:szCs w:val="22"/>
          <w:lang w:val="sr-Latn-ME"/>
        </w:rPr>
      </w:pPr>
    </w:p>
    <w:p w14:paraId="17A3FEDC" w14:textId="734C4CB0" w:rsidR="00007EF9" w:rsidRPr="000D3D7F" w:rsidRDefault="00007EF9" w:rsidP="001E1F5A">
      <w:pPr>
        <w:rPr>
          <w:b/>
          <w:bCs/>
          <w:szCs w:val="22"/>
          <w:lang w:val="sr-Latn-ME"/>
        </w:rPr>
      </w:pPr>
      <w:r w:rsidRPr="000D3D7F">
        <w:rPr>
          <w:b/>
          <w:bCs/>
          <w:szCs w:val="22"/>
          <w:lang w:val="sr-Latn-ME"/>
        </w:rPr>
        <w:t xml:space="preserve">6.5. </w:t>
      </w:r>
      <w:r w:rsidR="00DE515F" w:rsidRPr="000D3D7F">
        <w:rPr>
          <w:b/>
          <w:bCs/>
          <w:szCs w:val="22"/>
          <w:lang w:val="sr-Latn-ME"/>
        </w:rPr>
        <w:t>Vrsta</w:t>
      </w:r>
      <w:r w:rsidRPr="000D3D7F">
        <w:rPr>
          <w:b/>
          <w:bCs/>
          <w:szCs w:val="22"/>
          <w:lang w:val="sr-Latn-ME"/>
        </w:rPr>
        <w:t xml:space="preserve"> i sadržaj pakovanja</w:t>
      </w:r>
    </w:p>
    <w:p w14:paraId="5126DE51" w14:textId="77777777" w:rsidR="0065162D" w:rsidRPr="000D3D7F" w:rsidRDefault="0065162D" w:rsidP="001E1F5A">
      <w:pPr>
        <w:rPr>
          <w:b/>
          <w:bCs/>
          <w:szCs w:val="22"/>
          <w:lang w:val="sr-Latn-ME"/>
        </w:rPr>
      </w:pPr>
    </w:p>
    <w:p w14:paraId="17A3FEDD" w14:textId="42EBB529" w:rsidR="00007EF9" w:rsidRPr="000D3D7F" w:rsidRDefault="00BD2CC8" w:rsidP="001E1F5A">
      <w:pPr>
        <w:tabs>
          <w:tab w:val="clear" w:pos="284"/>
        </w:tabs>
        <w:autoSpaceDE w:val="0"/>
        <w:autoSpaceDN w:val="0"/>
        <w:adjustRightInd w:val="0"/>
        <w:rPr>
          <w:szCs w:val="22"/>
          <w:lang w:val="sr-Latn-ME"/>
        </w:rPr>
      </w:pPr>
      <w:r w:rsidRPr="000D3D7F">
        <w:rPr>
          <w:szCs w:val="22"/>
          <w:lang w:val="sr-Latn-ME"/>
        </w:rPr>
        <w:t>Unutrašnje pakovanje l</w:t>
      </w:r>
      <w:r w:rsidR="003B7F03" w:rsidRPr="000D3D7F">
        <w:rPr>
          <w:szCs w:val="22"/>
          <w:lang w:val="sr-Latn-ME"/>
        </w:rPr>
        <w:t>ij</w:t>
      </w:r>
      <w:r w:rsidRPr="000D3D7F">
        <w:rPr>
          <w:szCs w:val="22"/>
          <w:lang w:val="sr-Latn-ME"/>
        </w:rPr>
        <w:t>eka je bočica</w:t>
      </w:r>
      <w:r w:rsidR="000848DB" w:rsidRPr="000D3D7F">
        <w:rPr>
          <w:szCs w:val="22"/>
          <w:lang w:val="sr-Latn-ME"/>
        </w:rPr>
        <w:t xml:space="preserve"> od bezbojnog stakla tip I (20 m</w:t>
      </w:r>
      <w:r w:rsidR="0098487C" w:rsidRPr="000D3D7F">
        <w:rPr>
          <w:szCs w:val="22"/>
          <w:lang w:val="sr-Latn-ME"/>
        </w:rPr>
        <w:t>l</w:t>
      </w:r>
      <w:r w:rsidR="000848DB" w:rsidRPr="000D3D7F">
        <w:rPr>
          <w:szCs w:val="22"/>
          <w:lang w:val="sr-Latn-ME"/>
        </w:rPr>
        <w:t xml:space="preserve">) </w:t>
      </w:r>
      <w:r w:rsidR="002D0C35" w:rsidRPr="000D3D7F">
        <w:rPr>
          <w:szCs w:val="22"/>
          <w:lang w:val="sr-Latn-ME"/>
        </w:rPr>
        <w:t xml:space="preserve">koja je zatvorena </w:t>
      </w:r>
      <w:r w:rsidR="006467E0" w:rsidRPr="000D3D7F">
        <w:rPr>
          <w:rFonts w:eastAsia="TimesNewRoman"/>
          <w:szCs w:val="22"/>
          <w:lang w:val="sr-Latn-ME"/>
        </w:rPr>
        <w:t>bromobutil gume</w:t>
      </w:r>
      <w:r w:rsidR="002D0C35" w:rsidRPr="000D3D7F">
        <w:rPr>
          <w:rFonts w:eastAsia="TimesNewRoman"/>
          <w:szCs w:val="22"/>
          <w:lang w:val="sr-Latn-ME"/>
        </w:rPr>
        <w:t>n</w:t>
      </w:r>
      <w:r w:rsidR="006467E0" w:rsidRPr="000D3D7F">
        <w:rPr>
          <w:rFonts w:eastAsia="TimesNewRoman"/>
          <w:szCs w:val="22"/>
          <w:lang w:val="sr-Latn-ME"/>
        </w:rPr>
        <w:t>i</w:t>
      </w:r>
      <w:r w:rsidR="002D0C35" w:rsidRPr="000D3D7F">
        <w:rPr>
          <w:rFonts w:eastAsia="TimesNewRoman"/>
          <w:szCs w:val="22"/>
          <w:lang w:val="sr-Latn-ME"/>
        </w:rPr>
        <w:t xml:space="preserve">m zatvaračem i </w:t>
      </w:r>
      <w:r w:rsidR="006467E0" w:rsidRPr="000D3D7F">
        <w:rPr>
          <w:rFonts w:eastAsia="TimesNewRoman"/>
          <w:szCs w:val="22"/>
          <w:lang w:val="sr-Latn-ME"/>
        </w:rPr>
        <w:t xml:space="preserve">aluminijumskom kapicom </w:t>
      </w:r>
      <w:r w:rsidR="002D0C35" w:rsidRPr="000D3D7F">
        <w:rPr>
          <w:rFonts w:eastAsia="TimesNewRoman"/>
          <w:szCs w:val="22"/>
          <w:lang w:val="sr-Latn-ME"/>
        </w:rPr>
        <w:t>sa</w:t>
      </w:r>
      <w:r w:rsidR="006467E0" w:rsidRPr="000D3D7F">
        <w:rPr>
          <w:rFonts w:eastAsia="TimesNewRoman"/>
          <w:szCs w:val="22"/>
          <w:lang w:val="sr-Latn-ME"/>
        </w:rPr>
        <w:t xml:space="preserve"> </w:t>
      </w:r>
      <w:r w:rsidR="002D0C35" w:rsidRPr="000D3D7F">
        <w:rPr>
          <w:rFonts w:eastAsia="TimesNewRoman"/>
          <w:szCs w:val="22"/>
          <w:lang w:val="sr-Latn-ME"/>
        </w:rPr>
        <w:t>polipropilenskim</w:t>
      </w:r>
      <w:r w:rsidR="006467E0" w:rsidRPr="000D3D7F">
        <w:rPr>
          <w:rFonts w:eastAsia="TimesNewRoman"/>
          <w:szCs w:val="22"/>
          <w:lang w:val="sr-Latn-ME"/>
        </w:rPr>
        <w:t xml:space="preserve"> poklopcem</w:t>
      </w:r>
      <w:r w:rsidR="002D0C35" w:rsidRPr="000D3D7F">
        <w:rPr>
          <w:rFonts w:eastAsia="TimesNewRoman"/>
          <w:szCs w:val="22"/>
          <w:lang w:val="sr-Latn-ME"/>
        </w:rPr>
        <w:t xml:space="preserve"> koji se lako uklanja (</w:t>
      </w:r>
      <w:r w:rsidR="002D0C35" w:rsidRPr="000D3D7F">
        <w:rPr>
          <w:lang w:val="sr-Latn-ME" w:eastAsia="sr-Latn-CS"/>
        </w:rPr>
        <w:t>"flip-off" poklopac).</w:t>
      </w:r>
    </w:p>
    <w:p w14:paraId="383C6789" w14:textId="01517915" w:rsidR="00BD2CC8" w:rsidRPr="000D3D7F" w:rsidRDefault="00174A46" w:rsidP="001E1F5A">
      <w:pPr>
        <w:rPr>
          <w:rFonts w:eastAsia="TimesNewRoman"/>
          <w:szCs w:val="22"/>
          <w:lang w:val="sr-Latn-ME"/>
        </w:rPr>
      </w:pPr>
      <w:r w:rsidRPr="000D3D7F">
        <w:rPr>
          <w:rFonts w:eastAsia="TimesNewRoman"/>
          <w:szCs w:val="22"/>
          <w:lang w:val="sr-Latn-ME"/>
        </w:rPr>
        <w:t>Spoljnje pakovanje je složiva kartonska kutija u kojoj se nalazi 1 bočica i Uputstvo za l</w:t>
      </w:r>
      <w:r w:rsidR="003B7F03" w:rsidRPr="000D3D7F">
        <w:rPr>
          <w:rFonts w:eastAsia="TimesNewRoman"/>
          <w:szCs w:val="22"/>
          <w:lang w:val="sr-Latn-ME"/>
        </w:rPr>
        <w:t>ij</w:t>
      </w:r>
      <w:r w:rsidRPr="000D3D7F">
        <w:rPr>
          <w:rFonts w:eastAsia="TimesNewRoman"/>
          <w:szCs w:val="22"/>
          <w:lang w:val="sr-Latn-ME"/>
        </w:rPr>
        <w:t>ek.</w:t>
      </w:r>
    </w:p>
    <w:p w14:paraId="6D81B7C7" w14:textId="77777777" w:rsidR="00174A46" w:rsidRPr="000D3D7F" w:rsidRDefault="00174A46" w:rsidP="001E1F5A">
      <w:pPr>
        <w:rPr>
          <w:szCs w:val="22"/>
          <w:lang w:val="sr-Latn-ME"/>
        </w:rPr>
      </w:pPr>
    </w:p>
    <w:p w14:paraId="721D1DFF" w14:textId="465D8151" w:rsidR="00F838B0" w:rsidRPr="000D3D7F" w:rsidRDefault="00007EF9" w:rsidP="00362CB3">
      <w:pPr>
        <w:rPr>
          <w:lang w:val="sr-Latn-ME"/>
        </w:rPr>
      </w:pPr>
      <w:r w:rsidRPr="000D3D7F">
        <w:rPr>
          <w:b/>
          <w:bCs/>
          <w:szCs w:val="22"/>
          <w:lang w:val="sr-Latn-ME"/>
        </w:rPr>
        <w:t>6.6. Posebne m</w:t>
      </w:r>
      <w:r w:rsidR="003B7F03" w:rsidRPr="000D3D7F">
        <w:rPr>
          <w:b/>
          <w:bCs/>
          <w:szCs w:val="22"/>
          <w:lang w:val="sr-Latn-ME"/>
        </w:rPr>
        <w:t>j</w:t>
      </w:r>
      <w:r w:rsidRPr="000D3D7F">
        <w:rPr>
          <w:b/>
          <w:bCs/>
          <w:szCs w:val="22"/>
          <w:lang w:val="sr-Latn-ME"/>
        </w:rPr>
        <w:t>ere opreza pri odlaganju materijala koji treba odbaciti nakon prim</w:t>
      </w:r>
      <w:r w:rsidR="003B7F03" w:rsidRPr="000D3D7F">
        <w:rPr>
          <w:b/>
          <w:bCs/>
          <w:szCs w:val="22"/>
          <w:lang w:val="sr-Latn-ME"/>
        </w:rPr>
        <w:t>j</w:t>
      </w:r>
      <w:r w:rsidRPr="000D3D7F">
        <w:rPr>
          <w:b/>
          <w:bCs/>
          <w:szCs w:val="22"/>
          <w:lang w:val="sr-Latn-ME"/>
        </w:rPr>
        <w:t>ene l</w:t>
      </w:r>
      <w:r w:rsidR="003B7F03" w:rsidRPr="000D3D7F">
        <w:rPr>
          <w:b/>
          <w:bCs/>
          <w:szCs w:val="22"/>
          <w:lang w:val="sr-Latn-ME"/>
        </w:rPr>
        <w:t>ij</w:t>
      </w:r>
      <w:r w:rsidRPr="000D3D7F">
        <w:rPr>
          <w:b/>
          <w:bCs/>
          <w:szCs w:val="22"/>
          <w:lang w:val="sr-Latn-ME"/>
        </w:rPr>
        <w:t>eka (i druga uputstva za rukovanje l</w:t>
      </w:r>
      <w:r w:rsidR="003B7F03" w:rsidRPr="000D3D7F">
        <w:rPr>
          <w:b/>
          <w:bCs/>
          <w:szCs w:val="22"/>
          <w:lang w:val="sr-Latn-ME"/>
        </w:rPr>
        <w:t>ij</w:t>
      </w:r>
      <w:r w:rsidRPr="000D3D7F">
        <w:rPr>
          <w:b/>
          <w:bCs/>
          <w:szCs w:val="22"/>
          <w:lang w:val="sr-Latn-ME"/>
        </w:rPr>
        <w:t>ekom)</w:t>
      </w:r>
    </w:p>
    <w:p w14:paraId="7085F237" w14:textId="55100B3A" w:rsidR="00F838B0" w:rsidRPr="000D3D7F" w:rsidRDefault="000221C6" w:rsidP="00F838B0">
      <w:pPr>
        <w:pStyle w:val="Header"/>
        <w:tabs>
          <w:tab w:val="clear" w:pos="4536"/>
          <w:tab w:val="clear" w:pos="9072"/>
          <w:tab w:val="left" w:pos="284"/>
        </w:tabs>
        <w:spacing w:before="80" w:after="80"/>
        <w:rPr>
          <w:bCs/>
          <w:szCs w:val="22"/>
          <w:u w:val="single"/>
          <w:lang w:val="sr-Latn-ME"/>
        </w:rPr>
      </w:pPr>
      <w:r w:rsidRPr="000D3D7F">
        <w:rPr>
          <w:bCs/>
          <w:szCs w:val="22"/>
          <w:u w:val="single"/>
          <w:lang w:val="sr-Latn-ME"/>
        </w:rPr>
        <w:t>M</w:t>
      </w:r>
      <w:r w:rsidR="00B11634" w:rsidRPr="000D3D7F">
        <w:rPr>
          <w:bCs/>
          <w:szCs w:val="22"/>
          <w:u w:val="single"/>
          <w:lang w:val="sr-Latn-ME"/>
        </w:rPr>
        <w:t>j</w:t>
      </w:r>
      <w:r w:rsidRPr="000D3D7F">
        <w:rPr>
          <w:bCs/>
          <w:szCs w:val="22"/>
          <w:u w:val="single"/>
          <w:lang w:val="sr-Latn-ME"/>
        </w:rPr>
        <w:t>ere predostrožnosti:</w:t>
      </w:r>
    </w:p>
    <w:p w14:paraId="3EB3CC19" w14:textId="519DFF2F" w:rsidR="000221C6"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Samo za jednokratnu upotrebu. Bortezomib je citotoksičan agens. Zbog toga je, potreban oprez prilikom rukovanja i pripreme. Preporučuje se nošenje rukavica i zaštitne od</w:t>
      </w:r>
      <w:r w:rsidR="00B11634" w:rsidRPr="000D3D7F">
        <w:rPr>
          <w:bCs/>
          <w:szCs w:val="22"/>
          <w:lang w:val="sr-Latn-ME"/>
        </w:rPr>
        <w:t>j</w:t>
      </w:r>
      <w:r w:rsidRPr="000D3D7F">
        <w:rPr>
          <w:bCs/>
          <w:szCs w:val="22"/>
          <w:lang w:val="sr-Latn-ME"/>
        </w:rPr>
        <w:t>eće da bi se spr</w:t>
      </w:r>
      <w:r w:rsidR="00B11634" w:rsidRPr="000D3D7F">
        <w:rPr>
          <w:bCs/>
          <w:szCs w:val="22"/>
          <w:lang w:val="sr-Latn-ME"/>
        </w:rPr>
        <w:t>ij</w:t>
      </w:r>
      <w:r w:rsidRPr="000D3D7F">
        <w:rPr>
          <w:bCs/>
          <w:szCs w:val="22"/>
          <w:lang w:val="sr-Latn-ME"/>
        </w:rPr>
        <w:t>ečio kontakt sa kožom.</w:t>
      </w:r>
    </w:p>
    <w:p w14:paraId="2EB12F98" w14:textId="134FAE4A" w:rsidR="000221C6" w:rsidRPr="000D3D7F" w:rsidRDefault="000221C6" w:rsidP="00F838B0">
      <w:pPr>
        <w:pStyle w:val="Header"/>
        <w:tabs>
          <w:tab w:val="clear" w:pos="4536"/>
          <w:tab w:val="clear" w:pos="9072"/>
          <w:tab w:val="left" w:pos="284"/>
        </w:tabs>
        <w:spacing w:before="80" w:after="80"/>
        <w:rPr>
          <w:bCs/>
          <w:szCs w:val="22"/>
          <w:lang w:val="sr-Latn-ME"/>
        </w:rPr>
      </w:pPr>
      <w:r w:rsidRPr="000D3D7F">
        <w:rPr>
          <w:bCs/>
          <w:szCs w:val="22"/>
          <w:lang w:val="sr-Latn-ME"/>
        </w:rPr>
        <w:t>Obavezno je strogo pridržavanje aseptičnih uslova tokom c</w:t>
      </w:r>
      <w:r w:rsidR="00B11634" w:rsidRPr="000D3D7F">
        <w:rPr>
          <w:bCs/>
          <w:szCs w:val="22"/>
          <w:lang w:val="sr-Latn-ME"/>
        </w:rPr>
        <w:t>ij</w:t>
      </w:r>
      <w:r w:rsidRPr="000D3D7F">
        <w:rPr>
          <w:bCs/>
          <w:szCs w:val="22"/>
          <w:lang w:val="sr-Latn-ME"/>
        </w:rPr>
        <w:t>elog postupka rukovanja l</w:t>
      </w:r>
      <w:r w:rsidR="00B11634" w:rsidRPr="000D3D7F">
        <w:rPr>
          <w:bCs/>
          <w:szCs w:val="22"/>
          <w:lang w:val="sr-Latn-ME"/>
        </w:rPr>
        <w:t>ij</w:t>
      </w:r>
      <w:r w:rsidRPr="000D3D7F">
        <w:rPr>
          <w:bCs/>
          <w:szCs w:val="22"/>
          <w:lang w:val="sr-Latn-ME"/>
        </w:rPr>
        <w:t>ekom Bortegaz jer l</w:t>
      </w:r>
      <w:r w:rsidR="00B11634" w:rsidRPr="000D3D7F">
        <w:rPr>
          <w:bCs/>
          <w:szCs w:val="22"/>
          <w:lang w:val="sr-Latn-ME"/>
        </w:rPr>
        <w:t>ij</w:t>
      </w:r>
      <w:r w:rsidRPr="000D3D7F">
        <w:rPr>
          <w:bCs/>
          <w:szCs w:val="22"/>
          <w:lang w:val="sr-Latn-ME"/>
        </w:rPr>
        <w:t>ek ne sadrži konzervans</w:t>
      </w:r>
      <w:r w:rsidR="00F838B0" w:rsidRPr="000D3D7F">
        <w:rPr>
          <w:bCs/>
          <w:szCs w:val="22"/>
          <w:lang w:val="sr-Latn-ME"/>
        </w:rPr>
        <w:t>. Desili su se fatalni ishodi kada je l</w:t>
      </w:r>
      <w:r w:rsidR="00B11634" w:rsidRPr="000D3D7F">
        <w:rPr>
          <w:bCs/>
          <w:szCs w:val="22"/>
          <w:lang w:val="sr-Latn-ME"/>
        </w:rPr>
        <w:t>ij</w:t>
      </w:r>
      <w:r w:rsidR="00F838B0" w:rsidRPr="000D3D7F">
        <w:rPr>
          <w:bCs/>
          <w:szCs w:val="22"/>
          <w:lang w:val="sr-Latn-ME"/>
        </w:rPr>
        <w:t xml:space="preserve">ek </w:t>
      </w:r>
      <w:r w:rsidRPr="000D3D7F">
        <w:rPr>
          <w:bCs/>
          <w:szCs w:val="22"/>
          <w:lang w:val="sr-Latn-ME"/>
        </w:rPr>
        <w:t xml:space="preserve">Bortegaz </w:t>
      </w:r>
      <w:r w:rsidR="00F838B0" w:rsidRPr="000D3D7F">
        <w:rPr>
          <w:bCs/>
          <w:szCs w:val="22"/>
          <w:lang w:val="sr-Latn-ME"/>
        </w:rPr>
        <w:t>prim</w:t>
      </w:r>
      <w:r w:rsidR="00B11634" w:rsidRPr="000D3D7F">
        <w:rPr>
          <w:bCs/>
          <w:szCs w:val="22"/>
          <w:lang w:val="sr-Latn-ME"/>
        </w:rPr>
        <w:t>ij</w:t>
      </w:r>
      <w:r w:rsidR="00F838B0" w:rsidRPr="000D3D7F">
        <w:rPr>
          <w:bCs/>
          <w:szCs w:val="22"/>
          <w:lang w:val="sr-Latn-ME"/>
        </w:rPr>
        <w:t>enjen i</w:t>
      </w:r>
      <w:r w:rsidR="0065162D" w:rsidRPr="000D3D7F">
        <w:rPr>
          <w:bCs/>
          <w:szCs w:val="22"/>
          <w:lang w:val="sr-Latn-ME"/>
        </w:rPr>
        <w:t>n</w:t>
      </w:r>
      <w:r w:rsidR="00F838B0" w:rsidRPr="000D3D7F">
        <w:rPr>
          <w:bCs/>
          <w:szCs w:val="22"/>
          <w:lang w:val="sr-Latn-ME"/>
        </w:rPr>
        <w:t>tratekalno. L</w:t>
      </w:r>
      <w:r w:rsidR="00B11634" w:rsidRPr="000D3D7F">
        <w:rPr>
          <w:bCs/>
          <w:szCs w:val="22"/>
          <w:lang w:val="sr-Latn-ME"/>
        </w:rPr>
        <w:t>ij</w:t>
      </w:r>
      <w:r w:rsidR="00F838B0" w:rsidRPr="000D3D7F">
        <w:rPr>
          <w:bCs/>
          <w:szCs w:val="22"/>
          <w:lang w:val="sr-Latn-ME"/>
        </w:rPr>
        <w:t xml:space="preserve">ek </w:t>
      </w:r>
      <w:r w:rsidRPr="000D3D7F">
        <w:rPr>
          <w:bCs/>
          <w:szCs w:val="22"/>
          <w:lang w:val="sr-Latn-ME"/>
        </w:rPr>
        <w:t>Bortegaz</w:t>
      </w:r>
      <w:r w:rsidR="00F838B0" w:rsidRPr="000D3D7F">
        <w:rPr>
          <w:bCs/>
          <w:szCs w:val="22"/>
          <w:lang w:val="sr-Latn-ME"/>
        </w:rPr>
        <w:t>,</w:t>
      </w:r>
      <w:r w:rsidRPr="000D3D7F">
        <w:rPr>
          <w:bCs/>
          <w:szCs w:val="22"/>
          <w:lang w:val="sr-Latn-ME"/>
        </w:rPr>
        <w:t xml:space="preserve"> </w:t>
      </w:r>
      <w:r w:rsidR="00F838B0" w:rsidRPr="000D3D7F">
        <w:rPr>
          <w:bCs/>
          <w:szCs w:val="22"/>
          <w:lang w:val="sr-Latn-ME"/>
        </w:rPr>
        <w:t xml:space="preserve">3,5 mg </w:t>
      </w:r>
      <w:r w:rsidRPr="000D3D7F">
        <w:rPr>
          <w:bCs/>
          <w:szCs w:val="22"/>
          <w:lang w:val="sr-Latn-ME"/>
        </w:rPr>
        <w:t xml:space="preserve">se </w:t>
      </w:r>
      <w:r w:rsidR="00F838B0" w:rsidRPr="000D3D7F">
        <w:rPr>
          <w:bCs/>
          <w:szCs w:val="22"/>
          <w:lang w:val="sr-Latn-ME"/>
        </w:rPr>
        <w:t>može prim</w:t>
      </w:r>
      <w:r w:rsidR="00B11634" w:rsidRPr="000D3D7F">
        <w:rPr>
          <w:bCs/>
          <w:szCs w:val="22"/>
          <w:lang w:val="sr-Latn-ME"/>
        </w:rPr>
        <w:t>j</w:t>
      </w:r>
      <w:r w:rsidR="00F838B0" w:rsidRPr="000D3D7F">
        <w:rPr>
          <w:bCs/>
          <w:szCs w:val="22"/>
          <w:lang w:val="sr-Latn-ME"/>
        </w:rPr>
        <w:t>enjivati intravenski ili su</w:t>
      </w:r>
      <w:r w:rsidR="00B13A72" w:rsidRPr="000D3D7F">
        <w:rPr>
          <w:bCs/>
          <w:szCs w:val="22"/>
          <w:lang w:val="sr-Latn-ME"/>
        </w:rPr>
        <w:t>b</w:t>
      </w:r>
      <w:r w:rsidR="00F838B0" w:rsidRPr="000D3D7F">
        <w:rPr>
          <w:bCs/>
          <w:szCs w:val="22"/>
          <w:lang w:val="sr-Latn-ME"/>
        </w:rPr>
        <w:t>kutano. L</w:t>
      </w:r>
      <w:r w:rsidR="00B11634" w:rsidRPr="000D3D7F">
        <w:rPr>
          <w:bCs/>
          <w:szCs w:val="22"/>
          <w:lang w:val="sr-Latn-ME"/>
        </w:rPr>
        <w:t>ij</w:t>
      </w:r>
      <w:r w:rsidR="00F838B0" w:rsidRPr="000D3D7F">
        <w:rPr>
          <w:bCs/>
          <w:szCs w:val="22"/>
          <w:lang w:val="sr-Latn-ME"/>
        </w:rPr>
        <w:t xml:space="preserve">ek </w:t>
      </w:r>
      <w:r w:rsidRPr="000D3D7F">
        <w:rPr>
          <w:bCs/>
          <w:szCs w:val="22"/>
          <w:lang w:val="sr-Latn-ME"/>
        </w:rPr>
        <w:t xml:space="preserve">Bortegaz </w:t>
      </w:r>
      <w:r w:rsidR="00F838B0" w:rsidRPr="000D3D7F">
        <w:rPr>
          <w:bCs/>
          <w:szCs w:val="22"/>
          <w:lang w:val="sr-Latn-ME"/>
        </w:rPr>
        <w:t>se ne sm</w:t>
      </w:r>
      <w:r w:rsidR="00B11634" w:rsidRPr="000D3D7F">
        <w:rPr>
          <w:bCs/>
          <w:szCs w:val="22"/>
          <w:lang w:val="sr-Latn-ME"/>
        </w:rPr>
        <w:t>ij</w:t>
      </w:r>
      <w:r w:rsidR="00F838B0" w:rsidRPr="000D3D7F">
        <w:rPr>
          <w:bCs/>
          <w:szCs w:val="22"/>
          <w:lang w:val="sr-Latn-ME"/>
        </w:rPr>
        <w:t>e prim</w:t>
      </w:r>
      <w:r w:rsidR="00B11634" w:rsidRPr="000D3D7F">
        <w:rPr>
          <w:bCs/>
          <w:szCs w:val="22"/>
          <w:lang w:val="sr-Latn-ME"/>
        </w:rPr>
        <w:t>j</w:t>
      </w:r>
      <w:r w:rsidR="00F838B0" w:rsidRPr="000D3D7F">
        <w:rPr>
          <w:bCs/>
          <w:szCs w:val="22"/>
          <w:lang w:val="sr-Latn-ME"/>
        </w:rPr>
        <w:t xml:space="preserve">enjivati intratekalno. </w:t>
      </w:r>
    </w:p>
    <w:p w14:paraId="5D31837B" w14:textId="77777777" w:rsidR="000221C6" w:rsidRPr="000D3D7F" w:rsidRDefault="00F838B0" w:rsidP="00F838B0">
      <w:pPr>
        <w:pStyle w:val="Header"/>
        <w:tabs>
          <w:tab w:val="clear" w:pos="4536"/>
          <w:tab w:val="clear" w:pos="9072"/>
          <w:tab w:val="left" w:pos="284"/>
        </w:tabs>
        <w:spacing w:before="80" w:after="80"/>
        <w:rPr>
          <w:bCs/>
          <w:szCs w:val="22"/>
          <w:u w:val="single"/>
          <w:lang w:val="sr-Latn-ME"/>
        </w:rPr>
      </w:pPr>
      <w:r w:rsidRPr="000D3D7F">
        <w:rPr>
          <w:bCs/>
          <w:szCs w:val="22"/>
          <w:u w:val="single"/>
          <w:lang w:val="sr-Latn-ME"/>
        </w:rPr>
        <w:t>Instrukcije za rekonstituciju</w:t>
      </w:r>
    </w:p>
    <w:p w14:paraId="45E0913B" w14:textId="3324D5B8" w:rsidR="000221C6"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 xml:space="preserve"> L</w:t>
      </w:r>
      <w:r w:rsidR="00B11634" w:rsidRPr="000D3D7F">
        <w:rPr>
          <w:bCs/>
          <w:szCs w:val="22"/>
          <w:lang w:val="sr-Latn-ME"/>
        </w:rPr>
        <w:t>ij</w:t>
      </w:r>
      <w:r w:rsidRPr="000D3D7F">
        <w:rPr>
          <w:bCs/>
          <w:szCs w:val="22"/>
          <w:lang w:val="sr-Latn-ME"/>
        </w:rPr>
        <w:t xml:space="preserve">ek </w:t>
      </w:r>
      <w:r w:rsidR="000221C6" w:rsidRPr="000D3D7F">
        <w:rPr>
          <w:bCs/>
          <w:szCs w:val="22"/>
          <w:lang w:val="sr-Latn-ME"/>
        </w:rPr>
        <w:t xml:space="preserve">Bortegaz </w:t>
      </w:r>
      <w:r w:rsidRPr="000D3D7F">
        <w:rPr>
          <w:bCs/>
          <w:szCs w:val="22"/>
          <w:lang w:val="sr-Latn-ME"/>
        </w:rPr>
        <w:t xml:space="preserve">mora rekonstituisati zdravstveni radnik. </w:t>
      </w:r>
    </w:p>
    <w:p w14:paraId="022435A8" w14:textId="77777777" w:rsidR="000221C6" w:rsidRPr="000D3D7F" w:rsidRDefault="00F838B0" w:rsidP="00F838B0">
      <w:pPr>
        <w:pStyle w:val="Header"/>
        <w:tabs>
          <w:tab w:val="clear" w:pos="4536"/>
          <w:tab w:val="clear" w:pos="9072"/>
          <w:tab w:val="left" w:pos="284"/>
        </w:tabs>
        <w:spacing w:before="80" w:after="80"/>
        <w:rPr>
          <w:bCs/>
          <w:i/>
          <w:iCs/>
          <w:szCs w:val="22"/>
          <w:lang w:val="sr-Latn-ME"/>
        </w:rPr>
      </w:pPr>
      <w:r w:rsidRPr="000D3D7F">
        <w:rPr>
          <w:bCs/>
          <w:i/>
          <w:iCs/>
          <w:szCs w:val="22"/>
          <w:lang w:val="sr-Latn-ME"/>
        </w:rPr>
        <w:t xml:space="preserve">Intravenska injekcija </w:t>
      </w:r>
    </w:p>
    <w:p w14:paraId="4200D8EF" w14:textId="5391823B" w:rsidR="000221C6"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 xml:space="preserve">Sadržaj svake bočice od </w:t>
      </w:r>
      <w:r w:rsidR="000221C6" w:rsidRPr="000D3D7F">
        <w:rPr>
          <w:bCs/>
          <w:szCs w:val="22"/>
          <w:lang w:val="sr-Latn-ME"/>
        </w:rPr>
        <w:t>2</w:t>
      </w:r>
      <w:r w:rsidRPr="000D3D7F">
        <w:rPr>
          <w:bCs/>
          <w:szCs w:val="22"/>
          <w:lang w:val="sr-Latn-ME"/>
        </w:rPr>
        <w:t>0 m</w:t>
      </w:r>
      <w:r w:rsidR="00B11634" w:rsidRPr="000D3D7F">
        <w:rPr>
          <w:bCs/>
          <w:szCs w:val="22"/>
          <w:lang w:val="sr-Latn-ME"/>
        </w:rPr>
        <w:t>l</w:t>
      </w:r>
      <w:r w:rsidRPr="000D3D7F">
        <w:rPr>
          <w:bCs/>
          <w:szCs w:val="22"/>
          <w:lang w:val="sr-Latn-ME"/>
        </w:rPr>
        <w:t xml:space="preserve"> se mora pažljivo rastvoriti sa 3,5 m</w:t>
      </w:r>
      <w:r w:rsidR="00B11634" w:rsidRPr="000D3D7F">
        <w:rPr>
          <w:bCs/>
          <w:szCs w:val="22"/>
          <w:lang w:val="sr-Latn-ME"/>
        </w:rPr>
        <w:t>l</w:t>
      </w:r>
      <w:r w:rsidRPr="000D3D7F">
        <w:rPr>
          <w:bCs/>
          <w:szCs w:val="22"/>
          <w:lang w:val="sr-Latn-ME"/>
        </w:rPr>
        <w:t xml:space="preserve"> rastvora natrijum</w:t>
      </w:r>
      <w:r w:rsidR="00B11634" w:rsidRPr="000D3D7F">
        <w:rPr>
          <w:bCs/>
          <w:szCs w:val="22"/>
          <w:lang w:val="sr-Latn-ME"/>
        </w:rPr>
        <w:t xml:space="preserve"> </w:t>
      </w:r>
      <w:r w:rsidRPr="000D3D7F">
        <w:rPr>
          <w:bCs/>
          <w:szCs w:val="22"/>
          <w:lang w:val="sr-Latn-ME"/>
        </w:rPr>
        <w:t>hlorida za infuziju koncentracije 9 mg/m</w:t>
      </w:r>
      <w:r w:rsidR="00B11634" w:rsidRPr="000D3D7F">
        <w:rPr>
          <w:bCs/>
          <w:szCs w:val="22"/>
          <w:lang w:val="sr-Latn-ME"/>
        </w:rPr>
        <w:t>l</w:t>
      </w:r>
      <w:r w:rsidRPr="000D3D7F">
        <w:rPr>
          <w:bCs/>
          <w:szCs w:val="22"/>
          <w:lang w:val="sr-Latn-ME"/>
        </w:rPr>
        <w:t xml:space="preserve"> (0,9%), uz korišćenje šprica odgovarajuće veličine, bez uklanjanja čepa bočice. Rastvaranje liofiliziranog praška gotovo je za manje od 2 minuta. </w:t>
      </w:r>
    </w:p>
    <w:p w14:paraId="47E78006" w14:textId="1F0D4113" w:rsidR="000221C6"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Nakon rekonstitucije, jedan mililitar pripremljenog rastvora za injekciju, sadrži 1 mg bortezomiba. Rastvor je bistar i bezbojan, sa krajnjom vr</w:t>
      </w:r>
      <w:r w:rsidR="00B11634" w:rsidRPr="000D3D7F">
        <w:rPr>
          <w:bCs/>
          <w:szCs w:val="22"/>
          <w:lang w:val="sr-Latn-ME"/>
        </w:rPr>
        <w:t>ij</w:t>
      </w:r>
      <w:r w:rsidRPr="000D3D7F">
        <w:rPr>
          <w:bCs/>
          <w:szCs w:val="22"/>
          <w:lang w:val="sr-Latn-ME"/>
        </w:rPr>
        <w:t xml:space="preserve">ednošću pH od 4 do 7. </w:t>
      </w:r>
    </w:p>
    <w:p w14:paraId="1492D680" w14:textId="0327EDC2" w:rsidR="000221C6"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Pr</w:t>
      </w:r>
      <w:r w:rsidR="00B11634" w:rsidRPr="000D3D7F">
        <w:rPr>
          <w:bCs/>
          <w:szCs w:val="22"/>
          <w:lang w:val="sr-Latn-ME"/>
        </w:rPr>
        <w:t>ij</w:t>
      </w:r>
      <w:r w:rsidRPr="000D3D7F">
        <w:rPr>
          <w:bCs/>
          <w:szCs w:val="22"/>
          <w:lang w:val="sr-Latn-ME"/>
        </w:rPr>
        <w:t>e prim</w:t>
      </w:r>
      <w:r w:rsidR="00B11634" w:rsidRPr="000D3D7F">
        <w:rPr>
          <w:bCs/>
          <w:szCs w:val="22"/>
          <w:lang w:val="sr-Latn-ME"/>
        </w:rPr>
        <w:t>j</w:t>
      </w:r>
      <w:r w:rsidRPr="000D3D7F">
        <w:rPr>
          <w:bCs/>
          <w:szCs w:val="22"/>
          <w:lang w:val="sr-Latn-ME"/>
        </w:rPr>
        <w:t>ene vizuelno pregledati rastvor na prisutnost stranih čestica ili na prom</w:t>
      </w:r>
      <w:r w:rsidR="00B11634" w:rsidRPr="000D3D7F">
        <w:rPr>
          <w:bCs/>
          <w:szCs w:val="22"/>
          <w:lang w:val="sr-Latn-ME"/>
        </w:rPr>
        <w:t>j</w:t>
      </w:r>
      <w:r w:rsidRPr="000D3D7F">
        <w:rPr>
          <w:bCs/>
          <w:szCs w:val="22"/>
          <w:lang w:val="sr-Latn-ME"/>
        </w:rPr>
        <w:t>enu boje.</w:t>
      </w:r>
      <w:r w:rsidR="000221C6" w:rsidRPr="000D3D7F">
        <w:rPr>
          <w:bCs/>
          <w:szCs w:val="22"/>
          <w:lang w:val="sr-Latn-ME"/>
        </w:rPr>
        <w:t xml:space="preserve">  </w:t>
      </w:r>
      <w:r w:rsidRPr="000D3D7F">
        <w:rPr>
          <w:bCs/>
          <w:szCs w:val="22"/>
          <w:lang w:val="sr-Latn-ME"/>
        </w:rPr>
        <w:t>Ukoliko se zapaze čestice u rastvoru ili prom</w:t>
      </w:r>
      <w:r w:rsidR="00B11634" w:rsidRPr="000D3D7F">
        <w:rPr>
          <w:bCs/>
          <w:szCs w:val="22"/>
          <w:lang w:val="sr-Latn-ME"/>
        </w:rPr>
        <w:t>j</w:t>
      </w:r>
      <w:r w:rsidRPr="000D3D7F">
        <w:rPr>
          <w:bCs/>
          <w:szCs w:val="22"/>
          <w:lang w:val="sr-Latn-ME"/>
        </w:rPr>
        <w:t xml:space="preserve">ena boje, rastvor se mora odbaciti. </w:t>
      </w:r>
    </w:p>
    <w:p w14:paraId="4B35BAFB" w14:textId="72DE0EAB" w:rsidR="000221C6" w:rsidRPr="000D3D7F" w:rsidRDefault="00F838B0" w:rsidP="00F838B0">
      <w:pPr>
        <w:pStyle w:val="Header"/>
        <w:tabs>
          <w:tab w:val="clear" w:pos="4536"/>
          <w:tab w:val="clear" w:pos="9072"/>
          <w:tab w:val="left" w:pos="284"/>
        </w:tabs>
        <w:spacing w:before="80" w:after="80"/>
        <w:rPr>
          <w:bCs/>
          <w:i/>
          <w:iCs/>
          <w:szCs w:val="22"/>
          <w:lang w:val="sr-Latn-ME"/>
        </w:rPr>
      </w:pPr>
      <w:r w:rsidRPr="000D3D7F">
        <w:rPr>
          <w:bCs/>
          <w:i/>
          <w:iCs/>
          <w:szCs w:val="22"/>
          <w:lang w:val="sr-Latn-ME"/>
        </w:rPr>
        <w:t>Su</w:t>
      </w:r>
      <w:r w:rsidR="001733E9" w:rsidRPr="000D3D7F">
        <w:rPr>
          <w:bCs/>
          <w:i/>
          <w:iCs/>
          <w:szCs w:val="22"/>
          <w:lang w:val="sr-Latn-ME"/>
        </w:rPr>
        <w:t>b</w:t>
      </w:r>
      <w:r w:rsidRPr="000D3D7F">
        <w:rPr>
          <w:bCs/>
          <w:i/>
          <w:iCs/>
          <w:szCs w:val="22"/>
          <w:lang w:val="sr-Latn-ME"/>
        </w:rPr>
        <w:t xml:space="preserve">kutana injekcija </w:t>
      </w:r>
    </w:p>
    <w:p w14:paraId="1D66D4F6" w14:textId="523FB636" w:rsidR="0040188B"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 xml:space="preserve">Sadržaj svake bočice od </w:t>
      </w:r>
      <w:r w:rsidR="000221C6" w:rsidRPr="000D3D7F">
        <w:rPr>
          <w:bCs/>
          <w:szCs w:val="22"/>
          <w:lang w:val="sr-Latn-ME"/>
        </w:rPr>
        <w:t>2</w:t>
      </w:r>
      <w:r w:rsidRPr="000D3D7F">
        <w:rPr>
          <w:bCs/>
          <w:szCs w:val="22"/>
          <w:lang w:val="sr-Latn-ME"/>
        </w:rPr>
        <w:t>0</w:t>
      </w:r>
      <w:r w:rsidR="00200D30" w:rsidRPr="000D3D7F">
        <w:rPr>
          <w:bCs/>
          <w:szCs w:val="22"/>
          <w:lang w:val="sr-Latn-ME"/>
        </w:rPr>
        <w:t xml:space="preserve"> </w:t>
      </w:r>
      <w:r w:rsidRPr="000D3D7F">
        <w:rPr>
          <w:bCs/>
          <w:szCs w:val="22"/>
          <w:lang w:val="sr-Latn-ME"/>
        </w:rPr>
        <w:t>m</w:t>
      </w:r>
      <w:r w:rsidR="00B11634" w:rsidRPr="000D3D7F">
        <w:rPr>
          <w:bCs/>
          <w:szCs w:val="22"/>
          <w:lang w:val="sr-Latn-ME"/>
        </w:rPr>
        <w:t>l</w:t>
      </w:r>
      <w:r w:rsidRPr="000D3D7F">
        <w:rPr>
          <w:bCs/>
          <w:szCs w:val="22"/>
          <w:lang w:val="sr-Latn-ME"/>
        </w:rPr>
        <w:t xml:space="preserve"> se mora pažljivo rastvoriti sa 1,4</w:t>
      </w:r>
      <w:r w:rsidR="00200D30" w:rsidRPr="000D3D7F">
        <w:rPr>
          <w:bCs/>
          <w:szCs w:val="22"/>
          <w:lang w:val="sr-Latn-ME"/>
        </w:rPr>
        <w:t xml:space="preserve"> </w:t>
      </w:r>
      <w:r w:rsidRPr="000D3D7F">
        <w:rPr>
          <w:bCs/>
          <w:szCs w:val="22"/>
          <w:lang w:val="sr-Latn-ME"/>
        </w:rPr>
        <w:t>m</w:t>
      </w:r>
      <w:r w:rsidR="00B11634" w:rsidRPr="000D3D7F">
        <w:rPr>
          <w:bCs/>
          <w:szCs w:val="22"/>
          <w:lang w:val="sr-Latn-ME"/>
        </w:rPr>
        <w:t>l</w:t>
      </w:r>
      <w:r w:rsidRPr="000D3D7F">
        <w:rPr>
          <w:bCs/>
          <w:szCs w:val="22"/>
          <w:lang w:val="sr-Latn-ME"/>
        </w:rPr>
        <w:t xml:space="preserve"> rastvora natrijum</w:t>
      </w:r>
      <w:r w:rsidR="00B11634" w:rsidRPr="000D3D7F">
        <w:rPr>
          <w:bCs/>
          <w:szCs w:val="22"/>
          <w:lang w:val="sr-Latn-ME"/>
        </w:rPr>
        <w:t xml:space="preserve"> </w:t>
      </w:r>
      <w:r w:rsidRPr="000D3D7F">
        <w:rPr>
          <w:bCs/>
          <w:szCs w:val="22"/>
          <w:lang w:val="sr-Latn-ME"/>
        </w:rPr>
        <w:t>hlorida za infuziju koncentracije 9mg/m</w:t>
      </w:r>
      <w:r w:rsidR="00B11634" w:rsidRPr="000D3D7F">
        <w:rPr>
          <w:bCs/>
          <w:szCs w:val="22"/>
          <w:lang w:val="sr-Latn-ME"/>
        </w:rPr>
        <w:t>l</w:t>
      </w:r>
      <w:r w:rsidR="005211A1" w:rsidRPr="000D3D7F">
        <w:rPr>
          <w:bCs/>
          <w:szCs w:val="22"/>
          <w:lang w:val="sr-Latn-ME"/>
        </w:rPr>
        <w:t xml:space="preserve"> </w:t>
      </w:r>
      <w:r w:rsidRPr="000D3D7F">
        <w:rPr>
          <w:bCs/>
          <w:szCs w:val="22"/>
          <w:lang w:val="sr-Latn-ME"/>
        </w:rPr>
        <w:t xml:space="preserve">(9%), uz korišćenje šprica odgovarajuće veličine, bez uklanjanja čepa bočice. Rastvaranje liofiliziranog praška gotovo je za manje od 2 minuta. </w:t>
      </w:r>
    </w:p>
    <w:p w14:paraId="2553203E" w14:textId="4C5E1774" w:rsidR="0040188B"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Nakon rekonstitucije, jedan mililitar pripremljenog rastvora, sadrži 2,5 mg bortezomiba. Rastvor je bistar i bezbojan, sa krajnjom vr</w:t>
      </w:r>
      <w:r w:rsidR="00B11634" w:rsidRPr="000D3D7F">
        <w:rPr>
          <w:bCs/>
          <w:szCs w:val="22"/>
          <w:lang w:val="sr-Latn-ME"/>
        </w:rPr>
        <w:t>ij</w:t>
      </w:r>
      <w:r w:rsidRPr="000D3D7F">
        <w:rPr>
          <w:bCs/>
          <w:szCs w:val="22"/>
          <w:lang w:val="sr-Latn-ME"/>
        </w:rPr>
        <w:t>ednošću pH od 4 do 7. Pr</w:t>
      </w:r>
      <w:r w:rsidR="00B11634" w:rsidRPr="000D3D7F">
        <w:rPr>
          <w:bCs/>
          <w:szCs w:val="22"/>
          <w:lang w:val="sr-Latn-ME"/>
        </w:rPr>
        <w:t>ij</w:t>
      </w:r>
      <w:r w:rsidRPr="000D3D7F">
        <w:rPr>
          <w:bCs/>
          <w:szCs w:val="22"/>
          <w:lang w:val="sr-Latn-ME"/>
        </w:rPr>
        <w:t>e prim</w:t>
      </w:r>
      <w:r w:rsidR="00B11634" w:rsidRPr="000D3D7F">
        <w:rPr>
          <w:bCs/>
          <w:szCs w:val="22"/>
          <w:lang w:val="sr-Latn-ME"/>
        </w:rPr>
        <w:t>j</w:t>
      </w:r>
      <w:r w:rsidRPr="000D3D7F">
        <w:rPr>
          <w:bCs/>
          <w:szCs w:val="22"/>
          <w:lang w:val="sr-Latn-ME"/>
        </w:rPr>
        <w:t>ene vizuelno pregledati rastvor na prisutnost stranih čestica ili na prom</w:t>
      </w:r>
      <w:r w:rsidR="00B11634" w:rsidRPr="000D3D7F">
        <w:rPr>
          <w:bCs/>
          <w:szCs w:val="22"/>
          <w:lang w:val="sr-Latn-ME"/>
        </w:rPr>
        <w:t>j</w:t>
      </w:r>
      <w:r w:rsidRPr="000D3D7F">
        <w:rPr>
          <w:bCs/>
          <w:szCs w:val="22"/>
          <w:lang w:val="sr-Latn-ME"/>
        </w:rPr>
        <w:t>enu boje.</w:t>
      </w:r>
      <w:r w:rsidR="0040188B" w:rsidRPr="000D3D7F">
        <w:rPr>
          <w:bCs/>
          <w:szCs w:val="22"/>
          <w:lang w:val="sr-Latn-ME"/>
        </w:rPr>
        <w:t xml:space="preserve"> </w:t>
      </w:r>
      <w:r w:rsidRPr="000D3D7F">
        <w:rPr>
          <w:bCs/>
          <w:szCs w:val="22"/>
          <w:lang w:val="sr-Latn-ME"/>
        </w:rPr>
        <w:t>Ukoliko se zapaze čestice u rastvoru ili prom</w:t>
      </w:r>
      <w:r w:rsidR="00B11634" w:rsidRPr="000D3D7F">
        <w:rPr>
          <w:bCs/>
          <w:szCs w:val="22"/>
          <w:lang w:val="sr-Latn-ME"/>
        </w:rPr>
        <w:t>j</w:t>
      </w:r>
      <w:r w:rsidRPr="000D3D7F">
        <w:rPr>
          <w:bCs/>
          <w:szCs w:val="22"/>
          <w:lang w:val="sr-Latn-ME"/>
        </w:rPr>
        <w:t>ena boje, rastvor se mora odbaciti.</w:t>
      </w:r>
    </w:p>
    <w:p w14:paraId="7ECA810C" w14:textId="77777777" w:rsidR="0040188B" w:rsidRPr="000D3D7F" w:rsidRDefault="00F838B0" w:rsidP="00F838B0">
      <w:pPr>
        <w:pStyle w:val="Header"/>
        <w:tabs>
          <w:tab w:val="clear" w:pos="4536"/>
          <w:tab w:val="clear" w:pos="9072"/>
          <w:tab w:val="left" w:pos="284"/>
        </w:tabs>
        <w:spacing w:before="80" w:after="80"/>
        <w:rPr>
          <w:bCs/>
          <w:szCs w:val="22"/>
          <w:u w:val="single"/>
          <w:lang w:val="sr-Latn-ME"/>
        </w:rPr>
      </w:pPr>
      <w:r w:rsidRPr="000D3D7F">
        <w:rPr>
          <w:bCs/>
          <w:szCs w:val="22"/>
          <w:u w:val="single"/>
          <w:lang w:val="sr-Latn-ME"/>
        </w:rPr>
        <w:t xml:space="preserve">Postupak pravilnog odlaganja </w:t>
      </w:r>
    </w:p>
    <w:p w14:paraId="6258F5E4" w14:textId="3058D9B5" w:rsidR="00F838B0" w:rsidRPr="000D3D7F" w:rsidRDefault="00F838B0" w:rsidP="00F838B0">
      <w:pPr>
        <w:pStyle w:val="Header"/>
        <w:tabs>
          <w:tab w:val="clear" w:pos="4536"/>
          <w:tab w:val="clear" w:pos="9072"/>
          <w:tab w:val="left" w:pos="284"/>
        </w:tabs>
        <w:spacing w:before="80" w:after="80"/>
        <w:rPr>
          <w:bCs/>
          <w:szCs w:val="22"/>
          <w:lang w:val="sr-Latn-ME"/>
        </w:rPr>
      </w:pPr>
      <w:r w:rsidRPr="000D3D7F">
        <w:rPr>
          <w:bCs/>
          <w:szCs w:val="22"/>
          <w:lang w:val="sr-Latn-ME"/>
        </w:rPr>
        <w:t>Svaki neupotr</w:t>
      </w:r>
      <w:r w:rsidR="00B11634" w:rsidRPr="000D3D7F">
        <w:rPr>
          <w:bCs/>
          <w:szCs w:val="22"/>
          <w:lang w:val="sr-Latn-ME"/>
        </w:rPr>
        <w:t>ij</w:t>
      </w:r>
      <w:r w:rsidRPr="000D3D7F">
        <w:rPr>
          <w:bCs/>
          <w:szCs w:val="22"/>
          <w:lang w:val="sr-Latn-ME"/>
        </w:rPr>
        <w:t>ebljeni proizvod ili otpadni materijal treba da se odloži u skladu sa lokalnim zaht</w:t>
      </w:r>
      <w:r w:rsidR="00B11634" w:rsidRPr="000D3D7F">
        <w:rPr>
          <w:bCs/>
          <w:szCs w:val="22"/>
          <w:lang w:val="sr-Latn-ME"/>
        </w:rPr>
        <w:t>j</w:t>
      </w:r>
      <w:r w:rsidRPr="000D3D7F">
        <w:rPr>
          <w:bCs/>
          <w:szCs w:val="22"/>
          <w:lang w:val="sr-Latn-ME"/>
        </w:rPr>
        <w:t>evima.</w:t>
      </w:r>
    </w:p>
    <w:p w14:paraId="3F674F91" w14:textId="77777777" w:rsidR="0065162D" w:rsidRPr="000D3D7F" w:rsidRDefault="0065162D" w:rsidP="001E1F5A">
      <w:pPr>
        <w:pStyle w:val="NASLOV123"/>
        <w:jc w:val="both"/>
        <w:rPr>
          <w:lang w:val="sr-Latn-ME"/>
        </w:rPr>
      </w:pPr>
    </w:p>
    <w:p w14:paraId="17A3FEE1" w14:textId="2E77A7A6" w:rsidR="00007EF9" w:rsidRPr="000D3D7F" w:rsidRDefault="00007EF9" w:rsidP="001E1F5A">
      <w:pPr>
        <w:pStyle w:val="NASLOV123"/>
        <w:jc w:val="both"/>
        <w:rPr>
          <w:lang w:val="sr-Latn-ME"/>
        </w:rPr>
      </w:pPr>
      <w:r w:rsidRPr="000D3D7F">
        <w:rPr>
          <w:lang w:val="sr-Latn-ME"/>
        </w:rPr>
        <w:t xml:space="preserve">7. NOSILAC DOZVOLE </w:t>
      </w:r>
    </w:p>
    <w:p w14:paraId="17A3FEE2" w14:textId="39BEA9E4" w:rsidR="00007EF9" w:rsidRPr="000D3D7F" w:rsidRDefault="00DE515F" w:rsidP="001E1F5A">
      <w:pPr>
        <w:rPr>
          <w:bCs/>
          <w:szCs w:val="22"/>
          <w:lang w:val="sr-Latn-ME"/>
        </w:rPr>
      </w:pPr>
      <w:r w:rsidRPr="000D3D7F">
        <w:rPr>
          <w:bCs/>
          <w:szCs w:val="22"/>
          <w:lang w:val="sr-Latn-ME"/>
        </w:rPr>
        <w:t>GLK pharma d.o.o</w:t>
      </w:r>
    </w:p>
    <w:p w14:paraId="6288683E" w14:textId="1ECC2B2D" w:rsidR="00DE515F" w:rsidRPr="000D3D7F" w:rsidRDefault="00DE515F" w:rsidP="001E1F5A">
      <w:pPr>
        <w:rPr>
          <w:bCs/>
          <w:szCs w:val="22"/>
          <w:lang w:val="sr-Latn-ME"/>
        </w:rPr>
      </w:pPr>
      <w:r w:rsidRPr="000D3D7F">
        <w:rPr>
          <w:bCs/>
          <w:szCs w:val="22"/>
          <w:lang w:val="sr-Latn-ME"/>
        </w:rPr>
        <w:t>Svetozara Markovića, br.46</w:t>
      </w:r>
    </w:p>
    <w:p w14:paraId="19A10FB4" w14:textId="6FFB7E3D" w:rsidR="00DE515F" w:rsidRPr="000D3D7F" w:rsidRDefault="00DE515F" w:rsidP="001E1F5A">
      <w:pPr>
        <w:rPr>
          <w:szCs w:val="22"/>
          <w:lang w:val="sr-Latn-ME"/>
        </w:rPr>
      </w:pPr>
      <w:r w:rsidRPr="000D3D7F">
        <w:rPr>
          <w:bCs/>
          <w:szCs w:val="22"/>
          <w:lang w:val="sr-Latn-ME"/>
        </w:rPr>
        <w:lastRenderedPageBreak/>
        <w:t>81000 Podgorica, Crna Gora</w:t>
      </w:r>
    </w:p>
    <w:p w14:paraId="17A3FEE3" w14:textId="77777777" w:rsidR="00007EF9" w:rsidRPr="000D3D7F" w:rsidRDefault="00007EF9" w:rsidP="001E1F5A">
      <w:pPr>
        <w:rPr>
          <w:szCs w:val="22"/>
          <w:lang w:val="sr-Latn-ME"/>
        </w:rPr>
      </w:pPr>
    </w:p>
    <w:p w14:paraId="17A3FEE4" w14:textId="0175D3A4" w:rsidR="00007EF9" w:rsidRPr="000D3D7F" w:rsidRDefault="00007EF9" w:rsidP="001E1F5A">
      <w:pPr>
        <w:pStyle w:val="NASLOV123"/>
        <w:jc w:val="both"/>
        <w:rPr>
          <w:lang w:val="sr-Latn-ME"/>
        </w:rPr>
      </w:pPr>
      <w:r w:rsidRPr="000D3D7F">
        <w:rPr>
          <w:lang w:val="sr-Latn-ME"/>
        </w:rPr>
        <w:t>8. BROJ DOZVOLE ZA STAVLJANJE L</w:t>
      </w:r>
      <w:r w:rsidR="00DE515F" w:rsidRPr="000D3D7F">
        <w:rPr>
          <w:lang w:val="sr-Latn-ME"/>
        </w:rPr>
        <w:t>IJ</w:t>
      </w:r>
      <w:r w:rsidRPr="000D3D7F">
        <w:rPr>
          <w:lang w:val="sr-Latn-ME"/>
        </w:rPr>
        <w:t>EKA U PROMET</w:t>
      </w:r>
    </w:p>
    <w:p w14:paraId="4E01CE8C" w14:textId="0842F602" w:rsidR="001B07DD" w:rsidRDefault="00D41960" w:rsidP="001E1F5A">
      <w:pPr>
        <w:pStyle w:val="NASLOV123"/>
        <w:jc w:val="both"/>
        <w:rPr>
          <w:b w:val="0"/>
          <w:bCs/>
          <w:lang w:val="sr-Latn-ME"/>
        </w:rPr>
      </w:pPr>
      <w:r w:rsidRPr="000D3D7F">
        <w:rPr>
          <w:b w:val="0"/>
          <w:bCs/>
          <w:lang w:val="sr-Latn-ME"/>
        </w:rPr>
        <w:t>2030/23/2324 - 6115</w:t>
      </w:r>
    </w:p>
    <w:p w14:paraId="0BE46D91" w14:textId="77777777" w:rsidR="00DB2108" w:rsidRPr="000D3D7F" w:rsidRDefault="00DB2108" w:rsidP="001E1F5A">
      <w:pPr>
        <w:pStyle w:val="NASLOV123"/>
        <w:jc w:val="both"/>
        <w:rPr>
          <w:b w:val="0"/>
          <w:bCs/>
          <w:lang w:val="sr-Latn-ME"/>
        </w:rPr>
      </w:pPr>
    </w:p>
    <w:p w14:paraId="0956E169" w14:textId="4DC3FAFE" w:rsidR="00174A46" w:rsidRPr="000D3D7F" w:rsidRDefault="00007EF9" w:rsidP="000A2FD4">
      <w:pPr>
        <w:pStyle w:val="NASLOV123"/>
        <w:jc w:val="both"/>
        <w:rPr>
          <w:lang w:val="sr-Latn-ME"/>
        </w:rPr>
      </w:pPr>
      <w:r w:rsidRPr="000D3D7F">
        <w:rPr>
          <w:lang w:val="sr-Latn-ME"/>
        </w:rPr>
        <w:t>9. DATUM PRVE DOZVOL</w:t>
      </w:r>
      <w:r w:rsidR="00F15452" w:rsidRPr="000D3D7F">
        <w:rPr>
          <w:lang w:val="sr-Latn-ME"/>
        </w:rPr>
        <w:t>E/</w:t>
      </w:r>
      <w:r w:rsidRPr="000D3D7F">
        <w:rPr>
          <w:lang w:val="sr-Latn-ME"/>
        </w:rPr>
        <w:t>OBNOVE DOZVOLE ZA STAVLJANJE L</w:t>
      </w:r>
      <w:r w:rsidR="00F15452" w:rsidRPr="000D3D7F">
        <w:rPr>
          <w:lang w:val="sr-Latn-ME"/>
        </w:rPr>
        <w:t>IJ</w:t>
      </w:r>
      <w:r w:rsidRPr="000D3D7F">
        <w:rPr>
          <w:lang w:val="sr-Latn-ME"/>
        </w:rPr>
        <w:t>EKA U PROMET</w:t>
      </w:r>
    </w:p>
    <w:p w14:paraId="17A3FEEC" w14:textId="3BBF62DE" w:rsidR="00007EF9" w:rsidRPr="000D3D7F" w:rsidRDefault="00D41960" w:rsidP="001E1F5A">
      <w:pPr>
        <w:rPr>
          <w:bCs/>
          <w:szCs w:val="22"/>
          <w:lang w:val="sr-Latn-ME"/>
        </w:rPr>
      </w:pPr>
      <w:r w:rsidRPr="000D3D7F">
        <w:rPr>
          <w:szCs w:val="22"/>
          <w:lang w:val="sr-Latn-ME"/>
        </w:rPr>
        <w:t>22</w:t>
      </w:r>
      <w:r w:rsidRPr="000D3D7F">
        <w:rPr>
          <w:bCs/>
          <w:szCs w:val="22"/>
          <w:lang w:val="sr-Latn-ME"/>
        </w:rPr>
        <w:t>.06.2023. godine</w:t>
      </w:r>
    </w:p>
    <w:p w14:paraId="3840C1EE" w14:textId="77777777" w:rsidR="00C558B2" w:rsidRPr="000D3D7F" w:rsidRDefault="00C558B2" w:rsidP="001E1F5A">
      <w:pPr>
        <w:rPr>
          <w:szCs w:val="22"/>
          <w:lang w:val="sr-Latn-ME"/>
        </w:rPr>
      </w:pPr>
    </w:p>
    <w:p w14:paraId="17A3FEED" w14:textId="77777777" w:rsidR="00007EF9" w:rsidRPr="000D3D7F" w:rsidRDefault="00007EF9" w:rsidP="001E1F5A">
      <w:pPr>
        <w:pStyle w:val="NASLOV123"/>
        <w:jc w:val="both"/>
        <w:rPr>
          <w:lang w:val="sr-Latn-ME"/>
        </w:rPr>
      </w:pPr>
      <w:r w:rsidRPr="000D3D7F">
        <w:rPr>
          <w:lang w:val="sr-Latn-ME"/>
        </w:rPr>
        <w:t>10. DATUM REVIZIJE TEKSTA</w:t>
      </w:r>
    </w:p>
    <w:p w14:paraId="17A3FEEE" w14:textId="221733D6" w:rsidR="00007EF9" w:rsidRPr="000D3D7F" w:rsidRDefault="00244C10" w:rsidP="001E1F5A">
      <w:pPr>
        <w:rPr>
          <w:bCs/>
          <w:szCs w:val="22"/>
          <w:lang w:val="sr-Latn-ME"/>
        </w:rPr>
      </w:pPr>
      <w:r w:rsidRPr="000D3D7F">
        <w:rPr>
          <w:bCs/>
          <w:szCs w:val="22"/>
          <w:lang w:val="sr-Latn-ME"/>
        </w:rPr>
        <w:t>Jun, 2023. godine</w:t>
      </w:r>
    </w:p>
    <w:p w14:paraId="1F858B98" w14:textId="77777777" w:rsidR="00174A46" w:rsidRPr="000D3D7F" w:rsidRDefault="00174A46" w:rsidP="001E1F5A">
      <w:pPr>
        <w:tabs>
          <w:tab w:val="clear" w:pos="284"/>
        </w:tabs>
        <w:rPr>
          <w:szCs w:val="22"/>
          <w:lang w:val="sr-Latn-ME"/>
        </w:rPr>
      </w:pPr>
    </w:p>
    <w:p w14:paraId="17A3FEF3" w14:textId="2D956497" w:rsidR="00007EF9" w:rsidRPr="000D3D7F" w:rsidRDefault="00007EF9" w:rsidP="001E1F5A">
      <w:pPr>
        <w:rPr>
          <w:bCs/>
          <w:szCs w:val="22"/>
          <w:lang w:val="sr-Latn-ME"/>
        </w:rPr>
      </w:pPr>
    </w:p>
    <w:p w14:paraId="5740C481" w14:textId="6ABF65EC" w:rsidR="00174A46" w:rsidRPr="000D3D7F" w:rsidRDefault="00174A46" w:rsidP="001E1F5A">
      <w:pPr>
        <w:rPr>
          <w:bCs/>
          <w:szCs w:val="22"/>
          <w:lang w:val="sr-Latn-ME"/>
        </w:rPr>
      </w:pPr>
    </w:p>
    <w:p w14:paraId="4BB5FF80" w14:textId="2017B981" w:rsidR="00174A46" w:rsidRPr="000D3D7F" w:rsidRDefault="00174A46" w:rsidP="001E1F5A">
      <w:pPr>
        <w:rPr>
          <w:bCs/>
          <w:szCs w:val="22"/>
          <w:lang w:val="sr-Latn-ME"/>
        </w:rPr>
      </w:pPr>
    </w:p>
    <w:p w14:paraId="308BC2A0" w14:textId="77777777" w:rsidR="00174A46" w:rsidRPr="000D3D7F" w:rsidRDefault="00174A46" w:rsidP="001E1F5A">
      <w:pPr>
        <w:rPr>
          <w:bCs/>
          <w:szCs w:val="22"/>
          <w:lang w:val="sr-Latn-ME"/>
        </w:rPr>
      </w:pPr>
    </w:p>
    <w:sectPr w:rsidR="00174A46" w:rsidRPr="000D3D7F" w:rsidSect="00C80A8C">
      <w:headerReference w:type="default" r:id="rId12"/>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A8812" w14:textId="77777777" w:rsidR="00041A4F" w:rsidRDefault="00041A4F">
      <w:r>
        <w:separator/>
      </w:r>
    </w:p>
  </w:endnote>
  <w:endnote w:type="continuationSeparator" w:id="0">
    <w:p w14:paraId="4961F05E" w14:textId="77777777" w:rsidR="00041A4F" w:rsidRDefault="0004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FEF9" w14:textId="77777777" w:rsidR="00765D0B" w:rsidRDefault="00765D0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3FEFA" w14:textId="77777777" w:rsidR="00765D0B" w:rsidRDefault="00765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FEFB" w14:textId="1A9DC791" w:rsidR="00765D0B" w:rsidRPr="007B0B42" w:rsidRDefault="00765D0B" w:rsidP="00CE09F3">
    <w:pPr>
      <w:pStyle w:val="Footer"/>
      <w:tabs>
        <w:tab w:val="left" w:pos="5448"/>
      </w:tabs>
      <w:spacing w:before="360"/>
      <w:jc w:val="center"/>
      <w:rPr>
        <w:szCs w:val="22"/>
      </w:rPr>
    </w:pPr>
    <w:r w:rsidRPr="007B0B42">
      <w:rPr>
        <w:szCs w:val="22"/>
      </w:rPr>
      <w:fldChar w:fldCharType="begin"/>
    </w:r>
    <w:r w:rsidRPr="007B0B42">
      <w:rPr>
        <w:szCs w:val="22"/>
      </w:rPr>
      <w:instrText xml:space="preserve"> PAGE </w:instrText>
    </w:r>
    <w:r w:rsidRPr="007B0B42">
      <w:rPr>
        <w:szCs w:val="22"/>
      </w:rPr>
      <w:fldChar w:fldCharType="separate"/>
    </w:r>
    <w:r w:rsidR="00C80A8C">
      <w:rPr>
        <w:noProof/>
        <w:szCs w:val="22"/>
      </w:rPr>
      <w:t>2</w:t>
    </w:r>
    <w:r w:rsidRPr="007B0B42">
      <w:rPr>
        <w:szCs w:val="22"/>
      </w:rPr>
      <w:fldChar w:fldCharType="end"/>
    </w:r>
    <w:r w:rsidRPr="007B0B42">
      <w:rPr>
        <w:szCs w:val="22"/>
      </w:rPr>
      <w:t xml:space="preserve"> / </w:t>
    </w:r>
    <w:r w:rsidRPr="007B0B42">
      <w:rPr>
        <w:szCs w:val="22"/>
      </w:rPr>
      <w:fldChar w:fldCharType="begin"/>
    </w:r>
    <w:r w:rsidRPr="007B0B42">
      <w:rPr>
        <w:szCs w:val="22"/>
      </w:rPr>
      <w:instrText xml:space="preserve"> NUMPAGES  </w:instrText>
    </w:r>
    <w:r w:rsidRPr="007B0B42">
      <w:rPr>
        <w:szCs w:val="22"/>
      </w:rPr>
      <w:fldChar w:fldCharType="separate"/>
    </w:r>
    <w:r w:rsidR="00C80A8C">
      <w:rPr>
        <w:noProof/>
        <w:szCs w:val="22"/>
      </w:rPr>
      <w:t>34</w:t>
    </w:r>
    <w:r w:rsidRPr="007B0B42">
      <w:rPr>
        <w:szCs w:val="22"/>
      </w:rPr>
      <w:fldChar w:fldCharType="end"/>
    </w:r>
  </w:p>
  <w:p w14:paraId="17A3FEFC" w14:textId="77777777" w:rsidR="00765D0B" w:rsidRPr="00C536C2" w:rsidRDefault="00765D0B"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6C2D" w14:textId="77777777" w:rsidR="00041A4F" w:rsidRDefault="00041A4F">
      <w:r>
        <w:separator/>
      </w:r>
    </w:p>
  </w:footnote>
  <w:footnote w:type="continuationSeparator" w:id="0">
    <w:p w14:paraId="06A0DFDF" w14:textId="77777777" w:rsidR="00041A4F" w:rsidRDefault="0004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BB908" w14:textId="26A97F60" w:rsidR="00765D0B" w:rsidRDefault="00765D0B" w:rsidP="00972F7B">
    <w:pPr>
      <w:pStyle w:val="Header"/>
    </w:pPr>
  </w:p>
  <w:p w14:paraId="646CE1C7" w14:textId="77777777" w:rsidR="00765D0B" w:rsidRDefault="00765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1" w15:restartNumberingAfterBreak="0">
    <w:nsid w:val="00000403"/>
    <w:multiLevelType w:val="multilevel"/>
    <w:tmpl w:val="00000886"/>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2" w15:restartNumberingAfterBreak="0">
    <w:nsid w:val="00000404"/>
    <w:multiLevelType w:val="multilevel"/>
    <w:tmpl w:val="00000887"/>
    <w:lvl w:ilvl="0">
      <w:numFmt w:val="bullet"/>
      <w:lvlText w:val=""/>
      <w:lvlJc w:val="left"/>
      <w:pPr>
        <w:ind w:left="859" w:hanging="360"/>
      </w:pPr>
      <w:rPr>
        <w:rFonts w:ascii="Symbol" w:hAnsi="Symbol" w:cs="Symbol"/>
        <w:b w:val="0"/>
        <w:bCs w:val="0"/>
        <w:w w:val="100"/>
        <w:sz w:val="22"/>
        <w:szCs w:val="22"/>
      </w:rPr>
    </w:lvl>
    <w:lvl w:ilvl="1">
      <w:numFmt w:val="bullet"/>
      <w:lvlText w:val="•"/>
      <w:lvlJc w:val="left"/>
      <w:pPr>
        <w:ind w:left="1237" w:hanging="360"/>
      </w:pPr>
    </w:lvl>
    <w:lvl w:ilvl="2">
      <w:numFmt w:val="bullet"/>
      <w:lvlText w:val="•"/>
      <w:lvlJc w:val="left"/>
      <w:pPr>
        <w:ind w:left="1615" w:hanging="360"/>
      </w:pPr>
    </w:lvl>
    <w:lvl w:ilvl="3">
      <w:numFmt w:val="bullet"/>
      <w:lvlText w:val="•"/>
      <w:lvlJc w:val="left"/>
      <w:pPr>
        <w:ind w:left="1993" w:hanging="360"/>
      </w:pPr>
    </w:lvl>
    <w:lvl w:ilvl="4">
      <w:numFmt w:val="bullet"/>
      <w:lvlText w:val="•"/>
      <w:lvlJc w:val="left"/>
      <w:pPr>
        <w:ind w:left="2370" w:hanging="360"/>
      </w:pPr>
    </w:lvl>
    <w:lvl w:ilvl="5">
      <w:numFmt w:val="bullet"/>
      <w:lvlText w:val="•"/>
      <w:lvlJc w:val="left"/>
      <w:pPr>
        <w:ind w:left="2748" w:hanging="360"/>
      </w:pPr>
    </w:lvl>
    <w:lvl w:ilvl="6">
      <w:numFmt w:val="bullet"/>
      <w:lvlText w:val="•"/>
      <w:lvlJc w:val="left"/>
      <w:pPr>
        <w:ind w:left="3126" w:hanging="360"/>
      </w:pPr>
    </w:lvl>
    <w:lvl w:ilvl="7">
      <w:numFmt w:val="bullet"/>
      <w:lvlText w:val="•"/>
      <w:lvlJc w:val="left"/>
      <w:pPr>
        <w:ind w:left="3503" w:hanging="360"/>
      </w:pPr>
    </w:lvl>
    <w:lvl w:ilvl="8">
      <w:numFmt w:val="bullet"/>
      <w:lvlText w:val="•"/>
      <w:lvlJc w:val="left"/>
      <w:pPr>
        <w:ind w:left="3881" w:hanging="360"/>
      </w:pPr>
    </w:lvl>
  </w:abstractNum>
  <w:abstractNum w:abstractNumId="3"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EEB1BC9"/>
    <w:multiLevelType w:val="hybridMultilevel"/>
    <w:tmpl w:val="287A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2560E"/>
    <w:multiLevelType w:val="hybridMultilevel"/>
    <w:tmpl w:val="322E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9068B"/>
    <w:multiLevelType w:val="hybridMultilevel"/>
    <w:tmpl w:val="89DC4478"/>
    <w:lvl w:ilvl="0" w:tplc="B6880D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F4955"/>
    <w:multiLevelType w:val="hybridMultilevel"/>
    <w:tmpl w:val="220A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
  </w:num>
  <w:num w:numId="2">
    <w:abstractNumId w:val="3"/>
    <w:lvlOverride w:ilvl="0">
      <w:startOverride w:val="7"/>
    </w:lvlOverride>
  </w:num>
  <w:num w:numId="3">
    <w:abstractNumId w:val="9"/>
  </w:num>
  <w:num w:numId="4">
    <w:abstractNumId w:val="2"/>
  </w:num>
  <w:num w:numId="5">
    <w:abstractNumId w:val="1"/>
  </w:num>
  <w:num w:numId="6">
    <w:abstractNumId w:val="0"/>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673"/>
    <w:rsid w:val="00007EF9"/>
    <w:rsid w:val="0001683B"/>
    <w:rsid w:val="00017801"/>
    <w:rsid w:val="000202E7"/>
    <w:rsid w:val="000221C6"/>
    <w:rsid w:val="00041A4F"/>
    <w:rsid w:val="00045AB0"/>
    <w:rsid w:val="0005798D"/>
    <w:rsid w:val="00064273"/>
    <w:rsid w:val="00083BE0"/>
    <w:rsid w:val="000848DB"/>
    <w:rsid w:val="00085E9C"/>
    <w:rsid w:val="00092D0E"/>
    <w:rsid w:val="00094727"/>
    <w:rsid w:val="00094C2E"/>
    <w:rsid w:val="00095FB6"/>
    <w:rsid w:val="0009758B"/>
    <w:rsid w:val="000A0F4A"/>
    <w:rsid w:val="000A2FD4"/>
    <w:rsid w:val="000A5D5B"/>
    <w:rsid w:val="000A7D91"/>
    <w:rsid w:val="000B20E0"/>
    <w:rsid w:val="000C679D"/>
    <w:rsid w:val="000C7020"/>
    <w:rsid w:val="000D1243"/>
    <w:rsid w:val="000D3D7F"/>
    <w:rsid w:val="000D5631"/>
    <w:rsid w:val="000E75C0"/>
    <w:rsid w:val="0010414B"/>
    <w:rsid w:val="00126392"/>
    <w:rsid w:val="00136D6C"/>
    <w:rsid w:val="00141639"/>
    <w:rsid w:val="0014180A"/>
    <w:rsid w:val="00157E4A"/>
    <w:rsid w:val="00171F0A"/>
    <w:rsid w:val="001733E9"/>
    <w:rsid w:val="00173D18"/>
    <w:rsid w:val="00174A46"/>
    <w:rsid w:val="00175772"/>
    <w:rsid w:val="00175A7E"/>
    <w:rsid w:val="0018601D"/>
    <w:rsid w:val="0019469E"/>
    <w:rsid w:val="0019501E"/>
    <w:rsid w:val="00197B2D"/>
    <w:rsid w:val="001B07DD"/>
    <w:rsid w:val="001B2C94"/>
    <w:rsid w:val="001B5D63"/>
    <w:rsid w:val="001B706A"/>
    <w:rsid w:val="001C1E5F"/>
    <w:rsid w:val="001C5A60"/>
    <w:rsid w:val="001D10C9"/>
    <w:rsid w:val="001D43AE"/>
    <w:rsid w:val="001E0A07"/>
    <w:rsid w:val="001E1F5A"/>
    <w:rsid w:val="001E6145"/>
    <w:rsid w:val="001F2D4E"/>
    <w:rsid w:val="001F39B6"/>
    <w:rsid w:val="00200D30"/>
    <w:rsid w:val="0022218E"/>
    <w:rsid w:val="0022223A"/>
    <w:rsid w:val="00223077"/>
    <w:rsid w:val="00227AEF"/>
    <w:rsid w:val="0024132F"/>
    <w:rsid w:val="00242DCD"/>
    <w:rsid w:val="00244C10"/>
    <w:rsid w:val="00247C5C"/>
    <w:rsid w:val="00251927"/>
    <w:rsid w:val="00254082"/>
    <w:rsid w:val="00273BE0"/>
    <w:rsid w:val="002B6F6A"/>
    <w:rsid w:val="002C0FBF"/>
    <w:rsid w:val="002D0C35"/>
    <w:rsid w:val="002E1988"/>
    <w:rsid w:val="002F5E2F"/>
    <w:rsid w:val="00302E39"/>
    <w:rsid w:val="003110E9"/>
    <w:rsid w:val="00316FC0"/>
    <w:rsid w:val="003452C0"/>
    <w:rsid w:val="00351ADF"/>
    <w:rsid w:val="00353A78"/>
    <w:rsid w:val="00362CB3"/>
    <w:rsid w:val="003728A8"/>
    <w:rsid w:val="003812D2"/>
    <w:rsid w:val="00383195"/>
    <w:rsid w:val="00395F63"/>
    <w:rsid w:val="003A2940"/>
    <w:rsid w:val="003A2DF8"/>
    <w:rsid w:val="003A5F11"/>
    <w:rsid w:val="003B1627"/>
    <w:rsid w:val="003B2082"/>
    <w:rsid w:val="003B4721"/>
    <w:rsid w:val="003B7F03"/>
    <w:rsid w:val="003C18A4"/>
    <w:rsid w:val="003C5FF3"/>
    <w:rsid w:val="003D0803"/>
    <w:rsid w:val="003E3EC7"/>
    <w:rsid w:val="003E6BD8"/>
    <w:rsid w:val="003F4455"/>
    <w:rsid w:val="003F74D4"/>
    <w:rsid w:val="004013B1"/>
    <w:rsid w:val="0040188B"/>
    <w:rsid w:val="00401E9C"/>
    <w:rsid w:val="00411EA7"/>
    <w:rsid w:val="004123CD"/>
    <w:rsid w:val="004234ED"/>
    <w:rsid w:val="0042442E"/>
    <w:rsid w:val="00427D41"/>
    <w:rsid w:val="004334D9"/>
    <w:rsid w:val="00462C33"/>
    <w:rsid w:val="00473C68"/>
    <w:rsid w:val="00486A79"/>
    <w:rsid w:val="00492248"/>
    <w:rsid w:val="00497648"/>
    <w:rsid w:val="004B33C6"/>
    <w:rsid w:val="004B5A11"/>
    <w:rsid w:val="004B7A50"/>
    <w:rsid w:val="004C040C"/>
    <w:rsid w:val="004D230F"/>
    <w:rsid w:val="004D257C"/>
    <w:rsid w:val="004E67E6"/>
    <w:rsid w:val="004F2334"/>
    <w:rsid w:val="004F4316"/>
    <w:rsid w:val="00503974"/>
    <w:rsid w:val="005160A0"/>
    <w:rsid w:val="005211A1"/>
    <w:rsid w:val="0052230B"/>
    <w:rsid w:val="00525A8A"/>
    <w:rsid w:val="005276F0"/>
    <w:rsid w:val="00530909"/>
    <w:rsid w:val="00532B31"/>
    <w:rsid w:val="00552181"/>
    <w:rsid w:val="00563006"/>
    <w:rsid w:val="00597310"/>
    <w:rsid w:val="005A4234"/>
    <w:rsid w:val="005A4B60"/>
    <w:rsid w:val="005A61E8"/>
    <w:rsid w:val="005B3388"/>
    <w:rsid w:val="005B3C7D"/>
    <w:rsid w:val="005C3F73"/>
    <w:rsid w:val="005C7891"/>
    <w:rsid w:val="005E12B2"/>
    <w:rsid w:val="005E752C"/>
    <w:rsid w:val="005F1519"/>
    <w:rsid w:val="005F4FDB"/>
    <w:rsid w:val="00601BF7"/>
    <w:rsid w:val="00603302"/>
    <w:rsid w:val="00604E4F"/>
    <w:rsid w:val="006054EE"/>
    <w:rsid w:val="006118B6"/>
    <w:rsid w:val="00624715"/>
    <w:rsid w:val="006270C0"/>
    <w:rsid w:val="00627301"/>
    <w:rsid w:val="00630195"/>
    <w:rsid w:val="00631541"/>
    <w:rsid w:val="00641887"/>
    <w:rsid w:val="006467E0"/>
    <w:rsid w:val="0065162D"/>
    <w:rsid w:val="00653D14"/>
    <w:rsid w:val="006559AF"/>
    <w:rsid w:val="00660ED5"/>
    <w:rsid w:val="00674F8E"/>
    <w:rsid w:val="0068011E"/>
    <w:rsid w:val="00693874"/>
    <w:rsid w:val="00693F46"/>
    <w:rsid w:val="00695513"/>
    <w:rsid w:val="00696873"/>
    <w:rsid w:val="006A7D39"/>
    <w:rsid w:val="006B397D"/>
    <w:rsid w:val="006B79BB"/>
    <w:rsid w:val="006B7EE4"/>
    <w:rsid w:val="006E26E1"/>
    <w:rsid w:val="006F158F"/>
    <w:rsid w:val="00761E81"/>
    <w:rsid w:val="00764648"/>
    <w:rsid w:val="00765D0B"/>
    <w:rsid w:val="00766C47"/>
    <w:rsid w:val="007672F3"/>
    <w:rsid w:val="00787214"/>
    <w:rsid w:val="007A4E3E"/>
    <w:rsid w:val="007B0B42"/>
    <w:rsid w:val="007B16C4"/>
    <w:rsid w:val="007B6270"/>
    <w:rsid w:val="007C1B2D"/>
    <w:rsid w:val="007C2D7E"/>
    <w:rsid w:val="007C7147"/>
    <w:rsid w:val="007C7804"/>
    <w:rsid w:val="007D17FD"/>
    <w:rsid w:val="007D48C5"/>
    <w:rsid w:val="007E04F1"/>
    <w:rsid w:val="007E06F0"/>
    <w:rsid w:val="007F0785"/>
    <w:rsid w:val="007F7413"/>
    <w:rsid w:val="00802DFC"/>
    <w:rsid w:val="0080395C"/>
    <w:rsid w:val="00814781"/>
    <w:rsid w:val="00832626"/>
    <w:rsid w:val="00834DBB"/>
    <w:rsid w:val="00842007"/>
    <w:rsid w:val="00842FFB"/>
    <w:rsid w:val="0086351A"/>
    <w:rsid w:val="00867B85"/>
    <w:rsid w:val="00874B61"/>
    <w:rsid w:val="00886B30"/>
    <w:rsid w:val="008A48B7"/>
    <w:rsid w:val="008B3EB5"/>
    <w:rsid w:val="008B67FF"/>
    <w:rsid w:val="008C1EBE"/>
    <w:rsid w:val="008C5809"/>
    <w:rsid w:val="008C76FD"/>
    <w:rsid w:val="008D60C9"/>
    <w:rsid w:val="008D78C9"/>
    <w:rsid w:val="008E0FC9"/>
    <w:rsid w:val="008F670D"/>
    <w:rsid w:val="0090305A"/>
    <w:rsid w:val="00913684"/>
    <w:rsid w:val="00913F9C"/>
    <w:rsid w:val="00923865"/>
    <w:rsid w:val="0093016E"/>
    <w:rsid w:val="00934B4D"/>
    <w:rsid w:val="00940C01"/>
    <w:rsid w:val="00943CA2"/>
    <w:rsid w:val="00955C75"/>
    <w:rsid w:val="009677DF"/>
    <w:rsid w:val="009715F5"/>
    <w:rsid w:val="00972F7B"/>
    <w:rsid w:val="00973B2E"/>
    <w:rsid w:val="0097797B"/>
    <w:rsid w:val="0098487C"/>
    <w:rsid w:val="009946F8"/>
    <w:rsid w:val="00996E6B"/>
    <w:rsid w:val="009A1D64"/>
    <w:rsid w:val="009B1292"/>
    <w:rsid w:val="009B2430"/>
    <w:rsid w:val="009B338B"/>
    <w:rsid w:val="009B4DFD"/>
    <w:rsid w:val="009B58AD"/>
    <w:rsid w:val="009B7935"/>
    <w:rsid w:val="009C7BA2"/>
    <w:rsid w:val="009D1161"/>
    <w:rsid w:val="009D4805"/>
    <w:rsid w:val="009D667B"/>
    <w:rsid w:val="009E39C5"/>
    <w:rsid w:val="009F124C"/>
    <w:rsid w:val="009F1FF7"/>
    <w:rsid w:val="009F241A"/>
    <w:rsid w:val="009F4449"/>
    <w:rsid w:val="00A02252"/>
    <w:rsid w:val="00A127F1"/>
    <w:rsid w:val="00A27130"/>
    <w:rsid w:val="00A34C43"/>
    <w:rsid w:val="00A508FA"/>
    <w:rsid w:val="00A55D2E"/>
    <w:rsid w:val="00A60C51"/>
    <w:rsid w:val="00A7147C"/>
    <w:rsid w:val="00A714F3"/>
    <w:rsid w:val="00A71F68"/>
    <w:rsid w:val="00A7660B"/>
    <w:rsid w:val="00A81B47"/>
    <w:rsid w:val="00A86897"/>
    <w:rsid w:val="00A95733"/>
    <w:rsid w:val="00AA1842"/>
    <w:rsid w:val="00AB5465"/>
    <w:rsid w:val="00AF2061"/>
    <w:rsid w:val="00B004A4"/>
    <w:rsid w:val="00B04B5A"/>
    <w:rsid w:val="00B11634"/>
    <w:rsid w:val="00B12253"/>
    <w:rsid w:val="00B13A72"/>
    <w:rsid w:val="00B26FAC"/>
    <w:rsid w:val="00B31AA2"/>
    <w:rsid w:val="00B32611"/>
    <w:rsid w:val="00B718D1"/>
    <w:rsid w:val="00B74C0B"/>
    <w:rsid w:val="00B8400D"/>
    <w:rsid w:val="00B90B43"/>
    <w:rsid w:val="00B93A37"/>
    <w:rsid w:val="00B96684"/>
    <w:rsid w:val="00BA1819"/>
    <w:rsid w:val="00BA555C"/>
    <w:rsid w:val="00BA5A22"/>
    <w:rsid w:val="00BA7C4D"/>
    <w:rsid w:val="00BB231B"/>
    <w:rsid w:val="00BB3814"/>
    <w:rsid w:val="00BB55E5"/>
    <w:rsid w:val="00BD2CC8"/>
    <w:rsid w:val="00BD725A"/>
    <w:rsid w:val="00BF3750"/>
    <w:rsid w:val="00BF4F4E"/>
    <w:rsid w:val="00BF5A7B"/>
    <w:rsid w:val="00C06244"/>
    <w:rsid w:val="00C17BC9"/>
    <w:rsid w:val="00C20907"/>
    <w:rsid w:val="00C26DCA"/>
    <w:rsid w:val="00C309D8"/>
    <w:rsid w:val="00C415C0"/>
    <w:rsid w:val="00C511E5"/>
    <w:rsid w:val="00C536C2"/>
    <w:rsid w:val="00C558B2"/>
    <w:rsid w:val="00C55F47"/>
    <w:rsid w:val="00C56E2E"/>
    <w:rsid w:val="00C64A31"/>
    <w:rsid w:val="00C708F1"/>
    <w:rsid w:val="00C80A8C"/>
    <w:rsid w:val="00C82E8B"/>
    <w:rsid w:val="00CB3BE4"/>
    <w:rsid w:val="00CC3254"/>
    <w:rsid w:val="00CC4C88"/>
    <w:rsid w:val="00CC7001"/>
    <w:rsid w:val="00CD0B1F"/>
    <w:rsid w:val="00CD3F96"/>
    <w:rsid w:val="00CE09F3"/>
    <w:rsid w:val="00CE22D9"/>
    <w:rsid w:val="00CE76DA"/>
    <w:rsid w:val="00CF2839"/>
    <w:rsid w:val="00CF7FC4"/>
    <w:rsid w:val="00D00258"/>
    <w:rsid w:val="00D11E94"/>
    <w:rsid w:val="00D247AB"/>
    <w:rsid w:val="00D253C8"/>
    <w:rsid w:val="00D26B14"/>
    <w:rsid w:val="00D30389"/>
    <w:rsid w:val="00D337F6"/>
    <w:rsid w:val="00D343B1"/>
    <w:rsid w:val="00D34671"/>
    <w:rsid w:val="00D411E3"/>
    <w:rsid w:val="00D41960"/>
    <w:rsid w:val="00D46B5E"/>
    <w:rsid w:val="00D47AE7"/>
    <w:rsid w:val="00D52CDB"/>
    <w:rsid w:val="00D61710"/>
    <w:rsid w:val="00D6611E"/>
    <w:rsid w:val="00D740AF"/>
    <w:rsid w:val="00D81C8F"/>
    <w:rsid w:val="00D85F37"/>
    <w:rsid w:val="00DA077C"/>
    <w:rsid w:val="00DB2108"/>
    <w:rsid w:val="00DB317D"/>
    <w:rsid w:val="00DB4534"/>
    <w:rsid w:val="00DC19F5"/>
    <w:rsid w:val="00DC3307"/>
    <w:rsid w:val="00DD2A82"/>
    <w:rsid w:val="00DE515F"/>
    <w:rsid w:val="00DE5905"/>
    <w:rsid w:val="00DF2F42"/>
    <w:rsid w:val="00DF46E4"/>
    <w:rsid w:val="00E04856"/>
    <w:rsid w:val="00E26B9F"/>
    <w:rsid w:val="00E41CA8"/>
    <w:rsid w:val="00E50CD3"/>
    <w:rsid w:val="00E56089"/>
    <w:rsid w:val="00E60851"/>
    <w:rsid w:val="00E714CD"/>
    <w:rsid w:val="00E83F4F"/>
    <w:rsid w:val="00E87BE1"/>
    <w:rsid w:val="00E944D6"/>
    <w:rsid w:val="00EA020F"/>
    <w:rsid w:val="00EA1F85"/>
    <w:rsid w:val="00ED0C25"/>
    <w:rsid w:val="00ED4585"/>
    <w:rsid w:val="00ED6B3C"/>
    <w:rsid w:val="00ED735F"/>
    <w:rsid w:val="00EF1F1E"/>
    <w:rsid w:val="00EF29F8"/>
    <w:rsid w:val="00EF43F3"/>
    <w:rsid w:val="00F1036B"/>
    <w:rsid w:val="00F15452"/>
    <w:rsid w:val="00F21E1D"/>
    <w:rsid w:val="00F23E29"/>
    <w:rsid w:val="00F42610"/>
    <w:rsid w:val="00F53F7A"/>
    <w:rsid w:val="00F547A5"/>
    <w:rsid w:val="00F5775F"/>
    <w:rsid w:val="00F63F24"/>
    <w:rsid w:val="00F72FA1"/>
    <w:rsid w:val="00F7514A"/>
    <w:rsid w:val="00F779A5"/>
    <w:rsid w:val="00F8315E"/>
    <w:rsid w:val="00F838B0"/>
    <w:rsid w:val="00F92587"/>
    <w:rsid w:val="00FC6A68"/>
    <w:rsid w:val="00FE3E8C"/>
    <w:rsid w:val="00FF0D13"/>
    <w:rsid w:val="00FF1730"/>
    <w:rsid w:val="00FF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3FE7F"/>
  <w15:docId w15:val="{63D5E25C-5E6E-49F3-B975-8F272E3A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semiHidden/>
    <w:unhideWhenUsed/>
    <w:rsid w:val="00DF2F42"/>
    <w:pPr>
      <w:spacing w:after="120"/>
    </w:pPr>
  </w:style>
  <w:style w:type="character" w:customStyle="1" w:styleId="BodyTextChar">
    <w:name w:val="Body Text Char"/>
    <w:link w:val="BodyText"/>
    <w:uiPriority w:val="99"/>
    <w:semiHidden/>
    <w:rsid w:val="00DF2F42"/>
    <w:rPr>
      <w:szCs w:val="24"/>
    </w:rPr>
  </w:style>
  <w:style w:type="table" w:styleId="TableGrid">
    <w:name w:val="Table Grid"/>
    <w:basedOn w:val="TableNormal"/>
    <w:uiPriority w:val="59"/>
    <w:unhideWhenUsed/>
    <w:rsid w:val="007C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0258"/>
    <w:pPr>
      <w:tabs>
        <w:tab w:val="clear" w:pos="284"/>
      </w:tabs>
      <w:autoSpaceDE w:val="0"/>
      <w:autoSpaceDN w:val="0"/>
      <w:adjustRightInd w:val="0"/>
      <w:spacing w:line="238" w:lineRule="exact"/>
      <w:ind w:left="109"/>
      <w:jc w:val="left"/>
    </w:pPr>
    <w:rPr>
      <w:sz w:val="24"/>
    </w:rPr>
  </w:style>
  <w:style w:type="paragraph" w:styleId="NoSpacing">
    <w:name w:val="No Spacing"/>
    <w:uiPriority w:val="1"/>
    <w:qFormat/>
    <w:rsid w:val="00DE515F"/>
    <w:rPr>
      <w:sz w:val="24"/>
      <w:szCs w:val="24"/>
    </w:rPr>
  </w:style>
  <w:style w:type="character" w:styleId="Hyperlink">
    <w:name w:val="Hyperlink"/>
    <w:rsid w:val="00DE515F"/>
    <w:rPr>
      <w:color w:val="0563C1"/>
      <w:u w:val="single"/>
    </w:rPr>
  </w:style>
  <w:style w:type="paragraph" w:styleId="Revision">
    <w:name w:val="Revision"/>
    <w:hidden/>
    <w:uiPriority w:val="99"/>
    <w:semiHidden/>
    <w:rsid w:val="001B5D6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658BB-BEFC-45F2-B5E3-085341EE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16710</Words>
  <Characters>95249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Anđela Drašković</cp:lastModifiedBy>
  <cp:revision>11</cp:revision>
  <cp:lastPrinted>2023-05-15T10:08:00Z</cp:lastPrinted>
  <dcterms:created xsi:type="dcterms:W3CDTF">2023-06-22T11:00:00Z</dcterms:created>
  <dcterms:modified xsi:type="dcterms:W3CDTF">2023-06-22T12:14:00Z</dcterms:modified>
</cp:coreProperties>
</file>