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9360"/>
      </w:tblGrid>
      <w:tr w:rsidR="00DA0659" w:rsidRPr="0057682A" w:rsidTr="00BE25B7">
        <w:trPr>
          <w:trHeight w:val="530"/>
          <w:jc w:val="center"/>
        </w:trPr>
        <w:tc>
          <w:tcPr>
            <w:tcW w:w="9360" w:type="dxa"/>
            <w:vAlign w:val="center"/>
          </w:tcPr>
          <w:p w:rsidR="00DA0659" w:rsidRPr="0057682A" w:rsidRDefault="00DA0659" w:rsidP="00BE25B7">
            <w:pPr>
              <w:jc w:val="center"/>
              <w:rPr>
                <w:b/>
                <w:bCs/>
                <w:iCs/>
                <w:szCs w:val="22"/>
                <w:u w:val="single"/>
                <w:lang w:val="sr-Latn-ME"/>
              </w:rPr>
            </w:pPr>
            <w:r w:rsidRPr="0057682A">
              <w:rPr>
                <w:b/>
                <w:bCs/>
                <w:iCs/>
                <w:szCs w:val="22"/>
                <w:u w:val="single"/>
                <w:lang w:val="sr-Latn-ME"/>
              </w:rPr>
              <w:t>SAŽETAK KARAKTERISTIKA LIJEKA</w:t>
            </w:r>
          </w:p>
        </w:tc>
      </w:tr>
      <w:tr w:rsidR="00DA0659" w:rsidRPr="0057682A" w:rsidTr="00231761">
        <w:trPr>
          <w:trHeight w:val="417"/>
          <w:jc w:val="center"/>
        </w:trPr>
        <w:tc>
          <w:tcPr>
            <w:tcW w:w="9360" w:type="dxa"/>
            <w:vAlign w:val="bottom"/>
          </w:tcPr>
          <w:p w:rsidR="00DA0659" w:rsidRPr="0057682A" w:rsidRDefault="00DA0659" w:rsidP="00BE25B7">
            <w:pPr>
              <w:spacing w:after="40"/>
              <w:jc w:val="center"/>
              <w:rPr>
                <w:b/>
                <w:bCs/>
                <w:szCs w:val="22"/>
                <w:u w:val="single"/>
                <w:lang w:val="sr-Latn-ME"/>
              </w:rPr>
            </w:pPr>
          </w:p>
        </w:tc>
      </w:tr>
    </w:tbl>
    <w:p w:rsidR="00DA0659" w:rsidRPr="0057682A" w:rsidRDefault="00DA0659" w:rsidP="00DA0659">
      <w:pPr>
        <w:widowControl w:val="0"/>
        <w:numPr>
          <w:ilvl w:val="0"/>
          <w:numId w:val="26"/>
        </w:numPr>
        <w:spacing w:line="240" w:lineRule="auto"/>
        <w:ind w:left="567"/>
        <w:jc w:val="both"/>
        <w:rPr>
          <w:b/>
          <w:szCs w:val="22"/>
          <w:lang w:val="sr-Latn-ME"/>
        </w:rPr>
      </w:pPr>
      <w:r w:rsidRPr="0057682A">
        <w:rPr>
          <w:b/>
          <w:szCs w:val="22"/>
          <w:lang w:val="sr-Latn-ME"/>
        </w:rPr>
        <w:t>NAZIV LIJEKA</w:t>
      </w:r>
    </w:p>
    <w:p w:rsidR="00DA0659" w:rsidRPr="0057682A" w:rsidRDefault="00DA0659" w:rsidP="00DA0659">
      <w:pPr>
        <w:widowControl w:val="0"/>
        <w:ind w:left="930"/>
        <w:jc w:val="both"/>
        <w:rPr>
          <w:b/>
          <w:szCs w:val="22"/>
          <w:lang w:val="sr-Latn-ME"/>
        </w:rPr>
      </w:pPr>
    </w:p>
    <w:p w:rsidR="00DA0659" w:rsidRPr="0057682A" w:rsidRDefault="00DA0659" w:rsidP="00DA0659">
      <w:pPr>
        <w:jc w:val="both"/>
        <w:rPr>
          <w:szCs w:val="22"/>
          <w:lang w:val="sr-Latn-ME"/>
        </w:rPr>
      </w:pPr>
      <w:r w:rsidRPr="0057682A">
        <w:rPr>
          <w:szCs w:val="22"/>
          <w:lang w:val="sr-Latn-ME"/>
        </w:rPr>
        <w:t xml:space="preserve"> Zalasta</w:t>
      </w:r>
      <w:r w:rsidR="00BE25B7" w:rsidRPr="0057682A">
        <w:rPr>
          <w:szCs w:val="22"/>
          <w:lang w:val="sr-Latn-ME"/>
        </w:rPr>
        <w:t>,</w:t>
      </w:r>
      <w:r w:rsidRPr="0057682A">
        <w:rPr>
          <w:szCs w:val="22"/>
          <w:lang w:val="sr-Latn-ME"/>
        </w:rPr>
        <w:t xml:space="preserve"> 5 mg</w:t>
      </w:r>
      <w:r w:rsidR="00BE25B7" w:rsidRPr="0057682A">
        <w:rPr>
          <w:szCs w:val="22"/>
          <w:lang w:val="sr-Latn-ME"/>
        </w:rPr>
        <w:t>, tableta</w:t>
      </w:r>
    </w:p>
    <w:p w:rsidR="00DA0659" w:rsidRPr="0057682A" w:rsidRDefault="00DA0659" w:rsidP="00DA0659">
      <w:pPr>
        <w:jc w:val="both"/>
        <w:rPr>
          <w:szCs w:val="22"/>
          <w:lang w:val="sr-Latn-ME"/>
        </w:rPr>
      </w:pPr>
      <w:r w:rsidRPr="0057682A">
        <w:rPr>
          <w:szCs w:val="22"/>
          <w:lang w:val="sr-Latn-ME"/>
        </w:rPr>
        <w:t xml:space="preserve"> Zalasta</w:t>
      </w:r>
      <w:r w:rsidR="00BE25B7" w:rsidRPr="0057682A">
        <w:rPr>
          <w:szCs w:val="22"/>
          <w:lang w:val="sr-Latn-ME"/>
        </w:rPr>
        <w:t xml:space="preserve">, </w:t>
      </w:r>
      <w:r w:rsidRPr="0057682A">
        <w:rPr>
          <w:szCs w:val="22"/>
          <w:lang w:val="sr-Latn-ME"/>
        </w:rPr>
        <w:t>10 mg</w:t>
      </w:r>
      <w:r w:rsidR="00BE25B7" w:rsidRPr="0057682A">
        <w:rPr>
          <w:szCs w:val="22"/>
          <w:lang w:val="sr-Latn-ME"/>
        </w:rPr>
        <w:t>, tableta</w:t>
      </w:r>
    </w:p>
    <w:p w:rsidR="00DA0659" w:rsidRPr="0057682A" w:rsidRDefault="00DA0659" w:rsidP="00DA0659">
      <w:pPr>
        <w:widowControl w:val="0"/>
        <w:jc w:val="both"/>
        <w:rPr>
          <w:szCs w:val="22"/>
          <w:lang w:val="sr-Latn-ME"/>
        </w:rPr>
      </w:pPr>
    </w:p>
    <w:p w:rsidR="00DA0659" w:rsidRPr="0057682A" w:rsidRDefault="00DA0659" w:rsidP="00DA0659">
      <w:pPr>
        <w:widowControl w:val="0"/>
        <w:jc w:val="both"/>
        <w:rPr>
          <w:szCs w:val="22"/>
          <w:lang w:val="sr-Latn-ME"/>
        </w:rPr>
      </w:pPr>
      <w:r w:rsidRPr="0057682A">
        <w:rPr>
          <w:szCs w:val="22"/>
          <w:lang w:val="sr-Latn-ME"/>
        </w:rPr>
        <w:t xml:space="preserve">INN: olanzapin </w:t>
      </w:r>
    </w:p>
    <w:p w:rsidR="00DA0659" w:rsidRPr="0057682A" w:rsidRDefault="00DA0659" w:rsidP="00DA0659">
      <w:pPr>
        <w:widowControl w:val="0"/>
        <w:jc w:val="both"/>
        <w:rPr>
          <w:szCs w:val="22"/>
          <w:lang w:val="sr-Latn-ME"/>
        </w:rPr>
      </w:pPr>
    </w:p>
    <w:p w:rsidR="00DA0659" w:rsidRPr="0057682A" w:rsidRDefault="00DA0659" w:rsidP="00DA0659">
      <w:pPr>
        <w:widowControl w:val="0"/>
        <w:jc w:val="both"/>
        <w:rPr>
          <w:szCs w:val="22"/>
          <w:lang w:val="sr-Latn-ME"/>
        </w:rPr>
      </w:pPr>
    </w:p>
    <w:p w:rsidR="00DA0659" w:rsidRPr="0057682A" w:rsidRDefault="00DA0659" w:rsidP="00DA0659">
      <w:pPr>
        <w:widowControl w:val="0"/>
        <w:jc w:val="both"/>
        <w:rPr>
          <w:szCs w:val="22"/>
          <w:lang w:val="sr-Latn-ME"/>
        </w:rPr>
      </w:pPr>
      <w:r w:rsidRPr="0057682A">
        <w:rPr>
          <w:b/>
          <w:szCs w:val="22"/>
          <w:lang w:val="sr-Latn-ME"/>
        </w:rPr>
        <w:t>2.</w:t>
      </w:r>
      <w:r w:rsidRPr="0057682A">
        <w:rPr>
          <w:b/>
          <w:szCs w:val="22"/>
          <w:lang w:val="sr-Latn-ME"/>
        </w:rPr>
        <w:tab/>
        <w:t>KVALITATIVNI I KVANTITATIVNI SASTAV</w:t>
      </w:r>
    </w:p>
    <w:p w:rsidR="00DA0659" w:rsidRPr="0057682A" w:rsidRDefault="00DA0659" w:rsidP="00DA0659">
      <w:pPr>
        <w:widowControl w:val="0"/>
        <w:jc w:val="both"/>
        <w:rPr>
          <w:szCs w:val="22"/>
          <w:lang w:val="sr-Latn-ME"/>
        </w:rPr>
      </w:pPr>
    </w:p>
    <w:p w:rsidR="00DA0659" w:rsidRPr="0057682A" w:rsidRDefault="00BE25B7" w:rsidP="00DA0659">
      <w:pPr>
        <w:jc w:val="both"/>
        <w:rPr>
          <w:szCs w:val="22"/>
          <w:lang w:val="sr-Latn-ME"/>
        </w:rPr>
      </w:pPr>
      <w:r w:rsidRPr="0057682A">
        <w:rPr>
          <w:szCs w:val="22"/>
          <w:lang w:val="sr-Latn-ME"/>
        </w:rPr>
        <w:t>Svaka</w:t>
      </w:r>
      <w:r w:rsidR="00DA0659" w:rsidRPr="0057682A">
        <w:rPr>
          <w:szCs w:val="22"/>
          <w:lang w:val="sr-Latn-ME"/>
        </w:rPr>
        <w:t xml:space="preserve"> tableta sadrži 5 mg  ili 10 mg olanzapina.</w:t>
      </w:r>
    </w:p>
    <w:p w:rsidR="00DA0659" w:rsidRPr="0057682A" w:rsidRDefault="00DA0659" w:rsidP="00DA0659">
      <w:pPr>
        <w:jc w:val="both"/>
        <w:rPr>
          <w:szCs w:val="22"/>
          <w:lang w:val="sr-Latn-ME"/>
        </w:rPr>
      </w:pPr>
    </w:p>
    <w:tbl>
      <w:tblPr>
        <w:tblW w:w="5954"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3"/>
        <w:gridCol w:w="2124"/>
        <w:gridCol w:w="2977"/>
      </w:tblGrid>
      <w:tr w:rsidR="00DA0659" w:rsidRPr="0057682A" w:rsidTr="00BE25B7">
        <w:trPr>
          <w:cantSplit/>
          <w:trHeight w:val="284"/>
        </w:trPr>
        <w:tc>
          <w:tcPr>
            <w:tcW w:w="853" w:type="dxa"/>
            <w:vMerge w:val="restart"/>
            <w:tcBorders>
              <w:top w:val="single" w:sz="4" w:space="0" w:color="auto"/>
              <w:left w:val="single" w:sz="4" w:space="0" w:color="auto"/>
              <w:bottom w:val="single" w:sz="4" w:space="0" w:color="auto"/>
              <w:right w:val="single" w:sz="4" w:space="0" w:color="auto"/>
            </w:tcBorders>
            <w:vAlign w:val="bottom"/>
          </w:tcPr>
          <w:p w:rsidR="00DA0659" w:rsidRPr="0057682A" w:rsidRDefault="00DA0659" w:rsidP="00BE25B7">
            <w:pPr>
              <w:tabs>
                <w:tab w:val="center" w:pos="4320"/>
                <w:tab w:val="right" w:pos="8640"/>
              </w:tabs>
              <w:jc w:val="center"/>
              <w:rPr>
                <w:i/>
                <w:szCs w:val="22"/>
                <w:u w:val="single"/>
                <w:lang w:val="sr-Latn-ME"/>
              </w:rPr>
            </w:pPr>
            <w:r w:rsidRPr="0057682A">
              <w:rPr>
                <w:szCs w:val="22"/>
                <w:lang w:val="sr-Latn-ME"/>
              </w:rPr>
              <w:t>laktoza</w:t>
            </w:r>
          </w:p>
        </w:tc>
        <w:tc>
          <w:tcPr>
            <w:tcW w:w="2124" w:type="dxa"/>
            <w:tcBorders>
              <w:top w:val="single" w:sz="4" w:space="0" w:color="auto"/>
              <w:left w:val="single" w:sz="4" w:space="0" w:color="auto"/>
              <w:bottom w:val="single" w:sz="4" w:space="0" w:color="auto"/>
              <w:right w:val="single" w:sz="4" w:space="0" w:color="auto"/>
            </w:tcBorders>
            <w:vAlign w:val="center"/>
          </w:tcPr>
          <w:p w:rsidR="00DA0659" w:rsidRPr="0057682A" w:rsidRDefault="00DA0659" w:rsidP="00BE25B7">
            <w:pPr>
              <w:tabs>
                <w:tab w:val="center" w:pos="4320"/>
                <w:tab w:val="right" w:pos="8640"/>
              </w:tabs>
              <w:jc w:val="both"/>
              <w:rPr>
                <w:szCs w:val="22"/>
                <w:lang w:val="sr-Latn-ME"/>
              </w:rPr>
            </w:pPr>
            <w:r w:rsidRPr="0057682A">
              <w:rPr>
                <w:szCs w:val="22"/>
                <w:lang w:val="sr-Latn-ME"/>
              </w:rPr>
              <w:t>tablete od 5 mg</w:t>
            </w:r>
          </w:p>
        </w:tc>
        <w:tc>
          <w:tcPr>
            <w:tcW w:w="2977" w:type="dxa"/>
            <w:tcBorders>
              <w:top w:val="single" w:sz="4" w:space="0" w:color="auto"/>
              <w:left w:val="single" w:sz="4" w:space="0" w:color="auto"/>
              <w:bottom w:val="single" w:sz="4" w:space="0" w:color="auto"/>
              <w:right w:val="single" w:sz="4" w:space="0" w:color="auto"/>
            </w:tcBorders>
            <w:vAlign w:val="center"/>
          </w:tcPr>
          <w:p w:rsidR="00DA0659" w:rsidRPr="0057682A" w:rsidRDefault="00DA0659" w:rsidP="00BE25B7">
            <w:pPr>
              <w:tabs>
                <w:tab w:val="center" w:pos="4320"/>
                <w:tab w:val="right" w:pos="8640"/>
              </w:tabs>
              <w:jc w:val="both"/>
              <w:rPr>
                <w:szCs w:val="22"/>
                <w:lang w:val="sr-Latn-ME"/>
              </w:rPr>
            </w:pPr>
            <w:r w:rsidRPr="0057682A">
              <w:rPr>
                <w:szCs w:val="22"/>
                <w:lang w:val="sr-Latn-ME"/>
              </w:rPr>
              <w:t>tablete od 10 mg</w:t>
            </w:r>
          </w:p>
        </w:tc>
      </w:tr>
      <w:tr w:rsidR="00DA0659" w:rsidRPr="0057682A" w:rsidTr="00BE25B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tcPr>
          <w:p w:rsidR="00DA0659" w:rsidRPr="0057682A" w:rsidRDefault="00DA0659" w:rsidP="00BE25B7">
            <w:pPr>
              <w:jc w:val="both"/>
              <w:rPr>
                <w:i/>
                <w:szCs w:val="22"/>
                <w:u w:val="single"/>
                <w:lang w:val="sr-Latn-ME"/>
              </w:rPr>
            </w:pPr>
          </w:p>
        </w:tc>
        <w:tc>
          <w:tcPr>
            <w:tcW w:w="2124" w:type="dxa"/>
            <w:tcBorders>
              <w:top w:val="single" w:sz="4" w:space="0" w:color="auto"/>
              <w:left w:val="single" w:sz="4" w:space="0" w:color="auto"/>
              <w:bottom w:val="single" w:sz="4" w:space="0" w:color="auto"/>
              <w:right w:val="single" w:sz="4" w:space="0" w:color="auto"/>
            </w:tcBorders>
            <w:vAlign w:val="center"/>
          </w:tcPr>
          <w:p w:rsidR="00DA0659" w:rsidRPr="0057682A" w:rsidRDefault="00DA0659" w:rsidP="00BE25B7">
            <w:pPr>
              <w:tabs>
                <w:tab w:val="center" w:pos="4320"/>
                <w:tab w:val="right" w:pos="8640"/>
              </w:tabs>
              <w:jc w:val="both"/>
              <w:rPr>
                <w:szCs w:val="22"/>
                <w:lang w:val="sr-Latn-ME"/>
              </w:rPr>
            </w:pPr>
            <w:r w:rsidRPr="0057682A">
              <w:rPr>
                <w:szCs w:val="22"/>
                <w:lang w:val="sr-Latn-ME"/>
              </w:rPr>
              <w:t>80,9 mg</w:t>
            </w:r>
          </w:p>
        </w:tc>
        <w:tc>
          <w:tcPr>
            <w:tcW w:w="2977" w:type="dxa"/>
            <w:tcBorders>
              <w:top w:val="single" w:sz="4" w:space="0" w:color="auto"/>
              <w:left w:val="single" w:sz="4" w:space="0" w:color="auto"/>
              <w:bottom w:val="single" w:sz="4" w:space="0" w:color="auto"/>
              <w:right w:val="single" w:sz="4" w:space="0" w:color="auto"/>
            </w:tcBorders>
            <w:vAlign w:val="center"/>
          </w:tcPr>
          <w:p w:rsidR="00DA0659" w:rsidRPr="0057682A" w:rsidRDefault="00DA0659" w:rsidP="00BE25B7">
            <w:pPr>
              <w:tabs>
                <w:tab w:val="center" w:pos="4320"/>
                <w:tab w:val="right" w:pos="8640"/>
              </w:tabs>
              <w:jc w:val="both"/>
              <w:rPr>
                <w:szCs w:val="22"/>
                <w:lang w:val="sr-Latn-ME"/>
              </w:rPr>
            </w:pPr>
            <w:r w:rsidRPr="0057682A">
              <w:rPr>
                <w:szCs w:val="22"/>
                <w:lang w:val="sr-Latn-ME"/>
              </w:rPr>
              <w:t>161,8 mg</w:t>
            </w:r>
          </w:p>
        </w:tc>
      </w:tr>
    </w:tbl>
    <w:p w:rsidR="00DA0659" w:rsidRPr="0057682A" w:rsidRDefault="00DA0659" w:rsidP="00DA0659">
      <w:pPr>
        <w:widowControl w:val="0"/>
        <w:jc w:val="both"/>
        <w:rPr>
          <w:szCs w:val="22"/>
          <w:lang w:val="sr-Latn-ME"/>
        </w:rPr>
      </w:pPr>
    </w:p>
    <w:p w:rsidR="00DA0659" w:rsidRPr="0057682A" w:rsidRDefault="00DA0659" w:rsidP="00DA0659">
      <w:pPr>
        <w:widowControl w:val="0"/>
        <w:autoSpaceDE w:val="0"/>
        <w:autoSpaceDN w:val="0"/>
        <w:adjustRightInd w:val="0"/>
        <w:jc w:val="both"/>
        <w:rPr>
          <w:szCs w:val="22"/>
          <w:lang w:val="sr-Latn-ME"/>
        </w:rPr>
      </w:pPr>
      <w:r w:rsidRPr="0057682A">
        <w:rPr>
          <w:szCs w:val="22"/>
          <w:lang w:val="sr-Latn-ME"/>
        </w:rPr>
        <w:t>Za spisak svih ekscipijenasa, pogledati dio 6.1.</w:t>
      </w:r>
    </w:p>
    <w:p w:rsidR="00DA0659" w:rsidRPr="0057682A" w:rsidRDefault="00DA0659" w:rsidP="00DA0659">
      <w:pPr>
        <w:widowControl w:val="0"/>
        <w:jc w:val="both"/>
        <w:rPr>
          <w:szCs w:val="22"/>
          <w:lang w:val="sr-Latn-ME"/>
        </w:rPr>
      </w:pPr>
    </w:p>
    <w:p w:rsidR="00DA0659" w:rsidRPr="0057682A" w:rsidRDefault="00DA0659" w:rsidP="00DA0659">
      <w:pPr>
        <w:widowControl w:val="0"/>
        <w:jc w:val="both"/>
        <w:rPr>
          <w:szCs w:val="22"/>
          <w:lang w:val="sr-Latn-ME"/>
        </w:rPr>
      </w:pPr>
    </w:p>
    <w:p w:rsidR="00DA0659" w:rsidRPr="0057682A" w:rsidRDefault="00DA0659" w:rsidP="00DA0659">
      <w:pPr>
        <w:widowControl w:val="0"/>
        <w:jc w:val="both"/>
        <w:rPr>
          <w:b/>
          <w:caps/>
          <w:szCs w:val="22"/>
          <w:lang w:val="sr-Latn-ME"/>
        </w:rPr>
      </w:pPr>
      <w:r w:rsidRPr="0057682A">
        <w:rPr>
          <w:b/>
          <w:szCs w:val="22"/>
          <w:lang w:val="sr-Latn-ME"/>
        </w:rPr>
        <w:t>3.</w:t>
      </w:r>
      <w:r w:rsidRPr="0057682A">
        <w:rPr>
          <w:b/>
          <w:szCs w:val="22"/>
          <w:lang w:val="sr-Latn-ME"/>
        </w:rPr>
        <w:tab/>
        <w:t>FARMACEUTSKI OBLIK</w:t>
      </w:r>
    </w:p>
    <w:p w:rsidR="00DA0659" w:rsidRPr="0057682A" w:rsidRDefault="00DA0659" w:rsidP="00DA0659">
      <w:pPr>
        <w:widowControl w:val="0"/>
        <w:jc w:val="both"/>
        <w:rPr>
          <w:szCs w:val="22"/>
          <w:lang w:val="sr-Latn-ME"/>
        </w:rPr>
      </w:pPr>
    </w:p>
    <w:p w:rsidR="00DA0659" w:rsidRPr="0057682A" w:rsidRDefault="00DA0659" w:rsidP="00DA0659">
      <w:pPr>
        <w:jc w:val="both"/>
        <w:rPr>
          <w:szCs w:val="22"/>
          <w:lang w:val="sr-Latn-ME"/>
        </w:rPr>
      </w:pPr>
      <w:r w:rsidRPr="0057682A">
        <w:rPr>
          <w:szCs w:val="22"/>
          <w:lang w:val="sr-Latn-ME"/>
        </w:rPr>
        <w:t>Tableta.</w:t>
      </w:r>
    </w:p>
    <w:p w:rsidR="00DA0659" w:rsidRPr="0057682A" w:rsidRDefault="00DA0659" w:rsidP="00DA0659">
      <w:pPr>
        <w:jc w:val="both"/>
        <w:rPr>
          <w:szCs w:val="22"/>
          <w:lang w:val="sr-Latn-ME"/>
        </w:rPr>
      </w:pPr>
    </w:p>
    <w:p w:rsidR="00DA0659" w:rsidRPr="0057682A" w:rsidRDefault="00DA0659" w:rsidP="00DA0659">
      <w:pPr>
        <w:jc w:val="both"/>
        <w:rPr>
          <w:szCs w:val="22"/>
          <w:lang w:val="sr-Latn-ME"/>
        </w:rPr>
      </w:pPr>
      <w:r w:rsidRPr="0057682A">
        <w:rPr>
          <w:szCs w:val="22"/>
          <w:lang w:val="sr-Latn-ME"/>
        </w:rPr>
        <w:t>Tablete od 5 mg: okrugle, lagano izbočene, svijetlo žute boje s mogućim pojedinačnim žutim tačkama i natpisom 5.</w:t>
      </w:r>
    </w:p>
    <w:p w:rsidR="00DA0659" w:rsidRPr="0057682A" w:rsidRDefault="00DA0659" w:rsidP="00DA0659">
      <w:pPr>
        <w:jc w:val="both"/>
        <w:rPr>
          <w:szCs w:val="22"/>
          <w:lang w:val="sr-Latn-ME"/>
        </w:rPr>
      </w:pPr>
      <w:r w:rsidRPr="0057682A">
        <w:rPr>
          <w:szCs w:val="22"/>
          <w:lang w:val="sr-Latn-ME"/>
        </w:rPr>
        <w:t>Tablete od 10 mg: okrugle, lagano izbočene, svijetlo žute boje s mogućim pojedinačnim žutim tačkama i natpisom 10.</w:t>
      </w:r>
    </w:p>
    <w:p w:rsidR="00DA0659" w:rsidRPr="0057682A" w:rsidRDefault="00DA0659" w:rsidP="00DA0659">
      <w:pPr>
        <w:widowControl w:val="0"/>
        <w:jc w:val="both"/>
        <w:rPr>
          <w:szCs w:val="22"/>
          <w:lang w:val="sr-Latn-ME"/>
        </w:rPr>
      </w:pPr>
    </w:p>
    <w:p w:rsidR="00DA0659" w:rsidRPr="0057682A" w:rsidRDefault="00DA0659" w:rsidP="00DA0659">
      <w:pPr>
        <w:widowControl w:val="0"/>
        <w:jc w:val="both"/>
        <w:rPr>
          <w:szCs w:val="22"/>
          <w:lang w:val="sr-Latn-ME"/>
        </w:rPr>
      </w:pPr>
    </w:p>
    <w:p w:rsidR="00DA0659" w:rsidRPr="0057682A" w:rsidRDefault="00DA0659" w:rsidP="00DA0659">
      <w:pPr>
        <w:widowControl w:val="0"/>
        <w:ind w:left="567" w:hanging="567"/>
        <w:jc w:val="both"/>
        <w:rPr>
          <w:caps/>
          <w:szCs w:val="22"/>
          <w:lang w:val="sr-Latn-ME"/>
        </w:rPr>
      </w:pPr>
      <w:r w:rsidRPr="0057682A">
        <w:rPr>
          <w:b/>
          <w:caps/>
          <w:szCs w:val="22"/>
          <w:lang w:val="sr-Latn-ME"/>
        </w:rPr>
        <w:t>4.</w:t>
      </w:r>
      <w:r w:rsidRPr="0057682A">
        <w:rPr>
          <w:b/>
          <w:caps/>
          <w:szCs w:val="22"/>
          <w:lang w:val="sr-Latn-ME"/>
        </w:rPr>
        <w:tab/>
        <w:t>KLINIČKI PODACI</w:t>
      </w:r>
    </w:p>
    <w:p w:rsidR="00DA0659" w:rsidRPr="0057682A" w:rsidRDefault="00DA0659" w:rsidP="00DA0659">
      <w:pPr>
        <w:widowControl w:val="0"/>
        <w:jc w:val="both"/>
        <w:rPr>
          <w:szCs w:val="22"/>
          <w:lang w:val="sr-Latn-ME"/>
        </w:rPr>
      </w:pPr>
    </w:p>
    <w:p w:rsidR="00DA0659" w:rsidRPr="0057682A" w:rsidRDefault="00DA0659" w:rsidP="00DA0659">
      <w:pPr>
        <w:widowControl w:val="0"/>
        <w:ind w:left="567" w:hanging="567"/>
        <w:jc w:val="both"/>
        <w:outlineLvl w:val="0"/>
        <w:rPr>
          <w:b/>
          <w:szCs w:val="22"/>
          <w:lang w:val="sr-Latn-ME"/>
        </w:rPr>
      </w:pPr>
      <w:r w:rsidRPr="0057682A">
        <w:rPr>
          <w:b/>
          <w:szCs w:val="22"/>
          <w:lang w:val="sr-Latn-ME"/>
        </w:rPr>
        <w:t>4.1</w:t>
      </w:r>
      <w:r w:rsidRPr="0057682A">
        <w:rPr>
          <w:b/>
          <w:szCs w:val="22"/>
          <w:lang w:val="sr-Latn-ME"/>
        </w:rPr>
        <w:tab/>
        <w:t>Terapijske indikacije</w:t>
      </w:r>
    </w:p>
    <w:p w:rsidR="00DA0659" w:rsidRPr="0057682A" w:rsidRDefault="00DA0659" w:rsidP="00DA0659">
      <w:pPr>
        <w:widowControl w:val="0"/>
        <w:ind w:left="567" w:hanging="567"/>
        <w:jc w:val="both"/>
        <w:outlineLvl w:val="0"/>
        <w:rPr>
          <w:b/>
          <w:szCs w:val="22"/>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Odrasli</w:t>
      </w:r>
    </w:p>
    <w:p w:rsidR="00DA0659" w:rsidRPr="0057682A" w:rsidRDefault="00DA0659" w:rsidP="00DA0659">
      <w:pPr>
        <w:autoSpaceDE w:val="0"/>
        <w:autoSpaceDN w:val="0"/>
        <w:adjustRightInd w:val="0"/>
        <w:jc w:val="both"/>
        <w:rPr>
          <w:szCs w:val="22"/>
          <w:lang w:val="sr-Latn-ME"/>
        </w:rPr>
      </w:pPr>
      <w:r w:rsidRPr="0057682A">
        <w:rPr>
          <w:szCs w:val="22"/>
          <w:lang w:val="sr-Latn-ME"/>
        </w:rPr>
        <w:t>Olanzapin je namijenjen za liječenje šizofrenije.</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Olanzapin je djelotvoran u održavanju kliničkog poboljšanja tokom kontinuirane terapije kod </w:t>
      </w:r>
      <w:r w:rsidR="00BE25B7" w:rsidRPr="0057682A">
        <w:rPr>
          <w:szCs w:val="22"/>
          <w:lang w:val="sr-Latn-ME"/>
        </w:rPr>
        <w:t>pacijenata</w:t>
      </w:r>
      <w:r w:rsidRPr="0057682A">
        <w:rPr>
          <w:szCs w:val="22"/>
          <w:lang w:val="sr-Latn-ME"/>
        </w:rPr>
        <w:t xml:space="preserve"> koji su dobro reagovali na početno liječenje.</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Namijenjen je za liječenje srednje teške do teške manične epizode.</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Olanzapin je indikovan za prevenciju recidiva kod </w:t>
      </w:r>
      <w:r w:rsidR="00BE25B7" w:rsidRPr="0057682A">
        <w:rPr>
          <w:szCs w:val="22"/>
          <w:lang w:val="sr-Latn-ME"/>
        </w:rPr>
        <w:t>pacijenata</w:t>
      </w:r>
      <w:r w:rsidRPr="0057682A">
        <w:rPr>
          <w:szCs w:val="22"/>
          <w:lang w:val="sr-Latn-ME"/>
        </w:rPr>
        <w:t xml:space="preserve"> s</w:t>
      </w:r>
      <w:r w:rsidR="00BE25B7" w:rsidRPr="0057682A">
        <w:rPr>
          <w:szCs w:val="22"/>
          <w:lang w:val="sr-Latn-ME"/>
        </w:rPr>
        <w:t>a</w:t>
      </w:r>
      <w:r w:rsidRPr="0057682A">
        <w:rPr>
          <w:szCs w:val="22"/>
          <w:lang w:val="sr-Latn-ME"/>
        </w:rPr>
        <w:t xml:space="preserve"> bipolarnim poremećajem koji su dobro reagovali na liječenje olanzapinom u maničnoj epizodi bolesti. (pogledajte poglavlje 5.1).</w:t>
      </w:r>
    </w:p>
    <w:p w:rsidR="00DA0659" w:rsidRPr="0057682A" w:rsidRDefault="00DA0659" w:rsidP="00DA0659">
      <w:pPr>
        <w:widowControl w:val="0"/>
        <w:jc w:val="both"/>
        <w:rPr>
          <w:szCs w:val="22"/>
          <w:lang w:val="sr-Latn-ME"/>
        </w:rPr>
      </w:pPr>
    </w:p>
    <w:p w:rsidR="00DA0659" w:rsidRPr="0057682A" w:rsidRDefault="00DA0659" w:rsidP="00DA0659">
      <w:pPr>
        <w:widowControl w:val="0"/>
        <w:jc w:val="both"/>
        <w:rPr>
          <w:szCs w:val="22"/>
          <w:lang w:val="sr-Latn-ME"/>
        </w:rPr>
      </w:pPr>
    </w:p>
    <w:p w:rsidR="00DA0659" w:rsidRPr="0057682A" w:rsidRDefault="00DA0659" w:rsidP="00DA0659">
      <w:pPr>
        <w:widowControl w:val="0"/>
        <w:numPr>
          <w:ilvl w:val="1"/>
          <w:numId w:val="13"/>
        </w:numPr>
        <w:tabs>
          <w:tab w:val="clear" w:pos="570"/>
          <w:tab w:val="left" w:pos="567"/>
          <w:tab w:val="num" w:pos="712"/>
        </w:tabs>
        <w:spacing w:line="240" w:lineRule="auto"/>
        <w:ind w:left="712" w:hanging="712"/>
        <w:jc w:val="both"/>
        <w:outlineLvl w:val="0"/>
        <w:rPr>
          <w:b/>
          <w:szCs w:val="22"/>
          <w:lang w:val="sr-Latn-ME"/>
        </w:rPr>
      </w:pPr>
      <w:r w:rsidRPr="0057682A">
        <w:rPr>
          <w:b/>
          <w:szCs w:val="22"/>
          <w:lang w:val="sr-Latn-ME"/>
        </w:rPr>
        <w:t>Doziranje i način primjene</w:t>
      </w:r>
    </w:p>
    <w:p w:rsidR="00DA0659" w:rsidRPr="0057682A" w:rsidRDefault="00DA0659" w:rsidP="00DA0659">
      <w:pPr>
        <w:widowControl w:val="0"/>
        <w:jc w:val="both"/>
        <w:rPr>
          <w:iCs/>
          <w:szCs w:val="22"/>
          <w:u w:val="single"/>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Odrasli</w:t>
      </w:r>
    </w:p>
    <w:p w:rsidR="00DA0659" w:rsidRPr="0057682A" w:rsidRDefault="00DA0659" w:rsidP="00DA0659">
      <w:pPr>
        <w:pStyle w:val="Heading3"/>
        <w:rPr>
          <w:b w:val="0"/>
          <w:sz w:val="22"/>
          <w:szCs w:val="22"/>
          <w:lang w:val="sr-Latn-ME"/>
        </w:rPr>
      </w:pPr>
      <w:r w:rsidRPr="0057682A">
        <w:rPr>
          <w:b w:val="0"/>
          <w:sz w:val="22"/>
          <w:szCs w:val="22"/>
          <w:lang w:val="sr-Latn-ME"/>
        </w:rPr>
        <w:t>Šizofrenija: Preporučena početna doza olanzapina je 10 mg na dan.</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lastRenderedPageBreak/>
        <w:t>Manična epizoda:  Početna doza je 15 mg kao pojedinačna dnevna doza u monoterapiji ili 10 mg dnevno u kombinovanoj terapiji (pogledajte poglavlje 5.1)</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Prevencija recidiva bipolarnog poremećaja: Preporučena početna doza je 10 mg na dan. Za </w:t>
      </w:r>
      <w:r w:rsidR="00BE25B7" w:rsidRPr="0057682A">
        <w:rPr>
          <w:szCs w:val="22"/>
          <w:lang w:val="sr-Latn-ME"/>
        </w:rPr>
        <w:t xml:space="preserve">pacijente </w:t>
      </w:r>
      <w:r w:rsidRPr="0057682A">
        <w:rPr>
          <w:szCs w:val="22"/>
          <w:lang w:val="sr-Latn-ME"/>
        </w:rPr>
        <w:t>koji su već primili olanzapin za liječenje manične epizode, istom dozom provodi se kontinuirana terapija za sprečavanje recidiva.</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Dođe li do nove manične, miješane ili depresivne epizode, liječenje olanzapinom treba nastaviti (ako je potrebno uz prilagođavanje doze), uz dodatnu terapiju za liječenje simptoma poremećaja raspoloženja kad je klinički indikovano. </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Tokom liječenja šizofrenije, manične epizode i sprečavanja recidiva bipolarnog poremećaja, dnevno doziranje mora se postepeno prilagoditi na temelju kliničkog statusa, u rasponu od 5 – 20 mg na dan. Povećanje doze iznad preporučene početne doze preporučuje se samo nakon odgovarajuće kliničke procjene i uopšte u intervalima koji ne bi smjeli biti kraći od 24 sata.</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Budući da hrana ne utiče na njegovu apsorpciju, olanzapin se može dati nezavisno od obroka. Kod prestanka davanja olanzapina, dozu treba postepeno smanjivati. </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pStyle w:val="Text"/>
        <w:tabs>
          <w:tab w:val="left" w:pos="567"/>
        </w:tabs>
        <w:spacing w:before="0" w:after="0" w:line="240" w:lineRule="auto"/>
        <w:ind w:left="0" w:right="0" w:firstLine="0"/>
        <w:rPr>
          <w:color w:val="auto"/>
          <w:sz w:val="22"/>
          <w:szCs w:val="22"/>
          <w:u w:val="single"/>
          <w:lang w:val="sr-Latn-ME"/>
        </w:rPr>
      </w:pPr>
      <w:r w:rsidRPr="0057682A">
        <w:rPr>
          <w:color w:val="auto"/>
          <w:sz w:val="22"/>
          <w:szCs w:val="22"/>
          <w:u w:val="single"/>
          <w:lang w:val="sr-Latn-ME"/>
        </w:rPr>
        <w:t>Posebne populacije</w:t>
      </w:r>
    </w:p>
    <w:p w:rsidR="00DA0659" w:rsidRPr="0057682A" w:rsidRDefault="00BE25B7" w:rsidP="00DA0659">
      <w:pPr>
        <w:pStyle w:val="Heading2"/>
        <w:jc w:val="both"/>
        <w:rPr>
          <w:i/>
          <w:sz w:val="22"/>
          <w:szCs w:val="22"/>
          <w:u w:val="none"/>
          <w:lang w:val="sr-Latn-ME"/>
        </w:rPr>
      </w:pPr>
      <w:r w:rsidRPr="0057682A">
        <w:rPr>
          <w:i/>
          <w:sz w:val="22"/>
          <w:szCs w:val="22"/>
          <w:u w:val="none"/>
          <w:lang w:val="sr-Latn-ME"/>
        </w:rPr>
        <w:t>Stariji pacijenti</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Iako se niža početna doza (5 mg/dan) rutinski ne propisuje za </w:t>
      </w:r>
      <w:r w:rsidR="00BE25B7" w:rsidRPr="0057682A">
        <w:rPr>
          <w:szCs w:val="22"/>
          <w:lang w:val="sr-Latn-ME"/>
        </w:rPr>
        <w:t>pacijenata</w:t>
      </w:r>
      <w:r w:rsidRPr="0057682A">
        <w:rPr>
          <w:szCs w:val="22"/>
          <w:lang w:val="sr-Latn-ME"/>
        </w:rPr>
        <w:t xml:space="preserve"> od 65 godina ili starije, treba je uvesti kad to zahtijevaju klinički faktori (pogledajte poglavlje 4.4)</w:t>
      </w:r>
    </w:p>
    <w:p w:rsidR="00DA0659" w:rsidRPr="0057682A" w:rsidRDefault="00BE25B7" w:rsidP="00DA0659">
      <w:pPr>
        <w:pStyle w:val="Heading2"/>
        <w:jc w:val="both"/>
        <w:rPr>
          <w:i/>
          <w:sz w:val="22"/>
          <w:szCs w:val="22"/>
          <w:u w:val="none"/>
          <w:lang w:val="sr-Latn-ME"/>
        </w:rPr>
      </w:pPr>
      <w:r w:rsidRPr="0057682A">
        <w:rPr>
          <w:i/>
          <w:sz w:val="22"/>
          <w:szCs w:val="22"/>
          <w:u w:val="none"/>
          <w:lang w:val="sr-Latn-ME"/>
        </w:rPr>
        <w:t>Pacijenti</w:t>
      </w:r>
      <w:r w:rsidR="00DA0659" w:rsidRPr="0057682A">
        <w:rPr>
          <w:i/>
          <w:sz w:val="22"/>
          <w:szCs w:val="22"/>
          <w:u w:val="none"/>
          <w:lang w:val="sr-Latn-ME"/>
        </w:rPr>
        <w:t xml:space="preserve"> s</w:t>
      </w:r>
      <w:r w:rsidRPr="0057682A">
        <w:rPr>
          <w:i/>
          <w:sz w:val="22"/>
          <w:szCs w:val="22"/>
          <w:u w:val="none"/>
          <w:lang w:val="sr-Latn-ME"/>
        </w:rPr>
        <w:t>a</w:t>
      </w:r>
      <w:r w:rsidR="00DA0659" w:rsidRPr="0057682A">
        <w:rPr>
          <w:i/>
          <w:sz w:val="22"/>
          <w:szCs w:val="22"/>
          <w:u w:val="none"/>
          <w:lang w:val="sr-Latn-ME"/>
        </w:rPr>
        <w:t xml:space="preserve"> oštećenom funkcijom jetre i/ili bubrega</w:t>
      </w:r>
    </w:p>
    <w:p w:rsidR="00DA0659" w:rsidRPr="0057682A" w:rsidRDefault="00BE25B7" w:rsidP="00DA0659">
      <w:pPr>
        <w:autoSpaceDE w:val="0"/>
        <w:autoSpaceDN w:val="0"/>
        <w:adjustRightInd w:val="0"/>
        <w:jc w:val="both"/>
        <w:rPr>
          <w:szCs w:val="22"/>
          <w:lang w:val="sr-Latn-ME"/>
        </w:rPr>
      </w:pPr>
      <w:r w:rsidRPr="0057682A">
        <w:rPr>
          <w:szCs w:val="22"/>
          <w:lang w:val="sr-Latn-ME"/>
        </w:rPr>
        <w:t>Za takve pacijente</w:t>
      </w:r>
      <w:r w:rsidR="00DA0659" w:rsidRPr="0057682A">
        <w:rPr>
          <w:szCs w:val="22"/>
          <w:lang w:val="sr-Latn-ME"/>
        </w:rPr>
        <w:t xml:space="preserve"> potrebno je odrediti nižu početnu dozu (5 mg). U slučaju umjerene insuficijencije jetre (ciroza, Child-Pugh klasifikacija A ili B), početna doza treba biti 5 mg, a povećava se samo uz oprez.</w:t>
      </w:r>
    </w:p>
    <w:p w:rsidR="00DA0659" w:rsidRPr="0057682A" w:rsidRDefault="00DA0659" w:rsidP="00DA0659">
      <w:pPr>
        <w:pStyle w:val="Heading2"/>
        <w:jc w:val="both"/>
        <w:rPr>
          <w:i/>
          <w:sz w:val="22"/>
          <w:szCs w:val="22"/>
          <w:u w:val="none"/>
          <w:lang w:val="sr-Latn-ME"/>
        </w:rPr>
      </w:pPr>
      <w:r w:rsidRPr="0057682A">
        <w:rPr>
          <w:i/>
          <w:sz w:val="22"/>
          <w:szCs w:val="22"/>
          <w:u w:val="none"/>
          <w:lang w:val="sr-Latn-ME"/>
        </w:rPr>
        <w:t>Pušači</w:t>
      </w:r>
    </w:p>
    <w:p w:rsidR="00DA0659" w:rsidRPr="0057682A" w:rsidRDefault="00DA0659" w:rsidP="00DA0659">
      <w:pPr>
        <w:jc w:val="both"/>
        <w:rPr>
          <w:szCs w:val="22"/>
          <w:lang w:val="sr-Latn-ME"/>
        </w:rPr>
      </w:pPr>
      <w:r w:rsidRPr="0057682A">
        <w:rPr>
          <w:szCs w:val="22"/>
          <w:lang w:val="sr-Latn-ME"/>
        </w:rPr>
        <w:t>Početnu dozu i raspon doza za pušače ne treba rutinski mijenjati u odnosu na doze za nepušače.</w:t>
      </w:r>
      <w:r w:rsidRPr="0057682A">
        <w:rPr>
          <w:color w:val="000000"/>
          <w:szCs w:val="22"/>
          <w:lang w:val="sr-Latn-ME"/>
        </w:rPr>
        <w:t xml:space="preserve"> Metabolizam olanzapina može biti indukovan pušenjem. Preporučuje se klinički nadzor i po potrebi se može razmotriti povećanje doze olanzapina (pogledajte poglavlje 4.5).</w:t>
      </w:r>
    </w:p>
    <w:p w:rsidR="00DA0659" w:rsidRPr="0057682A" w:rsidRDefault="00DA0659" w:rsidP="00DA0659">
      <w:pPr>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Potrebno je razmotriti mogućnost smanjenja početne doze kad je prisutno više od jednog faktora koji mogu usporiti metabolizam (ženski pol, starije životno doba, nepušač). Kad je indikovano, povećanje doze kod takvih </w:t>
      </w:r>
      <w:r w:rsidR="00BE25B7" w:rsidRPr="0057682A">
        <w:rPr>
          <w:szCs w:val="22"/>
          <w:lang w:val="sr-Latn-ME"/>
        </w:rPr>
        <w:t>pacijenata</w:t>
      </w:r>
      <w:r w:rsidRPr="0057682A">
        <w:rPr>
          <w:szCs w:val="22"/>
          <w:lang w:val="sr-Latn-ME"/>
        </w:rPr>
        <w:t xml:space="preserve">  treba </w:t>
      </w:r>
      <w:r w:rsidR="0046453C" w:rsidRPr="0057682A">
        <w:rPr>
          <w:szCs w:val="22"/>
          <w:lang w:val="sr-Latn-ME"/>
        </w:rPr>
        <w:t>s</w:t>
      </w:r>
      <w:r w:rsidRPr="0057682A">
        <w:rPr>
          <w:szCs w:val="22"/>
          <w:lang w:val="sr-Latn-ME"/>
        </w:rPr>
        <w:t>provoditi na uobičajeni način.</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(Pogledajte poglavlja 4.5 i 5.2). </w:t>
      </w:r>
    </w:p>
    <w:p w:rsidR="00DA0659" w:rsidRPr="0057682A" w:rsidRDefault="00DA0659" w:rsidP="00DA0659">
      <w:pPr>
        <w:pStyle w:val="Text"/>
        <w:tabs>
          <w:tab w:val="left" w:pos="567"/>
        </w:tabs>
        <w:spacing w:before="0" w:after="0" w:line="240" w:lineRule="auto"/>
        <w:ind w:left="0" w:right="0" w:firstLine="0"/>
        <w:rPr>
          <w:color w:val="auto"/>
          <w:sz w:val="22"/>
          <w:szCs w:val="22"/>
          <w:lang w:val="sr-Latn-ME"/>
        </w:rPr>
      </w:pPr>
    </w:p>
    <w:p w:rsidR="00DA0659" w:rsidRPr="0057682A" w:rsidRDefault="00DA0659" w:rsidP="00DA0659">
      <w:pPr>
        <w:autoSpaceDE w:val="0"/>
        <w:autoSpaceDN w:val="0"/>
        <w:adjustRightInd w:val="0"/>
        <w:jc w:val="both"/>
        <w:rPr>
          <w:i/>
          <w:iCs/>
          <w:szCs w:val="22"/>
          <w:u w:val="single"/>
          <w:lang w:val="sr-Latn-ME"/>
        </w:rPr>
      </w:pPr>
      <w:r w:rsidRPr="0057682A">
        <w:rPr>
          <w:i/>
          <w:iCs/>
          <w:szCs w:val="22"/>
          <w:u w:val="single"/>
          <w:lang w:val="sr-Latn-ME"/>
        </w:rPr>
        <w:t>Pedijatrijska populacija</w:t>
      </w:r>
    </w:p>
    <w:p w:rsidR="00DA0659" w:rsidRPr="0057682A" w:rsidRDefault="00DA0659" w:rsidP="00DA0659">
      <w:pPr>
        <w:pStyle w:val="BodyText2"/>
        <w:spacing w:line="240" w:lineRule="auto"/>
        <w:jc w:val="both"/>
        <w:rPr>
          <w:sz w:val="22"/>
          <w:szCs w:val="22"/>
          <w:lang w:val="sr-Latn-ME"/>
        </w:rPr>
      </w:pPr>
      <w:r w:rsidRPr="0057682A">
        <w:rPr>
          <w:sz w:val="22"/>
          <w:szCs w:val="22"/>
          <w:lang w:val="sr-Latn-ME"/>
        </w:rPr>
        <w:t>Ne preporučuje se davanje olanzapina djeci i adolescentima mlađim od 18 godina, zbog manjka podataka o bezbjednosti i efikasnosti. Primijećen je veći porast tjelesne težine, veće promjene lipida i prolaktina u kratkotrajnim studijama s bolesnicima mlađe generacije nego u studijama s odraslim bolesnicima (pogledajte poglavlja 4.4, 4.8. 5.1 i 5.2).</w:t>
      </w:r>
    </w:p>
    <w:p w:rsidR="00DA0659" w:rsidRPr="0057682A" w:rsidRDefault="00DA0659" w:rsidP="00DA0659">
      <w:pPr>
        <w:widowControl w:val="0"/>
        <w:jc w:val="both"/>
        <w:rPr>
          <w:szCs w:val="22"/>
          <w:lang w:val="sr-Latn-ME"/>
        </w:rPr>
      </w:pPr>
    </w:p>
    <w:p w:rsidR="00DA0659" w:rsidRPr="0057682A" w:rsidRDefault="00DA0659" w:rsidP="00DA0659">
      <w:pPr>
        <w:widowControl w:val="0"/>
        <w:jc w:val="both"/>
        <w:rPr>
          <w:szCs w:val="22"/>
          <w:lang w:val="sr-Latn-ME"/>
        </w:rPr>
      </w:pPr>
      <w:r w:rsidRPr="0057682A">
        <w:rPr>
          <w:b/>
          <w:szCs w:val="22"/>
          <w:lang w:val="sr-Latn-ME"/>
        </w:rPr>
        <w:t>4.3</w:t>
      </w:r>
      <w:r w:rsidRPr="0057682A">
        <w:rPr>
          <w:b/>
          <w:szCs w:val="22"/>
          <w:lang w:val="sr-Latn-ME"/>
        </w:rPr>
        <w:tab/>
        <w:t>Kontraindikacije</w:t>
      </w:r>
    </w:p>
    <w:p w:rsidR="00DA0659" w:rsidRPr="0057682A" w:rsidRDefault="00DA0659" w:rsidP="00DA0659">
      <w:pPr>
        <w:widowControl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Preosjetljivost na aktivnu supstancu ili bilo koju pomoćnu supstancu.</w:t>
      </w:r>
    </w:p>
    <w:p w:rsidR="00DA0659" w:rsidRPr="0057682A" w:rsidRDefault="00BE25B7" w:rsidP="00DA0659">
      <w:pPr>
        <w:autoSpaceDE w:val="0"/>
        <w:autoSpaceDN w:val="0"/>
        <w:adjustRightInd w:val="0"/>
        <w:jc w:val="both"/>
        <w:rPr>
          <w:szCs w:val="22"/>
          <w:lang w:val="sr-Latn-ME"/>
        </w:rPr>
      </w:pPr>
      <w:r w:rsidRPr="0057682A">
        <w:rPr>
          <w:szCs w:val="22"/>
          <w:lang w:val="sr-Latn-ME"/>
        </w:rPr>
        <w:t>Pacijenti</w:t>
      </w:r>
      <w:r w:rsidR="00DA0659" w:rsidRPr="0057682A">
        <w:rPr>
          <w:szCs w:val="22"/>
          <w:lang w:val="sr-Latn-ME"/>
        </w:rPr>
        <w:t xml:space="preserve"> s poznatim rizikom za glaukom uskog ugla.</w:t>
      </w:r>
    </w:p>
    <w:p w:rsidR="00DA0659" w:rsidRPr="0057682A" w:rsidRDefault="00DA0659" w:rsidP="00DA0659">
      <w:pPr>
        <w:widowControl w:val="0"/>
        <w:jc w:val="both"/>
        <w:rPr>
          <w:szCs w:val="22"/>
          <w:lang w:val="sr-Latn-ME"/>
        </w:rPr>
      </w:pPr>
    </w:p>
    <w:p w:rsidR="00DA0659" w:rsidRPr="0057682A" w:rsidRDefault="00DA0659" w:rsidP="00DA0659">
      <w:pPr>
        <w:widowControl w:val="0"/>
        <w:jc w:val="both"/>
        <w:rPr>
          <w:b/>
          <w:szCs w:val="22"/>
          <w:lang w:val="sr-Latn-ME"/>
        </w:rPr>
      </w:pPr>
      <w:r w:rsidRPr="0057682A">
        <w:rPr>
          <w:b/>
          <w:szCs w:val="22"/>
          <w:lang w:val="sr-Latn-ME"/>
        </w:rPr>
        <w:t>4.4</w:t>
      </w:r>
      <w:r w:rsidRPr="0057682A">
        <w:rPr>
          <w:b/>
          <w:szCs w:val="22"/>
          <w:lang w:val="sr-Latn-ME"/>
        </w:rPr>
        <w:tab/>
        <w:t>Posebna upozorenja i mjere opreza pri upotrebi lijeka</w:t>
      </w:r>
    </w:p>
    <w:p w:rsidR="00DA0659" w:rsidRPr="0057682A" w:rsidRDefault="00DA0659" w:rsidP="00DA0659">
      <w:pPr>
        <w:widowControl w:val="0"/>
        <w:jc w:val="both"/>
        <w:rPr>
          <w:b/>
          <w:szCs w:val="22"/>
          <w:lang w:val="sr-Latn-ME"/>
        </w:rPr>
      </w:pPr>
    </w:p>
    <w:p w:rsidR="00DA0659" w:rsidRPr="0057682A" w:rsidRDefault="0046453C" w:rsidP="00DA0659">
      <w:pPr>
        <w:autoSpaceDE w:val="0"/>
        <w:autoSpaceDN w:val="0"/>
        <w:adjustRightInd w:val="0"/>
        <w:jc w:val="both"/>
        <w:rPr>
          <w:szCs w:val="22"/>
          <w:lang w:val="sr-Latn-ME"/>
        </w:rPr>
      </w:pPr>
      <w:r w:rsidRPr="0057682A">
        <w:rPr>
          <w:szCs w:val="22"/>
          <w:lang w:val="sr-Latn-ME"/>
        </w:rPr>
        <w:t>Za poboljšanje pacijent</w:t>
      </w:r>
      <w:r w:rsidR="00DA0659" w:rsidRPr="0057682A">
        <w:rPr>
          <w:szCs w:val="22"/>
          <w:lang w:val="sr-Latn-ME"/>
        </w:rPr>
        <w:t xml:space="preserve">ovog kliničkog stanja tokom liječenja antipsihoticima potrebno je nekoliko dana do nekoliko nedjelja. Za to vrijeme treba pažljivo pratiti </w:t>
      </w:r>
      <w:r w:rsidR="00BE25B7" w:rsidRPr="0057682A">
        <w:rPr>
          <w:szCs w:val="22"/>
          <w:lang w:val="sr-Latn-ME"/>
        </w:rPr>
        <w:t>pacijenata</w:t>
      </w:r>
      <w:r w:rsidR="00DA0659" w:rsidRPr="0057682A">
        <w:rPr>
          <w:szCs w:val="22"/>
          <w:lang w:val="sr-Latn-ME"/>
        </w:rPr>
        <w:t>.</w:t>
      </w:r>
    </w:p>
    <w:p w:rsidR="00DA0659" w:rsidRPr="0057682A" w:rsidRDefault="00DA0659" w:rsidP="00DA0659">
      <w:pPr>
        <w:pStyle w:val="Heading2"/>
        <w:jc w:val="both"/>
        <w:rPr>
          <w:i/>
          <w:sz w:val="22"/>
          <w:szCs w:val="22"/>
          <w:u w:val="none"/>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Poremećaj ponašanja i/ili psihoza povezanih s demencijom</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Olanzapin nije namijenjen liječenju poremećaja ponašanja i/ili psihoza povezanih s demencijom te se ne preporučuje njegova primjena kod tih </w:t>
      </w:r>
      <w:r w:rsidR="00BE25B7" w:rsidRPr="0057682A">
        <w:rPr>
          <w:szCs w:val="22"/>
          <w:lang w:val="sr-Latn-ME"/>
        </w:rPr>
        <w:t>pacijenata</w:t>
      </w:r>
      <w:r w:rsidRPr="0057682A">
        <w:rPr>
          <w:szCs w:val="22"/>
          <w:lang w:val="sr-Latn-ME"/>
        </w:rPr>
        <w:t xml:space="preserve"> zbog rizika cerebrovaskulamog događaja i povećane smrtnosti. U kliničkim ispitivanjima uz kontrolu placebom (u trajanju od 6-12 nedjelja) kod starijih </w:t>
      </w:r>
      <w:r w:rsidR="00BE25B7" w:rsidRPr="0057682A">
        <w:rPr>
          <w:szCs w:val="22"/>
          <w:lang w:val="sr-Latn-ME"/>
        </w:rPr>
        <w:t>pacijenata</w:t>
      </w:r>
      <w:r w:rsidRPr="0057682A">
        <w:rPr>
          <w:szCs w:val="22"/>
          <w:lang w:val="sr-Latn-ME"/>
        </w:rPr>
        <w:t xml:space="preserve"> (prosječna starost 78 godina) sa psihozama i/ili poremećajima ponašanja zbog demencije, mortalitet je bio dvostruko veći u grupi </w:t>
      </w:r>
      <w:r w:rsidR="00BE25B7" w:rsidRPr="0057682A">
        <w:rPr>
          <w:szCs w:val="22"/>
          <w:lang w:val="sr-Latn-ME"/>
        </w:rPr>
        <w:t>pacijenata</w:t>
      </w:r>
      <w:r w:rsidRPr="0057682A">
        <w:rPr>
          <w:szCs w:val="22"/>
          <w:lang w:val="sr-Latn-ME"/>
        </w:rPr>
        <w:t xml:space="preserve"> koja je primala olanzapin nego kod </w:t>
      </w:r>
      <w:r w:rsidR="00BE25B7" w:rsidRPr="0057682A">
        <w:rPr>
          <w:szCs w:val="22"/>
          <w:lang w:val="sr-Latn-ME"/>
        </w:rPr>
        <w:t>pacijenata</w:t>
      </w:r>
      <w:r w:rsidRPr="0057682A">
        <w:rPr>
          <w:szCs w:val="22"/>
          <w:lang w:val="sr-Latn-ME"/>
        </w:rPr>
        <w:t xml:space="preserve"> koji su primali placebo (3,5 % prema 1,5 %).</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Do veće incidencije smrti nije došlo zbog doze olanzapina (prosječna dnevna doza 4,4 mg) niti zbog trajanja liječenja. Rizični faktori koji mogu djelovati predisponirajuće na povećanu smrtnost kod tih </w:t>
      </w:r>
      <w:r w:rsidR="00BE25B7" w:rsidRPr="0057682A">
        <w:rPr>
          <w:szCs w:val="22"/>
          <w:lang w:val="sr-Latn-ME"/>
        </w:rPr>
        <w:t>pacijenata</w:t>
      </w:r>
      <w:r w:rsidRPr="0057682A">
        <w:rPr>
          <w:szCs w:val="22"/>
          <w:lang w:val="sr-Latn-ME"/>
        </w:rPr>
        <w:t xml:space="preserve"> uključuju starost &gt; 65 godina, disfagiju, sedaciju, malnutriciju i dehidraciju, pulmonalno stanje (npr. pneumonija, sa ili bez aspiracije) ili istovremenu  primjenu benzodiazepina. Međutim, veća učestalost smrtnih ishoda kod </w:t>
      </w:r>
      <w:r w:rsidR="00BE25B7" w:rsidRPr="0057682A">
        <w:rPr>
          <w:szCs w:val="22"/>
          <w:lang w:val="sr-Latn-ME"/>
        </w:rPr>
        <w:t>pacijenata</w:t>
      </w:r>
      <w:r w:rsidRPr="0057682A">
        <w:rPr>
          <w:szCs w:val="22"/>
          <w:lang w:val="sr-Latn-ME"/>
        </w:rPr>
        <w:t xml:space="preserve"> liječenih olanzapinom u odnosu na one koji su primali placebo bila je nezavisna od navedenih rizičnih faktora.</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U istim kliničkim ispitivanjima zabilježeni su nepoželjni cerebrovaskularni događaji (CVAE, npr. moždani udar, tranzitorni ishemični napad) uključujući i smrtne ishode. Kod </w:t>
      </w:r>
      <w:r w:rsidR="00BE25B7" w:rsidRPr="0057682A">
        <w:rPr>
          <w:szCs w:val="22"/>
          <w:lang w:val="sr-Latn-ME"/>
        </w:rPr>
        <w:t>pacijenata</w:t>
      </w:r>
      <w:r w:rsidRPr="0057682A">
        <w:rPr>
          <w:szCs w:val="22"/>
          <w:lang w:val="sr-Latn-ME"/>
        </w:rPr>
        <w:t xml:space="preserve"> liječenih olanzapinom, incidencija CVAE bila je trostruko veća u upoređenju s bolesnicima koji su dobijali placebo (1,3 % vs. 0,4 %). Svi bolesnici, oni koji su liječeni olanzapinom kao i oni koji su primali placebo, a kod kojih je došlo do cerebrovaskularnog događaja imali su preegzistentne faktore rizika. Starost &gt;75 godina te vaskularni/miješani tip demencije prepoznati su kao faktori rizika za CVAE u liječenju olanzapinom. U spomenutim kliničkim  ispitivanjima, djelotvornost olanzapina nije dokazana. </w:t>
      </w:r>
    </w:p>
    <w:p w:rsidR="00231761" w:rsidRDefault="00231761" w:rsidP="00DA0659">
      <w:pPr>
        <w:pStyle w:val="Heading2"/>
        <w:jc w:val="both"/>
        <w:rPr>
          <w:i/>
          <w:sz w:val="22"/>
          <w:szCs w:val="22"/>
          <w:u w:val="none"/>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Parkinsonova bolest</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Kod </w:t>
      </w:r>
      <w:r w:rsidR="00BE25B7" w:rsidRPr="0057682A">
        <w:rPr>
          <w:szCs w:val="22"/>
          <w:lang w:val="sr-Latn-ME"/>
        </w:rPr>
        <w:t>pacijenata</w:t>
      </w:r>
      <w:r w:rsidRPr="0057682A">
        <w:rPr>
          <w:szCs w:val="22"/>
          <w:lang w:val="sr-Latn-ME"/>
        </w:rPr>
        <w:t xml:space="preserve"> s Parkinsonovom bolesti ne preporučuje se upotreba olanzapina u liječenju psihoza zbog dopaminskih agonista. U kliničkim  ispitivanjima izvještavali su o pogoršanju simptomatologije Parkinsonove bolesti veoma često  i češće nego uz primjenu placeba (pogledajte poglavlje 4.8). Olanzapin se nije pokazao djelotvornijim od placeba u liječenju psihotičkih simptoma. U tim ispitivanjima su bolesnici najprije stabilizovani najmanjom djelotvornom dozom antiparkinsonika (dopaminskih agonista), potom su tokom cijelog ispitivanja uzimali isti antiparkinsonik u istoj dozi. Početna doza olanzapina bila je 2,5 mg na dan i prema procjeni ispitivača titracijom povećana do najviše 15 mg na dan.</w:t>
      </w:r>
    </w:p>
    <w:p w:rsidR="00DA0659" w:rsidRPr="0057682A" w:rsidRDefault="00DA0659" w:rsidP="00DA0659">
      <w:pPr>
        <w:autoSpaceDE w:val="0"/>
        <w:autoSpaceDN w:val="0"/>
        <w:adjustRightInd w:val="0"/>
        <w:jc w:val="both"/>
        <w:rPr>
          <w:i/>
          <w:iCs/>
          <w:szCs w:val="22"/>
          <w:lang w:val="sr-Latn-ME"/>
        </w:rPr>
      </w:pPr>
    </w:p>
    <w:p w:rsidR="00DA0659" w:rsidRPr="0057682A" w:rsidRDefault="00DA0659" w:rsidP="00DA0659">
      <w:pPr>
        <w:autoSpaceDE w:val="0"/>
        <w:autoSpaceDN w:val="0"/>
        <w:adjustRightInd w:val="0"/>
        <w:jc w:val="both"/>
        <w:rPr>
          <w:b/>
          <w:i/>
          <w:iCs/>
          <w:szCs w:val="22"/>
          <w:lang w:val="sr-Latn-ME"/>
        </w:rPr>
      </w:pPr>
      <w:r w:rsidRPr="0057682A">
        <w:rPr>
          <w:b/>
          <w:i/>
          <w:iCs/>
          <w:szCs w:val="22"/>
          <w:lang w:val="sr-Latn-ME"/>
        </w:rPr>
        <w:t>Neuroleptički maligni sindrom (NMS)</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NMS je stanje potencijalno opasno za život koje se povezuje s primjenom antipsihotičkih lijekova. Rijetko su izvještavali o slučajevima NMS-a kod onih koji su ih primali zajedno s olanzapinom. Klinički znakovi NMS-a su povišena tjelesna temperatura, rigidnost mišića, promijenjeno duševno stanje i očigledna nestabilnost autonomnog nervnog sistema (nepravilan puls ili krvni pritisak, tahikardija, dijaforeza i srčane aritmije). Dodatni znakovi mogu biti povećana koncentracija kreatinfosfokinaze, mioglobinurija (rabdomioliza) i akutno zatajenje bubrega. Ako se kod </w:t>
      </w:r>
      <w:r w:rsidR="00BE25B7" w:rsidRPr="0057682A">
        <w:rPr>
          <w:szCs w:val="22"/>
          <w:lang w:val="sr-Latn-ME"/>
        </w:rPr>
        <w:t>pacijenata</w:t>
      </w:r>
      <w:r w:rsidRPr="0057682A">
        <w:rPr>
          <w:szCs w:val="22"/>
          <w:lang w:val="sr-Latn-ME"/>
        </w:rPr>
        <w:t xml:space="preserve"> razviju znakovi i simptomi koji ukazuju na NMS ili je prisutna neobjašnjiva temperatura bez dodatne kliničke manifestacije NMS-a, sve antipsihotike treba ukinuti, uključujući i olanzapin.</w:t>
      </w:r>
    </w:p>
    <w:p w:rsidR="00DA0659" w:rsidRPr="0057682A" w:rsidRDefault="00DA0659" w:rsidP="00DA0659">
      <w:pPr>
        <w:pStyle w:val="Heading2"/>
        <w:jc w:val="both"/>
        <w:rPr>
          <w:i/>
          <w:sz w:val="22"/>
          <w:szCs w:val="22"/>
          <w:u w:val="none"/>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Hiperglikemija</w:t>
      </w:r>
      <w:r w:rsidRPr="0057682A">
        <w:rPr>
          <w:sz w:val="22"/>
          <w:szCs w:val="22"/>
          <w:u w:val="none"/>
          <w:lang w:val="sr-Latn-ME"/>
        </w:rPr>
        <w:t xml:space="preserve"> </w:t>
      </w:r>
      <w:r w:rsidRPr="0057682A">
        <w:rPr>
          <w:i/>
          <w:sz w:val="22"/>
          <w:szCs w:val="22"/>
          <w:u w:val="none"/>
          <w:lang w:val="sr-Latn-ME"/>
        </w:rPr>
        <w:t>i šećerna bolest</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Rijetki su izvještaji o hiperglikemiji i/ili razvoju ili pogoršanju šećerne bolesti, povremeno s ketoacidozom ili komom, uključujući i nekoliko smrtnih ishoda </w:t>
      </w:r>
      <w:r w:rsidRPr="0057682A">
        <w:rPr>
          <w:b/>
          <w:bCs/>
          <w:szCs w:val="22"/>
          <w:lang w:val="sr-Latn-ME"/>
        </w:rPr>
        <w:t>(</w:t>
      </w:r>
      <w:r w:rsidRPr="0057682A">
        <w:rPr>
          <w:szCs w:val="22"/>
          <w:lang w:val="sr-Latn-ME"/>
        </w:rPr>
        <w:t>pogledajte poglavlje 4.8)</w:t>
      </w:r>
      <w:r w:rsidRPr="0057682A">
        <w:rPr>
          <w:i/>
          <w:iCs/>
          <w:szCs w:val="22"/>
          <w:lang w:val="sr-Latn-ME"/>
        </w:rPr>
        <w:t xml:space="preserve">. </w:t>
      </w:r>
      <w:r w:rsidRPr="0057682A">
        <w:rPr>
          <w:szCs w:val="22"/>
          <w:lang w:val="sr-Latn-ME"/>
        </w:rPr>
        <w:t>U nekim slučajevima je prijavljeno prethodno povećanje tjelesne težine koje može biti predisponirajući faktor. Preporučuje se odgovarajuće kliničko praćenje u skladu s prihvaćenim smjernicama antipsihotičkog liječenja, npr. određivanje početne vrijednosti glukoze u krvi, 12 nedjelja nakon početka liječenja olanzapi</w:t>
      </w:r>
      <w:r w:rsidR="0046453C" w:rsidRPr="0057682A">
        <w:rPr>
          <w:szCs w:val="22"/>
          <w:lang w:val="sr-Latn-ME"/>
        </w:rPr>
        <w:t>nom te zatim godišnje. Pacijente</w:t>
      </w:r>
      <w:r w:rsidRPr="0057682A">
        <w:rPr>
          <w:szCs w:val="22"/>
          <w:lang w:val="sr-Latn-ME"/>
        </w:rPr>
        <w:t xml:space="preserve"> koji se liječe bilo kojim antipsihotikom, uključujući lijek Zalasta, treba pažljivo pratiti zbog znakova i simptoma hiperglikemije (kao što su polidipsija, poliurija, po</w:t>
      </w:r>
      <w:r w:rsidR="0046453C" w:rsidRPr="0057682A">
        <w:rPr>
          <w:szCs w:val="22"/>
          <w:lang w:val="sr-Latn-ME"/>
        </w:rPr>
        <w:t>lifagija i slabost), a pacijente</w:t>
      </w:r>
      <w:r w:rsidRPr="0057682A">
        <w:rPr>
          <w:szCs w:val="22"/>
          <w:lang w:val="sr-Latn-ME"/>
        </w:rPr>
        <w:t xml:space="preserve"> s</w:t>
      </w:r>
      <w:r w:rsidR="0046453C" w:rsidRPr="0057682A">
        <w:rPr>
          <w:szCs w:val="22"/>
          <w:lang w:val="sr-Latn-ME"/>
        </w:rPr>
        <w:t>a</w:t>
      </w:r>
      <w:r w:rsidRPr="0057682A">
        <w:rPr>
          <w:szCs w:val="22"/>
          <w:lang w:val="sr-Latn-ME"/>
        </w:rPr>
        <w:t xml:space="preserve"> dijabetesom kao i one s visokim rizikom za razvoj dijabetesa treba </w:t>
      </w:r>
      <w:r w:rsidRPr="0057682A">
        <w:rPr>
          <w:szCs w:val="22"/>
          <w:lang w:val="sr-Latn-ME"/>
        </w:rPr>
        <w:lastRenderedPageBreak/>
        <w:t>redovno pratiti zbog pogoršanja kontrolnih vrijednosti glukoze. Tjelesnu težinu treba redovno mjeriti, npr. referentnu vrijednost, 4,8 i 12 nedjelja nakon početka liječenja olanzapinom te zatim tromjesečno.</w:t>
      </w:r>
    </w:p>
    <w:p w:rsidR="00DA0659" w:rsidRPr="0057682A" w:rsidRDefault="00DA0659" w:rsidP="00DA0659">
      <w:pPr>
        <w:pStyle w:val="Heading2"/>
        <w:jc w:val="both"/>
        <w:rPr>
          <w:i/>
          <w:sz w:val="22"/>
          <w:szCs w:val="22"/>
          <w:u w:val="none"/>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Promjene nivoa lipida</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Nepoželjne promjene nivoa lipida primijećene su kod </w:t>
      </w:r>
      <w:r w:rsidR="00BE25B7" w:rsidRPr="0057682A">
        <w:rPr>
          <w:szCs w:val="22"/>
          <w:lang w:val="sr-Latn-ME"/>
        </w:rPr>
        <w:t>pacijenata</w:t>
      </w:r>
      <w:r w:rsidRPr="0057682A">
        <w:rPr>
          <w:szCs w:val="22"/>
          <w:lang w:val="sr-Latn-ME"/>
        </w:rPr>
        <w:t xml:space="preserve"> liječenih olanzapinom u placebo kontrolisanim kliničkim ispitivanjima (pogledajte poglavlje 4.8). Promjene nivoa lipida treba liječiti, posebno kod </w:t>
      </w:r>
      <w:r w:rsidR="00BE25B7" w:rsidRPr="0057682A">
        <w:rPr>
          <w:szCs w:val="22"/>
          <w:lang w:val="sr-Latn-ME"/>
        </w:rPr>
        <w:t>pacijenata</w:t>
      </w:r>
      <w:r w:rsidRPr="0057682A">
        <w:rPr>
          <w:szCs w:val="22"/>
          <w:lang w:val="sr-Latn-ME"/>
        </w:rPr>
        <w:t xml:space="preserve"> s dislipidemijom ili rizikom razvoja poremećaja lipida. Bolesnicima liječenim antipsihoticima, uključujući i lijek Zalasta, nivo lipida treba redovno pratiti u skladu sa smjernicama za liječenje psihoza, npr. referentnu vrijednost, 12 nedjelja nakon početka liječenja olanzapinom i svakih 5 godina.</w:t>
      </w:r>
    </w:p>
    <w:p w:rsidR="00DA0659" w:rsidRPr="0057682A" w:rsidRDefault="00DA0659" w:rsidP="00DA0659">
      <w:pPr>
        <w:pStyle w:val="Heading2"/>
        <w:jc w:val="both"/>
        <w:rPr>
          <w:i/>
          <w:sz w:val="22"/>
          <w:szCs w:val="22"/>
          <w:u w:val="none"/>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Antikolinergička aktivnost</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Iako je olanzapin </w:t>
      </w:r>
      <w:r w:rsidRPr="0057682A">
        <w:rPr>
          <w:i/>
          <w:iCs/>
          <w:szCs w:val="22"/>
          <w:lang w:val="sr-Latn-ME"/>
        </w:rPr>
        <w:t>in vitro</w:t>
      </w:r>
      <w:r w:rsidRPr="0057682A">
        <w:rPr>
          <w:szCs w:val="22"/>
          <w:lang w:val="sr-Latn-ME"/>
        </w:rPr>
        <w:t xml:space="preserve"> djelovao antikolinergički, iskustva u kliničkim ispitivanjima pokazala su rijetku incidenciju događaja povezanih s tom aktivnosti. Budući da su klinička iskustva s olanzapinom kod </w:t>
      </w:r>
      <w:r w:rsidR="00BE25B7" w:rsidRPr="0057682A">
        <w:rPr>
          <w:szCs w:val="22"/>
          <w:lang w:val="sr-Latn-ME"/>
        </w:rPr>
        <w:t>pacijenata</w:t>
      </w:r>
      <w:r w:rsidRPr="0057682A">
        <w:rPr>
          <w:szCs w:val="22"/>
          <w:lang w:val="sr-Latn-ME"/>
        </w:rPr>
        <w:t xml:space="preserve"> s istovremenom bolesti ograničena, savjetuje se oprez kod propisivanja lijeka bolesnicima s hipertrofijom prostate ili paralitičkim ileusom i time povezanim stanjima.  </w:t>
      </w:r>
    </w:p>
    <w:p w:rsidR="00DA0659" w:rsidRPr="0057682A" w:rsidRDefault="00DA0659" w:rsidP="00DA0659">
      <w:pPr>
        <w:pStyle w:val="Heading2"/>
        <w:jc w:val="both"/>
        <w:rPr>
          <w:i/>
          <w:sz w:val="22"/>
          <w:szCs w:val="22"/>
          <w:u w:val="none"/>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Funkcija jetre</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Povremeno je zapažen prolazni, asimptomatski porast jetrenih aminotransferaza, ALT, AST, posebno na početku liječenja. Potreban je oprez i dalje praćenje </w:t>
      </w:r>
      <w:r w:rsidR="00BE25B7" w:rsidRPr="0057682A">
        <w:rPr>
          <w:szCs w:val="22"/>
          <w:lang w:val="sr-Latn-ME"/>
        </w:rPr>
        <w:t>pacijenata</w:t>
      </w:r>
      <w:r w:rsidRPr="0057682A">
        <w:rPr>
          <w:szCs w:val="22"/>
          <w:lang w:val="sr-Latn-ME"/>
        </w:rPr>
        <w:t xml:space="preserve"> s povišenim ALT i/ili AST, </w:t>
      </w:r>
      <w:r w:rsidR="00BE25B7" w:rsidRPr="0057682A">
        <w:rPr>
          <w:szCs w:val="22"/>
          <w:lang w:val="sr-Latn-ME"/>
        </w:rPr>
        <w:t>pacijenata</w:t>
      </w:r>
      <w:r w:rsidRPr="0057682A">
        <w:rPr>
          <w:szCs w:val="22"/>
          <w:lang w:val="sr-Latn-ME"/>
        </w:rPr>
        <w:t xml:space="preserve"> sa znacima i simptomima narušene funkcije jetre, </w:t>
      </w:r>
      <w:r w:rsidR="00BE25B7" w:rsidRPr="0057682A">
        <w:rPr>
          <w:szCs w:val="22"/>
          <w:lang w:val="sr-Latn-ME"/>
        </w:rPr>
        <w:t>pacijenata</w:t>
      </w:r>
      <w:r w:rsidRPr="0057682A">
        <w:rPr>
          <w:szCs w:val="22"/>
          <w:lang w:val="sr-Latn-ME"/>
        </w:rPr>
        <w:t xml:space="preserve"> s već postojećim stanjima koja mogu ograničiti jetrenu funkcijsku rezervu i </w:t>
      </w:r>
      <w:r w:rsidR="00BE25B7" w:rsidRPr="0057682A">
        <w:rPr>
          <w:szCs w:val="22"/>
          <w:lang w:val="sr-Latn-ME"/>
        </w:rPr>
        <w:t>pacijenata</w:t>
      </w:r>
      <w:r w:rsidRPr="0057682A">
        <w:rPr>
          <w:szCs w:val="22"/>
          <w:lang w:val="sr-Latn-ME"/>
        </w:rPr>
        <w:t xml:space="preserve"> koji su liječeni potencijalno hepatotoksičnim lijekovima. Dođe li tokom liječenja do porasta ALT i/ili AST, </w:t>
      </w:r>
      <w:r w:rsidR="00BE25B7" w:rsidRPr="0057682A">
        <w:rPr>
          <w:szCs w:val="22"/>
          <w:lang w:val="sr-Latn-ME"/>
        </w:rPr>
        <w:t>pacijenata</w:t>
      </w:r>
      <w:r w:rsidRPr="0057682A">
        <w:rPr>
          <w:szCs w:val="22"/>
          <w:lang w:val="sr-Latn-ME"/>
        </w:rPr>
        <w:t xml:space="preserve"> treba pratiti i razmotriti mogućnost smanjivanja doze. Liječenje olanzapinom treba prekinuti u slučajevima kad je dijagnostikovan hepatitis (uključujući hepatocelularnu, holestatsku ili mješovitu upalu jetre). </w:t>
      </w:r>
    </w:p>
    <w:p w:rsidR="00DA0659" w:rsidRPr="0057682A" w:rsidRDefault="00DA0659" w:rsidP="00DA0659">
      <w:pPr>
        <w:pStyle w:val="Heading2"/>
        <w:jc w:val="both"/>
        <w:rPr>
          <w:i/>
          <w:sz w:val="22"/>
          <w:szCs w:val="22"/>
          <w:u w:val="none"/>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Neutropenija</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Oprez je potreban kod </w:t>
      </w:r>
      <w:r w:rsidR="00BE25B7" w:rsidRPr="0057682A">
        <w:rPr>
          <w:szCs w:val="22"/>
          <w:lang w:val="sr-Latn-ME"/>
        </w:rPr>
        <w:t>pacijenata</w:t>
      </w:r>
      <w:r w:rsidRPr="0057682A">
        <w:rPr>
          <w:szCs w:val="22"/>
          <w:lang w:val="sr-Latn-ME"/>
        </w:rPr>
        <w:t xml:space="preserve"> s niskim brojem leukocita i/ili neutrofila iz bilo kojeg razloga, kod </w:t>
      </w:r>
      <w:r w:rsidR="00BE25B7" w:rsidRPr="0057682A">
        <w:rPr>
          <w:szCs w:val="22"/>
          <w:lang w:val="sr-Latn-ME"/>
        </w:rPr>
        <w:t>pacijenata</w:t>
      </w:r>
      <w:r w:rsidRPr="0057682A">
        <w:rPr>
          <w:szCs w:val="22"/>
          <w:lang w:val="sr-Latn-ME"/>
        </w:rPr>
        <w:t xml:space="preserve"> koji uzimaju lijekove koji izazivaju neutropeniju, kod </w:t>
      </w:r>
      <w:r w:rsidR="00BE25B7" w:rsidRPr="0057682A">
        <w:rPr>
          <w:szCs w:val="22"/>
          <w:lang w:val="sr-Latn-ME"/>
        </w:rPr>
        <w:t>pacijenata</w:t>
      </w:r>
      <w:r w:rsidRPr="0057682A">
        <w:rPr>
          <w:szCs w:val="22"/>
          <w:lang w:val="sr-Latn-ME"/>
        </w:rPr>
        <w:t xml:space="preserve"> s anamnezom supresije/toksičnosti koštane srži uzrokovane lijekovima, kod </w:t>
      </w:r>
      <w:r w:rsidR="00BE25B7" w:rsidRPr="0057682A">
        <w:rPr>
          <w:szCs w:val="22"/>
          <w:lang w:val="sr-Latn-ME"/>
        </w:rPr>
        <w:t>pacijenata</w:t>
      </w:r>
      <w:r w:rsidRPr="0057682A">
        <w:rPr>
          <w:szCs w:val="22"/>
          <w:lang w:val="sr-Latn-ME"/>
        </w:rPr>
        <w:t xml:space="preserve"> sa supresijom koštane srži prouzrokovane istovremenom bolešću, radio terapijom ili hemoterapijom i kod </w:t>
      </w:r>
      <w:r w:rsidR="00BE25B7" w:rsidRPr="0057682A">
        <w:rPr>
          <w:szCs w:val="22"/>
          <w:lang w:val="sr-Latn-ME"/>
        </w:rPr>
        <w:t>pacijenata</w:t>
      </w:r>
      <w:r w:rsidRPr="0057682A">
        <w:rPr>
          <w:szCs w:val="22"/>
          <w:lang w:val="sr-Latn-ME"/>
        </w:rPr>
        <w:t xml:space="preserve"> s hipereozinofilnim stanjima ili mijeloproliferativnom bolešću. Neutropenija je često zabilježena kod istovremene primjene olanzapina i valproata (pogledajte poglavlje 4.8).</w:t>
      </w:r>
    </w:p>
    <w:p w:rsidR="00DA0659" w:rsidRPr="0057682A" w:rsidRDefault="00DA0659" w:rsidP="00DA0659">
      <w:pPr>
        <w:autoSpaceDE w:val="0"/>
        <w:autoSpaceDN w:val="0"/>
        <w:adjustRightInd w:val="0"/>
        <w:jc w:val="both"/>
        <w:rPr>
          <w:i/>
          <w:iCs/>
          <w:szCs w:val="22"/>
          <w:u w:val="single"/>
          <w:lang w:val="sr-Latn-ME"/>
        </w:rPr>
      </w:pPr>
    </w:p>
    <w:p w:rsidR="00DA0659" w:rsidRPr="0057682A" w:rsidRDefault="00DA0659" w:rsidP="00DA0659">
      <w:pPr>
        <w:autoSpaceDE w:val="0"/>
        <w:autoSpaceDN w:val="0"/>
        <w:adjustRightInd w:val="0"/>
        <w:jc w:val="both"/>
        <w:rPr>
          <w:b/>
          <w:i/>
          <w:iCs/>
          <w:szCs w:val="22"/>
          <w:lang w:val="sr-Latn-ME"/>
        </w:rPr>
      </w:pPr>
      <w:r w:rsidRPr="0057682A">
        <w:rPr>
          <w:b/>
          <w:i/>
          <w:iCs/>
          <w:szCs w:val="22"/>
          <w:lang w:val="sr-Latn-ME"/>
        </w:rPr>
        <w:t>Prekid liječenja</w:t>
      </w:r>
    </w:p>
    <w:p w:rsidR="00DA0659" w:rsidRPr="0057682A" w:rsidRDefault="00DA0659" w:rsidP="00DA0659">
      <w:pPr>
        <w:autoSpaceDE w:val="0"/>
        <w:autoSpaceDN w:val="0"/>
        <w:adjustRightInd w:val="0"/>
        <w:jc w:val="both"/>
        <w:rPr>
          <w:szCs w:val="22"/>
          <w:lang w:val="sr-Latn-ME"/>
        </w:rPr>
      </w:pPr>
      <w:r w:rsidRPr="0057682A">
        <w:rPr>
          <w:szCs w:val="22"/>
          <w:lang w:val="sr-Latn-ME"/>
        </w:rPr>
        <w:t>Rijetko ((≥ 0.01 % i &lt; 0,01 %) su izvještavali o akutnim simptomima poput znojenja, nesanice, tremora, anksioznosti, mučnine ili povraćanja kad je naglo prekinuto davanje olanzapina.</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QT-interval</w:t>
      </w:r>
    </w:p>
    <w:p w:rsidR="00DA0659" w:rsidRPr="0057682A" w:rsidRDefault="00DA0659" w:rsidP="00DA0659">
      <w:pPr>
        <w:pStyle w:val="BodyText2"/>
        <w:spacing w:line="240" w:lineRule="auto"/>
        <w:jc w:val="both"/>
        <w:rPr>
          <w:sz w:val="22"/>
          <w:szCs w:val="22"/>
          <w:lang w:val="sr-Latn-ME"/>
        </w:rPr>
      </w:pPr>
      <w:r w:rsidRPr="0057682A">
        <w:rPr>
          <w:sz w:val="22"/>
          <w:szCs w:val="22"/>
          <w:lang w:val="sr-Latn-ME"/>
        </w:rPr>
        <w:t xml:space="preserve">U kliničkim ispitivanjima, klinički značajno QTc produženje (Fridericia QT correction [QTcF] ≥500 milisekunda [msec] u bilo koje vrijeme nakon početka ispitivanja, bilo je kod </w:t>
      </w:r>
      <w:r w:rsidR="00BE25B7" w:rsidRPr="0057682A">
        <w:rPr>
          <w:sz w:val="22"/>
          <w:szCs w:val="22"/>
          <w:lang w:val="sr-Latn-ME"/>
        </w:rPr>
        <w:t>pacijenata</w:t>
      </w:r>
      <w:r w:rsidRPr="0057682A">
        <w:rPr>
          <w:sz w:val="22"/>
          <w:szCs w:val="22"/>
          <w:lang w:val="sr-Latn-ME"/>
        </w:rPr>
        <w:t xml:space="preserve"> s početnom vrijednosti QTcF &lt; 500 msec) i liječenih olanzapinom, povremeno (0,1 % do 1 %), bez signifikantnih razlika u srčanim incidentima u upoređenju s onima koji su primali placebo. Zato olanzapin, kao i druge antipsihotike, treba oprezno propisivati s lijekovima za koje je poznato da produžuju QT-interval, posebno starijim bolesnicima, bolesnicima s urođenim sindromom dugog QT-intervala, kongestivnim srčanim zatajivanjem, srčanom hipertrofijom, hipokalijemijom ili hipomagnezijemijom.</w:t>
      </w:r>
    </w:p>
    <w:p w:rsidR="00DA0659" w:rsidRPr="0057682A" w:rsidRDefault="00DA0659" w:rsidP="00DA0659">
      <w:pPr>
        <w:pStyle w:val="Heading2"/>
        <w:jc w:val="both"/>
        <w:rPr>
          <w:i/>
          <w:iCs/>
          <w:sz w:val="22"/>
          <w:szCs w:val="22"/>
          <w:u w:val="none"/>
          <w:lang w:val="sr-Latn-ME"/>
        </w:rPr>
      </w:pPr>
      <w:r w:rsidRPr="0057682A">
        <w:rPr>
          <w:i/>
          <w:sz w:val="22"/>
          <w:szCs w:val="22"/>
          <w:u w:val="none"/>
          <w:lang w:val="sr-Latn-ME"/>
        </w:rPr>
        <w:t>Tromboembolija</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Povremeno (≥ 0,1 % i &lt; 1 %) su izvještavali o vezi između liječenja olanzapinom i venske tromboembolije. Još nije ustanovljena uzročna povezanost između pojave venske tromboembolije i liječenja olanzapinom. Budući da su kod </w:t>
      </w:r>
      <w:r w:rsidR="00BE25B7" w:rsidRPr="0057682A">
        <w:rPr>
          <w:szCs w:val="22"/>
          <w:lang w:val="sr-Latn-ME"/>
        </w:rPr>
        <w:t>pacijenata</w:t>
      </w:r>
      <w:r w:rsidRPr="0057682A">
        <w:rPr>
          <w:szCs w:val="22"/>
          <w:lang w:val="sr-Latn-ME"/>
        </w:rPr>
        <w:t xml:space="preserve"> sa šizofrenijom često prisutni faktori rizika za </w:t>
      </w:r>
      <w:r w:rsidRPr="0057682A">
        <w:rPr>
          <w:szCs w:val="22"/>
          <w:lang w:val="sr-Latn-ME"/>
        </w:rPr>
        <w:lastRenderedPageBreak/>
        <w:t xml:space="preserve">nastanak tromboembolije, kao što je npr. imobilizacija </w:t>
      </w:r>
      <w:r w:rsidR="00BE25B7" w:rsidRPr="0057682A">
        <w:rPr>
          <w:szCs w:val="22"/>
          <w:lang w:val="sr-Latn-ME"/>
        </w:rPr>
        <w:t>pacijenata</w:t>
      </w:r>
      <w:r w:rsidRPr="0057682A">
        <w:rPr>
          <w:szCs w:val="22"/>
          <w:lang w:val="sr-Latn-ME"/>
        </w:rPr>
        <w:t>, potrebno je utvrditi njihovo prisustvo i poduzeti sve preventivne mjere.</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b/>
          <w:i/>
          <w:iCs/>
          <w:szCs w:val="22"/>
          <w:lang w:val="sr-Latn-ME"/>
        </w:rPr>
      </w:pPr>
      <w:r w:rsidRPr="0057682A">
        <w:rPr>
          <w:b/>
          <w:i/>
          <w:iCs/>
          <w:szCs w:val="22"/>
          <w:lang w:val="sr-Latn-ME"/>
        </w:rPr>
        <w:t>Opšta aktivnost centralnog nervnog sistema (CNS)</w:t>
      </w:r>
    </w:p>
    <w:p w:rsidR="00DA0659" w:rsidRPr="0057682A" w:rsidRDefault="00DA0659" w:rsidP="00DA0659">
      <w:pPr>
        <w:autoSpaceDE w:val="0"/>
        <w:autoSpaceDN w:val="0"/>
        <w:adjustRightInd w:val="0"/>
        <w:jc w:val="both"/>
        <w:rPr>
          <w:szCs w:val="22"/>
          <w:lang w:val="sr-Latn-ME"/>
        </w:rPr>
      </w:pPr>
      <w:r w:rsidRPr="0057682A">
        <w:rPr>
          <w:szCs w:val="22"/>
          <w:lang w:val="sr-Latn-ME"/>
        </w:rPr>
        <w:t>Uzimajući u obzir primarno djelovanje olanzapina na centralni nervni sistem (</w:t>
      </w:r>
      <w:r w:rsidRPr="0057682A">
        <w:rPr>
          <w:i/>
          <w:iCs/>
          <w:szCs w:val="22"/>
          <w:u w:val="single"/>
          <w:lang w:val="sr-Latn-ME"/>
        </w:rPr>
        <w:t>CNS</w:t>
      </w:r>
      <w:r w:rsidRPr="0057682A">
        <w:rPr>
          <w:szCs w:val="22"/>
          <w:lang w:val="sr-Latn-ME"/>
        </w:rPr>
        <w:t xml:space="preserve">), potreban je dodatan oprez kad se olanzapin uzima u kombinaciji s drugim lijekovima koji imaju centralno dejstvo, uključujući i alkohol. Budući da </w:t>
      </w:r>
      <w:r w:rsidRPr="0057682A">
        <w:rPr>
          <w:i/>
          <w:iCs/>
          <w:szCs w:val="22"/>
          <w:lang w:val="sr-Latn-ME"/>
        </w:rPr>
        <w:t xml:space="preserve">in vitro </w:t>
      </w:r>
      <w:r w:rsidRPr="0057682A">
        <w:rPr>
          <w:szCs w:val="22"/>
          <w:lang w:val="sr-Latn-ME"/>
        </w:rPr>
        <w:t>pokazuje dopaminsko antagonističko djelovanje, olanzapin može djelovati antagonistički na direktne i indirektne agoniste dopamina.</w:t>
      </w:r>
    </w:p>
    <w:p w:rsidR="00DA0659" w:rsidRPr="0057682A" w:rsidRDefault="00DA0659" w:rsidP="00DA0659">
      <w:pPr>
        <w:pStyle w:val="Heading2"/>
        <w:jc w:val="both"/>
        <w:rPr>
          <w:i/>
          <w:sz w:val="22"/>
          <w:szCs w:val="22"/>
          <w:u w:val="none"/>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Konvulzije</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Olanzapin se treba primjenjivati oprezno kod </w:t>
      </w:r>
      <w:r w:rsidR="00BE25B7" w:rsidRPr="0057682A">
        <w:rPr>
          <w:szCs w:val="22"/>
          <w:lang w:val="sr-Latn-ME"/>
        </w:rPr>
        <w:t>pacijenata</w:t>
      </w:r>
      <w:r w:rsidRPr="0057682A">
        <w:rPr>
          <w:szCs w:val="22"/>
          <w:lang w:val="sr-Latn-ME"/>
        </w:rPr>
        <w:t xml:space="preserve"> koji u anamnezi imaju konvulzije ili su podložni faktorima koji mogu sniziti prag za njihov nastanak. Rijetko su izvještavali o konvulzijama kod </w:t>
      </w:r>
      <w:r w:rsidR="00BE25B7" w:rsidRPr="0057682A">
        <w:rPr>
          <w:szCs w:val="22"/>
          <w:lang w:val="sr-Latn-ME"/>
        </w:rPr>
        <w:t>pacijenata</w:t>
      </w:r>
      <w:r w:rsidRPr="0057682A">
        <w:rPr>
          <w:szCs w:val="22"/>
          <w:lang w:val="sr-Latn-ME"/>
        </w:rPr>
        <w:t xml:space="preserve"> liječenih olanzapinom. U većini slučajeva radilo se o konvulzijama u anamnezi ili faktorima rizika za konvulzije. </w:t>
      </w:r>
    </w:p>
    <w:p w:rsidR="00DA0659" w:rsidRPr="0057682A" w:rsidRDefault="00DA0659" w:rsidP="00DA0659">
      <w:pPr>
        <w:pStyle w:val="Heading2"/>
        <w:jc w:val="both"/>
        <w:rPr>
          <w:i/>
          <w:sz w:val="22"/>
          <w:szCs w:val="22"/>
          <w:u w:val="none"/>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Tardivna diskinezija</w:t>
      </w:r>
    </w:p>
    <w:p w:rsidR="00DA0659" w:rsidRPr="0057682A" w:rsidRDefault="00DA0659" w:rsidP="00DA0659">
      <w:pPr>
        <w:jc w:val="both"/>
        <w:rPr>
          <w:szCs w:val="22"/>
          <w:lang w:val="sr-Latn-ME"/>
        </w:rPr>
      </w:pPr>
      <w:r w:rsidRPr="0057682A">
        <w:rPr>
          <w:szCs w:val="22"/>
          <w:lang w:val="sr-Latn-ME"/>
        </w:rPr>
        <w:t xml:space="preserve">U komparativnim ispitivanjima koja su trajala jednu godinu ili manje, olanzapin je povezivan sa značajno manjom incidencijom tardivne diskinezije koju je trebalo liječiti. Budući da rizik za pojavu tardivne diskinezije raste s dužinom primjene lijeka, potrebno je razmotriti mogućnost smanjenja doze ili prekida uzimanja lijeka ako se kod </w:t>
      </w:r>
      <w:r w:rsidR="00BE25B7" w:rsidRPr="0057682A">
        <w:rPr>
          <w:szCs w:val="22"/>
          <w:lang w:val="sr-Latn-ME"/>
        </w:rPr>
        <w:t>pacijenata</w:t>
      </w:r>
      <w:r w:rsidRPr="0057682A">
        <w:rPr>
          <w:szCs w:val="22"/>
          <w:lang w:val="sr-Latn-ME"/>
        </w:rPr>
        <w:t xml:space="preserve"> koji se liječi olanzapinom pojave znakovi ili simptomi tardivne diskinezije. Simptomi tardivne diskinezije mogu se vremenom pogoršati te pojaviti čak i nakon prekida liječenja.</w:t>
      </w:r>
    </w:p>
    <w:p w:rsidR="00DA0659" w:rsidRPr="0057682A" w:rsidRDefault="00DA0659" w:rsidP="00DA0659">
      <w:pPr>
        <w:pStyle w:val="Heading2"/>
        <w:jc w:val="both"/>
        <w:rPr>
          <w:i/>
          <w:sz w:val="22"/>
          <w:szCs w:val="22"/>
          <w:u w:val="none"/>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Ortostatska hipotenzija</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U kliničkim ispitivanjima s olanzapinom, posturalna hipotenzija je rijetko zabilježena kod starijih </w:t>
      </w:r>
      <w:r w:rsidR="00BE25B7" w:rsidRPr="0057682A">
        <w:rPr>
          <w:szCs w:val="22"/>
          <w:lang w:val="sr-Latn-ME"/>
        </w:rPr>
        <w:t>pacijenata</w:t>
      </w:r>
      <w:r w:rsidRPr="0057682A">
        <w:rPr>
          <w:szCs w:val="22"/>
          <w:lang w:val="sr-Latn-ME"/>
        </w:rPr>
        <w:t xml:space="preserve">. Kao i kod drugih antipsihotika, preporučuje se periodičko mjerenje krvnog pritiska kod </w:t>
      </w:r>
      <w:r w:rsidR="00BE25B7" w:rsidRPr="0057682A">
        <w:rPr>
          <w:szCs w:val="22"/>
          <w:lang w:val="sr-Latn-ME"/>
        </w:rPr>
        <w:t>pacijenata</w:t>
      </w:r>
      <w:r w:rsidRPr="0057682A">
        <w:rPr>
          <w:szCs w:val="22"/>
          <w:lang w:val="sr-Latn-ME"/>
        </w:rPr>
        <w:t xml:space="preserve"> starijih od 65 godina.</w:t>
      </w:r>
    </w:p>
    <w:p w:rsidR="00DA0659" w:rsidRPr="0057682A" w:rsidRDefault="00DA0659" w:rsidP="00DA0659">
      <w:pPr>
        <w:pStyle w:val="Heading2"/>
        <w:jc w:val="both"/>
        <w:rPr>
          <w:sz w:val="22"/>
          <w:szCs w:val="22"/>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Nagla srčana smrt</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Postmarketintiški podaci o olanzapinu govore o slučajevima nagle srčane smrti kod </w:t>
      </w:r>
      <w:r w:rsidR="00BE25B7" w:rsidRPr="0057682A">
        <w:rPr>
          <w:szCs w:val="22"/>
          <w:lang w:val="sr-Latn-ME"/>
        </w:rPr>
        <w:t>pacijenata</w:t>
      </w:r>
      <w:r w:rsidRPr="0057682A">
        <w:rPr>
          <w:szCs w:val="22"/>
          <w:lang w:val="sr-Latn-ME"/>
        </w:rPr>
        <w:t xml:space="preserve"> liječenih olanzapinom. U retrospektivnoj opservacijskoj kohortnoj  studiji, rizik od pretpostavljene nagle srčane smrti bio je otprilike dvostruko veći kod  </w:t>
      </w:r>
      <w:r w:rsidR="00BE25B7" w:rsidRPr="0057682A">
        <w:rPr>
          <w:szCs w:val="22"/>
          <w:lang w:val="sr-Latn-ME"/>
        </w:rPr>
        <w:t>pacijenata</w:t>
      </w:r>
      <w:r w:rsidRPr="0057682A">
        <w:rPr>
          <w:szCs w:val="22"/>
          <w:lang w:val="sr-Latn-ME"/>
        </w:rPr>
        <w:t xml:space="preserve"> koji su uzimali olanzapin od onih koji nisu uzimali antipsihotike. U ispitivanju je rizik zbog olanzapina bio uporediv s rizikom kod atipičnih antipsihotika, uključenih u zajedničku analizu.</w:t>
      </w:r>
    </w:p>
    <w:p w:rsidR="00DA0659" w:rsidRPr="0057682A" w:rsidRDefault="00DA0659" w:rsidP="00DA0659">
      <w:pPr>
        <w:pStyle w:val="Heading2"/>
        <w:jc w:val="both"/>
        <w:rPr>
          <w:i/>
          <w:sz w:val="22"/>
          <w:szCs w:val="22"/>
          <w:u w:val="none"/>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Pedijatrijska populacija</w:t>
      </w:r>
    </w:p>
    <w:p w:rsidR="00DA0659" w:rsidRPr="0057682A" w:rsidRDefault="00DA0659" w:rsidP="00DA0659">
      <w:pPr>
        <w:autoSpaceDE w:val="0"/>
        <w:autoSpaceDN w:val="0"/>
        <w:adjustRightInd w:val="0"/>
        <w:jc w:val="both"/>
        <w:rPr>
          <w:szCs w:val="22"/>
          <w:lang w:val="sr-Latn-ME"/>
        </w:rPr>
      </w:pPr>
      <w:r w:rsidRPr="0057682A">
        <w:rPr>
          <w:szCs w:val="22"/>
          <w:lang w:val="sr-Latn-ME"/>
        </w:rPr>
        <w:t>Olanzapin nije namijenjen za upotrebu u liječenju djece i adolescenata. Klinička ispitivanja s bolesnicima starosti od 13 - 17 godina pokazala su različita neželjena dejstva, uključujući porast tjelesne mase, promjene metaboličkih parametara i povećanje nivoa prolaktina (pogledajte poglavlja 4.8 i 5.1).</w:t>
      </w:r>
    </w:p>
    <w:p w:rsidR="00DA0659" w:rsidRPr="0057682A" w:rsidRDefault="00DA0659" w:rsidP="00DA0659">
      <w:pPr>
        <w:pStyle w:val="Heading2"/>
        <w:jc w:val="both"/>
        <w:rPr>
          <w:i/>
          <w:sz w:val="22"/>
          <w:szCs w:val="22"/>
          <w:u w:val="none"/>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Posebne informacije o nekim sastojcima lijeka</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Zalasta tablete sadrže laktozu. Bolesnici s rijetkom nasljednom intolerancijom na galaktozu, Lappovim oblikom smanjene aktivnosti laktaze ili malapsorpcijom glukoze/galaktoze ne smiju uzimati ovaj lijek.  </w:t>
      </w:r>
    </w:p>
    <w:p w:rsidR="00DA0659" w:rsidRPr="0057682A" w:rsidRDefault="00DA0659" w:rsidP="00DA0659">
      <w:pPr>
        <w:widowControl w:val="0"/>
        <w:jc w:val="both"/>
        <w:rPr>
          <w:szCs w:val="22"/>
          <w:lang w:val="sr-Latn-ME"/>
        </w:rPr>
      </w:pPr>
    </w:p>
    <w:p w:rsidR="00DA0659" w:rsidRPr="0057682A" w:rsidRDefault="00DA0659" w:rsidP="00DA0659">
      <w:pPr>
        <w:widowControl w:val="0"/>
        <w:ind w:left="567" w:hanging="567"/>
        <w:jc w:val="both"/>
        <w:outlineLvl w:val="0"/>
        <w:rPr>
          <w:b/>
          <w:szCs w:val="22"/>
          <w:lang w:val="sr-Latn-ME"/>
        </w:rPr>
      </w:pPr>
      <w:r w:rsidRPr="0057682A">
        <w:rPr>
          <w:b/>
          <w:szCs w:val="22"/>
          <w:lang w:val="sr-Latn-ME"/>
        </w:rPr>
        <w:t>4.5</w:t>
      </w:r>
      <w:r w:rsidRPr="0057682A">
        <w:rPr>
          <w:b/>
          <w:szCs w:val="22"/>
          <w:lang w:val="sr-Latn-ME"/>
        </w:rPr>
        <w:tab/>
        <w:t>Interakcije sa drugim ljekovima i druge vrste interakcija</w:t>
      </w:r>
    </w:p>
    <w:p w:rsidR="00DA0659" w:rsidRPr="0057682A" w:rsidRDefault="00DA0659" w:rsidP="00DA0659">
      <w:pPr>
        <w:pStyle w:val="Heading2"/>
        <w:jc w:val="both"/>
        <w:rPr>
          <w:i/>
          <w:sz w:val="22"/>
          <w:szCs w:val="22"/>
          <w:u w:val="none"/>
          <w:lang w:val="sr-Latn-ME"/>
        </w:rPr>
      </w:pPr>
      <w:r w:rsidRPr="0057682A">
        <w:rPr>
          <w:i/>
          <w:sz w:val="22"/>
          <w:szCs w:val="22"/>
          <w:u w:val="none"/>
          <w:lang w:val="sr-Latn-ME"/>
        </w:rPr>
        <w:t>Pedijatrijska populacija</w:t>
      </w:r>
    </w:p>
    <w:p w:rsidR="00DA0659" w:rsidRPr="0057682A" w:rsidRDefault="00DA0659" w:rsidP="00DA0659">
      <w:pPr>
        <w:autoSpaceDE w:val="0"/>
        <w:autoSpaceDN w:val="0"/>
        <w:adjustRightInd w:val="0"/>
        <w:jc w:val="both"/>
        <w:rPr>
          <w:szCs w:val="22"/>
          <w:lang w:val="sr-Latn-ME"/>
        </w:rPr>
      </w:pPr>
      <w:r w:rsidRPr="0057682A">
        <w:rPr>
          <w:szCs w:val="22"/>
          <w:lang w:val="sr-Latn-ME"/>
        </w:rPr>
        <w:t>Ispitivanja na interakcije sprovedena su samo kod odraslih osoba.</w:t>
      </w:r>
    </w:p>
    <w:p w:rsidR="00DA0659" w:rsidRPr="0057682A" w:rsidRDefault="00DA0659" w:rsidP="00DA0659">
      <w:pPr>
        <w:pStyle w:val="Heading2"/>
        <w:spacing w:line="240" w:lineRule="auto"/>
        <w:jc w:val="both"/>
        <w:rPr>
          <w:i/>
          <w:sz w:val="22"/>
          <w:szCs w:val="22"/>
          <w:u w:val="none"/>
          <w:lang w:val="sr-Latn-ME"/>
        </w:rPr>
      </w:pPr>
    </w:p>
    <w:p w:rsidR="00DA0659" w:rsidRPr="0057682A" w:rsidRDefault="00DA0659" w:rsidP="00DA0659">
      <w:pPr>
        <w:pStyle w:val="Heading2"/>
        <w:spacing w:line="240" w:lineRule="auto"/>
        <w:jc w:val="both"/>
        <w:rPr>
          <w:i/>
          <w:sz w:val="22"/>
          <w:szCs w:val="22"/>
          <w:u w:val="none"/>
          <w:lang w:val="sr-Latn-ME"/>
        </w:rPr>
      </w:pPr>
      <w:r w:rsidRPr="0057682A">
        <w:rPr>
          <w:i/>
          <w:sz w:val="22"/>
          <w:szCs w:val="22"/>
          <w:u w:val="none"/>
          <w:lang w:val="sr-Latn-ME"/>
        </w:rPr>
        <w:t>Moguće interakcije koje djeluju na olanzapin</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Budući da se olanzapin metabolizuje preko CYP1A2, supstance koje mogu specifično indukovati ili inhibirati ovaj izoenzim mogu djelovati na farmakokinetiku olanzapina. </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b/>
          <w:i/>
          <w:iCs/>
          <w:szCs w:val="22"/>
          <w:lang w:val="sr-Latn-ME"/>
        </w:rPr>
      </w:pPr>
      <w:r w:rsidRPr="0057682A">
        <w:rPr>
          <w:b/>
          <w:i/>
          <w:iCs/>
          <w:szCs w:val="22"/>
          <w:lang w:val="sr-Latn-ME"/>
        </w:rPr>
        <w:t>Indukcija CYP1A2</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Metabolizam olanzapina može biti povećan pušenjem i istovremenim uzimanjem karbamazepina, što može dovesti do smanjene koncentracije olanzapina. Primijećeno je samo blago do umjereno povećanje klirensa olanzapina. Iako izgleda da su kliničke posljedice toga ograničene, preporučuje se kliničko praćenje te povećanje doze olanzapina ako je potrebno (pogledajte poglavlje 4.2). </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Inhibicija CYP lA2</w:t>
      </w:r>
    </w:p>
    <w:p w:rsidR="00DA0659" w:rsidRPr="0057682A" w:rsidRDefault="00DA0659" w:rsidP="00DA0659">
      <w:pPr>
        <w:autoSpaceDE w:val="0"/>
        <w:autoSpaceDN w:val="0"/>
        <w:adjustRightInd w:val="0"/>
        <w:jc w:val="both"/>
        <w:rPr>
          <w:szCs w:val="22"/>
          <w:lang w:val="sr-Latn-ME"/>
        </w:rPr>
      </w:pPr>
      <w:r w:rsidRPr="0057682A">
        <w:rPr>
          <w:szCs w:val="22"/>
          <w:lang w:val="sr-Latn-ME"/>
        </w:rPr>
        <w:t>Fluvoksamin, specifični inhibitor CYP1A2, značajno inhibira metabolizam olanzapina. Prosječno povećanje C</w:t>
      </w:r>
      <w:r w:rsidRPr="0057682A">
        <w:rPr>
          <w:szCs w:val="22"/>
          <w:vertAlign w:val="subscript"/>
          <w:lang w:val="sr-Latn-ME"/>
        </w:rPr>
        <w:t xml:space="preserve">max </w:t>
      </w:r>
      <w:r w:rsidRPr="0057682A">
        <w:rPr>
          <w:szCs w:val="22"/>
          <w:lang w:val="sr-Latn-ME"/>
        </w:rPr>
        <w:t>olanzapina nakon davanja fluvoksamina bilo je 54 % kod žena nepušača i 77 % kod muškaraca nepušača, a srednje povećanje AUC olanzapina iznosilo je 52 %  odnosno 108 %. Bolesnicima koji uzimaju fluvoksamin ili bilo koji drugi CYP1A2 inhibitor, kao što je npr. ciprofloksacin, potrebno je smanjiti početnu dozu olanzapina. Doza olanzapina mora se takođe smanjiti bolesnicima kod kojih je započelo liječenje inhibitorom CYP1A2.</w:t>
      </w:r>
    </w:p>
    <w:p w:rsidR="00DA0659" w:rsidRPr="0057682A" w:rsidRDefault="00DA0659" w:rsidP="00DA0659">
      <w:pPr>
        <w:pStyle w:val="Heading2"/>
        <w:jc w:val="both"/>
        <w:rPr>
          <w:i/>
          <w:sz w:val="22"/>
          <w:szCs w:val="22"/>
          <w:u w:val="none"/>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Smanjena bioraspoloživost</w:t>
      </w:r>
    </w:p>
    <w:p w:rsidR="00DA0659" w:rsidRPr="0057682A" w:rsidRDefault="00DA0659" w:rsidP="00DA0659">
      <w:pPr>
        <w:autoSpaceDE w:val="0"/>
        <w:autoSpaceDN w:val="0"/>
        <w:adjustRightInd w:val="0"/>
        <w:jc w:val="both"/>
        <w:rPr>
          <w:szCs w:val="22"/>
          <w:lang w:val="sr-Latn-ME"/>
        </w:rPr>
      </w:pPr>
      <w:r w:rsidRPr="0057682A">
        <w:rPr>
          <w:szCs w:val="22"/>
          <w:lang w:val="sr-Latn-ME"/>
        </w:rPr>
        <w:t>Budući da aktivni ugalj smanjuje bioraspoloživost oralne primjene olanzapina za 50 do 60%, treba ga uzeti najmanje 2 sata prije ili nakon primjene olanzapina.</w:t>
      </w:r>
    </w:p>
    <w:p w:rsidR="00DA0659" w:rsidRPr="0057682A" w:rsidRDefault="00DA0659" w:rsidP="00DA0659">
      <w:pPr>
        <w:autoSpaceDE w:val="0"/>
        <w:autoSpaceDN w:val="0"/>
        <w:adjustRightInd w:val="0"/>
        <w:jc w:val="both"/>
        <w:rPr>
          <w:szCs w:val="22"/>
          <w:lang w:val="sr-Latn-ME"/>
        </w:rPr>
      </w:pPr>
      <w:r w:rsidRPr="0057682A">
        <w:rPr>
          <w:szCs w:val="22"/>
          <w:lang w:val="sr-Latn-ME"/>
        </w:rPr>
        <w:t>Nije dokazano da fluoksetin (inhibitor CYP2D6), jednokratna doza antacida (aluminijum, magnezijum) ili cimetidina signifikantno utiču na farmakokinetiku olanzapina.</w:t>
      </w:r>
    </w:p>
    <w:p w:rsidR="00DA0659" w:rsidRPr="0057682A" w:rsidRDefault="00DA0659" w:rsidP="00DA0659">
      <w:pPr>
        <w:pStyle w:val="Heading2"/>
        <w:jc w:val="both"/>
        <w:rPr>
          <w:i/>
          <w:sz w:val="22"/>
          <w:szCs w:val="22"/>
          <w:u w:val="none"/>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Mogućnost olanzapina da utiče na druge lijekove</w:t>
      </w:r>
    </w:p>
    <w:p w:rsidR="00DA0659" w:rsidRPr="0057682A" w:rsidRDefault="00DA0659" w:rsidP="00DA0659">
      <w:pPr>
        <w:autoSpaceDE w:val="0"/>
        <w:autoSpaceDN w:val="0"/>
        <w:adjustRightInd w:val="0"/>
        <w:jc w:val="both"/>
        <w:rPr>
          <w:szCs w:val="22"/>
          <w:lang w:val="sr-Latn-ME"/>
        </w:rPr>
      </w:pPr>
      <w:r w:rsidRPr="0057682A">
        <w:rPr>
          <w:szCs w:val="22"/>
          <w:lang w:val="sr-Latn-ME"/>
        </w:rPr>
        <w:t>Olanzapin može antagonistički djelovati na dejstvo direktnih i indirektnih agonista dopamina.</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Olanzapin ne inhibira većinu P-450 izoenzima </w:t>
      </w:r>
      <w:r w:rsidRPr="0057682A">
        <w:rPr>
          <w:i/>
          <w:iCs/>
          <w:szCs w:val="22"/>
          <w:lang w:val="sr-Latn-ME"/>
        </w:rPr>
        <w:t xml:space="preserve">in vitro </w:t>
      </w:r>
      <w:r w:rsidRPr="0057682A">
        <w:rPr>
          <w:szCs w:val="22"/>
          <w:lang w:val="sr-Latn-ME"/>
        </w:rPr>
        <w:t xml:space="preserve">(npr. lA2, 2D6, 2C9, 2C19, 3A4. Prema tome, ne očekuju se posebne interakcije kako je i dokazano u </w:t>
      </w:r>
      <w:r w:rsidRPr="0057682A">
        <w:rPr>
          <w:i/>
          <w:iCs/>
          <w:szCs w:val="22"/>
          <w:lang w:val="sr-Latn-ME"/>
        </w:rPr>
        <w:t xml:space="preserve">in vivo </w:t>
      </w:r>
      <w:r w:rsidRPr="0057682A">
        <w:rPr>
          <w:szCs w:val="22"/>
          <w:lang w:val="sr-Latn-ME"/>
        </w:rPr>
        <w:t>ispitivanjima, u kojima nije primijećena inhibicija metabolizma sljedećih aktivnih supstanci: tricikličkih antidepresiva (većina se metabolizira preko CYP2D6), varfarina (CYP2CI9), teofilina (CYP1A2) i diazepama (CYP3A4 i 2C19).</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Olanzapin ne uzrokuje interakcije ako se primjenjuje zajedno s litijumom ili biperidenom.</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Određivanje nivoa valproata u plazmi tokom liječenja, nije upućivalo na potrebu prilagođavanja doze valproata nakon istovremenog uvođenja olanzapina.  </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b/>
          <w:i/>
          <w:iCs/>
          <w:szCs w:val="22"/>
          <w:lang w:val="sr-Latn-ME"/>
        </w:rPr>
      </w:pPr>
      <w:r w:rsidRPr="0057682A">
        <w:rPr>
          <w:b/>
          <w:i/>
          <w:iCs/>
          <w:szCs w:val="22"/>
          <w:lang w:val="sr-Latn-ME"/>
        </w:rPr>
        <w:t>Opšta aktivnost (CNS)</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Potreban je oprez kod </w:t>
      </w:r>
      <w:r w:rsidR="00BE25B7" w:rsidRPr="0057682A">
        <w:rPr>
          <w:szCs w:val="22"/>
          <w:lang w:val="sr-Latn-ME"/>
        </w:rPr>
        <w:t>pacijenata</w:t>
      </w:r>
      <w:r w:rsidRPr="0057682A">
        <w:rPr>
          <w:szCs w:val="22"/>
          <w:lang w:val="sr-Latn-ME"/>
        </w:rPr>
        <w:t xml:space="preserve"> koji konzumiraju alkohol ili primaju lijekove koji mogu uzrokovati depresiju centralnog nervnog sistema.</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Ne preporučuje se istovremena primjena olanzapina i antiparkinsonika kod </w:t>
      </w:r>
      <w:r w:rsidR="00BE25B7" w:rsidRPr="0057682A">
        <w:rPr>
          <w:szCs w:val="22"/>
          <w:lang w:val="sr-Latn-ME"/>
        </w:rPr>
        <w:t>pacijenata</w:t>
      </w:r>
      <w:r w:rsidRPr="0057682A">
        <w:rPr>
          <w:szCs w:val="22"/>
          <w:lang w:val="sr-Latn-ME"/>
        </w:rPr>
        <w:t xml:space="preserve"> koji boluju od Parkinsonove bolesti i demencije </w:t>
      </w:r>
      <w:r w:rsidRPr="0057682A">
        <w:rPr>
          <w:b/>
          <w:bCs/>
          <w:szCs w:val="22"/>
          <w:lang w:val="sr-Latn-ME"/>
        </w:rPr>
        <w:t>(</w:t>
      </w:r>
      <w:r w:rsidRPr="0057682A">
        <w:rPr>
          <w:szCs w:val="22"/>
          <w:lang w:val="sr-Latn-ME"/>
        </w:rPr>
        <w:t>pogledajte poglavlje 4.4).</w:t>
      </w:r>
    </w:p>
    <w:p w:rsidR="00DA0659" w:rsidRPr="0057682A" w:rsidRDefault="00DA0659" w:rsidP="00DA0659">
      <w:pPr>
        <w:pStyle w:val="Heading2"/>
        <w:jc w:val="both"/>
        <w:rPr>
          <w:i/>
          <w:sz w:val="22"/>
          <w:szCs w:val="22"/>
          <w:u w:val="none"/>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QTc-interval</w:t>
      </w:r>
    </w:p>
    <w:p w:rsidR="00DA0659" w:rsidRPr="0057682A" w:rsidRDefault="00DA0659" w:rsidP="00DA0659">
      <w:pPr>
        <w:autoSpaceDE w:val="0"/>
        <w:autoSpaceDN w:val="0"/>
        <w:adjustRightInd w:val="0"/>
        <w:jc w:val="both"/>
        <w:rPr>
          <w:szCs w:val="22"/>
          <w:lang w:val="sr-Latn-ME"/>
        </w:rPr>
      </w:pPr>
      <w:r w:rsidRPr="0057682A">
        <w:rPr>
          <w:szCs w:val="22"/>
          <w:lang w:val="sr-Latn-ME"/>
        </w:rPr>
        <w:t>Potreban je oprez ako se olanzapin daje istovremeno s lijekovima za koje se zna da produžuju QTc-interval (pogledajte poglavlje 4.4).</w:t>
      </w:r>
    </w:p>
    <w:p w:rsidR="00DA0659" w:rsidRPr="0057682A" w:rsidRDefault="00DA0659" w:rsidP="00DA0659">
      <w:pPr>
        <w:widowControl w:val="0"/>
        <w:jc w:val="both"/>
        <w:rPr>
          <w:szCs w:val="22"/>
          <w:lang w:val="sr-Latn-ME"/>
        </w:rPr>
      </w:pPr>
    </w:p>
    <w:p w:rsidR="00DA0659" w:rsidRPr="0057682A" w:rsidRDefault="00DA0659" w:rsidP="00DA0659">
      <w:pPr>
        <w:widowControl w:val="0"/>
        <w:ind w:left="567" w:hanging="567"/>
        <w:jc w:val="both"/>
        <w:outlineLvl w:val="0"/>
        <w:rPr>
          <w:b/>
          <w:bCs/>
          <w:szCs w:val="22"/>
          <w:lang w:val="sr-Latn-ME"/>
        </w:rPr>
      </w:pPr>
      <w:r w:rsidRPr="0057682A">
        <w:rPr>
          <w:b/>
          <w:szCs w:val="22"/>
          <w:lang w:val="sr-Latn-ME"/>
        </w:rPr>
        <w:t>4.6</w:t>
      </w:r>
      <w:r w:rsidRPr="0057682A">
        <w:rPr>
          <w:b/>
          <w:szCs w:val="22"/>
          <w:lang w:val="sr-Latn-ME"/>
        </w:rPr>
        <w:tab/>
      </w:r>
      <w:r w:rsidRPr="0057682A">
        <w:rPr>
          <w:b/>
          <w:bCs/>
          <w:szCs w:val="22"/>
          <w:lang w:val="sr-Latn-ME"/>
        </w:rPr>
        <w:t>Plodnost, trudnoća i dojenje</w:t>
      </w:r>
    </w:p>
    <w:p w:rsidR="00DA0659" w:rsidRPr="0057682A" w:rsidRDefault="00DA0659" w:rsidP="00DA0659">
      <w:pPr>
        <w:widowControl w:val="0"/>
        <w:ind w:left="567" w:hanging="567"/>
        <w:jc w:val="both"/>
        <w:outlineLvl w:val="0"/>
        <w:rPr>
          <w:b/>
          <w:bCs/>
          <w:szCs w:val="22"/>
          <w:lang w:val="sr-Latn-ME"/>
        </w:rPr>
      </w:pPr>
    </w:p>
    <w:p w:rsidR="00DA0659" w:rsidRPr="0057682A" w:rsidRDefault="00DA0659" w:rsidP="00DA0659">
      <w:pPr>
        <w:autoSpaceDE w:val="0"/>
        <w:autoSpaceDN w:val="0"/>
        <w:adjustRightInd w:val="0"/>
        <w:jc w:val="both"/>
        <w:rPr>
          <w:i/>
          <w:iCs/>
          <w:szCs w:val="22"/>
          <w:lang w:val="sr-Latn-ME"/>
        </w:rPr>
      </w:pPr>
      <w:r w:rsidRPr="0057682A">
        <w:rPr>
          <w:i/>
          <w:iCs/>
          <w:szCs w:val="22"/>
          <w:lang w:val="sr-Latn-ME"/>
        </w:rPr>
        <w:t>Trudnoća</w:t>
      </w:r>
    </w:p>
    <w:p w:rsidR="00DA0659" w:rsidRPr="0057682A" w:rsidRDefault="00DA0659" w:rsidP="00DA0659">
      <w:pPr>
        <w:autoSpaceDE w:val="0"/>
        <w:autoSpaceDN w:val="0"/>
        <w:adjustRightInd w:val="0"/>
        <w:jc w:val="both"/>
        <w:rPr>
          <w:szCs w:val="22"/>
          <w:lang w:val="sr-Latn-ME"/>
        </w:rPr>
      </w:pPr>
      <w:r w:rsidRPr="0057682A">
        <w:rPr>
          <w:szCs w:val="22"/>
          <w:lang w:val="sr-Latn-ME"/>
        </w:rPr>
        <w:t>Ne postoje adekvatna i dobro kontrolisana ispitivanja na trudnicama. Žene treba upozoriti da obavijeste svog ljekara ako zatrudne ili namjeravaju zatrudnjeti za vrijeme liječenja olanzapinom. Budući da su iskustva na ženama ograničena, olanzapin se smije upotrebljavati u trudnoći samo ako moguća korist prevagne nad mogućim rizikom za fetus.</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lastRenderedPageBreak/>
        <w:t>Kod novorođenčadi koja su tokom zadnjeg tromjesečja trudnoće bila izložena antipsihoticima (uključujući olanzapin) postoji rizik neželjenih dejstava uključujući ekstrapiramidne i/ili apstinencijske simptome koji mogu varirati po težini i trajanju nakon porođaja. Izvještavali su o agitaciji, hipertoniji, hipotoniji, tremoru, somnolenciji, respiratornom distresu ili poremećaju hranjenja. Zato je potrebno pažljivo praćenje novorođenčadi.</w:t>
      </w:r>
    </w:p>
    <w:p w:rsidR="00DA0659" w:rsidRPr="0057682A" w:rsidRDefault="00DA0659" w:rsidP="00DA0659">
      <w:pPr>
        <w:autoSpaceDE w:val="0"/>
        <w:autoSpaceDN w:val="0"/>
        <w:adjustRightInd w:val="0"/>
        <w:jc w:val="both"/>
        <w:rPr>
          <w:i/>
          <w:iCs/>
          <w:szCs w:val="22"/>
          <w:lang w:val="sr-Latn-ME"/>
        </w:rPr>
      </w:pPr>
    </w:p>
    <w:p w:rsidR="00DA0659" w:rsidRPr="0057682A" w:rsidRDefault="00DA0659" w:rsidP="00DA0659">
      <w:pPr>
        <w:autoSpaceDE w:val="0"/>
        <w:autoSpaceDN w:val="0"/>
        <w:adjustRightInd w:val="0"/>
        <w:jc w:val="both"/>
        <w:rPr>
          <w:i/>
          <w:iCs/>
          <w:szCs w:val="22"/>
          <w:lang w:val="sr-Latn-ME"/>
        </w:rPr>
      </w:pPr>
      <w:r w:rsidRPr="0057682A">
        <w:rPr>
          <w:i/>
          <w:iCs/>
          <w:szCs w:val="22"/>
          <w:lang w:val="sr-Latn-ME"/>
        </w:rPr>
        <w:t>Dojenje</w:t>
      </w:r>
    </w:p>
    <w:p w:rsidR="00DA0659" w:rsidRPr="0057682A" w:rsidRDefault="00DA0659" w:rsidP="00DA0659">
      <w:pPr>
        <w:autoSpaceDE w:val="0"/>
        <w:autoSpaceDN w:val="0"/>
        <w:adjustRightInd w:val="0"/>
        <w:jc w:val="both"/>
        <w:rPr>
          <w:szCs w:val="22"/>
          <w:lang w:val="sr-Latn-ME"/>
        </w:rPr>
      </w:pPr>
      <w:r w:rsidRPr="0057682A">
        <w:rPr>
          <w:szCs w:val="22"/>
          <w:lang w:val="sr-Latn-ME"/>
        </w:rPr>
        <w:t>U ispitivanju na zdravim dojiljama utvrđeno je da se olanzapin izlučuje u majčino mlijeko. Prosječna izloženost dojenčeta (mg/kg) u stanju dinamičke ravnoteže procijenjena je na 1,8 % doze olanzapina kod majke (mg/kg). Bolesnice treba savjetovati da ne doje ako uzimaju olanzapin.</w:t>
      </w:r>
    </w:p>
    <w:p w:rsidR="00DA0659" w:rsidRPr="0057682A" w:rsidRDefault="00DA0659" w:rsidP="00DA0659">
      <w:pPr>
        <w:rPr>
          <w:szCs w:val="22"/>
          <w:lang w:val="sr-Latn-ME"/>
        </w:rPr>
      </w:pPr>
    </w:p>
    <w:p w:rsidR="00DA0659" w:rsidRPr="0057682A" w:rsidRDefault="00DA0659" w:rsidP="00DA0659">
      <w:pPr>
        <w:rPr>
          <w:i/>
          <w:szCs w:val="22"/>
          <w:lang w:val="sr-Latn-ME"/>
        </w:rPr>
      </w:pPr>
      <w:r w:rsidRPr="0057682A">
        <w:rPr>
          <w:i/>
          <w:szCs w:val="22"/>
          <w:lang w:val="sr-Latn-ME"/>
        </w:rPr>
        <w:t>Plodnost</w:t>
      </w:r>
    </w:p>
    <w:p w:rsidR="00DA0659" w:rsidRPr="0057682A" w:rsidRDefault="00DA0659" w:rsidP="00DA0659">
      <w:pPr>
        <w:rPr>
          <w:szCs w:val="22"/>
          <w:lang w:val="sr-Latn-ME"/>
        </w:rPr>
      </w:pPr>
      <w:r w:rsidRPr="0057682A">
        <w:rPr>
          <w:szCs w:val="22"/>
          <w:lang w:val="sr-Latn-ME"/>
        </w:rPr>
        <w:t>Efekti na plodnost nisu poznati (pogledajte poglavlje 5.3 za pretkliničke informacije).</w:t>
      </w:r>
    </w:p>
    <w:p w:rsidR="00DA0659" w:rsidRPr="0057682A" w:rsidRDefault="00DA0659" w:rsidP="00DA0659">
      <w:pPr>
        <w:jc w:val="both"/>
        <w:rPr>
          <w:szCs w:val="22"/>
          <w:u w:val="single"/>
          <w:lang w:val="sr-Latn-ME"/>
        </w:rPr>
      </w:pPr>
    </w:p>
    <w:p w:rsidR="00DA0659" w:rsidRPr="0057682A" w:rsidRDefault="00DA0659" w:rsidP="00DA0659">
      <w:pPr>
        <w:widowControl w:val="0"/>
        <w:ind w:left="567" w:hanging="567"/>
        <w:jc w:val="both"/>
        <w:outlineLvl w:val="0"/>
        <w:rPr>
          <w:szCs w:val="22"/>
          <w:lang w:val="sr-Latn-ME"/>
        </w:rPr>
      </w:pPr>
      <w:r w:rsidRPr="0057682A">
        <w:rPr>
          <w:b/>
          <w:szCs w:val="22"/>
          <w:lang w:val="sr-Latn-ME"/>
        </w:rPr>
        <w:t>4.7</w:t>
      </w:r>
      <w:r w:rsidRPr="0057682A">
        <w:rPr>
          <w:b/>
          <w:szCs w:val="22"/>
          <w:lang w:val="sr-Latn-ME"/>
        </w:rPr>
        <w:tab/>
      </w:r>
      <w:r w:rsidRPr="0057682A">
        <w:rPr>
          <w:b/>
          <w:bCs/>
          <w:szCs w:val="22"/>
          <w:lang w:val="sr-Latn-ME"/>
        </w:rPr>
        <w:t xml:space="preserve">Uticaj na sposobnost upravljanja vozilima i rukovanje mašinama </w:t>
      </w:r>
    </w:p>
    <w:p w:rsidR="00DA0659" w:rsidRPr="0057682A" w:rsidRDefault="00DA0659" w:rsidP="00DA0659">
      <w:pPr>
        <w:widowControl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Nisu sprovedena ispitivanja o uticaju na sposobnost upravljanja vozilima i mašinama. Budući da olanzapin može uzrokovati po</w:t>
      </w:r>
      <w:r w:rsidR="0046453C" w:rsidRPr="0057682A">
        <w:rPr>
          <w:szCs w:val="22"/>
          <w:lang w:val="sr-Latn-ME"/>
        </w:rPr>
        <w:t>spanost i vrtoglavicu, pacijente</w:t>
      </w:r>
      <w:r w:rsidRPr="0057682A">
        <w:rPr>
          <w:szCs w:val="22"/>
          <w:lang w:val="sr-Latn-ME"/>
        </w:rPr>
        <w:t xml:space="preserve"> treba upozoriti da izbjegavaju upravljanje mašinama, uključujući motorna vozila.</w:t>
      </w:r>
    </w:p>
    <w:p w:rsidR="00DA0659" w:rsidRPr="0057682A" w:rsidRDefault="00DA0659" w:rsidP="00DA0659">
      <w:pPr>
        <w:widowControl w:val="0"/>
        <w:jc w:val="both"/>
        <w:rPr>
          <w:szCs w:val="22"/>
          <w:lang w:val="sr-Latn-ME"/>
        </w:rPr>
      </w:pPr>
    </w:p>
    <w:p w:rsidR="00DA0659" w:rsidRPr="0057682A" w:rsidRDefault="00DA0659" w:rsidP="00DA0659">
      <w:pPr>
        <w:widowControl w:val="0"/>
        <w:numPr>
          <w:ilvl w:val="1"/>
          <w:numId w:val="11"/>
        </w:numPr>
        <w:spacing w:line="240" w:lineRule="auto"/>
        <w:jc w:val="both"/>
        <w:outlineLvl w:val="0"/>
        <w:rPr>
          <w:b/>
          <w:szCs w:val="22"/>
          <w:lang w:val="sr-Latn-ME"/>
        </w:rPr>
      </w:pPr>
      <w:r w:rsidRPr="0057682A">
        <w:rPr>
          <w:b/>
          <w:szCs w:val="22"/>
          <w:lang w:val="sr-Latn-ME"/>
        </w:rPr>
        <w:t>Neželjena dejstva</w:t>
      </w:r>
    </w:p>
    <w:p w:rsidR="00DA0659" w:rsidRPr="0057682A" w:rsidRDefault="00DA0659" w:rsidP="00DA0659">
      <w:pPr>
        <w:pStyle w:val="Default"/>
        <w:widowControl w:val="0"/>
        <w:jc w:val="both"/>
        <w:rPr>
          <w:sz w:val="22"/>
          <w:szCs w:val="22"/>
          <w:lang w:val="sr-Latn-ME"/>
        </w:rPr>
      </w:pPr>
    </w:p>
    <w:p w:rsidR="00DA0659" w:rsidRPr="0057682A" w:rsidRDefault="00DA0659" w:rsidP="00DA0659">
      <w:pPr>
        <w:autoSpaceDE w:val="0"/>
        <w:autoSpaceDN w:val="0"/>
        <w:adjustRightInd w:val="0"/>
        <w:spacing w:line="240" w:lineRule="atLeast"/>
        <w:ind w:right="-144"/>
        <w:rPr>
          <w:snapToGrid w:val="0"/>
          <w:szCs w:val="22"/>
          <w:u w:val="single"/>
          <w:lang w:val="sr-Latn-ME" w:eastAsia="fi-FI"/>
        </w:rPr>
      </w:pPr>
      <w:r w:rsidRPr="0057682A">
        <w:rPr>
          <w:snapToGrid w:val="0"/>
          <w:szCs w:val="22"/>
          <w:u w:val="single"/>
          <w:lang w:val="sr-Latn-ME" w:eastAsia="fi-FI"/>
        </w:rPr>
        <w:t>Sažetak bezbjednosnog profila</w:t>
      </w:r>
    </w:p>
    <w:p w:rsidR="00DA0659" w:rsidRPr="0057682A" w:rsidRDefault="00DA0659" w:rsidP="00DA0659">
      <w:pPr>
        <w:pStyle w:val="Heading2"/>
        <w:jc w:val="both"/>
        <w:rPr>
          <w:b w:val="0"/>
          <w:sz w:val="22"/>
          <w:szCs w:val="22"/>
          <w:lang w:val="sr-Latn-ME"/>
        </w:rPr>
      </w:pPr>
      <w:r w:rsidRPr="0057682A">
        <w:rPr>
          <w:b w:val="0"/>
          <w:sz w:val="22"/>
          <w:szCs w:val="22"/>
          <w:lang w:val="sr-Latn-ME"/>
        </w:rPr>
        <w:t>Odrasli</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Najčešća neželjena dejstva (primijećena kod ≥ 1% </w:t>
      </w:r>
      <w:r w:rsidR="00BE25B7" w:rsidRPr="0057682A">
        <w:rPr>
          <w:szCs w:val="22"/>
          <w:lang w:val="sr-Latn-ME"/>
        </w:rPr>
        <w:t>pacijenata</w:t>
      </w:r>
      <w:r w:rsidRPr="0057682A">
        <w:rPr>
          <w:szCs w:val="22"/>
          <w:lang w:val="sr-Latn-ME"/>
        </w:rPr>
        <w:t>) zabilježena tokom primjene olanzapina u kliničkim ispitivanjima bila su somnolencija, povećanje tjelesne težine, eozinofilija, povišeni nivoi prolaktina, holesterola, glukoze i triglicerida (pogledajte poglavlje 4.4)</w:t>
      </w:r>
      <w:r w:rsidRPr="0057682A">
        <w:rPr>
          <w:i/>
          <w:iCs/>
          <w:szCs w:val="22"/>
          <w:lang w:val="sr-Latn-ME"/>
        </w:rPr>
        <w:t xml:space="preserve">, </w:t>
      </w:r>
      <w:r w:rsidRPr="0057682A">
        <w:rPr>
          <w:szCs w:val="22"/>
          <w:lang w:val="sr-Latn-ME"/>
        </w:rPr>
        <w:t>glukozurija, povećanje apetita, vrtoglavica, akatizija, parkinsonizam (pogledajte poglavlje 4.4), diskinezija, ortostatska hipotenzija, antikolinergičko dejstvo, prolazni asimptomatski porast jetrenih aminotransferaza (pogledajte poglavlje 4.4), osip, astenija, umor i edem.</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pStyle w:val="Text"/>
        <w:keepNext/>
        <w:tabs>
          <w:tab w:val="left" w:pos="567"/>
        </w:tabs>
        <w:spacing w:before="0" w:after="0" w:line="240" w:lineRule="auto"/>
        <w:ind w:left="0" w:right="-144" w:firstLine="0"/>
        <w:rPr>
          <w:sz w:val="22"/>
          <w:szCs w:val="22"/>
          <w:u w:val="single"/>
          <w:lang w:val="sr-Latn-ME"/>
        </w:rPr>
      </w:pPr>
      <w:r w:rsidRPr="0057682A">
        <w:rPr>
          <w:sz w:val="22"/>
          <w:szCs w:val="22"/>
          <w:u w:val="single"/>
          <w:lang w:val="sr-Latn-ME"/>
        </w:rPr>
        <w:t>Tabelarni prikaz neželjenih reakcija</w:t>
      </w:r>
    </w:p>
    <w:p w:rsidR="00DA0659" w:rsidRPr="0057682A" w:rsidRDefault="00DA0659" w:rsidP="00DA0659">
      <w:pPr>
        <w:autoSpaceDE w:val="0"/>
        <w:autoSpaceDN w:val="0"/>
        <w:adjustRightInd w:val="0"/>
        <w:jc w:val="both"/>
        <w:rPr>
          <w:szCs w:val="22"/>
          <w:lang w:val="sr-Latn-ME"/>
        </w:rPr>
      </w:pPr>
      <w:r w:rsidRPr="0057682A">
        <w:rPr>
          <w:szCs w:val="22"/>
          <w:lang w:val="sr-Latn-ME"/>
        </w:rPr>
        <w:t>Donja tablica navodi neželjena dejstva i rezultate laboratorijskih pretraga koja su spontano prijavljena kao i ona iz kliničkih ispitivanja. U razvrstavanju učestalosti, neželjena dejstva su navedena prema padajućoj ozbiljnosti. Učestalost neželjena dejstva klasifikovana je u tablici na sljedeći način: veoma česta (≥ 10 %), česta (≥ 1 % i &lt; 10 %), povremena (≥ 0,1 % i &lt; 1 %), rijetka (≥ 0,01 %  i &lt; 0,1 %), vrlo rijetka (&lt; 0,01 %) i nepoznato (ne može se procijeniti iz dostupnih podataka).</w:t>
      </w:r>
    </w:p>
    <w:p w:rsidR="00DA0659" w:rsidRPr="0057682A" w:rsidRDefault="00DA0659" w:rsidP="00DA0659">
      <w:pPr>
        <w:autoSpaceDE w:val="0"/>
        <w:autoSpaceDN w:val="0"/>
        <w:adjustRightInd w:val="0"/>
        <w:jc w:val="both"/>
        <w:rPr>
          <w:szCs w:val="22"/>
          <w:lang w:val="sr-Latn-ME"/>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268"/>
        <w:gridCol w:w="1842"/>
        <w:gridCol w:w="2268"/>
        <w:gridCol w:w="1986"/>
      </w:tblGrid>
      <w:tr w:rsidR="00DA0659" w:rsidRPr="0057682A" w:rsidTr="00BE25B7">
        <w:tc>
          <w:tcPr>
            <w:tcW w:w="1668" w:type="dxa"/>
          </w:tcPr>
          <w:p w:rsidR="00DA0659" w:rsidRPr="0057682A" w:rsidRDefault="00DA0659" w:rsidP="00BE25B7">
            <w:pPr>
              <w:pStyle w:val="Text"/>
              <w:tabs>
                <w:tab w:val="left" w:pos="567"/>
              </w:tabs>
              <w:spacing w:before="0" w:after="0" w:line="240" w:lineRule="auto"/>
              <w:ind w:left="0" w:right="0" w:firstLine="0"/>
              <w:jc w:val="center"/>
              <w:rPr>
                <w:color w:val="auto"/>
                <w:sz w:val="22"/>
                <w:szCs w:val="22"/>
                <w:lang w:val="sr-Latn-ME"/>
              </w:rPr>
            </w:pPr>
            <w:r w:rsidRPr="0057682A">
              <w:rPr>
                <w:b/>
                <w:color w:val="auto"/>
                <w:sz w:val="22"/>
                <w:szCs w:val="22"/>
                <w:lang w:val="sr-Latn-ME"/>
              </w:rPr>
              <w:t>Veoma česta</w:t>
            </w:r>
          </w:p>
        </w:tc>
        <w:tc>
          <w:tcPr>
            <w:tcW w:w="2268" w:type="dxa"/>
          </w:tcPr>
          <w:p w:rsidR="00DA0659" w:rsidRPr="0057682A" w:rsidRDefault="00DA0659" w:rsidP="00BE25B7">
            <w:pPr>
              <w:pStyle w:val="Text"/>
              <w:tabs>
                <w:tab w:val="left" w:pos="567"/>
              </w:tabs>
              <w:spacing w:before="0" w:after="0" w:line="240" w:lineRule="auto"/>
              <w:ind w:left="0" w:right="0" w:firstLine="0"/>
              <w:jc w:val="center"/>
              <w:rPr>
                <w:color w:val="auto"/>
                <w:sz w:val="22"/>
                <w:szCs w:val="22"/>
                <w:lang w:val="sr-Latn-ME"/>
              </w:rPr>
            </w:pPr>
            <w:r w:rsidRPr="0057682A">
              <w:rPr>
                <w:b/>
                <w:color w:val="auto"/>
                <w:sz w:val="22"/>
                <w:szCs w:val="22"/>
                <w:lang w:val="sr-Latn-ME"/>
              </w:rPr>
              <w:t>Česta</w:t>
            </w:r>
          </w:p>
        </w:tc>
        <w:tc>
          <w:tcPr>
            <w:tcW w:w="1842" w:type="dxa"/>
          </w:tcPr>
          <w:p w:rsidR="00DA0659" w:rsidRPr="0057682A" w:rsidRDefault="00DA0659" w:rsidP="00BE25B7">
            <w:pPr>
              <w:pStyle w:val="Text"/>
              <w:tabs>
                <w:tab w:val="left" w:pos="567"/>
              </w:tabs>
              <w:spacing w:before="0" w:after="0" w:line="240" w:lineRule="auto"/>
              <w:ind w:left="0" w:right="0" w:firstLine="0"/>
              <w:jc w:val="center"/>
              <w:rPr>
                <w:color w:val="auto"/>
                <w:sz w:val="22"/>
                <w:szCs w:val="22"/>
                <w:lang w:val="sr-Latn-ME"/>
              </w:rPr>
            </w:pPr>
            <w:r w:rsidRPr="0057682A">
              <w:rPr>
                <w:b/>
                <w:color w:val="auto"/>
                <w:sz w:val="22"/>
                <w:szCs w:val="22"/>
                <w:lang w:val="sr-Latn-ME"/>
              </w:rPr>
              <w:t>Povremena</w:t>
            </w:r>
          </w:p>
        </w:tc>
        <w:tc>
          <w:tcPr>
            <w:tcW w:w="2268" w:type="dxa"/>
          </w:tcPr>
          <w:p w:rsidR="00DA0659" w:rsidRPr="0057682A" w:rsidRDefault="00DA0659" w:rsidP="00BE25B7">
            <w:pPr>
              <w:pStyle w:val="Text"/>
              <w:tabs>
                <w:tab w:val="left" w:pos="567"/>
              </w:tabs>
              <w:spacing w:before="0" w:after="0" w:line="240" w:lineRule="auto"/>
              <w:ind w:left="0" w:right="0" w:firstLine="0"/>
              <w:jc w:val="center"/>
              <w:rPr>
                <w:color w:val="auto"/>
                <w:sz w:val="22"/>
                <w:szCs w:val="22"/>
                <w:lang w:val="sr-Latn-ME"/>
              </w:rPr>
            </w:pPr>
            <w:r w:rsidRPr="0057682A">
              <w:rPr>
                <w:b/>
                <w:iCs/>
                <w:color w:val="auto"/>
                <w:sz w:val="22"/>
                <w:szCs w:val="22"/>
                <w:lang w:val="sr-Latn-ME"/>
              </w:rPr>
              <w:t>Rijetk</w:t>
            </w:r>
            <w:r w:rsidR="006B6D7B" w:rsidRPr="0057682A">
              <w:rPr>
                <w:b/>
                <w:iCs/>
                <w:color w:val="auto"/>
                <w:sz w:val="22"/>
                <w:szCs w:val="22"/>
                <w:lang w:val="sr-Latn-ME"/>
              </w:rPr>
              <w:t>a</w:t>
            </w:r>
          </w:p>
        </w:tc>
        <w:tc>
          <w:tcPr>
            <w:tcW w:w="1986" w:type="dxa"/>
          </w:tcPr>
          <w:p w:rsidR="00DA0659" w:rsidRPr="0057682A" w:rsidRDefault="006B6D7B" w:rsidP="00BE25B7">
            <w:pPr>
              <w:pStyle w:val="Text"/>
              <w:tabs>
                <w:tab w:val="left" w:pos="567"/>
              </w:tabs>
              <w:spacing w:before="0" w:after="0" w:line="240" w:lineRule="auto"/>
              <w:ind w:left="0" w:right="0" w:firstLine="0"/>
              <w:jc w:val="center"/>
              <w:rPr>
                <w:b/>
                <w:iCs/>
                <w:color w:val="auto"/>
                <w:sz w:val="22"/>
                <w:szCs w:val="22"/>
                <w:lang w:val="sr-Latn-ME"/>
              </w:rPr>
            </w:pPr>
            <w:r w:rsidRPr="0057682A">
              <w:rPr>
                <w:b/>
                <w:iCs/>
                <w:color w:val="auto"/>
                <w:sz w:val="22"/>
                <w:szCs w:val="22"/>
                <w:lang w:val="sr-Latn-ME"/>
              </w:rPr>
              <w:t>Nepoznata</w:t>
            </w:r>
          </w:p>
        </w:tc>
      </w:tr>
      <w:tr w:rsidR="00DA0659" w:rsidRPr="0057682A" w:rsidTr="00BE25B7">
        <w:tc>
          <w:tcPr>
            <w:tcW w:w="8046" w:type="dxa"/>
            <w:gridSpan w:val="4"/>
          </w:tcPr>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r w:rsidRPr="0057682A">
              <w:rPr>
                <w:b/>
                <w:color w:val="auto"/>
                <w:sz w:val="22"/>
                <w:szCs w:val="22"/>
                <w:lang w:val="sr-Latn-ME"/>
              </w:rPr>
              <w:t>Poremećaji krvi i limfnog sistema</w:t>
            </w:r>
          </w:p>
        </w:tc>
        <w:tc>
          <w:tcPr>
            <w:tcW w:w="1986" w:type="dxa"/>
          </w:tcPr>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p>
        </w:tc>
      </w:tr>
      <w:tr w:rsidR="00DA0659" w:rsidRPr="0057682A" w:rsidTr="00BE25B7">
        <w:tc>
          <w:tcPr>
            <w:tcW w:w="16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vertAlign w:val="superscript"/>
                <w:lang w:val="sr-Latn-ME"/>
              </w:rPr>
            </w:pPr>
            <w:r w:rsidRPr="0057682A">
              <w:rPr>
                <w:color w:val="auto"/>
                <w:sz w:val="22"/>
                <w:szCs w:val="22"/>
                <w:lang w:val="sr-Latn-ME"/>
              </w:rPr>
              <w:t>eozinofilija leukopenija</w:t>
            </w:r>
            <w:r w:rsidRPr="0057682A">
              <w:rPr>
                <w:color w:val="auto"/>
                <w:sz w:val="22"/>
                <w:szCs w:val="22"/>
                <w:vertAlign w:val="superscript"/>
                <w:lang w:val="sr-Latn-ME"/>
              </w:rPr>
              <w:t>10</w:t>
            </w:r>
          </w:p>
          <w:p w:rsidR="00DA0659" w:rsidRPr="0057682A" w:rsidRDefault="00DA0659" w:rsidP="00BE25B7">
            <w:pPr>
              <w:pStyle w:val="Text"/>
              <w:tabs>
                <w:tab w:val="left" w:pos="567"/>
              </w:tabs>
              <w:spacing w:before="0" w:after="0" w:line="240" w:lineRule="auto"/>
              <w:ind w:left="0" w:right="0" w:firstLine="0"/>
              <w:rPr>
                <w:color w:val="auto"/>
                <w:sz w:val="22"/>
                <w:szCs w:val="22"/>
                <w:vertAlign w:val="superscript"/>
                <w:lang w:val="sr-Latn-ME"/>
              </w:rPr>
            </w:pPr>
            <w:r w:rsidRPr="0057682A">
              <w:rPr>
                <w:color w:val="auto"/>
                <w:sz w:val="22"/>
                <w:szCs w:val="22"/>
                <w:lang w:val="sr-Latn-ME"/>
              </w:rPr>
              <w:t>neutropenija</w:t>
            </w:r>
            <w:r w:rsidRPr="0057682A">
              <w:rPr>
                <w:color w:val="auto"/>
                <w:sz w:val="22"/>
                <w:szCs w:val="22"/>
                <w:vertAlign w:val="superscript"/>
                <w:lang w:val="sr-Latn-ME"/>
              </w:rPr>
              <w:t>10</w:t>
            </w:r>
          </w:p>
        </w:tc>
        <w:tc>
          <w:tcPr>
            <w:tcW w:w="1842"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vertAlign w:val="superscript"/>
                <w:lang w:val="sr-Latn-ME"/>
              </w:rPr>
            </w:pPr>
            <w:r w:rsidRPr="0057682A">
              <w:rPr>
                <w:color w:val="auto"/>
                <w:sz w:val="22"/>
                <w:szCs w:val="22"/>
                <w:lang w:val="sr-Latn-ME"/>
              </w:rPr>
              <w:t>trombocitopenija</w:t>
            </w:r>
            <w:r w:rsidRPr="0057682A">
              <w:rPr>
                <w:color w:val="auto"/>
                <w:sz w:val="22"/>
                <w:szCs w:val="22"/>
                <w:vertAlign w:val="superscript"/>
                <w:lang w:val="sr-Latn-ME"/>
              </w:rPr>
              <w:t>11</w:t>
            </w:r>
          </w:p>
        </w:tc>
        <w:tc>
          <w:tcPr>
            <w:tcW w:w="1986"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r>
      <w:tr w:rsidR="00DA0659" w:rsidRPr="0057682A" w:rsidTr="00BE25B7">
        <w:tc>
          <w:tcPr>
            <w:tcW w:w="10032" w:type="dxa"/>
            <w:gridSpan w:val="5"/>
          </w:tcPr>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r w:rsidRPr="0057682A">
              <w:rPr>
                <w:b/>
                <w:color w:val="auto"/>
                <w:sz w:val="22"/>
                <w:szCs w:val="22"/>
                <w:lang w:val="sr-Latn-ME"/>
              </w:rPr>
              <w:t>Poremećaji imunološkog sistema</w:t>
            </w:r>
          </w:p>
        </w:tc>
      </w:tr>
      <w:tr w:rsidR="00DA0659" w:rsidRPr="0057682A" w:rsidTr="00BE25B7">
        <w:tc>
          <w:tcPr>
            <w:tcW w:w="16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2268" w:type="dxa"/>
          </w:tcPr>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p>
        </w:tc>
        <w:tc>
          <w:tcPr>
            <w:tcW w:w="1842" w:type="dxa"/>
          </w:tcPr>
          <w:p w:rsidR="00BA7B99" w:rsidRPr="0057682A" w:rsidRDefault="00BA7B99" w:rsidP="00BA7B99">
            <w:pPr>
              <w:pStyle w:val="Text"/>
              <w:tabs>
                <w:tab w:val="left" w:pos="567"/>
              </w:tabs>
              <w:spacing w:before="0" w:after="0" w:line="240" w:lineRule="auto"/>
              <w:ind w:left="0" w:right="0" w:firstLine="0"/>
              <w:rPr>
                <w:bCs/>
                <w:color w:val="auto"/>
                <w:sz w:val="22"/>
                <w:szCs w:val="22"/>
                <w:vertAlign w:val="superscript"/>
                <w:lang w:val="sr-Latn-ME"/>
              </w:rPr>
            </w:pPr>
            <w:r w:rsidRPr="0057682A">
              <w:rPr>
                <w:color w:val="auto"/>
                <w:sz w:val="22"/>
                <w:szCs w:val="22"/>
                <w:lang w:val="sr-Latn-ME"/>
              </w:rPr>
              <w:t>hipersenzitivnost</w:t>
            </w:r>
            <w:r w:rsidRPr="0057682A">
              <w:rPr>
                <w:bCs/>
                <w:color w:val="auto"/>
                <w:sz w:val="22"/>
                <w:szCs w:val="22"/>
                <w:vertAlign w:val="superscript"/>
                <w:lang w:val="sr-Latn-ME"/>
              </w:rPr>
              <w:t xml:space="preserve"> 11</w:t>
            </w:r>
          </w:p>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p>
        </w:tc>
        <w:tc>
          <w:tcPr>
            <w:tcW w:w="2268" w:type="dxa"/>
          </w:tcPr>
          <w:p w:rsidR="00DA0659" w:rsidRPr="0057682A" w:rsidRDefault="00DA0659" w:rsidP="00BA7B99">
            <w:pPr>
              <w:pStyle w:val="Text"/>
              <w:tabs>
                <w:tab w:val="left" w:pos="567"/>
              </w:tabs>
              <w:spacing w:before="0" w:after="0" w:line="240" w:lineRule="auto"/>
              <w:ind w:left="0" w:right="0" w:firstLine="0"/>
              <w:rPr>
                <w:bCs/>
                <w:color w:val="auto"/>
                <w:sz w:val="22"/>
                <w:szCs w:val="22"/>
                <w:lang w:val="sr-Latn-ME"/>
              </w:rPr>
            </w:pPr>
          </w:p>
        </w:tc>
        <w:tc>
          <w:tcPr>
            <w:tcW w:w="1986" w:type="dxa"/>
          </w:tcPr>
          <w:p w:rsidR="00DA0659" w:rsidRPr="0057682A" w:rsidRDefault="00DA0659" w:rsidP="00BE25B7">
            <w:pPr>
              <w:pStyle w:val="Text"/>
              <w:tabs>
                <w:tab w:val="left" w:pos="567"/>
              </w:tabs>
              <w:spacing w:before="0" w:after="0" w:line="240" w:lineRule="auto"/>
              <w:ind w:left="0" w:right="0" w:firstLine="0"/>
              <w:rPr>
                <w:bCs/>
                <w:color w:val="auto"/>
                <w:sz w:val="22"/>
                <w:szCs w:val="22"/>
                <w:lang w:val="sr-Latn-ME"/>
              </w:rPr>
            </w:pPr>
          </w:p>
        </w:tc>
      </w:tr>
      <w:tr w:rsidR="00DA0659" w:rsidRPr="0057682A" w:rsidTr="00BE25B7">
        <w:tc>
          <w:tcPr>
            <w:tcW w:w="8046" w:type="dxa"/>
            <w:gridSpan w:val="4"/>
          </w:tcPr>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r w:rsidRPr="0057682A">
              <w:rPr>
                <w:b/>
                <w:color w:val="auto"/>
                <w:sz w:val="22"/>
                <w:szCs w:val="22"/>
                <w:lang w:val="sr-Latn-ME"/>
              </w:rPr>
              <w:t>Poremećaji metabolizma i ishrane</w:t>
            </w:r>
          </w:p>
        </w:tc>
        <w:tc>
          <w:tcPr>
            <w:tcW w:w="1986" w:type="dxa"/>
          </w:tcPr>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p>
        </w:tc>
      </w:tr>
      <w:tr w:rsidR="00DA0659" w:rsidRPr="0057682A" w:rsidTr="00BE25B7">
        <w:tc>
          <w:tcPr>
            <w:tcW w:w="16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porast tjelesne težine</w:t>
            </w:r>
            <w:r w:rsidRPr="0057682A">
              <w:rPr>
                <w:color w:val="auto"/>
                <w:sz w:val="22"/>
                <w:szCs w:val="22"/>
                <w:vertAlign w:val="superscript"/>
                <w:lang w:val="sr-Latn-ME"/>
              </w:rPr>
              <w:t>1</w:t>
            </w: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povišen nivo</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holesterola</w:t>
            </w:r>
            <w:r w:rsidRPr="0057682A">
              <w:rPr>
                <w:color w:val="auto"/>
                <w:sz w:val="22"/>
                <w:szCs w:val="22"/>
                <w:vertAlign w:val="superscript"/>
                <w:lang w:val="sr-Latn-ME"/>
              </w:rPr>
              <w:t>2,3</w:t>
            </w:r>
          </w:p>
          <w:p w:rsidR="00DA0659" w:rsidRPr="0057682A" w:rsidRDefault="00DA0659" w:rsidP="00BE25B7">
            <w:pPr>
              <w:pStyle w:val="Text"/>
              <w:tabs>
                <w:tab w:val="left" w:pos="567"/>
              </w:tabs>
              <w:spacing w:before="0" w:after="0" w:line="240" w:lineRule="auto"/>
              <w:ind w:left="0" w:right="0" w:firstLine="0"/>
              <w:rPr>
                <w:color w:val="auto"/>
                <w:sz w:val="22"/>
                <w:szCs w:val="22"/>
                <w:vertAlign w:val="superscript"/>
                <w:lang w:val="sr-Latn-ME"/>
              </w:rPr>
            </w:pPr>
            <w:r w:rsidRPr="0057682A">
              <w:rPr>
                <w:color w:val="auto"/>
                <w:sz w:val="22"/>
                <w:szCs w:val="22"/>
                <w:lang w:val="sr-Latn-ME"/>
              </w:rPr>
              <w:t>povišena nivo glukoze</w:t>
            </w:r>
            <w:r w:rsidRPr="0057682A">
              <w:rPr>
                <w:color w:val="auto"/>
                <w:sz w:val="22"/>
                <w:szCs w:val="22"/>
                <w:vertAlign w:val="superscript"/>
                <w:lang w:val="sr-Latn-ME"/>
              </w:rPr>
              <w:t>4</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povišena nivo triglicerida</w:t>
            </w:r>
            <w:r w:rsidRPr="0057682A">
              <w:rPr>
                <w:color w:val="auto"/>
                <w:sz w:val="22"/>
                <w:szCs w:val="22"/>
                <w:vertAlign w:val="superscript"/>
                <w:lang w:val="sr-Latn-ME"/>
              </w:rPr>
              <w:t>2,5</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 xml:space="preserve">glukozurija </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pojačan apetit</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1842"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lastRenderedPageBreak/>
              <w:t xml:space="preserve">razvoj ili egzacerbacija  dijabetesa ponekad s ketoacidozom ili komom, uključujući neke </w:t>
            </w:r>
            <w:r w:rsidRPr="0057682A">
              <w:rPr>
                <w:color w:val="auto"/>
                <w:sz w:val="22"/>
                <w:szCs w:val="22"/>
                <w:lang w:val="sr-Latn-ME"/>
              </w:rPr>
              <w:lastRenderedPageBreak/>
              <w:t>slučajeve s letalnim ishodom (pogledajte poglavlje 4.4)</w:t>
            </w: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vertAlign w:val="superscript"/>
                <w:lang w:val="sr-Latn-ME"/>
              </w:rPr>
            </w:pPr>
            <w:r w:rsidRPr="0057682A">
              <w:rPr>
                <w:color w:val="auto"/>
                <w:sz w:val="22"/>
                <w:szCs w:val="22"/>
                <w:lang w:val="sr-Latn-ME"/>
              </w:rPr>
              <w:lastRenderedPageBreak/>
              <w:t>hipotermija</w:t>
            </w:r>
            <w:r w:rsidRPr="0057682A">
              <w:rPr>
                <w:color w:val="auto"/>
                <w:sz w:val="22"/>
                <w:szCs w:val="22"/>
                <w:vertAlign w:val="superscript"/>
                <w:lang w:val="sr-Latn-ME"/>
              </w:rPr>
              <w:t>11</w:t>
            </w:r>
          </w:p>
        </w:tc>
        <w:tc>
          <w:tcPr>
            <w:tcW w:w="1986"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r>
      <w:tr w:rsidR="00DA0659" w:rsidRPr="0057682A" w:rsidTr="00BE25B7">
        <w:tc>
          <w:tcPr>
            <w:tcW w:w="10032" w:type="dxa"/>
            <w:gridSpan w:val="5"/>
          </w:tcPr>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r w:rsidRPr="0057682A">
              <w:rPr>
                <w:b/>
                <w:color w:val="auto"/>
                <w:sz w:val="22"/>
                <w:szCs w:val="22"/>
                <w:lang w:val="sr-Latn-ME"/>
              </w:rPr>
              <w:t>Poremećaji nervnog sistema</w:t>
            </w:r>
          </w:p>
        </w:tc>
      </w:tr>
      <w:tr w:rsidR="00DA0659" w:rsidRPr="0057682A" w:rsidTr="00BE25B7">
        <w:tc>
          <w:tcPr>
            <w:tcW w:w="16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somnolencija</w:t>
            </w: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vrtoglavica</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akatizija</w:t>
            </w:r>
            <w:r w:rsidRPr="0057682A">
              <w:rPr>
                <w:color w:val="auto"/>
                <w:sz w:val="22"/>
                <w:szCs w:val="22"/>
                <w:vertAlign w:val="superscript"/>
                <w:lang w:val="sr-Latn-ME"/>
              </w:rPr>
              <w:t>6</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parkinsonizam</w:t>
            </w:r>
            <w:r w:rsidRPr="0057682A">
              <w:rPr>
                <w:color w:val="auto"/>
                <w:sz w:val="22"/>
                <w:szCs w:val="22"/>
                <w:vertAlign w:val="superscript"/>
                <w:lang w:val="sr-Latn-ME"/>
              </w:rPr>
              <w:t xml:space="preserve">6 </w:t>
            </w:r>
            <w:r w:rsidRPr="0057682A">
              <w:rPr>
                <w:color w:val="auto"/>
                <w:sz w:val="22"/>
                <w:szCs w:val="22"/>
                <w:lang w:val="sr-Latn-ME"/>
              </w:rPr>
              <w:t>diskinezija</w:t>
            </w:r>
            <w:r w:rsidRPr="0057682A">
              <w:rPr>
                <w:color w:val="auto"/>
                <w:sz w:val="22"/>
                <w:szCs w:val="22"/>
                <w:vertAlign w:val="superscript"/>
                <w:lang w:val="sr-Latn-ME"/>
              </w:rPr>
              <w:t>6</w:t>
            </w:r>
          </w:p>
        </w:tc>
        <w:tc>
          <w:tcPr>
            <w:tcW w:w="1842"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 xml:space="preserve">konvulzije, prijavljene su većinom  kod </w:t>
            </w:r>
            <w:r w:rsidR="00BE25B7" w:rsidRPr="0057682A">
              <w:rPr>
                <w:color w:val="auto"/>
                <w:sz w:val="22"/>
                <w:szCs w:val="22"/>
                <w:lang w:val="sr-Latn-ME"/>
              </w:rPr>
              <w:t>pacijenata</w:t>
            </w:r>
            <w:r w:rsidRPr="0057682A">
              <w:rPr>
                <w:color w:val="auto"/>
                <w:sz w:val="22"/>
                <w:szCs w:val="22"/>
                <w:lang w:val="sr-Latn-ME"/>
              </w:rPr>
              <w:t xml:space="preserve"> s konvulzijama u anamnezi ili rizičnim faktorima za konvulzije</w:t>
            </w:r>
            <w:r w:rsidRPr="0057682A">
              <w:rPr>
                <w:color w:val="auto"/>
                <w:sz w:val="22"/>
                <w:szCs w:val="22"/>
                <w:vertAlign w:val="superscript"/>
                <w:lang w:val="sr-Latn-ME"/>
              </w:rPr>
              <w:t>11</w:t>
            </w:r>
            <w:r w:rsidRPr="0057682A">
              <w:rPr>
                <w:color w:val="auto"/>
                <w:sz w:val="22"/>
                <w:szCs w:val="22"/>
                <w:lang w:val="sr-Latn-ME"/>
              </w:rPr>
              <w:t xml:space="preserve">,  </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distonija (uključujući okulogiraciju)</w:t>
            </w:r>
            <w:r w:rsidRPr="0057682A">
              <w:rPr>
                <w:color w:val="auto"/>
                <w:sz w:val="22"/>
                <w:szCs w:val="22"/>
                <w:vertAlign w:val="superscript"/>
                <w:lang w:val="sr-Latn-ME"/>
              </w:rPr>
              <w:t>11</w:t>
            </w:r>
            <w:r w:rsidRPr="0057682A">
              <w:rPr>
                <w:color w:val="auto"/>
                <w:sz w:val="22"/>
                <w:szCs w:val="22"/>
                <w:lang w:val="sr-Latn-ME"/>
              </w:rPr>
              <w:t>,</w:t>
            </w:r>
          </w:p>
          <w:p w:rsidR="00DA0659" w:rsidRPr="0057682A" w:rsidRDefault="00DA0659" w:rsidP="00BE25B7">
            <w:pPr>
              <w:pStyle w:val="Text"/>
              <w:tabs>
                <w:tab w:val="left" w:pos="567"/>
              </w:tabs>
              <w:spacing w:before="0" w:after="0" w:line="240" w:lineRule="auto"/>
              <w:ind w:left="0" w:right="0" w:firstLine="0"/>
              <w:rPr>
                <w:color w:val="auto"/>
                <w:sz w:val="22"/>
                <w:szCs w:val="22"/>
                <w:vertAlign w:val="superscript"/>
                <w:lang w:val="sr-Latn-ME"/>
              </w:rPr>
            </w:pPr>
            <w:r w:rsidRPr="0057682A">
              <w:rPr>
                <w:color w:val="auto"/>
                <w:sz w:val="22"/>
                <w:szCs w:val="22"/>
                <w:lang w:val="sr-Latn-ME"/>
              </w:rPr>
              <w:t>tardivna diskinezija</w:t>
            </w:r>
            <w:r w:rsidRPr="0057682A">
              <w:rPr>
                <w:color w:val="auto"/>
                <w:sz w:val="22"/>
                <w:szCs w:val="22"/>
                <w:vertAlign w:val="superscript"/>
                <w:lang w:val="sr-Latn-ME"/>
              </w:rPr>
              <w:t>11,</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 xml:space="preserve">amnezija </w:t>
            </w:r>
            <w:r w:rsidRPr="0057682A">
              <w:rPr>
                <w:color w:val="auto"/>
                <w:sz w:val="22"/>
                <w:szCs w:val="22"/>
                <w:vertAlign w:val="superscript"/>
                <w:lang w:val="sr-Latn-ME"/>
              </w:rPr>
              <w:t>9</w:t>
            </w:r>
            <w:r w:rsidRPr="0057682A">
              <w:rPr>
                <w:color w:val="auto"/>
                <w:sz w:val="22"/>
                <w:szCs w:val="22"/>
                <w:lang w:val="sr-Latn-ME"/>
              </w:rPr>
              <w:t>,</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disartrija,</w:t>
            </w:r>
          </w:p>
          <w:p w:rsidR="00DA0659" w:rsidRPr="0057682A" w:rsidRDefault="00DA0659" w:rsidP="00BE25B7">
            <w:pPr>
              <w:pStyle w:val="Text"/>
              <w:tabs>
                <w:tab w:val="left" w:pos="567"/>
              </w:tabs>
              <w:spacing w:before="0" w:after="0" w:line="240" w:lineRule="auto"/>
              <w:ind w:left="0" w:right="0" w:firstLine="0"/>
              <w:rPr>
                <w:bCs/>
                <w:color w:val="auto"/>
                <w:sz w:val="22"/>
                <w:szCs w:val="22"/>
                <w:lang w:val="sr-Latn-ME"/>
              </w:rPr>
            </w:pPr>
            <w:r w:rsidRPr="0057682A">
              <w:rPr>
                <w:bCs/>
                <w:color w:val="auto"/>
                <w:sz w:val="22"/>
                <w:szCs w:val="22"/>
                <w:lang w:val="sr-Latn-ME"/>
              </w:rPr>
              <w:t>zamuckivanje</w:t>
            </w:r>
            <w:r w:rsidRPr="0057682A">
              <w:rPr>
                <w:bCs/>
                <w:color w:val="auto"/>
                <w:sz w:val="22"/>
                <w:szCs w:val="22"/>
                <w:vertAlign w:val="superscript"/>
                <w:lang w:val="sr-Latn-ME"/>
              </w:rPr>
              <w:t>11</w:t>
            </w:r>
            <w:r w:rsidRPr="0057682A">
              <w:rPr>
                <w:bCs/>
                <w:color w:val="auto"/>
                <w:sz w:val="22"/>
                <w:szCs w:val="22"/>
                <w:lang w:val="sr-Latn-ME"/>
              </w:rPr>
              <w:t>,</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sindrom nemirnih nogu</w:t>
            </w:r>
            <w:r w:rsidRPr="0057682A">
              <w:rPr>
                <w:bCs/>
                <w:color w:val="auto"/>
                <w:sz w:val="22"/>
                <w:szCs w:val="22"/>
                <w:vertAlign w:val="superscript"/>
                <w:lang w:val="sr-Latn-ME"/>
              </w:rPr>
              <w:t>11</w:t>
            </w:r>
            <w:r w:rsidRPr="0057682A">
              <w:rPr>
                <w:bCs/>
                <w:color w:val="auto"/>
                <w:sz w:val="22"/>
                <w:szCs w:val="22"/>
                <w:lang w:val="sr-Latn-ME"/>
              </w:rPr>
              <w:t>,</w:t>
            </w: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neuroleptički maligni sindrom (pogledajte poglavlje 4.4)</w:t>
            </w:r>
            <w:r w:rsidRPr="0057682A">
              <w:rPr>
                <w:color w:val="auto"/>
                <w:sz w:val="22"/>
                <w:szCs w:val="22"/>
                <w:vertAlign w:val="superscript"/>
                <w:lang w:val="sr-Latn-ME"/>
              </w:rPr>
              <w:t>12</w:t>
            </w:r>
            <w:r w:rsidRPr="0057682A">
              <w:rPr>
                <w:color w:val="auto"/>
                <w:sz w:val="22"/>
                <w:szCs w:val="22"/>
                <w:lang w:val="sr-Latn-ME"/>
              </w:rPr>
              <w:t xml:space="preserve">, </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simptomi prestanka terapije</w:t>
            </w:r>
            <w:r w:rsidRPr="0057682A">
              <w:rPr>
                <w:color w:val="auto"/>
                <w:sz w:val="22"/>
                <w:szCs w:val="22"/>
                <w:vertAlign w:val="superscript"/>
                <w:lang w:val="sr-Latn-ME"/>
              </w:rPr>
              <w:t>7,12</w:t>
            </w:r>
          </w:p>
        </w:tc>
        <w:tc>
          <w:tcPr>
            <w:tcW w:w="1986"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r>
      <w:tr w:rsidR="00DA0659" w:rsidRPr="0057682A" w:rsidTr="00BE25B7">
        <w:tc>
          <w:tcPr>
            <w:tcW w:w="10032" w:type="dxa"/>
            <w:gridSpan w:val="5"/>
          </w:tcPr>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r w:rsidRPr="0057682A">
              <w:rPr>
                <w:b/>
                <w:color w:val="auto"/>
                <w:sz w:val="22"/>
                <w:szCs w:val="22"/>
                <w:lang w:val="sr-Latn-ME"/>
              </w:rPr>
              <w:t>Srčani poremećaji</w:t>
            </w:r>
          </w:p>
        </w:tc>
      </w:tr>
      <w:tr w:rsidR="00DA0659" w:rsidRPr="0057682A" w:rsidTr="00BE25B7">
        <w:tc>
          <w:tcPr>
            <w:tcW w:w="16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1842"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bradikardija,</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 xml:space="preserve">produženje </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QT</w:t>
            </w:r>
            <w:r w:rsidRPr="0057682A">
              <w:rPr>
                <w:color w:val="auto"/>
                <w:sz w:val="22"/>
                <w:szCs w:val="22"/>
                <w:vertAlign w:val="subscript"/>
                <w:lang w:val="sr-Latn-ME"/>
              </w:rPr>
              <w:t xml:space="preserve">c </w:t>
            </w:r>
            <w:r w:rsidRPr="0057682A">
              <w:rPr>
                <w:color w:val="auto"/>
                <w:sz w:val="22"/>
                <w:szCs w:val="22"/>
                <w:lang w:val="sr-Latn-ME"/>
              </w:rPr>
              <w:t>-intervala (pogledajte poglavlje 4.4)</w:t>
            </w: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vertAlign w:val="superscript"/>
                <w:lang w:val="sr-Latn-ME"/>
              </w:rPr>
            </w:pPr>
            <w:r w:rsidRPr="0057682A">
              <w:rPr>
                <w:color w:val="auto"/>
                <w:sz w:val="22"/>
                <w:szCs w:val="22"/>
                <w:lang w:val="sr-Latn-ME"/>
              </w:rPr>
              <w:t>ventrikularna tahikardija/fibrilacija, nagla smrt (pogledajte poglavlje 4.4)</w:t>
            </w:r>
            <w:r w:rsidRPr="0057682A">
              <w:rPr>
                <w:color w:val="auto"/>
                <w:sz w:val="22"/>
                <w:szCs w:val="22"/>
                <w:vertAlign w:val="superscript"/>
                <w:lang w:val="sr-Latn-ME"/>
              </w:rPr>
              <w:t>11</w:t>
            </w:r>
          </w:p>
        </w:tc>
        <w:tc>
          <w:tcPr>
            <w:tcW w:w="1986"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r>
      <w:tr w:rsidR="00DA0659" w:rsidRPr="0057682A" w:rsidTr="00BE25B7">
        <w:tc>
          <w:tcPr>
            <w:tcW w:w="8046" w:type="dxa"/>
            <w:gridSpan w:val="4"/>
          </w:tcPr>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r w:rsidRPr="0057682A">
              <w:rPr>
                <w:b/>
                <w:color w:val="auto"/>
                <w:sz w:val="22"/>
                <w:szCs w:val="22"/>
                <w:lang w:val="sr-Latn-ME"/>
              </w:rPr>
              <w:t>Vaskularni poremećaji</w:t>
            </w:r>
          </w:p>
        </w:tc>
        <w:tc>
          <w:tcPr>
            <w:tcW w:w="1986" w:type="dxa"/>
          </w:tcPr>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p>
        </w:tc>
      </w:tr>
      <w:tr w:rsidR="00DA0659" w:rsidRPr="0057682A" w:rsidTr="00BE25B7">
        <w:tc>
          <w:tcPr>
            <w:tcW w:w="1668" w:type="dxa"/>
          </w:tcPr>
          <w:p w:rsidR="00DA0659" w:rsidRPr="0057682A" w:rsidRDefault="00DA0659" w:rsidP="00BE25B7">
            <w:pPr>
              <w:pStyle w:val="Text"/>
              <w:tabs>
                <w:tab w:val="left" w:pos="567"/>
              </w:tabs>
              <w:spacing w:before="0" w:after="0" w:line="240" w:lineRule="auto"/>
              <w:ind w:left="0" w:right="0" w:firstLine="0"/>
              <w:rPr>
                <w:color w:val="auto"/>
                <w:sz w:val="22"/>
                <w:szCs w:val="22"/>
                <w:vertAlign w:val="superscript"/>
                <w:lang w:val="sr-Latn-ME"/>
              </w:rPr>
            </w:pPr>
            <w:r w:rsidRPr="0057682A">
              <w:rPr>
                <w:color w:val="auto"/>
                <w:sz w:val="22"/>
                <w:szCs w:val="22"/>
                <w:lang w:val="sr-Latn-ME"/>
              </w:rPr>
              <w:t>ortostatska hipotenzija</w:t>
            </w:r>
            <w:r w:rsidRPr="0057682A">
              <w:rPr>
                <w:color w:val="auto"/>
                <w:sz w:val="22"/>
                <w:szCs w:val="22"/>
                <w:vertAlign w:val="superscript"/>
                <w:lang w:val="sr-Latn-ME"/>
              </w:rPr>
              <w:t>11</w:t>
            </w: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1842"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bCs/>
                <w:color w:val="auto"/>
                <w:sz w:val="22"/>
                <w:szCs w:val="22"/>
                <w:lang w:val="sr-Latn-ME"/>
              </w:rPr>
              <w:t>tromboembolija (uključujući plućnu emboliju i duboku vensku trombozu) (pogledajte poglavlje 4.4)</w:t>
            </w: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1986"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r>
      <w:tr w:rsidR="00DA0659" w:rsidRPr="0057682A" w:rsidTr="00BE25B7">
        <w:tc>
          <w:tcPr>
            <w:tcW w:w="10032" w:type="dxa"/>
            <w:gridSpan w:val="5"/>
          </w:tcPr>
          <w:p w:rsidR="00DA0659" w:rsidRPr="0057682A" w:rsidRDefault="00DA0659" w:rsidP="00BE25B7">
            <w:pPr>
              <w:pStyle w:val="Text"/>
              <w:tabs>
                <w:tab w:val="left" w:pos="567"/>
              </w:tabs>
              <w:spacing w:before="0" w:after="0" w:line="240" w:lineRule="auto"/>
              <w:ind w:left="0" w:right="0" w:firstLine="0"/>
              <w:rPr>
                <w:b/>
                <w:color w:val="auto"/>
                <w:sz w:val="22"/>
                <w:szCs w:val="22"/>
                <w:highlight w:val="yellow"/>
                <w:lang w:val="sr-Latn-ME"/>
              </w:rPr>
            </w:pPr>
            <w:r w:rsidRPr="0057682A">
              <w:rPr>
                <w:b/>
                <w:bCs/>
                <w:color w:val="auto"/>
                <w:sz w:val="22"/>
                <w:szCs w:val="22"/>
                <w:lang w:val="sr-Latn-ME"/>
              </w:rPr>
              <w:t>Respiratorni, torakalni i medijastinalni poremećaji</w:t>
            </w:r>
          </w:p>
        </w:tc>
      </w:tr>
      <w:tr w:rsidR="00DA0659" w:rsidRPr="0057682A" w:rsidTr="00BE25B7">
        <w:tc>
          <w:tcPr>
            <w:tcW w:w="16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2268" w:type="dxa"/>
          </w:tcPr>
          <w:p w:rsidR="00DA0659" w:rsidRPr="0057682A" w:rsidDel="00962289" w:rsidRDefault="00DA0659" w:rsidP="00BE25B7">
            <w:pPr>
              <w:pStyle w:val="Text"/>
              <w:tabs>
                <w:tab w:val="left" w:pos="567"/>
              </w:tabs>
              <w:spacing w:before="0" w:after="0" w:line="240" w:lineRule="auto"/>
              <w:ind w:left="0" w:right="0" w:firstLine="0"/>
              <w:rPr>
                <w:color w:val="auto"/>
                <w:sz w:val="22"/>
                <w:szCs w:val="22"/>
                <w:highlight w:val="yellow"/>
                <w:lang w:val="sr-Latn-ME"/>
              </w:rPr>
            </w:pPr>
          </w:p>
        </w:tc>
        <w:tc>
          <w:tcPr>
            <w:tcW w:w="1842" w:type="dxa"/>
          </w:tcPr>
          <w:p w:rsidR="00DA0659" w:rsidRPr="0057682A" w:rsidRDefault="00DA0659" w:rsidP="00BE25B7">
            <w:pPr>
              <w:pStyle w:val="Text"/>
              <w:tabs>
                <w:tab w:val="left" w:pos="567"/>
              </w:tabs>
              <w:spacing w:before="0" w:after="0" w:line="240" w:lineRule="auto"/>
              <w:ind w:left="0" w:right="0" w:firstLine="0"/>
              <w:rPr>
                <w:bCs/>
                <w:color w:val="auto"/>
                <w:sz w:val="22"/>
                <w:szCs w:val="22"/>
                <w:highlight w:val="yellow"/>
                <w:lang w:val="sr-Latn-ME"/>
              </w:rPr>
            </w:pPr>
            <w:r w:rsidRPr="0057682A">
              <w:rPr>
                <w:bCs/>
                <w:color w:val="auto"/>
                <w:sz w:val="22"/>
                <w:szCs w:val="22"/>
                <w:lang w:val="sr-Latn-ME"/>
              </w:rPr>
              <w:t>epistaksa</w:t>
            </w:r>
            <w:r w:rsidRPr="0057682A">
              <w:rPr>
                <w:color w:val="auto"/>
                <w:sz w:val="22"/>
                <w:szCs w:val="22"/>
                <w:vertAlign w:val="superscript"/>
                <w:lang w:val="sr-Latn-ME"/>
              </w:rPr>
              <w:t>9</w:t>
            </w: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highlight w:val="yellow"/>
                <w:lang w:val="sr-Latn-ME"/>
              </w:rPr>
            </w:pPr>
          </w:p>
        </w:tc>
        <w:tc>
          <w:tcPr>
            <w:tcW w:w="1986"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r>
      <w:tr w:rsidR="00DA0659" w:rsidRPr="0057682A" w:rsidTr="00BE25B7">
        <w:tc>
          <w:tcPr>
            <w:tcW w:w="10032" w:type="dxa"/>
            <w:gridSpan w:val="5"/>
          </w:tcPr>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r w:rsidRPr="0057682A">
              <w:rPr>
                <w:b/>
                <w:color w:val="auto"/>
                <w:sz w:val="22"/>
                <w:szCs w:val="22"/>
                <w:lang w:val="sr-Latn-ME"/>
              </w:rPr>
              <w:t>Poremećaji probavnog sistema</w:t>
            </w:r>
          </w:p>
        </w:tc>
      </w:tr>
      <w:tr w:rsidR="00DA0659" w:rsidRPr="0057682A" w:rsidTr="00BE25B7">
        <w:tc>
          <w:tcPr>
            <w:tcW w:w="16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 xml:space="preserve">blago, prolazno antikolinergičko dejstvo uključujući konstipaciju i suva usta  </w:t>
            </w:r>
          </w:p>
        </w:tc>
        <w:tc>
          <w:tcPr>
            <w:tcW w:w="1842" w:type="dxa"/>
          </w:tcPr>
          <w:p w:rsidR="00DA0659" w:rsidRPr="0057682A" w:rsidRDefault="00DA0659" w:rsidP="00BE25B7">
            <w:pPr>
              <w:pStyle w:val="Text"/>
              <w:tabs>
                <w:tab w:val="left" w:pos="567"/>
              </w:tabs>
              <w:spacing w:before="0" w:after="0" w:line="240" w:lineRule="auto"/>
              <w:ind w:left="0" w:right="0" w:firstLine="0"/>
              <w:rPr>
                <w:color w:val="auto"/>
                <w:sz w:val="22"/>
                <w:szCs w:val="22"/>
                <w:vertAlign w:val="superscript"/>
                <w:lang w:val="sr-Latn-ME"/>
              </w:rPr>
            </w:pPr>
            <w:r w:rsidRPr="0057682A">
              <w:rPr>
                <w:color w:val="auto"/>
                <w:sz w:val="22"/>
                <w:szCs w:val="22"/>
                <w:lang w:val="sr-Latn-ME"/>
              </w:rPr>
              <w:t>abdominalna distenzija</w:t>
            </w:r>
            <w:r w:rsidRPr="0057682A">
              <w:rPr>
                <w:color w:val="auto"/>
                <w:sz w:val="22"/>
                <w:szCs w:val="22"/>
                <w:vertAlign w:val="superscript"/>
                <w:lang w:val="sr-Latn-ME"/>
              </w:rPr>
              <w:t>9</w:t>
            </w:r>
          </w:p>
          <w:p w:rsidR="00DA0659" w:rsidRPr="0057682A" w:rsidRDefault="00DA0659" w:rsidP="00BE25B7">
            <w:pPr>
              <w:autoSpaceDE w:val="0"/>
              <w:autoSpaceDN w:val="0"/>
              <w:adjustRightInd w:val="0"/>
              <w:rPr>
                <w:bCs/>
                <w:noProof/>
                <w:szCs w:val="22"/>
                <w:lang w:val="sr-Latn-ME"/>
              </w:rPr>
            </w:pPr>
            <w:r w:rsidRPr="0057682A">
              <w:rPr>
                <w:bCs/>
                <w:szCs w:val="22"/>
                <w:lang w:val="sr-Latn-ME"/>
              </w:rPr>
              <w:t>salivarna hipersekrecija</w:t>
            </w:r>
            <w:r w:rsidRPr="0057682A">
              <w:rPr>
                <w:bCs/>
                <w:szCs w:val="22"/>
                <w:vertAlign w:val="superscript"/>
                <w:lang w:val="sr-Latn-ME"/>
              </w:rPr>
              <w:t>11</w:t>
            </w: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vertAlign w:val="superscript"/>
                <w:lang w:val="sr-Latn-ME"/>
              </w:rPr>
            </w:pPr>
            <w:r w:rsidRPr="0057682A">
              <w:rPr>
                <w:color w:val="auto"/>
                <w:sz w:val="22"/>
                <w:szCs w:val="22"/>
                <w:lang w:val="sr-Latn-ME"/>
              </w:rPr>
              <w:t>pankreatitis</w:t>
            </w:r>
            <w:r w:rsidRPr="0057682A">
              <w:rPr>
                <w:color w:val="auto"/>
                <w:sz w:val="22"/>
                <w:szCs w:val="22"/>
                <w:vertAlign w:val="superscript"/>
                <w:lang w:val="sr-Latn-ME"/>
              </w:rPr>
              <w:t>11</w:t>
            </w:r>
          </w:p>
        </w:tc>
        <w:tc>
          <w:tcPr>
            <w:tcW w:w="1986"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r>
      <w:tr w:rsidR="00DA0659" w:rsidRPr="0057682A" w:rsidTr="00BE25B7">
        <w:tc>
          <w:tcPr>
            <w:tcW w:w="10032" w:type="dxa"/>
            <w:gridSpan w:val="5"/>
          </w:tcPr>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r w:rsidRPr="0057682A">
              <w:rPr>
                <w:b/>
                <w:color w:val="auto"/>
                <w:sz w:val="22"/>
                <w:szCs w:val="22"/>
                <w:lang w:val="sr-Latn-ME"/>
              </w:rPr>
              <w:t>Hepatobilijarni poremećaji</w:t>
            </w:r>
          </w:p>
        </w:tc>
      </w:tr>
      <w:tr w:rsidR="00DA0659" w:rsidRPr="0057682A" w:rsidTr="00BE25B7">
        <w:tc>
          <w:tcPr>
            <w:tcW w:w="16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 xml:space="preserve">prolazni, asimptomatski porast jetrenih </w:t>
            </w:r>
            <w:r w:rsidRPr="0057682A">
              <w:rPr>
                <w:color w:val="auto"/>
                <w:sz w:val="22"/>
                <w:szCs w:val="22"/>
                <w:lang w:val="sr-Latn-ME" w:eastAsia="en-GB"/>
              </w:rPr>
              <w:t>aminotransferaza</w:t>
            </w:r>
            <w:r w:rsidRPr="0057682A">
              <w:rPr>
                <w:color w:val="auto"/>
                <w:sz w:val="22"/>
                <w:szCs w:val="22"/>
                <w:lang w:val="sr-Latn-ME"/>
              </w:rPr>
              <w:t xml:space="preserve"> (ALT, AST), posebno u ranom liječenju (pogledajte poglavlje 4.4)</w:t>
            </w:r>
          </w:p>
        </w:tc>
        <w:tc>
          <w:tcPr>
            <w:tcW w:w="1842"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vertAlign w:val="superscript"/>
                <w:lang w:val="sr-Latn-ME"/>
              </w:rPr>
            </w:pPr>
            <w:r w:rsidRPr="0057682A">
              <w:rPr>
                <w:color w:val="auto"/>
                <w:sz w:val="22"/>
                <w:szCs w:val="22"/>
                <w:lang w:val="sr-Latn-ME"/>
              </w:rPr>
              <w:t>hepatitis (uključujući hepatocelularnu, holestetsku ili mješovitu upalu jetre)</w:t>
            </w:r>
            <w:r w:rsidRPr="0057682A">
              <w:rPr>
                <w:color w:val="auto"/>
                <w:sz w:val="22"/>
                <w:szCs w:val="22"/>
                <w:vertAlign w:val="superscript"/>
                <w:lang w:val="sr-Latn-ME"/>
              </w:rPr>
              <w:t>11</w:t>
            </w:r>
          </w:p>
        </w:tc>
        <w:tc>
          <w:tcPr>
            <w:tcW w:w="1986"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r>
      <w:tr w:rsidR="00DA0659" w:rsidRPr="0057682A" w:rsidTr="00BE25B7">
        <w:tc>
          <w:tcPr>
            <w:tcW w:w="10032" w:type="dxa"/>
            <w:gridSpan w:val="5"/>
          </w:tcPr>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r w:rsidRPr="0057682A">
              <w:rPr>
                <w:b/>
                <w:color w:val="auto"/>
                <w:sz w:val="22"/>
                <w:szCs w:val="22"/>
                <w:lang w:val="sr-Latn-ME"/>
              </w:rPr>
              <w:t>Poremećaji kože i potkožnog tkiva</w:t>
            </w:r>
          </w:p>
        </w:tc>
      </w:tr>
      <w:tr w:rsidR="00DA0659" w:rsidRPr="0057682A" w:rsidTr="00BE25B7">
        <w:tc>
          <w:tcPr>
            <w:tcW w:w="16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osip</w:t>
            </w:r>
          </w:p>
        </w:tc>
        <w:tc>
          <w:tcPr>
            <w:tcW w:w="1842"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fotosenzitivna reakcija,</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alopecija</w:t>
            </w: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1986"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bCs/>
                <w:color w:val="auto"/>
                <w:sz w:val="22"/>
                <w:szCs w:val="22"/>
                <w:lang w:val="sr-Latn-ME"/>
              </w:rPr>
              <w:t>Reakcija na lijek sa eozinofilijom i sistemskim simptomima (eng. DRESS)</w:t>
            </w:r>
          </w:p>
        </w:tc>
      </w:tr>
      <w:tr w:rsidR="00DA0659" w:rsidRPr="0057682A" w:rsidTr="00BE25B7">
        <w:tc>
          <w:tcPr>
            <w:tcW w:w="10032" w:type="dxa"/>
            <w:gridSpan w:val="5"/>
          </w:tcPr>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r w:rsidRPr="0057682A">
              <w:rPr>
                <w:b/>
                <w:color w:val="auto"/>
                <w:sz w:val="22"/>
                <w:szCs w:val="22"/>
                <w:lang w:val="sr-Latn-ME"/>
              </w:rPr>
              <w:t>Poremećaji mišićno-koštanog i vezivnog tkiva</w:t>
            </w:r>
          </w:p>
        </w:tc>
      </w:tr>
      <w:tr w:rsidR="00DA0659" w:rsidRPr="0057682A" w:rsidTr="00BE25B7">
        <w:tc>
          <w:tcPr>
            <w:tcW w:w="16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artralgija</w:t>
            </w:r>
            <w:r w:rsidRPr="0057682A">
              <w:rPr>
                <w:color w:val="auto"/>
                <w:sz w:val="22"/>
                <w:szCs w:val="22"/>
                <w:vertAlign w:val="superscript"/>
                <w:lang w:val="sr-Latn-ME"/>
              </w:rPr>
              <w:t>9</w:t>
            </w:r>
          </w:p>
        </w:tc>
        <w:tc>
          <w:tcPr>
            <w:tcW w:w="1842"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rabdomioliza</w:t>
            </w:r>
            <w:r w:rsidR="00BA7B99" w:rsidRPr="0057682A">
              <w:rPr>
                <w:rFonts w:ascii="Arial" w:hAnsi="Arial" w:cs="Arial"/>
                <w:sz w:val="19"/>
                <w:szCs w:val="19"/>
                <w:lang w:val="sr-Latn-ME"/>
              </w:rPr>
              <w:t xml:space="preserve"> 11</w:t>
            </w:r>
          </w:p>
        </w:tc>
        <w:tc>
          <w:tcPr>
            <w:tcW w:w="1986"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r>
      <w:tr w:rsidR="00DA0659" w:rsidRPr="0057682A" w:rsidTr="00BE25B7">
        <w:tc>
          <w:tcPr>
            <w:tcW w:w="10032" w:type="dxa"/>
            <w:gridSpan w:val="5"/>
          </w:tcPr>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r w:rsidRPr="0057682A">
              <w:rPr>
                <w:b/>
                <w:color w:val="auto"/>
                <w:sz w:val="22"/>
                <w:szCs w:val="22"/>
                <w:lang w:val="sr-Latn-ME"/>
              </w:rPr>
              <w:t>Poremećaji bubrega i mokraćnog sistema</w:t>
            </w:r>
          </w:p>
        </w:tc>
      </w:tr>
      <w:tr w:rsidR="00DA0659" w:rsidRPr="0057682A" w:rsidTr="00BE25B7">
        <w:tc>
          <w:tcPr>
            <w:tcW w:w="16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1842" w:type="dxa"/>
          </w:tcPr>
          <w:p w:rsidR="00DA0659" w:rsidRPr="0057682A" w:rsidRDefault="00DA0659" w:rsidP="00BE25B7">
            <w:pPr>
              <w:pStyle w:val="Text"/>
              <w:tabs>
                <w:tab w:val="left" w:pos="567"/>
              </w:tabs>
              <w:spacing w:before="0" w:after="0" w:line="240" w:lineRule="auto"/>
              <w:ind w:left="0" w:right="0" w:firstLine="0"/>
              <w:rPr>
                <w:bCs/>
                <w:color w:val="auto"/>
                <w:sz w:val="22"/>
                <w:szCs w:val="22"/>
                <w:lang w:val="sr-Latn-ME"/>
              </w:rPr>
            </w:pPr>
            <w:r w:rsidRPr="0057682A">
              <w:rPr>
                <w:bCs/>
                <w:color w:val="auto"/>
                <w:sz w:val="22"/>
                <w:szCs w:val="22"/>
                <w:lang w:val="sr-Latn-ME"/>
              </w:rPr>
              <w:t>inkontinencija urina,</w:t>
            </w:r>
            <w:r w:rsidRPr="0057682A">
              <w:rPr>
                <w:sz w:val="22"/>
                <w:szCs w:val="22"/>
                <w:lang w:val="sr-Latn-ME"/>
              </w:rPr>
              <w:t xml:space="preserve"> retencija urina</w:t>
            </w:r>
            <w:r w:rsidRPr="0057682A">
              <w:rPr>
                <w:bCs/>
                <w:color w:val="auto"/>
                <w:sz w:val="22"/>
                <w:szCs w:val="22"/>
                <w:lang w:val="sr-Latn-ME"/>
              </w:rPr>
              <w:t>,</w:t>
            </w:r>
          </w:p>
          <w:p w:rsidR="00DA0659" w:rsidRPr="0057682A" w:rsidRDefault="00DA0659" w:rsidP="00BE25B7">
            <w:pPr>
              <w:pStyle w:val="Text"/>
              <w:tabs>
                <w:tab w:val="left" w:pos="567"/>
              </w:tabs>
              <w:spacing w:before="0" w:after="0" w:line="240" w:lineRule="auto"/>
              <w:ind w:left="0" w:right="0" w:firstLine="0"/>
              <w:rPr>
                <w:color w:val="auto"/>
                <w:sz w:val="22"/>
                <w:szCs w:val="22"/>
                <w:vertAlign w:val="superscript"/>
                <w:lang w:val="sr-Latn-ME"/>
              </w:rPr>
            </w:pPr>
            <w:r w:rsidRPr="0057682A">
              <w:rPr>
                <w:color w:val="auto"/>
                <w:sz w:val="22"/>
                <w:szCs w:val="22"/>
                <w:lang w:val="sr-Latn-ME"/>
              </w:rPr>
              <w:t>otežan početak mokrenja</w:t>
            </w:r>
            <w:r w:rsidRPr="0057682A">
              <w:rPr>
                <w:color w:val="auto"/>
                <w:sz w:val="22"/>
                <w:szCs w:val="22"/>
                <w:vertAlign w:val="superscript"/>
                <w:lang w:val="sr-Latn-ME"/>
              </w:rPr>
              <w:t>11</w:t>
            </w: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1986"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r>
      <w:tr w:rsidR="00DA0659" w:rsidRPr="0057682A" w:rsidTr="00BE25B7">
        <w:tc>
          <w:tcPr>
            <w:tcW w:w="10032" w:type="dxa"/>
            <w:gridSpan w:val="5"/>
          </w:tcPr>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r w:rsidRPr="0057682A">
              <w:rPr>
                <w:b/>
                <w:color w:val="auto"/>
                <w:sz w:val="22"/>
                <w:szCs w:val="22"/>
                <w:lang w:val="sr-Latn-ME"/>
              </w:rPr>
              <w:t xml:space="preserve">Stanja trudnoće i postporođajni te perinatalni period </w:t>
            </w:r>
          </w:p>
        </w:tc>
      </w:tr>
      <w:tr w:rsidR="00DA0659" w:rsidRPr="0057682A" w:rsidTr="00BE25B7">
        <w:tc>
          <w:tcPr>
            <w:tcW w:w="16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1842" w:type="dxa"/>
          </w:tcPr>
          <w:p w:rsidR="00DA0659" w:rsidRPr="0057682A" w:rsidRDefault="00DA0659" w:rsidP="00BE25B7">
            <w:pPr>
              <w:pStyle w:val="Text"/>
              <w:tabs>
                <w:tab w:val="left" w:pos="567"/>
              </w:tabs>
              <w:spacing w:before="0" w:after="0" w:line="240" w:lineRule="auto"/>
              <w:ind w:left="0" w:right="0" w:firstLine="0"/>
              <w:rPr>
                <w:bCs/>
                <w:color w:val="auto"/>
                <w:sz w:val="22"/>
                <w:szCs w:val="22"/>
                <w:lang w:val="sr-Latn-ME"/>
              </w:rPr>
            </w:pP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1986" w:type="dxa"/>
          </w:tcPr>
          <w:p w:rsidR="00DA0659" w:rsidRPr="0057682A" w:rsidRDefault="00DA0659" w:rsidP="00BE25B7">
            <w:pPr>
              <w:pStyle w:val="Text"/>
              <w:tabs>
                <w:tab w:val="left" w:pos="567"/>
              </w:tabs>
              <w:spacing w:before="0" w:after="0" w:line="240" w:lineRule="auto"/>
              <w:ind w:left="0" w:right="0" w:firstLine="0"/>
              <w:rPr>
                <w:bCs/>
                <w:color w:val="auto"/>
                <w:sz w:val="22"/>
                <w:szCs w:val="22"/>
                <w:lang w:val="sr-Latn-ME"/>
              </w:rPr>
            </w:pPr>
            <w:r w:rsidRPr="0057682A">
              <w:rPr>
                <w:bCs/>
                <w:color w:val="auto"/>
                <w:sz w:val="22"/>
                <w:szCs w:val="22"/>
                <w:lang w:val="sr-Latn-ME"/>
              </w:rPr>
              <w:t>neonatalni sindrom ustezanja lijeka (pogledajte poglavlje 4.6)</w:t>
            </w:r>
          </w:p>
        </w:tc>
      </w:tr>
      <w:tr w:rsidR="00DA0659" w:rsidRPr="0057682A" w:rsidTr="00BE25B7">
        <w:tc>
          <w:tcPr>
            <w:tcW w:w="10032" w:type="dxa"/>
            <w:gridSpan w:val="5"/>
          </w:tcPr>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r w:rsidRPr="0057682A">
              <w:rPr>
                <w:b/>
                <w:color w:val="auto"/>
                <w:sz w:val="22"/>
                <w:szCs w:val="22"/>
                <w:lang w:val="sr-Latn-ME"/>
              </w:rPr>
              <w:t xml:space="preserve"> Poremećaji reproduktivnog sistema i dojki</w:t>
            </w:r>
          </w:p>
        </w:tc>
      </w:tr>
      <w:tr w:rsidR="00DA0659" w:rsidRPr="0057682A" w:rsidTr="00BE25B7">
        <w:tc>
          <w:tcPr>
            <w:tcW w:w="16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2268" w:type="dxa"/>
          </w:tcPr>
          <w:p w:rsidR="00DA0659" w:rsidRPr="0057682A" w:rsidRDefault="00DA0659" w:rsidP="00BE25B7">
            <w:pPr>
              <w:pStyle w:val="Text"/>
              <w:tabs>
                <w:tab w:val="left" w:pos="567"/>
              </w:tabs>
              <w:spacing w:before="0" w:after="0" w:line="240" w:lineRule="auto"/>
              <w:ind w:left="0" w:right="0" w:firstLine="0"/>
              <w:rPr>
                <w:sz w:val="22"/>
                <w:szCs w:val="22"/>
                <w:lang w:val="sr-Latn-ME"/>
              </w:rPr>
            </w:pPr>
            <w:r w:rsidRPr="0057682A">
              <w:rPr>
                <w:sz w:val="22"/>
                <w:szCs w:val="22"/>
                <w:lang w:val="sr-Latn-ME"/>
              </w:rPr>
              <w:t>erektilna disfunkcija kod muškaraca</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sz w:val="22"/>
                <w:szCs w:val="22"/>
                <w:lang w:val="sr-Latn-ME"/>
              </w:rPr>
              <w:t>smanjen libido kod muškaraca i žena</w:t>
            </w:r>
          </w:p>
        </w:tc>
        <w:tc>
          <w:tcPr>
            <w:tcW w:w="1842" w:type="dxa"/>
          </w:tcPr>
          <w:p w:rsidR="00DA0659" w:rsidRPr="0057682A" w:rsidRDefault="00DA0659" w:rsidP="00BE25B7">
            <w:pPr>
              <w:pStyle w:val="Text"/>
              <w:tabs>
                <w:tab w:val="left" w:pos="567"/>
              </w:tabs>
              <w:spacing w:before="0" w:after="0" w:line="240" w:lineRule="auto"/>
              <w:ind w:left="0" w:right="0" w:firstLine="0"/>
              <w:rPr>
                <w:sz w:val="22"/>
                <w:szCs w:val="22"/>
                <w:lang w:val="sr-Latn-ME"/>
              </w:rPr>
            </w:pPr>
            <w:r w:rsidRPr="0057682A">
              <w:rPr>
                <w:sz w:val="22"/>
                <w:szCs w:val="22"/>
                <w:lang w:val="sr-Latn-ME"/>
              </w:rPr>
              <w:t>amenoreja</w:t>
            </w:r>
          </w:p>
          <w:p w:rsidR="00DA0659" w:rsidRPr="0057682A" w:rsidRDefault="00DA0659" w:rsidP="00BE25B7">
            <w:pPr>
              <w:pStyle w:val="Text"/>
              <w:tabs>
                <w:tab w:val="left" w:pos="567"/>
              </w:tabs>
              <w:spacing w:before="0" w:after="0" w:line="240" w:lineRule="auto"/>
              <w:ind w:left="0" w:right="0" w:firstLine="0"/>
              <w:rPr>
                <w:sz w:val="22"/>
                <w:szCs w:val="22"/>
                <w:lang w:val="sr-Latn-ME"/>
              </w:rPr>
            </w:pPr>
            <w:r w:rsidRPr="0057682A">
              <w:rPr>
                <w:sz w:val="22"/>
                <w:szCs w:val="22"/>
                <w:lang w:val="sr-Latn-ME"/>
              </w:rPr>
              <w:t>uvećanje grudi</w:t>
            </w:r>
          </w:p>
          <w:p w:rsidR="00DA0659" w:rsidRPr="0057682A" w:rsidRDefault="00DA0659" w:rsidP="00BE25B7">
            <w:pPr>
              <w:pStyle w:val="Text"/>
              <w:tabs>
                <w:tab w:val="left" w:pos="567"/>
              </w:tabs>
              <w:spacing w:before="0" w:after="0" w:line="240" w:lineRule="auto"/>
              <w:ind w:left="0" w:right="0" w:firstLine="0"/>
              <w:rPr>
                <w:sz w:val="22"/>
                <w:szCs w:val="22"/>
                <w:lang w:val="sr-Latn-ME"/>
              </w:rPr>
            </w:pPr>
            <w:r w:rsidRPr="0057682A">
              <w:rPr>
                <w:sz w:val="22"/>
                <w:szCs w:val="22"/>
                <w:lang w:val="sr-Latn-ME"/>
              </w:rPr>
              <w:t>galaktoreja kod žena</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sz w:val="22"/>
                <w:szCs w:val="22"/>
                <w:lang w:val="sr-Latn-ME"/>
              </w:rPr>
              <w:t>ginekomastija/uvećanje grudi kod muškaraca</w:t>
            </w: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vertAlign w:val="superscript"/>
                <w:lang w:val="sr-Latn-ME"/>
              </w:rPr>
            </w:pPr>
            <w:r w:rsidRPr="0057682A">
              <w:rPr>
                <w:color w:val="auto"/>
                <w:sz w:val="22"/>
                <w:szCs w:val="22"/>
                <w:lang w:val="sr-Latn-ME"/>
              </w:rPr>
              <w:t>Prijapizam</w:t>
            </w:r>
            <w:r w:rsidRPr="0057682A">
              <w:rPr>
                <w:color w:val="auto"/>
                <w:sz w:val="22"/>
                <w:szCs w:val="22"/>
                <w:vertAlign w:val="superscript"/>
                <w:lang w:val="sr-Latn-ME"/>
              </w:rPr>
              <w:t>12</w:t>
            </w:r>
          </w:p>
        </w:tc>
        <w:tc>
          <w:tcPr>
            <w:tcW w:w="1986"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r>
      <w:tr w:rsidR="00DA0659" w:rsidRPr="0057682A" w:rsidTr="00BE25B7">
        <w:tc>
          <w:tcPr>
            <w:tcW w:w="10032" w:type="dxa"/>
            <w:gridSpan w:val="5"/>
          </w:tcPr>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r w:rsidRPr="0057682A">
              <w:rPr>
                <w:b/>
                <w:color w:val="auto"/>
                <w:sz w:val="22"/>
                <w:szCs w:val="22"/>
                <w:lang w:val="sr-Latn-ME"/>
              </w:rPr>
              <w:t>Opšti poremećaji i uslovi na mjestu davanja</w:t>
            </w:r>
          </w:p>
        </w:tc>
      </w:tr>
      <w:tr w:rsidR="00DA0659" w:rsidRPr="0057682A" w:rsidTr="00BE25B7">
        <w:tc>
          <w:tcPr>
            <w:tcW w:w="16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astenija</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umor</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edem,</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pireksija</w:t>
            </w:r>
            <w:r w:rsidRPr="0057682A">
              <w:rPr>
                <w:color w:val="auto"/>
                <w:sz w:val="22"/>
                <w:szCs w:val="22"/>
                <w:vertAlign w:val="superscript"/>
                <w:lang w:val="sr-Latn-ME"/>
              </w:rPr>
              <w:t>10</w:t>
            </w:r>
          </w:p>
        </w:tc>
        <w:tc>
          <w:tcPr>
            <w:tcW w:w="1842"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1986"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r>
      <w:tr w:rsidR="00DA0659" w:rsidRPr="0057682A" w:rsidTr="00BE25B7">
        <w:tc>
          <w:tcPr>
            <w:tcW w:w="10032" w:type="dxa"/>
            <w:gridSpan w:val="5"/>
          </w:tcPr>
          <w:p w:rsidR="00DA0659" w:rsidRPr="0057682A" w:rsidRDefault="00DA0659" w:rsidP="00BE25B7">
            <w:pPr>
              <w:pStyle w:val="Text"/>
              <w:tabs>
                <w:tab w:val="left" w:pos="567"/>
              </w:tabs>
              <w:spacing w:before="0" w:after="0" w:line="240" w:lineRule="auto"/>
              <w:ind w:left="0" w:right="0" w:firstLine="0"/>
              <w:rPr>
                <w:b/>
                <w:color w:val="auto"/>
                <w:sz w:val="22"/>
                <w:szCs w:val="22"/>
                <w:lang w:val="sr-Latn-ME"/>
              </w:rPr>
            </w:pPr>
            <w:r w:rsidRPr="0057682A">
              <w:rPr>
                <w:b/>
                <w:color w:val="auto"/>
                <w:sz w:val="22"/>
                <w:szCs w:val="22"/>
                <w:lang w:val="sr-Latn-ME"/>
              </w:rPr>
              <w:t>Pretrage</w:t>
            </w:r>
          </w:p>
        </w:tc>
      </w:tr>
      <w:tr w:rsidR="00DA0659" w:rsidRPr="0057682A" w:rsidTr="00BE25B7">
        <w:tc>
          <w:tcPr>
            <w:tcW w:w="16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povišen nivo prolaktina u plazmi</w:t>
            </w:r>
            <w:r w:rsidRPr="0057682A">
              <w:rPr>
                <w:color w:val="auto"/>
                <w:sz w:val="22"/>
                <w:szCs w:val="22"/>
                <w:vertAlign w:val="superscript"/>
                <w:lang w:val="sr-Latn-ME"/>
              </w:rPr>
              <w:t>8</w:t>
            </w: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povišena alkalna fosfataza</w:t>
            </w:r>
            <w:r w:rsidRPr="0057682A">
              <w:rPr>
                <w:color w:val="auto"/>
                <w:sz w:val="22"/>
                <w:szCs w:val="22"/>
                <w:vertAlign w:val="superscript"/>
                <w:lang w:val="sr-Latn-ME"/>
              </w:rPr>
              <w:t>10</w:t>
            </w:r>
            <w:r w:rsidRPr="0057682A">
              <w:rPr>
                <w:color w:val="auto"/>
                <w:sz w:val="22"/>
                <w:szCs w:val="22"/>
                <w:lang w:val="sr-Latn-ME"/>
              </w:rPr>
              <w:t>,</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visoka kreatin fosfokinaza</w:t>
            </w:r>
            <w:r w:rsidRPr="0057682A">
              <w:rPr>
                <w:color w:val="auto"/>
                <w:sz w:val="22"/>
                <w:szCs w:val="22"/>
                <w:vertAlign w:val="superscript"/>
                <w:lang w:val="sr-Latn-ME"/>
              </w:rPr>
              <w:t>11</w:t>
            </w:r>
            <w:r w:rsidRPr="0057682A">
              <w:rPr>
                <w:color w:val="auto"/>
                <w:sz w:val="22"/>
                <w:szCs w:val="22"/>
                <w:lang w:val="sr-Latn-ME"/>
              </w:rPr>
              <w:t>,</w:t>
            </w:r>
          </w:p>
          <w:p w:rsidR="00DA0659" w:rsidRPr="0057682A" w:rsidRDefault="00DA0659" w:rsidP="00BE25B7">
            <w:pPr>
              <w:pStyle w:val="mdTblEntry"/>
              <w:rPr>
                <w:sz w:val="22"/>
                <w:szCs w:val="22"/>
                <w:vertAlign w:val="superscript"/>
                <w:lang w:val="sr-Latn-ME"/>
              </w:rPr>
            </w:pPr>
            <w:r w:rsidRPr="0057682A">
              <w:rPr>
                <w:sz w:val="22"/>
                <w:szCs w:val="22"/>
                <w:lang w:val="sr-Latn-ME"/>
              </w:rPr>
              <w:t>povišena gama glutamil transferaza</w:t>
            </w:r>
            <w:r w:rsidRPr="0057682A">
              <w:rPr>
                <w:sz w:val="22"/>
                <w:szCs w:val="22"/>
                <w:vertAlign w:val="superscript"/>
                <w:lang w:val="sr-Latn-ME"/>
              </w:rPr>
              <w:t>10</w:t>
            </w:r>
          </w:p>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sz w:val="22"/>
                <w:szCs w:val="22"/>
                <w:lang w:val="sr-Latn-ME"/>
              </w:rPr>
              <w:t>povišena mokraćna kiselina</w:t>
            </w:r>
            <w:r w:rsidRPr="0057682A">
              <w:rPr>
                <w:sz w:val="22"/>
                <w:szCs w:val="22"/>
                <w:vertAlign w:val="superscript"/>
                <w:lang w:val="sr-Latn-ME"/>
              </w:rPr>
              <w:t>10</w:t>
            </w:r>
          </w:p>
        </w:tc>
        <w:tc>
          <w:tcPr>
            <w:tcW w:w="1842"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r w:rsidRPr="0057682A">
              <w:rPr>
                <w:color w:val="auto"/>
                <w:sz w:val="22"/>
                <w:szCs w:val="22"/>
                <w:lang w:val="sr-Latn-ME"/>
              </w:rPr>
              <w:t>povećani ukupni bilirubin</w:t>
            </w:r>
          </w:p>
        </w:tc>
        <w:tc>
          <w:tcPr>
            <w:tcW w:w="2268"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c>
          <w:tcPr>
            <w:tcW w:w="1986" w:type="dxa"/>
          </w:tcPr>
          <w:p w:rsidR="00DA0659" w:rsidRPr="0057682A" w:rsidRDefault="00DA0659" w:rsidP="00BE25B7">
            <w:pPr>
              <w:pStyle w:val="Text"/>
              <w:tabs>
                <w:tab w:val="left" w:pos="567"/>
              </w:tabs>
              <w:spacing w:before="0" w:after="0" w:line="240" w:lineRule="auto"/>
              <w:ind w:left="0" w:right="0" w:firstLine="0"/>
              <w:rPr>
                <w:color w:val="auto"/>
                <w:sz w:val="22"/>
                <w:szCs w:val="22"/>
                <w:lang w:val="sr-Latn-ME"/>
              </w:rPr>
            </w:pPr>
          </w:p>
        </w:tc>
      </w:tr>
    </w:tbl>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vertAlign w:val="superscript"/>
          <w:lang w:val="sr-Latn-ME"/>
        </w:rPr>
        <w:t>1</w:t>
      </w:r>
      <w:r w:rsidRPr="0057682A">
        <w:rPr>
          <w:szCs w:val="22"/>
          <w:lang w:val="sr-Latn-ME"/>
        </w:rPr>
        <w:t xml:space="preserve">Klinički značajan porast tjelesne mase zabilježen je kod svih početnih vrijednosti indeksa tjelesne mase (BMI). Nakon kratkotrajnog liječenja (prosječno trajanje 47 dana), porast tjelesne težine za &gt;7 % od početne bio je vrlo čest (22,2 %), ≥ 15% je bio čest (4.2 %) i ≥ 25 %  je bio povremen (0,8 %). Kod </w:t>
      </w:r>
      <w:r w:rsidR="00BE25B7" w:rsidRPr="0057682A">
        <w:rPr>
          <w:szCs w:val="22"/>
          <w:lang w:val="sr-Latn-ME"/>
        </w:rPr>
        <w:t>pacijenata</w:t>
      </w:r>
      <w:r w:rsidRPr="0057682A">
        <w:rPr>
          <w:szCs w:val="22"/>
          <w:lang w:val="sr-Latn-ME"/>
        </w:rPr>
        <w:t xml:space="preserve"> kojima je za &gt;7 %, ≥ 15 %  i ≥ 25 %  porasla njihova početna tjelesna težina, kod dugotrajnog liječenja (najmanje 48 nedjelja) je porast tjelesne težine bio vrlo čest (64,4 %, 31,7 % i 12,3 %).</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vertAlign w:val="superscript"/>
          <w:lang w:val="sr-Latn-ME"/>
        </w:rPr>
        <w:t xml:space="preserve">2 </w:t>
      </w:r>
      <w:r w:rsidRPr="0057682A">
        <w:rPr>
          <w:szCs w:val="22"/>
          <w:lang w:val="sr-Latn-ME"/>
        </w:rPr>
        <w:t xml:space="preserve">Prosječno povećanje nivoa lipida (ukupnog holesterola, LDL holesterola i triglicerida) natašte bilo je veće kod </w:t>
      </w:r>
      <w:r w:rsidR="00BE25B7" w:rsidRPr="0057682A">
        <w:rPr>
          <w:szCs w:val="22"/>
          <w:lang w:val="sr-Latn-ME"/>
        </w:rPr>
        <w:t>pacijenata</w:t>
      </w:r>
      <w:r w:rsidRPr="0057682A">
        <w:rPr>
          <w:szCs w:val="22"/>
          <w:lang w:val="sr-Latn-ME"/>
        </w:rPr>
        <w:t xml:space="preserve"> bez poremećaja lipida na početku liječenja.</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vertAlign w:val="superscript"/>
          <w:lang w:val="sr-Latn-ME"/>
        </w:rPr>
        <w:t>3</w:t>
      </w:r>
      <w:r w:rsidRPr="0057682A">
        <w:rPr>
          <w:szCs w:val="22"/>
          <w:lang w:val="sr-Latn-ME"/>
        </w:rPr>
        <w:t>Zapaženo je povećanje onih nivoa holesterola koji su u početku liječenja bili natašte unutar graničnih vrijednosti (&lt; 5,17mmol/l), a tokom liječenja su porasli (≥ 6.2 mmol/l). Promjene ukupnog holesterola natašte s početne granične vrijednosti (&lt;5,17 - &lt; 6,2mmol/l) na visoke (≥ 6.2mmo/l) bile su vrlo česte.</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vertAlign w:val="superscript"/>
          <w:lang w:val="sr-Latn-ME"/>
        </w:rPr>
        <w:lastRenderedPageBreak/>
        <w:t>4</w:t>
      </w:r>
      <w:r w:rsidRPr="0057682A">
        <w:rPr>
          <w:szCs w:val="22"/>
          <w:lang w:val="sr-Latn-ME"/>
        </w:rPr>
        <w:t>Zapaženo je povećanje onih nivoa glukoze koji su u početku liječenja bili natašte unutar graničnih vrijednosti (&lt; 5,56 mmol/l), a za vrijeme liječenja su porasli (≥ 7mmo/l). Promjene glukoze natašte s početne granične vrijednosti (≥ 5,56 - &lt; 7 mmol/l) na visoke (≥7 mmol/l) bile su vrlo česte.</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bCs/>
          <w:iCs/>
          <w:szCs w:val="22"/>
          <w:lang w:val="sr-Latn-ME"/>
        </w:rPr>
      </w:pPr>
      <w:r w:rsidRPr="0057682A">
        <w:rPr>
          <w:bCs/>
          <w:iCs/>
          <w:szCs w:val="22"/>
          <w:vertAlign w:val="superscript"/>
          <w:lang w:val="sr-Latn-ME"/>
        </w:rPr>
        <w:t>5</w:t>
      </w:r>
      <w:r w:rsidRPr="0057682A">
        <w:rPr>
          <w:bCs/>
          <w:iCs/>
          <w:szCs w:val="22"/>
          <w:lang w:val="sr-Latn-ME"/>
        </w:rPr>
        <w:t>Zapaženo je povećanje nivoa triglicerida koji su u početku liječenja bili natašte unutar graničnih vrijednosti (&lt; 1,69 mmol/l), a za vrijeme liječenja su porasli ( (≥ 2,26. mmol/l). Promjene triglicerida natašte s početne granične vrijednosti ( ≥ 1,69 mmol/ - &lt; 2,26 mmo/l) na visoke (≥ 2,26 mmol/l) bile su vrlo česte.</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vertAlign w:val="superscript"/>
          <w:lang w:val="sr-Latn-ME"/>
        </w:rPr>
        <w:t>6</w:t>
      </w:r>
      <w:r w:rsidRPr="0057682A">
        <w:rPr>
          <w:szCs w:val="22"/>
          <w:lang w:val="sr-Latn-ME"/>
        </w:rPr>
        <w:t xml:space="preserve">U kliničkim ispitivanjima, učestalost parkinsonizma i distonije kod </w:t>
      </w:r>
      <w:r w:rsidR="00BE25B7" w:rsidRPr="0057682A">
        <w:rPr>
          <w:szCs w:val="22"/>
          <w:lang w:val="sr-Latn-ME"/>
        </w:rPr>
        <w:t>pacijenata</w:t>
      </w:r>
      <w:r w:rsidRPr="0057682A">
        <w:rPr>
          <w:szCs w:val="22"/>
          <w:lang w:val="sr-Latn-ME"/>
        </w:rPr>
        <w:t xml:space="preserve"> liječenih olanzapinom nije se statistički značajno razlikovala od placeba, iako je bila brojčano veća. Bolesnici liječeni olanzapinom imali su manju učestalost parkinsonizma, akatizije i distonije u upoređenju s onima koji su primali haloperidol. U nedostatku detaljnih informacija o prethodnom postojanju akutnih i tardivnih ekstrapiramidnih poremećaja, u ovom trenutku se ne može  zaključiti uzrokuje li olanzapin manje tardivnih diskinezija i/ili drugih ekstrapiramidnih sindroma.</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vertAlign w:val="superscript"/>
          <w:lang w:val="sr-Latn-ME"/>
        </w:rPr>
        <w:t>7</w:t>
      </w:r>
      <w:r w:rsidRPr="0057682A">
        <w:rPr>
          <w:szCs w:val="22"/>
          <w:lang w:val="sr-Latn-ME"/>
        </w:rPr>
        <w:t xml:space="preserve">Izvještavali su o akutnim simptomima  kao što su znojenje, nesanica, tremor, tjeskoba, mučnina i povraćanje kad je naglo prekinuta terapija olanzapinom. </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vertAlign w:val="superscript"/>
          <w:lang w:val="sr-Latn-ME"/>
        </w:rPr>
        <w:t xml:space="preserve">8 </w:t>
      </w:r>
      <w:r w:rsidRPr="0057682A">
        <w:rPr>
          <w:szCs w:val="22"/>
          <w:lang w:val="sr-Latn-ME"/>
        </w:rPr>
        <w:t xml:space="preserve">U kliničkim ispitivanjima koja su trajala do 12 nedjelja, koncentracija prolaktina u plazmi premašila je gornju granicu normalnih vrijednosti za oko 30 % kod </w:t>
      </w:r>
      <w:r w:rsidR="00BE25B7" w:rsidRPr="0057682A">
        <w:rPr>
          <w:szCs w:val="22"/>
          <w:lang w:val="sr-Latn-ME"/>
        </w:rPr>
        <w:t>pacijenata</w:t>
      </w:r>
      <w:r w:rsidRPr="0057682A">
        <w:rPr>
          <w:szCs w:val="22"/>
          <w:lang w:val="sr-Latn-ME"/>
        </w:rPr>
        <w:t xml:space="preserve"> liječenih olanzapinom s početnim normalnim vrijednostima prolaktina. Kod većine ovih </w:t>
      </w:r>
      <w:r w:rsidR="00BE25B7" w:rsidRPr="0057682A">
        <w:rPr>
          <w:szCs w:val="22"/>
          <w:lang w:val="sr-Latn-ME"/>
        </w:rPr>
        <w:t>pacijenata</w:t>
      </w:r>
      <w:r w:rsidRPr="0057682A">
        <w:rPr>
          <w:szCs w:val="22"/>
          <w:lang w:val="sr-Latn-ME"/>
        </w:rPr>
        <w:t xml:space="preserve"> porast je uopšteno bio blag i vrijednosti su ostale dva puta niže od normalnih granica. </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jc w:val="both"/>
        <w:rPr>
          <w:rStyle w:val="tlid-translation"/>
          <w:szCs w:val="22"/>
          <w:lang w:val="sr-Latn-ME"/>
        </w:rPr>
      </w:pPr>
      <w:r w:rsidRPr="0057682A">
        <w:rPr>
          <w:rStyle w:val="tlid-translation"/>
          <w:szCs w:val="22"/>
          <w:vertAlign w:val="superscript"/>
          <w:lang w:val="sr-Latn-ME"/>
        </w:rPr>
        <w:t>9</w:t>
      </w:r>
      <w:r w:rsidRPr="0057682A">
        <w:rPr>
          <w:rStyle w:val="tlid-translation"/>
          <w:szCs w:val="22"/>
          <w:lang w:val="sr-Latn-ME"/>
        </w:rPr>
        <w:t>Neželjeni događaj identifikovan iz kliničkih ispitivanja u integrisanoj bazi podataka o olanzapinu.</w:t>
      </w:r>
    </w:p>
    <w:p w:rsidR="00DA0659" w:rsidRPr="0057682A" w:rsidRDefault="00DA0659" w:rsidP="00DA0659">
      <w:pPr>
        <w:jc w:val="both"/>
        <w:rPr>
          <w:rStyle w:val="tlid-translation"/>
          <w:szCs w:val="22"/>
          <w:lang w:val="sr-Latn-ME"/>
        </w:rPr>
      </w:pPr>
    </w:p>
    <w:p w:rsidR="00DA0659" w:rsidRPr="0057682A" w:rsidRDefault="00DA0659" w:rsidP="00DA0659">
      <w:pPr>
        <w:jc w:val="both"/>
        <w:rPr>
          <w:szCs w:val="22"/>
          <w:lang w:val="sr-Latn-ME"/>
        </w:rPr>
      </w:pPr>
      <w:r w:rsidRPr="0057682A">
        <w:rPr>
          <w:rStyle w:val="tlid-translation"/>
          <w:szCs w:val="22"/>
          <w:vertAlign w:val="superscript"/>
          <w:lang w:val="sr-Latn-ME"/>
        </w:rPr>
        <w:t>10</w:t>
      </w:r>
      <w:r w:rsidRPr="0057682A">
        <w:rPr>
          <w:rStyle w:val="tlid-translation"/>
          <w:szCs w:val="22"/>
          <w:lang w:val="sr-Latn-ME"/>
        </w:rPr>
        <w:t>Procijenjeno na osnovu izmjerenih vrijednosti iz kliničkih ispitivanja u integrisanoj bazi podataka o olanzapinu.</w:t>
      </w:r>
    </w:p>
    <w:p w:rsidR="00DA0659" w:rsidRPr="0057682A" w:rsidRDefault="00DA0659" w:rsidP="00DA0659">
      <w:pPr>
        <w:jc w:val="both"/>
        <w:rPr>
          <w:szCs w:val="22"/>
          <w:lang w:val="sr-Latn-ME"/>
        </w:rPr>
      </w:pPr>
    </w:p>
    <w:p w:rsidR="00DA0659" w:rsidRPr="0057682A" w:rsidRDefault="00DA0659" w:rsidP="00DA0659">
      <w:pPr>
        <w:jc w:val="both"/>
        <w:rPr>
          <w:szCs w:val="22"/>
          <w:lang w:val="sr-Latn-ME"/>
        </w:rPr>
      </w:pPr>
      <w:r w:rsidRPr="0057682A">
        <w:rPr>
          <w:rStyle w:val="tlid-translation"/>
          <w:szCs w:val="22"/>
          <w:vertAlign w:val="superscript"/>
          <w:lang w:val="sr-Latn-ME"/>
        </w:rPr>
        <w:t>11</w:t>
      </w:r>
      <w:r w:rsidRPr="0057682A">
        <w:rPr>
          <w:rStyle w:val="tlid-translation"/>
          <w:szCs w:val="22"/>
          <w:lang w:val="sr-Latn-ME"/>
        </w:rPr>
        <w:t>Neželjeni događaj identifikovan iz spontanog izvještavanja nakon stavljanja lijeka u promet s učestalošću utvrđenom korišćenjem integrisane baze podataka o olanzapinu.</w:t>
      </w:r>
    </w:p>
    <w:p w:rsidR="00DA0659" w:rsidRPr="0057682A" w:rsidRDefault="00DA0659" w:rsidP="00DA0659">
      <w:pPr>
        <w:jc w:val="both"/>
        <w:rPr>
          <w:szCs w:val="22"/>
          <w:lang w:val="sr-Latn-ME"/>
        </w:rPr>
      </w:pPr>
    </w:p>
    <w:p w:rsidR="00DA0659" w:rsidRPr="0057682A" w:rsidRDefault="00DA0659" w:rsidP="00DA0659">
      <w:pPr>
        <w:jc w:val="both"/>
        <w:rPr>
          <w:szCs w:val="22"/>
          <w:lang w:val="sr-Latn-ME"/>
        </w:rPr>
      </w:pPr>
      <w:r w:rsidRPr="0057682A">
        <w:rPr>
          <w:rStyle w:val="tlid-translation"/>
          <w:szCs w:val="22"/>
          <w:vertAlign w:val="superscript"/>
          <w:lang w:val="sr-Latn-ME"/>
        </w:rPr>
        <w:t>12</w:t>
      </w:r>
      <w:r w:rsidRPr="0057682A">
        <w:rPr>
          <w:rStyle w:val="tlid-translation"/>
          <w:szCs w:val="22"/>
          <w:lang w:val="sr-Latn-ME"/>
        </w:rPr>
        <w:t>Neželjeni događaj identifikovan iz spontanog izvještavanja nakon stavljanja lijeka u promet s učestalošću procijenjenom na gornjoj granici od 95% intervala pouzdanosti korišćenjem integrisane baze podataka o olanzapinu.</w:t>
      </w:r>
    </w:p>
    <w:p w:rsidR="00DA0659" w:rsidRPr="0057682A" w:rsidRDefault="00DA0659" w:rsidP="00DA0659">
      <w:pPr>
        <w:autoSpaceDE w:val="0"/>
        <w:autoSpaceDN w:val="0"/>
        <w:adjustRightInd w:val="0"/>
        <w:jc w:val="both"/>
        <w:rPr>
          <w:iCs/>
          <w:szCs w:val="22"/>
          <w:lang w:val="sr-Latn-ME"/>
        </w:rPr>
      </w:pPr>
    </w:p>
    <w:p w:rsidR="00DA0659" w:rsidRPr="0057682A" w:rsidRDefault="00DA0659" w:rsidP="00DA0659">
      <w:pPr>
        <w:autoSpaceDE w:val="0"/>
        <w:autoSpaceDN w:val="0"/>
        <w:adjustRightInd w:val="0"/>
        <w:jc w:val="both"/>
        <w:rPr>
          <w:b/>
          <w:i/>
          <w:iCs/>
          <w:szCs w:val="22"/>
          <w:lang w:val="sr-Latn-ME"/>
        </w:rPr>
      </w:pPr>
      <w:r w:rsidRPr="0057682A">
        <w:rPr>
          <w:b/>
          <w:i/>
          <w:iCs/>
          <w:szCs w:val="22"/>
          <w:lang w:val="sr-Latn-ME"/>
        </w:rPr>
        <w:t>Dugotrajna izloženost (najmanje 48 sedmica)</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S vremenom se povećava udio </w:t>
      </w:r>
      <w:r w:rsidR="00BE25B7" w:rsidRPr="0057682A">
        <w:rPr>
          <w:szCs w:val="22"/>
          <w:lang w:val="sr-Latn-ME"/>
        </w:rPr>
        <w:t>pacijenata</w:t>
      </w:r>
      <w:r w:rsidRPr="0057682A">
        <w:rPr>
          <w:szCs w:val="22"/>
          <w:lang w:val="sr-Latn-ME"/>
        </w:rPr>
        <w:t xml:space="preserve"> koji su imali nepoželjne, klinički značajne promjene u povećanju tjelesne težine, glukoze, ukupnom/LDL/HDL holesterolu ili trigliceridima. Kod </w:t>
      </w:r>
      <w:r w:rsidR="00BE25B7" w:rsidRPr="0057682A">
        <w:rPr>
          <w:szCs w:val="22"/>
          <w:lang w:val="sr-Latn-ME"/>
        </w:rPr>
        <w:t>pacijenata</w:t>
      </w:r>
      <w:r w:rsidRPr="0057682A">
        <w:rPr>
          <w:szCs w:val="22"/>
          <w:lang w:val="sr-Latn-ME"/>
        </w:rPr>
        <w:t xml:space="preserve"> koji su završili s liječenjem u trajanju od 9 –12 mjeseci, tempo povećanja srednje vrijednosti glukoze usporio se nakon približno 6 mjeseci.</w:t>
      </w:r>
    </w:p>
    <w:p w:rsidR="00DA0659" w:rsidRPr="0057682A" w:rsidRDefault="00DA0659" w:rsidP="00DA0659">
      <w:pPr>
        <w:pStyle w:val="Heading2"/>
        <w:jc w:val="both"/>
        <w:rPr>
          <w:i/>
          <w:sz w:val="22"/>
          <w:szCs w:val="22"/>
          <w:u w:val="none"/>
          <w:lang w:val="sr-Latn-ME"/>
        </w:rPr>
      </w:pPr>
      <w:r w:rsidRPr="0057682A">
        <w:rPr>
          <w:i/>
          <w:sz w:val="22"/>
          <w:szCs w:val="22"/>
          <w:u w:val="none"/>
          <w:lang w:val="sr-Latn-ME"/>
        </w:rPr>
        <w:t>Dodatne informacije o posebnim populacijama</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U kliničkim ispitivanjima na starijim bolesnicima s demencijom, primjena olanzapina bila je povezana s većom učestalošću smrtnih ishoda i cerebrovaskularnih neželjenih dejstava u odnosu na placebo (pogledajte poglavlje 4.4). Vrlo česta neželjena dejstva koja se povezuju s primjenom olanzapina kod tih </w:t>
      </w:r>
      <w:r w:rsidR="00BE25B7" w:rsidRPr="0057682A">
        <w:rPr>
          <w:szCs w:val="22"/>
          <w:lang w:val="sr-Latn-ME"/>
        </w:rPr>
        <w:t>pacijenata</w:t>
      </w:r>
      <w:r w:rsidRPr="0057682A">
        <w:rPr>
          <w:szCs w:val="22"/>
          <w:lang w:val="sr-Latn-ME"/>
        </w:rPr>
        <w:t xml:space="preserve"> bila su nenormalan hod i padovi. Često su zabilježene i pneumonija, povišena tjelesna temperatura, letargija, eritem, vizuelne halucinacije te inkontinencija urina.</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U kliničkim ispitivanjima provedenim na bolesnicima sa psihozom kao posljedicom primjene lijekova (dopaminskih agonista) zbog Parkinsonove bolesti, veoma često je kod primjene olanzapina zabilježeno pogoršanje simptoma parkinsonizma i halucinacije, češće nego kod </w:t>
      </w:r>
      <w:r w:rsidR="00BE25B7" w:rsidRPr="0057682A">
        <w:rPr>
          <w:szCs w:val="22"/>
          <w:lang w:val="sr-Latn-ME"/>
        </w:rPr>
        <w:t>pacijenata</w:t>
      </w:r>
      <w:r w:rsidRPr="0057682A">
        <w:rPr>
          <w:szCs w:val="22"/>
          <w:lang w:val="sr-Latn-ME"/>
        </w:rPr>
        <w:t xml:space="preserve"> koji su dobijali placebo.</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U kliničkom ispitivanju na bolesnicima s bipolarnom manijom, primjena valproata u kombinaciji s olanzapinom rezultirala je pojavom neutropenije u 4,1% slučajeva; mogući faktor koji je tome doprinio može biti visoka koncentracija valproata u plazmi. Olanzapin dat s litijumom ili valproatom dovodi do </w:t>
      </w:r>
      <w:r w:rsidRPr="0057682A">
        <w:rPr>
          <w:szCs w:val="22"/>
          <w:lang w:val="sr-Latn-ME"/>
        </w:rPr>
        <w:lastRenderedPageBreak/>
        <w:t xml:space="preserve">povećanog pojavljivanja (≥ 10 %) tremora, suvih usta, povećanog apetita i porasta tjelesne mase. Često su izvještavali i o poremećaju govora. Tokom liječenja olanzapinom u kombinaciji s litijumom ili divalproeksom, došlo je do porasta tjelesne mase za ≥ 7 % u odnosu na početnu tjelesnu masu i to u 17,4 % akutno liječenih (do 6 nedjelja) </w:t>
      </w:r>
      <w:r w:rsidR="00BE25B7" w:rsidRPr="0057682A">
        <w:rPr>
          <w:szCs w:val="22"/>
          <w:lang w:val="sr-Latn-ME"/>
        </w:rPr>
        <w:t>pacijenata</w:t>
      </w:r>
      <w:r w:rsidRPr="0057682A">
        <w:rPr>
          <w:szCs w:val="22"/>
          <w:lang w:val="sr-Latn-ME"/>
        </w:rPr>
        <w:t xml:space="preserve">. Dugotrajno liječenje olanzapinom (do 12 mjeseci) za sprečavanje recidiva kod </w:t>
      </w:r>
      <w:r w:rsidR="00BE25B7" w:rsidRPr="0057682A">
        <w:rPr>
          <w:szCs w:val="22"/>
          <w:lang w:val="sr-Latn-ME"/>
        </w:rPr>
        <w:t>pacijenata</w:t>
      </w:r>
      <w:r w:rsidRPr="0057682A">
        <w:rPr>
          <w:szCs w:val="22"/>
          <w:lang w:val="sr-Latn-ME"/>
        </w:rPr>
        <w:t xml:space="preserve"> s bipolarnim poremećajem, takođe je bilo povezano s porastom tjelesne mase za ≥ 7 % u odnosu na početnu tjelesnu masu  kod 39,9 % </w:t>
      </w:r>
      <w:r w:rsidR="00BE25B7" w:rsidRPr="0057682A">
        <w:rPr>
          <w:szCs w:val="22"/>
          <w:lang w:val="sr-Latn-ME"/>
        </w:rPr>
        <w:t>pacijenata</w:t>
      </w:r>
      <w:r w:rsidRPr="0057682A">
        <w:rPr>
          <w:szCs w:val="22"/>
          <w:lang w:val="sr-Latn-ME"/>
        </w:rPr>
        <w:t>.</w:t>
      </w:r>
    </w:p>
    <w:p w:rsidR="00DA0659" w:rsidRPr="0057682A" w:rsidRDefault="00DA0659" w:rsidP="00DA0659">
      <w:pPr>
        <w:pStyle w:val="Heading2"/>
        <w:jc w:val="both"/>
        <w:rPr>
          <w:i/>
          <w:sz w:val="22"/>
          <w:szCs w:val="22"/>
          <w:u w:val="none"/>
          <w:lang w:val="sr-Latn-ME"/>
        </w:rPr>
      </w:pPr>
      <w:r w:rsidRPr="0057682A">
        <w:rPr>
          <w:i/>
          <w:sz w:val="22"/>
          <w:szCs w:val="22"/>
          <w:u w:val="none"/>
          <w:lang w:val="sr-Latn-ME"/>
        </w:rPr>
        <w:t>Pedijatrijska populacija</w:t>
      </w:r>
    </w:p>
    <w:p w:rsidR="00DA0659" w:rsidRPr="0057682A" w:rsidRDefault="00DA0659" w:rsidP="00DA0659">
      <w:pPr>
        <w:autoSpaceDE w:val="0"/>
        <w:autoSpaceDN w:val="0"/>
        <w:adjustRightInd w:val="0"/>
        <w:jc w:val="both"/>
        <w:rPr>
          <w:szCs w:val="22"/>
          <w:lang w:val="sr-Latn-ME"/>
        </w:rPr>
      </w:pPr>
      <w:r w:rsidRPr="0057682A">
        <w:rPr>
          <w:szCs w:val="22"/>
          <w:lang w:val="sr-Latn-ME"/>
        </w:rPr>
        <w:t>Olanzapin nije indikovan za liječenje djece i adolescenata mlađih od 18 godina. Iako nijedna klinička studija nije bila dizajnirana za komparaciju adolescenata i odraslih, podaci iz ispitivanja s adolescentima bili su upoređivani s onima iz ispitivanja s odraslim osobama.</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Sljedeća tablica objedinjuje neželjena dejstva o kojima su izvještavali s većom učestalošću kod adolescenata (13-17 godina) nego kod starijih </w:t>
      </w:r>
      <w:r w:rsidR="00BE25B7" w:rsidRPr="0057682A">
        <w:rPr>
          <w:szCs w:val="22"/>
          <w:lang w:val="sr-Latn-ME"/>
        </w:rPr>
        <w:t>pacijenata</w:t>
      </w:r>
      <w:r w:rsidRPr="0057682A">
        <w:rPr>
          <w:szCs w:val="22"/>
          <w:lang w:val="sr-Latn-ME"/>
        </w:rPr>
        <w:t xml:space="preserve"> ili neželjena dejstva do kojih je došlo tokom kratkotrajnih kliničkih ispitivanja samo kod adolescenata. Izgleda da se klinički značajan porast tjelesne težine (≥ 7 %) javlja češće kod adolescenata nego kod odraslih, s uporedivom izloženosti lijeku. Opseg porasta tjelesne težine i udio adolescenata koji su imali klinički signifikantan porast tjelesne težine, bio je veći kod dugotrajne izloženosti lijeku (najmanje 24 nedjelje) u odnosu na kratkotrajnu izloženost.</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Unutar svakog grupisanja učestalosti, neželjena dejstva su navedena u nizu prema padajućoj ozbiljnosti. </w:t>
      </w:r>
    </w:p>
    <w:p w:rsidR="00DA0659" w:rsidRPr="0057682A" w:rsidRDefault="00DA0659" w:rsidP="00DA0659">
      <w:pPr>
        <w:pStyle w:val="BodyText2"/>
        <w:jc w:val="both"/>
        <w:rPr>
          <w:sz w:val="22"/>
          <w:szCs w:val="22"/>
          <w:lang w:val="sr-Latn-ME"/>
        </w:rPr>
      </w:pPr>
      <w:r w:rsidRPr="0057682A">
        <w:rPr>
          <w:sz w:val="22"/>
          <w:szCs w:val="22"/>
          <w:lang w:val="sr-Latn-ME"/>
        </w:rPr>
        <w:t>Učestalost navedenih pojmova je definisana kao: veoma česta (≥ 10 %) i česta (≥ 1 % i &lt; 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DA0659" w:rsidRPr="0057682A" w:rsidTr="00BE25B7">
        <w:tc>
          <w:tcPr>
            <w:tcW w:w="9190" w:type="dxa"/>
          </w:tcPr>
          <w:p w:rsidR="00DA0659" w:rsidRPr="0057682A" w:rsidRDefault="00DA0659" w:rsidP="00BE25B7">
            <w:pPr>
              <w:pStyle w:val="Text"/>
              <w:keepNext/>
              <w:tabs>
                <w:tab w:val="left" w:pos="567"/>
              </w:tabs>
              <w:spacing w:before="0" w:after="0" w:line="240" w:lineRule="auto"/>
              <w:jc w:val="both"/>
              <w:rPr>
                <w:b/>
                <w:color w:val="auto"/>
                <w:sz w:val="22"/>
                <w:szCs w:val="22"/>
                <w:lang w:val="sr-Latn-ME"/>
              </w:rPr>
            </w:pPr>
            <w:r w:rsidRPr="0057682A">
              <w:rPr>
                <w:b/>
                <w:color w:val="auto"/>
                <w:sz w:val="22"/>
                <w:szCs w:val="22"/>
                <w:lang w:val="sr-Latn-ME"/>
              </w:rPr>
              <w:t>Poremećaji metabolizma i ishrane</w:t>
            </w:r>
          </w:p>
          <w:p w:rsidR="00DA0659" w:rsidRPr="0057682A" w:rsidRDefault="00DA0659" w:rsidP="00BE25B7">
            <w:pPr>
              <w:pStyle w:val="Text"/>
              <w:tabs>
                <w:tab w:val="left" w:pos="567"/>
              </w:tabs>
              <w:spacing w:before="0" w:after="0" w:line="240" w:lineRule="auto"/>
              <w:ind w:left="0" w:right="0" w:firstLine="0"/>
              <w:jc w:val="both"/>
              <w:rPr>
                <w:color w:val="auto"/>
                <w:sz w:val="22"/>
                <w:szCs w:val="22"/>
                <w:lang w:val="sr-Latn-ME"/>
              </w:rPr>
            </w:pPr>
            <w:r w:rsidRPr="0057682A">
              <w:rPr>
                <w:i/>
                <w:color w:val="auto"/>
                <w:sz w:val="22"/>
                <w:szCs w:val="22"/>
                <w:lang w:val="sr-Latn-ME"/>
              </w:rPr>
              <w:t>Veoma česti:</w:t>
            </w:r>
            <w:r w:rsidRPr="0057682A">
              <w:rPr>
                <w:color w:val="auto"/>
                <w:sz w:val="22"/>
                <w:szCs w:val="22"/>
                <w:lang w:val="sr-Latn-ME"/>
              </w:rPr>
              <w:t xml:space="preserve"> Porast tjelesne mase</w:t>
            </w:r>
            <w:r w:rsidRPr="0057682A">
              <w:rPr>
                <w:color w:val="auto"/>
                <w:sz w:val="22"/>
                <w:szCs w:val="22"/>
                <w:vertAlign w:val="superscript"/>
                <w:lang w:val="sr-Latn-ME"/>
              </w:rPr>
              <w:t>13</w:t>
            </w:r>
            <w:r w:rsidRPr="0057682A">
              <w:rPr>
                <w:color w:val="auto"/>
                <w:sz w:val="22"/>
                <w:szCs w:val="22"/>
                <w:lang w:val="sr-Latn-ME"/>
              </w:rPr>
              <w:t>, povećan nivo triglicerida</w:t>
            </w:r>
            <w:r w:rsidRPr="0057682A">
              <w:rPr>
                <w:color w:val="auto"/>
                <w:sz w:val="22"/>
                <w:szCs w:val="22"/>
                <w:vertAlign w:val="superscript"/>
                <w:lang w:val="sr-Latn-ME"/>
              </w:rPr>
              <w:t>14</w:t>
            </w:r>
            <w:r w:rsidRPr="0057682A">
              <w:rPr>
                <w:color w:val="auto"/>
                <w:sz w:val="22"/>
                <w:szCs w:val="22"/>
                <w:lang w:val="sr-Latn-ME"/>
              </w:rPr>
              <w:t>, pojačan apetit.</w:t>
            </w:r>
          </w:p>
          <w:p w:rsidR="00DA0659" w:rsidRPr="0057682A" w:rsidRDefault="00DA0659" w:rsidP="00BE25B7">
            <w:pPr>
              <w:pStyle w:val="Text"/>
              <w:tabs>
                <w:tab w:val="left" w:pos="567"/>
              </w:tabs>
              <w:spacing w:before="0" w:after="0" w:line="240" w:lineRule="auto"/>
              <w:ind w:left="0" w:right="0" w:firstLine="0"/>
              <w:jc w:val="both"/>
              <w:rPr>
                <w:b/>
                <w:color w:val="auto"/>
                <w:sz w:val="22"/>
                <w:szCs w:val="22"/>
                <w:lang w:val="sr-Latn-ME"/>
              </w:rPr>
            </w:pPr>
            <w:r w:rsidRPr="0057682A">
              <w:rPr>
                <w:i/>
                <w:color w:val="auto"/>
                <w:sz w:val="22"/>
                <w:szCs w:val="22"/>
                <w:lang w:val="sr-Latn-ME"/>
              </w:rPr>
              <w:t>Česti:</w:t>
            </w:r>
            <w:r w:rsidRPr="0057682A">
              <w:rPr>
                <w:b/>
                <w:i/>
                <w:color w:val="auto"/>
                <w:sz w:val="22"/>
                <w:szCs w:val="22"/>
                <w:lang w:val="sr-Latn-ME"/>
              </w:rPr>
              <w:t xml:space="preserve"> </w:t>
            </w:r>
            <w:r w:rsidRPr="0057682A">
              <w:rPr>
                <w:bCs/>
                <w:iCs/>
                <w:color w:val="auto"/>
                <w:sz w:val="22"/>
                <w:szCs w:val="22"/>
                <w:lang w:val="sr-Latn-ME"/>
              </w:rPr>
              <w:t>Povećan nivo holesterola</w:t>
            </w:r>
            <w:r w:rsidRPr="0057682A">
              <w:rPr>
                <w:color w:val="auto"/>
                <w:sz w:val="22"/>
                <w:szCs w:val="22"/>
                <w:vertAlign w:val="superscript"/>
                <w:lang w:val="sr-Latn-ME"/>
              </w:rPr>
              <w:t>15</w:t>
            </w:r>
          </w:p>
        </w:tc>
      </w:tr>
      <w:tr w:rsidR="00DA0659" w:rsidRPr="0057682A" w:rsidTr="00BE25B7">
        <w:tc>
          <w:tcPr>
            <w:tcW w:w="9190" w:type="dxa"/>
          </w:tcPr>
          <w:p w:rsidR="00DA0659" w:rsidRPr="0057682A" w:rsidRDefault="00DA0659" w:rsidP="00BE25B7">
            <w:pPr>
              <w:pStyle w:val="Text"/>
              <w:tabs>
                <w:tab w:val="left" w:pos="567"/>
              </w:tabs>
              <w:spacing w:before="0" w:after="0" w:line="240" w:lineRule="auto"/>
              <w:ind w:left="0" w:right="0" w:firstLine="0"/>
              <w:jc w:val="both"/>
              <w:rPr>
                <w:b/>
                <w:color w:val="auto"/>
                <w:sz w:val="22"/>
                <w:szCs w:val="22"/>
                <w:lang w:val="sr-Latn-ME"/>
              </w:rPr>
            </w:pPr>
            <w:r w:rsidRPr="0057682A">
              <w:rPr>
                <w:b/>
                <w:color w:val="auto"/>
                <w:sz w:val="22"/>
                <w:szCs w:val="22"/>
                <w:lang w:val="sr-Latn-ME"/>
              </w:rPr>
              <w:t xml:space="preserve">Poremećaji nervnog sistema </w:t>
            </w:r>
          </w:p>
          <w:p w:rsidR="00DA0659" w:rsidRPr="0057682A" w:rsidRDefault="00DA0659" w:rsidP="00BE25B7">
            <w:pPr>
              <w:pStyle w:val="Text"/>
              <w:tabs>
                <w:tab w:val="left" w:pos="567"/>
              </w:tabs>
              <w:spacing w:before="0" w:after="0" w:line="240" w:lineRule="auto"/>
              <w:ind w:left="0" w:right="0" w:firstLine="0"/>
              <w:jc w:val="both"/>
              <w:rPr>
                <w:color w:val="auto"/>
                <w:sz w:val="22"/>
                <w:szCs w:val="22"/>
                <w:lang w:val="sr-Latn-ME"/>
              </w:rPr>
            </w:pPr>
            <w:r w:rsidRPr="0057682A">
              <w:rPr>
                <w:i/>
                <w:color w:val="auto"/>
                <w:sz w:val="22"/>
                <w:szCs w:val="22"/>
                <w:lang w:val="sr-Latn-ME"/>
              </w:rPr>
              <w:t>Veoma česti:</w:t>
            </w:r>
            <w:r w:rsidRPr="0057682A">
              <w:rPr>
                <w:color w:val="auto"/>
                <w:sz w:val="22"/>
                <w:szCs w:val="22"/>
                <w:lang w:val="sr-Latn-ME"/>
              </w:rPr>
              <w:t xml:space="preserve"> Sedacija (uključujući: hipersomnija, letargija, somnolencija).</w:t>
            </w:r>
          </w:p>
        </w:tc>
      </w:tr>
      <w:tr w:rsidR="00DA0659" w:rsidRPr="0057682A" w:rsidTr="00BE25B7">
        <w:tc>
          <w:tcPr>
            <w:tcW w:w="9190" w:type="dxa"/>
          </w:tcPr>
          <w:p w:rsidR="00DA0659" w:rsidRPr="0057682A" w:rsidRDefault="00DA0659" w:rsidP="00BE25B7">
            <w:pPr>
              <w:pStyle w:val="Text"/>
              <w:tabs>
                <w:tab w:val="left" w:pos="567"/>
              </w:tabs>
              <w:spacing w:before="0" w:after="0" w:line="240" w:lineRule="auto"/>
              <w:ind w:left="0" w:right="0" w:firstLine="0"/>
              <w:jc w:val="both"/>
              <w:rPr>
                <w:b/>
                <w:color w:val="auto"/>
                <w:sz w:val="22"/>
                <w:szCs w:val="22"/>
                <w:lang w:val="sr-Latn-ME"/>
              </w:rPr>
            </w:pPr>
            <w:r w:rsidRPr="0057682A">
              <w:rPr>
                <w:b/>
                <w:color w:val="auto"/>
                <w:sz w:val="22"/>
                <w:szCs w:val="22"/>
                <w:lang w:val="sr-Latn-ME"/>
              </w:rPr>
              <w:t>Poremećaji probavnog sistema</w:t>
            </w:r>
          </w:p>
          <w:p w:rsidR="00DA0659" w:rsidRPr="0057682A" w:rsidRDefault="00DA0659" w:rsidP="00BE25B7">
            <w:pPr>
              <w:pStyle w:val="Text"/>
              <w:tabs>
                <w:tab w:val="left" w:pos="567"/>
              </w:tabs>
              <w:spacing w:before="0" w:after="0" w:line="240" w:lineRule="auto"/>
              <w:ind w:left="0" w:right="0" w:firstLine="0"/>
              <w:jc w:val="both"/>
              <w:rPr>
                <w:color w:val="auto"/>
                <w:sz w:val="22"/>
                <w:szCs w:val="22"/>
                <w:lang w:val="sr-Latn-ME"/>
              </w:rPr>
            </w:pPr>
            <w:r w:rsidRPr="0057682A">
              <w:rPr>
                <w:i/>
                <w:color w:val="auto"/>
                <w:sz w:val="22"/>
                <w:szCs w:val="22"/>
                <w:lang w:val="sr-Latn-ME"/>
              </w:rPr>
              <w:t>Česti:</w:t>
            </w:r>
            <w:r w:rsidRPr="0057682A">
              <w:rPr>
                <w:color w:val="auto"/>
                <w:sz w:val="22"/>
                <w:szCs w:val="22"/>
                <w:lang w:val="sr-Latn-ME"/>
              </w:rPr>
              <w:t xml:space="preserve"> Suva usta</w:t>
            </w:r>
          </w:p>
        </w:tc>
      </w:tr>
      <w:tr w:rsidR="00DA0659" w:rsidRPr="0057682A" w:rsidTr="00BE25B7">
        <w:tc>
          <w:tcPr>
            <w:tcW w:w="9190" w:type="dxa"/>
          </w:tcPr>
          <w:p w:rsidR="00DA0659" w:rsidRPr="0057682A" w:rsidRDefault="00DA0659" w:rsidP="00BE25B7">
            <w:pPr>
              <w:pStyle w:val="Text"/>
              <w:tabs>
                <w:tab w:val="left" w:pos="567"/>
              </w:tabs>
              <w:spacing w:before="0" w:after="0" w:line="240" w:lineRule="auto"/>
              <w:ind w:left="0" w:right="0" w:firstLine="0"/>
              <w:jc w:val="both"/>
              <w:rPr>
                <w:b/>
                <w:color w:val="auto"/>
                <w:sz w:val="22"/>
                <w:szCs w:val="22"/>
                <w:lang w:val="sr-Latn-ME"/>
              </w:rPr>
            </w:pPr>
            <w:r w:rsidRPr="0057682A">
              <w:rPr>
                <w:b/>
                <w:color w:val="auto"/>
                <w:sz w:val="22"/>
                <w:szCs w:val="22"/>
                <w:lang w:val="sr-Latn-ME"/>
              </w:rPr>
              <w:t>Hepatobilijarni poremećaji</w:t>
            </w:r>
          </w:p>
          <w:p w:rsidR="00DA0659" w:rsidRPr="0057682A" w:rsidRDefault="00DA0659" w:rsidP="00BE25B7">
            <w:pPr>
              <w:pStyle w:val="Text"/>
              <w:tabs>
                <w:tab w:val="left" w:pos="567"/>
              </w:tabs>
              <w:spacing w:before="0" w:after="0" w:line="240" w:lineRule="auto"/>
              <w:ind w:left="0" w:right="0" w:firstLine="0"/>
              <w:jc w:val="both"/>
              <w:rPr>
                <w:color w:val="auto"/>
                <w:sz w:val="22"/>
                <w:szCs w:val="22"/>
                <w:lang w:val="sr-Latn-ME"/>
              </w:rPr>
            </w:pPr>
            <w:r w:rsidRPr="0057682A">
              <w:rPr>
                <w:i/>
                <w:color w:val="auto"/>
                <w:sz w:val="22"/>
                <w:szCs w:val="22"/>
                <w:lang w:val="sr-Latn-ME"/>
              </w:rPr>
              <w:t>Veoma česti:</w:t>
            </w:r>
            <w:r w:rsidRPr="0057682A">
              <w:rPr>
                <w:color w:val="auto"/>
                <w:sz w:val="22"/>
                <w:szCs w:val="22"/>
                <w:lang w:val="sr-Latn-ME"/>
              </w:rPr>
              <w:t xml:space="preserve"> Povećanje jetrenih </w:t>
            </w:r>
            <w:r w:rsidRPr="0057682A">
              <w:rPr>
                <w:color w:val="auto"/>
                <w:sz w:val="22"/>
                <w:szCs w:val="22"/>
                <w:lang w:val="sr-Latn-ME" w:eastAsia="en-GB"/>
              </w:rPr>
              <w:t>aminotransferaza</w:t>
            </w:r>
            <w:r w:rsidRPr="0057682A">
              <w:rPr>
                <w:color w:val="auto"/>
                <w:sz w:val="22"/>
                <w:szCs w:val="22"/>
                <w:lang w:val="sr-Latn-ME"/>
              </w:rPr>
              <w:t xml:space="preserve"> (ALT/AST; pogledajte poglavlje 4.4).</w:t>
            </w:r>
          </w:p>
        </w:tc>
      </w:tr>
      <w:tr w:rsidR="00DA0659" w:rsidRPr="0057682A" w:rsidTr="00BE25B7">
        <w:tc>
          <w:tcPr>
            <w:tcW w:w="9190" w:type="dxa"/>
            <w:tcBorders>
              <w:top w:val="single" w:sz="4" w:space="0" w:color="auto"/>
              <w:left w:val="single" w:sz="4" w:space="0" w:color="auto"/>
              <w:bottom w:val="single" w:sz="4" w:space="0" w:color="auto"/>
              <w:right w:val="single" w:sz="4" w:space="0" w:color="auto"/>
            </w:tcBorders>
          </w:tcPr>
          <w:p w:rsidR="00DA0659" w:rsidRPr="0057682A" w:rsidRDefault="00DA0659" w:rsidP="00BE25B7">
            <w:pPr>
              <w:pStyle w:val="Text"/>
              <w:tabs>
                <w:tab w:val="left" w:pos="567"/>
              </w:tabs>
              <w:spacing w:before="0" w:after="0" w:line="240" w:lineRule="auto"/>
              <w:ind w:left="0" w:right="0" w:firstLine="0"/>
              <w:jc w:val="both"/>
              <w:rPr>
                <w:b/>
                <w:color w:val="auto"/>
                <w:sz w:val="22"/>
                <w:szCs w:val="22"/>
                <w:lang w:val="sr-Latn-ME"/>
              </w:rPr>
            </w:pPr>
            <w:r w:rsidRPr="0057682A">
              <w:rPr>
                <w:b/>
                <w:color w:val="auto"/>
                <w:sz w:val="22"/>
                <w:szCs w:val="22"/>
                <w:lang w:val="sr-Latn-ME"/>
              </w:rPr>
              <w:t xml:space="preserve">Pretrage </w:t>
            </w:r>
          </w:p>
          <w:p w:rsidR="00DA0659" w:rsidRPr="0057682A" w:rsidRDefault="00DA0659" w:rsidP="00BE25B7">
            <w:pPr>
              <w:pStyle w:val="Text"/>
              <w:tabs>
                <w:tab w:val="left" w:pos="567"/>
              </w:tabs>
              <w:spacing w:before="0" w:after="0" w:line="240" w:lineRule="auto"/>
              <w:ind w:left="0" w:right="0" w:firstLine="0"/>
              <w:jc w:val="both"/>
              <w:rPr>
                <w:color w:val="auto"/>
                <w:sz w:val="22"/>
                <w:szCs w:val="22"/>
                <w:lang w:val="sr-Latn-ME"/>
              </w:rPr>
            </w:pPr>
            <w:r w:rsidRPr="0057682A">
              <w:rPr>
                <w:i/>
                <w:color w:val="auto"/>
                <w:sz w:val="22"/>
                <w:szCs w:val="22"/>
                <w:lang w:val="sr-Latn-ME"/>
              </w:rPr>
              <w:t>Veoma česti:</w:t>
            </w:r>
            <w:r w:rsidRPr="0057682A">
              <w:rPr>
                <w:color w:val="auto"/>
                <w:sz w:val="22"/>
                <w:szCs w:val="22"/>
                <w:lang w:val="sr-Latn-ME"/>
              </w:rPr>
              <w:t xml:space="preserve"> Smanjeni ukupni bilirubin, povećana GGT, povišen nivo prolaktina u plazmi</w:t>
            </w:r>
            <w:r w:rsidRPr="0057682A">
              <w:rPr>
                <w:color w:val="auto"/>
                <w:sz w:val="22"/>
                <w:szCs w:val="22"/>
                <w:vertAlign w:val="superscript"/>
                <w:lang w:val="sr-Latn-ME"/>
              </w:rPr>
              <w:t>16</w:t>
            </w:r>
            <w:r w:rsidRPr="0057682A">
              <w:rPr>
                <w:color w:val="auto"/>
                <w:sz w:val="22"/>
                <w:szCs w:val="22"/>
                <w:lang w:val="sr-Latn-ME"/>
              </w:rPr>
              <w:t>.</w:t>
            </w:r>
          </w:p>
        </w:tc>
      </w:tr>
    </w:tbl>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vertAlign w:val="superscript"/>
          <w:lang w:val="sr-Latn-ME"/>
        </w:rPr>
        <w:t>13</w:t>
      </w:r>
      <w:r w:rsidRPr="0057682A">
        <w:rPr>
          <w:szCs w:val="22"/>
          <w:lang w:val="sr-Latn-ME"/>
        </w:rPr>
        <w:t>Prateći kratkotrajno liječenje (prosječno trajanje 22 dana), porast tjelesne težine ≥ 7 % od početne tjelesne težine (kg) bio je vrlo čest (40,6 %); porast ≥ 15 % od početne tjelesne težine bio je čest (7,1 %), a  porast ≥ 25 % je takođe bio čest (2,5%). Dugotrajnim izlaganjem lijeku (najmanje 24 nedjelja), 89,4 % ispitanika dobilo je ≥ 7 %, 55,3 % dobilo je ≥ 15 %, a 29,1 % dobilo je ≥ 25 % od početne tjelesne težine.</w:t>
      </w:r>
    </w:p>
    <w:p w:rsidR="00DA0659" w:rsidRPr="0057682A" w:rsidRDefault="00DA0659" w:rsidP="00DA0659">
      <w:pPr>
        <w:autoSpaceDE w:val="0"/>
        <w:autoSpaceDN w:val="0"/>
        <w:adjustRightInd w:val="0"/>
        <w:jc w:val="both"/>
        <w:rPr>
          <w:szCs w:val="22"/>
          <w:vertAlign w:val="superscript"/>
          <w:lang w:val="sr-Latn-ME"/>
        </w:rPr>
      </w:pPr>
    </w:p>
    <w:p w:rsidR="00DA0659" w:rsidRPr="0057682A" w:rsidRDefault="00DA0659" w:rsidP="00DA0659">
      <w:pPr>
        <w:autoSpaceDE w:val="0"/>
        <w:autoSpaceDN w:val="0"/>
        <w:adjustRightInd w:val="0"/>
        <w:jc w:val="both"/>
        <w:rPr>
          <w:szCs w:val="22"/>
          <w:lang w:val="sr-Latn-ME"/>
        </w:rPr>
      </w:pPr>
      <w:r w:rsidRPr="0057682A">
        <w:rPr>
          <w:szCs w:val="22"/>
          <w:vertAlign w:val="superscript"/>
          <w:lang w:val="sr-Latn-ME"/>
        </w:rPr>
        <w:t>l4</w:t>
      </w:r>
      <w:r w:rsidRPr="0057682A">
        <w:rPr>
          <w:szCs w:val="22"/>
          <w:lang w:val="sr-Latn-ME"/>
        </w:rPr>
        <w:t>Zapažene su normalne vrijednosti triglicerida natašte na početku liječenja (&lt; 1,016 mmol/l), koje su za vrijeme liječenja porasle (≥ 1,467 mmol/l) i promjene početnih graničnih vrijednosti natašte (≥ 1,016mmol/l) koje su porasle (≥ 1,467mmol/l).</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vertAlign w:val="superscript"/>
          <w:lang w:val="sr-Latn-ME"/>
        </w:rPr>
        <w:t>15</w:t>
      </w:r>
      <w:r w:rsidRPr="0057682A">
        <w:rPr>
          <w:szCs w:val="22"/>
          <w:lang w:val="sr-Latn-ME"/>
        </w:rPr>
        <w:t>Promjene ukupnog holesterola natašte s početne granične vrijednosti (&lt; 4,39 mmol/l) na veću (≥ 5,17mmol/l)</w:t>
      </w:r>
      <w:r w:rsidRPr="0057682A">
        <w:rPr>
          <w:i/>
          <w:iCs/>
          <w:szCs w:val="22"/>
          <w:lang w:val="sr-Latn-ME"/>
        </w:rPr>
        <w:t xml:space="preserve"> </w:t>
      </w:r>
      <w:r w:rsidRPr="0057682A">
        <w:rPr>
          <w:szCs w:val="22"/>
          <w:lang w:val="sr-Latn-ME"/>
        </w:rPr>
        <w:t>bile su česte. Promjene ukupnog holesterola natašte s početne granične vrijednosti (≥ 4.39 - &lt; 5.17 mmol/l) na veću (≥ 5,17 mmol/l) bile su vrlo česte.</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vertAlign w:val="superscript"/>
          <w:lang w:val="sr-Latn-ME"/>
        </w:rPr>
        <w:t xml:space="preserve">16 </w:t>
      </w:r>
      <w:r w:rsidRPr="0057682A">
        <w:rPr>
          <w:szCs w:val="22"/>
          <w:lang w:val="sr-Latn-ME"/>
        </w:rPr>
        <w:t>Izvještavano je o povišenom nivou prolaktina kod 47,4 % adolescenata.</w:t>
      </w:r>
    </w:p>
    <w:p w:rsidR="00DA0659" w:rsidRPr="0057682A" w:rsidRDefault="00DA0659" w:rsidP="00DA0659">
      <w:pPr>
        <w:widowControl w:val="0"/>
        <w:autoSpaceDE w:val="0"/>
        <w:autoSpaceDN w:val="0"/>
        <w:adjustRightInd w:val="0"/>
        <w:rPr>
          <w:szCs w:val="22"/>
          <w:u w:val="single"/>
          <w:lang w:val="sr-Latn-ME"/>
        </w:rPr>
      </w:pPr>
    </w:p>
    <w:p w:rsidR="00DA0659" w:rsidRPr="0057682A" w:rsidRDefault="00DA0659" w:rsidP="00DA0659">
      <w:pPr>
        <w:spacing w:after="200" w:line="276" w:lineRule="auto"/>
        <w:rPr>
          <w:rFonts w:eastAsia="Calibri"/>
          <w:szCs w:val="22"/>
          <w:u w:val="single"/>
          <w:lang w:val="sr-Latn-ME"/>
        </w:rPr>
      </w:pPr>
      <w:r w:rsidRPr="0057682A">
        <w:rPr>
          <w:rFonts w:eastAsia="Calibri"/>
          <w:szCs w:val="22"/>
          <w:u w:val="single"/>
          <w:lang w:val="sr-Latn-ME"/>
        </w:rPr>
        <w:t>Prijavljivanje sumnji na neželjena dejstva</w:t>
      </w:r>
    </w:p>
    <w:p w:rsidR="00C0523A" w:rsidRPr="0057682A" w:rsidRDefault="00C0523A" w:rsidP="00C0523A">
      <w:pPr>
        <w:spacing w:after="200"/>
        <w:jc w:val="both"/>
        <w:rPr>
          <w:rFonts w:eastAsia="Calibri"/>
          <w:szCs w:val="22"/>
          <w:lang w:val="sr-Latn-ME"/>
        </w:rPr>
      </w:pPr>
      <w:r w:rsidRPr="0057682A">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C0523A" w:rsidRPr="0057682A" w:rsidRDefault="00C0523A" w:rsidP="00C0523A">
      <w:pPr>
        <w:pStyle w:val="NoSpacing"/>
        <w:jc w:val="both"/>
        <w:rPr>
          <w:rFonts w:eastAsia="Calibri"/>
          <w:sz w:val="22"/>
          <w:szCs w:val="22"/>
          <w:lang w:val="sr-Latn-ME"/>
        </w:rPr>
      </w:pPr>
      <w:r w:rsidRPr="0057682A">
        <w:rPr>
          <w:rFonts w:eastAsia="Calibri"/>
          <w:sz w:val="22"/>
          <w:szCs w:val="22"/>
          <w:lang w:val="sr-Latn-ME"/>
        </w:rPr>
        <w:lastRenderedPageBreak/>
        <w:t xml:space="preserve">Institut za ljekove i medicinska sredstva </w:t>
      </w:r>
    </w:p>
    <w:p w:rsidR="00C0523A" w:rsidRPr="0057682A" w:rsidRDefault="00C0523A" w:rsidP="00C0523A">
      <w:pPr>
        <w:pStyle w:val="NoSpacing"/>
        <w:jc w:val="both"/>
        <w:rPr>
          <w:rFonts w:eastAsia="Calibri"/>
          <w:sz w:val="22"/>
          <w:szCs w:val="22"/>
          <w:lang w:val="sr-Latn-ME"/>
        </w:rPr>
      </w:pPr>
      <w:r w:rsidRPr="0057682A">
        <w:rPr>
          <w:rFonts w:eastAsia="Calibri"/>
          <w:sz w:val="22"/>
          <w:szCs w:val="22"/>
          <w:lang w:val="sr-Latn-ME"/>
        </w:rPr>
        <w:t>Odjeljenje za farmakovigilancu</w:t>
      </w:r>
    </w:p>
    <w:p w:rsidR="00C0523A" w:rsidRPr="0057682A" w:rsidRDefault="00C0523A" w:rsidP="00C0523A">
      <w:pPr>
        <w:pStyle w:val="NoSpacing"/>
        <w:jc w:val="both"/>
        <w:rPr>
          <w:rFonts w:eastAsia="Calibri"/>
          <w:sz w:val="22"/>
          <w:szCs w:val="22"/>
          <w:lang w:val="sr-Latn-ME"/>
        </w:rPr>
      </w:pPr>
      <w:r w:rsidRPr="0057682A">
        <w:rPr>
          <w:rFonts w:eastAsia="Calibri"/>
          <w:sz w:val="22"/>
          <w:szCs w:val="22"/>
          <w:lang w:val="sr-Latn-ME"/>
        </w:rPr>
        <w:t>Bulevar Ivana Crnojevića 64a, 81000 Podgorica</w:t>
      </w:r>
    </w:p>
    <w:p w:rsidR="00C0523A" w:rsidRPr="0057682A" w:rsidRDefault="00C0523A" w:rsidP="00C0523A">
      <w:pPr>
        <w:pStyle w:val="NoSpacing"/>
        <w:rPr>
          <w:rFonts w:eastAsia="Calibri"/>
          <w:sz w:val="22"/>
          <w:szCs w:val="22"/>
          <w:lang w:val="sr-Latn-ME"/>
        </w:rPr>
      </w:pPr>
    </w:p>
    <w:p w:rsidR="00C0523A" w:rsidRPr="0057682A" w:rsidRDefault="00C0523A" w:rsidP="00C0523A">
      <w:pPr>
        <w:pStyle w:val="NoSpacing"/>
        <w:jc w:val="both"/>
        <w:rPr>
          <w:rFonts w:eastAsia="Calibri"/>
          <w:sz w:val="22"/>
          <w:szCs w:val="22"/>
          <w:lang w:val="sr-Latn-ME"/>
        </w:rPr>
      </w:pPr>
      <w:r w:rsidRPr="0057682A">
        <w:rPr>
          <w:rFonts w:eastAsia="Calibri"/>
          <w:sz w:val="22"/>
          <w:szCs w:val="22"/>
          <w:lang w:val="sr-Latn-ME"/>
        </w:rPr>
        <w:t>tel: +382 (0) 20 310 280</w:t>
      </w:r>
    </w:p>
    <w:p w:rsidR="00C0523A" w:rsidRPr="0057682A" w:rsidRDefault="00C0523A" w:rsidP="00C0523A">
      <w:pPr>
        <w:pStyle w:val="NoSpacing"/>
        <w:jc w:val="both"/>
        <w:rPr>
          <w:rFonts w:eastAsia="Calibri"/>
          <w:sz w:val="22"/>
          <w:szCs w:val="22"/>
          <w:lang w:val="sr-Latn-ME"/>
        </w:rPr>
      </w:pPr>
      <w:r w:rsidRPr="0057682A">
        <w:rPr>
          <w:rFonts w:eastAsia="Calibri"/>
          <w:sz w:val="22"/>
          <w:szCs w:val="22"/>
          <w:lang w:val="sr-Latn-ME"/>
        </w:rPr>
        <w:t>fax: +382 (0) 20 310 581</w:t>
      </w:r>
    </w:p>
    <w:p w:rsidR="00C0523A" w:rsidRPr="0057682A" w:rsidRDefault="00583A5F" w:rsidP="00C0523A">
      <w:pPr>
        <w:pStyle w:val="NoSpacing"/>
        <w:jc w:val="both"/>
        <w:rPr>
          <w:rFonts w:eastAsia="Calibri"/>
          <w:sz w:val="22"/>
          <w:szCs w:val="22"/>
          <w:lang w:val="sr-Latn-ME"/>
        </w:rPr>
      </w:pPr>
      <w:hyperlink r:id="rId7" w:history="1">
        <w:r w:rsidR="00C0523A" w:rsidRPr="0057682A">
          <w:rPr>
            <w:rStyle w:val="Hyperlink"/>
            <w:rFonts w:eastAsia="Calibri"/>
            <w:sz w:val="22"/>
            <w:szCs w:val="22"/>
            <w:lang w:val="sr-Latn-ME"/>
          </w:rPr>
          <w:t>www.cinmed.me</w:t>
        </w:r>
      </w:hyperlink>
    </w:p>
    <w:p w:rsidR="00C0523A" w:rsidRPr="0057682A" w:rsidRDefault="00583A5F" w:rsidP="00C0523A">
      <w:pPr>
        <w:pStyle w:val="NoSpacing"/>
        <w:jc w:val="both"/>
        <w:rPr>
          <w:rFonts w:eastAsia="Calibri"/>
          <w:color w:val="0000FF"/>
          <w:sz w:val="22"/>
          <w:szCs w:val="22"/>
          <w:u w:val="single"/>
          <w:lang w:val="sr-Latn-ME"/>
        </w:rPr>
      </w:pPr>
      <w:hyperlink r:id="rId8" w:history="1">
        <w:r w:rsidR="00C0523A" w:rsidRPr="0057682A">
          <w:rPr>
            <w:rStyle w:val="Hyperlink"/>
            <w:rFonts w:eastAsia="Calibri"/>
            <w:sz w:val="22"/>
            <w:szCs w:val="22"/>
            <w:lang w:val="sr-Latn-ME"/>
          </w:rPr>
          <w:t>nezeljenadejstva@cinmed.me</w:t>
        </w:r>
      </w:hyperlink>
    </w:p>
    <w:p w:rsidR="00C0523A" w:rsidRPr="0057682A" w:rsidRDefault="00C0523A" w:rsidP="00C0523A">
      <w:pPr>
        <w:pStyle w:val="NoSpacing"/>
        <w:jc w:val="both"/>
        <w:rPr>
          <w:rFonts w:eastAsia="Calibri"/>
          <w:sz w:val="22"/>
          <w:szCs w:val="22"/>
          <w:lang w:val="sr-Latn-ME"/>
        </w:rPr>
      </w:pPr>
      <w:r w:rsidRPr="0057682A">
        <w:rPr>
          <w:rFonts w:eastAsia="Calibri"/>
          <w:sz w:val="22"/>
          <w:szCs w:val="22"/>
          <w:lang w:val="sr-Latn-ME"/>
        </w:rPr>
        <w:t>putem IS zdravstvene zaštite</w:t>
      </w:r>
    </w:p>
    <w:p w:rsidR="003C3B39" w:rsidRPr="0057682A" w:rsidRDefault="003C3B39" w:rsidP="003C3B39">
      <w:pPr>
        <w:widowControl w:val="0"/>
        <w:rPr>
          <w:szCs w:val="22"/>
          <w:lang w:val="sr-Latn-ME"/>
        </w:rPr>
      </w:pPr>
      <w:r w:rsidRPr="0057682A">
        <w:rPr>
          <w:szCs w:val="22"/>
          <w:lang w:val="sr-Latn-ME"/>
        </w:rPr>
        <w:t>QR kod za online prijavu sumnje na neželjeno dejstvo lijeka:</w:t>
      </w:r>
    </w:p>
    <w:p w:rsidR="003C3B39" w:rsidRPr="0057682A" w:rsidRDefault="003C3B39" w:rsidP="003C3B39">
      <w:pPr>
        <w:widowControl w:val="0"/>
        <w:rPr>
          <w:szCs w:val="22"/>
          <w:lang w:val="sr-Latn-ME"/>
        </w:rPr>
      </w:pPr>
      <w:r w:rsidRPr="0057682A">
        <w:rPr>
          <w:noProof/>
          <w:lang w:val="sr-Latn-ME"/>
        </w:rPr>
        <w:drawing>
          <wp:anchor distT="0" distB="0" distL="114300" distR="114300" simplePos="0" relativeHeight="251659264" behindDoc="0" locked="0" layoutInCell="1" allowOverlap="1" wp14:anchorId="17C3F2C9" wp14:editId="5345C975">
            <wp:simplePos x="0" y="0"/>
            <wp:positionH relativeFrom="column">
              <wp:posOffset>0</wp:posOffset>
            </wp:positionH>
            <wp:positionV relativeFrom="paragraph">
              <wp:posOffset>164465</wp:posOffset>
            </wp:positionV>
            <wp:extent cx="971550" cy="971550"/>
            <wp:effectExtent l="0" t="0" r="0" b="0"/>
            <wp:wrapSquare wrapText="bothSides"/>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anchor>
        </w:drawing>
      </w:r>
    </w:p>
    <w:p w:rsidR="003C3B39" w:rsidRPr="0057682A" w:rsidRDefault="003C3B39" w:rsidP="003C3B39">
      <w:pPr>
        <w:widowControl w:val="0"/>
        <w:rPr>
          <w:szCs w:val="22"/>
          <w:lang w:val="sr-Latn-ME"/>
        </w:rPr>
      </w:pPr>
    </w:p>
    <w:p w:rsidR="00DA0659" w:rsidRPr="0057682A" w:rsidRDefault="00DA0659" w:rsidP="00DA0659">
      <w:pPr>
        <w:widowControl w:val="0"/>
        <w:rPr>
          <w:szCs w:val="22"/>
          <w:lang w:val="sr-Latn-ME"/>
        </w:rPr>
      </w:pPr>
    </w:p>
    <w:p w:rsidR="003C3B39" w:rsidRPr="0057682A" w:rsidRDefault="003C3B39" w:rsidP="00DA0659">
      <w:pPr>
        <w:widowControl w:val="0"/>
        <w:rPr>
          <w:szCs w:val="22"/>
          <w:lang w:val="sr-Latn-ME"/>
        </w:rPr>
      </w:pPr>
    </w:p>
    <w:p w:rsidR="003C3B39" w:rsidRPr="0057682A" w:rsidRDefault="003C3B39" w:rsidP="00DA0659">
      <w:pPr>
        <w:widowControl w:val="0"/>
        <w:ind w:left="567" w:hanging="567"/>
        <w:outlineLvl w:val="0"/>
        <w:rPr>
          <w:b/>
          <w:szCs w:val="22"/>
          <w:lang w:val="sr-Latn-ME"/>
        </w:rPr>
      </w:pPr>
    </w:p>
    <w:p w:rsidR="003C3B39" w:rsidRPr="0057682A" w:rsidRDefault="003C3B39" w:rsidP="00DA0659">
      <w:pPr>
        <w:widowControl w:val="0"/>
        <w:ind w:left="567" w:hanging="567"/>
        <w:outlineLvl w:val="0"/>
        <w:rPr>
          <w:b/>
          <w:szCs w:val="22"/>
          <w:lang w:val="sr-Latn-ME"/>
        </w:rPr>
      </w:pPr>
    </w:p>
    <w:p w:rsidR="003C3B39" w:rsidRPr="0057682A" w:rsidRDefault="003C3B39" w:rsidP="00DA0659">
      <w:pPr>
        <w:widowControl w:val="0"/>
        <w:ind w:left="567" w:hanging="567"/>
        <w:outlineLvl w:val="0"/>
        <w:rPr>
          <w:b/>
          <w:szCs w:val="22"/>
          <w:lang w:val="sr-Latn-ME"/>
        </w:rPr>
      </w:pPr>
    </w:p>
    <w:p w:rsidR="003C3B39" w:rsidRPr="0057682A" w:rsidRDefault="003C3B39" w:rsidP="00DA0659">
      <w:pPr>
        <w:widowControl w:val="0"/>
        <w:ind w:left="567" w:hanging="567"/>
        <w:outlineLvl w:val="0"/>
        <w:rPr>
          <w:b/>
          <w:szCs w:val="22"/>
          <w:lang w:val="sr-Latn-ME"/>
        </w:rPr>
      </w:pPr>
    </w:p>
    <w:p w:rsidR="00DA0659" w:rsidRPr="0057682A" w:rsidRDefault="00DA0659" w:rsidP="00DA0659">
      <w:pPr>
        <w:widowControl w:val="0"/>
        <w:ind w:left="567" w:hanging="567"/>
        <w:outlineLvl w:val="0"/>
        <w:rPr>
          <w:szCs w:val="22"/>
          <w:lang w:val="sr-Latn-ME"/>
        </w:rPr>
      </w:pPr>
      <w:r w:rsidRPr="0057682A">
        <w:rPr>
          <w:b/>
          <w:szCs w:val="22"/>
          <w:lang w:val="sr-Latn-ME"/>
        </w:rPr>
        <w:t>4.9</w:t>
      </w:r>
      <w:r w:rsidRPr="0057682A">
        <w:rPr>
          <w:b/>
          <w:szCs w:val="22"/>
          <w:lang w:val="sr-Latn-ME"/>
        </w:rPr>
        <w:tab/>
        <w:t>Predoziranje</w:t>
      </w:r>
    </w:p>
    <w:p w:rsidR="00DA0659" w:rsidRPr="0057682A" w:rsidRDefault="00DA0659" w:rsidP="00DA0659">
      <w:pPr>
        <w:widowControl w:val="0"/>
        <w:rPr>
          <w:szCs w:val="22"/>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 xml:space="preserve">Znakovi i simptomi </w:t>
      </w:r>
    </w:p>
    <w:p w:rsidR="00DA0659" w:rsidRPr="0057682A" w:rsidRDefault="00DA0659" w:rsidP="00DA0659">
      <w:pPr>
        <w:autoSpaceDE w:val="0"/>
        <w:autoSpaceDN w:val="0"/>
        <w:adjustRightInd w:val="0"/>
        <w:jc w:val="both"/>
        <w:rPr>
          <w:szCs w:val="22"/>
          <w:lang w:val="sr-Latn-ME"/>
        </w:rPr>
      </w:pPr>
      <w:r w:rsidRPr="0057682A">
        <w:rPr>
          <w:szCs w:val="22"/>
          <w:lang w:val="sr-Latn-ME"/>
        </w:rPr>
        <w:t>Vrlo česti simptomi predoziranja (&gt; 10% incidencija) uključuju tahikardiju, agitaciju/agresivnost, nejasan govor, različite ekstrapiramidne simptome i smanjen nivo svijesti u rasponu od sedacije do kome.</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Ostale medicinski signifikantne posljedice predoziranja uključuju delirijum, konvulzije, komu, mogući neuroleptički maligni sindrom, depresiju disanja, aspiraciju, hipertenziju ili hipotenziju, srčane aritmije (&lt; od 2% slučajeva predoziranja) te kardiopulmonalni arest. Izvještavali su o smrtnim ishodima kod akutnog predoziranja s manje od 450 mg, međutim, isto tako su izvještavali o preživljavanju nakon oralnog akutnog predoziranja s oko 2 g olanzapina.</w:t>
      </w:r>
    </w:p>
    <w:p w:rsidR="00DA0659" w:rsidRPr="0057682A" w:rsidRDefault="00DA0659" w:rsidP="00DA0659">
      <w:pPr>
        <w:pStyle w:val="Heading2"/>
        <w:jc w:val="both"/>
        <w:rPr>
          <w:i/>
          <w:sz w:val="22"/>
          <w:szCs w:val="22"/>
          <w:u w:val="none"/>
          <w:lang w:val="sr-Latn-ME"/>
        </w:rPr>
      </w:pPr>
    </w:p>
    <w:p w:rsidR="00DA0659" w:rsidRPr="0057682A" w:rsidRDefault="00DA0659" w:rsidP="00DA0659">
      <w:pPr>
        <w:pStyle w:val="Heading2"/>
        <w:jc w:val="both"/>
        <w:rPr>
          <w:i/>
          <w:sz w:val="22"/>
          <w:szCs w:val="22"/>
          <w:u w:val="none"/>
          <w:lang w:val="sr-Latn-ME"/>
        </w:rPr>
      </w:pPr>
      <w:r w:rsidRPr="0057682A">
        <w:rPr>
          <w:i/>
          <w:sz w:val="22"/>
          <w:szCs w:val="22"/>
          <w:u w:val="none"/>
          <w:lang w:val="sr-Latn-ME"/>
        </w:rPr>
        <w:t>Liječenje kod predoziranja</w:t>
      </w:r>
    </w:p>
    <w:p w:rsidR="00DA0659" w:rsidRPr="0057682A" w:rsidRDefault="00DA0659" w:rsidP="00DA0659">
      <w:pPr>
        <w:autoSpaceDE w:val="0"/>
        <w:autoSpaceDN w:val="0"/>
        <w:adjustRightInd w:val="0"/>
        <w:jc w:val="both"/>
        <w:rPr>
          <w:szCs w:val="22"/>
          <w:lang w:val="sr-Latn-ME"/>
        </w:rPr>
      </w:pPr>
      <w:r w:rsidRPr="0057682A">
        <w:rPr>
          <w:szCs w:val="22"/>
          <w:lang w:val="sr-Latn-ME"/>
        </w:rPr>
        <w:t>Ne postoji specifični antidot za olanzapin. Ne preporučuje se izazivanje povraćanja. U slučaju predoziranja treba primijeniti standardne postupke (npr. ispiranje želuca, davanje aktivnog uglja). Istovremena primjena aktivnog uglja smanjuje bioraspoloživost olanzapina za 50 – 60 %.</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U skladu sa kliničkom slikom treba započeti sa simptomatskim liječenjem uz praćenje funkcije vitalnih organa, uključujući liječenje hipotenzije i cirkulatornog kolapsa te potporu respiratornoj funkciji. Budući da stimulacija beta-receptora može pogoršati hipotenziju, ne smije se primjenjivati adrenalin, dopamin ili drugi simpatomimetski preparati s beta-agonističkim djelovanjem. Treba pratiti rad srca, kako bi se otkrile moguće aritmije. Potrebno je nastaviti s pažljivim ljekarskim nadzorom i </w:t>
      </w:r>
      <w:r w:rsidR="0046453C" w:rsidRPr="0057682A">
        <w:rPr>
          <w:szCs w:val="22"/>
          <w:lang w:val="sr-Latn-ME"/>
        </w:rPr>
        <w:t>posmatranjem sve dok se pacijent</w:t>
      </w:r>
      <w:r w:rsidRPr="0057682A">
        <w:rPr>
          <w:szCs w:val="22"/>
          <w:lang w:val="sr-Latn-ME"/>
        </w:rPr>
        <w:t xml:space="preserve"> ne oporavi.</w:t>
      </w:r>
    </w:p>
    <w:p w:rsidR="00DA0659" w:rsidRPr="0057682A" w:rsidRDefault="00DA0659" w:rsidP="00DA0659">
      <w:pPr>
        <w:widowControl w:val="0"/>
        <w:rPr>
          <w:szCs w:val="22"/>
          <w:lang w:val="sr-Latn-ME"/>
        </w:rPr>
      </w:pPr>
    </w:p>
    <w:p w:rsidR="00DA0659" w:rsidRPr="0057682A" w:rsidRDefault="00DA0659" w:rsidP="00DA0659">
      <w:pPr>
        <w:widowControl w:val="0"/>
        <w:rPr>
          <w:szCs w:val="22"/>
          <w:lang w:val="sr-Latn-ME"/>
        </w:rPr>
      </w:pPr>
    </w:p>
    <w:p w:rsidR="00DA0659" w:rsidRPr="0057682A" w:rsidRDefault="00DA0659" w:rsidP="00DA0659">
      <w:pPr>
        <w:widowControl w:val="0"/>
        <w:ind w:left="567" w:hanging="567"/>
        <w:rPr>
          <w:szCs w:val="22"/>
          <w:lang w:val="sr-Latn-ME"/>
        </w:rPr>
      </w:pPr>
      <w:r w:rsidRPr="0057682A">
        <w:rPr>
          <w:b/>
          <w:szCs w:val="22"/>
          <w:lang w:val="sr-Latn-ME"/>
        </w:rPr>
        <w:t>5.</w:t>
      </w:r>
      <w:r w:rsidRPr="0057682A">
        <w:rPr>
          <w:b/>
          <w:szCs w:val="22"/>
          <w:lang w:val="sr-Latn-ME"/>
        </w:rPr>
        <w:tab/>
      </w:r>
      <w:r w:rsidRPr="0057682A">
        <w:rPr>
          <w:b/>
          <w:bCs/>
          <w:szCs w:val="22"/>
          <w:lang w:val="sr-Latn-ME"/>
        </w:rPr>
        <w:t>FARMAKOLOŠKI PODACI</w:t>
      </w:r>
    </w:p>
    <w:p w:rsidR="00DA0659" w:rsidRPr="0057682A" w:rsidRDefault="00DA0659" w:rsidP="00DA0659">
      <w:pPr>
        <w:widowControl w:val="0"/>
        <w:rPr>
          <w:szCs w:val="22"/>
          <w:lang w:val="sr-Latn-ME"/>
        </w:rPr>
      </w:pPr>
    </w:p>
    <w:p w:rsidR="00DA0659" w:rsidRPr="0057682A" w:rsidRDefault="00DA0659" w:rsidP="00DA0659">
      <w:pPr>
        <w:widowControl w:val="0"/>
        <w:ind w:left="567" w:hanging="567"/>
        <w:outlineLvl w:val="0"/>
        <w:rPr>
          <w:szCs w:val="22"/>
          <w:lang w:val="sr-Latn-ME"/>
        </w:rPr>
      </w:pPr>
      <w:r w:rsidRPr="0057682A">
        <w:rPr>
          <w:b/>
          <w:szCs w:val="22"/>
          <w:lang w:val="sr-Latn-ME"/>
        </w:rPr>
        <w:t>5.1</w:t>
      </w:r>
      <w:r w:rsidRPr="0057682A">
        <w:rPr>
          <w:b/>
          <w:szCs w:val="22"/>
          <w:lang w:val="sr-Latn-ME"/>
        </w:rPr>
        <w:tab/>
      </w:r>
      <w:r w:rsidRPr="0057682A">
        <w:rPr>
          <w:b/>
          <w:bCs/>
          <w:szCs w:val="22"/>
          <w:lang w:val="sr-Latn-ME"/>
        </w:rPr>
        <w:t>Farmakodinamski podaci</w:t>
      </w:r>
    </w:p>
    <w:p w:rsidR="00DA0659" w:rsidRPr="0057682A" w:rsidRDefault="00DA0659" w:rsidP="00DA0659">
      <w:pPr>
        <w:widowControl w:val="0"/>
        <w:rPr>
          <w:szCs w:val="22"/>
          <w:lang w:val="sr-Latn-ME"/>
        </w:rPr>
      </w:pPr>
    </w:p>
    <w:p w:rsidR="00DA0659" w:rsidRPr="0057682A" w:rsidRDefault="00DA0659" w:rsidP="00DA0659">
      <w:pPr>
        <w:ind w:left="2268" w:hanging="2268"/>
        <w:rPr>
          <w:szCs w:val="22"/>
          <w:lang w:val="sr-Latn-ME"/>
        </w:rPr>
      </w:pPr>
      <w:r w:rsidRPr="0057682A">
        <w:rPr>
          <w:szCs w:val="22"/>
          <w:lang w:val="sr-Latn-ME"/>
        </w:rPr>
        <w:t>Farmakoterapijska  grupa: diazepini, oksazepini i tiazepini</w:t>
      </w:r>
    </w:p>
    <w:p w:rsidR="00DA0659" w:rsidRPr="0057682A" w:rsidRDefault="00DA0659" w:rsidP="00DA0659">
      <w:pPr>
        <w:rPr>
          <w:szCs w:val="22"/>
          <w:lang w:val="sr-Latn-ME"/>
        </w:rPr>
      </w:pPr>
    </w:p>
    <w:p w:rsidR="00DA0659" w:rsidRPr="0057682A" w:rsidRDefault="00DA0659" w:rsidP="00DA0659">
      <w:pPr>
        <w:rPr>
          <w:szCs w:val="22"/>
          <w:lang w:val="sr-Latn-ME"/>
        </w:rPr>
      </w:pPr>
      <w:r w:rsidRPr="0057682A">
        <w:rPr>
          <w:szCs w:val="22"/>
          <w:lang w:val="sr-Latn-ME"/>
        </w:rPr>
        <w:t>ATC kod: N05AH03</w:t>
      </w:r>
    </w:p>
    <w:p w:rsidR="00DA0659" w:rsidRPr="0057682A" w:rsidRDefault="00DA0659" w:rsidP="00DA0659">
      <w:pPr>
        <w:widowControl w:val="0"/>
        <w:tabs>
          <w:tab w:val="left" w:pos="1114"/>
        </w:tabs>
        <w:autoSpaceDE w:val="0"/>
        <w:autoSpaceDN w:val="0"/>
        <w:adjustRightInd w:val="0"/>
        <w:rPr>
          <w:color w:val="000000"/>
          <w:szCs w:val="22"/>
          <w:lang w:val="sr-Latn-ME"/>
        </w:rPr>
      </w:pPr>
      <w:r w:rsidRPr="0057682A">
        <w:rPr>
          <w:color w:val="000000"/>
          <w:szCs w:val="22"/>
          <w:lang w:val="sr-Latn-ME"/>
        </w:rPr>
        <w:tab/>
      </w:r>
    </w:p>
    <w:p w:rsidR="00DA0659" w:rsidRPr="0057682A" w:rsidRDefault="00DA0659" w:rsidP="00DA0659">
      <w:pPr>
        <w:keepNext/>
        <w:ind w:right="-142"/>
        <w:rPr>
          <w:snapToGrid w:val="0"/>
          <w:szCs w:val="22"/>
          <w:u w:val="single"/>
          <w:lang w:val="sr-Latn-ME" w:eastAsia="fi-FI"/>
        </w:rPr>
      </w:pPr>
      <w:r w:rsidRPr="0057682A">
        <w:rPr>
          <w:snapToGrid w:val="0"/>
          <w:szCs w:val="22"/>
          <w:u w:val="single"/>
          <w:lang w:val="sr-Latn-ME" w:eastAsia="fi-FI"/>
        </w:rPr>
        <w:t>Farmakodinamski efekti</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Olanzapin je lijek koji djeluje antipsihotički, antimanično i stabilizujuće na raspoloženje, sa širokim farmakološkim djelovanjem na brojne receptorske sisteme.  </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pStyle w:val="BodyText2"/>
        <w:spacing w:line="240" w:lineRule="auto"/>
        <w:jc w:val="both"/>
        <w:rPr>
          <w:sz w:val="22"/>
          <w:szCs w:val="22"/>
          <w:lang w:val="sr-Latn-ME"/>
        </w:rPr>
      </w:pPr>
      <w:r w:rsidRPr="0057682A">
        <w:rPr>
          <w:sz w:val="22"/>
          <w:szCs w:val="22"/>
          <w:lang w:val="sr-Latn-ME"/>
        </w:rPr>
        <w:t>U pretkliničkim studijama olanzapin je djelovao na niz receptora (Ki &lt; 100 nM),  na serotoninske 5HT</w:t>
      </w:r>
      <w:r w:rsidRPr="0057682A">
        <w:rPr>
          <w:sz w:val="22"/>
          <w:szCs w:val="22"/>
          <w:vertAlign w:val="subscript"/>
          <w:lang w:val="sr-Latn-ME"/>
        </w:rPr>
        <w:t>2A/2C</w:t>
      </w:r>
      <w:r w:rsidRPr="0057682A">
        <w:rPr>
          <w:sz w:val="22"/>
          <w:szCs w:val="22"/>
          <w:lang w:val="sr-Latn-ME"/>
        </w:rPr>
        <w:t>, 5HT</w:t>
      </w:r>
      <w:r w:rsidRPr="0057682A">
        <w:rPr>
          <w:sz w:val="22"/>
          <w:szCs w:val="22"/>
          <w:vertAlign w:val="subscript"/>
          <w:lang w:val="sr-Latn-ME"/>
        </w:rPr>
        <w:t>3</w:t>
      </w:r>
      <w:r w:rsidRPr="0057682A">
        <w:rPr>
          <w:sz w:val="22"/>
          <w:szCs w:val="22"/>
          <w:lang w:val="sr-Latn-ME"/>
        </w:rPr>
        <w:t>, 5HT</w:t>
      </w:r>
      <w:r w:rsidRPr="0057682A">
        <w:rPr>
          <w:sz w:val="22"/>
          <w:szCs w:val="22"/>
          <w:vertAlign w:val="subscript"/>
          <w:lang w:val="sr-Latn-ME"/>
        </w:rPr>
        <w:t>6</w:t>
      </w:r>
      <w:r w:rsidRPr="0057682A">
        <w:rPr>
          <w:sz w:val="22"/>
          <w:szCs w:val="22"/>
          <w:lang w:val="sr-Latn-ME"/>
        </w:rPr>
        <w:t>, na dopaminske D</w:t>
      </w:r>
      <w:r w:rsidRPr="0057682A">
        <w:rPr>
          <w:sz w:val="22"/>
          <w:szCs w:val="22"/>
          <w:vertAlign w:val="subscript"/>
          <w:lang w:val="sr-Latn-ME"/>
        </w:rPr>
        <w:t>1</w:t>
      </w:r>
      <w:r w:rsidRPr="0057682A">
        <w:rPr>
          <w:sz w:val="22"/>
          <w:szCs w:val="22"/>
          <w:lang w:val="sr-Latn-ME"/>
        </w:rPr>
        <w:t>, D</w:t>
      </w:r>
      <w:r w:rsidRPr="0057682A">
        <w:rPr>
          <w:sz w:val="22"/>
          <w:szCs w:val="22"/>
          <w:vertAlign w:val="subscript"/>
          <w:lang w:val="sr-Latn-ME"/>
        </w:rPr>
        <w:t xml:space="preserve">2, </w:t>
      </w:r>
      <w:r w:rsidRPr="0057682A">
        <w:rPr>
          <w:sz w:val="22"/>
          <w:szCs w:val="22"/>
          <w:lang w:val="sr-Latn-ME"/>
        </w:rPr>
        <w:t xml:space="preserve"> D</w:t>
      </w:r>
      <w:r w:rsidRPr="0057682A">
        <w:rPr>
          <w:sz w:val="22"/>
          <w:szCs w:val="22"/>
          <w:vertAlign w:val="subscript"/>
          <w:lang w:val="sr-Latn-ME"/>
        </w:rPr>
        <w:t xml:space="preserve">3, </w:t>
      </w:r>
      <w:r w:rsidRPr="0057682A">
        <w:rPr>
          <w:sz w:val="22"/>
          <w:szCs w:val="22"/>
          <w:lang w:val="sr-Latn-ME"/>
        </w:rPr>
        <w:t xml:space="preserve"> D</w:t>
      </w:r>
      <w:r w:rsidRPr="0057682A">
        <w:rPr>
          <w:sz w:val="22"/>
          <w:szCs w:val="22"/>
          <w:vertAlign w:val="subscript"/>
          <w:lang w:val="sr-Latn-ME"/>
        </w:rPr>
        <w:t xml:space="preserve">4, </w:t>
      </w:r>
      <w:r w:rsidRPr="0057682A">
        <w:rPr>
          <w:sz w:val="22"/>
          <w:szCs w:val="22"/>
          <w:lang w:val="sr-Latn-ME"/>
        </w:rPr>
        <w:t xml:space="preserve"> D</w:t>
      </w:r>
      <w:r w:rsidRPr="0057682A">
        <w:rPr>
          <w:sz w:val="22"/>
          <w:szCs w:val="22"/>
          <w:vertAlign w:val="subscript"/>
          <w:lang w:val="sr-Latn-ME"/>
        </w:rPr>
        <w:t xml:space="preserve">5, </w:t>
      </w:r>
      <w:r w:rsidRPr="0057682A">
        <w:rPr>
          <w:sz w:val="22"/>
          <w:szCs w:val="22"/>
          <w:lang w:val="sr-Latn-ME"/>
        </w:rPr>
        <w:t xml:space="preserve"> kolinergičke muskarinske receptore M</w:t>
      </w:r>
      <w:r w:rsidRPr="0057682A">
        <w:rPr>
          <w:sz w:val="22"/>
          <w:szCs w:val="22"/>
          <w:vertAlign w:val="subscript"/>
          <w:lang w:val="sr-Latn-ME"/>
        </w:rPr>
        <w:t xml:space="preserve">l </w:t>
      </w:r>
      <w:r w:rsidRPr="0057682A">
        <w:rPr>
          <w:sz w:val="22"/>
          <w:szCs w:val="22"/>
          <w:lang w:val="sr-Latn-ME"/>
        </w:rPr>
        <w:t>- M</w:t>
      </w:r>
      <w:r w:rsidRPr="0057682A">
        <w:rPr>
          <w:sz w:val="22"/>
          <w:szCs w:val="22"/>
          <w:vertAlign w:val="subscript"/>
          <w:lang w:val="sr-Latn-ME"/>
        </w:rPr>
        <w:t>5</w:t>
      </w:r>
      <w:r w:rsidRPr="0057682A">
        <w:rPr>
          <w:sz w:val="22"/>
          <w:szCs w:val="22"/>
          <w:lang w:val="sr-Latn-ME"/>
        </w:rPr>
        <w:t>, adrenergičke α</w:t>
      </w:r>
      <w:r w:rsidRPr="0057682A">
        <w:rPr>
          <w:sz w:val="22"/>
          <w:szCs w:val="22"/>
          <w:vertAlign w:val="subscript"/>
          <w:lang w:val="sr-Latn-ME"/>
        </w:rPr>
        <w:t xml:space="preserve">1 </w:t>
      </w:r>
      <w:r w:rsidRPr="0057682A">
        <w:rPr>
          <w:sz w:val="22"/>
          <w:szCs w:val="22"/>
          <w:lang w:val="sr-Latn-ME"/>
        </w:rPr>
        <w:t>i histaminske H</w:t>
      </w:r>
      <w:r w:rsidRPr="0057682A">
        <w:rPr>
          <w:sz w:val="22"/>
          <w:szCs w:val="22"/>
          <w:vertAlign w:val="subscript"/>
          <w:lang w:val="sr-Latn-ME"/>
        </w:rPr>
        <w:t>1</w:t>
      </w:r>
      <w:r w:rsidRPr="0057682A">
        <w:rPr>
          <w:sz w:val="22"/>
          <w:szCs w:val="22"/>
          <w:lang w:val="sr-Latn-ME"/>
        </w:rPr>
        <w:t xml:space="preserve">-receptore. Bihevioralna ispitivanja olanzapinom na životinjama pokazala su   antagonističko djelovanje na 5HT, dopaminske i kolinergičke receptore, što je u skladu s profilom vezanja na receptore. Olanzapin </w:t>
      </w:r>
      <w:r w:rsidRPr="0057682A">
        <w:rPr>
          <w:i/>
          <w:iCs/>
          <w:sz w:val="22"/>
          <w:szCs w:val="22"/>
          <w:lang w:val="sr-Latn-ME"/>
        </w:rPr>
        <w:t xml:space="preserve">in vitro </w:t>
      </w:r>
      <w:r w:rsidRPr="0057682A">
        <w:rPr>
          <w:sz w:val="22"/>
          <w:szCs w:val="22"/>
          <w:lang w:val="sr-Latn-ME"/>
        </w:rPr>
        <w:t>pokazuje veći afinitet za serotoninske 5HT</w:t>
      </w:r>
      <w:r w:rsidRPr="0057682A">
        <w:rPr>
          <w:sz w:val="22"/>
          <w:szCs w:val="22"/>
          <w:vertAlign w:val="subscript"/>
          <w:lang w:val="sr-Latn-ME"/>
        </w:rPr>
        <w:t>2</w:t>
      </w:r>
      <w:r w:rsidRPr="0057682A">
        <w:rPr>
          <w:sz w:val="22"/>
          <w:szCs w:val="22"/>
          <w:lang w:val="sr-Latn-ME"/>
        </w:rPr>
        <w:t xml:space="preserve"> receptore nego za dopaminske D</w:t>
      </w:r>
      <w:r w:rsidRPr="0057682A">
        <w:rPr>
          <w:sz w:val="22"/>
          <w:szCs w:val="22"/>
          <w:vertAlign w:val="subscript"/>
          <w:lang w:val="sr-Latn-ME"/>
        </w:rPr>
        <w:t>2</w:t>
      </w:r>
      <w:r w:rsidRPr="0057682A">
        <w:rPr>
          <w:sz w:val="22"/>
          <w:szCs w:val="22"/>
          <w:lang w:val="sr-Latn-ME"/>
        </w:rPr>
        <w:t xml:space="preserve"> receptore te veću aktivnost serotoninskih 5HT</w:t>
      </w:r>
      <w:r w:rsidRPr="0057682A">
        <w:rPr>
          <w:sz w:val="22"/>
          <w:szCs w:val="22"/>
          <w:vertAlign w:val="subscript"/>
          <w:lang w:val="sr-Latn-ME"/>
        </w:rPr>
        <w:t xml:space="preserve">2 </w:t>
      </w:r>
      <w:r w:rsidRPr="0057682A">
        <w:rPr>
          <w:sz w:val="22"/>
          <w:szCs w:val="22"/>
          <w:lang w:val="sr-Latn-ME"/>
        </w:rPr>
        <w:t>nego dopaminskih D</w:t>
      </w:r>
      <w:r w:rsidRPr="0057682A">
        <w:rPr>
          <w:sz w:val="22"/>
          <w:szCs w:val="22"/>
          <w:vertAlign w:val="subscript"/>
          <w:lang w:val="sr-Latn-ME"/>
        </w:rPr>
        <w:t>2</w:t>
      </w:r>
      <w:r w:rsidRPr="0057682A">
        <w:rPr>
          <w:sz w:val="22"/>
          <w:szCs w:val="22"/>
          <w:lang w:val="sr-Latn-ME"/>
        </w:rPr>
        <w:t xml:space="preserve"> receptora na </w:t>
      </w:r>
      <w:r w:rsidRPr="0057682A">
        <w:rPr>
          <w:i/>
          <w:iCs/>
          <w:sz w:val="22"/>
          <w:szCs w:val="22"/>
          <w:lang w:val="sr-Latn-ME"/>
        </w:rPr>
        <w:t>in vivo</w:t>
      </w:r>
      <w:r w:rsidRPr="0057682A">
        <w:rPr>
          <w:sz w:val="22"/>
          <w:szCs w:val="22"/>
          <w:lang w:val="sr-Latn-ME"/>
        </w:rPr>
        <w:t xml:space="preserve"> modelima. Elektrofiziološka ispitivanja pokazuju da olanzapin selektivno smanjuje okidanje mezolimbičkih (A10) dopaminergičkih neurona, dok na strijatalne (A9) neuronske puteve, koji djeluju u motoričkoj funkciji, ima mali učinak. Olanzapin smanjuje uslovno izbjegavanje reakcije, što je pokazatelj antipsihotičke aktivnosti, kod doza nižih od onih koje izazivaju katalepsiju, dejstvo koje specifično ukazuje na motorička neželjena dejstva. Za razliku od drugih antipsihotičkih lijekova, olanzapin pojačava odgovor u tzv. anksiolitičkom testu.</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U PET (Positron Emission Tomography) ispitivanju s jednokratnom peroralnom dozom (10 mg) kod zdravih dobrovoljaca, olanzapin se više vezao na 5HT</w:t>
      </w:r>
      <w:r w:rsidRPr="0057682A">
        <w:rPr>
          <w:szCs w:val="22"/>
          <w:vertAlign w:val="subscript"/>
          <w:lang w:val="sr-Latn-ME"/>
        </w:rPr>
        <w:t xml:space="preserve">2A </w:t>
      </w:r>
      <w:r w:rsidRPr="0057682A">
        <w:rPr>
          <w:szCs w:val="22"/>
          <w:lang w:val="sr-Latn-ME"/>
        </w:rPr>
        <w:t>receptore nego na dopaminske D2 receptore. U SPECT (Single Photon Emission Computed Tomography) ispitivanju na šizofrenim bolesnicima, evidentirano je da bolesnici koji su reagovali na olanzapin imaju manje zaposjednutih strijatalnih D</w:t>
      </w:r>
      <w:r w:rsidRPr="0057682A">
        <w:rPr>
          <w:szCs w:val="22"/>
          <w:vertAlign w:val="subscript"/>
          <w:lang w:val="sr-Latn-ME"/>
        </w:rPr>
        <w:t xml:space="preserve">2 </w:t>
      </w:r>
      <w:r w:rsidRPr="0057682A">
        <w:rPr>
          <w:szCs w:val="22"/>
          <w:lang w:val="sr-Latn-ME"/>
        </w:rPr>
        <w:t xml:space="preserve">receptora nego bolesnici koji su reagovali na neke druge antipsihotike i risperidon, a to saznanje je uporedivo s onim kod </w:t>
      </w:r>
      <w:r w:rsidR="00BE25B7" w:rsidRPr="0057682A">
        <w:rPr>
          <w:szCs w:val="22"/>
          <w:lang w:val="sr-Latn-ME"/>
        </w:rPr>
        <w:t>pacijenata</w:t>
      </w:r>
      <w:r w:rsidRPr="0057682A">
        <w:rPr>
          <w:szCs w:val="22"/>
          <w:lang w:val="sr-Latn-ME"/>
        </w:rPr>
        <w:t xml:space="preserve"> koji su  reagovali na klozapin.</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keepNext/>
        <w:ind w:right="-144"/>
        <w:rPr>
          <w:snapToGrid w:val="0"/>
          <w:szCs w:val="22"/>
          <w:u w:val="single"/>
          <w:lang w:val="sr-Latn-ME" w:eastAsia="fi-FI"/>
        </w:rPr>
      </w:pPr>
      <w:r w:rsidRPr="0057682A">
        <w:rPr>
          <w:snapToGrid w:val="0"/>
          <w:szCs w:val="22"/>
          <w:u w:val="single"/>
          <w:lang w:val="sr-Latn-ME" w:eastAsia="fi-FI"/>
        </w:rPr>
        <w:t>Klinička efikasnost</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U dva od dva ispitivanja s placebom i u dva od tri komparativna kontrolisana ispitivanja s preko 2900 šizofrenih </w:t>
      </w:r>
      <w:r w:rsidR="00BE25B7" w:rsidRPr="0057682A">
        <w:rPr>
          <w:szCs w:val="22"/>
          <w:lang w:val="sr-Latn-ME"/>
        </w:rPr>
        <w:t>pacijenata</w:t>
      </w:r>
      <w:r w:rsidRPr="0057682A">
        <w:rPr>
          <w:szCs w:val="22"/>
          <w:lang w:val="sr-Latn-ME"/>
        </w:rPr>
        <w:t xml:space="preserve">  koji su imali i pozitivne i negativne simptome, olanzapin je pokazao signifikantno veće poboljšanje negativnih i pozitivnih simptoma.</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U multinacionalnom, dvostruko slijepom, komparativnom ispitivanju šizofrenije, šizoafektivnih i pripadajućih poremećaja, koje je uključivalo 1481 </w:t>
      </w:r>
      <w:r w:rsidR="00BE25B7" w:rsidRPr="0057682A">
        <w:rPr>
          <w:szCs w:val="22"/>
          <w:lang w:val="sr-Latn-ME"/>
        </w:rPr>
        <w:t>pacijenata</w:t>
      </w:r>
      <w:r w:rsidRPr="0057682A">
        <w:rPr>
          <w:szCs w:val="22"/>
          <w:lang w:val="sr-Latn-ME"/>
        </w:rPr>
        <w:t xml:space="preserve"> s različitim stepenom pridruženih depresivnih simptoma (početna vrijednost 16,6 na skali Montgomery-Asberg Depression Rating Scale), prospektivna sekundarna analiza procjene raspoloženja na početku i na kraju liječenja  pokazala je statistički značajno poboljšanje (p= 0,001) kod olanzapina (-0,6) u odnosu na haloperidol (-3,1).</w:t>
      </w:r>
    </w:p>
    <w:p w:rsidR="00DA0659" w:rsidRPr="0057682A" w:rsidRDefault="00DA0659" w:rsidP="00DA0659">
      <w:pPr>
        <w:pStyle w:val="BodyText2"/>
        <w:spacing w:line="240" w:lineRule="auto"/>
        <w:jc w:val="both"/>
        <w:rPr>
          <w:sz w:val="22"/>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Kod </w:t>
      </w:r>
      <w:r w:rsidR="00BE25B7" w:rsidRPr="0057682A">
        <w:rPr>
          <w:szCs w:val="22"/>
          <w:lang w:val="sr-Latn-ME"/>
        </w:rPr>
        <w:t>pacijenata</w:t>
      </w:r>
      <w:r w:rsidRPr="0057682A">
        <w:rPr>
          <w:szCs w:val="22"/>
          <w:lang w:val="sr-Latn-ME"/>
        </w:rPr>
        <w:t xml:space="preserve"> s maničnom ili miješanom epizodom bipolarnog poremećaja, olanzapin je djelotvorniji u odnosu na placebo i valproat semisodium (divalproex) u smanjenju simptoma manije za vrijeme tronedjeljne primjene.</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Olanzapin je takođe pokazao sličnu djelotvornost kao i haloperidol u smislu broja </w:t>
      </w:r>
      <w:r w:rsidR="00BE25B7" w:rsidRPr="0057682A">
        <w:rPr>
          <w:szCs w:val="22"/>
          <w:lang w:val="sr-Latn-ME"/>
        </w:rPr>
        <w:t>pacijenata</w:t>
      </w:r>
      <w:r w:rsidRPr="0057682A">
        <w:rPr>
          <w:szCs w:val="22"/>
          <w:lang w:val="sr-Latn-ME"/>
        </w:rPr>
        <w:t xml:space="preserve"> u simptomatskoj remisiji manije i depresije tokom 6-12 nedjelja. U ispitivanju olanzapina kao dodatne terapije, bolesnici su liječeni litijumom ili valproatom u trajanju od najmanje dvije nedjelje, a zatim je dodat olanzapin u dozi od 10 mg (istovremena terapija s litijumom ili valproatom), što je nakon 6 nedjelja dovelo do veće redukcije simptoma manije nego primjena litijuma ili valproata kao monoterapije.</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U 12-mjesečnom ispitivanju prevencije recidiva manične epizode, bolesnici kod kojih je zbog liječenja olanzapinom došlo do remisije, randomizirano su podijeljeni na grupu koja je primala olanzapin i grupu koja je primala placebo. Olanzapin se pokazao signifikantno boljim od placeba u prevenciji recidiva bipolarnog poremećaja. Takođe je pokazao statistički značajnu prednost u odnosu na placebo u prevenciji recidiva manije ili depresije.</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U drugom 12-mjesečnom ispitivanju prevencije recidiva manične epizode, bolesnici kod kojih je remisija postignuta kombinacijom olanzapina i litijuma,  randomizirano su podijeljeni u grupu koja je primala samo olanzapin i grupu koja je primala samo litijum. Olanzapin nije bio statistički inferioran u odnosu na litijum u prevenciji recidiva bipolarnog poremećaja (olanzapin 30,0 %, litij 38,3 %; P=0,055).</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Studija u trajanju od 18 mjeseci o</w:t>
      </w:r>
      <w:r w:rsidR="0046453C" w:rsidRPr="0057682A">
        <w:rPr>
          <w:szCs w:val="22"/>
          <w:lang w:val="sr-Latn-ME"/>
        </w:rPr>
        <w:t>buhvatila je pacijent</w:t>
      </w:r>
      <w:r w:rsidRPr="0057682A">
        <w:rPr>
          <w:szCs w:val="22"/>
          <w:lang w:val="sr-Latn-ME"/>
        </w:rPr>
        <w:t xml:space="preserve">e s maničnim ili mješovitim epizodama, koji su stabilizovani olanzapinom uz dodatak stabilizatora raspoloženja (litijuma ili valproata). Dugotrajna </w:t>
      </w:r>
      <w:r w:rsidRPr="0057682A">
        <w:rPr>
          <w:szCs w:val="22"/>
          <w:lang w:val="sr-Latn-ME"/>
        </w:rPr>
        <w:lastRenderedPageBreak/>
        <w:t xml:space="preserve">kombinovana terapija olanzapinom i litijumom ili valproatom nije statistički značajno na duže vrijeme odgodila bipolarni recidiv, definisan prema kriterijumima sindroma (dijagnostičkim kriterijumima), u odnosu na monoterapiju litijumom ili valproatom.  </w:t>
      </w:r>
    </w:p>
    <w:p w:rsidR="00DA0659" w:rsidRPr="0057682A" w:rsidRDefault="00DA0659" w:rsidP="00DA0659">
      <w:pPr>
        <w:pStyle w:val="Heading2"/>
        <w:jc w:val="both"/>
        <w:rPr>
          <w:i/>
          <w:sz w:val="22"/>
          <w:szCs w:val="22"/>
          <w:u w:val="none"/>
          <w:lang w:val="sr-Latn-ME"/>
        </w:rPr>
      </w:pPr>
      <w:r w:rsidRPr="0057682A">
        <w:rPr>
          <w:i/>
          <w:sz w:val="22"/>
          <w:szCs w:val="22"/>
          <w:u w:val="none"/>
          <w:lang w:val="sr-Latn-ME"/>
        </w:rPr>
        <w:t>Pedijatrijska populacija</w:t>
      </w:r>
    </w:p>
    <w:p w:rsidR="00DA0659" w:rsidRPr="0057682A" w:rsidRDefault="00DA0659" w:rsidP="00DA0659">
      <w:pPr>
        <w:pStyle w:val="BodyText2"/>
        <w:spacing w:line="240" w:lineRule="auto"/>
        <w:jc w:val="both"/>
        <w:rPr>
          <w:sz w:val="22"/>
          <w:szCs w:val="22"/>
          <w:lang w:val="sr-Latn-ME"/>
        </w:rPr>
      </w:pPr>
      <w:r w:rsidRPr="0057682A">
        <w:rPr>
          <w:sz w:val="22"/>
          <w:szCs w:val="22"/>
          <w:lang w:val="sr-Latn-ME"/>
        </w:rPr>
        <w:t>Iskustvo kod adolescenata (starosti od 13 do 17 godina), ograničeno na podatke o kratkotrajnoj djelotvornosti kod šizofrenije (6 nedjelja) i manije povezane s bipolarnim poremećajem (3 nedjelje), odnosi se na manje od 200 adolescenata. Olanzapin je davan kao promjenjiva doza, i to 2,5 mg/dan kao početna doza i zatim u rasponu do 20 mg/dan. Kod adolescenata se tokom liječenja olanzapinom signifikatno više povećala tjelesna masa u upoređenju s odraslima. Raspon promjena ukupnog holesterola, LDL holesterola, triglicerida i prolaktina (pogledajte poglavlje 4.4 i 4.8) bio je veći kod adolescenata nego kod odraslih. Ne postoje podaci o održavanju dejstva, a podaci o dugoročnoj neškodljivosti su ograničeni (pogledajte poglavlje 4.4 i 4.8).</w:t>
      </w:r>
      <w:r w:rsidR="00F44A6C" w:rsidRPr="0057682A">
        <w:rPr>
          <w:sz w:val="22"/>
          <w:szCs w:val="22"/>
          <w:lang w:val="sr-Latn-ME"/>
        </w:rPr>
        <w:t xml:space="preserve"> Informacije o dugotrajnoj sigurnosti</w:t>
      </w:r>
      <w:r w:rsidR="00F44A6C" w:rsidRPr="0057682A">
        <w:rPr>
          <w:sz w:val="22"/>
          <w:szCs w:val="22"/>
          <w:lang w:val="sr-Latn-ME"/>
        </w:rPr>
        <w:br/>
        <w:t>primjene ograničene su prvenstveno na podatke iz otvorenih nekontroliranih ispitivanja.</w:t>
      </w:r>
    </w:p>
    <w:p w:rsidR="00DA0659" w:rsidRPr="0057682A" w:rsidRDefault="00DA0659" w:rsidP="00DA0659">
      <w:pPr>
        <w:jc w:val="both"/>
        <w:rPr>
          <w:szCs w:val="22"/>
          <w:lang w:val="sr-Latn-ME"/>
        </w:rPr>
      </w:pPr>
    </w:p>
    <w:p w:rsidR="00DA0659" w:rsidRPr="0057682A" w:rsidRDefault="00DA0659" w:rsidP="00DA0659">
      <w:pPr>
        <w:widowControl w:val="0"/>
        <w:ind w:left="567" w:hanging="567"/>
        <w:outlineLvl w:val="0"/>
        <w:rPr>
          <w:b/>
          <w:szCs w:val="22"/>
          <w:lang w:val="sr-Latn-ME"/>
        </w:rPr>
      </w:pPr>
      <w:r w:rsidRPr="0057682A">
        <w:rPr>
          <w:b/>
          <w:szCs w:val="22"/>
          <w:lang w:val="sr-Latn-ME"/>
        </w:rPr>
        <w:t>5.2</w:t>
      </w:r>
      <w:r w:rsidRPr="0057682A">
        <w:rPr>
          <w:b/>
          <w:szCs w:val="22"/>
          <w:lang w:val="sr-Latn-ME"/>
        </w:rPr>
        <w:tab/>
      </w:r>
      <w:r w:rsidRPr="0057682A">
        <w:rPr>
          <w:b/>
          <w:bCs/>
          <w:szCs w:val="22"/>
          <w:lang w:val="sr-Latn-ME"/>
        </w:rPr>
        <w:t>Farmakokinetički podaci</w:t>
      </w:r>
    </w:p>
    <w:p w:rsidR="00DA0659" w:rsidRPr="0057682A" w:rsidRDefault="00DA0659" w:rsidP="00DA0659">
      <w:pPr>
        <w:widowControl w:val="0"/>
        <w:rPr>
          <w:szCs w:val="22"/>
          <w:lang w:val="sr-Latn-ME"/>
        </w:rPr>
      </w:pPr>
    </w:p>
    <w:p w:rsidR="00DA0659" w:rsidRPr="0057682A" w:rsidRDefault="00DA0659" w:rsidP="00DA0659">
      <w:pPr>
        <w:rPr>
          <w:szCs w:val="22"/>
          <w:u w:val="single"/>
          <w:lang w:val="sr-Latn-ME"/>
        </w:rPr>
      </w:pPr>
      <w:r w:rsidRPr="0057682A">
        <w:rPr>
          <w:szCs w:val="22"/>
          <w:u w:val="single"/>
          <w:lang w:val="sr-Latn-ME"/>
        </w:rPr>
        <w:t>Resorpcija</w:t>
      </w:r>
    </w:p>
    <w:p w:rsidR="00DA0659" w:rsidRPr="0057682A" w:rsidRDefault="00DA0659" w:rsidP="00DA0659">
      <w:pPr>
        <w:pStyle w:val="BodyText2"/>
        <w:spacing w:line="240" w:lineRule="auto"/>
        <w:jc w:val="both"/>
        <w:rPr>
          <w:sz w:val="22"/>
          <w:szCs w:val="22"/>
          <w:lang w:val="sr-Latn-ME"/>
        </w:rPr>
      </w:pPr>
      <w:r w:rsidRPr="0057682A">
        <w:rPr>
          <w:sz w:val="22"/>
          <w:szCs w:val="22"/>
          <w:lang w:val="sr-Latn-ME"/>
        </w:rPr>
        <w:t>Olanzapin se dobro apsorbuje nakon oralnog davanja, a maksimum koncentracije u plazmi dostiže nakon 5 do 8 sati. Hrana ne utiče na apsorpciju. Apsolutna oralna bioraspoloživost u odnosu na intravenozno davanje nije određivana.</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pStyle w:val="Text"/>
        <w:tabs>
          <w:tab w:val="left" w:pos="567"/>
        </w:tabs>
        <w:spacing w:before="0" w:after="0" w:line="240" w:lineRule="auto"/>
        <w:ind w:left="0" w:right="0" w:firstLine="0"/>
        <w:rPr>
          <w:color w:val="auto"/>
          <w:sz w:val="22"/>
          <w:szCs w:val="22"/>
          <w:u w:val="single"/>
          <w:lang w:val="sr-Latn-ME"/>
        </w:rPr>
      </w:pPr>
      <w:r w:rsidRPr="0057682A">
        <w:rPr>
          <w:color w:val="auto"/>
          <w:sz w:val="22"/>
          <w:szCs w:val="22"/>
          <w:u w:val="single"/>
          <w:lang w:val="sr-Latn-ME"/>
        </w:rPr>
        <w:t>Distribucija</w:t>
      </w:r>
    </w:p>
    <w:p w:rsidR="00DA0659" w:rsidRPr="0057682A" w:rsidRDefault="00DA0659" w:rsidP="00DA0659">
      <w:pPr>
        <w:pStyle w:val="BodyText2"/>
        <w:spacing w:line="240" w:lineRule="auto"/>
        <w:jc w:val="both"/>
        <w:rPr>
          <w:sz w:val="22"/>
          <w:szCs w:val="22"/>
          <w:lang w:val="sr-Latn-ME"/>
        </w:rPr>
      </w:pPr>
      <w:r w:rsidRPr="0057682A">
        <w:rPr>
          <w:sz w:val="22"/>
          <w:szCs w:val="22"/>
          <w:lang w:val="sr-Latn-ME"/>
        </w:rPr>
        <w:t>Kad je koncentracija u plazmi između 7 i 1000 ng/ml, vezanje olanzapina na proteine plazme bilo je oko 93 %. Olanzapin se dominantno veže na albumin i α1- kisjeli glikoprotein.</w:t>
      </w:r>
    </w:p>
    <w:p w:rsidR="00DA0659" w:rsidRPr="0057682A" w:rsidRDefault="00DA0659" w:rsidP="00DA0659">
      <w:pPr>
        <w:pStyle w:val="Text"/>
        <w:tabs>
          <w:tab w:val="left" w:pos="567"/>
        </w:tabs>
        <w:spacing w:before="0" w:after="0" w:line="240" w:lineRule="auto"/>
        <w:ind w:left="0" w:right="0" w:firstLine="0"/>
        <w:rPr>
          <w:color w:val="auto"/>
          <w:sz w:val="22"/>
          <w:szCs w:val="22"/>
          <w:u w:val="single"/>
          <w:lang w:val="sr-Latn-ME"/>
        </w:rPr>
      </w:pPr>
    </w:p>
    <w:p w:rsidR="00DA0659" w:rsidRPr="0057682A" w:rsidRDefault="00DA0659" w:rsidP="00DA0659">
      <w:pPr>
        <w:pStyle w:val="Text"/>
        <w:tabs>
          <w:tab w:val="left" w:pos="567"/>
        </w:tabs>
        <w:spacing w:before="0" w:after="0" w:line="240" w:lineRule="auto"/>
        <w:ind w:left="0" w:right="0" w:firstLine="0"/>
        <w:rPr>
          <w:color w:val="auto"/>
          <w:sz w:val="22"/>
          <w:szCs w:val="22"/>
          <w:u w:val="single"/>
          <w:lang w:val="sr-Latn-ME"/>
        </w:rPr>
      </w:pPr>
      <w:r w:rsidRPr="0057682A">
        <w:rPr>
          <w:color w:val="auto"/>
          <w:sz w:val="22"/>
          <w:szCs w:val="22"/>
          <w:u w:val="single"/>
          <w:lang w:val="sr-Latn-ME"/>
        </w:rPr>
        <w:t>Biotransformacija</w:t>
      </w:r>
    </w:p>
    <w:p w:rsidR="00DA0659" w:rsidRPr="0057682A" w:rsidRDefault="00DA0659" w:rsidP="00DA0659">
      <w:pPr>
        <w:pStyle w:val="BodyText2"/>
        <w:spacing w:line="240" w:lineRule="auto"/>
        <w:jc w:val="both"/>
        <w:rPr>
          <w:sz w:val="22"/>
          <w:szCs w:val="22"/>
          <w:lang w:val="sr-Latn-ME"/>
        </w:rPr>
      </w:pPr>
      <w:r w:rsidRPr="0057682A">
        <w:rPr>
          <w:sz w:val="22"/>
          <w:szCs w:val="22"/>
          <w:lang w:val="sr-Latn-ME"/>
        </w:rPr>
        <w:t xml:space="preserve">Olanzapin se metabolizuje u jetri konjugacijom i oksidacijom. Glavni cirkulišući metabolit je 10-N-glukuronid, koji ne prelazi cerebrovaskularnu barijeru. Citohromi P450-CYP1A2 i P450-CYP2D6 doprinose nastanku N-desmetil i 2- hidroksimetil metabolita. Oba metabolita pokazuju signifikantno manju farmakološku aktivnost </w:t>
      </w:r>
      <w:r w:rsidRPr="0057682A">
        <w:rPr>
          <w:i/>
          <w:iCs/>
          <w:sz w:val="22"/>
          <w:szCs w:val="22"/>
          <w:lang w:val="sr-Latn-ME"/>
        </w:rPr>
        <w:t>in vivo</w:t>
      </w:r>
      <w:r w:rsidRPr="0057682A">
        <w:rPr>
          <w:sz w:val="22"/>
          <w:szCs w:val="22"/>
          <w:lang w:val="sr-Latn-ME"/>
        </w:rPr>
        <w:t xml:space="preserve"> nego olanzapin u studijama na životinjama. Predominantna farmakološka aktivnost potiče od matičnog olanzapina. </w:t>
      </w:r>
    </w:p>
    <w:p w:rsidR="00DA0659" w:rsidRPr="0057682A" w:rsidRDefault="00DA0659" w:rsidP="00DA0659">
      <w:pPr>
        <w:pStyle w:val="Text"/>
        <w:tabs>
          <w:tab w:val="left" w:pos="567"/>
        </w:tabs>
        <w:spacing w:before="0" w:after="0" w:line="240" w:lineRule="auto"/>
        <w:ind w:left="0" w:right="0" w:firstLine="0"/>
        <w:rPr>
          <w:color w:val="auto"/>
          <w:sz w:val="22"/>
          <w:szCs w:val="22"/>
          <w:u w:val="single"/>
          <w:lang w:val="sr-Latn-ME"/>
        </w:rPr>
      </w:pPr>
    </w:p>
    <w:p w:rsidR="00DA0659" w:rsidRPr="0057682A" w:rsidRDefault="00DA0659" w:rsidP="00DA0659">
      <w:pPr>
        <w:pStyle w:val="Text"/>
        <w:tabs>
          <w:tab w:val="left" w:pos="567"/>
        </w:tabs>
        <w:spacing w:before="0" w:after="0" w:line="240" w:lineRule="auto"/>
        <w:ind w:left="0" w:right="0" w:firstLine="0"/>
        <w:rPr>
          <w:color w:val="auto"/>
          <w:sz w:val="22"/>
          <w:szCs w:val="22"/>
          <w:u w:val="single"/>
          <w:lang w:val="sr-Latn-ME"/>
        </w:rPr>
      </w:pPr>
      <w:r w:rsidRPr="0057682A">
        <w:rPr>
          <w:color w:val="auto"/>
          <w:sz w:val="22"/>
          <w:szCs w:val="22"/>
          <w:u w:val="single"/>
          <w:lang w:val="sr-Latn-ME"/>
        </w:rPr>
        <w:t>Izlučivanje</w:t>
      </w:r>
    </w:p>
    <w:p w:rsidR="00DA0659" w:rsidRPr="0057682A" w:rsidRDefault="00DA0659" w:rsidP="00DA0659">
      <w:pPr>
        <w:pStyle w:val="BodyText2"/>
        <w:spacing w:line="240" w:lineRule="auto"/>
        <w:jc w:val="both"/>
        <w:rPr>
          <w:sz w:val="22"/>
          <w:szCs w:val="22"/>
          <w:lang w:val="sr-Latn-ME"/>
        </w:rPr>
      </w:pPr>
      <w:r w:rsidRPr="0057682A">
        <w:rPr>
          <w:sz w:val="22"/>
          <w:szCs w:val="22"/>
          <w:lang w:val="sr-Latn-ME"/>
        </w:rPr>
        <w:t>Nakon oralnog davanja zdravim dobrovoljcima, srednje terminalno poluvrijeme izlučivanja varira i zavisi od starosti i pola.</w:t>
      </w:r>
    </w:p>
    <w:p w:rsidR="00DA0659" w:rsidRPr="0057682A" w:rsidRDefault="00DA0659" w:rsidP="00DA0659">
      <w:pPr>
        <w:autoSpaceDE w:val="0"/>
        <w:autoSpaceDN w:val="0"/>
        <w:adjustRightInd w:val="0"/>
        <w:jc w:val="both"/>
        <w:rPr>
          <w:i/>
          <w:iCs/>
          <w:szCs w:val="22"/>
          <w:lang w:val="sr-Latn-ME"/>
        </w:rPr>
      </w:pPr>
    </w:p>
    <w:p w:rsidR="00DA0659" w:rsidRPr="0057682A" w:rsidRDefault="00DA0659" w:rsidP="00DA0659">
      <w:pPr>
        <w:pStyle w:val="BodyText2"/>
        <w:spacing w:line="240" w:lineRule="auto"/>
        <w:jc w:val="both"/>
        <w:rPr>
          <w:sz w:val="22"/>
          <w:szCs w:val="22"/>
          <w:lang w:val="sr-Latn-ME"/>
        </w:rPr>
      </w:pPr>
      <w:r w:rsidRPr="0057682A">
        <w:rPr>
          <w:sz w:val="22"/>
          <w:szCs w:val="22"/>
          <w:lang w:val="sr-Latn-ME"/>
        </w:rPr>
        <w:t xml:space="preserve">Kod zdravih starijih osoba (65 godina i više) srednje poluvrijeme eliminacije bilo je produženo (51,8 sati) u odnosu na mlađe ispitanike (33,8 sati), a klirens kreatinina je bio smanjen (17,5 l/sat vs. 18,2 l/sat). Farmakokinetska varijabilnost primijećena kod starijih osoba bila je u granicama one kod mlađih osoba. Kod 44 </w:t>
      </w:r>
      <w:r w:rsidR="00BE25B7" w:rsidRPr="0057682A">
        <w:rPr>
          <w:sz w:val="22"/>
          <w:szCs w:val="22"/>
          <w:lang w:val="sr-Latn-ME"/>
        </w:rPr>
        <w:t>pacijenata</w:t>
      </w:r>
      <w:r w:rsidRPr="0057682A">
        <w:rPr>
          <w:sz w:val="22"/>
          <w:szCs w:val="22"/>
          <w:lang w:val="sr-Latn-ME"/>
        </w:rPr>
        <w:t xml:space="preserve"> sa šizofrenijom starosti od 65 godina, doziranje od 5 do 20 mg nije bilo povezano ni sa kakvim uočljivim profilom neželjenih dejstava. </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Kod ispitanika ženskog pola u odnosu na muške ispitanike, poluvrijeme eliminacije bilo je nešto produženo (36,7 vs. 32,3 sata), a klirens kreatinina bio je smanjen (18,9 vs. 27,3 l/sata). Međutim, olanzapin (5 – 20 mg) je pokazao uporedivi profil neškodljivosti kod </w:t>
      </w:r>
      <w:r w:rsidR="00BE25B7" w:rsidRPr="0057682A">
        <w:rPr>
          <w:szCs w:val="22"/>
          <w:lang w:val="sr-Latn-ME"/>
        </w:rPr>
        <w:t>pacijenata</w:t>
      </w:r>
      <w:r w:rsidRPr="0057682A">
        <w:rPr>
          <w:szCs w:val="22"/>
          <w:lang w:val="sr-Latn-ME"/>
        </w:rPr>
        <w:t xml:space="preserve"> ženskog (n=467) i muškog pola (n=869).</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pStyle w:val="Text"/>
        <w:tabs>
          <w:tab w:val="left" w:pos="567"/>
        </w:tabs>
        <w:spacing w:before="0" w:after="0" w:line="240" w:lineRule="auto"/>
        <w:ind w:left="0" w:right="0" w:firstLine="0"/>
        <w:jc w:val="both"/>
        <w:rPr>
          <w:color w:val="auto"/>
          <w:sz w:val="22"/>
          <w:szCs w:val="22"/>
          <w:u w:val="single"/>
          <w:lang w:val="sr-Latn-ME"/>
        </w:rPr>
      </w:pPr>
      <w:r w:rsidRPr="0057682A">
        <w:rPr>
          <w:color w:val="auto"/>
          <w:sz w:val="22"/>
          <w:szCs w:val="22"/>
          <w:u w:val="single"/>
          <w:lang w:val="sr-Latn-ME"/>
        </w:rPr>
        <w:t>Narušena funkcija bubrega</w:t>
      </w:r>
    </w:p>
    <w:p w:rsidR="00DA0659" w:rsidRPr="0057682A" w:rsidRDefault="00DA0659" w:rsidP="00DA0659">
      <w:pPr>
        <w:pStyle w:val="Text"/>
        <w:tabs>
          <w:tab w:val="left" w:pos="567"/>
        </w:tabs>
        <w:spacing w:before="0" w:after="0" w:line="240" w:lineRule="auto"/>
        <w:ind w:left="0" w:right="0" w:firstLine="0"/>
        <w:jc w:val="both"/>
        <w:rPr>
          <w:sz w:val="22"/>
          <w:szCs w:val="22"/>
          <w:lang w:val="sr-Latn-ME"/>
        </w:rPr>
      </w:pPr>
      <w:r w:rsidRPr="0057682A">
        <w:rPr>
          <w:sz w:val="22"/>
          <w:szCs w:val="22"/>
          <w:lang w:val="sr-Latn-ME"/>
        </w:rPr>
        <w:t xml:space="preserve">Kod </w:t>
      </w:r>
      <w:r w:rsidR="00BE25B7" w:rsidRPr="0057682A">
        <w:rPr>
          <w:sz w:val="22"/>
          <w:szCs w:val="22"/>
          <w:lang w:val="sr-Latn-ME"/>
        </w:rPr>
        <w:t>pacijenata</w:t>
      </w:r>
      <w:r w:rsidRPr="0057682A">
        <w:rPr>
          <w:sz w:val="22"/>
          <w:szCs w:val="22"/>
          <w:lang w:val="sr-Latn-ME"/>
        </w:rPr>
        <w:t xml:space="preserve"> s narušenom funkcijom bubrega (klirens kreatina &lt; 100 ml/min) u odnosu na zdrave ispitanike nije bilo signifikantne razlike u poluvremenu eliminacije (37,7 vs. 32,4 sata) ili klirensa (21,2 vs. 25,0 l/sat). U studiji bilance mase ustanovljeno je da se oko 57 % radioaktivno označenog olanzapina pojavljeje u urinu, uglavnom u obliku metabolita.</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pStyle w:val="Text"/>
        <w:keepNext/>
        <w:tabs>
          <w:tab w:val="left" w:pos="567"/>
        </w:tabs>
        <w:spacing w:before="0" w:after="0" w:line="240" w:lineRule="auto"/>
        <w:ind w:left="0" w:right="0" w:firstLine="0"/>
        <w:jc w:val="both"/>
        <w:rPr>
          <w:color w:val="auto"/>
          <w:sz w:val="22"/>
          <w:szCs w:val="22"/>
          <w:u w:val="single"/>
          <w:lang w:val="sr-Latn-ME"/>
        </w:rPr>
      </w:pPr>
      <w:r w:rsidRPr="0057682A">
        <w:rPr>
          <w:color w:val="auto"/>
          <w:sz w:val="22"/>
          <w:szCs w:val="22"/>
          <w:u w:val="single"/>
          <w:lang w:val="sr-Latn-ME"/>
        </w:rPr>
        <w:lastRenderedPageBreak/>
        <w:t>Narušena funkcija jetre</w:t>
      </w:r>
    </w:p>
    <w:p w:rsidR="00DA0659" w:rsidRPr="0057682A" w:rsidRDefault="00DA0659" w:rsidP="00DA0659">
      <w:pPr>
        <w:pStyle w:val="Text"/>
        <w:tabs>
          <w:tab w:val="left" w:pos="567"/>
        </w:tabs>
        <w:spacing w:before="0" w:after="0" w:line="240" w:lineRule="auto"/>
        <w:ind w:left="0" w:right="0" w:firstLine="0"/>
        <w:jc w:val="both"/>
        <w:rPr>
          <w:color w:val="auto"/>
          <w:sz w:val="22"/>
          <w:szCs w:val="22"/>
          <w:lang w:val="sr-Latn-ME"/>
        </w:rPr>
      </w:pPr>
      <w:r w:rsidRPr="0057682A">
        <w:rPr>
          <w:color w:val="auto"/>
          <w:sz w:val="22"/>
          <w:szCs w:val="22"/>
          <w:lang w:val="sr-Latn-ME"/>
        </w:rPr>
        <w:t>Mala studija efekta narušene funkcije jetre na 6 ispitanika s klinički značajnom cirozom (Childs Pugh klasifikacija A (n = 5) i B (n = 1)) pokazala je mali efekat na farmakokinetiku oralno primijenjenog olanzapina (2,5 - 7,5 mg pojedinačna doza): Ispitanici s blagom do umjerenom disfukcijom jetre imali su blago povećan sistemski klirens i brže poluvrijeme eliminacije u poređenju sa ispitanicima bez poremećaja jetre (n = 3). Pušača je bilo više među ispitanicima sa cirozom (4/6; 67%) nego među ispitanicima bez poremećaja jetre (0/3; 0%).</w:t>
      </w:r>
    </w:p>
    <w:p w:rsidR="00DA0659" w:rsidRPr="0057682A" w:rsidRDefault="00DA0659" w:rsidP="00DA0659">
      <w:pPr>
        <w:pStyle w:val="Text"/>
        <w:tabs>
          <w:tab w:val="left" w:pos="567"/>
        </w:tabs>
        <w:spacing w:before="0" w:after="0" w:line="240" w:lineRule="auto"/>
        <w:ind w:left="0" w:right="0" w:firstLine="0"/>
        <w:rPr>
          <w:color w:val="auto"/>
          <w:sz w:val="22"/>
          <w:szCs w:val="22"/>
          <w:u w:val="single"/>
          <w:lang w:val="sr-Latn-ME"/>
        </w:rPr>
      </w:pPr>
    </w:p>
    <w:p w:rsidR="00DA0659" w:rsidRPr="0057682A" w:rsidRDefault="00DA0659" w:rsidP="00DA0659">
      <w:pPr>
        <w:autoSpaceDE w:val="0"/>
        <w:autoSpaceDN w:val="0"/>
        <w:adjustRightInd w:val="0"/>
        <w:jc w:val="both"/>
        <w:rPr>
          <w:szCs w:val="22"/>
          <w:u w:val="single"/>
          <w:lang w:val="sr-Latn-ME"/>
        </w:rPr>
      </w:pPr>
      <w:r w:rsidRPr="0057682A">
        <w:rPr>
          <w:szCs w:val="22"/>
          <w:u w:val="single"/>
          <w:lang w:val="sr-Latn-ME"/>
        </w:rPr>
        <w:t>Pušenje</w:t>
      </w:r>
    </w:p>
    <w:p w:rsidR="00DA0659" w:rsidRPr="0057682A" w:rsidRDefault="00DA0659" w:rsidP="00DA0659">
      <w:pPr>
        <w:autoSpaceDE w:val="0"/>
        <w:autoSpaceDN w:val="0"/>
        <w:adjustRightInd w:val="0"/>
        <w:jc w:val="both"/>
        <w:rPr>
          <w:szCs w:val="22"/>
          <w:lang w:val="sr-Latn-ME"/>
        </w:rPr>
      </w:pPr>
      <w:r w:rsidRPr="0057682A">
        <w:rPr>
          <w:szCs w:val="22"/>
          <w:lang w:val="sr-Latn-ME"/>
        </w:rPr>
        <w:t>Kod ispitanika koji su nepušači u poređenju sa onima koji su pušači (muškarci i žene) srednja vrijednost poluvremena eliminacije je bila produžena (38,6 spram 30,4 sata), dok je klirens bio smanjen (18,6 spram 27,7 l/sat).</w:t>
      </w:r>
    </w:p>
    <w:p w:rsidR="00DA0659" w:rsidRPr="0057682A" w:rsidRDefault="00DA0659" w:rsidP="00DA0659">
      <w:pPr>
        <w:autoSpaceDE w:val="0"/>
        <w:autoSpaceDN w:val="0"/>
        <w:adjustRightInd w:val="0"/>
        <w:jc w:val="both"/>
        <w:rPr>
          <w:szCs w:val="22"/>
          <w:lang w:val="sr-Latn-ME"/>
        </w:rPr>
      </w:pPr>
      <w:r w:rsidRPr="0057682A">
        <w:rPr>
          <w:szCs w:val="22"/>
          <w:lang w:val="sr-Latn-ME"/>
        </w:rPr>
        <w:t>Plazmatski klirens olanzapina je niži kod starijih u odnosu na klirens kod mlađih ispitanika, kod ženskih prema onome kod muških i kod nepušača prema onima kod pušača. Međutim, raspon uticaja starosti, pola i pušenja na klirens olanzapina i poluvrijeme je mali u upoređenju s uopštenom varijabilnošću između pojedinaca.</w:t>
      </w:r>
    </w:p>
    <w:p w:rsidR="00DA0659" w:rsidRPr="0057682A" w:rsidRDefault="00DA0659" w:rsidP="00DA0659">
      <w:pPr>
        <w:autoSpaceDE w:val="0"/>
        <w:autoSpaceDN w:val="0"/>
        <w:adjustRightInd w:val="0"/>
        <w:jc w:val="both"/>
        <w:rPr>
          <w:szCs w:val="22"/>
          <w:lang w:val="sr-Latn-ME"/>
        </w:rPr>
      </w:pPr>
    </w:p>
    <w:p w:rsidR="00DA0659" w:rsidRPr="0057682A" w:rsidRDefault="00DA0659" w:rsidP="00DA0659">
      <w:pPr>
        <w:autoSpaceDE w:val="0"/>
        <w:autoSpaceDN w:val="0"/>
        <w:adjustRightInd w:val="0"/>
        <w:jc w:val="both"/>
        <w:rPr>
          <w:szCs w:val="22"/>
          <w:lang w:val="sr-Latn-ME"/>
        </w:rPr>
      </w:pPr>
      <w:r w:rsidRPr="0057682A">
        <w:rPr>
          <w:szCs w:val="22"/>
          <w:lang w:val="sr-Latn-ME"/>
        </w:rPr>
        <w:t>Farmakokinetski parametri nisu se razlikovali u ispitivanjima koja su sprovedena na populacijama bijelaca, Japanaca i Kineza.</w:t>
      </w:r>
    </w:p>
    <w:p w:rsidR="00DA0659" w:rsidRPr="0057682A" w:rsidRDefault="00DA0659" w:rsidP="00DA0659">
      <w:pPr>
        <w:pStyle w:val="Heading2"/>
        <w:jc w:val="both"/>
        <w:rPr>
          <w:b w:val="0"/>
          <w:i/>
          <w:iCs/>
          <w:sz w:val="22"/>
          <w:szCs w:val="22"/>
          <w:lang w:val="sr-Latn-ME"/>
        </w:rPr>
      </w:pPr>
      <w:r w:rsidRPr="0057682A">
        <w:rPr>
          <w:b w:val="0"/>
          <w:i/>
          <w:sz w:val="22"/>
          <w:szCs w:val="22"/>
          <w:lang w:val="sr-Latn-ME"/>
        </w:rPr>
        <w:t>Pedijatrijska populacija</w:t>
      </w:r>
    </w:p>
    <w:p w:rsidR="00DA0659" w:rsidRPr="0057682A" w:rsidRDefault="00DA0659" w:rsidP="00DA0659">
      <w:pPr>
        <w:autoSpaceDE w:val="0"/>
        <w:autoSpaceDN w:val="0"/>
        <w:adjustRightInd w:val="0"/>
        <w:jc w:val="both"/>
        <w:rPr>
          <w:szCs w:val="22"/>
          <w:lang w:val="sr-Latn-ME"/>
        </w:rPr>
      </w:pPr>
      <w:r w:rsidRPr="0057682A">
        <w:rPr>
          <w:szCs w:val="22"/>
          <w:lang w:val="sr-Latn-ME"/>
        </w:rPr>
        <w:t>Adolescenti (od 13-17 godina): Farmakokinetika olanzapina kod adolescenata i odraslih je slična. U kliničkim ispitivanjima prosječna izloženost olanzapinu kod adolescenata bila je otprilike 27% veća. Demografske razlike između adolescenata i odraslih uključuju nižu prosječnu tjelesnu težinu i manji broj pušača među adolescentima. Moguće je da ovi faktori doprinose većoj prosječnoj izloženosti opaženoj kod adolescenata.</w:t>
      </w:r>
    </w:p>
    <w:p w:rsidR="00DA0659" w:rsidRPr="0057682A" w:rsidRDefault="00DA0659" w:rsidP="00DA0659">
      <w:pPr>
        <w:widowControl w:val="0"/>
        <w:jc w:val="both"/>
        <w:rPr>
          <w:szCs w:val="22"/>
          <w:lang w:val="sr-Latn-ME"/>
        </w:rPr>
      </w:pPr>
    </w:p>
    <w:p w:rsidR="00DA0659" w:rsidRPr="0057682A" w:rsidRDefault="00DA0659" w:rsidP="00DA0659">
      <w:pPr>
        <w:widowControl w:val="0"/>
        <w:ind w:left="567" w:hanging="567"/>
        <w:jc w:val="both"/>
        <w:outlineLvl w:val="0"/>
        <w:rPr>
          <w:szCs w:val="22"/>
          <w:lang w:val="sr-Latn-ME"/>
        </w:rPr>
      </w:pPr>
      <w:r w:rsidRPr="0057682A">
        <w:rPr>
          <w:b/>
          <w:szCs w:val="22"/>
          <w:lang w:val="sr-Latn-ME"/>
        </w:rPr>
        <w:t>5.3</w:t>
      </w:r>
      <w:r w:rsidRPr="0057682A">
        <w:rPr>
          <w:b/>
          <w:szCs w:val="22"/>
          <w:lang w:val="sr-Latn-ME"/>
        </w:rPr>
        <w:tab/>
      </w:r>
      <w:r w:rsidRPr="0057682A">
        <w:rPr>
          <w:b/>
          <w:bCs/>
          <w:szCs w:val="22"/>
          <w:lang w:val="sr-Latn-ME"/>
        </w:rPr>
        <w:t>Pretklinički podaci o bezbjednosti</w:t>
      </w:r>
    </w:p>
    <w:p w:rsidR="00DA0659" w:rsidRPr="0057682A" w:rsidRDefault="00DA0659" w:rsidP="00DA0659">
      <w:pPr>
        <w:widowControl w:val="0"/>
        <w:jc w:val="both"/>
        <w:rPr>
          <w:szCs w:val="22"/>
          <w:lang w:val="sr-Latn-ME"/>
        </w:rPr>
      </w:pPr>
      <w:r w:rsidRPr="0057682A" w:rsidDel="00925A95">
        <w:rPr>
          <w:szCs w:val="22"/>
          <w:lang w:val="sr-Latn-ME"/>
        </w:rPr>
        <w:t xml:space="preserve"> </w:t>
      </w:r>
    </w:p>
    <w:p w:rsidR="00DA0659" w:rsidRPr="0057682A" w:rsidRDefault="00DA0659" w:rsidP="00DA0659">
      <w:pPr>
        <w:autoSpaceDE w:val="0"/>
        <w:autoSpaceDN w:val="0"/>
        <w:adjustRightInd w:val="0"/>
        <w:jc w:val="both"/>
        <w:rPr>
          <w:szCs w:val="22"/>
          <w:lang w:val="sr-Latn-ME"/>
        </w:rPr>
      </w:pPr>
      <w:r w:rsidRPr="0057682A">
        <w:rPr>
          <w:i/>
          <w:iCs/>
          <w:szCs w:val="22"/>
          <w:u w:val="single"/>
          <w:lang w:val="sr-Latn-ME"/>
        </w:rPr>
        <w:t>Akutna toksičnost (pojedinačne doze)</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Znakovi oralne toksičnosti kod glodara bili su karakteristični za jake neuroleptike: smanjena aktivnost, koma, tremor, konvulzije, salivacija i manji porast tjelesne mase. Srednje vrijednosti letalnih doza bile su oko 210 mg/kg (miševi) i 175 mg/kg (pacovi). Kod pasa nije bilo letalnih ishoda nakon  pojedinačne oralne doze do 100 mg/kg. Klinički znakovi bili su sedacija, ataksija, tremor, ubrzan rad srca, otežano disanje, mioza i anoreksija.  Kod majmuna je pojedinačna oralna doza do 100 mg/kg izazvala malaksalost, a veća doza poremećaj svijesti. </w:t>
      </w:r>
    </w:p>
    <w:p w:rsidR="00DA0659" w:rsidRPr="0057682A" w:rsidRDefault="00DA0659" w:rsidP="00DA0659">
      <w:pPr>
        <w:pStyle w:val="Heading2"/>
        <w:jc w:val="both"/>
        <w:rPr>
          <w:i/>
          <w:sz w:val="22"/>
          <w:szCs w:val="22"/>
          <w:u w:val="none"/>
          <w:lang w:val="sr-Latn-ME"/>
        </w:rPr>
      </w:pPr>
    </w:p>
    <w:p w:rsidR="00DA0659" w:rsidRPr="0057682A" w:rsidRDefault="00DA0659" w:rsidP="00DA0659">
      <w:pPr>
        <w:pStyle w:val="Heading2"/>
        <w:jc w:val="both"/>
        <w:rPr>
          <w:b w:val="0"/>
          <w:i/>
          <w:sz w:val="22"/>
          <w:szCs w:val="22"/>
          <w:lang w:val="sr-Latn-ME"/>
        </w:rPr>
      </w:pPr>
      <w:r w:rsidRPr="0057682A">
        <w:rPr>
          <w:b w:val="0"/>
          <w:i/>
          <w:sz w:val="22"/>
          <w:szCs w:val="22"/>
          <w:lang w:val="sr-Latn-ME"/>
        </w:rPr>
        <w:t>Toksičnost posle primjene više doza</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U ispitivanjima koja su trajala do 3 mjeseca kod miševa i do 1 godine kod pacova i pasa, prevladavajući učinci bili su depresija CNS, antiholinergični efekti i periferni hematološki poremećaji. Razvila se tolerancija na depresiju CNS. Pri visokim dozama došlo je do smanjenja parametara rasta. Reverzibilne pojave, konzistentne sa povišenim nivoom prolaktina kod ženki pacova, bile su smanjena težina ovarijuma i materice, kao i morfološke promjene  na epitelu vagine i na mliječnim žlijezdama. </w:t>
      </w:r>
    </w:p>
    <w:p w:rsidR="00DA0659" w:rsidRPr="0057682A" w:rsidRDefault="00DA0659" w:rsidP="00DA0659">
      <w:pPr>
        <w:pStyle w:val="BodyText2"/>
        <w:spacing w:line="240" w:lineRule="auto"/>
        <w:jc w:val="both"/>
        <w:rPr>
          <w:b/>
          <w:i/>
          <w:sz w:val="22"/>
          <w:szCs w:val="22"/>
          <w:lang w:val="sr-Latn-ME"/>
        </w:rPr>
      </w:pPr>
    </w:p>
    <w:p w:rsidR="00DA0659" w:rsidRPr="0057682A" w:rsidRDefault="00DA0659" w:rsidP="00DA0659">
      <w:pPr>
        <w:pStyle w:val="BodyText2"/>
        <w:spacing w:line="240" w:lineRule="auto"/>
        <w:jc w:val="both"/>
        <w:rPr>
          <w:i/>
          <w:sz w:val="22"/>
          <w:szCs w:val="22"/>
          <w:u w:val="single"/>
          <w:lang w:val="sr-Latn-ME"/>
        </w:rPr>
      </w:pPr>
      <w:r w:rsidRPr="0057682A">
        <w:rPr>
          <w:i/>
          <w:sz w:val="22"/>
          <w:szCs w:val="22"/>
          <w:u w:val="single"/>
          <w:lang w:val="sr-Latn-ME"/>
        </w:rPr>
        <w:t xml:space="preserve">Hematološka toksičnost: </w:t>
      </w:r>
    </w:p>
    <w:p w:rsidR="00DA0659" w:rsidRPr="0057682A" w:rsidRDefault="00DA0659" w:rsidP="00DA0659">
      <w:pPr>
        <w:pStyle w:val="BodyText2"/>
        <w:spacing w:line="240" w:lineRule="auto"/>
        <w:jc w:val="both"/>
        <w:rPr>
          <w:sz w:val="22"/>
          <w:szCs w:val="22"/>
          <w:lang w:val="sr-Latn-ME"/>
        </w:rPr>
      </w:pPr>
      <w:r w:rsidRPr="0057682A">
        <w:rPr>
          <w:sz w:val="22"/>
          <w:szCs w:val="22"/>
          <w:lang w:val="sr-Latn-ME"/>
        </w:rPr>
        <w:t>Kod svih vrsta je ustanovljen  uticaj na hematološke parametre,  uključujući i redukciju broja leukocita u cirkulaciji miševa zavisnu od doze, te  nespecifičnu redukciju broja leukocita u cirkulaciji kod pacova; međutim, nije bilo dokaza o citotoksičnom dejstvu na koštanu srž. Reverzibilna neutropenija, trombocitopenija ili anemija razvile su se kod nekoliko pasa kojima je davano 8 ili 10 mg/kg/dan (ukupna izloženost olanzapinu [PIK] bila je 12 do 15 puta veća nego kod čovjeka kome je data doza od 12 mg). Kod pasa sa citopenijom nije bilo sporednih dejstava na progenitorske i proliferativne ćelije kosne srži.</w:t>
      </w:r>
    </w:p>
    <w:p w:rsidR="00DA0659" w:rsidRPr="0057682A" w:rsidRDefault="00DA0659" w:rsidP="00DA0659">
      <w:pPr>
        <w:pStyle w:val="Heading2"/>
        <w:spacing w:line="240" w:lineRule="auto"/>
        <w:jc w:val="both"/>
        <w:rPr>
          <w:i/>
          <w:sz w:val="22"/>
          <w:szCs w:val="22"/>
          <w:u w:val="none"/>
          <w:lang w:val="sr-Latn-ME"/>
        </w:rPr>
      </w:pPr>
    </w:p>
    <w:p w:rsidR="00DA0659" w:rsidRPr="0057682A" w:rsidRDefault="00DA0659" w:rsidP="00DA0659">
      <w:pPr>
        <w:pStyle w:val="Heading2"/>
        <w:spacing w:line="240" w:lineRule="auto"/>
        <w:jc w:val="both"/>
        <w:rPr>
          <w:b w:val="0"/>
          <w:i/>
          <w:sz w:val="22"/>
          <w:szCs w:val="22"/>
          <w:lang w:val="sr-Latn-ME"/>
        </w:rPr>
      </w:pPr>
      <w:r w:rsidRPr="0057682A">
        <w:rPr>
          <w:b w:val="0"/>
          <w:i/>
          <w:sz w:val="22"/>
          <w:szCs w:val="22"/>
          <w:lang w:val="sr-Latn-ME"/>
        </w:rPr>
        <w:t>Toksična dejstva na reprodukciju</w:t>
      </w:r>
    </w:p>
    <w:p w:rsidR="00DA0659" w:rsidRPr="0057682A" w:rsidRDefault="00DA0659" w:rsidP="00DA0659">
      <w:pPr>
        <w:autoSpaceDE w:val="0"/>
        <w:autoSpaceDN w:val="0"/>
        <w:adjustRightInd w:val="0"/>
        <w:jc w:val="both"/>
        <w:rPr>
          <w:szCs w:val="22"/>
          <w:lang w:val="sr-Latn-ME"/>
        </w:rPr>
      </w:pPr>
      <w:r w:rsidRPr="0057682A">
        <w:rPr>
          <w:szCs w:val="22"/>
          <w:lang w:val="sr-Latn-ME"/>
        </w:rPr>
        <w:t>Olanzapin nije pokazao teratogena dejstva. Sedacija je uticala na performanse mužjaka pacova pri  parenju. Doze od 1,1 mg/kg (doze 3 puta veće od maksimalne humane doze) uticale su na estrusni ciklus, a doze od 3 mg/kg (9 puta veće od maksimalnih humanih doza) uticale su na parametre reprodukcije kod pacova. Olanzapin može izazvati odgađanje ovulacije. Primijećen je sporiji razvoj fetusa i tranzitorni pad nivoa aktivnosti mladunaca čije su majke dobijale olanzapin .</w:t>
      </w:r>
    </w:p>
    <w:p w:rsidR="00DA0659" w:rsidRPr="0057682A" w:rsidRDefault="00DA0659" w:rsidP="00DA0659">
      <w:pPr>
        <w:pStyle w:val="Heading2"/>
        <w:jc w:val="both"/>
        <w:rPr>
          <w:i/>
          <w:sz w:val="22"/>
          <w:szCs w:val="22"/>
          <w:u w:val="none"/>
          <w:lang w:val="sr-Latn-ME"/>
        </w:rPr>
      </w:pPr>
    </w:p>
    <w:p w:rsidR="00DA0659" w:rsidRPr="0057682A" w:rsidRDefault="00DA0659" w:rsidP="00DA0659">
      <w:pPr>
        <w:pStyle w:val="Heading2"/>
        <w:jc w:val="both"/>
        <w:rPr>
          <w:b w:val="0"/>
          <w:i/>
          <w:sz w:val="22"/>
          <w:szCs w:val="22"/>
          <w:lang w:val="sr-Latn-ME"/>
        </w:rPr>
      </w:pPr>
      <w:r w:rsidRPr="0057682A">
        <w:rPr>
          <w:b w:val="0"/>
          <w:i/>
          <w:sz w:val="22"/>
          <w:szCs w:val="22"/>
          <w:lang w:val="sr-Latn-ME"/>
        </w:rPr>
        <w:t>Mutagenost</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Olanzapin nije ispoljio mutageno ili klastogeno dejstvo u čitavom nizu standardnih testova, koji su uključivali testove bakterijske mutacije </w:t>
      </w:r>
      <w:r w:rsidRPr="0057682A">
        <w:rPr>
          <w:i/>
          <w:iCs/>
          <w:szCs w:val="22"/>
          <w:lang w:val="sr-Latn-ME"/>
        </w:rPr>
        <w:t xml:space="preserve">in vitro </w:t>
      </w:r>
      <w:r w:rsidRPr="0057682A">
        <w:rPr>
          <w:iCs/>
          <w:szCs w:val="22"/>
          <w:lang w:val="sr-Latn-ME"/>
        </w:rPr>
        <w:t>i</w:t>
      </w:r>
      <w:r w:rsidRPr="0057682A">
        <w:rPr>
          <w:szCs w:val="22"/>
          <w:lang w:val="sr-Latn-ME"/>
        </w:rPr>
        <w:t xml:space="preserve"> </w:t>
      </w:r>
      <w:r w:rsidRPr="0057682A">
        <w:rPr>
          <w:i/>
          <w:iCs/>
          <w:szCs w:val="22"/>
          <w:lang w:val="sr-Latn-ME"/>
        </w:rPr>
        <w:t xml:space="preserve">in vivo </w:t>
      </w:r>
      <w:r w:rsidRPr="0057682A">
        <w:rPr>
          <w:szCs w:val="22"/>
          <w:lang w:val="sr-Latn-ME"/>
        </w:rPr>
        <w:t>na sisarima.</w:t>
      </w:r>
    </w:p>
    <w:p w:rsidR="00DA0659" w:rsidRPr="0057682A" w:rsidRDefault="00DA0659" w:rsidP="00DA0659">
      <w:pPr>
        <w:pStyle w:val="Heading4"/>
        <w:rPr>
          <w:b w:val="0"/>
          <w:i/>
          <w:sz w:val="22"/>
          <w:szCs w:val="22"/>
          <w:u w:val="single"/>
          <w:lang w:val="sr-Latn-ME"/>
        </w:rPr>
      </w:pPr>
      <w:r w:rsidRPr="0057682A">
        <w:rPr>
          <w:b w:val="0"/>
          <w:i/>
          <w:sz w:val="22"/>
          <w:szCs w:val="22"/>
          <w:u w:val="single"/>
          <w:lang w:val="sr-Latn-ME"/>
        </w:rPr>
        <w:t>Karcinogenost</w:t>
      </w:r>
    </w:p>
    <w:p w:rsidR="00DA0659" w:rsidRPr="0057682A" w:rsidRDefault="00DA0659" w:rsidP="00DA0659">
      <w:pPr>
        <w:autoSpaceDE w:val="0"/>
        <w:autoSpaceDN w:val="0"/>
        <w:adjustRightInd w:val="0"/>
        <w:jc w:val="both"/>
        <w:rPr>
          <w:szCs w:val="22"/>
          <w:lang w:val="sr-Latn-ME"/>
        </w:rPr>
      </w:pPr>
      <w:r w:rsidRPr="0057682A">
        <w:rPr>
          <w:szCs w:val="22"/>
          <w:lang w:val="sr-Latn-ME"/>
        </w:rPr>
        <w:t xml:space="preserve">Na osnovu rezultata dobijenih u studijama na miševima i pacovima zaključeno je da olanzapin nije karcinogen. </w:t>
      </w:r>
    </w:p>
    <w:p w:rsidR="00DA0659" w:rsidRPr="0057682A" w:rsidRDefault="00DA0659" w:rsidP="00DA0659">
      <w:pPr>
        <w:widowControl w:val="0"/>
        <w:rPr>
          <w:szCs w:val="22"/>
          <w:lang w:val="sr-Latn-ME"/>
        </w:rPr>
      </w:pPr>
    </w:p>
    <w:p w:rsidR="00DA0659" w:rsidRPr="0057682A" w:rsidRDefault="00DA0659" w:rsidP="00DA0659">
      <w:pPr>
        <w:widowControl w:val="0"/>
        <w:rPr>
          <w:szCs w:val="22"/>
          <w:lang w:val="sr-Latn-ME"/>
        </w:rPr>
      </w:pPr>
    </w:p>
    <w:p w:rsidR="00DA0659" w:rsidRPr="0057682A" w:rsidRDefault="00DA0659" w:rsidP="00DA0659">
      <w:pPr>
        <w:widowControl w:val="0"/>
        <w:ind w:left="567" w:hanging="567"/>
        <w:rPr>
          <w:b/>
          <w:szCs w:val="22"/>
          <w:lang w:val="sr-Latn-ME"/>
        </w:rPr>
      </w:pPr>
      <w:r w:rsidRPr="0057682A">
        <w:rPr>
          <w:b/>
          <w:szCs w:val="22"/>
          <w:lang w:val="sr-Latn-ME"/>
        </w:rPr>
        <w:t>6.</w:t>
      </w:r>
      <w:r w:rsidRPr="0057682A">
        <w:rPr>
          <w:b/>
          <w:szCs w:val="22"/>
          <w:lang w:val="sr-Latn-ME"/>
        </w:rPr>
        <w:tab/>
        <w:t>FARMACEUTSKI PODACI</w:t>
      </w:r>
    </w:p>
    <w:p w:rsidR="00DA0659" w:rsidRPr="0057682A" w:rsidRDefault="00DA0659" w:rsidP="00DA0659">
      <w:pPr>
        <w:widowControl w:val="0"/>
        <w:rPr>
          <w:szCs w:val="22"/>
          <w:lang w:val="sr-Latn-ME"/>
        </w:rPr>
      </w:pPr>
    </w:p>
    <w:p w:rsidR="00DA0659" w:rsidRPr="0057682A" w:rsidRDefault="00DA0659" w:rsidP="00DA0659">
      <w:pPr>
        <w:widowControl w:val="0"/>
        <w:ind w:left="567" w:hanging="567"/>
        <w:outlineLvl w:val="0"/>
        <w:rPr>
          <w:szCs w:val="22"/>
          <w:lang w:val="sr-Latn-ME"/>
        </w:rPr>
      </w:pPr>
      <w:r w:rsidRPr="0057682A">
        <w:rPr>
          <w:b/>
          <w:szCs w:val="22"/>
          <w:lang w:val="sr-Latn-ME"/>
        </w:rPr>
        <w:t>6.1</w:t>
      </w:r>
      <w:r w:rsidRPr="0057682A">
        <w:rPr>
          <w:b/>
          <w:szCs w:val="22"/>
          <w:lang w:val="sr-Latn-ME"/>
        </w:rPr>
        <w:tab/>
      </w:r>
      <w:r w:rsidRPr="0057682A">
        <w:rPr>
          <w:b/>
          <w:bCs/>
          <w:szCs w:val="22"/>
          <w:lang w:val="sr-Latn-ME"/>
        </w:rPr>
        <w:t>Lista pomoćnih supstanci (ekscipijenasa)</w:t>
      </w:r>
    </w:p>
    <w:p w:rsidR="00DA0659" w:rsidRPr="0057682A" w:rsidRDefault="00DA0659" w:rsidP="00DA0659">
      <w:pPr>
        <w:widowControl w:val="0"/>
        <w:rPr>
          <w:szCs w:val="22"/>
          <w:lang w:val="sr-Latn-ME"/>
        </w:rPr>
      </w:pPr>
    </w:p>
    <w:p w:rsidR="00DA0659" w:rsidRPr="0057682A" w:rsidRDefault="00DA0659" w:rsidP="00DA0659">
      <w:pPr>
        <w:jc w:val="both"/>
        <w:rPr>
          <w:szCs w:val="22"/>
          <w:lang w:val="sr-Latn-ME"/>
        </w:rPr>
      </w:pPr>
      <w:r w:rsidRPr="0057682A">
        <w:rPr>
          <w:szCs w:val="22"/>
          <w:lang w:val="sr-Latn-ME"/>
        </w:rPr>
        <w:t>Laktoza, monohidrat</w:t>
      </w:r>
    </w:p>
    <w:p w:rsidR="00DA0659" w:rsidRPr="0057682A" w:rsidRDefault="00C0523A" w:rsidP="00DA0659">
      <w:pPr>
        <w:jc w:val="both"/>
        <w:rPr>
          <w:szCs w:val="22"/>
          <w:lang w:val="sr-Latn-ME"/>
        </w:rPr>
      </w:pPr>
      <w:r w:rsidRPr="0057682A">
        <w:rPr>
          <w:szCs w:val="22"/>
          <w:lang w:val="sr-Latn-ME"/>
        </w:rPr>
        <w:t>C</w:t>
      </w:r>
      <w:r w:rsidR="00DA0659" w:rsidRPr="0057682A">
        <w:rPr>
          <w:szCs w:val="22"/>
          <w:lang w:val="sr-Latn-ME"/>
        </w:rPr>
        <w:t>eluloza</w:t>
      </w:r>
      <w:r w:rsidRPr="0057682A">
        <w:rPr>
          <w:szCs w:val="22"/>
          <w:lang w:val="sr-Latn-ME"/>
        </w:rPr>
        <w:t>, praškasta</w:t>
      </w:r>
    </w:p>
    <w:p w:rsidR="00DA0659" w:rsidRPr="0057682A" w:rsidRDefault="00DA0659" w:rsidP="00DA0659">
      <w:pPr>
        <w:jc w:val="both"/>
        <w:rPr>
          <w:szCs w:val="22"/>
          <w:lang w:val="sr-Latn-ME"/>
        </w:rPr>
      </w:pPr>
      <w:r w:rsidRPr="0057682A">
        <w:rPr>
          <w:szCs w:val="22"/>
          <w:lang w:val="sr-Latn-ME"/>
        </w:rPr>
        <w:t>S</w:t>
      </w:r>
      <w:r w:rsidR="0046453C" w:rsidRPr="0057682A">
        <w:rPr>
          <w:szCs w:val="22"/>
          <w:lang w:val="sr-Latn-ME"/>
        </w:rPr>
        <w:t>krob, preželatinizovani</w:t>
      </w:r>
    </w:p>
    <w:p w:rsidR="00DA0659" w:rsidRPr="0057682A" w:rsidRDefault="00DA0659" w:rsidP="00DA0659">
      <w:pPr>
        <w:jc w:val="both"/>
        <w:rPr>
          <w:szCs w:val="22"/>
          <w:lang w:val="sr-Latn-ME"/>
        </w:rPr>
      </w:pPr>
      <w:r w:rsidRPr="0057682A">
        <w:rPr>
          <w:szCs w:val="22"/>
          <w:lang w:val="sr-Latn-ME"/>
        </w:rPr>
        <w:t>Skrob</w:t>
      </w:r>
      <w:r w:rsidR="0046453C" w:rsidRPr="0057682A">
        <w:rPr>
          <w:szCs w:val="22"/>
          <w:lang w:val="sr-Latn-ME"/>
        </w:rPr>
        <w:t>,</w:t>
      </w:r>
      <w:r w:rsidRPr="0057682A">
        <w:rPr>
          <w:szCs w:val="22"/>
          <w:lang w:val="sr-Latn-ME"/>
        </w:rPr>
        <w:t xml:space="preserve"> kukuruzni</w:t>
      </w:r>
    </w:p>
    <w:p w:rsidR="00DA0659" w:rsidRPr="0057682A" w:rsidRDefault="00DA0659" w:rsidP="00DA0659">
      <w:pPr>
        <w:jc w:val="both"/>
        <w:rPr>
          <w:szCs w:val="22"/>
          <w:lang w:val="sr-Latn-ME"/>
        </w:rPr>
      </w:pPr>
      <w:r w:rsidRPr="0057682A">
        <w:rPr>
          <w:szCs w:val="22"/>
          <w:lang w:val="sr-Latn-ME"/>
        </w:rPr>
        <w:t>Silicijum</w:t>
      </w:r>
      <w:r w:rsidR="002B01C0" w:rsidRPr="0057682A">
        <w:rPr>
          <w:szCs w:val="22"/>
          <w:lang w:val="sr-Latn-ME"/>
        </w:rPr>
        <w:t xml:space="preserve"> </w:t>
      </w:r>
      <w:r w:rsidRPr="0057682A">
        <w:rPr>
          <w:szCs w:val="22"/>
          <w:lang w:val="sr-Latn-ME"/>
        </w:rPr>
        <w:t>dioksid, koloidni, bezvodni</w:t>
      </w:r>
    </w:p>
    <w:p w:rsidR="00DA0659" w:rsidRPr="0057682A" w:rsidRDefault="00DA0659" w:rsidP="00DA0659">
      <w:pPr>
        <w:jc w:val="both"/>
        <w:rPr>
          <w:szCs w:val="22"/>
          <w:lang w:val="sr-Latn-ME"/>
        </w:rPr>
      </w:pPr>
      <w:r w:rsidRPr="0057682A">
        <w:rPr>
          <w:szCs w:val="22"/>
          <w:lang w:val="sr-Latn-ME"/>
        </w:rPr>
        <w:t>Magnezijum</w:t>
      </w:r>
      <w:r w:rsidR="002B01C0" w:rsidRPr="0057682A">
        <w:rPr>
          <w:szCs w:val="22"/>
          <w:lang w:val="sr-Latn-ME"/>
        </w:rPr>
        <w:t xml:space="preserve"> </w:t>
      </w:r>
      <w:r w:rsidRPr="0057682A">
        <w:rPr>
          <w:szCs w:val="22"/>
          <w:lang w:val="sr-Latn-ME"/>
        </w:rPr>
        <w:t>stearat</w:t>
      </w:r>
    </w:p>
    <w:p w:rsidR="00DA0659" w:rsidRPr="0057682A" w:rsidRDefault="00DA0659" w:rsidP="00DA0659">
      <w:pPr>
        <w:widowControl w:val="0"/>
        <w:rPr>
          <w:szCs w:val="22"/>
          <w:highlight w:val="lightGray"/>
          <w:lang w:val="sr-Latn-ME"/>
        </w:rPr>
      </w:pPr>
    </w:p>
    <w:p w:rsidR="00DA0659" w:rsidRPr="0057682A" w:rsidRDefault="00DA0659" w:rsidP="00DA0659">
      <w:pPr>
        <w:widowControl w:val="0"/>
        <w:ind w:left="567" w:hanging="567"/>
        <w:outlineLvl w:val="0"/>
        <w:rPr>
          <w:szCs w:val="22"/>
          <w:lang w:val="sr-Latn-ME"/>
        </w:rPr>
      </w:pPr>
      <w:r w:rsidRPr="0057682A">
        <w:rPr>
          <w:b/>
          <w:szCs w:val="22"/>
          <w:lang w:val="sr-Latn-ME"/>
        </w:rPr>
        <w:t>6.2</w:t>
      </w:r>
      <w:r w:rsidRPr="0057682A">
        <w:rPr>
          <w:b/>
          <w:szCs w:val="22"/>
          <w:lang w:val="sr-Latn-ME"/>
        </w:rPr>
        <w:tab/>
        <w:t>Inkompatibilnosti</w:t>
      </w:r>
    </w:p>
    <w:p w:rsidR="00DA0659" w:rsidRPr="0057682A" w:rsidRDefault="00DA0659" w:rsidP="00DA0659">
      <w:pPr>
        <w:widowControl w:val="0"/>
        <w:rPr>
          <w:szCs w:val="22"/>
          <w:lang w:val="sr-Latn-ME"/>
        </w:rPr>
      </w:pPr>
    </w:p>
    <w:p w:rsidR="00DA0659" w:rsidRPr="0057682A" w:rsidRDefault="00DA0659" w:rsidP="00DA0659">
      <w:pPr>
        <w:widowControl w:val="0"/>
        <w:rPr>
          <w:szCs w:val="22"/>
          <w:lang w:val="sr-Latn-ME"/>
        </w:rPr>
      </w:pPr>
      <w:r w:rsidRPr="0057682A">
        <w:rPr>
          <w:szCs w:val="22"/>
          <w:lang w:val="sr-Latn-ME"/>
        </w:rPr>
        <w:t>Nije primjenjivo.</w:t>
      </w:r>
    </w:p>
    <w:p w:rsidR="00DA0659" w:rsidRPr="0057682A" w:rsidRDefault="00DA0659" w:rsidP="00DA0659">
      <w:pPr>
        <w:widowControl w:val="0"/>
        <w:ind w:left="567" w:hanging="567"/>
        <w:outlineLvl w:val="0"/>
        <w:rPr>
          <w:b/>
          <w:szCs w:val="22"/>
          <w:lang w:val="sr-Latn-ME"/>
        </w:rPr>
      </w:pPr>
    </w:p>
    <w:p w:rsidR="00DA0659" w:rsidRPr="0057682A" w:rsidRDefault="00DA0659" w:rsidP="00DA0659">
      <w:pPr>
        <w:widowControl w:val="0"/>
        <w:ind w:left="567" w:hanging="567"/>
        <w:outlineLvl w:val="0"/>
        <w:rPr>
          <w:szCs w:val="22"/>
          <w:lang w:val="sr-Latn-ME"/>
        </w:rPr>
      </w:pPr>
      <w:r w:rsidRPr="0057682A">
        <w:rPr>
          <w:b/>
          <w:szCs w:val="22"/>
          <w:lang w:val="sr-Latn-ME"/>
        </w:rPr>
        <w:t>6.3</w:t>
      </w:r>
      <w:r w:rsidRPr="0057682A">
        <w:rPr>
          <w:b/>
          <w:szCs w:val="22"/>
          <w:lang w:val="sr-Latn-ME"/>
        </w:rPr>
        <w:tab/>
        <w:t>Rok upotrebe</w:t>
      </w:r>
    </w:p>
    <w:p w:rsidR="00DA0659" w:rsidRPr="0057682A" w:rsidRDefault="00DA0659" w:rsidP="00DA0659">
      <w:pPr>
        <w:widowControl w:val="0"/>
        <w:rPr>
          <w:szCs w:val="22"/>
          <w:u w:val="single"/>
          <w:lang w:val="sr-Latn-ME"/>
        </w:rPr>
      </w:pPr>
    </w:p>
    <w:p w:rsidR="00DA0659" w:rsidRPr="0057682A" w:rsidRDefault="00DA0659" w:rsidP="00DA0659">
      <w:pPr>
        <w:widowControl w:val="0"/>
        <w:rPr>
          <w:szCs w:val="22"/>
          <w:lang w:val="sr-Latn-ME"/>
        </w:rPr>
      </w:pPr>
      <w:r w:rsidRPr="0057682A">
        <w:rPr>
          <w:szCs w:val="22"/>
          <w:lang w:val="sr-Latn-ME"/>
        </w:rPr>
        <w:t>5 godina.</w:t>
      </w:r>
    </w:p>
    <w:p w:rsidR="00DA0659" w:rsidRPr="0057682A" w:rsidRDefault="00DA0659" w:rsidP="00DA0659">
      <w:pPr>
        <w:widowControl w:val="0"/>
        <w:rPr>
          <w:iCs/>
          <w:szCs w:val="22"/>
          <w:lang w:val="sr-Latn-ME"/>
        </w:rPr>
      </w:pPr>
    </w:p>
    <w:p w:rsidR="00DA0659" w:rsidRPr="0057682A" w:rsidRDefault="00DA0659" w:rsidP="00DA0659">
      <w:pPr>
        <w:widowControl w:val="0"/>
        <w:ind w:left="567" w:hanging="567"/>
        <w:outlineLvl w:val="0"/>
        <w:rPr>
          <w:szCs w:val="22"/>
          <w:lang w:val="sr-Latn-ME"/>
        </w:rPr>
      </w:pPr>
      <w:r w:rsidRPr="0057682A">
        <w:rPr>
          <w:b/>
          <w:szCs w:val="22"/>
          <w:lang w:val="sr-Latn-ME"/>
        </w:rPr>
        <w:t>6.4</w:t>
      </w:r>
      <w:r w:rsidRPr="0057682A">
        <w:rPr>
          <w:b/>
          <w:szCs w:val="22"/>
          <w:lang w:val="sr-Latn-ME"/>
        </w:rPr>
        <w:tab/>
        <w:t>Posebne mjere upozorenja pri čuvanju lijeka</w:t>
      </w:r>
    </w:p>
    <w:p w:rsidR="00DA0659" w:rsidRPr="0057682A" w:rsidRDefault="00DA0659" w:rsidP="00DA0659">
      <w:pPr>
        <w:widowControl w:val="0"/>
        <w:outlineLvl w:val="0"/>
        <w:rPr>
          <w:szCs w:val="22"/>
          <w:lang w:val="sr-Latn-ME"/>
        </w:rPr>
      </w:pPr>
    </w:p>
    <w:p w:rsidR="00DA0659" w:rsidRPr="0057682A" w:rsidRDefault="00DA0659" w:rsidP="00DA0659">
      <w:pPr>
        <w:jc w:val="both"/>
        <w:rPr>
          <w:szCs w:val="22"/>
          <w:lang w:val="sr-Latn-ME"/>
        </w:rPr>
      </w:pPr>
      <w:r w:rsidRPr="0057682A">
        <w:rPr>
          <w:szCs w:val="22"/>
          <w:lang w:val="sr-Latn-ME"/>
        </w:rPr>
        <w:t xml:space="preserve">Lijek </w:t>
      </w:r>
      <w:r w:rsidR="00076B9C" w:rsidRPr="0057682A">
        <w:rPr>
          <w:szCs w:val="22"/>
          <w:lang w:val="sr-Latn-ME"/>
        </w:rPr>
        <w:t>čuvajte</w:t>
      </w:r>
      <w:r w:rsidRPr="0057682A">
        <w:rPr>
          <w:szCs w:val="22"/>
          <w:lang w:val="sr-Latn-ME"/>
        </w:rPr>
        <w:t xml:space="preserve"> u originalnom pakovanju, zaštićen</w:t>
      </w:r>
      <w:r w:rsidR="00076B9C" w:rsidRPr="0057682A">
        <w:rPr>
          <w:szCs w:val="22"/>
          <w:lang w:val="sr-Latn-ME"/>
        </w:rPr>
        <w:t>o</w:t>
      </w:r>
      <w:r w:rsidRPr="0057682A">
        <w:rPr>
          <w:szCs w:val="22"/>
          <w:lang w:val="sr-Latn-ME"/>
        </w:rPr>
        <w:t xml:space="preserve"> od vlage i svjetlosti.</w:t>
      </w:r>
      <w:r w:rsidR="00226635" w:rsidRPr="0057682A">
        <w:rPr>
          <w:szCs w:val="22"/>
          <w:lang w:val="sr-Latn-ME"/>
        </w:rPr>
        <w:t xml:space="preserve"> Lijek ne </w:t>
      </w:r>
      <w:r w:rsidR="006C5EF0" w:rsidRPr="0057682A">
        <w:rPr>
          <w:szCs w:val="22"/>
          <w:lang w:val="sr-Latn-ME"/>
        </w:rPr>
        <w:t>zahtjeva posebne temperaturne uslove čuvanja.</w:t>
      </w:r>
    </w:p>
    <w:p w:rsidR="00DA0659" w:rsidRPr="0057682A" w:rsidRDefault="00DA0659" w:rsidP="00DA0659">
      <w:pPr>
        <w:widowControl w:val="0"/>
        <w:rPr>
          <w:szCs w:val="22"/>
          <w:lang w:val="sr-Latn-ME"/>
        </w:rPr>
      </w:pPr>
    </w:p>
    <w:p w:rsidR="00DA0659" w:rsidRPr="0057682A" w:rsidRDefault="00DA0659" w:rsidP="00DA0659">
      <w:pPr>
        <w:widowControl w:val="0"/>
        <w:outlineLvl w:val="0"/>
        <w:rPr>
          <w:b/>
          <w:szCs w:val="22"/>
          <w:lang w:val="sr-Latn-ME"/>
        </w:rPr>
      </w:pPr>
      <w:r w:rsidRPr="0057682A">
        <w:rPr>
          <w:b/>
          <w:szCs w:val="22"/>
          <w:lang w:val="sr-Latn-ME"/>
        </w:rPr>
        <w:t>6.5</w:t>
      </w:r>
      <w:r w:rsidRPr="0057682A">
        <w:rPr>
          <w:b/>
          <w:szCs w:val="22"/>
          <w:lang w:val="sr-Latn-ME"/>
        </w:rPr>
        <w:tab/>
        <w:t>Vrsta i sadržaj pakovanja</w:t>
      </w:r>
    </w:p>
    <w:p w:rsidR="00DA0659" w:rsidRPr="0057682A" w:rsidRDefault="00DA0659" w:rsidP="00DA0659">
      <w:pPr>
        <w:widowControl w:val="0"/>
        <w:outlineLvl w:val="0"/>
        <w:rPr>
          <w:b/>
          <w:szCs w:val="22"/>
          <w:lang w:val="sr-Latn-ME"/>
        </w:rPr>
      </w:pPr>
    </w:p>
    <w:p w:rsidR="00DA0659" w:rsidRPr="0057682A" w:rsidRDefault="00DA0659" w:rsidP="00DA0659">
      <w:pPr>
        <w:jc w:val="both"/>
        <w:rPr>
          <w:szCs w:val="22"/>
          <w:lang w:val="sr-Latn-ME"/>
        </w:rPr>
      </w:pPr>
      <w:r w:rsidRPr="0057682A">
        <w:rPr>
          <w:szCs w:val="22"/>
          <w:lang w:val="sr-Latn-ME"/>
        </w:rPr>
        <w:t>Blister (OPA/Al/PVC-Al folija): 28 tableta (4 blistera po 7 tableta), u kutiji.</w:t>
      </w:r>
    </w:p>
    <w:p w:rsidR="00DA0659" w:rsidRPr="0057682A" w:rsidRDefault="00DA0659" w:rsidP="00DA0659">
      <w:pPr>
        <w:widowControl w:val="0"/>
        <w:rPr>
          <w:szCs w:val="22"/>
          <w:lang w:val="sr-Latn-ME"/>
        </w:rPr>
      </w:pPr>
    </w:p>
    <w:p w:rsidR="00DA0659" w:rsidRPr="0057682A" w:rsidRDefault="00DA0659" w:rsidP="00DA0659">
      <w:pPr>
        <w:widowControl w:val="0"/>
        <w:outlineLvl w:val="0"/>
        <w:rPr>
          <w:b/>
          <w:bCs/>
          <w:szCs w:val="22"/>
          <w:lang w:val="sr-Latn-ME"/>
        </w:rPr>
      </w:pPr>
      <w:r w:rsidRPr="0057682A">
        <w:rPr>
          <w:b/>
          <w:szCs w:val="22"/>
          <w:lang w:val="sr-Latn-ME"/>
        </w:rPr>
        <w:t>6.6</w:t>
      </w:r>
      <w:r w:rsidRPr="0057682A">
        <w:rPr>
          <w:b/>
          <w:szCs w:val="22"/>
          <w:lang w:val="sr-Latn-ME"/>
        </w:rPr>
        <w:tab/>
      </w:r>
      <w:r w:rsidRPr="0057682A">
        <w:rPr>
          <w:b/>
          <w:bCs/>
          <w:szCs w:val="22"/>
          <w:lang w:val="sr-Latn-ME"/>
        </w:rPr>
        <w:t>Posebne mjere opreza pri odlaganju materijala koji treba odbaciti nakon primjene</w:t>
      </w:r>
      <w:bookmarkStart w:id="0" w:name="OLE_LINK2"/>
    </w:p>
    <w:bookmarkEnd w:id="0"/>
    <w:p w:rsidR="00DA0659" w:rsidRPr="0057682A" w:rsidRDefault="00DA0659" w:rsidP="00DA0659">
      <w:pPr>
        <w:widowControl w:val="0"/>
        <w:outlineLvl w:val="0"/>
        <w:rPr>
          <w:szCs w:val="22"/>
          <w:lang w:val="sr-Latn-ME"/>
        </w:rPr>
      </w:pPr>
      <w:r w:rsidRPr="0057682A">
        <w:rPr>
          <w:b/>
          <w:bCs/>
          <w:szCs w:val="22"/>
          <w:lang w:val="sr-Latn-ME"/>
        </w:rPr>
        <w:t>lijeka (i druga uputstva za rukovanje lijekom)</w:t>
      </w:r>
    </w:p>
    <w:p w:rsidR="00DA0659" w:rsidRPr="0057682A" w:rsidRDefault="00DA0659" w:rsidP="00DA0659">
      <w:pPr>
        <w:widowControl w:val="0"/>
        <w:rPr>
          <w:szCs w:val="22"/>
          <w:highlight w:val="yellow"/>
          <w:lang w:val="sr-Latn-ME"/>
        </w:rPr>
      </w:pPr>
    </w:p>
    <w:p w:rsidR="00DA0659" w:rsidRPr="0057682A" w:rsidRDefault="00076B9C" w:rsidP="00DA0659">
      <w:pPr>
        <w:widowControl w:val="0"/>
        <w:rPr>
          <w:szCs w:val="22"/>
          <w:lang w:val="sr-Latn-ME"/>
        </w:rPr>
      </w:pPr>
      <w:r w:rsidRPr="0057682A">
        <w:rPr>
          <w:szCs w:val="22"/>
          <w:lang w:val="sr-Latn-ME"/>
        </w:rPr>
        <w:t>Neupotrijebljeni lijek se uništava u skladu sa važećim propisima.</w:t>
      </w:r>
    </w:p>
    <w:p w:rsidR="00231761" w:rsidRDefault="00231761" w:rsidP="00DA0659">
      <w:pPr>
        <w:widowControl w:val="0"/>
        <w:rPr>
          <w:szCs w:val="22"/>
          <w:lang w:val="sr-Latn-ME"/>
        </w:rPr>
      </w:pPr>
    </w:p>
    <w:p w:rsidR="00231761" w:rsidRPr="0057682A" w:rsidRDefault="00231761" w:rsidP="00DA0659">
      <w:pPr>
        <w:widowControl w:val="0"/>
        <w:rPr>
          <w:szCs w:val="22"/>
          <w:lang w:val="sr-Latn-ME"/>
        </w:rPr>
      </w:pPr>
    </w:p>
    <w:p w:rsidR="00DA0659" w:rsidRPr="0057682A" w:rsidRDefault="00DA0659" w:rsidP="00DA0659">
      <w:pPr>
        <w:widowControl w:val="0"/>
        <w:ind w:left="567" w:hanging="567"/>
        <w:rPr>
          <w:szCs w:val="22"/>
          <w:lang w:val="sr-Latn-ME"/>
        </w:rPr>
      </w:pPr>
      <w:r w:rsidRPr="0057682A">
        <w:rPr>
          <w:b/>
          <w:szCs w:val="22"/>
          <w:lang w:val="sr-Latn-ME"/>
        </w:rPr>
        <w:t>7.</w:t>
      </w:r>
      <w:r w:rsidRPr="0057682A">
        <w:rPr>
          <w:b/>
          <w:szCs w:val="22"/>
          <w:lang w:val="sr-Latn-ME"/>
        </w:rPr>
        <w:tab/>
      </w:r>
      <w:r w:rsidRPr="0057682A">
        <w:rPr>
          <w:b/>
          <w:bCs/>
          <w:szCs w:val="22"/>
          <w:lang w:val="sr-Latn-ME"/>
        </w:rPr>
        <w:t>NOSILAC DOZVOLE</w:t>
      </w:r>
    </w:p>
    <w:p w:rsidR="00DA0659" w:rsidRPr="0057682A" w:rsidRDefault="00DA0659" w:rsidP="00DA0659">
      <w:pPr>
        <w:widowControl w:val="0"/>
        <w:rPr>
          <w:szCs w:val="22"/>
          <w:lang w:val="sr-Latn-ME"/>
        </w:rPr>
      </w:pPr>
    </w:p>
    <w:p w:rsidR="00DA0659" w:rsidRPr="0057682A" w:rsidRDefault="00DA0659" w:rsidP="00DA0659">
      <w:pPr>
        <w:autoSpaceDE w:val="0"/>
        <w:autoSpaceDN w:val="0"/>
        <w:adjustRightInd w:val="0"/>
        <w:ind w:left="1985" w:hanging="1985"/>
        <w:jc w:val="both"/>
        <w:rPr>
          <w:szCs w:val="22"/>
          <w:lang w:val="sr-Latn-ME"/>
        </w:rPr>
      </w:pPr>
      <w:r w:rsidRPr="0057682A">
        <w:rPr>
          <w:szCs w:val="22"/>
          <w:lang w:val="sr-Latn-ME"/>
        </w:rPr>
        <w:t>D.S.D. „KRKA d.d. Novo mesto“ Slovenija</w:t>
      </w:r>
      <w:r w:rsidR="00C278D8" w:rsidRPr="0057682A">
        <w:rPr>
          <w:szCs w:val="22"/>
          <w:lang w:val="sr-Latn-ME"/>
        </w:rPr>
        <w:t xml:space="preserve"> </w:t>
      </w:r>
      <w:r w:rsidRPr="0057682A">
        <w:rPr>
          <w:szCs w:val="22"/>
          <w:lang w:val="sr-Latn-ME"/>
        </w:rPr>
        <w:t>- predstavništvo Podgorica</w:t>
      </w:r>
    </w:p>
    <w:p w:rsidR="00DA0659" w:rsidRPr="0057682A" w:rsidRDefault="00DA0659" w:rsidP="00DA0659">
      <w:pPr>
        <w:autoSpaceDE w:val="0"/>
        <w:autoSpaceDN w:val="0"/>
        <w:adjustRightInd w:val="0"/>
        <w:ind w:right="71"/>
        <w:rPr>
          <w:szCs w:val="22"/>
          <w:lang w:val="sr-Latn-ME"/>
        </w:rPr>
      </w:pPr>
      <w:r w:rsidRPr="0057682A">
        <w:rPr>
          <w:szCs w:val="22"/>
          <w:lang w:val="sr-Latn-ME"/>
        </w:rPr>
        <w:t>Svetlane Kane Radević br. 3, 81000 Podgorica, Crna Gora</w:t>
      </w:r>
    </w:p>
    <w:p w:rsidR="00DA0659" w:rsidRPr="0057682A" w:rsidRDefault="00DA0659" w:rsidP="00DA0659">
      <w:pPr>
        <w:tabs>
          <w:tab w:val="clear" w:pos="567"/>
          <w:tab w:val="left" w:pos="540"/>
          <w:tab w:val="left" w:pos="569"/>
        </w:tabs>
        <w:rPr>
          <w:b/>
          <w:bCs/>
          <w:szCs w:val="22"/>
          <w:lang w:val="sr-Latn-ME"/>
        </w:rPr>
      </w:pPr>
      <w:r w:rsidRPr="0057682A">
        <w:rPr>
          <w:b/>
          <w:bCs/>
          <w:szCs w:val="22"/>
          <w:lang w:val="sr-Latn-ME"/>
        </w:rPr>
        <w:lastRenderedPageBreak/>
        <w:t xml:space="preserve">8. </w:t>
      </w:r>
      <w:r w:rsidRPr="0057682A">
        <w:rPr>
          <w:b/>
          <w:bCs/>
          <w:szCs w:val="22"/>
          <w:lang w:val="sr-Latn-ME"/>
        </w:rPr>
        <w:tab/>
        <w:t>BROJ DOZVOLE ZA STAVLJANJE LIJEKA U PROMET</w:t>
      </w:r>
    </w:p>
    <w:p w:rsidR="00DA0659" w:rsidRPr="0057682A" w:rsidRDefault="00DA0659" w:rsidP="00DA0659">
      <w:pPr>
        <w:tabs>
          <w:tab w:val="clear" w:pos="567"/>
          <w:tab w:val="left" w:pos="540"/>
          <w:tab w:val="left" w:pos="569"/>
        </w:tabs>
        <w:rPr>
          <w:b/>
          <w:bCs/>
          <w:szCs w:val="22"/>
          <w:lang w:val="sr-Latn-ME"/>
        </w:rPr>
      </w:pPr>
    </w:p>
    <w:p w:rsidR="00DA0659" w:rsidRPr="0057682A" w:rsidRDefault="00DA0659" w:rsidP="00DA0659">
      <w:pPr>
        <w:jc w:val="both"/>
        <w:rPr>
          <w:szCs w:val="22"/>
          <w:lang w:val="sr-Latn-ME"/>
        </w:rPr>
      </w:pPr>
      <w:r w:rsidRPr="0057682A">
        <w:rPr>
          <w:szCs w:val="22"/>
          <w:lang w:val="sr-Latn-ME"/>
        </w:rPr>
        <w:t xml:space="preserve">Zalasta, </w:t>
      </w:r>
      <w:r w:rsidR="00076B9C" w:rsidRPr="0057682A">
        <w:rPr>
          <w:szCs w:val="22"/>
          <w:lang w:val="sr-Latn-ME"/>
        </w:rPr>
        <w:t xml:space="preserve">tableta, </w:t>
      </w:r>
      <w:r w:rsidRPr="0057682A">
        <w:rPr>
          <w:szCs w:val="22"/>
          <w:lang w:val="sr-Latn-ME"/>
        </w:rPr>
        <w:t>5 mg</w:t>
      </w:r>
      <w:r w:rsidR="00076B9C" w:rsidRPr="0057682A">
        <w:rPr>
          <w:szCs w:val="22"/>
          <w:lang w:val="sr-Latn-ME"/>
        </w:rPr>
        <w:t>, blister, 28 (4x7) tableta</w:t>
      </w:r>
      <w:r w:rsidRPr="0057682A">
        <w:rPr>
          <w:szCs w:val="22"/>
          <w:lang w:val="sr-Latn-ME"/>
        </w:rPr>
        <w:t xml:space="preserve">: </w:t>
      </w:r>
      <w:r w:rsidR="009E7522" w:rsidRPr="0057682A">
        <w:rPr>
          <w:rFonts w:ascii="TimesNewRoman" w:eastAsia="SimSun" w:hAnsi="TimesNewRoman" w:cs="TimesNewRoman"/>
          <w:szCs w:val="22"/>
          <w:lang w:val="sr-Latn-ME" w:eastAsia="sr-Latn-RS"/>
        </w:rPr>
        <w:t>2030/23/2534 - 5335</w:t>
      </w:r>
    </w:p>
    <w:p w:rsidR="009C3C2E" w:rsidRPr="0057682A" w:rsidRDefault="009C3C2E" w:rsidP="009C3C2E">
      <w:pPr>
        <w:jc w:val="both"/>
        <w:rPr>
          <w:szCs w:val="22"/>
          <w:lang w:val="sr-Latn-ME"/>
        </w:rPr>
      </w:pPr>
      <w:r w:rsidRPr="0057682A">
        <w:rPr>
          <w:szCs w:val="22"/>
          <w:lang w:val="sr-Latn-ME"/>
        </w:rPr>
        <w:t xml:space="preserve">Zalasta, tableta, 10 mg, blister, 28 (4x7) tableta: </w:t>
      </w:r>
      <w:r w:rsidR="009E7522" w:rsidRPr="0057682A">
        <w:rPr>
          <w:rFonts w:ascii="TimesNewRoman" w:eastAsia="SimSun" w:hAnsi="TimesNewRoman" w:cs="TimesNewRoman"/>
          <w:szCs w:val="22"/>
          <w:lang w:val="sr-Latn-ME" w:eastAsia="sr-Latn-RS"/>
        </w:rPr>
        <w:t>2030/23/2535 - 5336</w:t>
      </w:r>
    </w:p>
    <w:p w:rsidR="00DA0659" w:rsidRPr="0057682A" w:rsidRDefault="00DA0659" w:rsidP="00DA0659">
      <w:pPr>
        <w:tabs>
          <w:tab w:val="clear" w:pos="567"/>
          <w:tab w:val="left" w:pos="540"/>
          <w:tab w:val="left" w:pos="569"/>
        </w:tabs>
        <w:rPr>
          <w:bCs/>
          <w:szCs w:val="22"/>
          <w:lang w:val="sr-Latn-ME"/>
        </w:rPr>
      </w:pPr>
    </w:p>
    <w:p w:rsidR="00DA0659" w:rsidRPr="0057682A" w:rsidRDefault="00DA0659" w:rsidP="00DA0659">
      <w:pPr>
        <w:tabs>
          <w:tab w:val="clear" w:pos="567"/>
          <w:tab w:val="left" w:pos="540"/>
          <w:tab w:val="left" w:pos="569"/>
        </w:tabs>
        <w:rPr>
          <w:bCs/>
          <w:szCs w:val="22"/>
          <w:lang w:val="sr-Latn-ME"/>
        </w:rPr>
      </w:pPr>
    </w:p>
    <w:p w:rsidR="00DA0659" w:rsidRPr="0057682A" w:rsidRDefault="00DA0659" w:rsidP="00DA0659">
      <w:pPr>
        <w:tabs>
          <w:tab w:val="clear" w:pos="567"/>
          <w:tab w:val="left" w:pos="540"/>
          <w:tab w:val="left" w:pos="569"/>
        </w:tabs>
        <w:rPr>
          <w:b/>
          <w:bCs/>
          <w:szCs w:val="22"/>
          <w:lang w:val="sr-Latn-ME"/>
        </w:rPr>
      </w:pPr>
      <w:r w:rsidRPr="0057682A">
        <w:rPr>
          <w:b/>
          <w:bCs/>
          <w:szCs w:val="22"/>
          <w:lang w:val="sr-Latn-ME"/>
        </w:rPr>
        <w:t xml:space="preserve">9. </w:t>
      </w:r>
      <w:r w:rsidRPr="0057682A">
        <w:rPr>
          <w:b/>
          <w:bCs/>
          <w:szCs w:val="22"/>
          <w:lang w:val="sr-Latn-ME"/>
        </w:rPr>
        <w:tab/>
        <w:t>DATUM PRVE DOZVOLE/ OBNOVE DOZVOLE ZA STAVLJANJE LIJEKA U PROMET</w:t>
      </w:r>
    </w:p>
    <w:p w:rsidR="00DA0659" w:rsidRPr="0057682A" w:rsidRDefault="00DA0659" w:rsidP="00DA0659">
      <w:pPr>
        <w:tabs>
          <w:tab w:val="clear" w:pos="567"/>
          <w:tab w:val="left" w:pos="540"/>
          <w:tab w:val="left" w:pos="569"/>
        </w:tabs>
        <w:rPr>
          <w:b/>
          <w:bCs/>
          <w:szCs w:val="22"/>
          <w:lang w:val="sr-Latn-ME"/>
        </w:rPr>
      </w:pPr>
    </w:p>
    <w:p w:rsidR="001A4D3D" w:rsidRPr="0057682A" w:rsidRDefault="001A4D3D" w:rsidP="001A4D3D">
      <w:pPr>
        <w:autoSpaceDE w:val="0"/>
        <w:autoSpaceDN w:val="0"/>
        <w:adjustRightInd w:val="0"/>
        <w:rPr>
          <w:szCs w:val="22"/>
          <w:lang w:val="sr-Latn-ME"/>
        </w:rPr>
      </w:pPr>
      <w:r w:rsidRPr="0057682A">
        <w:rPr>
          <w:szCs w:val="22"/>
          <w:lang w:val="sr-Latn-ME"/>
        </w:rPr>
        <w:t>Datum prve dozvole: 15.05.2012. godine</w:t>
      </w:r>
    </w:p>
    <w:p w:rsidR="009C3C2E" w:rsidRPr="0057682A" w:rsidRDefault="001A4D3D" w:rsidP="009C3C2E">
      <w:pPr>
        <w:jc w:val="both"/>
        <w:rPr>
          <w:szCs w:val="22"/>
          <w:lang w:val="sr-Latn-ME"/>
        </w:rPr>
      </w:pPr>
      <w:r w:rsidRPr="0057682A">
        <w:rPr>
          <w:szCs w:val="22"/>
          <w:lang w:val="sr-Latn-ME"/>
        </w:rPr>
        <w:t>Datum poslednje obnove dozvole:</w:t>
      </w:r>
      <w:r w:rsidR="009C3C2E" w:rsidRPr="0057682A">
        <w:rPr>
          <w:szCs w:val="22"/>
          <w:lang w:val="sr-Latn-ME"/>
        </w:rPr>
        <w:t xml:space="preserve"> </w:t>
      </w:r>
      <w:r w:rsidR="0057682A" w:rsidRPr="0057682A">
        <w:rPr>
          <w:rFonts w:ascii="TimesNewRoman" w:eastAsia="SimSun" w:hAnsi="TimesNewRoman" w:cs="TimesNewRoman"/>
          <w:szCs w:val="22"/>
          <w:lang w:val="sr-Latn-ME" w:eastAsia="sr-Latn-RS"/>
        </w:rPr>
        <w:t>07.07.2023. godine</w:t>
      </w:r>
    </w:p>
    <w:p w:rsidR="00DA0659" w:rsidRPr="0057682A" w:rsidRDefault="00DA0659" w:rsidP="00DA0659">
      <w:pPr>
        <w:tabs>
          <w:tab w:val="clear" w:pos="567"/>
          <w:tab w:val="left" w:pos="540"/>
          <w:tab w:val="left" w:pos="569"/>
        </w:tabs>
        <w:rPr>
          <w:bCs/>
          <w:szCs w:val="22"/>
          <w:lang w:val="sr-Latn-ME"/>
        </w:rPr>
      </w:pPr>
    </w:p>
    <w:p w:rsidR="00DA0659" w:rsidRPr="0057682A" w:rsidRDefault="00DA0659" w:rsidP="00DA0659">
      <w:pPr>
        <w:tabs>
          <w:tab w:val="clear" w:pos="567"/>
          <w:tab w:val="left" w:pos="540"/>
          <w:tab w:val="left" w:pos="569"/>
        </w:tabs>
        <w:rPr>
          <w:bCs/>
          <w:szCs w:val="22"/>
          <w:lang w:val="sr-Latn-ME"/>
        </w:rPr>
      </w:pPr>
    </w:p>
    <w:p w:rsidR="00DA0659" w:rsidRPr="0057682A" w:rsidRDefault="00DA0659" w:rsidP="00DA0659">
      <w:pPr>
        <w:tabs>
          <w:tab w:val="clear" w:pos="567"/>
          <w:tab w:val="left" w:pos="540"/>
          <w:tab w:val="left" w:pos="569"/>
        </w:tabs>
        <w:ind w:left="540" w:hanging="540"/>
        <w:rPr>
          <w:b/>
          <w:bCs/>
          <w:szCs w:val="22"/>
          <w:lang w:val="sr-Latn-ME"/>
        </w:rPr>
      </w:pPr>
      <w:r w:rsidRPr="0057682A">
        <w:rPr>
          <w:b/>
          <w:bCs/>
          <w:szCs w:val="22"/>
          <w:lang w:val="sr-Latn-ME"/>
        </w:rPr>
        <w:t xml:space="preserve">10. </w:t>
      </w:r>
      <w:r w:rsidRPr="0057682A">
        <w:rPr>
          <w:b/>
          <w:bCs/>
          <w:szCs w:val="22"/>
          <w:lang w:val="sr-Latn-ME"/>
        </w:rPr>
        <w:tab/>
        <w:t xml:space="preserve">DATUM  REVIZIJE TEKSTA </w:t>
      </w:r>
    </w:p>
    <w:p w:rsidR="00DA0659" w:rsidRPr="0057682A" w:rsidRDefault="00DA0659" w:rsidP="00DA0659">
      <w:pPr>
        <w:tabs>
          <w:tab w:val="clear" w:pos="567"/>
          <w:tab w:val="left" w:pos="540"/>
          <w:tab w:val="left" w:pos="569"/>
        </w:tabs>
        <w:ind w:left="540" w:hanging="540"/>
        <w:rPr>
          <w:b/>
          <w:bCs/>
          <w:szCs w:val="22"/>
          <w:lang w:val="sr-Latn-ME"/>
        </w:rPr>
      </w:pPr>
    </w:p>
    <w:p w:rsidR="00DA0659" w:rsidRPr="0057682A" w:rsidRDefault="0057682A" w:rsidP="00231761">
      <w:pPr>
        <w:widowControl w:val="0"/>
        <w:rPr>
          <w:szCs w:val="22"/>
          <w:lang w:val="sr-Latn-ME"/>
        </w:rPr>
      </w:pPr>
      <w:r w:rsidRPr="0057682A">
        <w:rPr>
          <w:rFonts w:ascii="TimesNewRoman" w:eastAsia="SimSun" w:hAnsi="TimesNewRoman" w:cs="TimesNewRoman"/>
          <w:szCs w:val="22"/>
          <w:lang w:val="sr-Latn-ME" w:eastAsia="sr-Latn-RS"/>
        </w:rPr>
        <w:t xml:space="preserve">Jul, </w:t>
      </w:r>
      <w:r w:rsidRPr="0057682A">
        <w:rPr>
          <w:rFonts w:ascii="TimesNewRoman" w:eastAsia="SimSun" w:hAnsi="TimesNewRoman" w:cs="TimesNewRoman"/>
          <w:szCs w:val="22"/>
          <w:lang w:val="sr-Latn-ME" w:eastAsia="sr-Latn-RS"/>
        </w:rPr>
        <w:t>2023. godine</w:t>
      </w:r>
    </w:p>
    <w:p w:rsidR="00DA0659" w:rsidRPr="0057682A" w:rsidRDefault="00DA0659" w:rsidP="00DA0659">
      <w:pPr>
        <w:rPr>
          <w:szCs w:val="22"/>
          <w:lang w:val="sr-Latn-ME"/>
        </w:rPr>
      </w:pPr>
    </w:p>
    <w:p w:rsidR="00812D16" w:rsidRPr="0057682A" w:rsidRDefault="00812D16" w:rsidP="004E5A77">
      <w:pPr>
        <w:rPr>
          <w:lang w:val="sr-Latn-ME"/>
        </w:rPr>
      </w:pPr>
      <w:bookmarkStart w:id="1" w:name="_GoBack"/>
      <w:bookmarkEnd w:id="1"/>
    </w:p>
    <w:sectPr w:rsidR="00812D16" w:rsidRPr="0057682A" w:rsidSect="001374C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A5F" w:rsidRDefault="00583A5F">
      <w:pPr>
        <w:spacing w:line="240" w:lineRule="auto"/>
      </w:pPr>
      <w:r>
        <w:separator/>
      </w:r>
    </w:p>
  </w:endnote>
  <w:endnote w:type="continuationSeparator" w:id="0">
    <w:p w:rsidR="00583A5F" w:rsidRDefault="00583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635" w:rsidRDefault="00226635">
    <w:pPr>
      <w:pStyle w:val="Footer"/>
      <w:tabs>
        <w:tab w:val="right" w:pos="8931"/>
      </w:tabs>
      <w:ind w:right="96"/>
      <w:jc w:val="center"/>
    </w:pPr>
    <w:r>
      <w:fldChar w:fldCharType="begin"/>
    </w:r>
    <w:r>
      <w:instrText xml:space="preserve"> EQ </w:instrText>
    </w:r>
    <w:r>
      <w:fldChar w:fldCharType="end"/>
    </w:r>
    <w:r w:rsidRPr="003C3B39">
      <w:rPr>
        <w:rStyle w:val="PageNumber"/>
        <w:rFonts w:ascii="Times New Roman" w:hAnsi="Times New Roman"/>
        <w:sz w:val="20"/>
      </w:rPr>
      <w:fldChar w:fldCharType="begin"/>
    </w:r>
    <w:r w:rsidRPr="003C3B39">
      <w:rPr>
        <w:rStyle w:val="PageNumber"/>
        <w:rFonts w:ascii="Times New Roman" w:hAnsi="Times New Roman"/>
        <w:sz w:val="20"/>
      </w:rPr>
      <w:instrText xml:space="preserve">PAGE  </w:instrText>
    </w:r>
    <w:r w:rsidRPr="003C3B39">
      <w:rPr>
        <w:rStyle w:val="PageNumber"/>
        <w:rFonts w:ascii="Times New Roman" w:hAnsi="Times New Roman"/>
        <w:sz w:val="20"/>
      </w:rPr>
      <w:fldChar w:fldCharType="separate"/>
    </w:r>
    <w:r w:rsidR="00231761">
      <w:rPr>
        <w:rStyle w:val="PageNumber"/>
        <w:rFonts w:ascii="Times New Roman" w:hAnsi="Times New Roman"/>
        <w:sz w:val="20"/>
      </w:rPr>
      <w:t>16</w:t>
    </w:r>
    <w:r w:rsidRPr="003C3B39">
      <w:rPr>
        <w:rStyle w:val="PageNumber"/>
        <w:rFonts w:ascii="Times New Roman" w:hAnsi="Times New Roman"/>
        <w:sz w:val="20"/>
      </w:rPr>
      <w:fldChar w:fldCharType="end"/>
    </w:r>
    <w:r w:rsidR="003C3B39">
      <w:rPr>
        <w:rStyle w:val="PageNumber"/>
        <w:rFonts w:ascii="Times New Roman" w:hAnsi="Times New Roman"/>
        <w:sz w:val="20"/>
      </w:rPr>
      <w:t xml:space="preserve"> / 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rPr>
      <w:id w:val="704063556"/>
      <w:docPartObj>
        <w:docPartGallery w:val="Page Numbers (Bottom of Page)"/>
        <w:docPartUnique/>
      </w:docPartObj>
    </w:sdtPr>
    <w:sdtEndPr/>
    <w:sdtContent>
      <w:sdt>
        <w:sdtPr>
          <w:rPr>
            <w:rFonts w:ascii="Times New Roman" w:hAnsi="Times New Roman"/>
            <w:sz w:val="20"/>
          </w:rPr>
          <w:id w:val="1728636285"/>
          <w:docPartObj>
            <w:docPartGallery w:val="Page Numbers (Top of Page)"/>
            <w:docPartUnique/>
          </w:docPartObj>
        </w:sdtPr>
        <w:sdtEndPr/>
        <w:sdtContent>
          <w:p w:rsidR="00E23193" w:rsidRPr="00E23193" w:rsidRDefault="00E23193">
            <w:pPr>
              <w:pStyle w:val="Footer"/>
              <w:jc w:val="center"/>
              <w:rPr>
                <w:rFonts w:ascii="Times New Roman" w:hAnsi="Times New Roman"/>
                <w:sz w:val="20"/>
              </w:rPr>
            </w:pPr>
            <w:r w:rsidRPr="00E23193">
              <w:rPr>
                <w:rFonts w:ascii="Times New Roman" w:hAnsi="Times New Roman"/>
                <w:bCs/>
                <w:sz w:val="20"/>
              </w:rPr>
              <w:fldChar w:fldCharType="begin"/>
            </w:r>
            <w:r w:rsidRPr="00E23193">
              <w:rPr>
                <w:rFonts w:ascii="Times New Roman" w:hAnsi="Times New Roman"/>
                <w:bCs/>
                <w:sz w:val="20"/>
              </w:rPr>
              <w:instrText xml:space="preserve"> PAGE </w:instrText>
            </w:r>
            <w:r w:rsidRPr="00E23193">
              <w:rPr>
                <w:rFonts w:ascii="Times New Roman" w:hAnsi="Times New Roman"/>
                <w:bCs/>
                <w:sz w:val="20"/>
              </w:rPr>
              <w:fldChar w:fldCharType="separate"/>
            </w:r>
            <w:r w:rsidR="00231761">
              <w:rPr>
                <w:rFonts w:ascii="Times New Roman" w:hAnsi="Times New Roman"/>
                <w:bCs/>
                <w:sz w:val="20"/>
              </w:rPr>
              <w:t>1</w:t>
            </w:r>
            <w:r w:rsidRPr="00E23193">
              <w:rPr>
                <w:rFonts w:ascii="Times New Roman" w:hAnsi="Times New Roman"/>
                <w:bCs/>
                <w:sz w:val="20"/>
              </w:rPr>
              <w:fldChar w:fldCharType="end"/>
            </w:r>
            <w:r w:rsidRPr="00E23193">
              <w:rPr>
                <w:rFonts w:ascii="Times New Roman" w:hAnsi="Times New Roman"/>
                <w:sz w:val="20"/>
              </w:rPr>
              <w:t xml:space="preserve"> / </w:t>
            </w:r>
            <w:r w:rsidRPr="00E23193">
              <w:rPr>
                <w:rFonts w:ascii="Times New Roman" w:hAnsi="Times New Roman"/>
                <w:bCs/>
                <w:sz w:val="20"/>
              </w:rPr>
              <w:fldChar w:fldCharType="begin"/>
            </w:r>
            <w:r w:rsidRPr="00E23193">
              <w:rPr>
                <w:rFonts w:ascii="Times New Roman" w:hAnsi="Times New Roman"/>
                <w:bCs/>
                <w:sz w:val="20"/>
              </w:rPr>
              <w:instrText xml:space="preserve"> NUMPAGES  </w:instrText>
            </w:r>
            <w:r w:rsidRPr="00E23193">
              <w:rPr>
                <w:rFonts w:ascii="Times New Roman" w:hAnsi="Times New Roman"/>
                <w:bCs/>
                <w:sz w:val="20"/>
              </w:rPr>
              <w:fldChar w:fldCharType="separate"/>
            </w:r>
            <w:r w:rsidR="00231761">
              <w:rPr>
                <w:rFonts w:ascii="Times New Roman" w:hAnsi="Times New Roman"/>
                <w:bCs/>
                <w:sz w:val="20"/>
              </w:rPr>
              <w:t>17</w:t>
            </w:r>
            <w:r w:rsidRPr="00E23193">
              <w:rPr>
                <w:rFonts w:ascii="Times New Roman" w:hAnsi="Times New Roman"/>
                <w:bCs/>
                <w:sz w:val="20"/>
              </w:rPr>
              <w:fldChar w:fldCharType="end"/>
            </w:r>
          </w:p>
        </w:sdtContent>
      </w:sdt>
    </w:sdtContent>
  </w:sdt>
  <w:p w:rsidR="00226635" w:rsidRPr="006C3553" w:rsidRDefault="00226635" w:rsidP="004E5A77">
    <w:pPr>
      <w:pStyle w:val="Footer"/>
      <w:tabs>
        <w:tab w:val="right" w:pos="8931"/>
      </w:tabs>
      <w:ind w:right="96"/>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A5F" w:rsidRDefault="00583A5F">
      <w:pPr>
        <w:spacing w:line="240" w:lineRule="auto"/>
      </w:pPr>
      <w:r>
        <w:separator/>
      </w:r>
    </w:p>
  </w:footnote>
  <w:footnote w:type="continuationSeparator" w:id="0">
    <w:p w:rsidR="00583A5F" w:rsidRDefault="00583A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9"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4"/>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5"/>
  </w:num>
  <w:num w:numId="6">
    <w:abstractNumId w:val="12"/>
  </w:num>
  <w:num w:numId="7">
    <w:abstractNumId w:val="6"/>
  </w:num>
  <w:num w:numId="8">
    <w:abstractNumId w:val="8"/>
  </w:num>
  <w:num w:numId="9">
    <w:abstractNumId w:val="20"/>
  </w:num>
  <w:num w:numId="10">
    <w:abstractNumId w:val="1"/>
  </w:num>
  <w:num w:numId="11">
    <w:abstractNumId w:val="17"/>
  </w:num>
  <w:num w:numId="12">
    <w:abstractNumId w:val="7"/>
  </w:num>
  <w:num w:numId="13">
    <w:abstractNumId w:val="4"/>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18"/>
  </w:num>
  <w:num w:numId="17">
    <w:abstractNumId w:val="9"/>
  </w:num>
  <w:num w:numId="18">
    <w:abstractNumId w:val="11"/>
  </w:num>
  <w:num w:numId="19">
    <w:abstractNumId w:val="21"/>
  </w:num>
  <w:num w:numId="20">
    <w:abstractNumId w:val="13"/>
  </w:num>
  <w:num w:numId="21">
    <w:abstractNumId w:val="19"/>
  </w:num>
  <w:num w:numId="22">
    <w:abstractNumId w:val="16"/>
  </w:num>
  <w:num w:numId="23">
    <w:abstractNumId w:val="5"/>
  </w:num>
  <w:num w:numId="24">
    <w:abstractNumId w:val="19"/>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76B9C"/>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4D3D"/>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6635"/>
    <w:rsid w:val="002274FB"/>
    <w:rsid w:val="002309D2"/>
    <w:rsid w:val="00231761"/>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62A"/>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1C0"/>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5C0C"/>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B39"/>
    <w:rsid w:val="003C3D8E"/>
    <w:rsid w:val="003C5E61"/>
    <w:rsid w:val="003C60B5"/>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33A"/>
    <w:rsid w:val="00462F79"/>
    <w:rsid w:val="00463438"/>
    <w:rsid w:val="00463ECE"/>
    <w:rsid w:val="0046453C"/>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715"/>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A5C"/>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7682A"/>
    <w:rsid w:val="00582A9B"/>
    <w:rsid w:val="005832AB"/>
    <w:rsid w:val="00583A5F"/>
    <w:rsid w:val="0058437C"/>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D11B2"/>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2EED"/>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5627D"/>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B6D7B"/>
    <w:rsid w:val="006C0251"/>
    <w:rsid w:val="006C0320"/>
    <w:rsid w:val="006C2B9A"/>
    <w:rsid w:val="006C3553"/>
    <w:rsid w:val="006C39BB"/>
    <w:rsid w:val="006C4502"/>
    <w:rsid w:val="006C5EF0"/>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4716C"/>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57EE7"/>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3C2E"/>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E7522"/>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1EB4"/>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27F0"/>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4064"/>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A7B99"/>
    <w:rsid w:val="00BB3642"/>
    <w:rsid w:val="00BB4A3B"/>
    <w:rsid w:val="00BB59F6"/>
    <w:rsid w:val="00BB5EF0"/>
    <w:rsid w:val="00BB66AB"/>
    <w:rsid w:val="00BB7BBA"/>
    <w:rsid w:val="00BC0AD6"/>
    <w:rsid w:val="00BC122E"/>
    <w:rsid w:val="00BC3584"/>
    <w:rsid w:val="00BC5838"/>
    <w:rsid w:val="00BC6DC2"/>
    <w:rsid w:val="00BD0E2E"/>
    <w:rsid w:val="00BE25B7"/>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23A"/>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768"/>
    <w:rsid w:val="00C278D8"/>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342A"/>
    <w:rsid w:val="00CD3940"/>
    <w:rsid w:val="00CE12C7"/>
    <w:rsid w:val="00CE2F14"/>
    <w:rsid w:val="00CE52B8"/>
    <w:rsid w:val="00CE6A0B"/>
    <w:rsid w:val="00CE7BF6"/>
    <w:rsid w:val="00CF0950"/>
    <w:rsid w:val="00CF29AE"/>
    <w:rsid w:val="00CF3B07"/>
    <w:rsid w:val="00CF4C13"/>
    <w:rsid w:val="00CF62E0"/>
    <w:rsid w:val="00CF6384"/>
    <w:rsid w:val="00CF6902"/>
    <w:rsid w:val="00D02B8F"/>
    <w:rsid w:val="00D0401F"/>
    <w:rsid w:val="00D06E76"/>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03D8"/>
    <w:rsid w:val="00D514E5"/>
    <w:rsid w:val="00D53589"/>
    <w:rsid w:val="00D539D5"/>
    <w:rsid w:val="00D54023"/>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0659"/>
    <w:rsid w:val="00DA1259"/>
    <w:rsid w:val="00DA1AAD"/>
    <w:rsid w:val="00DA1E08"/>
    <w:rsid w:val="00DA4A52"/>
    <w:rsid w:val="00DA4FBC"/>
    <w:rsid w:val="00DA61B9"/>
    <w:rsid w:val="00DA7457"/>
    <w:rsid w:val="00DB1083"/>
    <w:rsid w:val="00DB1B31"/>
    <w:rsid w:val="00DB2995"/>
    <w:rsid w:val="00DB2ED0"/>
    <w:rsid w:val="00DB38F0"/>
    <w:rsid w:val="00DB3EE8"/>
    <w:rsid w:val="00DB41BB"/>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193"/>
    <w:rsid w:val="00E234F1"/>
    <w:rsid w:val="00E241ED"/>
    <w:rsid w:val="00E24E3A"/>
    <w:rsid w:val="00E25AF8"/>
    <w:rsid w:val="00E26C55"/>
    <w:rsid w:val="00E26F6C"/>
    <w:rsid w:val="00E31BD0"/>
    <w:rsid w:val="00E348EA"/>
    <w:rsid w:val="00E34CA3"/>
    <w:rsid w:val="00E35C4A"/>
    <w:rsid w:val="00E36C48"/>
    <w:rsid w:val="00E37A0F"/>
    <w:rsid w:val="00E37DA6"/>
    <w:rsid w:val="00E37FE3"/>
    <w:rsid w:val="00E40EB7"/>
    <w:rsid w:val="00E43AAA"/>
    <w:rsid w:val="00E44C62"/>
    <w:rsid w:val="00E5275F"/>
    <w:rsid w:val="00E5387C"/>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C72F9"/>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A6C"/>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78FD"/>
    <w:rsid w:val="00FA7FCF"/>
    <w:rsid w:val="00FB11BE"/>
    <w:rsid w:val="00FB1357"/>
    <w:rsid w:val="00FB1799"/>
    <w:rsid w:val="00FB1B56"/>
    <w:rsid w:val="00FB27F1"/>
    <w:rsid w:val="00FB4C6F"/>
    <w:rsid w:val="00FC42CB"/>
    <w:rsid w:val="00FC5E76"/>
    <w:rsid w:val="00FC69CF"/>
    <w:rsid w:val="00FC7214"/>
    <w:rsid w:val="00FC7FB3"/>
    <w:rsid w:val="00FD058F"/>
    <w:rsid w:val="00FD0B70"/>
    <w:rsid w:val="00FD11B8"/>
    <w:rsid w:val="00FD1440"/>
    <w:rsid w:val="00FD1489"/>
    <w:rsid w:val="00FD1494"/>
    <w:rsid w:val="00FD17D7"/>
    <w:rsid w:val="00FD2DA9"/>
    <w:rsid w:val="00FD35FA"/>
    <w:rsid w:val="00FD3B1F"/>
    <w:rsid w:val="00FD59F1"/>
    <w:rsid w:val="00FD66A4"/>
    <w:rsid w:val="00FD6FE2"/>
    <w:rsid w:val="00FD74CB"/>
    <w:rsid w:val="00FD7543"/>
    <w:rsid w:val="00FD7BF5"/>
    <w:rsid w:val="00FE185C"/>
    <w:rsid w:val="00FE1BD0"/>
    <w:rsid w:val="00FE1F55"/>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E98C8"/>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paragraph" w:styleId="Heading2">
    <w:name w:val="heading 2"/>
    <w:basedOn w:val="Normal"/>
    <w:next w:val="Normal"/>
    <w:link w:val="Heading2Char"/>
    <w:qFormat/>
    <w:rsid w:val="00DA0659"/>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qFormat/>
    <w:rsid w:val="00DA0659"/>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rsid w:val="00DA0659"/>
    <w:pPr>
      <w:keepNext/>
      <w:tabs>
        <w:tab w:val="clear" w:pos="567"/>
      </w:tabs>
      <w:spacing w:before="240" w:after="60" w:line="240" w:lineRule="auto"/>
      <w:outlineLvl w:val="3"/>
    </w:pPr>
    <w:rPr>
      <w:b/>
      <w:bCs/>
      <w:sz w:val="28"/>
      <w:szCs w:val="28"/>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character" w:customStyle="1" w:styleId="Heading2Char">
    <w:name w:val="Heading 2 Char"/>
    <w:link w:val="Heading2"/>
    <w:rsid w:val="00DA0659"/>
    <w:rPr>
      <w:rFonts w:eastAsia="Times New Roman"/>
      <w:b/>
      <w:sz w:val="24"/>
      <w:u w:val="single"/>
      <w:lang w:val="en-US" w:eastAsia="sl-SI"/>
    </w:rPr>
  </w:style>
  <w:style w:type="character" w:customStyle="1" w:styleId="Heading3Char">
    <w:name w:val="Heading 3 Char"/>
    <w:link w:val="Heading3"/>
    <w:rsid w:val="00DA0659"/>
    <w:rPr>
      <w:rFonts w:eastAsia="Times New Roman"/>
      <w:b/>
      <w:sz w:val="24"/>
      <w:lang w:val="en-US" w:eastAsia="sl-SI"/>
    </w:rPr>
  </w:style>
  <w:style w:type="character" w:customStyle="1" w:styleId="Heading4Char">
    <w:name w:val="Heading 4 Char"/>
    <w:link w:val="Heading4"/>
    <w:rsid w:val="00DA0659"/>
    <w:rPr>
      <w:rFonts w:eastAsia="Times New Roman"/>
      <w:b/>
      <w:bCs/>
      <w:sz w:val="28"/>
      <w:szCs w:val="28"/>
      <w:lang w:val="sl-SI" w:eastAsia="sl-SI"/>
    </w:rPr>
  </w:style>
  <w:style w:type="paragraph" w:styleId="BodyText2">
    <w:name w:val="Body Text 2"/>
    <w:basedOn w:val="Normal"/>
    <w:link w:val="BodyText2Char"/>
    <w:rsid w:val="00DA0659"/>
    <w:pPr>
      <w:tabs>
        <w:tab w:val="clear" w:pos="567"/>
      </w:tabs>
      <w:spacing w:after="120" w:line="480" w:lineRule="auto"/>
    </w:pPr>
    <w:rPr>
      <w:sz w:val="24"/>
      <w:lang w:val="sl-SI" w:eastAsia="sl-SI"/>
    </w:rPr>
  </w:style>
  <w:style w:type="character" w:customStyle="1" w:styleId="BodyText2Char">
    <w:name w:val="Body Text 2 Char"/>
    <w:link w:val="BodyText2"/>
    <w:rsid w:val="00DA0659"/>
    <w:rPr>
      <w:rFonts w:eastAsia="Times New Roman"/>
      <w:sz w:val="24"/>
      <w:lang w:val="sl-SI" w:eastAsia="sl-SI"/>
    </w:rPr>
  </w:style>
  <w:style w:type="paragraph" w:customStyle="1" w:styleId="Default">
    <w:name w:val="Default"/>
    <w:rsid w:val="00DA0659"/>
    <w:pPr>
      <w:autoSpaceDE w:val="0"/>
      <w:autoSpaceDN w:val="0"/>
      <w:adjustRightInd w:val="0"/>
    </w:pPr>
    <w:rPr>
      <w:rFonts w:eastAsia="Times New Roman"/>
      <w:color w:val="000000"/>
      <w:sz w:val="24"/>
      <w:szCs w:val="24"/>
      <w:lang w:val="sl-SI" w:eastAsia="sl-SI"/>
    </w:rPr>
  </w:style>
  <w:style w:type="paragraph" w:styleId="NoSpacing">
    <w:name w:val="No Spacing"/>
    <w:uiPriority w:val="1"/>
    <w:qFormat/>
    <w:rsid w:val="00DA0659"/>
    <w:rPr>
      <w:rFonts w:eastAsia="Times New Roman"/>
      <w:sz w:val="24"/>
      <w:szCs w:val="24"/>
      <w:lang w:val="en-US" w:eastAsia="en-US"/>
    </w:rPr>
  </w:style>
  <w:style w:type="paragraph" w:customStyle="1" w:styleId="Text">
    <w:name w:val="Text"/>
    <w:basedOn w:val="Normal"/>
    <w:link w:val="TextChar"/>
    <w:uiPriority w:val="99"/>
    <w:rsid w:val="00DA0659"/>
    <w:pPr>
      <w:tabs>
        <w:tab w:val="clear" w:pos="567"/>
      </w:tabs>
      <w:spacing w:before="14" w:after="144" w:line="300" w:lineRule="atLeast"/>
      <w:ind w:left="720" w:right="360" w:hanging="720"/>
    </w:pPr>
    <w:rPr>
      <w:color w:val="000000"/>
      <w:sz w:val="24"/>
    </w:rPr>
  </w:style>
  <w:style w:type="character" w:customStyle="1" w:styleId="TextChar">
    <w:name w:val="Text Char"/>
    <w:link w:val="Text"/>
    <w:uiPriority w:val="99"/>
    <w:locked/>
    <w:rsid w:val="00DA0659"/>
    <w:rPr>
      <w:rFonts w:eastAsia="Times New Roman"/>
      <w:color w:val="000000"/>
      <w:sz w:val="24"/>
      <w:lang w:eastAsia="en-US"/>
    </w:rPr>
  </w:style>
  <w:style w:type="paragraph" w:customStyle="1" w:styleId="mdTblEntry">
    <w:name w:val="md_Tbl Entry"/>
    <w:basedOn w:val="Normal"/>
    <w:uiPriority w:val="99"/>
    <w:rsid w:val="00DA0659"/>
    <w:pPr>
      <w:keepLines/>
      <w:tabs>
        <w:tab w:val="clear" w:pos="567"/>
      </w:tabs>
      <w:spacing w:line="259" w:lineRule="atLeast"/>
    </w:pPr>
    <w:rPr>
      <w:sz w:val="20"/>
      <w:lang w:val="en-US"/>
    </w:rPr>
  </w:style>
  <w:style w:type="character" w:customStyle="1" w:styleId="tlid-translation">
    <w:name w:val="tlid-translation"/>
    <w:rsid w:val="00DA0659"/>
  </w:style>
  <w:style w:type="character" w:customStyle="1" w:styleId="FooterChar">
    <w:name w:val="Footer Char"/>
    <w:basedOn w:val="DefaultParagraphFont"/>
    <w:link w:val="Footer"/>
    <w:uiPriority w:val="99"/>
    <w:rsid w:val="00E23193"/>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17</Pages>
  <Words>7014</Words>
  <Characters>39980</Characters>
  <Application>Microsoft Office Word</Application>
  <DocSecurity>0</DocSecurity>
  <Lines>333</Lines>
  <Paragraphs>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46901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Lidija Čizmović</dc:creator>
  <cp:lastModifiedBy>Tatjana Banković</cp:lastModifiedBy>
  <cp:revision>13</cp:revision>
  <dcterms:created xsi:type="dcterms:W3CDTF">2023-06-14T07:49:00Z</dcterms:created>
  <dcterms:modified xsi:type="dcterms:W3CDTF">2023-07-07T06:32:00Z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