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0A5" w:rsidRPr="003A60B2" w:rsidRDefault="002510A5" w:rsidP="003A60B2">
      <w:pPr>
        <w:jc w:val="center"/>
        <w:rPr>
          <w:b/>
          <w:bCs/>
          <w:iCs/>
          <w:sz w:val="22"/>
          <w:szCs w:val="22"/>
          <w:u w:val="single"/>
          <w:lang w:val="sr-Latn-ME"/>
        </w:rPr>
      </w:pPr>
      <w:r w:rsidRPr="003A60B2">
        <w:rPr>
          <w:b/>
          <w:bCs/>
          <w:iCs/>
          <w:sz w:val="22"/>
          <w:szCs w:val="22"/>
          <w:u w:val="single"/>
          <w:lang w:val="sr-Latn-ME"/>
        </w:rPr>
        <w:t>SAŽETAK KARAKTERISTIKA LIJEKA</w:t>
      </w:r>
    </w:p>
    <w:p w:rsidR="002510A5" w:rsidRPr="003A60B2" w:rsidRDefault="002510A5" w:rsidP="00EC73B3">
      <w:pPr>
        <w:jc w:val="both"/>
        <w:rPr>
          <w:b/>
          <w:bCs/>
          <w:i/>
          <w:iCs/>
          <w:sz w:val="22"/>
          <w:szCs w:val="22"/>
          <w:u w:val="single"/>
          <w:lang w:val="sr-Latn-ME"/>
        </w:rPr>
      </w:pPr>
    </w:p>
    <w:p w:rsidR="003C17AB" w:rsidRPr="003A60B2" w:rsidRDefault="003C17AB" w:rsidP="00EC73B3">
      <w:pPr>
        <w:jc w:val="both"/>
        <w:rPr>
          <w:sz w:val="22"/>
          <w:szCs w:val="22"/>
          <w:lang w:val="sr-Latn-ME"/>
        </w:rPr>
      </w:pPr>
    </w:p>
    <w:p w:rsidR="00C37FD7" w:rsidRPr="003A60B2" w:rsidRDefault="00C37FD7" w:rsidP="00EC73B3">
      <w:pPr>
        <w:tabs>
          <w:tab w:val="left" w:pos="540"/>
          <w:tab w:val="left" w:pos="569"/>
        </w:tabs>
        <w:jc w:val="both"/>
        <w:rPr>
          <w:bCs/>
          <w:sz w:val="22"/>
          <w:szCs w:val="22"/>
          <w:lang w:val="sr-Latn-ME"/>
        </w:rPr>
      </w:pPr>
    </w:p>
    <w:p w:rsidR="00411B4B" w:rsidRPr="003A60B2" w:rsidRDefault="00411B4B" w:rsidP="00EC73B3">
      <w:pPr>
        <w:tabs>
          <w:tab w:val="left" w:pos="540"/>
          <w:tab w:val="left" w:pos="569"/>
        </w:tabs>
        <w:jc w:val="both"/>
        <w:rPr>
          <w:b/>
          <w:bCs/>
          <w:sz w:val="22"/>
          <w:szCs w:val="22"/>
          <w:lang w:val="sr-Latn-ME"/>
        </w:rPr>
      </w:pPr>
      <w:r w:rsidRPr="003A60B2">
        <w:rPr>
          <w:b/>
          <w:bCs/>
          <w:sz w:val="22"/>
          <w:szCs w:val="22"/>
          <w:lang w:val="sr-Latn-ME"/>
        </w:rPr>
        <w:t>1.</w:t>
      </w:r>
      <w:r w:rsidR="00F5167F" w:rsidRPr="003A60B2">
        <w:rPr>
          <w:b/>
          <w:bCs/>
          <w:sz w:val="22"/>
          <w:szCs w:val="22"/>
          <w:lang w:val="sr-Latn-ME"/>
        </w:rPr>
        <w:tab/>
      </w:r>
      <w:r w:rsidR="002846DB" w:rsidRPr="003A60B2">
        <w:rPr>
          <w:b/>
          <w:bCs/>
          <w:sz w:val="22"/>
          <w:szCs w:val="22"/>
          <w:lang w:val="sr-Latn-ME"/>
        </w:rPr>
        <w:t xml:space="preserve">NAZIV </w:t>
      </w:r>
      <w:r w:rsidRPr="003A60B2">
        <w:rPr>
          <w:b/>
          <w:bCs/>
          <w:sz w:val="22"/>
          <w:szCs w:val="22"/>
          <w:lang w:val="sr-Latn-ME"/>
        </w:rPr>
        <w:t>LIJEKA</w:t>
      </w:r>
    </w:p>
    <w:p w:rsidR="00EC2532" w:rsidRPr="003A60B2" w:rsidRDefault="00EC2532" w:rsidP="00EC73B3">
      <w:pPr>
        <w:jc w:val="both"/>
        <w:rPr>
          <w:sz w:val="22"/>
          <w:szCs w:val="22"/>
          <w:lang w:val="sr-Latn-ME"/>
        </w:rPr>
      </w:pPr>
    </w:p>
    <w:p w:rsidR="00D329D7" w:rsidRPr="003A60B2" w:rsidRDefault="00D329D7" w:rsidP="00EC73B3">
      <w:pPr>
        <w:tabs>
          <w:tab w:val="left" w:pos="284"/>
        </w:tabs>
        <w:jc w:val="both"/>
        <w:rPr>
          <w:iCs/>
          <w:sz w:val="22"/>
          <w:szCs w:val="22"/>
          <w:lang w:val="sr-Latn-ME"/>
        </w:rPr>
      </w:pPr>
      <w:r w:rsidRPr="003A60B2">
        <w:rPr>
          <w:bCs/>
          <w:iCs/>
          <w:sz w:val="22"/>
          <w:szCs w:val="22"/>
          <w:lang w:val="sr-Latn-ME"/>
        </w:rPr>
        <w:t>Fampridin Teva</w:t>
      </w:r>
      <w:r w:rsidR="003A60B2">
        <w:rPr>
          <w:bCs/>
          <w:iCs/>
          <w:sz w:val="22"/>
          <w:szCs w:val="22"/>
          <w:lang w:val="sr-Latn-ME"/>
        </w:rPr>
        <w:t>,</w:t>
      </w:r>
      <w:r w:rsidRPr="003A60B2">
        <w:rPr>
          <w:bCs/>
          <w:iCs/>
          <w:sz w:val="22"/>
          <w:szCs w:val="22"/>
          <w:lang w:val="sr-Latn-ME"/>
        </w:rPr>
        <w:t xml:space="preserve"> 10 mg, tablet</w:t>
      </w:r>
      <w:r w:rsidR="003A60B2">
        <w:rPr>
          <w:bCs/>
          <w:iCs/>
          <w:sz w:val="22"/>
          <w:szCs w:val="22"/>
          <w:lang w:val="sr-Latn-ME"/>
        </w:rPr>
        <w:t>a</w:t>
      </w:r>
      <w:r w:rsidRPr="003A60B2">
        <w:rPr>
          <w:bCs/>
          <w:iCs/>
          <w:sz w:val="22"/>
          <w:szCs w:val="22"/>
          <w:lang w:val="sr-Latn-ME"/>
        </w:rPr>
        <w:t xml:space="preserve"> sa produženim oslobađanjem</w:t>
      </w:r>
    </w:p>
    <w:p w:rsidR="00D329D7" w:rsidRPr="003A60B2" w:rsidRDefault="00D329D7" w:rsidP="00EC73B3">
      <w:pPr>
        <w:tabs>
          <w:tab w:val="left" w:pos="284"/>
        </w:tabs>
        <w:jc w:val="both"/>
        <w:rPr>
          <w:sz w:val="22"/>
          <w:szCs w:val="22"/>
          <w:lang w:val="sr-Latn-ME"/>
        </w:rPr>
      </w:pPr>
    </w:p>
    <w:p w:rsidR="006D20A5" w:rsidRPr="003A60B2" w:rsidRDefault="00D329D7" w:rsidP="00EC73B3">
      <w:pPr>
        <w:tabs>
          <w:tab w:val="left" w:pos="284"/>
        </w:tabs>
        <w:jc w:val="both"/>
        <w:rPr>
          <w:sz w:val="22"/>
          <w:szCs w:val="22"/>
          <w:lang w:val="sr-Latn-ME"/>
        </w:rPr>
      </w:pPr>
      <w:r w:rsidRPr="003A60B2">
        <w:rPr>
          <w:sz w:val="22"/>
          <w:szCs w:val="22"/>
          <w:lang w:val="sr-Latn-ME"/>
        </w:rPr>
        <w:t xml:space="preserve">INN: </w:t>
      </w:r>
      <w:r w:rsidRPr="003A60B2">
        <w:rPr>
          <w:bCs/>
          <w:iCs/>
          <w:sz w:val="22"/>
          <w:szCs w:val="22"/>
          <w:lang w:val="sr-Latn-ME"/>
        </w:rPr>
        <w:t>fampridin</w:t>
      </w:r>
    </w:p>
    <w:p w:rsidR="00530BD7" w:rsidRDefault="00530BD7" w:rsidP="00EC73B3">
      <w:pPr>
        <w:jc w:val="both"/>
        <w:rPr>
          <w:bCs/>
          <w:sz w:val="22"/>
          <w:szCs w:val="22"/>
          <w:lang w:val="sr-Latn-ME"/>
        </w:rPr>
      </w:pPr>
    </w:p>
    <w:p w:rsidR="003A60B2" w:rsidRPr="003A60B2" w:rsidRDefault="003A60B2" w:rsidP="00EC73B3">
      <w:pPr>
        <w:jc w:val="both"/>
        <w:rPr>
          <w:bCs/>
          <w:sz w:val="22"/>
          <w:szCs w:val="22"/>
          <w:lang w:val="sr-Latn-ME"/>
        </w:rPr>
      </w:pPr>
    </w:p>
    <w:p w:rsidR="00411B4B" w:rsidRPr="003A60B2" w:rsidRDefault="00411B4B" w:rsidP="00EC73B3">
      <w:pPr>
        <w:tabs>
          <w:tab w:val="left" w:pos="540"/>
          <w:tab w:val="left" w:pos="569"/>
        </w:tabs>
        <w:jc w:val="both"/>
        <w:rPr>
          <w:b/>
          <w:bCs/>
          <w:sz w:val="22"/>
          <w:szCs w:val="22"/>
          <w:lang w:val="sr-Latn-ME"/>
        </w:rPr>
      </w:pPr>
      <w:r w:rsidRPr="003A60B2">
        <w:rPr>
          <w:b/>
          <w:bCs/>
          <w:sz w:val="22"/>
          <w:szCs w:val="22"/>
          <w:lang w:val="sr-Latn-ME"/>
        </w:rPr>
        <w:t xml:space="preserve">2. </w:t>
      </w:r>
      <w:r w:rsidR="00F5167F" w:rsidRPr="003A60B2">
        <w:rPr>
          <w:b/>
          <w:bCs/>
          <w:sz w:val="22"/>
          <w:szCs w:val="22"/>
          <w:lang w:val="sr-Latn-ME"/>
        </w:rPr>
        <w:tab/>
      </w:r>
      <w:r w:rsidRPr="003A60B2">
        <w:rPr>
          <w:b/>
          <w:bCs/>
          <w:sz w:val="22"/>
          <w:szCs w:val="22"/>
          <w:lang w:val="sr-Latn-ME"/>
        </w:rPr>
        <w:t>KVALITATIVNI I KVANTITATIVNI SASTAV</w:t>
      </w:r>
    </w:p>
    <w:p w:rsidR="005A0B2E" w:rsidRPr="003A60B2" w:rsidRDefault="005A0B2E" w:rsidP="00EC73B3">
      <w:pPr>
        <w:jc w:val="both"/>
        <w:rPr>
          <w:sz w:val="22"/>
          <w:szCs w:val="22"/>
          <w:lang w:val="sr-Latn-ME"/>
        </w:rPr>
      </w:pPr>
    </w:p>
    <w:p w:rsidR="00D329D7" w:rsidRPr="003A60B2" w:rsidRDefault="00D329D7" w:rsidP="00EC73B3">
      <w:pPr>
        <w:jc w:val="both"/>
        <w:rPr>
          <w:sz w:val="22"/>
          <w:szCs w:val="22"/>
          <w:lang w:val="sr-Latn-ME"/>
        </w:rPr>
      </w:pPr>
      <w:r w:rsidRPr="003A60B2">
        <w:rPr>
          <w:sz w:val="22"/>
          <w:szCs w:val="22"/>
          <w:lang w:val="sr-Latn-ME"/>
        </w:rPr>
        <w:t xml:space="preserve">Jedna tableta sa produženim oslobađanjem sadrži 10 mg fampridina. </w:t>
      </w:r>
    </w:p>
    <w:p w:rsidR="0003793F" w:rsidRPr="003A60B2" w:rsidRDefault="0003793F" w:rsidP="00EC73B3">
      <w:pPr>
        <w:jc w:val="both"/>
        <w:rPr>
          <w:sz w:val="22"/>
          <w:szCs w:val="22"/>
          <w:lang w:val="sr-Latn-ME"/>
        </w:rPr>
      </w:pPr>
      <w:r w:rsidRPr="003A60B2">
        <w:rPr>
          <w:sz w:val="22"/>
          <w:szCs w:val="22"/>
          <w:lang w:val="sr-Latn-ME"/>
        </w:rPr>
        <w:t>Za spisak svih ekscipijenasa, pogledati dio 6.1.</w:t>
      </w:r>
    </w:p>
    <w:p w:rsidR="00C37FD7" w:rsidRDefault="00C37FD7" w:rsidP="00EC73B3">
      <w:pPr>
        <w:jc w:val="both"/>
        <w:rPr>
          <w:sz w:val="22"/>
          <w:szCs w:val="22"/>
          <w:lang w:val="sr-Latn-ME"/>
        </w:rPr>
      </w:pPr>
    </w:p>
    <w:p w:rsidR="003A60B2" w:rsidRPr="003A60B2" w:rsidRDefault="003A60B2" w:rsidP="00EC73B3">
      <w:pPr>
        <w:jc w:val="both"/>
        <w:rPr>
          <w:sz w:val="22"/>
          <w:szCs w:val="22"/>
          <w:lang w:val="sr-Latn-ME"/>
        </w:rPr>
      </w:pPr>
    </w:p>
    <w:p w:rsidR="00411B4B" w:rsidRPr="003A60B2" w:rsidRDefault="00411B4B" w:rsidP="00EC73B3">
      <w:pPr>
        <w:tabs>
          <w:tab w:val="left" w:pos="540"/>
          <w:tab w:val="left" w:pos="569"/>
        </w:tabs>
        <w:jc w:val="both"/>
        <w:rPr>
          <w:b/>
          <w:bCs/>
          <w:sz w:val="22"/>
          <w:szCs w:val="22"/>
          <w:lang w:val="sr-Latn-ME"/>
        </w:rPr>
      </w:pPr>
      <w:r w:rsidRPr="003A60B2">
        <w:rPr>
          <w:b/>
          <w:bCs/>
          <w:sz w:val="22"/>
          <w:szCs w:val="22"/>
          <w:lang w:val="sr-Latn-ME"/>
        </w:rPr>
        <w:t xml:space="preserve">3. </w:t>
      </w:r>
      <w:r w:rsidR="00F5167F" w:rsidRPr="003A60B2">
        <w:rPr>
          <w:b/>
          <w:bCs/>
          <w:sz w:val="22"/>
          <w:szCs w:val="22"/>
          <w:lang w:val="sr-Latn-ME"/>
        </w:rPr>
        <w:tab/>
      </w:r>
      <w:r w:rsidRPr="003A60B2">
        <w:rPr>
          <w:b/>
          <w:bCs/>
          <w:sz w:val="22"/>
          <w:szCs w:val="22"/>
          <w:lang w:val="sr-Latn-ME"/>
        </w:rPr>
        <w:t>FARMACEUTSKI OBLIK</w:t>
      </w:r>
      <w:r w:rsidR="009F2D23" w:rsidRPr="003A60B2">
        <w:rPr>
          <w:b/>
          <w:bCs/>
          <w:sz w:val="22"/>
          <w:szCs w:val="22"/>
          <w:lang w:val="sr-Latn-ME"/>
        </w:rPr>
        <w:t xml:space="preserve"> </w:t>
      </w:r>
    </w:p>
    <w:p w:rsidR="00D329D7" w:rsidRPr="003A60B2" w:rsidRDefault="00D329D7" w:rsidP="00EC73B3">
      <w:pPr>
        <w:tabs>
          <w:tab w:val="left" w:pos="284"/>
        </w:tabs>
        <w:jc w:val="both"/>
        <w:rPr>
          <w:sz w:val="22"/>
          <w:szCs w:val="22"/>
          <w:lang w:val="sr-Latn-ME" w:eastAsia="hr-HR"/>
        </w:rPr>
      </w:pPr>
    </w:p>
    <w:p w:rsidR="00D329D7" w:rsidRPr="003A60B2" w:rsidRDefault="00D329D7" w:rsidP="00EC73B3">
      <w:pPr>
        <w:tabs>
          <w:tab w:val="left" w:pos="284"/>
        </w:tabs>
        <w:jc w:val="both"/>
        <w:rPr>
          <w:sz w:val="22"/>
          <w:szCs w:val="22"/>
          <w:lang w:val="sr-Latn-ME"/>
        </w:rPr>
      </w:pPr>
      <w:r w:rsidRPr="003A60B2">
        <w:rPr>
          <w:sz w:val="22"/>
          <w:szCs w:val="22"/>
          <w:lang w:val="sr-Latn-ME" w:eastAsia="hr-HR"/>
        </w:rPr>
        <w:t>Tableta sa produženim oslobađanjem.</w:t>
      </w:r>
    </w:p>
    <w:p w:rsidR="00D329D7" w:rsidRPr="003A60B2" w:rsidRDefault="00D329D7" w:rsidP="00EC73B3">
      <w:pPr>
        <w:tabs>
          <w:tab w:val="left" w:pos="284"/>
        </w:tabs>
        <w:jc w:val="both"/>
        <w:rPr>
          <w:sz w:val="22"/>
          <w:szCs w:val="22"/>
          <w:lang w:val="sr-Latn-ME" w:eastAsia="hr-HR"/>
        </w:rPr>
      </w:pPr>
    </w:p>
    <w:p w:rsidR="00D329D7" w:rsidRPr="003A60B2" w:rsidRDefault="00D329D7" w:rsidP="00EC73B3">
      <w:pPr>
        <w:tabs>
          <w:tab w:val="left" w:pos="284"/>
        </w:tabs>
        <w:jc w:val="both"/>
        <w:rPr>
          <w:sz w:val="22"/>
          <w:szCs w:val="22"/>
          <w:lang w:val="sr-Latn-ME" w:eastAsia="hr-HR"/>
        </w:rPr>
      </w:pPr>
      <w:r w:rsidRPr="003A60B2">
        <w:rPr>
          <w:sz w:val="22"/>
          <w:szCs w:val="22"/>
          <w:lang w:val="sr-Latn-ME" w:eastAsia="hr-HR"/>
        </w:rPr>
        <w:t xml:space="preserve">Bijela do skoro bijela, ovalna bikonveksna film tableta sa produženim oslobađanjem na kojoj je sa jedne strane utisnuta oznaka R10 i bez bilo kakve oznake sa druge strane. </w:t>
      </w:r>
    </w:p>
    <w:p w:rsidR="00411B4B" w:rsidRPr="003A60B2" w:rsidRDefault="00D329D7" w:rsidP="00EC73B3">
      <w:pPr>
        <w:tabs>
          <w:tab w:val="left" w:pos="284"/>
        </w:tabs>
        <w:jc w:val="both"/>
        <w:rPr>
          <w:sz w:val="22"/>
          <w:szCs w:val="22"/>
          <w:lang w:val="sr-Latn-ME"/>
        </w:rPr>
      </w:pPr>
      <w:r w:rsidRPr="003A60B2">
        <w:rPr>
          <w:sz w:val="22"/>
          <w:szCs w:val="22"/>
          <w:lang w:val="sr-Latn-ME" w:eastAsia="hr-HR"/>
        </w:rPr>
        <w:t>Dimenzije: približno 8 x13 mm.</w:t>
      </w:r>
    </w:p>
    <w:p w:rsidR="00EC2532" w:rsidRDefault="00EC2532" w:rsidP="00EC73B3">
      <w:pPr>
        <w:jc w:val="both"/>
        <w:rPr>
          <w:bCs/>
          <w:sz w:val="22"/>
          <w:szCs w:val="22"/>
          <w:lang w:val="sr-Latn-ME"/>
        </w:rPr>
      </w:pPr>
    </w:p>
    <w:p w:rsidR="003A60B2" w:rsidRPr="003A60B2" w:rsidRDefault="003A60B2" w:rsidP="00EC73B3">
      <w:pPr>
        <w:jc w:val="both"/>
        <w:rPr>
          <w:bCs/>
          <w:sz w:val="22"/>
          <w:szCs w:val="22"/>
          <w:lang w:val="sr-Latn-ME"/>
        </w:rPr>
      </w:pPr>
    </w:p>
    <w:p w:rsidR="00411B4B" w:rsidRPr="003A60B2" w:rsidRDefault="00411B4B" w:rsidP="00EC73B3">
      <w:pPr>
        <w:tabs>
          <w:tab w:val="left" w:pos="540"/>
          <w:tab w:val="left" w:pos="569"/>
        </w:tabs>
        <w:jc w:val="both"/>
        <w:rPr>
          <w:b/>
          <w:bCs/>
          <w:sz w:val="22"/>
          <w:szCs w:val="22"/>
          <w:lang w:val="sr-Latn-ME"/>
        </w:rPr>
      </w:pPr>
      <w:r w:rsidRPr="003A60B2">
        <w:rPr>
          <w:b/>
          <w:bCs/>
          <w:sz w:val="22"/>
          <w:szCs w:val="22"/>
          <w:lang w:val="sr-Latn-ME"/>
        </w:rPr>
        <w:t xml:space="preserve">4. </w:t>
      </w:r>
      <w:r w:rsidR="00480FB1" w:rsidRPr="003A60B2">
        <w:rPr>
          <w:b/>
          <w:bCs/>
          <w:sz w:val="22"/>
          <w:szCs w:val="22"/>
          <w:lang w:val="sr-Latn-ME"/>
        </w:rPr>
        <w:tab/>
      </w:r>
      <w:r w:rsidRPr="003A60B2">
        <w:rPr>
          <w:b/>
          <w:bCs/>
          <w:sz w:val="22"/>
          <w:szCs w:val="22"/>
          <w:lang w:val="sr-Latn-ME"/>
        </w:rPr>
        <w:t>KLINIČKI PODACI</w:t>
      </w:r>
    </w:p>
    <w:p w:rsidR="00CD6F02" w:rsidRPr="003A60B2" w:rsidRDefault="00CD6F02" w:rsidP="00EC73B3">
      <w:pPr>
        <w:tabs>
          <w:tab w:val="left" w:pos="540"/>
          <w:tab w:val="left" w:pos="569"/>
        </w:tabs>
        <w:jc w:val="both"/>
        <w:rPr>
          <w:bCs/>
          <w:sz w:val="22"/>
          <w:szCs w:val="22"/>
          <w:lang w:val="sr-Latn-ME"/>
        </w:rPr>
      </w:pPr>
    </w:p>
    <w:p w:rsidR="00411B4B" w:rsidRPr="003A60B2" w:rsidRDefault="00411B4B" w:rsidP="00EC73B3">
      <w:pPr>
        <w:tabs>
          <w:tab w:val="left" w:pos="540"/>
          <w:tab w:val="left" w:pos="569"/>
        </w:tabs>
        <w:jc w:val="both"/>
        <w:rPr>
          <w:b/>
          <w:bCs/>
          <w:sz w:val="22"/>
          <w:szCs w:val="22"/>
          <w:lang w:val="sr-Latn-ME"/>
        </w:rPr>
      </w:pPr>
      <w:r w:rsidRPr="003A60B2">
        <w:rPr>
          <w:b/>
          <w:bCs/>
          <w:sz w:val="22"/>
          <w:szCs w:val="22"/>
          <w:lang w:val="sr-Latn-ME"/>
        </w:rPr>
        <w:t xml:space="preserve">4.1. </w:t>
      </w:r>
      <w:r w:rsidR="00480FB1" w:rsidRPr="003A60B2">
        <w:rPr>
          <w:b/>
          <w:bCs/>
          <w:sz w:val="22"/>
          <w:szCs w:val="22"/>
          <w:lang w:val="sr-Latn-ME"/>
        </w:rPr>
        <w:tab/>
      </w:r>
      <w:r w:rsidRPr="003A60B2">
        <w:rPr>
          <w:b/>
          <w:bCs/>
          <w:sz w:val="22"/>
          <w:szCs w:val="22"/>
          <w:lang w:val="sr-Latn-ME"/>
        </w:rPr>
        <w:t>Terapijske indikacije</w:t>
      </w:r>
    </w:p>
    <w:p w:rsidR="00D329D7" w:rsidRPr="003A60B2" w:rsidRDefault="00D329D7" w:rsidP="00EC73B3">
      <w:pPr>
        <w:tabs>
          <w:tab w:val="left" w:pos="540"/>
          <w:tab w:val="left" w:pos="569"/>
        </w:tabs>
        <w:jc w:val="both"/>
        <w:rPr>
          <w:b/>
          <w:bCs/>
          <w:sz w:val="22"/>
          <w:szCs w:val="22"/>
          <w:lang w:val="sr-Latn-ME"/>
        </w:rPr>
      </w:pPr>
    </w:p>
    <w:p w:rsidR="00D329D7" w:rsidRPr="003A60B2" w:rsidRDefault="00D329D7" w:rsidP="00EC73B3">
      <w:pPr>
        <w:tabs>
          <w:tab w:val="left" w:pos="284"/>
        </w:tabs>
        <w:jc w:val="both"/>
        <w:rPr>
          <w:sz w:val="22"/>
          <w:szCs w:val="22"/>
          <w:lang w:val="sr-Latn-ME"/>
        </w:rPr>
      </w:pPr>
      <w:r w:rsidRPr="003A60B2">
        <w:rPr>
          <w:sz w:val="22"/>
          <w:szCs w:val="22"/>
          <w:lang w:val="sr-Latn-ME" w:eastAsia="hr-HR"/>
        </w:rPr>
        <w:t>Lijek Fampridin Teva je indikovan za poboljšanje hodanja kod odraslih pacijenata koji boluju od multiple skleroze koji ne mogu da hodaju (EDSS 4-7).</w:t>
      </w:r>
    </w:p>
    <w:p w:rsidR="00411B4B" w:rsidRPr="003A60B2" w:rsidRDefault="00411B4B" w:rsidP="00EC73B3">
      <w:pPr>
        <w:tabs>
          <w:tab w:val="left" w:pos="540"/>
          <w:tab w:val="left" w:pos="569"/>
        </w:tabs>
        <w:jc w:val="both"/>
        <w:rPr>
          <w:bCs/>
          <w:sz w:val="22"/>
          <w:szCs w:val="22"/>
          <w:lang w:val="sr-Latn-ME"/>
        </w:rPr>
      </w:pPr>
    </w:p>
    <w:p w:rsidR="00411B4B" w:rsidRPr="003A60B2" w:rsidRDefault="00411B4B" w:rsidP="00EC73B3">
      <w:pPr>
        <w:tabs>
          <w:tab w:val="left" w:pos="540"/>
          <w:tab w:val="left" w:pos="569"/>
        </w:tabs>
        <w:jc w:val="both"/>
        <w:rPr>
          <w:b/>
          <w:bCs/>
          <w:sz w:val="22"/>
          <w:szCs w:val="22"/>
          <w:lang w:val="sr-Latn-ME"/>
        </w:rPr>
      </w:pPr>
      <w:r w:rsidRPr="003A60B2">
        <w:rPr>
          <w:b/>
          <w:bCs/>
          <w:sz w:val="22"/>
          <w:szCs w:val="22"/>
          <w:lang w:val="sr-Latn-ME"/>
        </w:rPr>
        <w:t xml:space="preserve">4.2. </w:t>
      </w:r>
      <w:r w:rsidR="00480FB1" w:rsidRPr="003A60B2">
        <w:rPr>
          <w:b/>
          <w:bCs/>
          <w:sz w:val="22"/>
          <w:szCs w:val="22"/>
          <w:lang w:val="sr-Latn-ME"/>
        </w:rPr>
        <w:tab/>
      </w:r>
      <w:r w:rsidRPr="003A60B2">
        <w:rPr>
          <w:b/>
          <w:bCs/>
          <w:sz w:val="22"/>
          <w:szCs w:val="22"/>
          <w:lang w:val="sr-Latn-ME"/>
        </w:rPr>
        <w:t>Doziranje i način primjene</w:t>
      </w:r>
    </w:p>
    <w:p w:rsidR="0072020E" w:rsidRPr="003A60B2" w:rsidRDefault="0072020E" w:rsidP="00EC73B3">
      <w:pPr>
        <w:tabs>
          <w:tab w:val="left" w:pos="540"/>
          <w:tab w:val="left" w:pos="569"/>
        </w:tabs>
        <w:jc w:val="both"/>
        <w:rPr>
          <w:bCs/>
          <w:sz w:val="22"/>
          <w:szCs w:val="22"/>
          <w:lang w:val="sr-Latn-ME"/>
        </w:rPr>
      </w:pPr>
    </w:p>
    <w:p w:rsidR="00D329D7" w:rsidRPr="003A60B2" w:rsidRDefault="00D329D7" w:rsidP="00EC73B3">
      <w:pPr>
        <w:tabs>
          <w:tab w:val="left" w:pos="284"/>
        </w:tabs>
        <w:jc w:val="both"/>
        <w:rPr>
          <w:sz w:val="22"/>
          <w:szCs w:val="22"/>
          <w:lang w:val="sr-Latn-ME"/>
        </w:rPr>
      </w:pPr>
      <w:r w:rsidRPr="003A60B2">
        <w:rPr>
          <w:sz w:val="22"/>
          <w:szCs w:val="22"/>
          <w:lang w:val="sr-Latn-ME" w:eastAsia="hr-HR"/>
        </w:rPr>
        <w:t xml:space="preserve">Lijek Fampridin Teva se izdaje samo na </w:t>
      </w:r>
      <w:r w:rsidR="00EC73B3" w:rsidRPr="003A60B2">
        <w:rPr>
          <w:sz w:val="22"/>
          <w:szCs w:val="22"/>
          <w:lang w:val="sr-Latn-ME" w:eastAsia="hr-HR"/>
        </w:rPr>
        <w:t xml:space="preserve">ograničen </w:t>
      </w:r>
      <w:r w:rsidRPr="003A60B2">
        <w:rPr>
          <w:sz w:val="22"/>
          <w:szCs w:val="22"/>
          <w:lang w:val="sr-Latn-ME" w:eastAsia="hr-HR"/>
        </w:rPr>
        <w:t>ljekarski recept, a terapiju treba da nadgleda ljekar koji ima iskustva u liječenju multiple skleroze.</w:t>
      </w:r>
    </w:p>
    <w:p w:rsidR="00D329D7" w:rsidRPr="003A60B2" w:rsidRDefault="00D329D7" w:rsidP="00EC73B3">
      <w:pPr>
        <w:tabs>
          <w:tab w:val="left" w:pos="284"/>
        </w:tabs>
        <w:jc w:val="both"/>
        <w:rPr>
          <w:sz w:val="22"/>
          <w:szCs w:val="22"/>
          <w:u w:val="single"/>
          <w:lang w:val="sr-Latn-ME" w:eastAsia="hr-HR"/>
        </w:rPr>
      </w:pPr>
    </w:p>
    <w:p w:rsidR="00D329D7" w:rsidRPr="003A60B2" w:rsidRDefault="00D329D7" w:rsidP="00EC73B3">
      <w:pPr>
        <w:tabs>
          <w:tab w:val="left" w:pos="284"/>
        </w:tabs>
        <w:jc w:val="both"/>
        <w:rPr>
          <w:sz w:val="22"/>
          <w:szCs w:val="22"/>
          <w:lang w:val="sr-Latn-ME"/>
        </w:rPr>
      </w:pPr>
      <w:r w:rsidRPr="003A60B2">
        <w:rPr>
          <w:sz w:val="22"/>
          <w:szCs w:val="22"/>
          <w:u w:val="single"/>
          <w:lang w:val="sr-Latn-ME" w:eastAsia="hr-HR"/>
        </w:rPr>
        <w:t>Doziranje</w:t>
      </w:r>
    </w:p>
    <w:p w:rsidR="00D329D7" w:rsidRPr="003A60B2" w:rsidRDefault="00D329D7" w:rsidP="00EC73B3">
      <w:pPr>
        <w:tabs>
          <w:tab w:val="left" w:pos="284"/>
        </w:tabs>
        <w:jc w:val="both"/>
        <w:rPr>
          <w:sz w:val="22"/>
          <w:szCs w:val="22"/>
          <w:lang w:val="sr-Latn-ME"/>
        </w:rPr>
      </w:pPr>
      <w:r w:rsidRPr="003A60B2">
        <w:rPr>
          <w:sz w:val="22"/>
          <w:szCs w:val="22"/>
          <w:lang w:val="sr-Latn-ME" w:eastAsia="hr-HR"/>
        </w:rPr>
        <w:t>Preporučena doza je jedna tableta od 10 mg, dva puta na dan, koja se uzima na svakih 12 sati (jedna tableta ujutru i jedna uveče). Lijek Fampridin Teva se ne smije primjenjivati češće ili u dozama višim od preporučenih (vidjeti dio 4.4). Tablete treba uzimati bez hrane (vidjeti dio 5.2).</w:t>
      </w:r>
    </w:p>
    <w:p w:rsidR="00D329D7" w:rsidRPr="003A60B2" w:rsidRDefault="00D329D7" w:rsidP="00EC73B3">
      <w:pPr>
        <w:tabs>
          <w:tab w:val="left" w:pos="284"/>
        </w:tabs>
        <w:jc w:val="both"/>
        <w:rPr>
          <w:sz w:val="22"/>
          <w:szCs w:val="22"/>
          <w:u w:val="single"/>
          <w:lang w:val="sr-Latn-ME" w:eastAsia="hr-HR"/>
        </w:rPr>
      </w:pPr>
    </w:p>
    <w:p w:rsidR="00D329D7" w:rsidRPr="003A60B2" w:rsidRDefault="00D329D7" w:rsidP="00EC73B3">
      <w:pPr>
        <w:tabs>
          <w:tab w:val="left" w:pos="284"/>
        </w:tabs>
        <w:jc w:val="both"/>
        <w:rPr>
          <w:i/>
          <w:sz w:val="22"/>
          <w:szCs w:val="22"/>
          <w:lang w:val="sr-Latn-ME"/>
        </w:rPr>
      </w:pPr>
      <w:r w:rsidRPr="003A60B2">
        <w:rPr>
          <w:i/>
          <w:sz w:val="22"/>
          <w:szCs w:val="22"/>
          <w:u w:val="single"/>
          <w:lang w:val="sr-Latn-ME" w:eastAsia="hr-HR"/>
        </w:rPr>
        <w:t xml:space="preserve">Početak i procjena terapije lijekom Fampridin Teva </w:t>
      </w:r>
    </w:p>
    <w:p w:rsidR="00D329D7" w:rsidRPr="003A60B2" w:rsidRDefault="00D329D7" w:rsidP="00EC73B3">
      <w:pPr>
        <w:numPr>
          <w:ilvl w:val="0"/>
          <w:numId w:val="12"/>
        </w:numPr>
        <w:tabs>
          <w:tab w:val="left" w:pos="284"/>
        </w:tabs>
        <w:jc w:val="both"/>
        <w:rPr>
          <w:sz w:val="22"/>
          <w:szCs w:val="22"/>
          <w:lang w:val="sr-Latn-ME"/>
        </w:rPr>
      </w:pPr>
      <w:r w:rsidRPr="003A60B2">
        <w:rPr>
          <w:sz w:val="22"/>
          <w:szCs w:val="22"/>
          <w:lang w:val="sr-Latn-ME" w:eastAsia="hr-HR"/>
        </w:rPr>
        <w:t>Doza lijeka koja se inicijalno propisuje treba da bude ograničena na količinu potrebnu za dvije do četiri nedjelje terapije, jer se klinička korist generalno može utvrditi u roku od dvije do četiri nedjelje nakon početka terapije lijekom Fampridin Teva;</w:t>
      </w:r>
    </w:p>
    <w:p w:rsidR="00D329D7" w:rsidRPr="003A60B2" w:rsidRDefault="00D329D7" w:rsidP="00EC73B3">
      <w:pPr>
        <w:numPr>
          <w:ilvl w:val="0"/>
          <w:numId w:val="12"/>
        </w:numPr>
        <w:tabs>
          <w:tab w:val="left" w:pos="284"/>
        </w:tabs>
        <w:jc w:val="both"/>
        <w:rPr>
          <w:sz w:val="22"/>
          <w:szCs w:val="22"/>
          <w:lang w:val="sr-Latn-ME"/>
        </w:rPr>
      </w:pPr>
      <w:r w:rsidRPr="003A60B2">
        <w:rPr>
          <w:sz w:val="22"/>
          <w:szCs w:val="22"/>
          <w:lang w:val="sr-Latn-ME" w:eastAsia="hr-HR"/>
        </w:rPr>
        <w:t>Za procjenu poboljšanja sposobnosti hodanja u roku od dvije do četiri nedjelje, preporučuje se npr. mjerenje vremena potrebnog da pacijent pređe razdaljinu od 7,6 metara</w:t>
      </w:r>
      <w:r w:rsidRPr="003A60B2">
        <w:rPr>
          <w:i/>
          <w:iCs/>
          <w:sz w:val="22"/>
          <w:szCs w:val="22"/>
          <w:lang w:val="sr-Latn-ME" w:eastAsia="hr-HR"/>
        </w:rPr>
        <w:t xml:space="preserve"> (Timed 25 Foot Walk,</w:t>
      </w:r>
      <w:r w:rsidRPr="003A60B2">
        <w:rPr>
          <w:sz w:val="22"/>
          <w:szCs w:val="22"/>
          <w:lang w:val="sr-Latn-ME" w:eastAsia="hr-HR"/>
        </w:rPr>
        <w:t xml:space="preserve"> T25FW) ili primjena Skale mogućnosti hodanja kod multiple skleroze od 12 tačaka</w:t>
      </w:r>
      <w:r w:rsidRPr="003A60B2">
        <w:rPr>
          <w:i/>
          <w:iCs/>
          <w:sz w:val="22"/>
          <w:szCs w:val="22"/>
          <w:lang w:val="sr-Latn-ME" w:eastAsia="hr-HR"/>
        </w:rPr>
        <w:t xml:space="preserve"> (Multiple Sclerosis Walking Scale,</w:t>
      </w:r>
      <w:r w:rsidRPr="003A60B2">
        <w:rPr>
          <w:sz w:val="22"/>
          <w:szCs w:val="22"/>
          <w:lang w:val="sr-Latn-ME" w:eastAsia="hr-HR"/>
        </w:rPr>
        <w:t xml:space="preserve"> MSWS-12). Ukoliko se ne zabilježi poboljšanje, terapiju lijekom Fampridin Teva treba prekinuti.</w:t>
      </w:r>
    </w:p>
    <w:p w:rsidR="00D329D7" w:rsidRPr="003A60B2" w:rsidRDefault="00D329D7" w:rsidP="00EC73B3">
      <w:pPr>
        <w:numPr>
          <w:ilvl w:val="0"/>
          <w:numId w:val="12"/>
        </w:numPr>
        <w:tabs>
          <w:tab w:val="left" w:pos="284"/>
        </w:tabs>
        <w:jc w:val="both"/>
        <w:rPr>
          <w:sz w:val="22"/>
          <w:szCs w:val="22"/>
          <w:lang w:val="sr-Latn-ME"/>
        </w:rPr>
      </w:pPr>
      <w:r w:rsidRPr="003A60B2">
        <w:rPr>
          <w:sz w:val="22"/>
          <w:szCs w:val="22"/>
          <w:lang w:val="sr-Latn-ME" w:eastAsia="hr-HR"/>
        </w:rPr>
        <w:t>Terapiju lijekom Fampridin Teva treba prekinuti ukoliko pacijenti ne prijave bilo kakvo poboljšanje.</w:t>
      </w:r>
    </w:p>
    <w:p w:rsidR="00D329D7" w:rsidRPr="003A60B2" w:rsidRDefault="00D329D7" w:rsidP="00EC73B3">
      <w:pPr>
        <w:tabs>
          <w:tab w:val="left" w:pos="284"/>
        </w:tabs>
        <w:jc w:val="both"/>
        <w:rPr>
          <w:i/>
          <w:sz w:val="22"/>
          <w:szCs w:val="22"/>
          <w:u w:val="single"/>
          <w:lang w:val="sr-Latn-ME" w:eastAsia="hr-HR"/>
        </w:rPr>
      </w:pPr>
    </w:p>
    <w:p w:rsidR="009B2BFC" w:rsidRDefault="009B2BFC" w:rsidP="00EC73B3">
      <w:pPr>
        <w:tabs>
          <w:tab w:val="left" w:pos="284"/>
        </w:tabs>
        <w:jc w:val="both"/>
        <w:rPr>
          <w:i/>
          <w:sz w:val="22"/>
          <w:szCs w:val="22"/>
          <w:u w:val="single"/>
          <w:lang w:val="sr-Latn-ME" w:eastAsia="hr-HR"/>
        </w:rPr>
      </w:pPr>
    </w:p>
    <w:p w:rsidR="009B2BFC" w:rsidRDefault="009B2BFC" w:rsidP="00EC73B3">
      <w:pPr>
        <w:tabs>
          <w:tab w:val="left" w:pos="284"/>
        </w:tabs>
        <w:jc w:val="both"/>
        <w:rPr>
          <w:i/>
          <w:sz w:val="22"/>
          <w:szCs w:val="22"/>
          <w:u w:val="single"/>
          <w:lang w:val="sr-Latn-ME" w:eastAsia="hr-HR"/>
        </w:rPr>
      </w:pPr>
    </w:p>
    <w:p w:rsidR="00D329D7" w:rsidRPr="003A60B2" w:rsidRDefault="00D329D7" w:rsidP="00EC73B3">
      <w:pPr>
        <w:tabs>
          <w:tab w:val="left" w:pos="284"/>
        </w:tabs>
        <w:jc w:val="both"/>
        <w:rPr>
          <w:i/>
          <w:sz w:val="22"/>
          <w:szCs w:val="22"/>
          <w:lang w:val="sr-Latn-ME"/>
        </w:rPr>
      </w:pPr>
      <w:r w:rsidRPr="003A60B2">
        <w:rPr>
          <w:i/>
          <w:sz w:val="22"/>
          <w:szCs w:val="22"/>
          <w:u w:val="single"/>
          <w:lang w:val="sr-Latn-ME" w:eastAsia="hr-HR"/>
        </w:rPr>
        <w:lastRenderedPageBreak/>
        <w:t>Ponovna procjena terapije lijekom Fampridin Teva</w:t>
      </w:r>
    </w:p>
    <w:p w:rsidR="00D329D7" w:rsidRPr="003A60B2" w:rsidRDefault="00D329D7" w:rsidP="00EC73B3">
      <w:pPr>
        <w:tabs>
          <w:tab w:val="left" w:pos="284"/>
        </w:tabs>
        <w:jc w:val="both"/>
        <w:rPr>
          <w:sz w:val="22"/>
          <w:szCs w:val="22"/>
          <w:lang w:val="sr-Latn-ME"/>
        </w:rPr>
      </w:pPr>
      <w:r w:rsidRPr="003A60B2">
        <w:rPr>
          <w:sz w:val="22"/>
          <w:szCs w:val="22"/>
          <w:lang w:val="sr-Latn-ME" w:eastAsia="hr-HR"/>
        </w:rPr>
        <w:t>Ukoliko se primijeti da je došlo do smanjenja mogućnosti hodanja, ljekar treba da razmotriti prekid terapije kako bi ponovo procijenio koristi od fampridina (vidjeti iznad). Ponovna procjena treba da uključuje prekid primjene lijeka Fampridin Teva i procjenu mogućnosti hodanja. Liječenje lijekom Fampridin Teva treba prekinuti ukoliko pacijenti više ne osjećaju poboljšanje pri hodanju.</w:t>
      </w:r>
    </w:p>
    <w:p w:rsidR="00D329D7" w:rsidRPr="003A60B2" w:rsidRDefault="00D329D7" w:rsidP="00EC73B3">
      <w:pPr>
        <w:tabs>
          <w:tab w:val="left" w:pos="284"/>
        </w:tabs>
        <w:jc w:val="both"/>
        <w:rPr>
          <w:sz w:val="22"/>
          <w:szCs w:val="22"/>
          <w:u w:val="single"/>
          <w:lang w:val="sr-Latn-ME" w:eastAsia="hr-HR"/>
        </w:rPr>
      </w:pPr>
    </w:p>
    <w:p w:rsidR="00D329D7" w:rsidRPr="003A60B2" w:rsidRDefault="00D329D7" w:rsidP="00EC73B3">
      <w:pPr>
        <w:tabs>
          <w:tab w:val="left" w:pos="284"/>
        </w:tabs>
        <w:jc w:val="both"/>
        <w:rPr>
          <w:i/>
          <w:sz w:val="22"/>
          <w:szCs w:val="22"/>
          <w:lang w:val="sr-Latn-ME"/>
        </w:rPr>
      </w:pPr>
      <w:r w:rsidRPr="003A60B2">
        <w:rPr>
          <w:i/>
          <w:sz w:val="22"/>
          <w:szCs w:val="22"/>
          <w:u w:val="single"/>
          <w:lang w:val="sr-Latn-ME" w:eastAsia="hr-HR"/>
        </w:rPr>
        <w:t>Propuštena doza</w:t>
      </w:r>
    </w:p>
    <w:p w:rsidR="00D329D7" w:rsidRPr="003A60B2" w:rsidRDefault="00D329D7" w:rsidP="00EC73B3">
      <w:pPr>
        <w:tabs>
          <w:tab w:val="left" w:pos="284"/>
        </w:tabs>
        <w:jc w:val="both"/>
        <w:rPr>
          <w:sz w:val="22"/>
          <w:szCs w:val="22"/>
          <w:lang w:val="sr-Latn-ME"/>
        </w:rPr>
      </w:pPr>
      <w:r w:rsidRPr="003A60B2">
        <w:rPr>
          <w:sz w:val="22"/>
          <w:szCs w:val="22"/>
          <w:lang w:val="sr-Latn-ME" w:eastAsia="hr-HR"/>
        </w:rPr>
        <w:t>Treba se uvijek pridržavati uobičajenog režima doziranja. Dvostruka doza se ne uzima ukoliko je jedna doza propuštena.</w:t>
      </w:r>
    </w:p>
    <w:p w:rsidR="00D329D7" w:rsidRPr="003A60B2" w:rsidRDefault="00D329D7" w:rsidP="00EC73B3">
      <w:pPr>
        <w:tabs>
          <w:tab w:val="left" w:pos="284"/>
        </w:tabs>
        <w:jc w:val="both"/>
        <w:rPr>
          <w:sz w:val="22"/>
          <w:szCs w:val="22"/>
          <w:u w:val="single"/>
          <w:lang w:val="sr-Latn-ME" w:eastAsia="hr-HR"/>
        </w:rPr>
      </w:pPr>
    </w:p>
    <w:p w:rsidR="00D329D7" w:rsidRPr="003A60B2" w:rsidRDefault="00D329D7" w:rsidP="00EC73B3">
      <w:pPr>
        <w:tabs>
          <w:tab w:val="left" w:pos="284"/>
        </w:tabs>
        <w:jc w:val="both"/>
        <w:rPr>
          <w:i/>
          <w:sz w:val="22"/>
          <w:szCs w:val="22"/>
          <w:lang w:val="sr-Latn-ME"/>
        </w:rPr>
      </w:pPr>
      <w:r w:rsidRPr="003A60B2">
        <w:rPr>
          <w:i/>
          <w:sz w:val="22"/>
          <w:szCs w:val="22"/>
          <w:u w:val="single"/>
          <w:lang w:val="sr-Latn-ME" w:eastAsia="hr-HR"/>
        </w:rPr>
        <w:t>Starije osobe</w:t>
      </w:r>
    </w:p>
    <w:p w:rsidR="00D329D7" w:rsidRPr="003A60B2" w:rsidRDefault="00D329D7" w:rsidP="00EC73B3">
      <w:pPr>
        <w:tabs>
          <w:tab w:val="left" w:pos="284"/>
        </w:tabs>
        <w:jc w:val="both"/>
        <w:rPr>
          <w:sz w:val="22"/>
          <w:szCs w:val="22"/>
          <w:lang w:val="sr-Latn-ME" w:eastAsia="hr-HR"/>
        </w:rPr>
      </w:pPr>
      <w:r w:rsidRPr="003A60B2">
        <w:rPr>
          <w:sz w:val="22"/>
          <w:szCs w:val="22"/>
          <w:lang w:val="sr-Latn-ME" w:eastAsia="hr-HR"/>
        </w:rPr>
        <w:t xml:space="preserve">Kod starijih osoba treba provjeriti funkciju bubrega prije početka terapije fampridinom. </w:t>
      </w:r>
    </w:p>
    <w:p w:rsidR="00D329D7" w:rsidRPr="003A60B2" w:rsidRDefault="00D329D7" w:rsidP="00EC73B3">
      <w:pPr>
        <w:tabs>
          <w:tab w:val="left" w:pos="284"/>
        </w:tabs>
        <w:jc w:val="both"/>
        <w:rPr>
          <w:sz w:val="22"/>
          <w:szCs w:val="22"/>
          <w:lang w:val="sr-Latn-ME" w:eastAsia="hr-HR"/>
        </w:rPr>
      </w:pPr>
      <w:r w:rsidRPr="003A60B2">
        <w:rPr>
          <w:sz w:val="22"/>
          <w:szCs w:val="22"/>
          <w:lang w:val="sr-Latn-ME" w:eastAsia="hr-HR"/>
        </w:rPr>
        <w:t>Kod starijih osoba se preporučuje praćenje bubrežne funkcije radi otkrivanja bilo kakvog oštećenja bubrega (vidjeti dio 4.4).</w:t>
      </w:r>
    </w:p>
    <w:p w:rsidR="00D329D7" w:rsidRPr="003A60B2" w:rsidRDefault="00D329D7" w:rsidP="00EC73B3">
      <w:pPr>
        <w:tabs>
          <w:tab w:val="left" w:pos="284"/>
        </w:tabs>
        <w:jc w:val="both"/>
        <w:rPr>
          <w:sz w:val="22"/>
          <w:szCs w:val="22"/>
          <w:lang w:val="sr-Latn-ME"/>
        </w:rPr>
      </w:pPr>
    </w:p>
    <w:p w:rsidR="00D329D7" w:rsidRPr="003A60B2" w:rsidRDefault="00D329D7" w:rsidP="00EC73B3">
      <w:pPr>
        <w:tabs>
          <w:tab w:val="left" w:pos="284"/>
        </w:tabs>
        <w:jc w:val="both"/>
        <w:rPr>
          <w:i/>
          <w:sz w:val="22"/>
          <w:szCs w:val="22"/>
          <w:lang w:val="sr-Latn-ME"/>
        </w:rPr>
      </w:pPr>
      <w:r w:rsidRPr="003A60B2">
        <w:rPr>
          <w:i/>
          <w:sz w:val="22"/>
          <w:szCs w:val="22"/>
          <w:u w:val="single"/>
          <w:lang w:val="sr-Latn-ME" w:eastAsia="hr-HR"/>
        </w:rPr>
        <w:t>Pacijenti sa oštećenjem funkcije bubrega</w:t>
      </w:r>
    </w:p>
    <w:p w:rsidR="00D329D7" w:rsidRPr="003A60B2" w:rsidRDefault="00D329D7" w:rsidP="00EC73B3">
      <w:pPr>
        <w:tabs>
          <w:tab w:val="left" w:pos="284"/>
        </w:tabs>
        <w:jc w:val="both"/>
        <w:rPr>
          <w:sz w:val="22"/>
          <w:szCs w:val="22"/>
          <w:lang w:val="sr-Latn-ME"/>
        </w:rPr>
      </w:pPr>
      <w:r w:rsidRPr="003A60B2">
        <w:rPr>
          <w:sz w:val="22"/>
          <w:szCs w:val="22"/>
          <w:lang w:val="sr-Latn-ME" w:eastAsia="hr-HR"/>
        </w:rPr>
        <w:t>Fampridin je kontraindikovan kod pacijenata sa blagim, umjerenim ili teškim oštećenjem bubrega (klirens kreatinina &lt;50 ml/min) (vidjeti d</w:t>
      </w:r>
      <w:r w:rsidR="00EC73B3" w:rsidRPr="003A60B2">
        <w:rPr>
          <w:sz w:val="22"/>
          <w:szCs w:val="22"/>
          <w:lang w:val="sr-Latn-ME" w:eastAsia="hr-HR"/>
        </w:rPr>
        <w:t>i</w:t>
      </w:r>
      <w:r w:rsidRPr="003A60B2">
        <w:rPr>
          <w:sz w:val="22"/>
          <w:szCs w:val="22"/>
          <w:lang w:val="sr-Latn-ME" w:eastAsia="hr-HR"/>
        </w:rPr>
        <w:t>jelove 4.3 i 4.4.).</w:t>
      </w:r>
    </w:p>
    <w:p w:rsidR="00D329D7" w:rsidRPr="003A60B2" w:rsidRDefault="00D329D7" w:rsidP="00EC73B3">
      <w:pPr>
        <w:tabs>
          <w:tab w:val="left" w:pos="284"/>
        </w:tabs>
        <w:jc w:val="both"/>
        <w:rPr>
          <w:sz w:val="22"/>
          <w:szCs w:val="22"/>
          <w:u w:val="single"/>
          <w:lang w:val="sr-Latn-ME" w:eastAsia="hr-HR"/>
        </w:rPr>
      </w:pPr>
    </w:p>
    <w:p w:rsidR="00D329D7" w:rsidRPr="003A60B2" w:rsidRDefault="00D329D7" w:rsidP="00EC73B3">
      <w:pPr>
        <w:tabs>
          <w:tab w:val="left" w:pos="284"/>
        </w:tabs>
        <w:jc w:val="both"/>
        <w:rPr>
          <w:i/>
          <w:sz w:val="22"/>
          <w:szCs w:val="22"/>
          <w:lang w:val="sr-Latn-ME"/>
        </w:rPr>
      </w:pPr>
      <w:r w:rsidRPr="003A60B2">
        <w:rPr>
          <w:i/>
          <w:sz w:val="22"/>
          <w:szCs w:val="22"/>
          <w:u w:val="single"/>
          <w:lang w:val="sr-Latn-ME" w:eastAsia="hr-HR"/>
        </w:rPr>
        <w:t>Pacijenti sa oštećenjem funkcije jetre</w:t>
      </w:r>
    </w:p>
    <w:p w:rsidR="00D329D7" w:rsidRPr="003A60B2" w:rsidRDefault="00D329D7" w:rsidP="00EC73B3">
      <w:pPr>
        <w:tabs>
          <w:tab w:val="left" w:pos="284"/>
        </w:tabs>
        <w:jc w:val="both"/>
        <w:rPr>
          <w:sz w:val="22"/>
          <w:szCs w:val="22"/>
          <w:lang w:val="sr-Latn-ME" w:eastAsia="hr-HR"/>
        </w:rPr>
      </w:pPr>
      <w:r w:rsidRPr="003A60B2">
        <w:rPr>
          <w:sz w:val="22"/>
          <w:szCs w:val="22"/>
          <w:lang w:val="sr-Latn-ME" w:eastAsia="hr-HR"/>
        </w:rPr>
        <w:t xml:space="preserve">Kod pacijenata sa oštećenjem funkcije jetre nije potrebno prilagođavanje doze. </w:t>
      </w:r>
    </w:p>
    <w:p w:rsidR="00D329D7" w:rsidRPr="003A60B2" w:rsidRDefault="00D329D7" w:rsidP="00EC73B3">
      <w:pPr>
        <w:tabs>
          <w:tab w:val="left" w:pos="284"/>
        </w:tabs>
        <w:jc w:val="both"/>
        <w:rPr>
          <w:sz w:val="22"/>
          <w:szCs w:val="22"/>
          <w:lang w:val="sr-Latn-ME" w:eastAsia="hr-HR"/>
        </w:rPr>
      </w:pPr>
    </w:p>
    <w:p w:rsidR="00D329D7" w:rsidRPr="003A60B2" w:rsidRDefault="00D329D7" w:rsidP="00EC73B3">
      <w:pPr>
        <w:tabs>
          <w:tab w:val="left" w:pos="284"/>
        </w:tabs>
        <w:jc w:val="both"/>
        <w:rPr>
          <w:i/>
          <w:sz w:val="22"/>
          <w:szCs w:val="22"/>
          <w:lang w:val="sr-Latn-ME"/>
        </w:rPr>
      </w:pPr>
      <w:r w:rsidRPr="003A60B2">
        <w:rPr>
          <w:i/>
          <w:sz w:val="22"/>
          <w:szCs w:val="22"/>
          <w:u w:val="single"/>
          <w:lang w:val="sr-Latn-ME" w:eastAsia="hr-HR"/>
        </w:rPr>
        <w:t>Pedijatrijska populacija</w:t>
      </w:r>
    </w:p>
    <w:p w:rsidR="00D329D7" w:rsidRPr="003A60B2" w:rsidRDefault="00D329D7" w:rsidP="00EC73B3">
      <w:pPr>
        <w:tabs>
          <w:tab w:val="left" w:pos="284"/>
        </w:tabs>
        <w:jc w:val="both"/>
        <w:rPr>
          <w:sz w:val="22"/>
          <w:szCs w:val="22"/>
          <w:lang w:val="sr-Latn-ME"/>
        </w:rPr>
      </w:pPr>
      <w:r w:rsidRPr="003A60B2">
        <w:rPr>
          <w:sz w:val="22"/>
          <w:szCs w:val="22"/>
          <w:lang w:val="sr-Latn-ME" w:eastAsia="hr-HR"/>
        </w:rPr>
        <w:t>Bezbjednost i efikasnost fampridina kod djece uzrasta od 0 do 18 godina ni</w:t>
      </w:r>
      <w:r w:rsidR="00EC73B3" w:rsidRPr="003A60B2">
        <w:rPr>
          <w:sz w:val="22"/>
          <w:szCs w:val="22"/>
          <w:lang w:val="sr-Latn-ME" w:eastAsia="hr-HR"/>
        </w:rPr>
        <w:t>je</w:t>
      </w:r>
      <w:r w:rsidRPr="003A60B2">
        <w:rPr>
          <w:sz w:val="22"/>
          <w:szCs w:val="22"/>
          <w:lang w:val="sr-Latn-ME" w:eastAsia="hr-HR"/>
        </w:rPr>
        <w:t>su ustanovljeni. Nema dostupnih podataka.</w:t>
      </w:r>
    </w:p>
    <w:p w:rsidR="00D329D7" w:rsidRPr="003A60B2" w:rsidRDefault="00D329D7" w:rsidP="00EC73B3">
      <w:pPr>
        <w:tabs>
          <w:tab w:val="left" w:pos="284"/>
        </w:tabs>
        <w:jc w:val="both"/>
        <w:rPr>
          <w:sz w:val="22"/>
          <w:szCs w:val="22"/>
          <w:u w:val="single"/>
          <w:lang w:val="sr-Latn-ME" w:eastAsia="hr-HR"/>
        </w:rPr>
      </w:pPr>
    </w:p>
    <w:p w:rsidR="00D329D7" w:rsidRPr="003A60B2" w:rsidRDefault="00D329D7" w:rsidP="00EC73B3">
      <w:pPr>
        <w:tabs>
          <w:tab w:val="left" w:pos="284"/>
        </w:tabs>
        <w:jc w:val="both"/>
        <w:rPr>
          <w:sz w:val="22"/>
          <w:szCs w:val="22"/>
          <w:lang w:val="sr-Latn-ME"/>
        </w:rPr>
      </w:pPr>
      <w:r w:rsidRPr="003A60B2">
        <w:rPr>
          <w:sz w:val="22"/>
          <w:szCs w:val="22"/>
          <w:u w:val="single"/>
          <w:lang w:val="sr-Latn-ME" w:eastAsia="hr-HR"/>
        </w:rPr>
        <w:t>Način primjene</w:t>
      </w:r>
    </w:p>
    <w:p w:rsidR="00D329D7" w:rsidRPr="003A60B2" w:rsidRDefault="00D329D7" w:rsidP="00EC73B3">
      <w:pPr>
        <w:tabs>
          <w:tab w:val="left" w:pos="284"/>
        </w:tabs>
        <w:jc w:val="both"/>
        <w:rPr>
          <w:sz w:val="22"/>
          <w:szCs w:val="22"/>
          <w:lang w:val="sr-Latn-ME"/>
        </w:rPr>
      </w:pPr>
      <w:r w:rsidRPr="003A60B2">
        <w:rPr>
          <w:sz w:val="22"/>
          <w:szCs w:val="22"/>
          <w:lang w:val="sr-Latn-ME" w:eastAsia="hr-HR"/>
        </w:rPr>
        <w:t>Lijek Fampridin Teva je namijenjen za oralnu upotrebu.</w:t>
      </w:r>
    </w:p>
    <w:p w:rsidR="00D329D7" w:rsidRPr="003A60B2" w:rsidRDefault="00D329D7" w:rsidP="00EC73B3">
      <w:pPr>
        <w:tabs>
          <w:tab w:val="left" w:pos="284"/>
        </w:tabs>
        <w:jc w:val="both"/>
        <w:rPr>
          <w:sz w:val="22"/>
          <w:szCs w:val="22"/>
          <w:lang w:val="sr-Latn-ME"/>
        </w:rPr>
      </w:pPr>
      <w:r w:rsidRPr="003A60B2">
        <w:rPr>
          <w:sz w:val="22"/>
          <w:szCs w:val="22"/>
          <w:lang w:val="sr-Latn-ME" w:eastAsia="hr-HR"/>
        </w:rPr>
        <w:t>Tabletu treba progutati cijelu. Tableta se ne smije se dijeliti, drobiti, rastvarati, sisati ili žvakati.</w:t>
      </w:r>
    </w:p>
    <w:p w:rsidR="00452E9D" w:rsidRPr="003A60B2" w:rsidRDefault="00452E9D" w:rsidP="00EC73B3">
      <w:pPr>
        <w:tabs>
          <w:tab w:val="left" w:pos="540"/>
          <w:tab w:val="left" w:pos="569"/>
        </w:tabs>
        <w:jc w:val="both"/>
        <w:rPr>
          <w:bCs/>
          <w:sz w:val="22"/>
          <w:szCs w:val="22"/>
          <w:lang w:val="sr-Latn-ME"/>
        </w:rPr>
      </w:pPr>
    </w:p>
    <w:p w:rsidR="00411B4B" w:rsidRPr="003A60B2" w:rsidRDefault="00411B4B" w:rsidP="00EC73B3">
      <w:pPr>
        <w:tabs>
          <w:tab w:val="left" w:pos="540"/>
          <w:tab w:val="left" w:pos="569"/>
        </w:tabs>
        <w:jc w:val="both"/>
        <w:rPr>
          <w:b/>
          <w:bCs/>
          <w:sz w:val="22"/>
          <w:szCs w:val="22"/>
          <w:lang w:val="sr-Latn-ME"/>
        </w:rPr>
      </w:pPr>
      <w:r w:rsidRPr="003A60B2">
        <w:rPr>
          <w:b/>
          <w:bCs/>
          <w:sz w:val="22"/>
          <w:szCs w:val="22"/>
          <w:lang w:val="sr-Latn-ME"/>
        </w:rPr>
        <w:t xml:space="preserve">4.3. </w:t>
      </w:r>
      <w:r w:rsidR="00480FB1" w:rsidRPr="003A60B2">
        <w:rPr>
          <w:b/>
          <w:bCs/>
          <w:sz w:val="22"/>
          <w:szCs w:val="22"/>
          <w:lang w:val="sr-Latn-ME"/>
        </w:rPr>
        <w:tab/>
      </w:r>
      <w:r w:rsidRPr="003A60B2">
        <w:rPr>
          <w:b/>
          <w:bCs/>
          <w:sz w:val="22"/>
          <w:szCs w:val="22"/>
          <w:lang w:val="sr-Latn-ME"/>
        </w:rPr>
        <w:t>Kontraindikacije</w:t>
      </w:r>
    </w:p>
    <w:p w:rsidR="007A09DC" w:rsidRPr="003A60B2" w:rsidRDefault="007A09DC" w:rsidP="00EC73B3">
      <w:pPr>
        <w:tabs>
          <w:tab w:val="left" w:pos="540"/>
          <w:tab w:val="left" w:pos="569"/>
        </w:tabs>
        <w:jc w:val="both"/>
        <w:rPr>
          <w:b/>
          <w:bCs/>
          <w:sz w:val="22"/>
          <w:szCs w:val="22"/>
          <w:lang w:val="sr-Latn-ME"/>
        </w:rPr>
      </w:pPr>
    </w:p>
    <w:p w:rsidR="007A09DC" w:rsidRPr="003A60B2" w:rsidRDefault="007A09DC" w:rsidP="00EC73B3">
      <w:pPr>
        <w:tabs>
          <w:tab w:val="left" w:pos="284"/>
        </w:tabs>
        <w:jc w:val="both"/>
        <w:rPr>
          <w:sz w:val="22"/>
          <w:szCs w:val="22"/>
          <w:lang w:val="sr-Latn-ME"/>
        </w:rPr>
      </w:pPr>
      <w:r w:rsidRPr="003A60B2">
        <w:rPr>
          <w:sz w:val="22"/>
          <w:szCs w:val="22"/>
          <w:lang w:val="sr-Latn-ME" w:eastAsia="hr-HR"/>
        </w:rPr>
        <w:t>Preosjetljivost na aktivnu supstancu ili bilo koju pomoćnu supstancu navedenu u dijelu 6.1.</w:t>
      </w:r>
    </w:p>
    <w:p w:rsidR="007A09DC" w:rsidRPr="003A60B2" w:rsidRDefault="007A09DC" w:rsidP="00EC73B3">
      <w:pPr>
        <w:tabs>
          <w:tab w:val="left" w:pos="284"/>
        </w:tabs>
        <w:jc w:val="both"/>
        <w:rPr>
          <w:sz w:val="22"/>
          <w:szCs w:val="22"/>
          <w:lang w:val="sr-Latn-ME" w:eastAsia="hr-HR"/>
        </w:rPr>
      </w:pPr>
    </w:p>
    <w:p w:rsidR="007A09DC" w:rsidRPr="003A60B2" w:rsidRDefault="007A09DC" w:rsidP="00EC73B3">
      <w:pPr>
        <w:tabs>
          <w:tab w:val="left" w:pos="284"/>
        </w:tabs>
        <w:jc w:val="both"/>
        <w:rPr>
          <w:sz w:val="22"/>
          <w:szCs w:val="22"/>
          <w:lang w:val="sr-Latn-ME"/>
        </w:rPr>
      </w:pPr>
      <w:r w:rsidRPr="003A60B2">
        <w:rPr>
          <w:sz w:val="22"/>
          <w:szCs w:val="22"/>
          <w:lang w:val="sr-Latn-ME" w:eastAsia="hr-HR"/>
        </w:rPr>
        <w:t>Istovremena primjena drugih ljekova koji sadrže fampridin (4-aminopiridin).</w:t>
      </w:r>
    </w:p>
    <w:p w:rsidR="007A09DC" w:rsidRPr="003A60B2" w:rsidRDefault="007A09DC" w:rsidP="00EC73B3">
      <w:pPr>
        <w:tabs>
          <w:tab w:val="left" w:pos="284"/>
        </w:tabs>
        <w:jc w:val="both"/>
        <w:rPr>
          <w:sz w:val="22"/>
          <w:szCs w:val="22"/>
          <w:lang w:val="sr-Latn-ME" w:eastAsia="hr-HR"/>
        </w:rPr>
      </w:pPr>
    </w:p>
    <w:p w:rsidR="007A09DC" w:rsidRPr="003A60B2" w:rsidRDefault="007A09DC" w:rsidP="00EC73B3">
      <w:pPr>
        <w:tabs>
          <w:tab w:val="left" w:pos="284"/>
        </w:tabs>
        <w:jc w:val="both"/>
        <w:rPr>
          <w:sz w:val="22"/>
          <w:szCs w:val="22"/>
          <w:lang w:val="sr-Latn-ME"/>
        </w:rPr>
      </w:pPr>
      <w:r w:rsidRPr="003A60B2">
        <w:rPr>
          <w:sz w:val="22"/>
          <w:szCs w:val="22"/>
          <w:lang w:val="sr-Latn-ME" w:eastAsia="hr-HR"/>
        </w:rPr>
        <w:t>Pacijenti sa prethodnom anamnezom ili trenutno prisutnim konvulzijama.</w:t>
      </w:r>
    </w:p>
    <w:p w:rsidR="007A09DC" w:rsidRPr="003A60B2" w:rsidRDefault="007A09DC" w:rsidP="00EC73B3">
      <w:pPr>
        <w:tabs>
          <w:tab w:val="left" w:pos="284"/>
        </w:tabs>
        <w:jc w:val="both"/>
        <w:rPr>
          <w:sz w:val="22"/>
          <w:szCs w:val="22"/>
          <w:lang w:val="sr-Latn-ME" w:eastAsia="hr-HR"/>
        </w:rPr>
      </w:pPr>
    </w:p>
    <w:p w:rsidR="007A09DC" w:rsidRPr="003A60B2" w:rsidRDefault="007A09DC" w:rsidP="00EC73B3">
      <w:pPr>
        <w:tabs>
          <w:tab w:val="left" w:pos="284"/>
        </w:tabs>
        <w:jc w:val="both"/>
        <w:rPr>
          <w:sz w:val="22"/>
          <w:szCs w:val="22"/>
          <w:lang w:val="sr-Latn-ME"/>
        </w:rPr>
      </w:pPr>
      <w:r w:rsidRPr="003A60B2">
        <w:rPr>
          <w:sz w:val="22"/>
          <w:szCs w:val="22"/>
          <w:lang w:val="sr-Latn-ME" w:eastAsia="hr-HR"/>
        </w:rPr>
        <w:t>Pacijenti sa blagim, umjerenim ili teškim oštećenjem bubrega (klirens kreatinina &lt;50 ml/min).</w:t>
      </w:r>
    </w:p>
    <w:p w:rsidR="007A09DC" w:rsidRPr="003A60B2" w:rsidRDefault="007A09DC" w:rsidP="00EC73B3">
      <w:pPr>
        <w:tabs>
          <w:tab w:val="left" w:pos="284"/>
        </w:tabs>
        <w:jc w:val="both"/>
        <w:rPr>
          <w:sz w:val="22"/>
          <w:szCs w:val="22"/>
          <w:lang w:val="sr-Latn-ME" w:eastAsia="hr-HR"/>
        </w:rPr>
      </w:pPr>
    </w:p>
    <w:p w:rsidR="007A09DC" w:rsidRPr="003A60B2" w:rsidRDefault="007A09DC" w:rsidP="00EC73B3">
      <w:pPr>
        <w:tabs>
          <w:tab w:val="left" w:pos="284"/>
        </w:tabs>
        <w:jc w:val="both"/>
        <w:rPr>
          <w:sz w:val="22"/>
          <w:szCs w:val="22"/>
          <w:lang w:val="sr-Latn-ME"/>
        </w:rPr>
      </w:pPr>
      <w:r w:rsidRPr="003A60B2">
        <w:rPr>
          <w:sz w:val="22"/>
          <w:szCs w:val="22"/>
          <w:lang w:val="sr-Latn-ME" w:eastAsia="hr-HR"/>
        </w:rPr>
        <w:t>Istovremena primjena fampridina sa drugim ljekovima koji su inhibitori transportera organskih katjona 2 (OCT2) na primjer, cimetidinom.</w:t>
      </w:r>
    </w:p>
    <w:p w:rsidR="0072020E" w:rsidRPr="003A60B2" w:rsidRDefault="0072020E" w:rsidP="00EC73B3">
      <w:pPr>
        <w:tabs>
          <w:tab w:val="left" w:pos="540"/>
          <w:tab w:val="left" w:pos="569"/>
        </w:tabs>
        <w:jc w:val="both"/>
        <w:rPr>
          <w:bCs/>
          <w:sz w:val="22"/>
          <w:szCs w:val="22"/>
          <w:lang w:val="sr-Latn-ME"/>
        </w:rPr>
      </w:pPr>
    </w:p>
    <w:p w:rsidR="00411B4B" w:rsidRPr="003A60B2" w:rsidRDefault="00411B4B" w:rsidP="00EC73B3">
      <w:pPr>
        <w:tabs>
          <w:tab w:val="left" w:pos="540"/>
          <w:tab w:val="left" w:pos="569"/>
        </w:tabs>
        <w:jc w:val="both"/>
        <w:rPr>
          <w:b/>
          <w:bCs/>
          <w:sz w:val="22"/>
          <w:szCs w:val="22"/>
          <w:lang w:val="sr-Latn-ME"/>
        </w:rPr>
      </w:pPr>
      <w:r w:rsidRPr="003A60B2">
        <w:rPr>
          <w:b/>
          <w:bCs/>
          <w:sz w:val="22"/>
          <w:szCs w:val="22"/>
          <w:lang w:val="sr-Latn-ME"/>
        </w:rPr>
        <w:t xml:space="preserve">4.4. </w:t>
      </w:r>
      <w:r w:rsidR="00480FB1" w:rsidRPr="003A60B2">
        <w:rPr>
          <w:b/>
          <w:bCs/>
          <w:sz w:val="22"/>
          <w:szCs w:val="22"/>
          <w:lang w:val="sr-Latn-ME"/>
        </w:rPr>
        <w:tab/>
      </w:r>
      <w:r w:rsidRPr="003A60B2">
        <w:rPr>
          <w:b/>
          <w:bCs/>
          <w:sz w:val="22"/>
          <w:szCs w:val="22"/>
          <w:lang w:val="sr-Latn-ME"/>
        </w:rPr>
        <w:t>Posebna upozorenja i mjere opreza pri upotrebi lijeka</w:t>
      </w:r>
    </w:p>
    <w:p w:rsidR="0072020E" w:rsidRPr="003A60B2" w:rsidRDefault="0072020E" w:rsidP="00EC73B3">
      <w:pPr>
        <w:tabs>
          <w:tab w:val="left" w:pos="540"/>
          <w:tab w:val="left" w:pos="569"/>
        </w:tabs>
        <w:jc w:val="both"/>
        <w:rPr>
          <w:bCs/>
          <w:sz w:val="22"/>
          <w:szCs w:val="22"/>
          <w:lang w:val="sr-Latn-ME"/>
        </w:rPr>
      </w:pPr>
    </w:p>
    <w:p w:rsidR="007A09DC" w:rsidRPr="003A60B2" w:rsidRDefault="007A09DC" w:rsidP="00EC73B3">
      <w:pPr>
        <w:tabs>
          <w:tab w:val="left" w:pos="284"/>
        </w:tabs>
        <w:jc w:val="both"/>
        <w:rPr>
          <w:sz w:val="22"/>
          <w:szCs w:val="22"/>
          <w:lang w:val="sr-Latn-ME"/>
        </w:rPr>
      </w:pPr>
      <w:r w:rsidRPr="003A60B2">
        <w:rPr>
          <w:sz w:val="22"/>
          <w:szCs w:val="22"/>
          <w:u w:val="single"/>
          <w:lang w:val="sr-Latn-ME" w:eastAsia="hr-HR"/>
        </w:rPr>
        <w:t>Rizik od pojave konvulzija</w:t>
      </w:r>
    </w:p>
    <w:p w:rsidR="007A09DC" w:rsidRPr="003A60B2" w:rsidRDefault="007A09DC" w:rsidP="00EC73B3">
      <w:pPr>
        <w:tabs>
          <w:tab w:val="left" w:pos="284"/>
        </w:tabs>
        <w:jc w:val="both"/>
        <w:rPr>
          <w:sz w:val="22"/>
          <w:szCs w:val="22"/>
          <w:lang w:val="sr-Latn-ME"/>
        </w:rPr>
      </w:pPr>
      <w:r w:rsidRPr="003A60B2">
        <w:rPr>
          <w:sz w:val="22"/>
          <w:szCs w:val="22"/>
          <w:lang w:val="sr-Latn-ME" w:eastAsia="hr-HR"/>
        </w:rPr>
        <w:t>Terapija fampridinom povećava rizik od pojave konvulzija (vidjeti dio 4.8).</w:t>
      </w:r>
    </w:p>
    <w:p w:rsidR="007A09DC" w:rsidRPr="003A60B2" w:rsidRDefault="007A09DC" w:rsidP="00EC73B3">
      <w:pPr>
        <w:tabs>
          <w:tab w:val="left" w:pos="284"/>
        </w:tabs>
        <w:jc w:val="both"/>
        <w:rPr>
          <w:sz w:val="22"/>
          <w:szCs w:val="22"/>
          <w:lang w:val="sr-Latn-ME" w:eastAsia="hr-HR"/>
        </w:rPr>
      </w:pPr>
    </w:p>
    <w:p w:rsidR="007A09DC" w:rsidRPr="003A60B2" w:rsidRDefault="007A09DC" w:rsidP="00EC73B3">
      <w:pPr>
        <w:tabs>
          <w:tab w:val="left" w:pos="284"/>
        </w:tabs>
        <w:jc w:val="both"/>
        <w:rPr>
          <w:sz w:val="22"/>
          <w:szCs w:val="22"/>
          <w:lang w:val="sr-Latn-ME" w:eastAsia="hr-HR"/>
        </w:rPr>
      </w:pPr>
      <w:r w:rsidRPr="003A60B2">
        <w:rPr>
          <w:sz w:val="22"/>
          <w:szCs w:val="22"/>
          <w:lang w:val="sr-Latn-ME" w:eastAsia="hr-HR"/>
        </w:rPr>
        <w:t>Fampridin treba primjenjivati oprezno ukoliko je prisutan bilo koji faktor koji može da snizi prag za javljanje konvulzija.</w:t>
      </w:r>
    </w:p>
    <w:p w:rsidR="007A09DC" w:rsidRPr="003A60B2" w:rsidRDefault="007A09DC" w:rsidP="00EC73B3">
      <w:pPr>
        <w:tabs>
          <w:tab w:val="left" w:pos="284"/>
        </w:tabs>
        <w:jc w:val="both"/>
        <w:rPr>
          <w:sz w:val="22"/>
          <w:szCs w:val="22"/>
          <w:lang w:val="sr-Latn-ME"/>
        </w:rPr>
      </w:pPr>
    </w:p>
    <w:p w:rsidR="007A09DC" w:rsidRPr="003A60B2" w:rsidRDefault="007A09DC" w:rsidP="00EC73B3">
      <w:pPr>
        <w:tabs>
          <w:tab w:val="left" w:pos="284"/>
        </w:tabs>
        <w:jc w:val="both"/>
        <w:rPr>
          <w:sz w:val="22"/>
          <w:szCs w:val="22"/>
          <w:lang w:val="sr-Latn-ME"/>
        </w:rPr>
      </w:pPr>
      <w:r w:rsidRPr="003A60B2">
        <w:rPr>
          <w:sz w:val="22"/>
          <w:szCs w:val="22"/>
          <w:lang w:val="sr-Latn-ME" w:eastAsia="hr-HR"/>
        </w:rPr>
        <w:t>Terapiju fampridinom treba prekinuti kod pacijenata kod kojih se tokom terapije jave konvulzije.</w:t>
      </w:r>
    </w:p>
    <w:p w:rsidR="007A09DC" w:rsidRPr="003A60B2" w:rsidRDefault="007A09DC" w:rsidP="00EC73B3">
      <w:pPr>
        <w:tabs>
          <w:tab w:val="left" w:pos="284"/>
        </w:tabs>
        <w:jc w:val="both"/>
        <w:rPr>
          <w:sz w:val="22"/>
          <w:szCs w:val="22"/>
          <w:u w:val="single"/>
          <w:lang w:val="sr-Latn-ME" w:eastAsia="hr-HR"/>
        </w:rPr>
      </w:pPr>
    </w:p>
    <w:p w:rsidR="007A09DC" w:rsidRPr="003A60B2" w:rsidRDefault="007A09DC" w:rsidP="00EC73B3">
      <w:pPr>
        <w:tabs>
          <w:tab w:val="left" w:pos="284"/>
        </w:tabs>
        <w:jc w:val="both"/>
        <w:rPr>
          <w:sz w:val="22"/>
          <w:szCs w:val="22"/>
          <w:lang w:val="sr-Latn-ME"/>
        </w:rPr>
      </w:pPr>
      <w:r w:rsidRPr="003A60B2">
        <w:rPr>
          <w:sz w:val="22"/>
          <w:szCs w:val="22"/>
          <w:u w:val="single"/>
          <w:lang w:val="sr-Latn-ME" w:eastAsia="hr-HR"/>
        </w:rPr>
        <w:t>Oštećenje funkcije bubrega</w:t>
      </w:r>
    </w:p>
    <w:p w:rsidR="007A09DC" w:rsidRPr="003A60B2" w:rsidRDefault="007A09DC" w:rsidP="00EC73B3">
      <w:pPr>
        <w:tabs>
          <w:tab w:val="left" w:pos="284"/>
        </w:tabs>
        <w:jc w:val="both"/>
        <w:rPr>
          <w:sz w:val="22"/>
          <w:szCs w:val="22"/>
          <w:lang w:val="sr-Latn-ME"/>
        </w:rPr>
      </w:pPr>
      <w:r w:rsidRPr="003A60B2">
        <w:rPr>
          <w:sz w:val="22"/>
          <w:szCs w:val="22"/>
          <w:lang w:val="sr-Latn-ME" w:eastAsia="hr-HR"/>
        </w:rPr>
        <w:t xml:space="preserve">Fampridin se primarno izlučuje u nepromenjenom obliku putem bubrega. Pacijenti sa oštećenjem bubrega imaju povišenu koncentraciju u krvnoj plazmi, što je udruženo sa povećanom učestalošću neželjenih reakcija, posebno neuroloških dejstava. Preporučuje se utvrđivanje bubrežne funkcije prije </w:t>
      </w:r>
      <w:r w:rsidRPr="003A60B2">
        <w:rPr>
          <w:sz w:val="22"/>
          <w:szCs w:val="22"/>
          <w:lang w:val="sr-Latn-ME" w:eastAsia="hr-HR"/>
        </w:rPr>
        <w:lastRenderedPageBreak/>
        <w:t>početka terapije kao i njeno  redovno praćenje tokom terapije kod svih pacijenata (posebno kod starijih osoba kod kojih bubrežna funkcija može da bude smanjena). Klirens kreatinina se može procjenjivati pomoću Cockroft-Gaultove formule.</w:t>
      </w:r>
    </w:p>
    <w:p w:rsidR="007A09DC" w:rsidRPr="003A60B2" w:rsidRDefault="007A09DC" w:rsidP="00EC73B3">
      <w:pPr>
        <w:tabs>
          <w:tab w:val="left" w:pos="284"/>
        </w:tabs>
        <w:jc w:val="both"/>
        <w:rPr>
          <w:sz w:val="22"/>
          <w:szCs w:val="22"/>
          <w:lang w:val="sr-Latn-ME" w:eastAsia="hr-HR"/>
        </w:rPr>
      </w:pPr>
    </w:p>
    <w:p w:rsidR="007A09DC" w:rsidRPr="003A60B2" w:rsidRDefault="007A09DC" w:rsidP="00EC73B3">
      <w:pPr>
        <w:tabs>
          <w:tab w:val="left" w:pos="284"/>
        </w:tabs>
        <w:jc w:val="both"/>
        <w:rPr>
          <w:sz w:val="22"/>
          <w:szCs w:val="22"/>
          <w:lang w:val="sr-Latn-ME"/>
        </w:rPr>
      </w:pPr>
      <w:r w:rsidRPr="003A60B2">
        <w:rPr>
          <w:sz w:val="22"/>
          <w:szCs w:val="22"/>
          <w:lang w:val="sr-Latn-ME" w:eastAsia="hr-HR"/>
        </w:rPr>
        <w:t>Treba biti oprezan kada se lijek Fampridin Teva propisuje istovremeno sa ljekovima koji su supstrati transportera organskih katjona (OCT2), na primjer sa karvedilolom, propranololom i metforminom.</w:t>
      </w:r>
    </w:p>
    <w:p w:rsidR="007A09DC" w:rsidRPr="003A60B2" w:rsidRDefault="007A09DC" w:rsidP="00EC73B3">
      <w:pPr>
        <w:tabs>
          <w:tab w:val="left" w:pos="284"/>
        </w:tabs>
        <w:jc w:val="both"/>
        <w:rPr>
          <w:sz w:val="22"/>
          <w:szCs w:val="22"/>
          <w:u w:val="single"/>
          <w:lang w:val="sr-Latn-ME" w:eastAsia="hr-HR"/>
        </w:rPr>
      </w:pPr>
    </w:p>
    <w:p w:rsidR="007A09DC" w:rsidRPr="003A60B2" w:rsidRDefault="007A09DC" w:rsidP="00EC73B3">
      <w:pPr>
        <w:tabs>
          <w:tab w:val="left" w:pos="284"/>
        </w:tabs>
        <w:jc w:val="both"/>
        <w:rPr>
          <w:sz w:val="22"/>
          <w:szCs w:val="22"/>
          <w:lang w:val="sr-Latn-ME"/>
        </w:rPr>
      </w:pPr>
      <w:r w:rsidRPr="003A60B2">
        <w:rPr>
          <w:sz w:val="22"/>
          <w:szCs w:val="22"/>
          <w:u w:val="single"/>
          <w:lang w:val="sr-Latn-ME" w:eastAsia="hr-HR"/>
        </w:rPr>
        <w:t>Reakcije preosjetljivosti</w:t>
      </w:r>
    </w:p>
    <w:p w:rsidR="007A09DC" w:rsidRPr="003A60B2" w:rsidRDefault="007A09DC" w:rsidP="00EC73B3">
      <w:pPr>
        <w:tabs>
          <w:tab w:val="left" w:pos="284"/>
        </w:tabs>
        <w:jc w:val="both"/>
        <w:rPr>
          <w:sz w:val="22"/>
          <w:szCs w:val="22"/>
          <w:lang w:val="sr-Latn-ME"/>
        </w:rPr>
      </w:pPr>
      <w:r w:rsidRPr="003A60B2">
        <w:rPr>
          <w:sz w:val="22"/>
          <w:szCs w:val="22"/>
          <w:lang w:val="sr-Latn-ME" w:eastAsia="hr-HR"/>
        </w:rPr>
        <w:t>Tokom postmarketinškog perioda su prijavljivane ozbiljne reakcije preosjetljivosti (uključujući i anafilaktičke reakcije), a većina tih slučajeva se javila tokom prve nedjelje terapije. Posebnu pažnju treba posvetiti pacijentima sa alergijskim reakcijama u anamnezi. Ako dođe do anafilaktičke ili druge ozbiljne alergijske reakcije, terapiju lijekom Fampridin Teva treba prekinuti i ne treba je ponovno započinjati.</w:t>
      </w:r>
    </w:p>
    <w:p w:rsidR="007A09DC" w:rsidRPr="003A60B2" w:rsidRDefault="007A09DC" w:rsidP="00EC73B3">
      <w:pPr>
        <w:tabs>
          <w:tab w:val="left" w:pos="284"/>
        </w:tabs>
        <w:jc w:val="both"/>
        <w:rPr>
          <w:sz w:val="22"/>
          <w:szCs w:val="22"/>
          <w:u w:val="single"/>
          <w:lang w:val="sr-Latn-ME" w:eastAsia="hr-HR"/>
        </w:rPr>
      </w:pPr>
    </w:p>
    <w:p w:rsidR="007A09DC" w:rsidRPr="003A60B2" w:rsidRDefault="007A09DC" w:rsidP="00EC73B3">
      <w:pPr>
        <w:tabs>
          <w:tab w:val="left" w:pos="284"/>
        </w:tabs>
        <w:jc w:val="both"/>
        <w:rPr>
          <w:sz w:val="22"/>
          <w:szCs w:val="22"/>
          <w:lang w:val="sr-Latn-ME"/>
        </w:rPr>
      </w:pPr>
      <w:r w:rsidRPr="003A60B2">
        <w:rPr>
          <w:sz w:val="22"/>
          <w:szCs w:val="22"/>
          <w:u w:val="single"/>
          <w:lang w:val="sr-Latn-ME" w:eastAsia="hr-HR"/>
        </w:rPr>
        <w:t>Druga upozorenja i mjere predostrožnosti</w:t>
      </w:r>
    </w:p>
    <w:p w:rsidR="007A09DC" w:rsidRPr="003A60B2" w:rsidRDefault="007A09DC" w:rsidP="00EC73B3">
      <w:pPr>
        <w:tabs>
          <w:tab w:val="left" w:pos="284"/>
        </w:tabs>
        <w:jc w:val="both"/>
        <w:rPr>
          <w:sz w:val="22"/>
          <w:szCs w:val="22"/>
          <w:lang w:val="sr-Latn-ME" w:eastAsia="hr-HR"/>
        </w:rPr>
      </w:pPr>
    </w:p>
    <w:p w:rsidR="007A09DC" w:rsidRPr="003A60B2" w:rsidRDefault="007A09DC" w:rsidP="00EC73B3">
      <w:pPr>
        <w:tabs>
          <w:tab w:val="left" w:pos="284"/>
        </w:tabs>
        <w:jc w:val="both"/>
        <w:rPr>
          <w:sz w:val="22"/>
          <w:szCs w:val="22"/>
          <w:lang w:val="sr-Latn-ME" w:eastAsia="hr-HR"/>
        </w:rPr>
      </w:pPr>
      <w:r w:rsidRPr="003A60B2">
        <w:rPr>
          <w:sz w:val="22"/>
          <w:szCs w:val="22"/>
          <w:lang w:val="sr-Latn-ME" w:eastAsia="hr-HR"/>
        </w:rPr>
        <w:t>Fampridin treba primjenjivati oprezno kod pacijenata sa kardiovaskularnim simptomima poremećaja ritma i srčanim poremećajima sinoatrijalnog ili atrioventrikularnog provođenja (ova dejstva se viđaju kod predoziranja). Informacije o bezbjednosti kod ovih pacijenata su ograničene.</w:t>
      </w:r>
    </w:p>
    <w:p w:rsidR="007A09DC" w:rsidRPr="003A60B2" w:rsidRDefault="007A09DC" w:rsidP="00EC73B3">
      <w:pPr>
        <w:tabs>
          <w:tab w:val="left" w:pos="284"/>
        </w:tabs>
        <w:jc w:val="both"/>
        <w:rPr>
          <w:sz w:val="22"/>
          <w:szCs w:val="22"/>
          <w:lang w:val="sr-Latn-ME"/>
        </w:rPr>
      </w:pPr>
    </w:p>
    <w:p w:rsidR="007A09DC" w:rsidRPr="003A60B2" w:rsidRDefault="007A09DC" w:rsidP="00EC73B3">
      <w:pPr>
        <w:tabs>
          <w:tab w:val="left" w:pos="284"/>
        </w:tabs>
        <w:jc w:val="both"/>
        <w:rPr>
          <w:sz w:val="22"/>
          <w:szCs w:val="22"/>
          <w:lang w:val="sr-Latn-ME"/>
        </w:rPr>
      </w:pPr>
      <w:r w:rsidRPr="003A60B2">
        <w:rPr>
          <w:sz w:val="22"/>
          <w:szCs w:val="22"/>
          <w:lang w:val="sr-Latn-ME" w:eastAsia="hr-HR"/>
        </w:rPr>
        <w:t>Povećana incidenca vrtoglavice i poremećaja ravnoteže zabilježena sa fampridinom može dovesti do povećanog rizika od pada. Stoga, pacijenti treba da koriste pomagala za hodanje ako im je to potrebno.</w:t>
      </w:r>
    </w:p>
    <w:p w:rsidR="007A09DC" w:rsidRPr="003A60B2" w:rsidRDefault="007A09DC" w:rsidP="00EC73B3">
      <w:pPr>
        <w:tabs>
          <w:tab w:val="left" w:pos="284"/>
        </w:tabs>
        <w:jc w:val="both"/>
        <w:rPr>
          <w:sz w:val="22"/>
          <w:szCs w:val="22"/>
          <w:lang w:val="sr-Latn-ME" w:eastAsia="hr-HR"/>
        </w:rPr>
      </w:pPr>
    </w:p>
    <w:p w:rsidR="007A09DC" w:rsidRPr="003A60B2" w:rsidRDefault="007A09DC" w:rsidP="00EC73B3">
      <w:pPr>
        <w:tabs>
          <w:tab w:val="left" w:pos="284"/>
        </w:tabs>
        <w:jc w:val="both"/>
        <w:rPr>
          <w:sz w:val="22"/>
          <w:szCs w:val="22"/>
          <w:lang w:val="sr-Latn-ME" w:eastAsia="hr-HR"/>
        </w:rPr>
      </w:pPr>
      <w:r w:rsidRPr="003A60B2">
        <w:rPr>
          <w:sz w:val="22"/>
          <w:szCs w:val="22"/>
          <w:lang w:val="sr-Latn-ME" w:eastAsia="hr-HR"/>
        </w:rPr>
        <w:t>U kliničkim studijama je zabilježen smanjen broj bijelih krvnih ćelija kod 2,1% pacijenta liječenih lijekom fampridinom u odnosu na 1,9% pacijenta koji su primali placebo. U kliničkim studijama su zabilježene infekcije (vidjeti dio 4.8) i ne može  se isključiti povećana stopa infekcija i oslabljen imuni odgovor.</w:t>
      </w:r>
    </w:p>
    <w:p w:rsidR="00057E35" w:rsidRPr="003A60B2" w:rsidRDefault="00057E35" w:rsidP="00EC73B3">
      <w:pPr>
        <w:tabs>
          <w:tab w:val="left" w:pos="540"/>
          <w:tab w:val="left" w:pos="569"/>
        </w:tabs>
        <w:jc w:val="both"/>
        <w:rPr>
          <w:bCs/>
          <w:sz w:val="22"/>
          <w:szCs w:val="22"/>
          <w:lang w:val="sr-Latn-ME"/>
        </w:rPr>
      </w:pPr>
    </w:p>
    <w:p w:rsidR="00411B4B" w:rsidRPr="003A60B2" w:rsidRDefault="00411B4B" w:rsidP="00EC73B3">
      <w:pPr>
        <w:tabs>
          <w:tab w:val="left" w:pos="540"/>
          <w:tab w:val="left" w:pos="569"/>
        </w:tabs>
        <w:jc w:val="both"/>
        <w:rPr>
          <w:b/>
          <w:bCs/>
          <w:sz w:val="22"/>
          <w:szCs w:val="22"/>
          <w:lang w:val="sr-Latn-ME"/>
        </w:rPr>
      </w:pPr>
      <w:r w:rsidRPr="003A60B2">
        <w:rPr>
          <w:b/>
          <w:bCs/>
          <w:sz w:val="22"/>
          <w:szCs w:val="22"/>
          <w:lang w:val="sr-Latn-ME"/>
        </w:rPr>
        <w:t>4.5.</w:t>
      </w:r>
      <w:r w:rsidR="007A09DC" w:rsidRPr="003A60B2">
        <w:rPr>
          <w:b/>
          <w:bCs/>
          <w:sz w:val="22"/>
          <w:szCs w:val="22"/>
          <w:lang w:val="sr-Latn-ME"/>
        </w:rPr>
        <w:tab/>
      </w:r>
      <w:r w:rsidRPr="003A60B2">
        <w:rPr>
          <w:b/>
          <w:bCs/>
          <w:sz w:val="22"/>
          <w:szCs w:val="22"/>
          <w:lang w:val="sr-Latn-ME"/>
        </w:rPr>
        <w:t>Interakcije sa drugim ljekovima i druge vrste interakcija</w:t>
      </w:r>
    </w:p>
    <w:p w:rsidR="00333AF1" w:rsidRPr="003A60B2" w:rsidRDefault="00333AF1" w:rsidP="00EC73B3">
      <w:pPr>
        <w:tabs>
          <w:tab w:val="left" w:pos="540"/>
          <w:tab w:val="left" w:pos="569"/>
        </w:tabs>
        <w:jc w:val="both"/>
        <w:rPr>
          <w:b/>
          <w:bCs/>
          <w:sz w:val="22"/>
          <w:szCs w:val="22"/>
          <w:lang w:val="sr-Latn-ME"/>
        </w:rPr>
      </w:pPr>
    </w:p>
    <w:p w:rsidR="00333AF1" w:rsidRPr="003A60B2" w:rsidRDefault="00333AF1" w:rsidP="00EC73B3">
      <w:pPr>
        <w:tabs>
          <w:tab w:val="left" w:pos="284"/>
        </w:tabs>
        <w:jc w:val="both"/>
        <w:rPr>
          <w:sz w:val="22"/>
          <w:szCs w:val="22"/>
          <w:lang w:val="sr-Latn-ME" w:eastAsia="hr-HR"/>
        </w:rPr>
      </w:pPr>
      <w:r w:rsidRPr="003A60B2">
        <w:rPr>
          <w:sz w:val="22"/>
          <w:szCs w:val="22"/>
          <w:lang w:val="sr-Latn-ME" w:eastAsia="hr-HR"/>
        </w:rPr>
        <w:t>Studije interakcija su sprovedene samo kod odraslih ispitanika.</w:t>
      </w:r>
    </w:p>
    <w:p w:rsidR="00333AF1" w:rsidRPr="003A60B2" w:rsidRDefault="00333AF1" w:rsidP="00EC73B3">
      <w:pPr>
        <w:tabs>
          <w:tab w:val="left" w:pos="284"/>
        </w:tabs>
        <w:jc w:val="both"/>
        <w:rPr>
          <w:sz w:val="22"/>
          <w:szCs w:val="22"/>
          <w:lang w:val="sr-Latn-ME"/>
        </w:rPr>
      </w:pPr>
    </w:p>
    <w:p w:rsidR="00333AF1" w:rsidRPr="003A60B2" w:rsidRDefault="00333AF1" w:rsidP="00EC73B3">
      <w:pPr>
        <w:tabs>
          <w:tab w:val="left" w:pos="284"/>
        </w:tabs>
        <w:jc w:val="both"/>
        <w:rPr>
          <w:sz w:val="22"/>
          <w:szCs w:val="22"/>
          <w:lang w:val="sr-Latn-ME" w:eastAsia="hr-HR"/>
        </w:rPr>
      </w:pPr>
      <w:r w:rsidRPr="003A60B2">
        <w:rPr>
          <w:sz w:val="22"/>
          <w:szCs w:val="22"/>
          <w:lang w:val="sr-Latn-ME" w:eastAsia="hr-HR"/>
        </w:rPr>
        <w:t>Istovremena terapija drugim ljekovima koji sadrže fampridin (4-aminopiridin) je kontraindikovana (vidjeti dio 4.3).</w:t>
      </w:r>
    </w:p>
    <w:p w:rsidR="00333AF1" w:rsidRPr="003A60B2" w:rsidRDefault="00333AF1" w:rsidP="00EC73B3">
      <w:pPr>
        <w:tabs>
          <w:tab w:val="left" w:pos="284"/>
        </w:tabs>
        <w:jc w:val="both"/>
        <w:rPr>
          <w:sz w:val="22"/>
          <w:szCs w:val="22"/>
          <w:lang w:val="sr-Latn-ME"/>
        </w:rPr>
      </w:pPr>
    </w:p>
    <w:p w:rsidR="00333AF1" w:rsidRPr="003A60B2" w:rsidRDefault="00333AF1" w:rsidP="00EC73B3">
      <w:pPr>
        <w:tabs>
          <w:tab w:val="left" w:pos="284"/>
        </w:tabs>
        <w:jc w:val="both"/>
        <w:rPr>
          <w:sz w:val="22"/>
          <w:szCs w:val="22"/>
          <w:lang w:val="sr-Latn-ME" w:eastAsia="hr-HR"/>
        </w:rPr>
      </w:pPr>
      <w:r w:rsidRPr="003A60B2">
        <w:rPr>
          <w:sz w:val="22"/>
          <w:szCs w:val="22"/>
          <w:lang w:val="sr-Latn-ME" w:eastAsia="hr-HR"/>
        </w:rPr>
        <w:t>Fampridin se uglavnom eliminiše putem bubrega, pri čemu na aktivnu bubrežnu sekreciju otpada oko 60% (vidjeti dio 5.2). OCT2 je transporter odgovoran za aktivnu sekreciju fampridina. Prema tome, istovremena primjena fampridina sa ljekovima koji su inhibitori OCT2, kao što je na primjer cimetidin, je kontraindikovana (vidjeti dio 4.3), a pri istovremenoj primjeni fampridina sa ljekovima koji su supstrati za OCT2, na primjer karvedilol, propranolol i metformin, treba biti oprezan (vidjeti dio 4.4.).</w:t>
      </w:r>
    </w:p>
    <w:p w:rsidR="00333AF1" w:rsidRPr="003A60B2" w:rsidRDefault="00333AF1" w:rsidP="00EC73B3">
      <w:pPr>
        <w:tabs>
          <w:tab w:val="left" w:pos="284"/>
        </w:tabs>
        <w:jc w:val="both"/>
        <w:rPr>
          <w:sz w:val="22"/>
          <w:szCs w:val="22"/>
          <w:lang w:val="sr-Latn-ME"/>
        </w:rPr>
      </w:pPr>
    </w:p>
    <w:p w:rsidR="00333AF1" w:rsidRPr="003A60B2" w:rsidRDefault="00333AF1" w:rsidP="00EC73B3">
      <w:pPr>
        <w:tabs>
          <w:tab w:val="left" w:pos="284"/>
        </w:tabs>
        <w:jc w:val="both"/>
        <w:rPr>
          <w:sz w:val="22"/>
          <w:szCs w:val="22"/>
          <w:lang w:val="sr-Latn-ME"/>
        </w:rPr>
      </w:pPr>
      <w:r w:rsidRPr="003A60B2">
        <w:rPr>
          <w:sz w:val="22"/>
          <w:szCs w:val="22"/>
          <w:u w:val="single"/>
          <w:lang w:val="sr-Latn-ME" w:eastAsia="hr-HR"/>
        </w:rPr>
        <w:t>Interferon:</w:t>
      </w:r>
      <w:r w:rsidRPr="003A60B2">
        <w:rPr>
          <w:sz w:val="22"/>
          <w:szCs w:val="22"/>
          <w:lang w:val="sr-Latn-ME" w:eastAsia="hr-HR"/>
        </w:rPr>
        <w:t xml:space="preserve"> tokom istovremene primjene fampridina i beta-interferona ni</w:t>
      </w:r>
      <w:r w:rsidR="00EC73B3" w:rsidRPr="003A60B2">
        <w:rPr>
          <w:sz w:val="22"/>
          <w:szCs w:val="22"/>
          <w:lang w:val="sr-Latn-ME" w:eastAsia="hr-HR"/>
        </w:rPr>
        <w:t>je</w:t>
      </w:r>
      <w:r w:rsidRPr="003A60B2">
        <w:rPr>
          <w:sz w:val="22"/>
          <w:szCs w:val="22"/>
          <w:lang w:val="sr-Latn-ME" w:eastAsia="hr-HR"/>
        </w:rPr>
        <w:t>su zabilježene farmakokinetičke interakcije ljekova.</w:t>
      </w:r>
    </w:p>
    <w:p w:rsidR="00333AF1" w:rsidRPr="003A60B2" w:rsidRDefault="00333AF1" w:rsidP="00EC73B3">
      <w:pPr>
        <w:tabs>
          <w:tab w:val="left" w:pos="284"/>
        </w:tabs>
        <w:jc w:val="both"/>
        <w:rPr>
          <w:sz w:val="22"/>
          <w:szCs w:val="22"/>
          <w:u w:val="single"/>
          <w:lang w:val="sr-Latn-ME" w:eastAsia="hr-HR"/>
        </w:rPr>
      </w:pPr>
    </w:p>
    <w:p w:rsidR="00333AF1" w:rsidRPr="003A60B2" w:rsidRDefault="00333AF1" w:rsidP="00EC73B3">
      <w:pPr>
        <w:tabs>
          <w:tab w:val="left" w:pos="284"/>
        </w:tabs>
        <w:jc w:val="both"/>
        <w:rPr>
          <w:sz w:val="22"/>
          <w:szCs w:val="22"/>
          <w:lang w:val="sr-Latn-ME"/>
        </w:rPr>
      </w:pPr>
      <w:r w:rsidRPr="003A60B2">
        <w:rPr>
          <w:sz w:val="22"/>
          <w:szCs w:val="22"/>
          <w:u w:val="single"/>
          <w:lang w:val="sr-Latn-ME" w:eastAsia="hr-HR"/>
        </w:rPr>
        <w:t>Baklofen:</w:t>
      </w:r>
      <w:r w:rsidRPr="003A60B2">
        <w:rPr>
          <w:sz w:val="22"/>
          <w:szCs w:val="22"/>
          <w:lang w:val="sr-Latn-ME" w:eastAsia="hr-HR"/>
        </w:rPr>
        <w:t xml:space="preserve"> tokom istovremene primjene fampridina i baklofena ni</w:t>
      </w:r>
      <w:r w:rsidR="00EC73B3" w:rsidRPr="003A60B2">
        <w:rPr>
          <w:sz w:val="22"/>
          <w:szCs w:val="22"/>
          <w:lang w:val="sr-Latn-ME" w:eastAsia="hr-HR"/>
        </w:rPr>
        <w:t>je</w:t>
      </w:r>
      <w:r w:rsidRPr="003A60B2">
        <w:rPr>
          <w:sz w:val="22"/>
          <w:szCs w:val="22"/>
          <w:lang w:val="sr-Latn-ME" w:eastAsia="hr-HR"/>
        </w:rPr>
        <w:t>su zabilježene farmakokinetičke interakcije ljekova.</w:t>
      </w:r>
    </w:p>
    <w:p w:rsidR="0072020E" w:rsidRPr="003A60B2" w:rsidRDefault="0072020E" w:rsidP="00EC73B3">
      <w:pPr>
        <w:tabs>
          <w:tab w:val="left" w:pos="540"/>
          <w:tab w:val="left" w:pos="569"/>
        </w:tabs>
        <w:jc w:val="both"/>
        <w:rPr>
          <w:bCs/>
          <w:sz w:val="22"/>
          <w:szCs w:val="22"/>
          <w:lang w:val="sr-Latn-ME"/>
        </w:rPr>
      </w:pPr>
    </w:p>
    <w:p w:rsidR="0072020E" w:rsidRPr="003A60B2" w:rsidRDefault="0072020E" w:rsidP="00EC73B3">
      <w:pPr>
        <w:tabs>
          <w:tab w:val="left" w:pos="540"/>
          <w:tab w:val="left" w:pos="569"/>
        </w:tabs>
        <w:jc w:val="both"/>
        <w:rPr>
          <w:b/>
          <w:sz w:val="22"/>
          <w:szCs w:val="22"/>
          <w:lang w:val="sr-Latn-ME"/>
        </w:rPr>
      </w:pPr>
      <w:r w:rsidRPr="003A60B2">
        <w:rPr>
          <w:b/>
          <w:bCs/>
          <w:sz w:val="22"/>
          <w:szCs w:val="22"/>
          <w:lang w:val="sr-Latn-ME"/>
        </w:rPr>
        <w:t xml:space="preserve">4.6. </w:t>
      </w:r>
      <w:r w:rsidR="00480FB1" w:rsidRPr="003A60B2">
        <w:rPr>
          <w:b/>
          <w:bCs/>
          <w:sz w:val="22"/>
          <w:szCs w:val="22"/>
          <w:lang w:val="sr-Latn-ME"/>
        </w:rPr>
        <w:tab/>
      </w:r>
      <w:r w:rsidR="006D20A5" w:rsidRPr="003A60B2">
        <w:rPr>
          <w:b/>
          <w:sz w:val="22"/>
          <w:szCs w:val="22"/>
          <w:lang w:val="sr-Latn-ME"/>
        </w:rPr>
        <w:t>Plodnost, trudnoća i dojenje</w:t>
      </w:r>
    </w:p>
    <w:p w:rsidR="002031B3" w:rsidRPr="003A60B2" w:rsidRDefault="002031B3" w:rsidP="00EC73B3">
      <w:pPr>
        <w:tabs>
          <w:tab w:val="left" w:pos="540"/>
          <w:tab w:val="left" w:pos="569"/>
        </w:tabs>
        <w:jc w:val="both"/>
        <w:rPr>
          <w:sz w:val="22"/>
          <w:szCs w:val="22"/>
          <w:u w:val="single"/>
          <w:lang w:val="sr-Latn-ME"/>
        </w:rPr>
      </w:pPr>
    </w:p>
    <w:p w:rsidR="00333AF1" w:rsidRPr="003A60B2" w:rsidRDefault="00333AF1" w:rsidP="00EC73B3">
      <w:pPr>
        <w:tabs>
          <w:tab w:val="left" w:pos="284"/>
        </w:tabs>
        <w:jc w:val="both"/>
        <w:rPr>
          <w:sz w:val="22"/>
          <w:szCs w:val="22"/>
          <w:lang w:val="sr-Latn-ME"/>
        </w:rPr>
      </w:pPr>
      <w:r w:rsidRPr="003A60B2">
        <w:rPr>
          <w:sz w:val="22"/>
          <w:szCs w:val="22"/>
          <w:u w:val="single"/>
          <w:lang w:val="sr-Latn-ME" w:eastAsia="hr-HR"/>
        </w:rPr>
        <w:t>Trudnoća</w:t>
      </w:r>
    </w:p>
    <w:p w:rsidR="00333AF1" w:rsidRPr="003A60B2" w:rsidRDefault="00333AF1" w:rsidP="00EC73B3">
      <w:pPr>
        <w:tabs>
          <w:tab w:val="left" w:pos="284"/>
        </w:tabs>
        <w:jc w:val="both"/>
        <w:rPr>
          <w:sz w:val="22"/>
          <w:szCs w:val="22"/>
          <w:lang w:val="sr-Latn-ME"/>
        </w:rPr>
      </w:pPr>
      <w:r w:rsidRPr="003A60B2">
        <w:rPr>
          <w:sz w:val="22"/>
          <w:szCs w:val="22"/>
          <w:lang w:val="sr-Latn-ME" w:eastAsia="hr-HR"/>
        </w:rPr>
        <w:t>Podaci o primjeni fampridina kod trudnica su ograničeni.</w:t>
      </w:r>
    </w:p>
    <w:p w:rsidR="00333AF1" w:rsidRPr="003A60B2" w:rsidRDefault="00333AF1" w:rsidP="00EC73B3">
      <w:pPr>
        <w:tabs>
          <w:tab w:val="left" w:pos="284"/>
        </w:tabs>
        <w:jc w:val="both"/>
        <w:rPr>
          <w:sz w:val="22"/>
          <w:szCs w:val="22"/>
          <w:lang w:val="sr-Latn-ME"/>
        </w:rPr>
      </w:pPr>
      <w:r w:rsidRPr="003A60B2">
        <w:rPr>
          <w:sz w:val="22"/>
          <w:szCs w:val="22"/>
          <w:lang w:val="sr-Latn-ME" w:eastAsia="hr-HR"/>
        </w:rPr>
        <w:t>Studije na životinjama su pokazale reproduktivnu toksičnost (vidjeti dio 5.3). Radi predostrožnosti, poželjno je da se fampridin izbjegava tokom trudnoće, ako je to moguće.</w:t>
      </w:r>
    </w:p>
    <w:p w:rsidR="00333AF1" w:rsidRPr="003A60B2" w:rsidRDefault="00333AF1" w:rsidP="00EC73B3">
      <w:pPr>
        <w:tabs>
          <w:tab w:val="left" w:pos="284"/>
        </w:tabs>
        <w:jc w:val="both"/>
        <w:rPr>
          <w:sz w:val="22"/>
          <w:szCs w:val="22"/>
          <w:u w:val="single"/>
          <w:lang w:val="sr-Latn-ME" w:eastAsia="hr-HR"/>
        </w:rPr>
      </w:pPr>
    </w:p>
    <w:p w:rsidR="00333AF1" w:rsidRPr="003A60B2" w:rsidRDefault="00333AF1" w:rsidP="00EC73B3">
      <w:pPr>
        <w:tabs>
          <w:tab w:val="left" w:pos="284"/>
        </w:tabs>
        <w:jc w:val="both"/>
        <w:rPr>
          <w:sz w:val="22"/>
          <w:szCs w:val="22"/>
          <w:lang w:val="sr-Latn-ME"/>
        </w:rPr>
      </w:pPr>
      <w:r w:rsidRPr="003A60B2">
        <w:rPr>
          <w:sz w:val="22"/>
          <w:szCs w:val="22"/>
          <w:u w:val="single"/>
          <w:lang w:val="sr-Latn-ME" w:eastAsia="hr-HR"/>
        </w:rPr>
        <w:t>Dojenje</w:t>
      </w:r>
    </w:p>
    <w:p w:rsidR="00333AF1" w:rsidRPr="003A60B2" w:rsidRDefault="00333AF1" w:rsidP="00EC73B3">
      <w:pPr>
        <w:tabs>
          <w:tab w:val="left" w:pos="284"/>
        </w:tabs>
        <w:jc w:val="both"/>
        <w:rPr>
          <w:sz w:val="22"/>
          <w:szCs w:val="22"/>
          <w:lang w:val="sr-Latn-ME"/>
        </w:rPr>
      </w:pPr>
      <w:r w:rsidRPr="003A60B2">
        <w:rPr>
          <w:sz w:val="22"/>
          <w:szCs w:val="22"/>
          <w:lang w:val="sr-Latn-ME" w:eastAsia="hr-HR"/>
        </w:rPr>
        <w:t>Nije poznato da li se fampridin izlučuje u majčino mlijeko kod ljudi ili životinja. Tokom dojenja se ne preporučuje upotreba fampridina.</w:t>
      </w:r>
    </w:p>
    <w:p w:rsidR="00333AF1" w:rsidRPr="003A60B2" w:rsidRDefault="00333AF1" w:rsidP="00EC73B3">
      <w:pPr>
        <w:tabs>
          <w:tab w:val="left" w:pos="284"/>
        </w:tabs>
        <w:jc w:val="both"/>
        <w:rPr>
          <w:sz w:val="22"/>
          <w:szCs w:val="22"/>
          <w:lang w:val="sr-Latn-ME"/>
        </w:rPr>
      </w:pPr>
      <w:r w:rsidRPr="003A60B2">
        <w:rPr>
          <w:sz w:val="22"/>
          <w:szCs w:val="22"/>
          <w:u w:val="single"/>
          <w:lang w:val="sr-Latn-ME" w:eastAsia="hr-HR"/>
        </w:rPr>
        <w:lastRenderedPageBreak/>
        <w:t>Plodnost</w:t>
      </w:r>
    </w:p>
    <w:p w:rsidR="00333AF1" w:rsidRPr="003A60B2" w:rsidRDefault="00333AF1" w:rsidP="00EC73B3">
      <w:pPr>
        <w:tabs>
          <w:tab w:val="left" w:pos="284"/>
        </w:tabs>
        <w:jc w:val="both"/>
        <w:rPr>
          <w:sz w:val="22"/>
          <w:szCs w:val="22"/>
          <w:lang w:val="sr-Latn-ME"/>
        </w:rPr>
      </w:pPr>
      <w:r w:rsidRPr="003A60B2">
        <w:rPr>
          <w:sz w:val="22"/>
          <w:szCs w:val="22"/>
          <w:lang w:val="sr-Latn-ME" w:eastAsia="hr-HR"/>
        </w:rPr>
        <w:t>U studijama na životinjama ni</w:t>
      </w:r>
      <w:r w:rsidR="00EC73B3" w:rsidRPr="003A60B2">
        <w:rPr>
          <w:sz w:val="22"/>
          <w:szCs w:val="22"/>
          <w:lang w:val="sr-Latn-ME" w:eastAsia="hr-HR"/>
        </w:rPr>
        <w:t>je</w:t>
      </w:r>
      <w:r w:rsidRPr="003A60B2">
        <w:rPr>
          <w:sz w:val="22"/>
          <w:szCs w:val="22"/>
          <w:lang w:val="sr-Latn-ME" w:eastAsia="hr-HR"/>
        </w:rPr>
        <w:t>su zabilježena bilo kakva dejstva na plodnost.</w:t>
      </w:r>
    </w:p>
    <w:p w:rsidR="00227BDB" w:rsidRPr="003A60B2" w:rsidRDefault="00227BDB" w:rsidP="00EC73B3">
      <w:pPr>
        <w:tabs>
          <w:tab w:val="left" w:pos="540"/>
          <w:tab w:val="left" w:pos="569"/>
        </w:tabs>
        <w:ind w:left="540" w:hanging="540"/>
        <w:jc w:val="both"/>
        <w:rPr>
          <w:b/>
          <w:bCs/>
          <w:sz w:val="22"/>
          <w:szCs w:val="22"/>
          <w:lang w:val="sr-Latn-ME"/>
        </w:rPr>
      </w:pPr>
    </w:p>
    <w:p w:rsidR="0072020E" w:rsidRPr="003A60B2" w:rsidRDefault="0072020E" w:rsidP="00EC73B3">
      <w:pPr>
        <w:tabs>
          <w:tab w:val="left" w:pos="540"/>
          <w:tab w:val="left" w:pos="569"/>
        </w:tabs>
        <w:ind w:left="540" w:hanging="540"/>
        <w:jc w:val="both"/>
        <w:rPr>
          <w:b/>
          <w:bCs/>
          <w:sz w:val="22"/>
          <w:szCs w:val="22"/>
          <w:lang w:val="sr-Latn-ME"/>
        </w:rPr>
      </w:pPr>
      <w:r w:rsidRPr="003A60B2">
        <w:rPr>
          <w:b/>
          <w:bCs/>
          <w:sz w:val="22"/>
          <w:szCs w:val="22"/>
          <w:lang w:val="sr-Latn-ME"/>
        </w:rPr>
        <w:t xml:space="preserve">4.7. </w:t>
      </w:r>
      <w:r w:rsidR="00480FB1" w:rsidRPr="003A60B2">
        <w:rPr>
          <w:b/>
          <w:bCs/>
          <w:sz w:val="22"/>
          <w:szCs w:val="22"/>
          <w:lang w:val="sr-Latn-ME"/>
        </w:rPr>
        <w:tab/>
      </w:r>
      <w:r w:rsidRPr="003A60B2">
        <w:rPr>
          <w:b/>
          <w:bCs/>
          <w:sz w:val="22"/>
          <w:szCs w:val="22"/>
          <w:lang w:val="sr-Latn-ME"/>
        </w:rPr>
        <w:t xml:space="preserve">Uticaj na </w:t>
      </w:r>
      <w:r w:rsidR="002031B3" w:rsidRPr="003A60B2">
        <w:rPr>
          <w:b/>
          <w:bCs/>
          <w:sz w:val="22"/>
          <w:szCs w:val="22"/>
          <w:lang w:val="sr-Latn-ME"/>
        </w:rPr>
        <w:t xml:space="preserve">sposobnost </w:t>
      </w:r>
      <w:r w:rsidR="00F34554" w:rsidRPr="003A60B2">
        <w:rPr>
          <w:b/>
          <w:bCs/>
          <w:sz w:val="22"/>
          <w:szCs w:val="22"/>
          <w:lang w:val="sr-Latn-ME"/>
        </w:rPr>
        <w:t>upravljanja vozili</w:t>
      </w:r>
      <w:r w:rsidRPr="003A60B2">
        <w:rPr>
          <w:b/>
          <w:bCs/>
          <w:sz w:val="22"/>
          <w:szCs w:val="22"/>
          <w:lang w:val="sr-Latn-ME"/>
        </w:rPr>
        <w:t>m</w:t>
      </w:r>
      <w:r w:rsidR="00F34554" w:rsidRPr="003A60B2">
        <w:rPr>
          <w:b/>
          <w:bCs/>
          <w:sz w:val="22"/>
          <w:szCs w:val="22"/>
          <w:lang w:val="sr-Latn-ME"/>
        </w:rPr>
        <w:t>a</w:t>
      </w:r>
      <w:r w:rsidRPr="003A60B2">
        <w:rPr>
          <w:b/>
          <w:bCs/>
          <w:sz w:val="22"/>
          <w:szCs w:val="22"/>
          <w:lang w:val="sr-Latn-ME"/>
        </w:rPr>
        <w:t xml:space="preserve"> i </w:t>
      </w:r>
      <w:r w:rsidR="000D3449" w:rsidRPr="003A60B2">
        <w:rPr>
          <w:b/>
          <w:bCs/>
          <w:sz w:val="22"/>
          <w:szCs w:val="22"/>
          <w:lang w:val="sr-Latn-ME"/>
        </w:rPr>
        <w:t xml:space="preserve">rukovanje </w:t>
      </w:r>
      <w:r w:rsidRPr="003A60B2">
        <w:rPr>
          <w:b/>
          <w:bCs/>
          <w:sz w:val="22"/>
          <w:szCs w:val="22"/>
          <w:lang w:val="sr-Latn-ME"/>
        </w:rPr>
        <w:t>mašinama</w:t>
      </w:r>
    </w:p>
    <w:p w:rsidR="00333AF1" w:rsidRPr="003A60B2" w:rsidRDefault="00333AF1" w:rsidP="00EC73B3">
      <w:pPr>
        <w:tabs>
          <w:tab w:val="left" w:pos="540"/>
          <w:tab w:val="left" w:pos="569"/>
        </w:tabs>
        <w:ind w:left="540" w:hanging="540"/>
        <w:jc w:val="both"/>
        <w:rPr>
          <w:b/>
          <w:bCs/>
          <w:sz w:val="22"/>
          <w:szCs w:val="22"/>
          <w:lang w:val="sr-Latn-ME"/>
        </w:rPr>
      </w:pPr>
    </w:p>
    <w:p w:rsidR="00333AF1" w:rsidRPr="003A60B2" w:rsidRDefault="00333AF1" w:rsidP="00EC73B3">
      <w:pPr>
        <w:tabs>
          <w:tab w:val="left" w:pos="284"/>
        </w:tabs>
        <w:jc w:val="both"/>
        <w:rPr>
          <w:sz w:val="22"/>
          <w:szCs w:val="22"/>
          <w:lang w:val="sr-Latn-ME"/>
        </w:rPr>
      </w:pPr>
      <w:r w:rsidRPr="003A60B2">
        <w:rPr>
          <w:sz w:val="22"/>
          <w:szCs w:val="22"/>
          <w:lang w:val="sr-Latn-ME" w:eastAsia="hr-HR"/>
        </w:rPr>
        <w:t>Fampridin može da izazove vrtoglavicu pa ima umjeren uticaj na sposobnost upravljanja vozilima i rukovanja mašinama.</w:t>
      </w:r>
    </w:p>
    <w:p w:rsidR="0072020E" w:rsidRPr="003A60B2" w:rsidRDefault="0072020E" w:rsidP="00EC73B3">
      <w:pPr>
        <w:tabs>
          <w:tab w:val="left" w:pos="540"/>
          <w:tab w:val="left" w:pos="569"/>
        </w:tabs>
        <w:jc w:val="both"/>
        <w:rPr>
          <w:b/>
          <w:bCs/>
          <w:sz w:val="22"/>
          <w:szCs w:val="22"/>
          <w:lang w:val="sr-Latn-ME"/>
        </w:rPr>
      </w:pPr>
    </w:p>
    <w:p w:rsidR="0072020E" w:rsidRPr="003A60B2" w:rsidRDefault="0072020E" w:rsidP="00EC73B3">
      <w:pPr>
        <w:tabs>
          <w:tab w:val="left" w:pos="540"/>
          <w:tab w:val="left" w:pos="569"/>
        </w:tabs>
        <w:jc w:val="both"/>
        <w:rPr>
          <w:b/>
          <w:bCs/>
          <w:sz w:val="22"/>
          <w:szCs w:val="22"/>
          <w:lang w:val="sr-Latn-ME"/>
        </w:rPr>
      </w:pPr>
      <w:r w:rsidRPr="003A60B2">
        <w:rPr>
          <w:b/>
          <w:bCs/>
          <w:sz w:val="22"/>
          <w:szCs w:val="22"/>
          <w:lang w:val="sr-Latn-ME"/>
        </w:rPr>
        <w:t xml:space="preserve">4.8. </w:t>
      </w:r>
      <w:r w:rsidR="00480FB1" w:rsidRPr="003A60B2">
        <w:rPr>
          <w:b/>
          <w:bCs/>
          <w:sz w:val="22"/>
          <w:szCs w:val="22"/>
          <w:lang w:val="sr-Latn-ME"/>
        </w:rPr>
        <w:tab/>
      </w:r>
      <w:r w:rsidRPr="003A60B2">
        <w:rPr>
          <w:b/>
          <w:bCs/>
          <w:sz w:val="22"/>
          <w:szCs w:val="22"/>
          <w:lang w:val="sr-Latn-ME"/>
        </w:rPr>
        <w:t>Neželjena dejstva</w:t>
      </w:r>
    </w:p>
    <w:p w:rsidR="00333AF1" w:rsidRPr="003A60B2" w:rsidRDefault="00333AF1" w:rsidP="00EC73B3">
      <w:pPr>
        <w:tabs>
          <w:tab w:val="left" w:pos="540"/>
          <w:tab w:val="left" w:pos="569"/>
        </w:tabs>
        <w:jc w:val="both"/>
        <w:rPr>
          <w:b/>
          <w:bCs/>
          <w:sz w:val="22"/>
          <w:szCs w:val="22"/>
          <w:lang w:val="sr-Latn-ME"/>
        </w:rPr>
      </w:pPr>
    </w:p>
    <w:p w:rsidR="00333AF1" w:rsidRPr="003A60B2" w:rsidRDefault="00333AF1" w:rsidP="00EC73B3">
      <w:pPr>
        <w:tabs>
          <w:tab w:val="left" w:pos="284"/>
        </w:tabs>
        <w:jc w:val="both"/>
        <w:rPr>
          <w:sz w:val="22"/>
          <w:szCs w:val="22"/>
          <w:lang w:val="sr-Latn-ME"/>
        </w:rPr>
      </w:pPr>
      <w:r w:rsidRPr="003A60B2">
        <w:rPr>
          <w:sz w:val="22"/>
          <w:szCs w:val="22"/>
          <w:lang w:val="sr-Latn-ME" w:eastAsia="hr-HR"/>
        </w:rPr>
        <w:t>Bezbjednost fampridina je procjenjivana u randomizovanim kontrolisanim kliničkim studijama, u otvorenim dugoročnim studijama kao i tokom postmarketinškog perioda.</w:t>
      </w:r>
    </w:p>
    <w:p w:rsidR="00333AF1" w:rsidRPr="003A60B2" w:rsidRDefault="00333AF1" w:rsidP="00EC73B3">
      <w:pPr>
        <w:tabs>
          <w:tab w:val="left" w:pos="284"/>
        </w:tabs>
        <w:jc w:val="both"/>
        <w:rPr>
          <w:sz w:val="22"/>
          <w:szCs w:val="22"/>
          <w:lang w:val="sr-Latn-ME" w:eastAsia="hr-HR"/>
        </w:rPr>
      </w:pPr>
    </w:p>
    <w:p w:rsidR="00333AF1" w:rsidRPr="003A60B2" w:rsidRDefault="00333AF1" w:rsidP="00EC73B3">
      <w:pPr>
        <w:tabs>
          <w:tab w:val="left" w:pos="284"/>
        </w:tabs>
        <w:jc w:val="both"/>
        <w:rPr>
          <w:sz w:val="22"/>
          <w:szCs w:val="22"/>
          <w:lang w:val="sr-Latn-ME"/>
        </w:rPr>
      </w:pPr>
      <w:r w:rsidRPr="003A60B2">
        <w:rPr>
          <w:sz w:val="22"/>
          <w:szCs w:val="22"/>
          <w:lang w:val="sr-Latn-ME" w:eastAsia="hr-HR"/>
        </w:rPr>
        <w:t>Identifikovane neželjene reakcije su uglavnom neurološke i uključuju konvulzije, nesanicu, anksioznost, poremećaj ravnoteže, vrtoglavicu, paresteziju, tremor, glavobolju i asteniju. To je u skladu sa farmakološkom aktivnošću fampridina. Neželjene reakcije sa najvećom incidencom utvrđene tokom placebom kontrolisanih studija kod pacijenata sa multiplom sklerozom koji su dobijali fampridin u preporučenoj su infekcije urinarnog trakta (kod otprilike 12% pacijenta).</w:t>
      </w:r>
    </w:p>
    <w:p w:rsidR="00333AF1" w:rsidRPr="003A60B2" w:rsidRDefault="00333AF1" w:rsidP="00EC73B3">
      <w:pPr>
        <w:tabs>
          <w:tab w:val="left" w:pos="284"/>
        </w:tabs>
        <w:jc w:val="both"/>
        <w:rPr>
          <w:sz w:val="22"/>
          <w:szCs w:val="22"/>
          <w:lang w:val="sr-Latn-ME" w:eastAsia="hr-HR"/>
        </w:rPr>
      </w:pPr>
    </w:p>
    <w:p w:rsidR="00333AF1" w:rsidRPr="003A60B2" w:rsidRDefault="00333AF1" w:rsidP="00EC73B3">
      <w:pPr>
        <w:tabs>
          <w:tab w:val="left" w:pos="284"/>
        </w:tabs>
        <w:jc w:val="both"/>
        <w:rPr>
          <w:sz w:val="22"/>
          <w:szCs w:val="22"/>
          <w:lang w:val="sr-Latn-ME"/>
        </w:rPr>
      </w:pPr>
      <w:r w:rsidRPr="003A60B2">
        <w:rPr>
          <w:sz w:val="22"/>
          <w:szCs w:val="22"/>
          <w:lang w:val="sr-Latn-ME" w:eastAsia="hr-HR"/>
        </w:rPr>
        <w:t>Niže su prikazane neželjene reakcije prema klasama sistema organa i apsolutnoj učestalosti. Učestalosti su definisane kao: veoma često (&gt;1/10); često (&gt;1/100 do &lt;1/10); povremeno (&gt;1/1000 do &lt;1/100); rijetko (&gt;1/10 000 do &lt;1/1000); veoma rijetko (&lt;1/10 000); nepoznato (ne može se procijeniti iz dostupnih podataka).</w:t>
      </w:r>
    </w:p>
    <w:p w:rsidR="00333AF1" w:rsidRPr="003A60B2" w:rsidRDefault="00333AF1" w:rsidP="00EC73B3">
      <w:pPr>
        <w:tabs>
          <w:tab w:val="left" w:pos="284"/>
        </w:tabs>
        <w:jc w:val="both"/>
        <w:rPr>
          <w:sz w:val="22"/>
          <w:szCs w:val="22"/>
          <w:lang w:val="sr-Latn-ME" w:eastAsia="hr-HR"/>
        </w:rPr>
      </w:pPr>
    </w:p>
    <w:p w:rsidR="009B2BFC" w:rsidRDefault="00333AF1" w:rsidP="00EC73B3">
      <w:pPr>
        <w:tabs>
          <w:tab w:val="left" w:pos="284"/>
        </w:tabs>
        <w:jc w:val="both"/>
        <w:rPr>
          <w:sz w:val="22"/>
          <w:szCs w:val="22"/>
          <w:lang w:val="sr-Latn-ME" w:eastAsia="hr-HR"/>
        </w:rPr>
      </w:pPr>
      <w:r w:rsidRPr="003A60B2">
        <w:rPr>
          <w:sz w:val="22"/>
          <w:szCs w:val="22"/>
          <w:lang w:val="sr-Latn-ME" w:eastAsia="hr-HR"/>
        </w:rPr>
        <w:t>U</w:t>
      </w:r>
      <w:r w:rsidRPr="003A60B2">
        <w:rPr>
          <w:sz w:val="22"/>
          <w:szCs w:val="22"/>
          <w:lang w:val="sr-Latn-ME"/>
        </w:rPr>
        <w:t xml:space="preserve"> okviru svake grupe </w:t>
      </w:r>
      <w:r w:rsidRPr="003A60B2">
        <w:rPr>
          <w:sz w:val="22"/>
          <w:szCs w:val="22"/>
          <w:lang w:val="sr-Latn-ME" w:eastAsia="hr-HR"/>
        </w:rPr>
        <w:t>učestalosti, neželjene reakcije su prikazane prema opadajućem stepenu ozbiljnosti (od ozbiljnih ka manje ozbiljnim).</w:t>
      </w:r>
    </w:p>
    <w:p w:rsidR="009B2BFC" w:rsidRPr="003A60B2" w:rsidRDefault="009B2BFC" w:rsidP="00EC73B3">
      <w:pPr>
        <w:tabs>
          <w:tab w:val="left" w:pos="284"/>
        </w:tabs>
        <w:jc w:val="both"/>
        <w:rPr>
          <w:sz w:val="22"/>
          <w:szCs w:val="22"/>
          <w:lang w:val="sr-Latn-ME" w:eastAsia="hr-HR"/>
        </w:rPr>
      </w:pPr>
    </w:p>
    <w:tbl>
      <w:tblPr>
        <w:tblW w:w="9209" w:type="dxa"/>
        <w:jc w:val="center"/>
        <w:tblLayout w:type="fixed"/>
        <w:tblCellMar>
          <w:left w:w="0" w:type="dxa"/>
          <w:right w:w="0" w:type="dxa"/>
        </w:tblCellMar>
        <w:tblLook w:val="0000" w:firstRow="0" w:lastRow="0" w:firstColumn="0" w:lastColumn="0" w:noHBand="0" w:noVBand="0"/>
      </w:tblPr>
      <w:tblGrid>
        <w:gridCol w:w="3221"/>
        <w:gridCol w:w="3038"/>
        <w:gridCol w:w="2950"/>
      </w:tblGrid>
      <w:tr w:rsidR="00AE5E49" w:rsidRPr="003A60B2" w:rsidTr="00AE5E49">
        <w:trPr>
          <w:trHeight w:val="533"/>
          <w:jc w:val="center"/>
        </w:trPr>
        <w:tc>
          <w:tcPr>
            <w:tcW w:w="3221"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b/>
                <w:sz w:val="22"/>
                <w:szCs w:val="22"/>
                <w:lang w:val="sr-Latn-ME"/>
              </w:rPr>
            </w:pPr>
            <w:r w:rsidRPr="003A60B2">
              <w:rPr>
                <w:b/>
                <w:sz w:val="22"/>
                <w:szCs w:val="22"/>
                <w:lang w:val="sr-Latn-ME" w:eastAsia="hr-HR"/>
              </w:rPr>
              <w:t>MedDRA klasifikacija sistema organa</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b/>
                <w:sz w:val="22"/>
                <w:szCs w:val="22"/>
                <w:lang w:val="sr-Latn-ME"/>
              </w:rPr>
            </w:pPr>
            <w:r w:rsidRPr="003A60B2">
              <w:rPr>
                <w:b/>
                <w:sz w:val="22"/>
                <w:szCs w:val="22"/>
                <w:lang w:val="sr-Latn-ME" w:eastAsia="hr-HR"/>
              </w:rPr>
              <w:t>Neželjena reakcija</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b/>
                <w:sz w:val="22"/>
                <w:szCs w:val="22"/>
                <w:lang w:val="sr-Latn-ME"/>
              </w:rPr>
            </w:pPr>
            <w:r w:rsidRPr="003A60B2">
              <w:rPr>
                <w:b/>
                <w:sz w:val="22"/>
                <w:szCs w:val="22"/>
                <w:lang w:val="sr-Latn-ME" w:eastAsia="hr-HR"/>
              </w:rPr>
              <w:t>Kategorija učestalosti</w:t>
            </w:r>
          </w:p>
        </w:tc>
      </w:tr>
      <w:tr w:rsidR="00AE5E49" w:rsidRPr="003A60B2" w:rsidTr="00AE5E49">
        <w:trPr>
          <w:trHeight w:val="412"/>
          <w:jc w:val="center"/>
        </w:trPr>
        <w:tc>
          <w:tcPr>
            <w:tcW w:w="3221" w:type="dxa"/>
            <w:vMerge w:val="restart"/>
            <w:tcBorders>
              <w:top w:val="single" w:sz="4" w:space="0" w:color="auto"/>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Infekcije i infestacije</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Infekcija urinarnog trakta</w:t>
            </w:r>
            <w:r w:rsidRPr="003A60B2">
              <w:rPr>
                <w:sz w:val="22"/>
                <w:szCs w:val="22"/>
                <w:vertAlign w:val="superscript"/>
                <w:lang w:val="sr-Latn-ME" w:eastAsia="hr-HR"/>
              </w:rPr>
              <w:t xml:space="preserve">1 </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 xml:space="preserve">Veoma često </w:t>
            </w:r>
          </w:p>
        </w:tc>
      </w:tr>
      <w:tr w:rsidR="00AE5E49" w:rsidRPr="003A60B2" w:rsidTr="00AE5E49">
        <w:trPr>
          <w:trHeight w:val="263"/>
          <w:jc w:val="center"/>
        </w:trPr>
        <w:tc>
          <w:tcPr>
            <w:tcW w:w="3221" w:type="dxa"/>
            <w:vMerge/>
            <w:tcBorders>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Influenca</w:t>
            </w:r>
            <w:r w:rsidRPr="003A60B2">
              <w:rPr>
                <w:sz w:val="22"/>
                <w:szCs w:val="22"/>
                <w:vertAlign w:val="superscript"/>
                <w:lang w:val="sr-Latn-ME" w:eastAsia="hr-HR"/>
              </w:rPr>
              <w:t>1</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 xml:space="preserve">Često </w:t>
            </w:r>
          </w:p>
        </w:tc>
      </w:tr>
      <w:tr w:rsidR="00AE5E49" w:rsidRPr="003A60B2" w:rsidTr="00AE5E49">
        <w:trPr>
          <w:trHeight w:val="355"/>
          <w:jc w:val="center"/>
        </w:trPr>
        <w:tc>
          <w:tcPr>
            <w:tcW w:w="3221" w:type="dxa"/>
            <w:vMerge/>
            <w:tcBorders>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Nazofaringitis</w:t>
            </w:r>
            <w:r w:rsidRPr="003A60B2">
              <w:rPr>
                <w:sz w:val="22"/>
                <w:szCs w:val="22"/>
                <w:vertAlign w:val="superscript"/>
                <w:lang w:val="sr-Latn-ME" w:eastAsia="hr-HR"/>
              </w:rPr>
              <w:t>1</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 xml:space="preserve">Često </w:t>
            </w:r>
          </w:p>
        </w:tc>
      </w:tr>
      <w:tr w:rsidR="00AE5E49" w:rsidRPr="003A60B2" w:rsidTr="00AE5E49">
        <w:trPr>
          <w:trHeight w:val="337"/>
          <w:jc w:val="center"/>
        </w:trPr>
        <w:tc>
          <w:tcPr>
            <w:tcW w:w="3221" w:type="dxa"/>
            <w:vMerge/>
            <w:tcBorders>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Virusna infekcija</w:t>
            </w:r>
            <w:r w:rsidRPr="003A60B2">
              <w:rPr>
                <w:sz w:val="22"/>
                <w:szCs w:val="22"/>
                <w:vertAlign w:val="superscript"/>
                <w:lang w:val="sr-Latn-ME" w:eastAsia="hr-HR"/>
              </w:rPr>
              <w:t>1</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Često</w:t>
            </w:r>
          </w:p>
        </w:tc>
      </w:tr>
      <w:tr w:rsidR="00AE5E49" w:rsidRPr="003A60B2" w:rsidTr="00AE5E49">
        <w:trPr>
          <w:trHeight w:val="273"/>
          <w:jc w:val="center"/>
        </w:trPr>
        <w:tc>
          <w:tcPr>
            <w:tcW w:w="3221" w:type="dxa"/>
            <w:vMerge w:val="restart"/>
            <w:tcBorders>
              <w:top w:val="single" w:sz="4" w:space="0" w:color="auto"/>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Poremećaji imunološkog sistema</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Anafilaksa</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 xml:space="preserve">Povremeno </w:t>
            </w:r>
          </w:p>
        </w:tc>
      </w:tr>
      <w:tr w:rsidR="00AE5E49" w:rsidRPr="003A60B2" w:rsidTr="00AE5E49">
        <w:trPr>
          <w:trHeight w:val="295"/>
          <w:jc w:val="center"/>
        </w:trPr>
        <w:tc>
          <w:tcPr>
            <w:tcW w:w="3221" w:type="dxa"/>
            <w:vMerge/>
            <w:tcBorders>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Angioedem</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 xml:space="preserve">Povremeno </w:t>
            </w:r>
          </w:p>
        </w:tc>
      </w:tr>
      <w:tr w:rsidR="00AE5E49" w:rsidRPr="003A60B2" w:rsidTr="00AE5E49">
        <w:trPr>
          <w:trHeight w:val="317"/>
          <w:jc w:val="center"/>
        </w:trPr>
        <w:tc>
          <w:tcPr>
            <w:tcW w:w="3221" w:type="dxa"/>
            <w:vMerge/>
            <w:tcBorders>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Preosjetljivost</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Povremeno</w:t>
            </w:r>
          </w:p>
        </w:tc>
      </w:tr>
      <w:tr w:rsidR="00AE5E49" w:rsidRPr="003A60B2" w:rsidTr="00AE5E49">
        <w:trPr>
          <w:trHeight w:val="249"/>
          <w:jc w:val="center"/>
        </w:trPr>
        <w:tc>
          <w:tcPr>
            <w:tcW w:w="3221" w:type="dxa"/>
            <w:vMerge w:val="restart"/>
            <w:tcBorders>
              <w:top w:val="single" w:sz="4" w:space="0" w:color="auto"/>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Psihijatrijski poremećaji</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 xml:space="preserve">Nesanica </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 xml:space="preserve">Često </w:t>
            </w:r>
          </w:p>
        </w:tc>
      </w:tr>
      <w:tr w:rsidR="00AE5E49" w:rsidRPr="003A60B2" w:rsidTr="00AE5E49">
        <w:trPr>
          <w:trHeight w:val="343"/>
          <w:jc w:val="center"/>
        </w:trPr>
        <w:tc>
          <w:tcPr>
            <w:tcW w:w="3221" w:type="dxa"/>
            <w:vMerge/>
            <w:tcBorders>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Anksioznost</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Često</w:t>
            </w:r>
          </w:p>
        </w:tc>
      </w:tr>
      <w:tr w:rsidR="00AE5E49" w:rsidRPr="003A60B2" w:rsidTr="00AE5E49">
        <w:trPr>
          <w:trHeight w:val="353"/>
          <w:jc w:val="center"/>
        </w:trPr>
        <w:tc>
          <w:tcPr>
            <w:tcW w:w="3221" w:type="dxa"/>
            <w:vMerge w:val="restart"/>
            <w:tcBorders>
              <w:top w:val="single" w:sz="4" w:space="0" w:color="auto"/>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Poremećaji nervnog sistema</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Omaglica</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 xml:space="preserve">Često </w:t>
            </w:r>
          </w:p>
        </w:tc>
      </w:tr>
      <w:tr w:rsidR="00AE5E49" w:rsidRPr="003A60B2" w:rsidTr="00AE5E49">
        <w:trPr>
          <w:trHeight w:val="349"/>
          <w:jc w:val="center"/>
        </w:trPr>
        <w:tc>
          <w:tcPr>
            <w:tcW w:w="3221" w:type="dxa"/>
            <w:vMerge/>
            <w:tcBorders>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Glavobolja</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Često</w:t>
            </w:r>
          </w:p>
        </w:tc>
      </w:tr>
      <w:tr w:rsidR="00AE5E49" w:rsidRPr="003A60B2" w:rsidTr="00AE5E49">
        <w:trPr>
          <w:trHeight w:val="345"/>
          <w:jc w:val="center"/>
        </w:trPr>
        <w:tc>
          <w:tcPr>
            <w:tcW w:w="3221" w:type="dxa"/>
            <w:vMerge/>
            <w:tcBorders>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Poremećaj ravnoteže</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Često</w:t>
            </w:r>
          </w:p>
        </w:tc>
      </w:tr>
      <w:tr w:rsidR="00AE5E49" w:rsidRPr="003A60B2" w:rsidTr="00AE5E49">
        <w:trPr>
          <w:trHeight w:val="355"/>
          <w:jc w:val="center"/>
        </w:trPr>
        <w:tc>
          <w:tcPr>
            <w:tcW w:w="3221" w:type="dxa"/>
            <w:vMerge/>
            <w:tcBorders>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Vrtoglavica</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Čessto</w:t>
            </w:r>
          </w:p>
        </w:tc>
      </w:tr>
      <w:tr w:rsidR="00AE5E49" w:rsidRPr="003A60B2" w:rsidTr="00AE5E49">
        <w:trPr>
          <w:trHeight w:val="355"/>
          <w:jc w:val="center"/>
        </w:trPr>
        <w:tc>
          <w:tcPr>
            <w:tcW w:w="3221" w:type="dxa"/>
            <w:vMerge/>
            <w:tcBorders>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Parestezija</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Često</w:t>
            </w:r>
          </w:p>
        </w:tc>
      </w:tr>
      <w:tr w:rsidR="00AE5E49" w:rsidRPr="003A60B2" w:rsidTr="00AE5E49">
        <w:trPr>
          <w:trHeight w:val="351"/>
          <w:jc w:val="center"/>
        </w:trPr>
        <w:tc>
          <w:tcPr>
            <w:tcW w:w="3221" w:type="dxa"/>
            <w:vMerge/>
            <w:tcBorders>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Tremor</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Često</w:t>
            </w:r>
          </w:p>
        </w:tc>
      </w:tr>
      <w:tr w:rsidR="00AE5E49" w:rsidRPr="003A60B2" w:rsidTr="00AE5E49">
        <w:trPr>
          <w:trHeight w:val="354"/>
          <w:jc w:val="center"/>
        </w:trPr>
        <w:tc>
          <w:tcPr>
            <w:tcW w:w="3221" w:type="dxa"/>
            <w:vMerge/>
            <w:tcBorders>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Konvulzije</w:t>
            </w:r>
            <w:r w:rsidRPr="003A60B2">
              <w:rPr>
                <w:sz w:val="22"/>
                <w:szCs w:val="22"/>
                <w:vertAlign w:val="superscript"/>
                <w:lang w:val="sr-Latn-ME" w:eastAsia="hr-HR"/>
              </w:rPr>
              <w:t>3</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 xml:space="preserve">Povremeno </w:t>
            </w:r>
          </w:p>
        </w:tc>
      </w:tr>
      <w:tr w:rsidR="00AE5E49" w:rsidRPr="003A60B2" w:rsidTr="00AE5E49">
        <w:trPr>
          <w:trHeight w:val="354"/>
          <w:jc w:val="center"/>
        </w:trPr>
        <w:tc>
          <w:tcPr>
            <w:tcW w:w="3221" w:type="dxa"/>
            <w:vMerge/>
            <w:tcBorders>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Egzacerbacija trigeminalne neuralgije</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Povremeno</w:t>
            </w:r>
          </w:p>
        </w:tc>
      </w:tr>
      <w:tr w:rsidR="00AE5E49" w:rsidRPr="003A60B2" w:rsidTr="00AE5E49">
        <w:trPr>
          <w:trHeight w:val="211"/>
          <w:jc w:val="center"/>
        </w:trPr>
        <w:tc>
          <w:tcPr>
            <w:tcW w:w="3221" w:type="dxa"/>
            <w:vMerge w:val="restart"/>
            <w:tcBorders>
              <w:top w:val="single" w:sz="4" w:space="0" w:color="auto"/>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Srčani poremećaji</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 xml:space="preserve">Palpitacije </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Često</w:t>
            </w:r>
          </w:p>
        </w:tc>
      </w:tr>
      <w:tr w:rsidR="00AE5E49" w:rsidRPr="003A60B2" w:rsidTr="00AE5E49">
        <w:trPr>
          <w:trHeight w:val="305"/>
          <w:jc w:val="center"/>
        </w:trPr>
        <w:tc>
          <w:tcPr>
            <w:tcW w:w="3221" w:type="dxa"/>
            <w:vMerge/>
            <w:tcBorders>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Tahikardija</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Povremeno</w:t>
            </w:r>
          </w:p>
        </w:tc>
      </w:tr>
      <w:tr w:rsidR="00AE5E49" w:rsidRPr="003A60B2" w:rsidTr="00AE5E49">
        <w:trPr>
          <w:trHeight w:val="333"/>
          <w:jc w:val="center"/>
        </w:trPr>
        <w:tc>
          <w:tcPr>
            <w:tcW w:w="3221" w:type="dxa"/>
            <w:tcBorders>
              <w:top w:val="single" w:sz="4" w:space="0" w:color="auto"/>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Vaskularni poremećaji</w:t>
            </w:r>
          </w:p>
        </w:tc>
        <w:tc>
          <w:tcPr>
            <w:tcW w:w="3038" w:type="dxa"/>
            <w:tcBorders>
              <w:top w:val="single" w:sz="4" w:space="0" w:color="auto"/>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Hipotenzija</w:t>
            </w:r>
            <w:r w:rsidRPr="003A60B2">
              <w:rPr>
                <w:sz w:val="22"/>
                <w:szCs w:val="22"/>
                <w:vertAlign w:val="superscript"/>
                <w:lang w:val="sr-Latn-ME" w:eastAsia="hr-HR"/>
              </w:rPr>
              <w:t>2</w:t>
            </w:r>
          </w:p>
        </w:tc>
        <w:tc>
          <w:tcPr>
            <w:tcW w:w="2950" w:type="dxa"/>
            <w:tcBorders>
              <w:top w:val="single" w:sz="4" w:space="0" w:color="auto"/>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Povremeno</w:t>
            </w:r>
          </w:p>
        </w:tc>
      </w:tr>
      <w:tr w:rsidR="00AE5E49" w:rsidRPr="003A60B2" w:rsidTr="00AE5E49">
        <w:trPr>
          <w:trHeight w:val="343"/>
          <w:jc w:val="center"/>
        </w:trPr>
        <w:tc>
          <w:tcPr>
            <w:tcW w:w="3221" w:type="dxa"/>
            <w:vMerge w:val="restart"/>
            <w:tcBorders>
              <w:top w:val="single" w:sz="4" w:space="0" w:color="auto"/>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lastRenderedPageBreak/>
              <w:t>Respiratorni, torakalni i medijastinalni poremećaji</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Dispneja</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Često</w:t>
            </w:r>
          </w:p>
        </w:tc>
      </w:tr>
      <w:tr w:rsidR="00AE5E49" w:rsidRPr="003A60B2" w:rsidTr="00AE5E49">
        <w:trPr>
          <w:trHeight w:val="357"/>
          <w:jc w:val="center"/>
        </w:trPr>
        <w:tc>
          <w:tcPr>
            <w:tcW w:w="3221" w:type="dxa"/>
            <w:vMerge/>
            <w:tcBorders>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Faringolaringealni bol</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Često</w:t>
            </w:r>
          </w:p>
        </w:tc>
      </w:tr>
      <w:tr w:rsidR="00AE5E49" w:rsidRPr="003A60B2" w:rsidTr="00AE5E49">
        <w:trPr>
          <w:trHeight w:val="351"/>
          <w:jc w:val="center"/>
        </w:trPr>
        <w:tc>
          <w:tcPr>
            <w:tcW w:w="3221" w:type="dxa"/>
            <w:vMerge w:val="restart"/>
            <w:tcBorders>
              <w:top w:val="single" w:sz="4" w:space="0" w:color="auto"/>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Gastrointestinalni poremećaji</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 xml:space="preserve">Mučnina </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 xml:space="preserve">Često </w:t>
            </w:r>
          </w:p>
        </w:tc>
      </w:tr>
      <w:tr w:rsidR="00AE5E49" w:rsidRPr="003A60B2" w:rsidTr="00AE5E49">
        <w:trPr>
          <w:trHeight w:val="331"/>
          <w:jc w:val="center"/>
        </w:trPr>
        <w:tc>
          <w:tcPr>
            <w:tcW w:w="3221" w:type="dxa"/>
            <w:vMerge/>
            <w:tcBorders>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 xml:space="preserve">Povraćanje </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 xml:space="preserve">Često </w:t>
            </w:r>
          </w:p>
        </w:tc>
      </w:tr>
      <w:tr w:rsidR="00AE5E49" w:rsidRPr="003A60B2" w:rsidTr="00AE5E49">
        <w:trPr>
          <w:trHeight w:val="325"/>
          <w:jc w:val="center"/>
        </w:trPr>
        <w:tc>
          <w:tcPr>
            <w:tcW w:w="3221" w:type="dxa"/>
            <w:vMerge/>
            <w:tcBorders>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 xml:space="preserve">Konstipacija </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Često</w:t>
            </w:r>
          </w:p>
        </w:tc>
      </w:tr>
      <w:tr w:rsidR="00AE5E49" w:rsidRPr="003A60B2" w:rsidTr="00AE5E49">
        <w:trPr>
          <w:trHeight w:val="381"/>
          <w:jc w:val="center"/>
        </w:trPr>
        <w:tc>
          <w:tcPr>
            <w:tcW w:w="3221" w:type="dxa"/>
            <w:vMerge/>
            <w:tcBorders>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Dispepsija</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Često</w:t>
            </w:r>
          </w:p>
        </w:tc>
      </w:tr>
      <w:tr w:rsidR="00AE5E49" w:rsidRPr="003A60B2" w:rsidTr="00AE5E49">
        <w:trPr>
          <w:trHeight w:val="349"/>
          <w:jc w:val="center"/>
        </w:trPr>
        <w:tc>
          <w:tcPr>
            <w:tcW w:w="3221" w:type="dxa"/>
            <w:vMerge w:val="restart"/>
            <w:tcBorders>
              <w:top w:val="single" w:sz="4" w:space="0" w:color="auto"/>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Poremećaji kože i potkožnog tkiva</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Osip</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 xml:space="preserve">Povremeno </w:t>
            </w:r>
          </w:p>
        </w:tc>
      </w:tr>
      <w:tr w:rsidR="00AE5E49" w:rsidRPr="003A60B2" w:rsidTr="00AE5E49">
        <w:trPr>
          <w:trHeight w:val="191"/>
          <w:jc w:val="center"/>
        </w:trPr>
        <w:tc>
          <w:tcPr>
            <w:tcW w:w="3221" w:type="dxa"/>
            <w:vMerge/>
            <w:tcBorders>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Urtikarija</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Povremeno</w:t>
            </w:r>
          </w:p>
        </w:tc>
      </w:tr>
      <w:tr w:rsidR="00AE5E49" w:rsidRPr="003A60B2" w:rsidTr="00AE5E49">
        <w:trPr>
          <w:trHeight w:val="353"/>
          <w:jc w:val="center"/>
        </w:trPr>
        <w:tc>
          <w:tcPr>
            <w:tcW w:w="3221"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Poremećaji mišićno-koštanog sistema i vezivnog tkiva</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Bol u leđima</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Često</w:t>
            </w:r>
          </w:p>
        </w:tc>
      </w:tr>
      <w:tr w:rsidR="00AE5E49" w:rsidRPr="003A60B2" w:rsidTr="00AE5E49">
        <w:trPr>
          <w:trHeight w:val="297"/>
          <w:jc w:val="center"/>
        </w:trPr>
        <w:tc>
          <w:tcPr>
            <w:tcW w:w="3221" w:type="dxa"/>
            <w:vMerge w:val="restart"/>
            <w:tcBorders>
              <w:top w:val="single" w:sz="4" w:space="0" w:color="auto"/>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Opšti poremećaji i reakcije na mjestu primjene</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Astenija</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Često</w:t>
            </w:r>
          </w:p>
          <w:p w:rsidR="00AE5E49" w:rsidRPr="003A60B2" w:rsidRDefault="00AE5E49" w:rsidP="00EC73B3">
            <w:pPr>
              <w:tabs>
                <w:tab w:val="left" w:pos="284"/>
              </w:tabs>
              <w:jc w:val="both"/>
              <w:rPr>
                <w:sz w:val="22"/>
                <w:szCs w:val="22"/>
                <w:lang w:val="sr-Latn-ME" w:eastAsia="hr-HR"/>
              </w:rPr>
            </w:pPr>
          </w:p>
        </w:tc>
      </w:tr>
      <w:tr w:rsidR="00AE5E49" w:rsidRPr="003A60B2" w:rsidTr="00AE5E49">
        <w:trPr>
          <w:trHeight w:val="43"/>
          <w:jc w:val="center"/>
        </w:trPr>
        <w:tc>
          <w:tcPr>
            <w:tcW w:w="3221" w:type="dxa"/>
            <w:vMerge/>
            <w:tcBorders>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Nelagodnost u grudnom košu</w:t>
            </w:r>
            <w:r w:rsidRPr="003A60B2">
              <w:rPr>
                <w:sz w:val="22"/>
                <w:szCs w:val="22"/>
                <w:vertAlign w:val="superscript"/>
                <w:lang w:val="sr-Latn-ME" w:eastAsia="hr-HR"/>
              </w:rPr>
              <w:t xml:space="preserve">2 </w:t>
            </w:r>
          </w:p>
        </w:tc>
        <w:tc>
          <w:tcPr>
            <w:tcW w:w="295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Povremeno</w:t>
            </w:r>
          </w:p>
        </w:tc>
      </w:tr>
    </w:tbl>
    <w:p w:rsidR="00AE5E49" w:rsidRPr="003A60B2" w:rsidRDefault="00AE5E49" w:rsidP="00EC73B3">
      <w:pPr>
        <w:tabs>
          <w:tab w:val="left" w:pos="284"/>
        </w:tabs>
        <w:jc w:val="both"/>
        <w:rPr>
          <w:sz w:val="20"/>
          <w:szCs w:val="22"/>
          <w:lang w:val="sr-Latn-ME"/>
        </w:rPr>
      </w:pPr>
      <w:r w:rsidRPr="003A60B2">
        <w:rPr>
          <w:sz w:val="20"/>
          <w:szCs w:val="22"/>
          <w:vertAlign w:val="superscript"/>
          <w:lang w:val="sr-Latn-ME" w:eastAsia="hr-HR"/>
        </w:rPr>
        <w:t>1</w:t>
      </w:r>
      <w:r w:rsidRPr="003A60B2">
        <w:rPr>
          <w:sz w:val="20"/>
          <w:szCs w:val="22"/>
          <w:lang w:val="sr-Latn-ME" w:eastAsia="hr-HR"/>
        </w:rPr>
        <w:t>Vidjeti dio 4.4.</w:t>
      </w:r>
    </w:p>
    <w:p w:rsidR="00AE5E49" w:rsidRPr="003A60B2" w:rsidRDefault="00AE5E49" w:rsidP="00EC73B3">
      <w:pPr>
        <w:tabs>
          <w:tab w:val="left" w:pos="284"/>
        </w:tabs>
        <w:jc w:val="both"/>
        <w:rPr>
          <w:sz w:val="20"/>
          <w:szCs w:val="22"/>
          <w:lang w:val="sr-Latn-ME" w:eastAsia="hr-HR"/>
        </w:rPr>
      </w:pPr>
      <w:r w:rsidRPr="003A60B2">
        <w:rPr>
          <w:sz w:val="20"/>
          <w:szCs w:val="22"/>
          <w:vertAlign w:val="superscript"/>
          <w:lang w:val="sr-Latn-ME" w:eastAsia="hr-HR"/>
        </w:rPr>
        <w:t>2</w:t>
      </w:r>
      <w:r w:rsidRPr="003A60B2">
        <w:rPr>
          <w:sz w:val="20"/>
          <w:szCs w:val="22"/>
          <w:lang w:val="sr-Latn-ME" w:eastAsia="hr-HR"/>
        </w:rPr>
        <w:t>Ovi simptomi su zabilježeni u kontekstu preosjetljivosti</w:t>
      </w:r>
    </w:p>
    <w:p w:rsidR="00AE5E49" w:rsidRPr="003A60B2" w:rsidRDefault="00AE5E49" w:rsidP="00EC73B3">
      <w:pPr>
        <w:tabs>
          <w:tab w:val="left" w:pos="284"/>
        </w:tabs>
        <w:jc w:val="both"/>
        <w:rPr>
          <w:sz w:val="20"/>
          <w:szCs w:val="22"/>
          <w:lang w:val="sr-Latn-ME"/>
        </w:rPr>
      </w:pPr>
      <w:r w:rsidRPr="003A60B2">
        <w:rPr>
          <w:sz w:val="20"/>
          <w:szCs w:val="22"/>
          <w:vertAlign w:val="superscript"/>
          <w:lang w:val="sr-Latn-ME" w:eastAsia="hr-HR"/>
        </w:rPr>
        <w:t>3</w:t>
      </w:r>
      <w:r w:rsidRPr="003A60B2">
        <w:rPr>
          <w:sz w:val="20"/>
          <w:szCs w:val="22"/>
          <w:lang w:val="sr-Latn-ME" w:eastAsia="hr-HR"/>
        </w:rPr>
        <w:t>Vidjeti djelove 4.3 i 4.4.</w:t>
      </w:r>
    </w:p>
    <w:p w:rsidR="00AE5E49" w:rsidRPr="003A60B2" w:rsidRDefault="00AE5E49" w:rsidP="00EC73B3">
      <w:pPr>
        <w:tabs>
          <w:tab w:val="left" w:pos="284"/>
        </w:tabs>
        <w:jc w:val="both"/>
        <w:rPr>
          <w:sz w:val="22"/>
          <w:szCs w:val="22"/>
          <w:lang w:val="sr-Latn-ME" w:eastAsia="ja-JP"/>
        </w:rPr>
      </w:pPr>
    </w:p>
    <w:p w:rsidR="00AE5E49" w:rsidRPr="003A60B2" w:rsidRDefault="00AE5E49" w:rsidP="00EC73B3">
      <w:pPr>
        <w:tabs>
          <w:tab w:val="left" w:pos="284"/>
        </w:tabs>
        <w:jc w:val="both"/>
        <w:rPr>
          <w:sz w:val="22"/>
          <w:szCs w:val="22"/>
          <w:lang w:val="sr-Latn-ME"/>
        </w:rPr>
      </w:pPr>
      <w:r w:rsidRPr="003A60B2">
        <w:rPr>
          <w:sz w:val="22"/>
          <w:szCs w:val="22"/>
          <w:u w:val="single"/>
          <w:lang w:val="sr-Latn-ME" w:eastAsia="hr-HR"/>
        </w:rPr>
        <w:t>Opis odabranih neželjenih reakcija</w:t>
      </w:r>
    </w:p>
    <w:p w:rsidR="00AE5E49" w:rsidRPr="003A60B2" w:rsidRDefault="00AE5E49" w:rsidP="00EC73B3">
      <w:pPr>
        <w:tabs>
          <w:tab w:val="left" w:pos="284"/>
        </w:tabs>
        <w:jc w:val="both"/>
        <w:rPr>
          <w:i/>
          <w:sz w:val="22"/>
          <w:szCs w:val="22"/>
          <w:lang w:val="sr-Latn-ME" w:eastAsia="hr-HR"/>
        </w:rPr>
      </w:pPr>
    </w:p>
    <w:p w:rsidR="00AE5E49" w:rsidRPr="003A60B2" w:rsidRDefault="00AE5E49" w:rsidP="00EC73B3">
      <w:pPr>
        <w:tabs>
          <w:tab w:val="left" w:pos="284"/>
        </w:tabs>
        <w:jc w:val="both"/>
        <w:rPr>
          <w:sz w:val="22"/>
          <w:szCs w:val="22"/>
          <w:lang w:val="sr-Latn-ME"/>
        </w:rPr>
      </w:pPr>
      <w:r w:rsidRPr="003A60B2">
        <w:rPr>
          <w:i/>
          <w:sz w:val="22"/>
          <w:szCs w:val="22"/>
          <w:lang w:val="sr-Latn-ME" w:eastAsia="hr-HR"/>
        </w:rPr>
        <w:t>Preosjetljivost</w:t>
      </w:r>
    </w:p>
    <w:p w:rsidR="00AE5E49" w:rsidRPr="003A60B2" w:rsidRDefault="00AE5E49" w:rsidP="00EC73B3">
      <w:pPr>
        <w:tabs>
          <w:tab w:val="left" w:pos="284"/>
        </w:tabs>
        <w:jc w:val="both"/>
        <w:rPr>
          <w:sz w:val="22"/>
          <w:szCs w:val="22"/>
          <w:lang w:val="sr-Latn-ME"/>
        </w:rPr>
      </w:pPr>
      <w:r w:rsidRPr="003A60B2">
        <w:rPr>
          <w:sz w:val="22"/>
          <w:szCs w:val="22"/>
          <w:lang w:val="sr-Latn-ME" w:eastAsia="hr-HR"/>
        </w:rPr>
        <w:t>Tokom postmarketinškog perioda prijavljivane su reakcije preosjetljivosti (uključujući i anafilaksu) koje su se javile sa jednim ili više sledećih događaja: dispneja, nelagodnost u grudnom košu, hipotenzija, angioedem, osip i urtikarija. Za više informacija o reakcijama preosjetljivosti, pogledajte odjeljke 4.3 i 4.4.</w:t>
      </w:r>
    </w:p>
    <w:p w:rsidR="004E70AD" w:rsidRPr="003A60B2" w:rsidRDefault="004E70AD" w:rsidP="00EC73B3">
      <w:pPr>
        <w:tabs>
          <w:tab w:val="left" w:pos="540"/>
          <w:tab w:val="left" w:pos="569"/>
        </w:tabs>
        <w:jc w:val="both"/>
        <w:rPr>
          <w:b/>
          <w:bCs/>
          <w:sz w:val="22"/>
          <w:szCs w:val="22"/>
          <w:lang w:val="sr-Latn-ME"/>
        </w:rPr>
      </w:pPr>
    </w:p>
    <w:p w:rsidR="005A23D2" w:rsidRPr="003A60B2" w:rsidRDefault="005A23D2" w:rsidP="00EC73B3">
      <w:pPr>
        <w:spacing w:after="200" w:line="276" w:lineRule="auto"/>
        <w:jc w:val="both"/>
        <w:rPr>
          <w:rFonts w:eastAsia="Calibri"/>
          <w:sz w:val="22"/>
          <w:szCs w:val="22"/>
          <w:u w:val="single"/>
          <w:lang w:val="sr-Latn-ME"/>
        </w:rPr>
      </w:pPr>
      <w:r w:rsidRPr="003A60B2">
        <w:rPr>
          <w:rFonts w:eastAsia="Calibri"/>
          <w:sz w:val="22"/>
          <w:szCs w:val="22"/>
          <w:u w:val="single"/>
          <w:lang w:val="sr-Latn-ME"/>
        </w:rPr>
        <w:t>Prijavljivanje sumnji na neželjena dejstva</w:t>
      </w:r>
    </w:p>
    <w:p w:rsidR="005A23D2" w:rsidRPr="003A60B2" w:rsidRDefault="005A23D2" w:rsidP="00EC73B3">
      <w:pPr>
        <w:spacing w:after="200"/>
        <w:jc w:val="both"/>
        <w:rPr>
          <w:rFonts w:eastAsia="Calibri"/>
          <w:sz w:val="22"/>
          <w:szCs w:val="22"/>
          <w:lang w:val="sr-Latn-ME"/>
        </w:rPr>
      </w:pPr>
      <w:r w:rsidRPr="003A60B2">
        <w:rPr>
          <w:rFonts w:eastAsia="Calibri"/>
          <w:sz w:val="22"/>
          <w:szCs w:val="22"/>
          <w:lang w:val="sr-Latn-ME"/>
        </w:rPr>
        <w:t>Prijavljivanje neželjenih dejstava nakon dobijanja dozvole</w:t>
      </w:r>
      <w:r w:rsidR="00EC73B3" w:rsidRPr="003A60B2">
        <w:rPr>
          <w:rFonts w:eastAsia="Calibri"/>
          <w:sz w:val="22"/>
          <w:szCs w:val="22"/>
          <w:lang w:val="sr-Latn-ME"/>
        </w:rPr>
        <w:t xml:space="preserve"> za lijek </w:t>
      </w:r>
      <w:r w:rsidRPr="003A60B2">
        <w:rPr>
          <w:rFonts w:eastAsia="Calibri"/>
          <w:sz w:val="22"/>
          <w:szCs w:val="22"/>
          <w:lang w:val="sr-Latn-ME"/>
        </w:rPr>
        <w:t xml:space="preserve"> je od velikog značaja jer obezbjeđuje kont</w:t>
      </w:r>
      <w:r w:rsidR="00EA5765" w:rsidRPr="003A60B2">
        <w:rPr>
          <w:rFonts w:eastAsia="Calibri"/>
          <w:sz w:val="22"/>
          <w:szCs w:val="22"/>
          <w:lang w:val="sr-Latn-ME"/>
        </w:rPr>
        <w:t>inuirano praćenje odnosa korist</w:t>
      </w:r>
      <w:r w:rsidRPr="003A60B2">
        <w:rPr>
          <w:rFonts w:eastAsia="Calibri"/>
          <w:sz w:val="22"/>
          <w:szCs w:val="22"/>
          <w:lang w:val="sr-Latn-ME"/>
        </w:rPr>
        <w:t>/rizik primjene lijeka. Zdravstveni radnici treba da prijave svaku sumnju na neželjeno</w:t>
      </w:r>
      <w:r w:rsidR="009B062A" w:rsidRPr="003A60B2">
        <w:rPr>
          <w:rFonts w:eastAsia="Calibri"/>
          <w:sz w:val="22"/>
          <w:szCs w:val="22"/>
          <w:lang w:val="sr-Latn-ME"/>
        </w:rPr>
        <w:t xml:space="preserve"> </w:t>
      </w:r>
      <w:r w:rsidRPr="003A60B2">
        <w:rPr>
          <w:rFonts w:eastAsia="Calibri"/>
          <w:sz w:val="22"/>
          <w:szCs w:val="22"/>
          <w:lang w:val="sr-Latn-ME"/>
        </w:rPr>
        <w:t xml:space="preserve">dejstvo ovog lijeka </w:t>
      </w:r>
      <w:r w:rsidR="004E70AD" w:rsidRPr="003A60B2">
        <w:rPr>
          <w:rFonts w:eastAsia="Calibri"/>
          <w:sz w:val="22"/>
          <w:szCs w:val="22"/>
          <w:lang w:val="sr-Latn-ME"/>
        </w:rPr>
        <w:t>Institutu</w:t>
      </w:r>
      <w:r w:rsidRPr="003A60B2">
        <w:rPr>
          <w:rFonts w:eastAsia="Calibri"/>
          <w:sz w:val="22"/>
          <w:szCs w:val="22"/>
          <w:lang w:val="sr-Latn-ME"/>
        </w:rPr>
        <w:t xml:space="preserve"> za ljekove i medicinska sredstva</w:t>
      </w:r>
      <w:r w:rsidR="004E70AD" w:rsidRPr="003A60B2">
        <w:rPr>
          <w:rFonts w:eastAsia="Calibri"/>
          <w:sz w:val="22"/>
          <w:szCs w:val="22"/>
          <w:lang w:val="sr-Latn-ME"/>
        </w:rPr>
        <w:t xml:space="preserve"> </w:t>
      </w:r>
      <w:r w:rsidRPr="003A60B2">
        <w:rPr>
          <w:rFonts w:eastAsia="Calibri"/>
          <w:sz w:val="22"/>
          <w:szCs w:val="22"/>
          <w:lang w:val="sr-Latn-ME"/>
        </w:rPr>
        <w:t>(</w:t>
      </w:r>
      <w:r w:rsidR="004E70AD" w:rsidRPr="003A60B2">
        <w:rPr>
          <w:rFonts w:eastAsia="Calibri"/>
          <w:sz w:val="22"/>
          <w:szCs w:val="22"/>
          <w:lang w:val="sr-Latn-ME"/>
        </w:rPr>
        <w:t>CInMED</w:t>
      </w:r>
      <w:r w:rsidRPr="003A60B2">
        <w:rPr>
          <w:rFonts w:eastAsia="Calibri"/>
          <w:sz w:val="22"/>
          <w:szCs w:val="22"/>
          <w:lang w:val="sr-Latn-ME"/>
        </w:rPr>
        <w:t>):</w:t>
      </w:r>
    </w:p>
    <w:p w:rsidR="005A23D2" w:rsidRPr="003A60B2" w:rsidRDefault="004E70AD" w:rsidP="00EC73B3">
      <w:pPr>
        <w:pStyle w:val="NoSpacing"/>
        <w:jc w:val="both"/>
        <w:rPr>
          <w:rFonts w:eastAsia="Calibri"/>
          <w:sz w:val="22"/>
          <w:szCs w:val="22"/>
          <w:lang w:val="sr-Latn-ME"/>
        </w:rPr>
      </w:pPr>
      <w:r w:rsidRPr="003A60B2">
        <w:rPr>
          <w:rFonts w:eastAsia="Calibri"/>
          <w:sz w:val="22"/>
          <w:szCs w:val="22"/>
          <w:lang w:val="sr-Latn-ME"/>
        </w:rPr>
        <w:t xml:space="preserve">Institut </w:t>
      </w:r>
      <w:r w:rsidR="005A23D2" w:rsidRPr="003A60B2">
        <w:rPr>
          <w:rFonts w:eastAsia="Calibri"/>
          <w:sz w:val="22"/>
          <w:szCs w:val="22"/>
          <w:lang w:val="sr-Latn-ME"/>
        </w:rPr>
        <w:t xml:space="preserve">za ljekove i medicinska sredstva </w:t>
      </w:r>
    </w:p>
    <w:p w:rsidR="005A23D2" w:rsidRPr="003A60B2" w:rsidRDefault="005A23D2" w:rsidP="00EC73B3">
      <w:pPr>
        <w:pStyle w:val="NoSpacing"/>
        <w:jc w:val="both"/>
        <w:rPr>
          <w:rFonts w:eastAsia="Calibri"/>
          <w:sz w:val="22"/>
          <w:szCs w:val="22"/>
          <w:lang w:val="sr-Latn-ME"/>
        </w:rPr>
      </w:pPr>
      <w:r w:rsidRPr="003A60B2">
        <w:rPr>
          <w:rFonts w:eastAsia="Calibri"/>
          <w:sz w:val="22"/>
          <w:szCs w:val="22"/>
          <w:lang w:val="sr-Latn-ME"/>
        </w:rPr>
        <w:t>Odjeljenje za farmakovigilancu</w:t>
      </w:r>
    </w:p>
    <w:p w:rsidR="00EA5765" w:rsidRPr="003A60B2" w:rsidRDefault="005A23D2" w:rsidP="00EC73B3">
      <w:pPr>
        <w:pStyle w:val="NoSpacing"/>
        <w:jc w:val="both"/>
        <w:rPr>
          <w:rFonts w:eastAsia="Calibri"/>
          <w:sz w:val="22"/>
          <w:szCs w:val="22"/>
          <w:lang w:val="sr-Latn-ME"/>
        </w:rPr>
      </w:pPr>
      <w:r w:rsidRPr="003A60B2">
        <w:rPr>
          <w:rFonts w:eastAsia="Calibri"/>
          <w:sz w:val="22"/>
          <w:szCs w:val="22"/>
          <w:lang w:val="sr-Latn-ME"/>
        </w:rPr>
        <w:t>Bulevar Ivana Crnojevića 64a, 81000 Podgorica</w:t>
      </w:r>
    </w:p>
    <w:p w:rsidR="00EA5765" w:rsidRPr="003A60B2" w:rsidRDefault="00EA5765" w:rsidP="00EC73B3">
      <w:pPr>
        <w:pStyle w:val="NoSpacing"/>
        <w:jc w:val="both"/>
        <w:rPr>
          <w:rFonts w:eastAsia="Calibri"/>
          <w:sz w:val="22"/>
          <w:szCs w:val="22"/>
          <w:lang w:val="sr-Latn-ME"/>
        </w:rPr>
      </w:pPr>
    </w:p>
    <w:p w:rsidR="005A23D2" w:rsidRPr="003A60B2" w:rsidRDefault="005A23D2" w:rsidP="00EC73B3">
      <w:pPr>
        <w:pStyle w:val="NoSpacing"/>
        <w:jc w:val="both"/>
        <w:rPr>
          <w:rFonts w:eastAsia="Calibri"/>
          <w:sz w:val="22"/>
          <w:szCs w:val="22"/>
          <w:lang w:val="sr-Latn-ME"/>
        </w:rPr>
      </w:pPr>
      <w:r w:rsidRPr="003A60B2">
        <w:rPr>
          <w:rFonts w:eastAsia="Calibri"/>
          <w:sz w:val="22"/>
          <w:szCs w:val="22"/>
          <w:lang w:val="sr-Latn-ME"/>
        </w:rPr>
        <w:t>tel: +382 (0) 20 310 280</w:t>
      </w:r>
    </w:p>
    <w:p w:rsidR="00EA5765" w:rsidRPr="003A60B2" w:rsidRDefault="005A23D2" w:rsidP="00EC73B3">
      <w:pPr>
        <w:pStyle w:val="NoSpacing"/>
        <w:tabs>
          <w:tab w:val="left" w:pos="6720"/>
        </w:tabs>
        <w:jc w:val="both"/>
        <w:rPr>
          <w:rFonts w:eastAsia="Calibri"/>
          <w:sz w:val="22"/>
          <w:szCs w:val="22"/>
          <w:lang w:val="sr-Latn-ME"/>
        </w:rPr>
      </w:pPr>
      <w:r w:rsidRPr="003A60B2">
        <w:rPr>
          <w:rFonts w:eastAsia="Calibri"/>
          <w:sz w:val="22"/>
          <w:szCs w:val="22"/>
          <w:lang w:val="sr-Latn-ME"/>
        </w:rPr>
        <w:t>fax:</w:t>
      </w:r>
      <w:r w:rsidR="00EA5765" w:rsidRPr="003A60B2">
        <w:rPr>
          <w:rFonts w:eastAsia="Calibri"/>
          <w:sz w:val="22"/>
          <w:szCs w:val="22"/>
          <w:lang w:val="sr-Latn-ME"/>
        </w:rPr>
        <w:t xml:space="preserve"> </w:t>
      </w:r>
      <w:r w:rsidRPr="003A60B2">
        <w:rPr>
          <w:rFonts w:eastAsia="Calibri"/>
          <w:sz w:val="22"/>
          <w:szCs w:val="22"/>
          <w:lang w:val="sr-Latn-ME"/>
        </w:rPr>
        <w:t>+382 (0) 20 310 581</w:t>
      </w:r>
      <w:r w:rsidR="00FF3EDF" w:rsidRPr="003A60B2">
        <w:rPr>
          <w:rFonts w:eastAsia="Calibri"/>
          <w:sz w:val="22"/>
          <w:szCs w:val="22"/>
          <w:lang w:val="sr-Latn-ME"/>
        </w:rPr>
        <w:tab/>
      </w:r>
    </w:p>
    <w:p w:rsidR="005A23D2" w:rsidRPr="003A60B2" w:rsidRDefault="00FE69C1" w:rsidP="00EC73B3">
      <w:pPr>
        <w:pStyle w:val="NoSpacing"/>
        <w:jc w:val="both"/>
        <w:rPr>
          <w:rFonts w:eastAsia="Calibri"/>
          <w:sz w:val="22"/>
          <w:szCs w:val="22"/>
          <w:lang w:val="sr-Latn-ME"/>
        </w:rPr>
      </w:pPr>
      <w:hyperlink r:id="rId8" w:history="1">
        <w:r w:rsidR="004E70AD" w:rsidRPr="003A60B2">
          <w:rPr>
            <w:rStyle w:val="Hyperlink"/>
            <w:rFonts w:eastAsia="Calibri"/>
            <w:sz w:val="22"/>
            <w:szCs w:val="22"/>
            <w:lang w:val="sr-Latn-ME"/>
          </w:rPr>
          <w:t>www.cinmed.me</w:t>
        </w:r>
      </w:hyperlink>
    </w:p>
    <w:p w:rsidR="00EA5765" w:rsidRPr="003A60B2" w:rsidRDefault="00FE69C1" w:rsidP="00EC73B3">
      <w:pPr>
        <w:pStyle w:val="NoSpacing"/>
        <w:jc w:val="both"/>
        <w:rPr>
          <w:rFonts w:eastAsia="Calibri"/>
          <w:color w:val="0000FF"/>
          <w:sz w:val="22"/>
          <w:szCs w:val="22"/>
          <w:u w:val="single"/>
          <w:lang w:val="sr-Latn-ME"/>
        </w:rPr>
      </w:pPr>
      <w:hyperlink r:id="rId9" w:history="1">
        <w:r w:rsidR="004E70AD" w:rsidRPr="003A60B2">
          <w:rPr>
            <w:rStyle w:val="Hyperlink"/>
            <w:rFonts w:eastAsia="Calibri"/>
            <w:sz w:val="22"/>
            <w:szCs w:val="22"/>
            <w:lang w:val="sr-Latn-ME"/>
          </w:rPr>
          <w:t>nezeljenadejstva@cinmed.me</w:t>
        </w:r>
      </w:hyperlink>
    </w:p>
    <w:p w:rsidR="005A23D2" w:rsidRPr="003A60B2" w:rsidRDefault="005A23D2" w:rsidP="00EC73B3">
      <w:pPr>
        <w:pStyle w:val="NoSpacing"/>
        <w:jc w:val="both"/>
        <w:rPr>
          <w:rFonts w:eastAsia="Calibri"/>
          <w:sz w:val="22"/>
          <w:szCs w:val="22"/>
          <w:lang w:val="sr-Latn-ME"/>
        </w:rPr>
      </w:pPr>
      <w:r w:rsidRPr="003A60B2">
        <w:rPr>
          <w:rFonts w:eastAsia="Calibri"/>
          <w:sz w:val="22"/>
          <w:szCs w:val="22"/>
          <w:lang w:val="sr-Latn-ME"/>
        </w:rPr>
        <w:t>putem IS zdravstvene zaštite</w:t>
      </w:r>
    </w:p>
    <w:p w:rsidR="007E31E9" w:rsidRPr="003A60B2" w:rsidRDefault="007E31E9" w:rsidP="00EC73B3">
      <w:pPr>
        <w:pStyle w:val="NoSpacing"/>
        <w:jc w:val="both"/>
        <w:rPr>
          <w:rFonts w:eastAsia="Calibri"/>
          <w:sz w:val="22"/>
          <w:szCs w:val="22"/>
          <w:lang w:val="sr-Latn-ME"/>
        </w:rPr>
      </w:pPr>
      <w:r w:rsidRPr="003A60B2">
        <w:rPr>
          <w:rFonts w:eastAsia="Calibri"/>
          <w:sz w:val="22"/>
          <w:szCs w:val="22"/>
          <w:lang w:val="sr-Latn-ME"/>
        </w:rPr>
        <w:t>QR kod za online prijavu</w:t>
      </w:r>
      <w:r w:rsidR="00D74CD2" w:rsidRPr="003A60B2">
        <w:rPr>
          <w:rFonts w:eastAsia="Calibri"/>
          <w:sz w:val="22"/>
          <w:szCs w:val="22"/>
          <w:lang w:val="sr-Latn-ME"/>
        </w:rPr>
        <w:t xml:space="preserve"> sumnje na neželjeno dejstvo lijeka</w:t>
      </w:r>
      <w:r w:rsidRPr="003A60B2">
        <w:rPr>
          <w:rFonts w:eastAsia="Calibri"/>
          <w:sz w:val="22"/>
          <w:szCs w:val="22"/>
          <w:lang w:val="sr-Latn-ME"/>
        </w:rPr>
        <w:t>:</w:t>
      </w:r>
    </w:p>
    <w:p w:rsidR="007E31E9" w:rsidRPr="003A60B2" w:rsidRDefault="007E31E9" w:rsidP="00EC73B3">
      <w:pPr>
        <w:pStyle w:val="NoSpacing"/>
        <w:jc w:val="both"/>
        <w:rPr>
          <w:rFonts w:eastAsia="Calibri"/>
          <w:sz w:val="22"/>
          <w:szCs w:val="22"/>
          <w:lang w:val="sr-Latn-ME"/>
        </w:rPr>
      </w:pPr>
    </w:p>
    <w:p w:rsidR="004F17E2" w:rsidRPr="003A60B2" w:rsidRDefault="007E31E9" w:rsidP="00EC73B3">
      <w:pPr>
        <w:pStyle w:val="NoSpacing"/>
        <w:jc w:val="both"/>
        <w:rPr>
          <w:rFonts w:eastAsia="Calibri"/>
          <w:sz w:val="22"/>
          <w:szCs w:val="22"/>
          <w:lang w:val="sr-Latn-ME"/>
        </w:rPr>
      </w:pPr>
      <w:r w:rsidRPr="003A60B2">
        <w:rPr>
          <w:noProof/>
        </w:rPr>
        <w:drawing>
          <wp:inline distT="0" distB="0" distL="0" distR="0">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836B35" w:rsidRPr="003A60B2" w:rsidRDefault="00836B35" w:rsidP="00EC73B3">
      <w:pPr>
        <w:tabs>
          <w:tab w:val="left" w:pos="540"/>
          <w:tab w:val="left" w:pos="569"/>
        </w:tabs>
        <w:jc w:val="both"/>
        <w:rPr>
          <w:b/>
          <w:bCs/>
          <w:sz w:val="22"/>
          <w:szCs w:val="22"/>
          <w:lang w:val="sr-Latn-ME"/>
        </w:rPr>
      </w:pPr>
    </w:p>
    <w:p w:rsidR="00CD6F02" w:rsidRPr="003A60B2" w:rsidRDefault="0072020E" w:rsidP="00EC73B3">
      <w:pPr>
        <w:tabs>
          <w:tab w:val="left" w:pos="540"/>
          <w:tab w:val="left" w:pos="569"/>
        </w:tabs>
        <w:jc w:val="both"/>
        <w:rPr>
          <w:b/>
          <w:bCs/>
          <w:sz w:val="22"/>
          <w:szCs w:val="22"/>
          <w:lang w:val="sr-Latn-ME"/>
        </w:rPr>
      </w:pPr>
      <w:r w:rsidRPr="003A60B2">
        <w:rPr>
          <w:b/>
          <w:bCs/>
          <w:sz w:val="22"/>
          <w:szCs w:val="22"/>
          <w:lang w:val="sr-Latn-ME"/>
        </w:rPr>
        <w:t xml:space="preserve">4.9. </w:t>
      </w:r>
      <w:r w:rsidR="00480FB1" w:rsidRPr="003A60B2">
        <w:rPr>
          <w:b/>
          <w:bCs/>
          <w:sz w:val="22"/>
          <w:szCs w:val="22"/>
          <w:lang w:val="sr-Latn-ME"/>
        </w:rPr>
        <w:tab/>
      </w:r>
      <w:r w:rsidRPr="003A60B2">
        <w:rPr>
          <w:b/>
          <w:bCs/>
          <w:sz w:val="22"/>
          <w:szCs w:val="22"/>
          <w:lang w:val="sr-Latn-ME"/>
        </w:rPr>
        <w:t>Predoziranje</w:t>
      </w:r>
      <w:r w:rsidR="002846DB" w:rsidRPr="003A60B2">
        <w:rPr>
          <w:b/>
          <w:bCs/>
          <w:sz w:val="22"/>
          <w:szCs w:val="22"/>
          <w:lang w:val="sr-Latn-ME"/>
        </w:rPr>
        <w:t xml:space="preserve"> </w:t>
      </w:r>
    </w:p>
    <w:p w:rsidR="00CD6F02" w:rsidRPr="003A60B2" w:rsidRDefault="00CD6F02" w:rsidP="00EC73B3">
      <w:pPr>
        <w:tabs>
          <w:tab w:val="left" w:pos="540"/>
          <w:tab w:val="left" w:pos="569"/>
        </w:tabs>
        <w:jc w:val="both"/>
        <w:rPr>
          <w:b/>
          <w:bCs/>
          <w:sz w:val="22"/>
          <w:szCs w:val="22"/>
          <w:lang w:val="sr-Latn-ME"/>
        </w:rPr>
      </w:pPr>
    </w:p>
    <w:p w:rsidR="00AE5E49" w:rsidRPr="003A60B2" w:rsidRDefault="00AE5E49" w:rsidP="00EC73B3">
      <w:pPr>
        <w:tabs>
          <w:tab w:val="left" w:pos="284"/>
        </w:tabs>
        <w:jc w:val="both"/>
        <w:rPr>
          <w:sz w:val="22"/>
          <w:szCs w:val="22"/>
          <w:lang w:val="sr-Latn-ME"/>
        </w:rPr>
      </w:pPr>
      <w:r w:rsidRPr="003A60B2">
        <w:rPr>
          <w:sz w:val="22"/>
          <w:szCs w:val="22"/>
          <w:u w:val="single"/>
          <w:lang w:val="sr-Latn-ME" w:eastAsia="hr-HR"/>
        </w:rPr>
        <w:t>Simptomi</w:t>
      </w:r>
    </w:p>
    <w:p w:rsidR="00AE5E49" w:rsidRPr="003A60B2" w:rsidRDefault="00AE5E49" w:rsidP="00EC73B3">
      <w:pPr>
        <w:tabs>
          <w:tab w:val="left" w:pos="284"/>
        </w:tabs>
        <w:jc w:val="both"/>
        <w:rPr>
          <w:sz w:val="22"/>
          <w:szCs w:val="22"/>
          <w:lang w:val="sr-Latn-ME"/>
        </w:rPr>
      </w:pPr>
      <w:r w:rsidRPr="003A60B2">
        <w:rPr>
          <w:sz w:val="22"/>
          <w:szCs w:val="22"/>
          <w:lang w:val="sr-Latn-ME" w:eastAsia="hr-HR"/>
        </w:rPr>
        <w:t>Akutni simptomi predoziranja fampridinom ukazuju na ekscitaciju centralnog nervnog sistema i uključuju konfuziju, drhtanje, dijaforezu, konvulzije i amneziju.</w:t>
      </w:r>
    </w:p>
    <w:p w:rsidR="00AE5E49" w:rsidRPr="003A60B2" w:rsidRDefault="00AE5E49" w:rsidP="00EC73B3">
      <w:pPr>
        <w:tabs>
          <w:tab w:val="left" w:pos="284"/>
        </w:tabs>
        <w:jc w:val="both"/>
        <w:rPr>
          <w:sz w:val="22"/>
          <w:szCs w:val="22"/>
          <w:lang w:val="sr-Latn-ME" w:eastAsia="hr-HR"/>
        </w:rPr>
      </w:pPr>
    </w:p>
    <w:p w:rsidR="00AE5E49" w:rsidRPr="003A60B2" w:rsidRDefault="00AE5E49" w:rsidP="00EC73B3">
      <w:pPr>
        <w:tabs>
          <w:tab w:val="left" w:pos="284"/>
        </w:tabs>
        <w:jc w:val="both"/>
        <w:rPr>
          <w:sz w:val="22"/>
          <w:szCs w:val="22"/>
          <w:lang w:val="sr-Latn-ME"/>
        </w:rPr>
      </w:pPr>
      <w:r w:rsidRPr="003A60B2">
        <w:rPr>
          <w:sz w:val="22"/>
          <w:szCs w:val="22"/>
          <w:lang w:val="sr-Latn-ME" w:eastAsia="hr-HR"/>
        </w:rPr>
        <w:t>Neželjena dejstva vezana za centralni nervni sistem pri visokim dozama 4-aminopiridina uključuju konfuziju, konvulzije, status epilepticus, nevoljne i horeoatetoidne pokrete. Druga neželjena dejstva pri visokim dozama uključuju slučajeve srčane aritmije (na primjer, supraventrikularna tahikardija i bradikardija) i ventrikularnu tahikardiju kao posljedicu potencijalnog produženja QT intervala. Takođe postoje i  izvještaji o hipertenziji.</w:t>
      </w:r>
    </w:p>
    <w:p w:rsidR="00AE5E49" w:rsidRPr="003A60B2" w:rsidRDefault="00AE5E49" w:rsidP="00EC73B3">
      <w:pPr>
        <w:tabs>
          <w:tab w:val="left" w:pos="284"/>
        </w:tabs>
        <w:jc w:val="both"/>
        <w:rPr>
          <w:sz w:val="22"/>
          <w:szCs w:val="22"/>
          <w:u w:val="single"/>
          <w:lang w:val="sr-Latn-ME" w:eastAsia="hr-HR"/>
        </w:rPr>
      </w:pPr>
    </w:p>
    <w:p w:rsidR="00AE5E49" w:rsidRPr="003A60B2" w:rsidRDefault="00AE5E49" w:rsidP="00EC73B3">
      <w:pPr>
        <w:tabs>
          <w:tab w:val="left" w:pos="284"/>
        </w:tabs>
        <w:jc w:val="both"/>
        <w:rPr>
          <w:sz w:val="22"/>
          <w:szCs w:val="22"/>
          <w:lang w:val="sr-Latn-ME"/>
        </w:rPr>
      </w:pPr>
      <w:r w:rsidRPr="003A60B2">
        <w:rPr>
          <w:sz w:val="22"/>
          <w:szCs w:val="22"/>
          <w:u w:val="single"/>
          <w:lang w:val="sr-Latn-ME" w:eastAsia="hr-HR"/>
        </w:rPr>
        <w:t>Zbrinjavanje</w:t>
      </w:r>
    </w:p>
    <w:p w:rsidR="00AE5E49" w:rsidRPr="003A60B2" w:rsidRDefault="00AE5E49" w:rsidP="00EC73B3">
      <w:pPr>
        <w:tabs>
          <w:tab w:val="left" w:pos="284"/>
        </w:tabs>
        <w:jc w:val="both"/>
        <w:rPr>
          <w:sz w:val="22"/>
          <w:szCs w:val="22"/>
          <w:lang w:val="sr-Latn-ME"/>
        </w:rPr>
      </w:pPr>
      <w:r w:rsidRPr="003A60B2">
        <w:rPr>
          <w:sz w:val="22"/>
          <w:szCs w:val="22"/>
          <w:lang w:val="sr-Latn-ME" w:eastAsia="hr-HR"/>
        </w:rPr>
        <w:t>Pacijentima koji su uzeli preveliku dozu treba obezbijediti suportivnu terapiju. Ponovljenu epileptičn</w:t>
      </w:r>
      <w:r w:rsidR="00EC73B3" w:rsidRPr="003A60B2">
        <w:rPr>
          <w:sz w:val="22"/>
          <w:szCs w:val="22"/>
          <w:lang w:val="sr-Latn-ME" w:eastAsia="hr-HR"/>
        </w:rPr>
        <w:t xml:space="preserve">inapadi </w:t>
      </w:r>
      <w:r w:rsidRPr="003A60B2">
        <w:rPr>
          <w:sz w:val="22"/>
          <w:szCs w:val="22"/>
          <w:lang w:val="sr-Latn-ME" w:eastAsia="hr-HR"/>
        </w:rPr>
        <w:t xml:space="preserve">  treba liječiti primjenom benzodiazepina, fenitoina ili drugim vidovima odgovarajuće akutne antiepileptične terapije.</w:t>
      </w:r>
    </w:p>
    <w:p w:rsidR="00227BDB" w:rsidRDefault="00227BDB" w:rsidP="00EC73B3">
      <w:pPr>
        <w:tabs>
          <w:tab w:val="left" w:pos="540"/>
          <w:tab w:val="left" w:pos="569"/>
        </w:tabs>
        <w:jc w:val="both"/>
        <w:rPr>
          <w:b/>
          <w:bCs/>
          <w:sz w:val="22"/>
          <w:szCs w:val="22"/>
          <w:lang w:val="sr-Latn-ME"/>
        </w:rPr>
      </w:pPr>
    </w:p>
    <w:p w:rsidR="00072CF4" w:rsidRPr="003A60B2" w:rsidRDefault="00072CF4" w:rsidP="00EC73B3">
      <w:pPr>
        <w:tabs>
          <w:tab w:val="left" w:pos="540"/>
          <w:tab w:val="left" w:pos="569"/>
        </w:tabs>
        <w:jc w:val="both"/>
        <w:rPr>
          <w:b/>
          <w:bCs/>
          <w:sz w:val="22"/>
          <w:szCs w:val="22"/>
          <w:lang w:val="sr-Latn-ME"/>
        </w:rPr>
      </w:pPr>
    </w:p>
    <w:p w:rsidR="0072020E" w:rsidRPr="003A60B2" w:rsidRDefault="0072020E" w:rsidP="00EC73B3">
      <w:pPr>
        <w:tabs>
          <w:tab w:val="left" w:pos="540"/>
          <w:tab w:val="left" w:pos="569"/>
        </w:tabs>
        <w:jc w:val="both"/>
        <w:rPr>
          <w:b/>
          <w:bCs/>
          <w:sz w:val="22"/>
          <w:szCs w:val="22"/>
          <w:lang w:val="sr-Latn-ME"/>
        </w:rPr>
      </w:pPr>
      <w:r w:rsidRPr="003A60B2">
        <w:rPr>
          <w:b/>
          <w:bCs/>
          <w:sz w:val="22"/>
          <w:szCs w:val="22"/>
          <w:lang w:val="sr-Latn-ME"/>
        </w:rPr>
        <w:t xml:space="preserve">5. </w:t>
      </w:r>
      <w:r w:rsidR="00480FB1" w:rsidRPr="003A60B2">
        <w:rPr>
          <w:b/>
          <w:bCs/>
          <w:sz w:val="22"/>
          <w:szCs w:val="22"/>
          <w:lang w:val="sr-Latn-ME"/>
        </w:rPr>
        <w:tab/>
      </w:r>
      <w:r w:rsidRPr="003A60B2">
        <w:rPr>
          <w:b/>
          <w:bCs/>
          <w:sz w:val="22"/>
          <w:szCs w:val="22"/>
          <w:lang w:val="sr-Latn-ME"/>
        </w:rPr>
        <w:t>FARMAKOLOŠK</w:t>
      </w:r>
      <w:r w:rsidR="000D425A" w:rsidRPr="003A60B2">
        <w:rPr>
          <w:b/>
          <w:bCs/>
          <w:sz w:val="22"/>
          <w:szCs w:val="22"/>
          <w:lang w:val="sr-Latn-ME"/>
        </w:rPr>
        <w:t>I</w:t>
      </w:r>
      <w:r w:rsidRPr="003A60B2">
        <w:rPr>
          <w:b/>
          <w:bCs/>
          <w:sz w:val="22"/>
          <w:szCs w:val="22"/>
          <w:lang w:val="sr-Latn-ME"/>
        </w:rPr>
        <w:t xml:space="preserve"> PODACI</w:t>
      </w:r>
    </w:p>
    <w:p w:rsidR="0072020E" w:rsidRPr="003A60B2" w:rsidRDefault="0072020E" w:rsidP="00EC73B3">
      <w:pPr>
        <w:tabs>
          <w:tab w:val="left" w:pos="540"/>
          <w:tab w:val="left" w:pos="569"/>
        </w:tabs>
        <w:jc w:val="both"/>
        <w:rPr>
          <w:b/>
          <w:bCs/>
          <w:sz w:val="22"/>
          <w:szCs w:val="22"/>
          <w:lang w:val="sr-Latn-ME"/>
        </w:rPr>
      </w:pPr>
    </w:p>
    <w:p w:rsidR="0072020E" w:rsidRPr="003A60B2" w:rsidRDefault="0072020E" w:rsidP="00EC73B3">
      <w:pPr>
        <w:tabs>
          <w:tab w:val="left" w:pos="540"/>
          <w:tab w:val="left" w:pos="569"/>
        </w:tabs>
        <w:jc w:val="both"/>
        <w:rPr>
          <w:b/>
          <w:bCs/>
          <w:sz w:val="22"/>
          <w:szCs w:val="22"/>
          <w:lang w:val="sr-Latn-ME"/>
        </w:rPr>
      </w:pPr>
      <w:r w:rsidRPr="003A60B2">
        <w:rPr>
          <w:b/>
          <w:bCs/>
          <w:sz w:val="22"/>
          <w:szCs w:val="22"/>
          <w:lang w:val="sr-Latn-ME"/>
        </w:rPr>
        <w:t xml:space="preserve">5.1. </w:t>
      </w:r>
      <w:r w:rsidR="00480FB1" w:rsidRPr="003A60B2">
        <w:rPr>
          <w:b/>
          <w:bCs/>
          <w:sz w:val="22"/>
          <w:szCs w:val="22"/>
          <w:lang w:val="sr-Latn-ME"/>
        </w:rPr>
        <w:tab/>
      </w:r>
      <w:r w:rsidRPr="003A60B2">
        <w:rPr>
          <w:b/>
          <w:bCs/>
          <w:sz w:val="22"/>
          <w:szCs w:val="22"/>
          <w:lang w:val="sr-Latn-ME"/>
        </w:rPr>
        <w:t>Farmakodinamski podaci</w:t>
      </w:r>
      <w:r w:rsidR="003A7059" w:rsidRPr="003A60B2">
        <w:rPr>
          <w:b/>
          <w:bCs/>
          <w:sz w:val="22"/>
          <w:szCs w:val="22"/>
          <w:lang w:val="sr-Latn-ME"/>
        </w:rPr>
        <w:t xml:space="preserve"> </w:t>
      </w:r>
    </w:p>
    <w:p w:rsidR="00F45F77" w:rsidRPr="003A60B2" w:rsidRDefault="00F45F77" w:rsidP="00EC73B3">
      <w:pPr>
        <w:tabs>
          <w:tab w:val="left" w:pos="540"/>
          <w:tab w:val="left" w:pos="569"/>
        </w:tabs>
        <w:jc w:val="both"/>
        <w:rPr>
          <w:b/>
          <w:bCs/>
          <w:sz w:val="22"/>
          <w:szCs w:val="22"/>
          <w:lang w:val="sr-Latn-ME"/>
        </w:rPr>
      </w:pPr>
    </w:p>
    <w:p w:rsidR="00AE5E49" w:rsidRPr="003A60B2" w:rsidRDefault="00AE5E49" w:rsidP="00EC73B3">
      <w:pPr>
        <w:tabs>
          <w:tab w:val="left" w:pos="284"/>
        </w:tabs>
        <w:jc w:val="both"/>
        <w:rPr>
          <w:sz w:val="22"/>
          <w:szCs w:val="22"/>
          <w:lang w:val="sr-Latn-ME"/>
        </w:rPr>
      </w:pPr>
      <w:r w:rsidRPr="003A60B2">
        <w:rPr>
          <w:b/>
          <w:bCs/>
          <w:sz w:val="22"/>
          <w:szCs w:val="22"/>
          <w:lang w:val="sr-Latn-ME"/>
        </w:rPr>
        <w:t>Farmakoterapijska grupa</w:t>
      </w:r>
      <w:r w:rsidRPr="003A60B2">
        <w:rPr>
          <w:bCs/>
          <w:sz w:val="22"/>
          <w:szCs w:val="22"/>
          <w:lang w:val="sr-Latn-ME"/>
        </w:rPr>
        <w:t>:</w:t>
      </w:r>
      <w:r w:rsidRPr="003A60B2">
        <w:rPr>
          <w:sz w:val="22"/>
          <w:szCs w:val="22"/>
          <w:lang w:val="sr-Latn-ME" w:eastAsia="hr-HR"/>
        </w:rPr>
        <w:t xml:space="preserve"> Drugi ljekovi za nervni sistem</w:t>
      </w:r>
    </w:p>
    <w:p w:rsidR="00AE5E49" w:rsidRPr="003A60B2" w:rsidRDefault="00AE5E49" w:rsidP="00EC73B3">
      <w:pPr>
        <w:tabs>
          <w:tab w:val="left" w:pos="284"/>
        </w:tabs>
        <w:jc w:val="both"/>
        <w:rPr>
          <w:sz w:val="22"/>
          <w:szCs w:val="22"/>
          <w:lang w:val="sr-Latn-ME"/>
        </w:rPr>
      </w:pPr>
    </w:p>
    <w:p w:rsidR="00AE5E49" w:rsidRPr="003A60B2" w:rsidRDefault="00AE5E49" w:rsidP="00EC73B3">
      <w:pPr>
        <w:tabs>
          <w:tab w:val="left" w:pos="284"/>
        </w:tabs>
        <w:jc w:val="both"/>
        <w:rPr>
          <w:sz w:val="22"/>
          <w:szCs w:val="22"/>
          <w:lang w:val="sr-Latn-ME"/>
        </w:rPr>
      </w:pPr>
      <w:r w:rsidRPr="003A60B2">
        <w:rPr>
          <w:b/>
          <w:bCs/>
          <w:sz w:val="22"/>
          <w:szCs w:val="22"/>
          <w:lang w:val="sr-Latn-ME"/>
        </w:rPr>
        <w:t>ATC kod:</w:t>
      </w:r>
      <w:r w:rsidRPr="003A60B2">
        <w:rPr>
          <w:sz w:val="22"/>
          <w:szCs w:val="22"/>
          <w:lang w:val="sr-Latn-ME" w:eastAsia="hr-HR"/>
        </w:rPr>
        <w:t xml:space="preserve"> N07XX07. </w:t>
      </w:r>
    </w:p>
    <w:p w:rsidR="00AE5E49" w:rsidRPr="003A60B2" w:rsidRDefault="00AE5E49" w:rsidP="00EC73B3">
      <w:pPr>
        <w:tabs>
          <w:tab w:val="left" w:pos="284"/>
        </w:tabs>
        <w:jc w:val="both"/>
        <w:rPr>
          <w:sz w:val="22"/>
          <w:szCs w:val="22"/>
          <w:u w:val="single"/>
          <w:lang w:val="sr-Latn-ME" w:eastAsia="hr-HR"/>
        </w:rPr>
      </w:pPr>
    </w:p>
    <w:p w:rsidR="00AE5E49" w:rsidRPr="003A60B2" w:rsidRDefault="00AE5E49" w:rsidP="00EC73B3">
      <w:pPr>
        <w:tabs>
          <w:tab w:val="left" w:pos="284"/>
        </w:tabs>
        <w:jc w:val="both"/>
        <w:rPr>
          <w:sz w:val="22"/>
          <w:szCs w:val="22"/>
          <w:lang w:val="sr-Latn-ME"/>
        </w:rPr>
      </w:pPr>
      <w:r w:rsidRPr="003A60B2">
        <w:rPr>
          <w:sz w:val="22"/>
          <w:szCs w:val="22"/>
          <w:u w:val="single"/>
          <w:lang w:val="sr-Latn-ME" w:eastAsia="hr-HR"/>
        </w:rPr>
        <w:t>Farmakodinamska dejstva</w:t>
      </w:r>
    </w:p>
    <w:p w:rsidR="00AE5E49" w:rsidRPr="003A60B2" w:rsidRDefault="00AE5E49" w:rsidP="00EC73B3">
      <w:pPr>
        <w:tabs>
          <w:tab w:val="left" w:pos="284"/>
        </w:tabs>
        <w:jc w:val="both"/>
        <w:rPr>
          <w:sz w:val="22"/>
          <w:szCs w:val="22"/>
          <w:lang w:val="sr-Latn-ME" w:eastAsia="hr-HR"/>
        </w:rPr>
      </w:pPr>
    </w:p>
    <w:p w:rsidR="00AE5E49" w:rsidRPr="003A60B2" w:rsidRDefault="00AE5E49" w:rsidP="00EC73B3">
      <w:pPr>
        <w:tabs>
          <w:tab w:val="left" w:pos="284"/>
        </w:tabs>
        <w:jc w:val="both"/>
        <w:rPr>
          <w:sz w:val="22"/>
          <w:szCs w:val="22"/>
          <w:lang w:val="sr-Latn-ME"/>
        </w:rPr>
      </w:pPr>
      <w:r w:rsidRPr="003A60B2">
        <w:rPr>
          <w:sz w:val="22"/>
          <w:szCs w:val="22"/>
          <w:lang w:val="sr-Latn-ME" w:eastAsia="hr-HR"/>
        </w:rPr>
        <w:t>Fampridin je blokator kalijumovih kanala. Blokiranjem kalijumovih kanala, fampridin smanjuje prolazak jonske struje kroz te kanale, čime se produžava repolarizacija i tako pojačava formiranje akcionog potencijala u demijelinizovanim aksonima, kao i neurološka funkcija. Pretpostavlja se da tako pojačano formiranje akcionih potencijala omogućava sprovođenje većeg broja nervnih impulsa u centralnom nervnom sistemu.</w:t>
      </w:r>
    </w:p>
    <w:p w:rsidR="00AE5E49" w:rsidRPr="003A60B2" w:rsidRDefault="00AE5E49" w:rsidP="00EC73B3">
      <w:pPr>
        <w:tabs>
          <w:tab w:val="left" w:pos="284"/>
        </w:tabs>
        <w:jc w:val="both"/>
        <w:rPr>
          <w:sz w:val="22"/>
          <w:szCs w:val="22"/>
          <w:u w:val="single"/>
          <w:lang w:val="sr-Latn-ME" w:eastAsia="hr-HR"/>
        </w:rPr>
      </w:pPr>
    </w:p>
    <w:p w:rsidR="00AE5E49" w:rsidRPr="003A60B2" w:rsidRDefault="00AE5E49" w:rsidP="00EC73B3">
      <w:pPr>
        <w:tabs>
          <w:tab w:val="left" w:pos="284"/>
        </w:tabs>
        <w:jc w:val="both"/>
        <w:rPr>
          <w:sz w:val="22"/>
          <w:szCs w:val="22"/>
          <w:lang w:val="sr-Latn-ME"/>
        </w:rPr>
      </w:pPr>
      <w:r w:rsidRPr="003A60B2">
        <w:rPr>
          <w:sz w:val="22"/>
          <w:szCs w:val="22"/>
          <w:u w:val="single"/>
          <w:lang w:val="sr-Latn-ME" w:eastAsia="hr-HR"/>
        </w:rPr>
        <w:t>Klinička efikasnost i bezbjednost</w:t>
      </w:r>
    </w:p>
    <w:p w:rsidR="00AE5E49" w:rsidRPr="003A60B2" w:rsidRDefault="00AE5E49" w:rsidP="00EC73B3">
      <w:pPr>
        <w:tabs>
          <w:tab w:val="left" w:pos="284"/>
        </w:tabs>
        <w:jc w:val="both"/>
        <w:rPr>
          <w:sz w:val="22"/>
          <w:szCs w:val="22"/>
          <w:lang w:val="sr-Latn-ME"/>
        </w:rPr>
      </w:pPr>
      <w:r w:rsidRPr="003A60B2">
        <w:rPr>
          <w:sz w:val="22"/>
          <w:szCs w:val="22"/>
          <w:lang w:val="sr-Latn-ME" w:eastAsia="hr-HR"/>
        </w:rPr>
        <w:t>Sprovedene su tri randomizovane, dvostruko slijepe, placebom kontrolisane konfirmatorne studije III faze (MS-F203, MS-F204 i 218MS305). Srazmjeran udio pacijenta koji su odgovorili na terapiju nije zavisio od istovremene imunomodulatorne terapije (uključujući interferone, glatiramer acetat, fingolimod i natalizumab). Doza fampridina je bila 10 mg dva puta na dan.</w:t>
      </w:r>
    </w:p>
    <w:p w:rsidR="00AE5E49" w:rsidRPr="003A60B2" w:rsidRDefault="00AE5E49" w:rsidP="00EC73B3">
      <w:pPr>
        <w:tabs>
          <w:tab w:val="left" w:pos="284"/>
        </w:tabs>
        <w:jc w:val="both"/>
        <w:rPr>
          <w:sz w:val="22"/>
          <w:szCs w:val="22"/>
          <w:u w:val="single"/>
          <w:lang w:val="sr-Latn-ME" w:eastAsia="hr-HR"/>
        </w:rPr>
      </w:pPr>
    </w:p>
    <w:p w:rsidR="00AE5E49" w:rsidRPr="003A60B2" w:rsidRDefault="00AE5E49" w:rsidP="00EC73B3">
      <w:pPr>
        <w:tabs>
          <w:tab w:val="left" w:pos="284"/>
        </w:tabs>
        <w:jc w:val="both"/>
        <w:rPr>
          <w:sz w:val="22"/>
          <w:szCs w:val="22"/>
          <w:lang w:val="sr-Latn-ME"/>
        </w:rPr>
      </w:pPr>
      <w:r w:rsidRPr="003A60B2">
        <w:rPr>
          <w:sz w:val="22"/>
          <w:szCs w:val="22"/>
          <w:u w:val="single"/>
          <w:lang w:val="sr-Latn-ME" w:eastAsia="hr-HR"/>
        </w:rPr>
        <w:t>Studije MS-F203 i MS-F204</w:t>
      </w:r>
    </w:p>
    <w:p w:rsidR="00AE5E49" w:rsidRPr="003A60B2" w:rsidRDefault="00AE5E49" w:rsidP="00EC73B3">
      <w:pPr>
        <w:tabs>
          <w:tab w:val="left" w:pos="284"/>
        </w:tabs>
        <w:jc w:val="both"/>
        <w:rPr>
          <w:sz w:val="22"/>
          <w:szCs w:val="22"/>
          <w:lang w:val="sr-Latn-ME"/>
        </w:rPr>
      </w:pPr>
      <w:r w:rsidRPr="003A60B2">
        <w:rPr>
          <w:sz w:val="22"/>
          <w:szCs w:val="22"/>
          <w:lang w:val="sr-Latn-ME" w:eastAsia="hr-HR"/>
        </w:rPr>
        <w:t>Primarna krajnja tačka u studijama MS-F203 i MS-F204 bila je stopa pacijenta sa odgovorom na terapiju vezanim za poboljšanje brzine hodanja što je mjereno na osnovu vremena potrebnog da ispitanik pređe razdaljinu od  7,6 metara (test T25FW). Pacijent koji je odgovorio na terapiju je definisan kao pacijent koji je konzistentno brže hodao tokom najmanje tri od moguće četiri posjete tokom dvostruko slijepog perioda u odnosu na maksimalnu brzinu tokom pet posjeta koje ni</w:t>
      </w:r>
      <w:r w:rsidR="00EC73B3" w:rsidRPr="003A60B2">
        <w:rPr>
          <w:sz w:val="22"/>
          <w:szCs w:val="22"/>
          <w:lang w:val="sr-Latn-ME" w:eastAsia="hr-HR"/>
        </w:rPr>
        <w:t>je</w:t>
      </w:r>
      <w:r w:rsidRPr="003A60B2">
        <w:rPr>
          <w:sz w:val="22"/>
          <w:szCs w:val="22"/>
          <w:lang w:val="sr-Latn-ME" w:eastAsia="hr-HR"/>
        </w:rPr>
        <w:t>su bile u okviru terapije.</w:t>
      </w:r>
    </w:p>
    <w:p w:rsidR="00AE5E49" w:rsidRPr="003A60B2" w:rsidRDefault="00AE5E49" w:rsidP="00EC73B3">
      <w:pPr>
        <w:tabs>
          <w:tab w:val="left" w:pos="284"/>
        </w:tabs>
        <w:jc w:val="both"/>
        <w:rPr>
          <w:sz w:val="22"/>
          <w:szCs w:val="22"/>
          <w:lang w:val="sr-Latn-ME" w:eastAsia="hr-HR"/>
        </w:rPr>
      </w:pPr>
    </w:p>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Srazmjeran udio pacijenata koji su odgovorili na terapiju bio je značajno veći u grupi liječenoj fampridinom u poređenju sa placebom (MS-F203: 34,8% u poređenju sa 8,3%, p&lt;0,001; MS-F204: 42,9% u poređenju sa 9,3%, p&lt;0,001).</w:t>
      </w:r>
    </w:p>
    <w:p w:rsidR="00AE5E49" w:rsidRPr="003A60B2" w:rsidRDefault="00AE5E49" w:rsidP="00EC73B3">
      <w:pPr>
        <w:tabs>
          <w:tab w:val="left" w:pos="284"/>
        </w:tabs>
        <w:jc w:val="both"/>
        <w:rPr>
          <w:sz w:val="22"/>
          <w:szCs w:val="22"/>
          <w:lang w:val="sr-Latn-ME"/>
        </w:rPr>
      </w:pPr>
    </w:p>
    <w:p w:rsidR="00AE5E49" w:rsidRPr="003A60B2" w:rsidRDefault="00AE5E49" w:rsidP="00EC73B3">
      <w:pPr>
        <w:tabs>
          <w:tab w:val="left" w:pos="284"/>
        </w:tabs>
        <w:jc w:val="both"/>
        <w:rPr>
          <w:sz w:val="22"/>
          <w:szCs w:val="22"/>
          <w:lang w:val="sr-Latn-ME"/>
        </w:rPr>
      </w:pPr>
      <w:r w:rsidRPr="003A60B2">
        <w:rPr>
          <w:sz w:val="22"/>
          <w:szCs w:val="22"/>
          <w:lang w:val="sr-Latn-ME" w:eastAsia="hr-HR"/>
        </w:rPr>
        <w:t>Kod pacijenata koji su odgovorili na terapiju fampridinom zabilježeno je primjetno povećanje brzine hodanja u prosjeku za 26,3%, u poređenju sa 5,3% u grupi koja je dobijala placebo (p&lt;0,001) (MS-F203) i 25,3% u poređenju sa 7,8% (p&lt; 0,001) (MS-F204). Poboljšanje se javilo brzo (u roku od nekoliko nedjelja) nakon započinjanja primjene fampridina.</w:t>
      </w:r>
    </w:p>
    <w:p w:rsidR="00AE5E49" w:rsidRPr="003A60B2" w:rsidRDefault="00AE5E49" w:rsidP="00EC73B3">
      <w:pPr>
        <w:tabs>
          <w:tab w:val="left" w:pos="284"/>
        </w:tabs>
        <w:jc w:val="both"/>
        <w:rPr>
          <w:sz w:val="22"/>
          <w:szCs w:val="22"/>
          <w:lang w:val="sr-Latn-ME" w:eastAsia="hr-HR"/>
        </w:rPr>
      </w:pPr>
    </w:p>
    <w:p w:rsidR="00AE5E49" w:rsidRPr="003A60B2" w:rsidRDefault="00AE5E49" w:rsidP="00EC73B3">
      <w:pPr>
        <w:tabs>
          <w:tab w:val="left" w:pos="284"/>
        </w:tabs>
        <w:jc w:val="both"/>
        <w:rPr>
          <w:sz w:val="22"/>
          <w:szCs w:val="22"/>
          <w:lang w:val="sr-Latn-ME" w:eastAsia="hr-HR"/>
        </w:rPr>
      </w:pPr>
      <w:r w:rsidRPr="003A60B2">
        <w:rPr>
          <w:sz w:val="22"/>
          <w:szCs w:val="22"/>
          <w:lang w:val="sr-Latn-ME" w:eastAsia="hr-HR"/>
        </w:rPr>
        <w:t>Statistički i klinički značajno poboljšanje hodanja je zabilježeno i mjereno skalom hodanja kod multiple skleroze sa 12 tačaka.</w:t>
      </w:r>
    </w:p>
    <w:p w:rsidR="00AE5E49" w:rsidRPr="003A60B2" w:rsidRDefault="00AE5E49" w:rsidP="00EC73B3">
      <w:pPr>
        <w:tabs>
          <w:tab w:val="left" w:pos="284"/>
        </w:tabs>
        <w:jc w:val="both"/>
        <w:rPr>
          <w:sz w:val="22"/>
          <w:szCs w:val="22"/>
          <w:lang w:val="sr-Latn-ME"/>
        </w:rPr>
      </w:pPr>
    </w:p>
    <w:p w:rsidR="009B2BFC" w:rsidRDefault="009B2BFC" w:rsidP="00EC73B3">
      <w:pPr>
        <w:tabs>
          <w:tab w:val="left" w:pos="284"/>
        </w:tabs>
        <w:jc w:val="both"/>
        <w:rPr>
          <w:b/>
          <w:sz w:val="22"/>
          <w:szCs w:val="22"/>
          <w:u w:val="single"/>
          <w:lang w:val="sr-Latn-ME" w:eastAsia="hr-HR"/>
        </w:rPr>
      </w:pPr>
    </w:p>
    <w:p w:rsidR="009B2BFC" w:rsidRDefault="009B2BFC" w:rsidP="00EC73B3">
      <w:pPr>
        <w:tabs>
          <w:tab w:val="left" w:pos="284"/>
        </w:tabs>
        <w:jc w:val="both"/>
        <w:rPr>
          <w:b/>
          <w:sz w:val="22"/>
          <w:szCs w:val="22"/>
          <w:u w:val="single"/>
          <w:lang w:val="sr-Latn-ME" w:eastAsia="hr-HR"/>
        </w:rPr>
      </w:pPr>
    </w:p>
    <w:p w:rsidR="009B2BFC" w:rsidRDefault="009B2BFC" w:rsidP="00EC73B3">
      <w:pPr>
        <w:tabs>
          <w:tab w:val="left" w:pos="284"/>
        </w:tabs>
        <w:jc w:val="both"/>
        <w:rPr>
          <w:b/>
          <w:sz w:val="22"/>
          <w:szCs w:val="22"/>
          <w:u w:val="single"/>
          <w:lang w:val="sr-Latn-ME" w:eastAsia="hr-HR"/>
        </w:rPr>
      </w:pPr>
    </w:p>
    <w:p w:rsidR="00AE5E49" w:rsidRPr="003A60B2" w:rsidRDefault="00AE5E49" w:rsidP="00EC73B3">
      <w:pPr>
        <w:tabs>
          <w:tab w:val="left" w:pos="284"/>
        </w:tabs>
        <w:jc w:val="both"/>
        <w:rPr>
          <w:b/>
          <w:sz w:val="22"/>
          <w:szCs w:val="22"/>
          <w:u w:val="single"/>
          <w:lang w:val="sr-Latn-ME" w:eastAsia="hr-HR"/>
        </w:rPr>
      </w:pPr>
      <w:r w:rsidRPr="003A60B2">
        <w:rPr>
          <w:b/>
          <w:sz w:val="22"/>
          <w:szCs w:val="22"/>
          <w:u w:val="single"/>
          <w:lang w:val="sr-Latn-ME" w:eastAsia="hr-HR"/>
        </w:rPr>
        <w:lastRenderedPageBreak/>
        <w:t>Tabela 1: Studije MS-F203 i MS-F204</w:t>
      </w:r>
    </w:p>
    <w:p w:rsidR="00AE5E49" w:rsidRPr="003A60B2" w:rsidRDefault="00AE5E49" w:rsidP="00EC73B3">
      <w:pPr>
        <w:tabs>
          <w:tab w:val="left" w:pos="284"/>
        </w:tabs>
        <w:jc w:val="both"/>
        <w:rPr>
          <w:b/>
          <w:sz w:val="22"/>
          <w:szCs w:val="22"/>
          <w:u w:val="single"/>
          <w:lang w:val="sr-Latn-ME" w:eastAsia="hr-HR"/>
        </w:rPr>
      </w:pPr>
    </w:p>
    <w:tbl>
      <w:tblPr>
        <w:tblW w:w="9166" w:type="dxa"/>
        <w:jc w:val="center"/>
        <w:tblLayout w:type="fixed"/>
        <w:tblCellMar>
          <w:left w:w="0" w:type="dxa"/>
          <w:right w:w="0" w:type="dxa"/>
        </w:tblCellMar>
        <w:tblLook w:val="0000" w:firstRow="0" w:lastRow="0" w:firstColumn="0" w:lastColumn="0" w:noHBand="0" w:noVBand="0"/>
      </w:tblPr>
      <w:tblGrid>
        <w:gridCol w:w="2395"/>
        <w:gridCol w:w="1510"/>
        <w:gridCol w:w="1747"/>
        <w:gridCol w:w="1762"/>
        <w:gridCol w:w="1752"/>
      </w:tblGrid>
      <w:tr w:rsidR="00AE5E49" w:rsidRPr="003A60B2" w:rsidTr="00AE5E49">
        <w:trPr>
          <w:trHeight w:val="274"/>
          <w:jc w:val="center"/>
        </w:trPr>
        <w:tc>
          <w:tcPr>
            <w:tcW w:w="2395"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b/>
                <w:sz w:val="22"/>
                <w:szCs w:val="22"/>
                <w:lang w:val="sr-Latn-ME"/>
              </w:rPr>
            </w:pPr>
            <w:r w:rsidRPr="003A60B2">
              <w:rPr>
                <w:b/>
                <w:sz w:val="22"/>
                <w:szCs w:val="22"/>
                <w:lang w:val="sr-Latn-ME" w:eastAsia="hr-HR"/>
              </w:rPr>
              <w:t>STUDIJA *</w:t>
            </w:r>
          </w:p>
        </w:tc>
        <w:tc>
          <w:tcPr>
            <w:tcW w:w="3257" w:type="dxa"/>
            <w:gridSpan w:val="2"/>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b/>
                <w:sz w:val="22"/>
                <w:szCs w:val="22"/>
                <w:lang w:val="sr-Latn-ME"/>
              </w:rPr>
            </w:pPr>
            <w:r w:rsidRPr="003A60B2">
              <w:rPr>
                <w:b/>
                <w:sz w:val="22"/>
                <w:szCs w:val="22"/>
                <w:lang w:val="sr-Latn-ME" w:eastAsia="hr-HR"/>
              </w:rPr>
              <w:t>MS-F203</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b/>
                <w:sz w:val="22"/>
                <w:szCs w:val="22"/>
                <w:lang w:val="sr-Latn-ME"/>
              </w:rPr>
            </w:pPr>
            <w:r w:rsidRPr="003A60B2">
              <w:rPr>
                <w:b/>
                <w:sz w:val="22"/>
                <w:szCs w:val="22"/>
                <w:lang w:val="sr-Latn-ME" w:eastAsia="hr-HR"/>
              </w:rPr>
              <w:t>MS- F204</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p>
        </w:tc>
      </w:tr>
      <w:tr w:rsidR="00AE5E49" w:rsidRPr="003A60B2" w:rsidTr="00AE5E49">
        <w:trPr>
          <w:trHeight w:val="1084"/>
          <w:jc w:val="center"/>
        </w:trPr>
        <w:tc>
          <w:tcPr>
            <w:tcW w:w="2395" w:type="dxa"/>
            <w:tcBorders>
              <w:top w:val="single" w:sz="4" w:space="0" w:color="auto"/>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510" w:type="dxa"/>
            <w:tcBorders>
              <w:top w:val="single" w:sz="4" w:space="0" w:color="auto"/>
              <w:left w:val="single" w:sz="4" w:space="0" w:color="auto"/>
              <w:right w:val="nil"/>
            </w:tcBorders>
            <w:shd w:val="clear" w:color="auto" w:fill="FFFFFF"/>
            <w:vAlign w:val="center"/>
          </w:tcPr>
          <w:p w:rsidR="00AE5E49" w:rsidRPr="003A60B2" w:rsidRDefault="00AE5E49" w:rsidP="00EC73B3">
            <w:pPr>
              <w:tabs>
                <w:tab w:val="left" w:pos="284"/>
              </w:tabs>
              <w:jc w:val="both"/>
              <w:rPr>
                <w:sz w:val="22"/>
                <w:szCs w:val="22"/>
                <w:lang w:val="sr-Latn-ME" w:eastAsia="ja-JP"/>
              </w:rPr>
            </w:pPr>
            <w:r w:rsidRPr="003A60B2">
              <w:rPr>
                <w:b/>
                <w:sz w:val="22"/>
                <w:szCs w:val="22"/>
                <w:lang w:val="sr-Latn-ME" w:eastAsia="hr-HR"/>
              </w:rPr>
              <w:t>Placebo</w:t>
            </w:r>
          </w:p>
        </w:tc>
        <w:tc>
          <w:tcPr>
            <w:tcW w:w="1747" w:type="dxa"/>
            <w:tcBorders>
              <w:top w:val="single" w:sz="4" w:space="0" w:color="auto"/>
              <w:left w:val="nil"/>
              <w:right w:val="single" w:sz="4" w:space="0" w:color="auto"/>
            </w:tcBorders>
            <w:shd w:val="clear" w:color="auto" w:fill="FFFFFF"/>
            <w:vAlign w:val="center"/>
          </w:tcPr>
          <w:p w:rsidR="00AE5E49" w:rsidRPr="003A60B2" w:rsidRDefault="00AE5E49" w:rsidP="00EC73B3">
            <w:pPr>
              <w:tabs>
                <w:tab w:val="left" w:pos="284"/>
              </w:tabs>
              <w:jc w:val="both"/>
              <w:rPr>
                <w:b/>
                <w:sz w:val="22"/>
                <w:szCs w:val="22"/>
                <w:lang w:val="sr-Latn-ME"/>
              </w:rPr>
            </w:pPr>
            <w:r w:rsidRPr="003A60B2">
              <w:rPr>
                <w:b/>
                <w:sz w:val="22"/>
                <w:szCs w:val="22"/>
                <w:lang w:val="sr-Latn-ME" w:eastAsia="hr-HR"/>
              </w:rPr>
              <w:t>Fampridin</w:t>
            </w:r>
          </w:p>
          <w:p w:rsidR="00AE5E49" w:rsidRPr="003A60B2" w:rsidRDefault="00AE5E49" w:rsidP="00EC73B3">
            <w:pPr>
              <w:tabs>
                <w:tab w:val="left" w:pos="284"/>
              </w:tabs>
              <w:jc w:val="both"/>
              <w:rPr>
                <w:b/>
                <w:sz w:val="22"/>
                <w:szCs w:val="22"/>
                <w:lang w:val="sr-Latn-ME"/>
              </w:rPr>
            </w:pPr>
            <w:r w:rsidRPr="003A60B2">
              <w:rPr>
                <w:b/>
                <w:sz w:val="22"/>
                <w:szCs w:val="22"/>
                <w:lang w:val="sr-Latn-ME" w:eastAsia="hr-HR"/>
              </w:rPr>
              <w:t>10 mg dva puta</w:t>
            </w:r>
          </w:p>
          <w:p w:rsidR="00AE5E49" w:rsidRPr="003A60B2" w:rsidRDefault="00AE5E49" w:rsidP="00EC73B3">
            <w:pPr>
              <w:tabs>
                <w:tab w:val="left" w:pos="284"/>
              </w:tabs>
              <w:jc w:val="both"/>
              <w:rPr>
                <w:sz w:val="22"/>
                <w:szCs w:val="22"/>
                <w:lang w:val="sr-Latn-ME" w:eastAsia="ja-JP"/>
              </w:rPr>
            </w:pPr>
            <w:r w:rsidRPr="003A60B2">
              <w:rPr>
                <w:b/>
                <w:sz w:val="22"/>
                <w:szCs w:val="22"/>
                <w:lang w:val="sr-Latn-ME" w:eastAsia="hr-HR"/>
              </w:rPr>
              <w:t>na dan</w:t>
            </w:r>
          </w:p>
        </w:tc>
        <w:tc>
          <w:tcPr>
            <w:tcW w:w="1762" w:type="dxa"/>
            <w:tcBorders>
              <w:top w:val="single" w:sz="4" w:space="0" w:color="auto"/>
              <w:left w:val="single" w:sz="4" w:space="0" w:color="auto"/>
              <w:right w:val="single" w:sz="4" w:space="0" w:color="auto"/>
            </w:tcBorders>
            <w:shd w:val="clear" w:color="auto" w:fill="FFFFFF"/>
            <w:vAlign w:val="center"/>
          </w:tcPr>
          <w:p w:rsidR="00AE5E49" w:rsidRPr="003A60B2" w:rsidRDefault="00AE5E49" w:rsidP="00EC73B3">
            <w:pPr>
              <w:tabs>
                <w:tab w:val="left" w:pos="284"/>
              </w:tabs>
              <w:jc w:val="both"/>
              <w:rPr>
                <w:sz w:val="22"/>
                <w:szCs w:val="22"/>
                <w:lang w:val="sr-Latn-ME" w:eastAsia="ja-JP"/>
              </w:rPr>
            </w:pPr>
            <w:r w:rsidRPr="003A60B2">
              <w:rPr>
                <w:b/>
                <w:sz w:val="22"/>
                <w:szCs w:val="22"/>
                <w:lang w:val="sr-Latn-ME" w:eastAsia="hr-HR"/>
              </w:rPr>
              <w:t>Placebo</w:t>
            </w:r>
          </w:p>
        </w:tc>
        <w:tc>
          <w:tcPr>
            <w:tcW w:w="1752" w:type="dxa"/>
            <w:tcBorders>
              <w:top w:val="single" w:sz="4" w:space="0" w:color="auto"/>
              <w:left w:val="single" w:sz="4" w:space="0" w:color="auto"/>
              <w:right w:val="single" w:sz="4" w:space="0" w:color="auto"/>
            </w:tcBorders>
            <w:shd w:val="clear" w:color="auto" w:fill="FFFFFF"/>
            <w:vAlign w:val="center"/>
          </w:tcPr>
          <w:p w:rsidR="00AE5E49" w:rsidRPr="003A60B2" w:rsidRDefault="00AE5E49" w:rsidP="00EC73B3">
            <w:pPr>
              <w:tabs>
                <w:tab w:val="left" w:pos="284"/>
              </w:tabs>
              <w:jc w:val="both"/>
              <w:rPr>
                <w:b/>
                <w:sz w:val="22"/>
                <w:szCs w:val="22"/>
                <w:lang w:val="sr-Latn-ME"/>
              </w:rPr>
            </w:pPr>
            <w:r w:rsidRPr="003A60B2">
              <w:rPr>
                <w:b/>
                <w:sz w:val="22"/>
                <w:szCs w:val="22"/>
                <w:lang w:val="sr-Latn-ME" w:eastAsia="hr-HR"/>
              </w:rPr>
              <w:t>Fampridin</w:t>
            </w:r>
          </w:p>
          <w:p w:rsidR="00AE5E49" w:rsidRPr="003A60B2" w:rsidRDefault="00AE5E49" w:rsidP="00EC73B3">
            <w:pPr>
              <w:tabs>
                <w:tab w:val="left" w:pos="284"/>
              </w:tabs>
              <w:jc w:val="both"/>
              <w:rPr>
                <w:b/>
                <w:sz w:val="22"/>
                <w:szCs w:val="22"/>
                <w:lang w:val="sr-Latn-ME"/>
              </w:rPr>
            </w:pPr>
            <w:r w:rsidRPr="003A60B2">
              <w:rPr>
                <w:b/>
                <w:sz w:val="22"/>
                <w:szCs w:val="22"/>
                <w:lang w:val="sr-Latn-ME" w:eastAsia="hr-HR"/>
              </w:rPr>
              <w:t>10 mg dva puta</w:t>
            </w:r>
          </w:p>
          <w:p w:rsidR="00AE5E49" w:rsidRPr="003A60B2" w:rsidRDefault="00AE5E49" w:rsidP="00EC73B3">
            <w:pPr>
              <w:tabs>
                <w:tab w:val="left" w:pos="284"/>
              </w:tabs>
              <w:jc w:val="both"/>
              <w:rPr>
                <w:sz w:val="22"/>
                <w:szCs w:val="22"/>
                <w:lang w:val="sr-Latn-ME" w:eastAsia="ja-JP"/>
              </w:rPr>
            </w:pPr>
            <w:r w:rsidRPr="003A60B2">
              <w:rPr>
                <w:b/>
                <w:sz w:val="22"/>
                <w:szCs w:val="22"/>
                <w:lang w:val="sr-Latn-ME" w:eastAsia="hr-HR"/>
              </w:rPr>
              <w:t>na dan</w:t>
            </w:r>
          </w:p>
        </w:tc>
      </w:tr>
      <w:tr w:rsidR="00AE5E49" w:rsidRPr="003A60B2" w:rsidTr="00AE5E49">
        <w:trPr>
          <w:trHeight w:val="269"/>
          <w:jc w:val="center"/>
        </w:trPr>
        <w:tc>
          <w:tcPr>
            <w:tcW w:w="2395" w:type="dxa"/>
            <w:tcBorders>
              <w:top w:val="single" w:sz="4" w:space="0" w:color="auto"/>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Broj ispitanika</w:t>
            </w:r>
          </w:p>
        </w:tc>
        <w:tc>
          <w:tcPr>
            <w:tcW w:w="151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72</w:t>
            </w:r>
          </w:p>
        </w:tc>
        <w:tc>
          <w:tcPr>
            <w:tcW w:w="1747" w:type="dxa"/>
            <w:tcBorders>
              <w:top w:val="single" w:sz="4" w:space="0" w:color="auto"/>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224</w:t>
            </w:r>
          </w:p>
        </w:tc>
        <w:tc>
          <w:tcPr>
            <w:tcW w:w="1762" w:type="dxa"/>
            <w:tcBorders>
              <w:top w:val="single" w:sz="4" w:space="0" w:color="auto"/>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118</w:t>
            </w:r>
          </w:p>
        </w:tc>
        <w:tc>
          <w:tcPr>
            <w:tcW w:w="1752" w:type="dxa"/>
            <w:tcBorders>
              <w:top w:val="single" w:sz="4" w:space="0" w:color="auto"/>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119</w:t>
            </w:r>
          </w:p>
        </w:tc>
      </w:tr>
      <w:tr w:rsidR="00AE5E49" w:rsidRPr="003A60B2" w:rsidTr="00AE5E49">
        <w:trPr>
          <w:trHeight w:val="547"/>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b/>
                <w:sz w:val="22"/>
                <w:szCs w:val="22"/>
                <w:lang w:val="sr-Latn-ME"/>
              </w:rPr>
            </w:pPr>
            <w:r w:rsidRPr="003A60B2">
              <w:rPr>
                <w:b/>
                <w:sz w:val="22"/>
                <w:szCs w:val="22"/>
                <w:lang w:val="sr-Latn-ME" w:eastAsia="hr-HR"/>
              </w:rPr>
              <w:t>Konzistentno poboljšanje</w:t>
            </w:r>
          </w:p>
        </w:tc>
        <w:tc>
          <w:tcPr>
            <w:tcW w:w="1510" w:type="dxa"/>
            <w:tcBorders>
              <w:top w:val="single" w:sz="4" w:space="0" w:color="auto"/>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b/>
                <w:sz w:val="22"/>
                <w:szCs w:val="22"/>
                <w:lang w:val="sr-Latn-ME"/>
              </w:rPr>
            </w:pPr>
            <w:r w:rsidRPr="003A60B2">
              <w:rPr>
                <w:b/>
                <w:sz w:val="22"/>
                <w:szCs w:val="22"/>
                <w:lang w:val="sr-Latn-ME" w:eastAsia="hr-HR"/>
              </w:rPr>
              <w:t>8,3%</w:t>
            </w: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b/>
                <w:sz w:val="22"/>
                <w:szCs w:val="22"/>
                <w:lang w:val="sr-Latn-ME"/>
              </w:rPr>
            </w:pPr>
            <w:r w:rsidRPr="003A60B2">
              <w:rPr>
                <w:b/>
                <w:sz w:val="22"/>
                <w:szCs w:val="22"/>
                <w:lang w:val="sr-Latn-ME" w:eastAsia="hr-HR"/>
              </w:rPr>
              <w:t>34,8%</w:t>
            </w: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b/>
                <w:sz w:val="22"/>
                <w:szCs w:val="22"/>
                <w:lang w:val="sr-Latn-ME"/>
              </w:rPr>
            </w:pPr>
            <w:r w:rsidRPr="003A60B2">
              <w:rPr>
                <w:b/>
                <w:sz w:val="22"/>
                <w:szCs w:val="22"/>
                <w:lang w:val="sr-Latn-ME" w:eastAsia="hr-HR"/>
              </w:rPr>
              <w:t>9,3%</w:t>
            </w: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b/>
                <w:sz w:val="22"/>
                <w:szCs w:val="22"/>
                <w:lang w:val="sr-Latn-ME"/>
              </w:rPr>
            </w:pPr>
            <w:r w:rsidRPr="003A60B2">
              <w:rPr>
                <w:b/>
                <w:sz w:val="22"/>
                <w:szCs w:val="22"/>
                <w:lang w:val="sr-Latn-ME" w:eastAsia="hr-HR"/>
              </w:rPr>
              <w:t>42,9%</w:t>
            </w:r>
          </w:p>
        </w:tc>
      </w:tr>
      <w:tr w:rsidR="00AE5E49" w:rsidRPr="003A60B2" w:rsidTr="00AE5E49">
        <w:trPr>
          <w:trHeight w:val="240"/>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Razlika</w:t>
            </w: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b/>
                <w:sz w:val="22"/>
                <w:szCs w:val="22"/>
                <w:lang w:val="sr-Latn-ME"/>
              </w:rPr>
            </w:pPr>
            <w:r w:rsidRPr="003A60B2">
              <w:rPr>
                <w:b/>
                <w:sz w:val="22"/>
                <w:szCs w:val="22"/>
                <w:lang w:val="sr-Latn-ME" w:eastAsia="hr-HR"/>
              </w:rPr>
              <w:t>26,5%</w:t>
            </w: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b/>
                <w:sz w:val="22"/>
                <w:szCs w:val="22"/>
                <w:lang w:val="sr-Latn-ME"/>
              </w:rPr>
            </w:pPr>
            <w:r w:rsidRPr="003A60B2">
              <w:rPr>
                <w:b/>
                <w:sz w:val="22"/>
                <w:szCs w:val="22"/>
                <w:lang w:val="sr-Latn-ME" w:eastAsia="hr-HR"/>
              </w:rPr>
              <w:t>33,5%</w:t>
            </w:r>
          </w:p>
        </w:tc>
      </w:tr>
      <w:tr w:rsidR="00AE5E49" w:rsidRPr="003A60B2" w:rsidTr="00AE5E49">
        <w:trPr>
          <w:trHeight w:val="264"/>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CI</w:t>
            </w:r>
            <w:r w:rsidRPr="003A60B2">
              <w:rPr>
                <w:sz w:val="22"/>
                <w:szCs w:val="22"/>
                <w:vertAlign w:val="subscript"/>
                <w:lang w:val="sr-Latn-ME" w:eastAsia="hr-HR"/>
              </w:rPr>
              <w:t>95%</w:t>
            </w: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17,6%, 35,4%</w:t>
            </w: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23,2%, 43,9%</w:t>
            </w:r>
          </w:p>
        </w:tc>
      </w:tr>
      <w:tr w:rsidR="00AE5E49" w:rsidRPr="003A60B2" w:rsidTr="00AE5E49">
        <w:trPr>
          <w:trHeight w:val="523"/>
          <w:jc w:val="center"/>
        </w:trPr>
        <w:tc>
          <w:tcPr>
            <w:tcW w:w="2395" w:type="dxa"/>
            <w:tcBorders>
              <w:top w:val="nil"/>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p-vrijednost</w:t>
            </w:r>
          </w:p>
        </w:tc>
        <w:tc>
          <w:tcPr>
            <w:tcW w:w="1510" w:type="dxa"/>
            <w:tcBorders>
              <w:top w:val="nil"/>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47" w:type="dxa"/>
            <w:tcBorders>
              <w:top w:val="nil"/>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&lt; 0,001</w:t>
            </w:r>
          </w:p>
        </w:tc>
        <w:tc>
          <w:tcPr>
            <w:tcW w:w="1762" w:type="dxa"/>
            <w:tcBorders>
              <w:top w:val="nil"/>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52" w:type="dxa"/>
            <w:tcBorders>
              <w:top w:val="nil"/>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&lt; 0,001</w:t>
            </w:r>
          </w:p>
        </w:tc>
      </w:tr>
      <w:tr w:rsidR="00AE5E49" w:rsidRPr="003A60B2" w:rsidTr="00AE5E49">
        <w:trPr>
          <w:trHeight w:val="293"/>
          <w:jc w:val="center"/>
        </w:trPr>
        <w:tc>
          <w:tcPr>
            <w:tcW w:w="2395"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b/>
                <w:sz w:val="22"/>
                <w:szCs w:val="22"/>
                <w:lang w:val="sr-Latn-ME"/>
              </w:rPr>
            </w:pPr>
            <w:r w:rsidRPr="003A60B2">
              <w:rPr>
                <w:b/>
                <w:sz w:val="22"/>
                <w:szCs w:val="22"/>
                <w:lang w:val="sr-Latn-ME" w:eastAsia="hr-HR"/>
              </w:rPr>
              <w:t>≥20% poboljšanje</w:t>
            </w:r>
          </w:p>
        </w:tc>
        <w:tc>
          <w:tcPr>
            <w:tcW w:w="151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11,1%</w:t>
            </w:r>
          </w:p>
        </w:tc>
        <w:tc>
          <w:tcPr>
            <w:tcW w:w="1747"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31,7%</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15,3%</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34,5%</w:t>
            </w:r>
          </w:p>
        </w:tc>
      </w:tr>
      <w:tr w:rsidR="00AE5E49" w:rsidRPr="003A60B2" w:rsidTr="00AE5E49">
        <w:trPr>
          <w:trHeight w:val="293"/>
          <w:jc w:val="center"/>
        </w:trPr>
        <w:tc>
          <w:tcPr>
            <w:tcW w:w="2395"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Razlika</w:t>
            </w:r>
          </w:p>
        </w:tc>
        <w:tc>
          <w:tcPr>
            <w:tcW w:w="1510"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47"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20,6%</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19,2%</w:t>
            </w:r>
          </w:p>
        </w:tc>
      </w:tr>
      <w:tr w:rsidR="00AE5E49" w:rsidRPr="003A60B2" w:rsidTr="00AE5E49">
        <w:trPr>
          <w:trHeight w:val="288"/>
          <w:jc w:val="center"/>
        </w:trPr>
        <w:tc>
          <w:tcPr>
            <w:tcW w:w="2395" w:type="dxa"/>
            <w:tcBorders>
              <w:top w:val="single" w:sz="4" w:space="0" w:color="auto"/>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CI</w:t>
            </w:r>
            <w:r w:rsidRPr="003A60B2">
              <w:rPr>
                <w:sz w:val="22"/>
                <w:szCs w:val="22"/>
                <w:vertAlign w:val="subscript"/>
                <w:lang w:val="sr-Latn-ME" w:eastAsia="hr-HR"/>
              </w:rPr>
              <w:t>95%</w:t>
            </w:r>
          </w:p>
        </w:tc>
        <w:tc>
          <w:tcPr>
            <w:tcW w:w="1510" w:type="dxa"/>
            <w:tcBorders>
              <w:top w:val="single" w:sz="4" w:space="0" w:color="auto"/>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47" w:type="dxa"/>
            <w:tcBorders>
              <w:top w:val="single" w:sz="4" w:space="0" w:color="auto"/>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11,1%,30,1%</w:t>
            </w:r>
          </w:p>
        </w:tc>
        <w:tc>
          <w:tcPr>
            <w:tcW w:w="1762" w:type="dxa"/>
            <w:tcBorders>
              <w:top w:val="single" w:sz="4" w:space="0" w:color="auto"/>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52" w:type="dxa"/>
            <w:tcBorders>
              <w:top w:val="single" w:sz="4" w:space="0" w:color="auto"/>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8,5%,29,9%</w:t>
            </w:r>
          </w:p>
        </w:tc>
      </w:tr>
      <w:tr w:rsidR="00AE5E49" w:rsidRPr="003A60B2" w:rsidTr="00AE5E49">
        <w:trPr>
          <w:trHeight w:val="264"/>
          <w:jc w:val="center"/>
        </w:trPr>
        <w:tc>
          <w:tcPr>
            <w:tcW w:w="2395" w:type="dxa"/>
            <w:tcBorders>
              <w:top w:val="nil"/>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p-vrijednost</w:t>
            </w:r>
          </w:p>
        </w:tc>
        <w:tc>
          <w:tcPr>
            <w:tcW w:w="1510" w:type="dxa"/>
            <w:tcBorders>
              <w:top w:val="nil"/>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47" w:type="dxa"/>
            <w:tcBorders>
              <w:top w:val="nil"/>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&lt;0,001</w:t>
            </w:r>
          </w:p>
        </w:tc>
        <w:tc>
          <w:tcPr>
            <w:tcW w:w="1762" w:type="dxa"/>
            <w:tcBorders>
              <w:top w:val="nil"/>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52" w:type="dxa"/>
            <w:tcBorders>
              <w:top w:val="nil"/>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&lt;0,001</w:t>
            </w:r>
          </w:p>
        </w:tc>
      </w:tr>
      <w:tr w:rsidR="00AE5E49" w:rsidRPr="003A60B2" w:rsidTr="00AE5E49">
        <w:trPr>
          <w:trHeight w:val="307"/>
          <w:jc w:val="center"/>
        </w:trPr>
        <w:tc>
          <w:tcPr>
            <w:tcW w:w="2395" w:type="dxa"/>
            <w:vMerge w:val="restart"/>
            <w:tcBorders>
              <w:top w:val="single" w:sz="4" w:space="0" w:color="auto"/>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Brzina hoda</w:t>
            </w:r>
          </w:p>
          <w:p w:rsidR="00AE5E49" w:rsidRPr="003A60B2" w:rsidRDefault="00AE5E49" w:rsidP="00EC73B3">
            <w:pPr>
              <w:tabs>
                <w:tab w:val="left" w:pos="284"/>
              </w:tabs>
              <w:jc w:val="both"/>
              <w:rPr>
                <w:sz w:val="22"/>
                <w:szCs w:val="22"/>
                <w:lang w:val="sr-Latn-ME"/>
              </w:rPr>
            </w:pPr>
            <w:r w:rsidRPr="003A60B2">
              <w:rPr>
                <w:sz w:val="22"/>
                <w:szCs w:val="22"/>
                <w:lang w:val="sr-Latn-ME" w:eastAsia="hr-HR"/>
              </w:rPr>
              <w:t>stopa (ft)/sekundi</w:t>
            </w:r>
          </w:p>
        </w:tc>
        <w:tc>
          <w:tcPr>
            <w:tcW w:w="1510" w:type="dxa"/>
            <w:tcBorders>
              <w:top w:val="single" w:sz="4" w:space="0" w:color="auto"/>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Stopa po sek</w:t>
            </w:r>
          </w:p>
        </w:tc>
        <w:tc>
          <w:tcPr>
            <w:tcW w:w="1747" w:type="dxa"/>
            <w:tcBorders>
              <w:top w:val="single" w:sz="4" w:space="0" w:color="auto"/>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Stopa po sek</w:t>
            </w:r>
          </w:p>
        </w:tc>
        <w:tc>
          <w:tcPr>
            <w:tcW w:w="1762" w:type="dxa"/>
            <w:tcBorders>
              <w:top w:val="single" w:sz="4" w:space="0" w:color="auto"/>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Stopa po sek</w:t>
            </w:r>
          </w:p>
        </w:tc>
        <w:tc>
          <w:tcPr>
            <w:tcW w:w="1752" w:type="dxa"/>
            <w:tcBorders>
              <w:top w:val="single" w:sz="4" w:space="0" w:color="auto"/>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Stopa po sek</w:t>
            </w:r>
          </w:p>
        </w:tc>
      </w:tr>
      <w:tr w:rsidR="00AE5E49" w:rsidRPr="003A60B2" w:rsidTr="00AE5E49">
        <w:trPr>
          <w:trHeight w:val="259"/>
          <w:jc w:val="center"/>
        </w:trPr>
        <w:tc>
          <w:tcPr>
            <w:tcW w:w="2395" w:type="dxa"/>
            <w:vMerge/>
            <w:tcBorders>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r>
      <w:tr w:rsidR="00AE5E49" w:rsidRPr="003A60B2" w:rsidTr="00AE5E49">
        <w:trPr>
          <w:trHeight w:val="269"/>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Na početku</w:t>
            </w: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2,04</w:t>
            </w: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2,02</w:t>
            </w: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2,21</w:t>
            </w: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2,12</w:t>
            </w:r>
          </w:p>
        </w:tc>
      </w:tr>
      <w:tr w:rsidR="00AE5E49" w:rsidRPr="003A60B2" w:rsidTr="00AE5E49">
        <w:trPr>
          <w:trHeight w:val="326"/>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Krajnja tačka</w:t>
            </w: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2,15</w:t>
            </w: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2,32</w:t>
            </w: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2,39</w:t>
            </w: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2,43</w:t>
            </w:r>
          </w:p>
        </w:tc>
      </w:tr>
      <w:tr w:rsidR="00AE5E49" w:rsidRPr="003A60B2" w:rsidTr="00AE5E49">
        <w:trPr>
          <w:trHeight w:val="302"/>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Promjena</w:t>
            </w: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0,11</w:t>
            </w: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0,30</w:t>
            </w: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0,18</w:t>
            </w: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0,31</w:t>
            </w:r>
          </w:p>
        </w:tc>
      </w:tr>
      <w:tr w:rsidR="00AE5E49" w:rsidRPr="003A60B2" w:rsidTr="00AE5E49">
        <w:trPr>
          <w:trHeight w:val="245"/>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Razlika</w:t>
            </w:r>
          </w:p>
        </w:tc>
        <w:tc>
          <w:tcPr>
            <w:tcW w:w="3257" w:type="dxa"/>
            <w:gridSpan w:val="2"/>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0,19</w:t>
            </w:r>
          </w:p>
        </w:tc>
        <w:tc>
          <w:tcPr>
            <w:tcW w:w="3514" w:type="dxa"/>
            <w:gridSpan w:val="2"/>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0,12</w:t>
            </w:r>
          </w:p>
        </w:tc>
      </w:tr>
      <w:tr w:rsidR="00AE5E49" w:rsidRPr="003A60B2" w:rsidTr="00AE5E49">
        <w:trPr>
          <w:trHeight w:val="283"/>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p-vrijednost</w:t>
            </w:r>
          </w:p>
        </w:tc>
        <w:tc>
          <w:tcPr>
            <w:tcW w:w="3257" w:type="dxa"/>
            <w:gridSpan w:val="2"/>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0,010</w:t>
            </w:r>
          </w:p>
        </w:tc>
        <w:tc>
          <w:tcPr>
            <w:tcW w:w="3514" w:type="dxa"/>
            <w:gridSpan w:val="2"/>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0,038</w:t>
            </w:r>
          </w:p>
        </w:tc>
      </w:tr>
      <w:tr w:rsidR="00AE5E49" w:rsidRPr="003A60B2" w:rsidTr="00AE5E49">
        <w:trPr>
          <w:trHeight w:val="254"/>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Prosječni % promjene</w:t>
            </w: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5,24</w:t>
            </w: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13,88</w:t>
            </w: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7,74</w:t>
            </w: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14,36</w:t>
            </w:r>
          </w:p>
        </w:tc>
      </w:tr>
      <w:tr w:rsidR="00AE5E49" w:rsidRPr="003A60B2" w:rsidTr="00AE5E49">
        <w:trPr>
          <w:trHeight w:val="240"/>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Razlika</w:t>
            </w:r>
          </w:p>
        </w:tc>
        <w:tc>
          <w:tcPr>
            <w:tcW w:w="3257" w:type="dxa"/>
            <w:gridSpan w:val="2"/>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8,65</w:t>
            </w:r>
          </w:p>
        </w:tc>
        <w:tc>
          <w:tcPr>
            <w:tcW w:w="3514" w:type="dxa"/>
            <w:gridSpan w:val="2"/>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6,62</w:t>
            </w:r>
          </w:p>
        </w:tc>
      </w:tr>
      <w:tr w:rsidR="00AE5E49" w:rsidRPr="003A60B2" w:rsidTr="00AE5E49">
        <w:trPr>
          <w:trHeight w:val="278"/>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p-vrijednost</w:t>
            </w:r>
          </w:p>
        </w:tc>
        <w:tc>
          <w:tcPr>
            <w:tcW w:w="3257" w:type="dxa"/>
            <w:gridSpan w:val="2"/>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&lt; 0,001</w:t>
            </w:r>
          </w:p>
        </w:tc>
        <w:tc>
          <w:tcPr>
            <w:tcW w:w="3514" w:type="dxa"/>
            <w:gridSpan w:val="2"/>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0,007</w:t>
            </w:r>
          </w:p>
        </w:tc>
      </w:tr>
      <w:tr w:rsidR="00AE5E49" w:rsidRPr="003A60B2" w:rsidTr="00AE5E49">
        <w:trPr>
          <w:trHeight w:val="254"/>
          <w:jc w:val="center"/>
        </w:trPr>
        <w:tc>
          <w:tcPr>
            <w:tcW w:w="2395" w:type="dxa"/>
            <w:vMerge w:val="restart"/>
            <w:tcBorders>
              <w:top w:val="nil"/>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MSWS- skala od 12 tačaka</w:t>
            </w:r>
          </w:p>
          <w:p w:rsidR="00AE5E49" w:rsidRPr="003A60B2" w:rsidRDefault="00AE5E49" w:rsidP="00EC73B3">
            <w:pPr>
              <w:tabs>
                <w:tab w:val="left" w:pos="284"/>
              </w:tabs>
              <w:jc w:val="both"/>
              <w:rPr>
                <w:sz w:val="22"/>
                <w:szCs w:val="22"/>
                <w:lang w:val="sr-Latn-ME"/>
              </w:rPr>
            </w:pPr>
            <w:r w:rsidRPr="003A60B2">
              <w:rPr>
                <w:sz w:val="22"/>
                <w:szCs w:val="22"/>
                <w:lang w:val="sr-Latn-ME" w:eastAsia="hr-HR"/>
              </w:rPr>
              <w:t>(srednja vrijednost, sem)</w:t>
            </w: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r>
      <w:tr w:rsidR="00AE5E49" w:rsidRPr="003A60B2" w:rsidTr="00AE5E49">
        <w:trPr>
          <w:trHeight w:val="264"/>
          <w:jc w:val="center"/>
        </w:trPr>
        <w:tc>
          <w:tcPr>
            <w:tcW w:w="2395" w:type="dxa"/>
            <w:vMerge/>
            <w:tcBorders>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r>
      <w:tr w:rsidR="00AE5E49" w:rsidRPr="003A60B2" w:rsidTr="00AE5E49">
        <w:trPr>
          <w:trHeight w:val="259"/>
          <w:jc w:val="center"/>
        </w:trPr>
        <w:tc>
          <w:tcPr>
            <w:tcW w:w="2395" w:type="dxa"/>
            <w:vMerge/>
            <w:tcBorders>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r>
      <w:tr w:rsidR="00AE5E49" w:rsidRPr="003A60B2" w:rsidTr="00AE5E49">
        <w:trPr>
          <w:trHeight w:val="259"/>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Na početku</w:t>
            </w: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69,27 (2,22)</w:t>
            </w: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71,06 (1,34)</w:t>
            </w: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67,03 (1,90)</w:t>
            </w: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73,81 (1,87)</w:t>
            </w:r>
          </w:p>
        </w:tc>
      </w:tr>
      <w:tr w:rsidR="00AE5E49" w:rsidRPr="003A60B2" w:rsidTr="00AE5E49">
        <w:trPr>
          <w:trHeight w:val="259"/>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Prosječna promjena</w:t>
            </w: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-0,01 (1,46)</w:t>
            </w: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-2,84 (0,878)</w:t>
            </w: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0,87 (1,22)</w:t>
            </w: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-2,77 (1,20)</w:t>
            </w:r>
          </w:p>
        </w:tc>
      </w:tr>
      <w:tr w:rsidR="00AE5E49" w:rsidRPr="003A60B2" w:rsidTr="00AE5E49">
        <w:trPr>
          <w:trHeight w:val="240"/>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Razlika</w:t>
            </w:r>
          </w:p>
        </w:tc>
        <w:tc>
          <w:tcPr>
            <w:tcW w:w="3257" w:type="dxa"/>
            <w:gridSpan w:val="2"/>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2,83</w:t>
            </w:r>
          </w:p>
        </w:tc>
        <w:tc>
          <w:tcPr>
            <w:tcW w:w="3514" w:type="dxa"/>
            <w:gridSpan w:val="2"/>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3,65</w:t>
            </w:r>
          </w:p>
        </w:tc>
      </w:tr>
      <w:tr w:rsidR="00AE5E49" w:rsidRPr="003A60B2" w:rsidTr="00AE5E49">
        <w:trPr>
          <w:trHeight w:val="278"/>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p-vrijednost</w:t>
            </w:r>
          </w:p>
        </w:tc>
        <w:tc>
          <w:tcPr>
            <w:tcW w:w="3257" w:type="dxa"/>
            <w:gridSpan w:val="2"/>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0,084</w:t>
            </w:r>
          </w:p>
        </w:tc>
        <w:tc>
          <w:tcPr>
            <w:tcW w:w="3514" w:type="dxa"/>
            <w:gridSpan w:val="2"/>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0,021</w:t>
            </w:r>
          </w:p>
        </w:tc>
      </w:tr>
      <w:tr w:rsidR="00AE5E49" w:rsidRPr="003A60B2" w:rsidTr="00AE5E49">
        <w:trPr>
          <w:trHeight w:val="259"/>
          <w:jc w:val="center"/>
        </w:trPr>
        <w:tc>
          <w:tcPr>
            <w:tcW w:w="2395" w:type="dxa"/>
            <w:vMerge w:val="restart"/>
            <w:tcBorders>
              <w:top w:val="nil"/>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LEMMT (srednja</w:t>
            </w:r>
          </w:p>
          <w:p w:rsidR="00AE5E49" w:rsidRPr="003A60B2" w:rsidRDefault="00AE5E49" w:rsidP="00EC73B3">
            <w:pPr>
              <w:tabs>
                <w:tab w:val="left" w:pos="284"/>
              </w:tabs>
              <w:jc w:val="both"/>
              <w:rPr>
                <w:sz w:val="22"/>
                <w:szCs w:val="22"/>
                <w:lang w:val="sr-Latn-ME"/>
              </w:rPr>
            </w:pPr>
            <w:r w:rsidRPr="003A60B2">
              <w:rPr>
                <w:sz w:val="22"/>
                <w:szCs w:val="22"/>
                <w:lang w:val="sr-Latn-ME" w:eastAsia="hr-HR"/>
              </w:rPr>
              <w:t>vrijednost, sem)</w:t>
            </w:r>
          </w:p>
          <w:p w:rsidR="00AE5E49" w:rsidRPr="003A60B2" w:rsidRDefault="00AE5E49" w:rsidP="00EC73B3">
            <w:pPr>
              <w:tabs>
                <w:tab w:val="left" w:pos="284"/>
              </w:tabs>
              <w:jc w:val="both"/>
              <w:rPr>
                <w:sz w:val="22"/>
                <w:szCs w:val="22"/>
                <w:lang w:val="sr-Latn-ME"/>
              </w:rPr>
            </w:pPr>
            <w:r w:rsidRPr="003A60B2">
              <w:rPr>
                <w:i/>
                <w:iCs/>
                <w:sz w:val="22"/>
                <w:szCs w:val="22"/>
                <w:lang w:val="sr-Latn-ME" w:eastAsia="hr-HR"/>
              </w:rPr>
              <w:t>(engl.</w:t>
            </w:r>
            <w:r w:rsidRPr="003A60B2">
              <w:rPr>
                <w:sz w:val="22"/>
                <w:szCs w:val="22"/>
                <w:lang w:val="sr-Latn-ME" w:eastAsia="hr-HR"/>
              </w:rPr>
              <w:t xml:space="preserve"> Lower Extremity</w:t>
            </w:r>
          </w:p>
          <w:p w:rsidR="00AE5E49" w:rsidRPr="003A60B2" w:rsidRDefault="00AE5E49" w:rsidP="00EC73B3">
            <w:pPr>
              <w:tabs>
                <w:tab w:val="left" w:pos="284"/>
              </w:tabs>
              <w:jc w:val="both"/>
              <w:rPr>
                <w:sz w:val="22"/>
                <w:szCs w:val="22"/>
                <w:lang w:val="sr-Latn-ME"/>
              </w:rPr>
            </w:pPr>
            <w:r w:rsidRPr="003A60B2">
              <w:rPr>
                <w:sz w:val="22"/>
                <w:szCs w:val="22"/>
                <w:lang w:val="sr-Latn-ME" w:eastAsia="hr-HR"/>
              </w:rPr>
              <w:t>Manual Muscle Test,</w:t>
            </w:r>
          </w:p>
          <w:p w:rsidR="00AE5E49" w:rsidRPr="003A60B2" w:rsidRDefault="00AE5E49" w:rsidP="00EC73B3">
            <w:pPr>
              <w:tabs>
                <w:tab w:val="left" w:pos="284"/>
              </w:tabs>
              <w:jc w:val="both"/>
              <w:rPr>
                <w:sz w:val="22"/>
                <w:szCs w:val="22"/>
                <w:lang w:val="sr-Latn-ME"/>
              </w:rPr>
            </w:pPr>
            <w:r w:rsidRPr="003A60B2">
              <w:rPr>
                <w:sz w:val="22"/>
                <w:szCs w:val="22"/>
                <w:lang w:val="sr-Latn-ME" w:eastAsia="hr-HR"/>
              </w:rPr>
              <w:t>Manuelni mišićni test donjih</w:t>
            </w:r>
          </w:p>
          <w:p w:rsidR="00AE5E49" w:rsidRPr="003A60B2" w:rsidRDefault="00AE5E49" w:rsidP="00EC73B3">
            <w:pPr>
              <w:tabs>
                <w:tab w:val="left" w:pos="284"/>
              </w:tabs>
              <w:jc w:val="both"/>
              <w:rPr>
                <w:sz w:val="22"/>
                <w:szCs w:val="22"/>
                <w:lang w:val="sr-Latn-ME"/>
              </w:rPr>
            </w:pPr>
            <w:r w:rsidRPr="003A60B2">
              <w:rPr>
                <w:sz w:val="22"/>
                <w:szCs w:val="22"/>
                <w:lang w:val="sr-Latn-ME" w:eastAsia="hr-HR"/>
              </w:rPr>
              <w:t>ekstremiteta)</w:t>
            </w: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r>
      <w:tr w:rsidR="00AE5E49" w:rsidRPr="003A60B2" w:rsidTr="00AE5E49">
        <w:trPr>
          <w:trHeight w:val="264"/>
          <w:jc w:val="center"/>
        </w:trPr>
        <w:tc>
          <w:tcPr>
            <w:tcW w:w="2395" w:type="dxa"/>
            <w:vMerge/>
            <w:tcBorders>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r>
      <w:tr w:rsidR="00AE5E49" w:rsidRPr="003A60B2" w:rsidTr="00AE5E49">
        <w:trPr>
          <w:trHeight w:val="259"/>
          <w:jc w:val="center"/>
        </w:trPr>
        <w:tc>
          <w:tcPr>
            <w:tcW w:w="2395" w:type="dxa"/>
            <w:vMerge/>
            <w:tcBorders>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r>
      <w:tr w:rsidR="00AE5E49" w:rsidRPr="003A60B2" w:rsidTr="00AE5E49">
        <w:trPr>
          <w:trHeight w:val="240"/>
          <w:jc w:val="center"/>
        </w:trPr>
        <w:tc>
          <w:tcPr>
            <w:tcW w:w="2395" w:type="dxa"/>
            <w:vMerge/>
            <w:tcBorders>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r>
      <w:tr w:rsidR="00AE5E49" w:rsidRPr="003A60B2" w:rsidTr="00AE5E49">
        <w:trPr>
          <w:trHeight w:val="269"/>
          <w:jc w:val="center"/>
        </w:trPr>
        <w:tc>
          <w:tcPr>
            <w:tcW w:w="2395" w:type="dxa"/>
            <w:vMerge/>
            <w:tcBorders>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r>
      <w:tr w:rsidR="00AE5E49" w:rsidRPr="003A60B2" w:rsidTr="00AE5E49">
        <w:trPr>
          <w:trHeight w:val="264"/>
          <w:jc w:val="center"/>
        </w:trPr>
        <w:tc>
          <w:tcPr>
            <w:tcW w:w="2395" w:type="dxa"/>
            <w:vMerge/>
            <w:tcBorders>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r>
      <w:tr w:rsidR="00AE5E49" w:rsidRPr="003A60B2" w:rsidTr="00AE5E49">
        <w:trPr>
          <w:trHeight w:val="259"/>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Na početku</w:t>
            </w: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3,92 (0,070)</w:t>
            </w: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4,01 (0,042)</w:t>
            </w: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4,01 (0,054)</w:t>
            </w: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3,95 (0,053)</w:t>
            </w:r>
          </w:p>
        </w:tc>
      </w:tr>
      <w:tr w:rsidR="00AE5E49" w:rsidRPr="003A60B2" w:rsidTr="00AE5E49">
        <w:trPr>
          <w:trHeight w:val="259"/>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Prosječna promjena</w:t>
            </w: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0,05 (0,024)</w:t>
            </w: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0,13 (0,014)</w:t>
            </w: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0,05 (0,024)</w:t>
            </w: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0,10 (0,024)</w:t>
            </w:r>
          </w:p>
        </w:tc>
      </w:tr>
      <w:tr w:rsidR="00AE5E49" w:rsidRPr="003A60B2" w:rsidTr="00AE5E49">
        <w:trPr>
          <w:trHeight w:val="240"/>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Razlika</w:t>
            </w:r>
          </w:p>
        </w:tc>
        <w:tc>
          <w:tcPr>
            <w:tcW w:w="3257" w:type="dxa"/>
            <w:gridSpan w:val="2"/>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0,08</w:t>
            </w:r>
          </w:p>
        </w:tc>
        <w:tc>
          <w:tcPr>
            <w:tcW w:w="3514" w:type="dxa"/>
            <w:gridSpan w:val="2"/>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0,05</w:t>
            </w:r>
          </w:p>
        </w:tc>
      </w:tr>
      <w:tr w:rsidR="00AE5E49" w:rsidRPr="003A60B2" w:rsidTr="00AE5E49">
        <w:trPr>
          <w:trHeight w:val="278"/>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p-vrijednost</w:t>
            </w:r>
          </w:p>
        </w:tc>
        <w:tc>
          <w:tcPr>
            <w:tcW w:w="3257" w:type="dxa"/>
            <w:gridSpan w:val="2"/>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0,003</w:t>
            </w:r>
          </w:p>
        </w:tc>
        <w:tc>
          <w:tcPr>
            <w:tcW w:w="3514" w:type="dxa"/>
            <w:gridSpan w:val="2"/>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0,106</w:t>
            </w:r>
          </w:p>
        </w:tc>
      </w:tr>
      <w:tr w:rsidR="00AE5E49" w:rsidRPr="003A60B2" w:rsidTr="00AE5E49">
        <w:trPr>
          <w:trHeight w:val="264"/>
          <w:jc w:val="center"/>
        </w:trPr>
        <w:tc>
          <w:tcPr>
            <w:tcW w:w="2395" w:type="dxa"/>
            <w:vMerge w:val="restart"/>
            <w:tcBorders>
              <w:top w:val="nil"/>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Ashworthova skala</w:t>
            </w:r>
          </w:p>
          <w:p w:rsidR="00AE5E49" w:rsidRPr="003A60B2" w:rsidRDefault="00AE5E49" w:rsidP="00EC73B3">
            <w:pPr>
              <w:tabs>
                <w:tab w:val="left" w:pos="284"/>
              </w:tabs>
              <w:jc w:val="both"/>
              <w:rPr>
                <w:sz w:val="22"/>
                <w:szCs w:val="22"/>
                <w:lang w:val="sr-Latn-ME"/>
              </w:rPr>
            </w:pPr>
            <w:r w:rsidRPr="003A60B2">
              <w:rPr>
                <w:sz w:val="22"/>
                <w:szCs w:val="22"/>
                <w:lang w:val="sr-Latn-ME" w:eastAsia="hr-HR"/>
              </w:rPr>
              <w:t>(Test spastičnosti</w:t>
            </w:r>
          </w:p>
          <w:p w:rsidR="00AE5E49" w:rsidRPr="003A60B2" w:rsidRDefault="00AE5E49" w:rsidP="00EC73B3">
            <w:pPr>
              <w:tabs>
                <w:tab w:val="left" w:pos="284"/>
              </w:tabs>
              <w:jc w:val="both"/>
              <w:rPr>
                <w:sz w:val="22"/>
                <w:szCs w:val="22"/>
                <w:lang w:val="sr-Latn-ME"/>
              </w:rPr>
            </w:pPr>
            <w:r w:rsidRPr="003A60B2">
              <w:rPr>
                <w:sz w:val="22"/>
                <w:szCs w:val="22"/>
                <w:lang w:val="sr-Latn-ME" w:eastAsia="hr-HR"/>
              </w:rPr>
              <w:t>mišića)</w:t>
            </w: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r>
      <w:tr w:rsidR="00AE5E49" w:rsidRPr="003A60B2" w:rsidTr="00AE5E49">
        <w:trPr>
          <w:trHeight w:val="259"/>
          <w:jc w:val="center"/>
        </w:trPr>
        <w:tc>
          <w:tcPr>
            <w:tcW w:w="2395" w:type="dxa"/>
            <w:vMerge/>
            <w:tcBorders>
              <w:left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r>
      <w:tr w:rsidR="00AE5E49" w:rsidRPr="003A60B2" w:rsidTr="00AE5E49">
        <w:trPr>
          <w:trHeight w:val="254"/>
          <w:jc w:val="center"/>
        </w:trPr>
        <w:tc>
          <w:tcPr>
            <w:tcW w:w="2395" w:type="dxa"/>
            <w:vMerge/>
            <w:tcBorders>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eastAsia="ja-JP"/>
              </w:rPr>
            </w:pPr>
          </w:p>
        </w:tc>
      </w:tr>
      <w:tr w:rsidR="00AE5E49" w:rsidRPr="003A60B2" w:rsidTr="00AE5E49">
        <w:trPr>
          <w:trHeight w:val="259"/>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Na početku</w:t>
            </w: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0,98 (0,078)</w:t>
            </w: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0,95 (0,047)</w:t>
            </w: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0,79 (0,058)</w:t>
            </w: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0,87 (0,057)</w:t>
            </w:r>
          </w:p>
        </w:tc>
      </w:tr>
      <w:tr w:rsidR="00AE5E49" w:rsidRPr="003A60B2" w:rsidTr="00AE5E49">
        <w:trPr>
          <w:trHeight w:val="259"/>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Prosječna promjena</w:t>
            </w:r>
          </w:p>
        </w:tc>
        <w:tc>
          <w:tcPr>
            <w:tcW w:w="1510"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-0,09 (0,037)</w:t>
            </w:r>
          </w:p>
        </w:tc>
        <w:tc>
          <w:tcPr>
            <w:tcW w:w="1747"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-0,18 (0,022)</w:t>
            </w:r>
          </w:p>
        </w:tc>
        <w:tc>
          <w:tcPr>
            <w:tcW w:w="176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-0,07 (0,033)</w:t>
            </w:r>
          </w:p>
        </w:tc>
        <w:tc>
          <w:tcPr>
            <w:tcW w:w="1752"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-0,17 (0,032)</w:t>
            </w:r>
          </w:p>
        </w:tc>
      </w:tr>
      <w:tr w:rsidR="00AE5E49" w:rsidRPr="003A60B2" w:rsidTr="00AE5E49">
        <w:trPr>
          <w:trHeight w:val="240"/>
          <w:jc w:val="center"/>
        </w:trPr>
        <w:tc>
          <w:tcPr>
            <w:tcW w:w="2395" w:type="dxa"/>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Razlika</w:t>
            </w:r>
          </w:p>
        </w:tc>
        <w:tc>
          <w:tcPr>
            <w:tcW w:w="3257" w:type="dxa"/>
            <w:gridSpan w:val="2"/>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0,10</w:t>
            </w:r>
          </w:p>
        </w:tc>
        <w:tc>
          <w:tcPr>
            <w:tcW w:w="3514" w:type="dxa"/>
            <w:gridSpan w:val="2"/>
            <w:tcBorders>
              <w:top w:val="nil"/>
              <w:left w:val="single" w:sz="4" w:space="0" w:color="auto"/>
              <w:bottom w:val="nil"/>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0,10</w:t>
            </w:r>
          </w:p>
        </w:tc>
      </w:tr>
      <w:tr w:rsidR="00AE5E49" w:rsidRPr="003A60B2" w:rsidTr="00AE5E49">
        <w:trPr>
          <w:trHeight w:val="269"/>
          <w:jc w:val="center"/>
        </w:trPr>
        <w:tc>
          <w:tcPr>
            <w:tcW w:w="2395" w:type="dxa"/>
            <w:tcBorders>
              <w:top w:val="nil"/>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p-vrijednost</w:t>
            </w:r>
          </w:p>
        </w:tc>
        <w:tc>
          <w:tcPr>
            <w:tcW w:w="3257" w:type="dxa"/>
            <w:gridSpan w:val="2"/>
            <w:tcBorders>
              <w:top w:val="nil"/>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0,021</w:t>
            </w:r>
          </w:p>
        </w:tc>
        <w:tc>
          <w:tcPr>
            <w:tcW w:w="3514" w:type="dxa"/>
            <w:gridSpan w:val="2"/>
            <w:tcBorders>
              <w:top w:val="nil"/>
              <w:left w:val="single" w:sz="4" w:space="0" w:color="auto"/>
              <w:bottom w:val="single" w:sz="4" w:space="0" w:color="auto"/>
              <w:right w:val="single" w:sz="4" w:space="0" w:color="auto"/>
            </w:tcBorders>
            <w:shd w:val="clear" w:color="auto" w:fill="FFFFFF"/>
          </w:tcPr>
          <w:p w:rsidR="00AE5E49" w:rsidRPr="003A60B2" w:rsidRDefault="00AE5E49" w:rsidP="00EC73B3">
            <w:pPr>
              <w:tabs>
                <w:tab w:val="left" w:pos="284"/>
              </w:tabs>
              <w:jc w:val="both"/>
              <w:rPr>
                <w:sz w:val="22"/>
                <w:szCs w:val="22"/>
                <w:lang w:val="sr-Latn-ME"/>
              </w:rPr>
            </w:pPr>
            <w:r w:rsidRPr="003A60B2">
              <w:rPr>
                <w:sz w:val="22"/>
                <w:szCs w:val="22"/>
                <w:lang w:val="sr-Latn-ME" w:eastAsia="hr-HR"/>
              </w:rPr>
              <w:t>0,015</w:t>
            </w:r>
          </w:p>
        </w:tc>
      </w:tr>
    </w:tbl>
    <w:p w:rsidR="002E37A5" w:rsidRPr="003A60B2" w:rsidRDefault="002E37A5" w:rsidP="00EC73B3">
      <w:pPr>
        <w:tabs>
          <w:tab w:val="left" w:pos="540"/>
          <w:tab w:val="left" w:pos="569"/>
        </w:tabs>
        <w:jc w:val="both"/>
        <w:rPr>
          <w:b/>
          <w:bCs/>
          <w:sz w:val="22"/>
          <w:szCs w:val="22"/>
          <w:lang w:val="sr-Latn-ME"/>
        </w:rPr>
      </w:pPr>
    </w:p>
    <w:p w:rsidR="00FE2036" w:rsidRPr="003A60B2" w:rsidRDefault="00FE2036" w:rsidP="00EC73B3">
      <w:pPr>
        <w:tabs>
          <w:tab w:val="left" w:pos="284"/>
        </w:tabs>
        <w:jc w:val="both"/>
        <w:rPr>
          <w:sz w:val="22"/>
          <w:szCs w:val="22"/>
          <w:lang w:val="sr-Latn-ME"/>
        </w:rPr>
      </w:pPr>
      <w:r w:rsidRPr="003A60B2">
        <w:rPr>
          <w:sz w:val="22"/>
          <w:szCs w:val="22"/>
          <w:u w:val="single"/>
          <w:lang w:val="sr-Latn-ME" w:eastAsia="hr-HR"/>
        </w:rPr>
        <w:lastRenderedPageBreak/>
        <w:t xml:space="preserve">Studija 218MS305 </w:t>
      </w:r>
    </w:p>
    <w:p w:rsidR="00FE2036" w:rsidRPr="003A60B2" w:rsidRDefault="00FE2036" w:rsidP="00EC73B3">
      <w:pPr>
        <w:tabs>
          <w:tab w:val="left" w:pos="284"/>
        </w:tabs>
        <w:jc w:val="both"/>
        <w:rPr>
          <w:sz w:val="22"/>
          <w:szCs w:val="22"/>
          <w:lang w:val="sr-Latn-ME"/>
        </w:rPr>
      </w:pPr>
      <w:r w:rsidRPr="003A60B2">
        <w:rPr>
          <w:sz w:val="22"/>
          <w:szCs w:val="22"/>
          <w:lang w:val="sr-Latn-ME" w:eastAsia="hr-HR"/>
        </w:rPr>
        <w:t>Studija 218MS305 je sprovedena kod 636 ispitanika sa multiplom sklerozom i nesposobnošću hodanja. Dvostruko slijepa studija je trajala 24 nedjelje uz praćenje nakon terapije u trajanju od 2 nedjelje. Primarna krajnja tačka bila je poboljšanje mogućnosti hodanja mjereno kao udio pacijenta koji je postigao srednju vrijednost poboljšanja ≥ 8 poena u odnosu na početni rezultat na skali hodanja kod multiple skleroze sa 12 tačaka (MSWS-12) tokom 24 nedjelje. U ovoj studiji je utvrđena statistički značajna razlika između terapija, pri čemu je udio pacijenta koji su pokazali poboljšanje vezano za mogućnost hodanja bio veći u grupi liječenoj fampridinom nego u grupi kontrolnih pacijenta koji su dobijali placebo (relativni rizik od 1,38 (95% CI: [1,06; 1,70]). Poboljšanja su se uglavnom javljala u roku od 2 do 4 nedjelje od početka terapije, a nestala u roku od 2 nedjelje nakon prekida terapije.</w:t>
      </w:r>
    </w:p>
    <w:p w:rsidR="00FE2036" w:rsidRPr="003A60B2" w:rsidRDefault="00FE2036" w:rsidP="00EC73B3">
      <w:pPr>
        <w:tabs>
          <w:tab w:val="left" w:pos="284"/>
        </w:tabs>
        <w:jc w:val="both"/>
        <w:rPr>
          <w:sz w:val="22"/>
          <w:szCs w:val="22"/>
          <w:lang w:val="sr-Latn-ME" w:eastAsia="hr-HR"/>
        </w:rPr>
      </w:pPr>
    </w:p>
    <w:p w:rsidR="00FE2036" w:rsidRPr="003A60B2" w:rsidRDefault="00FE2036" w:rsidP="00EC73B3">
      <w:pPr>
        <w:tabs>
          <w:tab w:val="left" w:pos="284"/>
        </w:tabs>
        <w:jc w:val="both"/>
        <w:rPr>
          <w:sz w:val="22"/>
          <w:szCs w:val="22"/>
          <w:lang w:val="sr-Latn-ME"/>
        </w:rPr>
      </w:pPr>
      <w:r w:rsidRPr="003A60B2">
        <w:rPr>
          <w:sz w:val="22"/>
          <w:szCs w:val="22"/>
          <w:lang w:val="sr-Latn-ME" w:eastAsia="hr-HR"/>
        </w:rPr>
        <w:t>Pacijenti liječeni fampridinom pokazali su takođe statistički značajno poboljšanje u testu mobilnosti „</w:t>
      </w:r>
      <w:r w:rsidRPr="003A60B2">
        <w:rPr>
          <w:i/>
          <w:sz w:val="22"/>
          <w:szCs w:val="22"/>
          <w:lang w:val="sr-Latn-ME" w:eastAsia="hr-HR"/>
        </w:rPr>
        <w:t>Timed Up and Go</w:t>
      </w:r>
      <w:r w:rsidRPr="003A60B2">
        <w:rPr>
          <w:sz w:val="22"/>
          <w:szCs w:val="22"/>
          <w:lang w:val="sr-Latn-ME" w:eastAsia="hr-HR"/>
        </w:rPr>
        <w:t>" (TUG) kojim se mjeri statička i dinamska ravnoteža i fizička pokretljivost. U toj sekundarnoj krajnjoj tački, veći srazmjeran udio pacijenata liječenih fampridinom postigao je srednju vrijednost poboljšanja ≥ 15% u odnosu na početnu brzinu testa TUG tokom perioda od 24 nedjelje, u poređenju sa onima koji su primali placebo. Razlika na Bergovoj skali za mjerenje ravnoteže (Berg Balance Scale, BBS; mjerenje statičke ravnoteže) nije bila statistički značajna.</w:t>
      </w:r>
    </w:p>
    <w:p w:rsidR="00FE2036" w:rsidRPr="003A60B2" w:rsidRDefault="00FE2036" w:rsidP="00EC73B3">
      <w:pPr>
        <w:tabs>
          <w:tab w:val="left" w:pos="284"/>
        </w:tabs>
        <w:jc w:val="both"/>
        <w:rPr>
          <w:sz w:val="22"/>
          <w:szCs w:val="22"/>
          <w:lang w:val="sr-Latn-ME" w:eastAsia="hr-HR"/>
        </w:rPr>
      </w:pPr>
    </w:p>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Osim toga, pacijenti liječeni fampridinom pokazali su statistički značajnu srednju vrijednost poboljšanja u odnosu na početnu vrijednost u poređenju sa placebom u fizičkom skoru na skali za mjerenje uticaja multiple skleroze (engl.</w:t>
      </w:r>
      <w:r w:rsidRPr="003A60B2">
        <w:rPr>
          <w:i/>
          <w:iCs/>
          <w:sz w:val="22"/>
          <w:szCs w:val="22"/>
          <w:lang w:val="sr-Latn-ME" w:eastAsia="hr-HR"/>
        </w:rPr>
        <w:t xml:space="preserve"> Multiple Sclerosis Impact Scale,</w:t>
      </w:r>
      <w:r w:rsidRPr="003A60B2">
        <w:rPr>
          <w:sz w:val="22"/>
          <w:szCs w:val="22"/>
          <w:lang w:val="sr-Latn-ME" w:eastAsia="hr-HR"/>
        </w:rPr>
        <w:t xml:space="preserve"> (MSIS-29) (razlika srednjih vrijednosti najmanjih kvadrata (LSM) -3,31, p&lt;0,001).</w:t>
      </w:r>
    </w:p>
    <w:p w:rsidR="00FE2036" w:rsidRPr="003A60B2" w:rsidRDefault="00FE2036" w:rsidP="00EC73B3">
      <w:pPr>
        <w:tabs>
          <w:tab w:val="left" w:pos="284"/>
        </w:tabs>
        <w:jc w:val="both"/>
        <w:rPr>
          <w:sz w:val="22"/>
          <w:szCs w:val="22"/>
          <w:lang w:val="sr-Latn-ME" w:eastAsia="hr-HR"/>
        </w:rPr>
      </w:pPr>
    </w:p>
    <w:p w:rsidR="00FE2036" w:rsidRPr="003A60B2" w:rsidRDefault="00FE2036" w:rsidP="00EC73B3">
      <w:pPr>
        <w:tabs>
          <w:tab w:val="left" w:pos="284"/>
        </w:tabs>
        <w:jc w:val="both"/>
        <w:rPr>
          <w:b/>
          <w:sz w:val="22"/>
          <w:szCs w:val="22"/>
          <w:lang w:val="sr-Latn-ME" w:eastAsia="hr-HR"/>
        </w:rPr>
      </w:pPr>
      <w:r w:rsidRPr="003A60B2">
        <w:rPr>
          <w:b/>
          <w:sz w:val="22"/>
          <w:szCs w:val="22"/>
          <w:lang w:val="sr-Latn-ME" w:eastAsia="hr-HR"/>
        </w:rPr>
        <w:t>Tabela 2: Studija 218MS305</w:t>
      </w:r>
    </w:p>
    <w:p w:rsidR="00FE2036" w:rsidRPr="003A60B2" w:rsidRDefault="00FE2036" w:rsidP="00EC73B3">
      <w:pPr>
        <w:tabs>
          <w:tab w:val="left" w:pos="284"/>
        </w:tabs>
        <w:jc w:val="both"/>
        <w:rPr>
          <w:sz w:val="22"/>
          <w:szCs w:val="22"/>
          <w:lang w:val="sr-Latn-ME"/>
        </w:rPr>
      </w:pPr>
    </w:p>
    <w:tbl>
      <w:tblPr>
        <w:tblW w:w="9147" w:type="dxa"/>
        <w:jc w:val="center"/>
        <w:tblLayout w:type="fixed"/>
        <w:tblCellMar>
          <w:left w:w="0" w:type="dxa"/>
          <w:right w:w="0" w:type="dxa"/>
        </w:tblCellMar>
        <w:tblLook w:val="0000" w:firstRow="0" w:lastRow="0" w:firstColumn="0" w:lastColumn="0" w:noHBand="0" w:noVBand="0"/>
      </w:tblPr>
      <w:tblGrid>
        <w:gridCol w:w="3190"/>
        <w:gridCol w:w="1488"/>
        <w:gridCol w:w="2064"/>
        <w:gridCol w:w="2405"/>
      </w:tblGrid>
      <w:tr w:rsidR="00FE2036" w:rsidRPr="003A60B2" w:rsidTr="00FE2036">
        <w:trPr>
          <w:trHeight w:val="792"/>
          <w:jc w:val="center"/>
        </w:trPr>
        <w:tc>
          <w:tcPr>
            <w:tcW w:w="3190"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b/>
                <w:sz w:val="22"/>
                <w:szCs w:val="22"/>
                <w:lang w:val="sr-Latn-ME"/>
              </w:rPr>
            </w:pPr>
            <w:r w:rsidRPr="003A60B2">
              <w:rPr>
                <w:b/>
                <w:sz w:val="22"/>
                <w:szCs w:val="22"/>
                <w:lang w:val="sr-Latn-ME" w:eastAsia="hr-HR"/>
              </w:rPr>
              <w:t>Tokom 24 nedjelje</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b/>
                <w:sz w:val="22"/>
                <w:szCs w:val="22"/>
                <w:lang w:val="sr-Latn-ME" w:eastAsia="hr-HR"/>
              </w:rPr>
            </w:pPr>
            <w:r w:rsidRPr="003A60B2">
              <w:rPr>
                <w:b/>
                <w:sz w:val="22"/>
                <w:szCs w:val="22"/>
                <w:lang w:val="sr-Latn-ME" w:eastAsia="hr-HR"/>
              </w:rPr>
              <w:t>Placebo</w:t>
            </w:r>
          </w:p>
          <w:p w:rsidR="00FE2036" w:rsidRPr="003A60B2" w:rsidRDefault="00FE2036" w:rsidP="00EC73B3">
            <w:pPr>
              <w:tabs>
                <w:tab w:val="left" w:pos="284"/>
              </w:tabs>
              <w:jc w:val="both"/>
              <w:rPr>
                <w:b/>
                <w:sz w:val="22"/>
                <w:szCs w:val="22"/>
                <w:lang w:val="sr-Latn-ME"/>
              </w:rPr>
            </w:pPr>
            <w:r w:rsidRPr="003A60B2">
              <w:rPr>
                <w:b/>
                <w:sz w:val="22"/>
                <w:szCs w:val="22"/>
                <w:lang w:val="sr-Latn-ME" w:eastAsia="hr-HR"/>
              </w:rPr>
              <w:t>N = 318*</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b/>
                <w:sz w:val="22"/>
                <w:szCs w:val="22"/>
                <w:lang w:val="sr-Latn-ME" w:eastAsia="hr-HR"/>
              </w:rPr>
            </w:pPr>
            <w:r w:rsidRPr="003A60B2">
              <w:rPr>
                <w:b/>
                <w:sz w:val="22"/>
                <w:szCs w:val="22"/>
                <w:lang w:val="sr-Latn-ME" w:eastAsia="hr-HR"/>
              </w:rPr>
              <w:t>Fampridin 10 mg</w:t>
            </w:r>
          </w:p>
          <w:p w:rsidR="00FE2036" w:rsidRPr="003A60B2" w:rsidRDefault="00FE2036" w:rsidP="00EC73B3">
            <w:pPr>
              <w:tabs>
                <w:tab w:val="left" w:pos="284"/>
              </w:tabs>
              <w:jc w:val="both"/>
              <w:rPr>
                <w:b/>
                <w:sz w:val="22"/>
                <w:szCs w:val="22"/>
                <w:lang w:val="sr-Latn-ME" w:eastAsia="hr-HR"/>
              </w:rPr>
            </w:pPr>
            <w:r w:rsidRPr="003A60B2">
              <w:rPr>
                <w:b/>
                <w:sz w:val="22"/>
                <w:szCs w:val="22"/>
                <w:lang w:val="sr-Latn-ME" w:eastAsia="hr-HR"/>
              </w:rPr>
              <w:t>dva puta na dan</w:t>
            </w:r>
          </w:p>
          <w:p w:rsidR="00FE2036" w:rsidRPr="003A60B2" w:rsidRDefault="00FE2036" w:rsidP="00EC73B3">
            <w:pPr>
              <w:tabs>
                <w:tab w:val="left" w:pos="284"/>
              </w:tabs>
              <w:jc w:val="both"/>
              <w:rPr>
                <w:b/>
                <w:sz w:val="22"/>
                <w:szCs w:val="22"/>
                <w:lang w:val="sr-Latn-ME" w:eastAsia="hr-HR"/>
              </w:rPr>
            </w:pPr>
            <w:r w:rsidRPr="003A60B2">
              <w:rPr>
                <w:b/>
                <w:sz w:val="22"/>
                <w:szCs w:val="22"/>
                <w:lang w:val="sr-Latn-ME" w:eastAsia="hr-HR"/>
              </w:rPr>
              <w:t>N = 315*</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b/>
                <w:sz w:val="22"/>
                <w:szCs w:val="22"/>
                <w:lang w:val="sr-Latn-ME" w:eastAsia="hr-HR"/>
              </w:rPr>
            </w:pPr>
            <w:r w:rsidRPr="003A60B2">
              <w:rPr>
                <w:b/>
                <w:sz w:val="22"/>
                <w:szCs w:val="22"/>
                <w:lang w:val="sr-Latn-ME" w:eastAsia="hr-HR"/>
              </w:rPr>
              <w:t>Razlika (95% CI)</w:t>
            </w:r>
          </w:p>
          <w:p w:rsidR="00FE2036" w:rsidRPr="003A60B2" w:rsidRDefault="00FE2036" w:rsidP="00EC73B3">
            <w:pPr>
              <w:tabs>
                <w:tab w:val="left" w:pos="284"/>
              </w:tabs>
              <w:jc w:val="both"/>
              <w:rPr>
                <w:b/>
                <w:sz w:val="22"/>
                <w:szCs w:val="22"/>
                <w:lang w:val="sr-Latn-ME"/>
              </w:rPr>
            </w:pPr>
            <w:r w:rsidRPr="003A60B2">
              <w:rPr>
                <w:b/>
                <w:sz w:val="22"/>
                <w:szCs w:val="22"/>
                <w:lang w:val="sr-Latn-ME" w:eastAsia="hr-HR"/>
              </w:rPr>
              <w:t>p-vrijednost</w:t>
            </w:r>
          </w:p>
        </w:tc>
      </w:tr>
      <w:tr w:rsidR="00FE2036" w:rsidRPr="003A60B2" w:rsidTr="00FE2036">
        <w:trPr>
          <w:trHeight w:val="730"/>
          <w:jc w:val="center"/>
        </w:trPr>
        <w:tc>
          <w:tcPr>
            <w:tcW w:w="3190"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rPr>
            </w:pPr>
            <w:r w:rsidRPr="003A60B2">
              <w:rPr>
                <w:sz w:val="22"/>
                <w:szCs w:val="22"/>
                <w:lang w:val="sr-Latn-ME" w:eastAsia="hr-HR"/>
              </w:rPr>
              <w:t>Srazmjeran udio pacijenta sa srednjom vrijednošću poboljšanja ≥ 8 poena u odnosu na početni rezultat MSWS-12</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rPr>
            </w:pPr>
            <w:r w:rsidRPr="003A60B2">
              <w:rPr>
                <w:sz w:val="22"/>
                <w:szCs w:val="22"/>
                <w:lang w:val="sr-Latn-ME" w:eastAsia="hr-HR"/>
              </w:rPr>
              <w:t>34%</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rPr>
            </w:pPr>
            <w:r w:rsidRPr="003A60B2">
              <w:rPr>
                <w:sz w:val="22"/>
                <w:szCs w:val="22"/>
                <w:lang w:val="sr-Latn-ME" w:eastAsia="hr-HR"/>
              </w:rPr>
              <w:t>43%</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Razlika rizika: 10,4%</w:t>
            </w:r>
          </w:p>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(3% ; 17,8%)</w:t>
            </w:r>
          </w:p>
          <w:p w:rsidR="00FE2036" w:rsidRPr="003A60B2" w:rsidRDefault="00FE2036" w:rsidP="00EC73B3">
            <w:pPr>
              <w:tabs>
                <w:tab w:val="left" w:pos="284"/>
              </w:tabs>
              <w:jc w:val="both"/>
              <w:rPr>
                <w:sz w:val="22"/>
                <w:szCs w:val="22"/>
                <w:lang w:val="sr-Latn-ME"/>
              </w:rPr>
            </w:pPr>
            <w:r w:rsidRPr="003A60B2">
              <w:rPr>
                <w:sz w:val="22"/>
                <w:szCs w:val="22"/>
                <w:lang w:val="sr-Latn-ME" w:eastAsia="hr-HR"/>
              </w:rPr>
              <w:t>0,006</w:t>
            </w:r>
          </w:p>
        </w:tc>
      </w:tr>
      <w:tr w:rsidR="00FE2036" w:rsidRPr="003A60B2" w:rsidTr="00FE2036">
        <w:trPr>
          <w:trHeight w:val="846"/>
          <w:jc w:val="center"/>
        </w:trPr>
        <w:tc>
          <w:tcPr>
            <w:tcW w:w="3190"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b/>
                <w:sz w:val="22"/>
                <w:szCs w:val="22"/>
                <w:lang w:val="sr-Latn-ME"/>
              </w:rPr>
            </w:pPr>
            <w:r w:rsidRPr="003A60B2">
              <w:rPr>
                <w:b/>
                <w:sz w:val="22"/>
                <w:szCs w:val="22"/>
                <w:lang w:val="sr-Latn-ME" w:eastAsia="hr-HR"/>
              </w:rPr>
              <w:t>MSWS-12 skor</w:t>
            </w:r>
          </w:p>
          <w:p w:rsidR="00FE2036" w:rsidRPr="003A60B2" w:rsidRDefault="00FE2036" w:rsidP="00EC73B3">
            <w:pPr>
              <w:tabs>
                <w:tab w:val="left" w:pos="284"/>
              </w:tabs>
              <w:jc w:val="both"/>
              <w:rPr>
                <w:sz w:val="22"/>
                <w:szCs w:val="22"/>
                <w:lang w:val="sr-Latn-ME"/>
              </w:rPr>
            </w:pPr>
            <w:r w:rsidRPr="003A60B2">
              <w:rPr>
                <w:sz w:val="22"/>
                <w:szCs w:val="22"/>
                <w:lang w:val="sr-Latn-ME" w:eastAsia="hr-HR"/>
              </w:rPr>
              <w:t>Početak</w:t>
            </w:r>
          </w:p>
          <w:p w:rsidR="00FE2036" w:rsidRPr="003A60B2" w:rsidRDefault="00FE2036" w:rsidP="00EC73B3">
            <w:pPr>
              <w:tabs>
                <w:tab w:val="left" w:pos="284"/>
              </w:tabs>
              <w:jc w:val="both"/>
              <w:rPr>
                <w:sz w:val="22"/>
                <w:szCs w:val="22"/>
                <w:lang w:val="sr-Latn-ME"/>
              </w:rPr>
            </w:pPr>
            <w:r w:rsidRPr="003A60B2">
              <w:rPr>
                <w:sz w:val="22"/>
                <w:szCs w:val="22"/>
                <w:lang w:val="sr-Latn-ME" w:eastAsia="hr-HR"/>
              </w:rPr>
              <w:t>Poboljšanje u odnosu na početak</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65,4</w:t>
            </w:r>
          </w:p>
          <w:p w:rsidR="00FE2036" w:rsidRPr="003A60B2" w:rsidRDefault="00FE2036" w:rsidP="00EC73B3">
            <w:pPr>
              <w:tabs>
                <w:tab w:val="left" w:pos="284"/>
              </w:tabs>
              <w:jc w:val="both"/>
              <w:rPr>
                <w:sz w:val="22"/>
                <w:szCs w:val="22"/>
                <w:lang w:val="sr-Latn-ME"/>
              </w:rPr>
            </w:pPr>
            <w:r w:rsidRPr="003A60B2">
              <w:rPr>
                <w:sz w:val="22"/>
                <w:szCs w:val="22"/>
                <w:lang w:val="sr-Latn-ME" w:eastAsia="hr-HR"/>
              </w:rPr>
              <w:t>-2,59</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63,6</w:t>
            </w:r>
          </w:p>
          <w:p w:rsidR="00FE2036" w:rsidRPr="003A60B2" w:rsidRDefault="00FE2036" w:rsidP="00EC73B3">
            <w:pPr>
              <w:tabs>
                <w:tab w:val="left" w:pos="284"/>
              </w:tabs>
              <w:jc w:val="both"/>
              <w:rPr>
                <w:sz w:val="22"/>
                <w:szCs w:val="22"/>
                <w:lang w:val="sr-Latn-ME"/>
              </w:rPr>
            </w:pPr>
            <w:r w:rsidRPr="003A60B2">
              <w:rPr>
                <w:sz w:val="22"/>
                <w:szCs w:val="22"/>
                <w:lang w:val="sr-Latn-ME" w:eastAsia="hr-HR"/>
              </w:rPr>
              <w:t>-6,73</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LSM: -4,14</w:t>
            </w:r>
          </w:p>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(-6,22 ; -2,06)</w:t>
            </w:r>
          </w:p>
          <w:p w:rsidR="00FE2036" w:rsidRPr="003A60B2" w:rsidRDefault="00FE2036" w:rsidP="00EC73B3">
            <w:pPr>
              <w:tabs>
                <w:tab w:val="left" w:pos="284"/>
              </w:tabs>
              <w:jc w:val="both"/>
              <w:rPr>
                <w:sz w:val="22"/>
                <w:szCs w:val="22"/>
                <w:lang w:val="sr-Latn-ME"/>
              </w:rPr>
            </w:pPr>
            <w:r w:rsidRPr="003A60B2">
              <w:rPr>
                <w:sz w:val="22"/>
                <w:szCs w:val="22"/>
                <w:lang w:val="sr-Latn-ME" w:eastAsia="hr-HR"/>
              </w:rPr>
              <w:t>&lt;0,001</w:t>
            </w:r>
          </w:p>
        </w:tc>
      </w:tr>
      <w:tr w:rsidR="00FE2036" w:rsidRPr="003A60B2" w:rsidTr="00FE2036">
        <w:trPr>
          <w:trHeight w:val="1072"/>
          <w:jc w:val="center"/>
        </w:trPr>
        <w:tc>
          <w:tcPr>
            <w:tcW w:w="3190"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b/>
                <w:sz w:val="22"/>
                <w:szCs w:val="22"/>
                <w:lang w:val="sr-Latn-ME"/>
              </w:rPr>
            </w:pPr>
            <w:r w:rsidRPr="003A60B2">
              <w:rPr>
                <w:b/>
                <w:sz w:val="22"/>
                <w:szCs w:val="22"/>
                <w:lang w:val="sr-Latn-ME" w:eastAsia="hr-HR"/>
              </w:rPr>
              <w:t>TUG</w:t>
            </w:r>
          </w:p>
          <w:p w:rsidR="00FE2036" w:rsidRPr="003A60B2" w:rsidRDefault="00FE2036" w:rsidP="00EC73B3">
            <w:pPr>
              <w:tabs>
                <w:tab w:val="left" w:pos="284"/>
              </w:tabs>
              <w:jc w:val="both"/>
              <w:rPr>
                <w:sz w:val="22"/>
                <w:szCs w:val="22"/>
                <w:lang w:val="sr-Latn-ME"/>
              </w:rPr>
            </w:pPr>
            <w:r w:rsidRPr="003A60B2">
              <w:rPr>
                <w:sz w:val="22"/>
                <w:szCs w:val="22"/>
                <w:lang w:val="sr-Latn-ME" w:eastAsia="hr-HR"/>
              </w:rPr>
              <w:t>Srazmjeran udio pacijenta sa srednjom vrijednošću poboljšanja ≥ 15% u brzini prema testu TUG</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rPr>
            </w:pPr>
            <w:r w:rsidRPr="003A60B2">
              <w:rPr>
                <w:sz w:val="22"/>
                <w:szCs w:val="22"/>
                <w:lang w:val="sr-Latn-ME" w:eastAsia="hr-HR"/>
              </w:rPr>
              <w:t>35%</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rPr>
            </w:pPr>
            <w:r w:rsidRPr="003A60B2">
              <w:rPr>
                <w:sz w:val="22"/>
                <w:szCs w:val="22"/>
                <w:lang w:val="sr-Latn-ME" w:eastAsia="hr-HR"/>
              </w:rPr>
              <w:t>43%</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Razlika rizika: 9,2%</w:t>
            </w:r>
          </w:p>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(0,9% ; 17,5%)</w:t>
            </w:r>
          </w:p>
          <w:p w:rsidR="00FE2036" w:rsidRPr="003A60B2" w:rsidRDefault="00FE2036" w:rsidP="00EC73B3">
            <w:pPr>
              <w:tabs>
                <w:tab w:val="left" w:pos="284"/>
              </w:tabs>
              <w:jc w:val="both"/>
              <w:rPr>
                <w:sz w:val="22"/>
                <w:szCs w:val="22"/>
                <w:lang w:val="sr-Latn-ME"/>
              </w:rPr>
            </w:pPr>
            <w:r w:rsidRPr="003A60B2">
              <w:rPr>
                <w:sz w:val="22"/>
                <w:szCs w:val="22"/>
                <w:lang w:val="sr-Latn-ME" w:eastAsia="hr-HR"/>
              </w:rPr>
              <w:t>0,03</w:t>
            </w:r>
          </w:p>
        </w:tc>
      </w:tr>
      <w:tr w:rsidR="00FE2036" w:rsidRPr="003A60B2" w:rsidTr="00FE2036">
        <w:trPr>
          <w:trHeight w:val="1046"/>
          <w:jc w:val="center"/>
        </w:trPr>
        <w:tc>
          <w:tcPr>
            <w:tcW w:w="3190"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b/>
                <w:sz w:val="22"/>
                <w:szCs w:val="22"/>
                <w:lang w:val="sr-Latn-ME"/>
              </w:rPr>
            </w:pPr>
            <w:r w:rsidRPr="003A60B2">
              <w:rPr>
                <w:b/>
                <w:sz w:val="22"/>
                <w:szCs w:val="22"/>
                <w:lang w:val="sr-Latn-ME" w:eastAsia="hr-HR"/>
              </w:rPr>
              <w:t>TUG</w:t>
            </w:r>
          </w:p>
          <w:p w:rsidR="00FE2036" w:rsidRPr="003A60B2" w:rsidRDefault="00FE2036" w:rsidP="00EC73B3">
            <w:pPr>
              <w:tabs>
                <w:tab w:val="left" w:pos="284"/>
              </w:tabs>
              <w:jc w:val="both"/>
              <w:rPr>
                <w:sz w:val="22"/>
                <w:szCs w:val="22"/>
                <w:lang w:val="sr-Latn-ME"/>
              </w:rPr>
            </w:pPr>
            <w:r w:rsidRPr="003A60B2">
              <w:rPr>
                <w:sz w:val="22"/>
                <w:szCs w:val="22"/>
                <w:lang w:val="sr-Latn-ME" w:eastAsia="hr-HR"/>
              </w:rPr>
              <w:t>Početak</w:t>
            </w:r>
          </w:p>
          <w:p w:rsidR="00FE2036" w:rsidRPr="003A60B2" w:rsidRDefault="00FE2036" w:rsidP="00EC73B3">
            <w:pPr>
              <w:tabs>
                <w:tab w:val="left" w:pos="284"/>
              </w:tabs>
              <w:jc w:val="both"/>
              <w:rPr>
                <w:sz w:val="22"/>
                <w:szCs w:val="22"/>
                <w:lang w:val="sr-Latn-ME"/>
              </w:rPr>
            </w:pPr>
            <w:r w:rsidRPr="003A60B2">
              <w:rPr>
                <w:sz w:val="22"/>
                <w:szCs w:val="22"/>
                <w:lang w:val="sr-Latn-ME" w:eastAsia="hr-HR"/>
              </w:rPr>
              <w:t xml:space="preserve">Poboljšanje u odnosu na početak </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27,1</w:t>
            </w:r>
          </w:p>
          <w:p w:rsidR="00FE2036" w:rsidRPr="003A60B2" w:rsidRDefault="00FE2036" w:rsidP="00EC73B3">
            <w:pPr>
              <w:tabs>
                <w:tab w:val="left" w:pos="284"/>
              </w:tabs>
              <w:jc w:val="both"/>
              <w:rPr>
                <w:sz w:val="22"/>
                <w:szCs w:val="22"/>
                <w:lang w:val="sr-Latn-ME"/>
              </w:rPr>
            </w:pPr>
            <w:r w:rsidRPr="003A60B2">
              <w:rPr>
                <w:sz w:val="22"/>
                <w:szCs w:val="22"/>
                <w:lang w:val="sr-Latn-ME" w:eastAsia="hr-HR"/>
              </w:rPr>
              <w:t>-1,94</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24,9</w:t>
            </w:r>
          </w:p>
          <w:p w:rsidR="00FE2036" w:rsidRPr="003A60B2" w:rsidRDefault="00FE2036" w:rsidP="00EC73B3">
            <w:pPr>
              <w:tabs>
                <w:tab w:val="left" w:pos="284"/>
              </w:tabs>
              <w:jc w:val="both"/>
              <w:rPr>
                <w:sz w:val="22"/>
                <w:szCs w:val="22"/>
                <w:lang w:val="sr-Latn-ME"/>
              </w:rPr>
            </w:pPr>
            <w:r w:rsidRPr="003A60B2">
              <w:rPr>
                <w:sz w:val="22"/>
                <w:szCs w:val="22"/>
                <w:lang w:val="sr-Latn-ME" w:eastAsia="hr-HR"/>
              </w:rPr>
              <w:t>-3,3</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 xml:space="preserve">LSM: -1,36 </w:t>
            </w:r>
          </w:p>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 xml:space="preserve">(-2,85; 0,12) </w:t>
            </w:r>
          </w:p>
          <w:p w:rsidR="00FE2036" w:rsidRPr="003A60B2" w:rsidRDefault="00FE2036" w:rsidP="00EC73B3">
            <w:pPr>
              <w:tabs>
                <w:tab w:val="left" w:pos="284"/>
              </w:tabs>
              <w:jc w:val="both"/>
              <w:rPr>
                <w:sz w:val="22"/>
                <w:szCs w:val="22"/>
                <w:lang w:val="sr-Latn-ME"/>
              </w:rPr>
            </w:pPr>
            <w:r w:rsidRPr="003A60B2">
              <w:rPr>
                <w:sz w:val="22"/>
                <w:szCs w:val="22"/>
                <w:lang w:val="sr-Latn-ME" w:eastAsia="hr-HR"/>
              </w:rPr>
              <w:t>0,07</w:t>
            </w:r>
          </w:p>
        </w:tc>
      </w:tr>
      <w:tr w:rsidR="00FE2036" w:rsidRPr="003A60B2" w:rsidTr="00FE2036">
        <w:trPr>
          <w:trHeight w:val="1056"/>
          <w:jc w:val="center"/>
        </w:trPr>
        <w:tc>
          <w:tcPr>
            <w:tcW w:w="3190"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b/>
                <w:sz w:val="22"/>
                <w:szCs w:val="22"/>
                <w:lang w:val="sr-Latn-ME"/>
              </w:rPr>
            </w:pPr>
            <w:r w:rsidRPr="003A60B2">
              <w:rPr>
                <w:b/>
                <w:sz w:val="22"/>
                <w:szCs w:val="22"/>
                <w:lang w:val="sr-Latn-ME" w:eastAsia="hr-HR"/>
              </w:rPr>
              <w:t>MSIS-29 fizički skor</w:t>
            </w:r>
          </w:p>
          <w:p w:rsidR="00FE2036" w:rsidRPr="003A60B2" w:rsidRDefault="00FE2036" w:rsidP="00EC73B3">
            <w:pPr>
              <w:tabs>
                <w:tab w:val="left" w:pos="284"/>
              </w:tabs>
              <w:jc w:val="both"/>
              <w:rPr>
                <w:sz w:val="22"/>
                <w:szCs w:val="22"/>
                <w:lang w:val="sr-Latn-ME"/>
              </w:rPr>
            </w:pPr>
            <w:r w:rsidRPr="003A60B2">
              <w:rPr>
                <w:sz w:val="22"/>
                <w:szCs w:val="22"/>
                <w:lang w:val="sr-Latn-ME" w:eastAsia="hr-HR"/>
              </w:rPr>
              <w:t>Početak</w:t>
            </w:r>
          </w:p>
          <w:p w:rsidR="00FE2036" w:rsidRPr="003A60B2" w:rsidRDefault="00FE2036" w:rsidP="00EC73B3">
            <w:pPr>
              <w:tabs>
                <w:tab w:val="left" w:pos="284"/>
              </w:tabs>
              <w:jc w:val="both"/>
              <w:rPr>
                <w:sz w:val="22"/>
                <w:szCs w:val="22"/>
                <w:lang w:val="sr-Latn-ME"/>
              </w:rPr>
            </w:pPr>
            <w:r w:rsidRPr="003A60B2">
              <w:rPr>
                <w:sz w:val="22"/>
                <w:szCs w:val="22"/>
                <w:lang w:val="sr-Latn-ME" w:eastAsia="hr-HR"/>
              </w:rPr>
              <w:t>Poboljšanje u odnosu na početak</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eastAsia="hr-HR"/>
              </w:rPr>
            </w:pPr>
          </w:p>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55,3</w:t>
            </w:r>
          </w:p>
          <w:p w:rsidR="00FE2036" w:rsidRPr="003A60B2" w:rsidRDefault="00FE2036" w:rsidP="00EC73B3">
            <w:pPr>
              <w:tabs>
                <w:tab w:val="left" w:pos="284"/>
              </w:tabs>
              <w:jc w:val="both"/>
              <w:rPr>
                <w:sz w:val="22"/>
                <w:szCs w:val="22"/>
                <w:lang w:val="sr-Latn-ME"/>
              </w:rPr>
            </w:pPr>
            <w:r w:rsidRPr="003A60B2">
              <w:rPr>
                <w:sz w:val="22"/>
                <w:szCs w:val="22"/>
                <w:lang w:val="sr-Latn-ME" w:eastAsia="hr-HR"/>
              </w:rPr>
              <w:t>-4,68</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eastAsia="hr-HR"/>
              </w:rPr>
            </w:pPr>
          </w:p>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52,4</w:t>
            </w:r>
          </w:p>
          <w:p w:rsidR="00FE2036" w:rsidRPr="003A60B2" w:rsidRDefault="00FE2036" w:rsidP="00EC73B3">
            <w:pPr>
              <w:tabs>
                <w:tab w:val="left" w:pos="284"/>
              </w:tabs>
              <w:jc w:val="both"/>
              <w:rPr>
                <w:sz w:val="22"/>
                <w:szCs w:val="22"/>
                <w:lang w:val="sr-Latn-ME"/>
              </w:rPr>
            </w:pPr>
            <w:r w:rsidRPr="003A60B2">
              <w:rPr>
                <w:sz w:val="22"/>
                <w:szCs w:val="22"/>
                <w:lang w:val="sr-Latn-ME" w:eastAsia="hr-HR"/>
              </w:rPr>
              <w:t>-8,00</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LSM: -3,31</w:t>
            </w:r>
          </w:p>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(-5,13 ; -1,50)</w:t>
            </w:r>
          </w:p>
          <w:p w:rsidR="00FE2036" w:rsidRPr="003A60B2" w:rsidRDefault="00FE2036" w:rsidP="00EC73B3">
            <w:pPr>
              <w:tabs>
                <w:tab w:val="left" w:pos="284"/>
              </w:tabs>
              <w:jc w:val="both"/>
              <w:rPr>
                <w:sz w:val="22"/>
                <w:szCs w:val="22"/>
                <w:lang w:val="sr-Latn-ME"/>
              </w:rPr>
            </w:pPr>
            <w:r w:rsidRPr="003A60B2">
              <w:rPr>
                <w:sz w:val="22"/>
                <w:szCs w:val="22"/>
                <w:lang w:val="sr-Latn-ME" w:eastAsia="hr-HR"/>
              </w:rPr>
              <w:t>&lt;0,001</w:t>
            </w:r>
          </w:p>
        </w:tc>
      </w:tr>
      <w:tr w:rsidR="00FE2036" w:rsidRPr="003A60B2" w:rsidTr="00FE2036">
        <w:trPr>
          <w:trHeight w:val="354"/>
          <w:jc w:val="center"/>
        </w:trPr>
        <w:tc>
          <w:tcPr>
            <w:tcW w:w="3190"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b/>
                <w:sz w:val="22"/>
                <w:szCs w:val="22"/>
                <w:lang w:val="sr-Latn-ME" w:eastAsia="hr-HR"/>
              </w:rPr>
            </w:pPr>
            <w:r w:rsidRPr="003A60B2">
              <w:rPr>
                <w:b/>
                <w:sz w:val="22"/>
                <w:szCs w:val="22"/>
                <w:lang w:val="sr-Latn-ME" w:eastAsia="hr-HR"/>
              </w:rPr>
              <w:t>BBS skor</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eastAsia="hr-HR"/>
              </w:rPr>
            </w:pP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eastAsia="hr-HR"/>
              </w:rPr>
            </w:pPr>
          </w:p>
        </w:tc>
        <w:tc>
          <w:tcPr>
            <w:tcW w:w="2405" w:type="dxa"/>
            <w:vMerge w:val="restart"/>
            <w:tcBorders>
              <w:top w:val="single" w:sz="4" w:space="0" w:color="auto"/>
              <w:left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eastAsia="hr-HR"/>
              </w:rPr>
            </w:pPr>
          </w:p>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LSM: 0,41</w:t>
            </w:r>
          </w:p>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(-0,13 ; 0,95)</w:t>
            </w:r>
          </w:p>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0,141</w:t>
            </w:r>
          </w:p>
        </w:tc>
      </w:tr>
      <w:tr w:rsidR="00FE2036" w:rsidRPr="003A60B2" w:rsidTr="00FE2036">
        <w:trPr>
          <w:trHeight w:val="718"/>
          <w:jc w:val="center"/>
        </w:trPr>
        <w:tc>
          <w:tcPr>
            <w:tcW w:w="3190"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Početak</w:t>
            </w:r>
          </w:p>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Poboljšanje u odnosu na početak</w:t>
            </w: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40,2</w:t>
            </w:r>
          </w:p>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1,34</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40,6</w:t>
            </w:r>
          </w:p>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1,75</w:t>
            </w:r>
          </w:p>
        </w:tc>
        <w:tc>
          <w:tcPr>
            <w:tcW w:w="2405" w:type="dxa"/>
            <w:vMerge/>
            <w:tcBorders>
              <w:left w:val="single" w:sz="4" w:space="0" w:color="auto"/>
              <w:bottom w:val="single" w:sz="4" w:space="0" w:color="auto"/>
              <w:right w:val="single" w:sz="4" w:space="0" w:color="auto"/>
            </w:tcBorders>
            <w:shd w:val="clear" w:color="auto" w:fill="FFFFFF"/>
          </w:tcPr>
          <w:p w:rsidR="00FE2036" w:rsidRPr="003A60B2" w:rsidRDefault="00FE2036" w:rsidP="00EC73B3">
            <w:pPr>
              <w:tabs>
                <w:tab w:val="left" w:pos="284"/>
              </w:tabs>
              <w:jc w:val="both"/>
              <w:rPr>
                <w:sz w:val="22"/>
                <w:szCs w:val="22"/>
                <w:lang w:val="sr-Latn-ME" w:eastAsia="hr-HR"/>
              </w:rPr>
            </w:pPr>
          </w:p>
        </w:tc>
      </w:tr>
    </w:tbl>
    <w:p w:rsidR="00FE2036" w:rsidRPr="003A60B2" w:rsidRDefault="00FE2036" w:rsidP="00EC73B3">
      <w:pPr>
        <w:tabs>
          <w:tab w:val="left" w:pos="284"/>
        </w:tabs>
        <w:jc w:val="both"/>
        <w:rPr>
          <w:sz w:val="22"/>
          <w:szCs w:val="22"/>
          <w:lang w:val="sr-Latn-ME"/>
        </w:rPr>
      </w:pPr>
      <w:r w:rsidRPr="003A60B2">
        <w:rPr>
          <w:sz w:val="22"/>
          <w:szCs w:val="22"/>
          <w:lang w:val="sr-Latn-ME" w:eastAsia="hr-HR"/>
        </w:rPr>
        <w:t>*Populacija predviđena za liječenje (ITT populacija) = 633; LSM (engl.</w:t>
      </w:r>
      <w:r w:rsidRPr="003A60B2">
        <w:rPr>
          <w:i/>
          <w:iCs/>
          <w:sz w:val="22"/>
          <w:szCs w:val="22"/>
          <w:lang w:val="sr-Latn-ME" w:eastAsia="hr-HR"/>
        </w:rPr>
        <w:t xml:space="preserve"> least square mean)</w:t>
      </w:r>
      <w:r w:rsidRPr="003A60B2">
        <w:rPr>
          <w:sz w:val="22"/>
          <w:szCs w:val="22"/>
          <w:lang w:val="sr-Latn-ME" w:eastAsia="hr-HR"/>
        </w:rPr>
        <w:t xml:space="preserve"> = metoda najmanjih kvadrata</w:t>
      </w:r>
    </w:p>
    <w:p w:rsidR="00FE2036" w:rsidRPr="003A60B2" w:rsidRDefault="00FE2036" w:rsidP="00EC73B3">
      <w:pPr>
        <w:tabs>
          <w:tab w:val="left" w:pos="284"/>
        </w:tabs>
        <w:jc w:val="both"/>
        <w:rPr>
          <w:sz w:val="22"/>
          <w:szCs w:val="22"/>
          <w:lang w:val="sr-Latn-ME"/>
        </w:rPr>
      </w:pPr>
    </w:p>
    <w:p w:rsidR="009B2BFC" w:rsidRDefault="009B2BFC" w:rsidP="00EC73B3">
      <w:pPr>
        <w:tabs>
          <w:tab w:val="left" w:pos="284"/>
        </w:tabs>
        <w:jc w:val="both"/>
        <w:rPr>
          <w:sz w:val="22"/>
          <w:szCs w:val="22"/>
          <w:u w:val="single"/>
          <w:lang w:val="sr-Latn-ME"/>
        </w:rPr>
      </w:pPr>
    </w:p>
    <w:p w:rsidR="00FE2036" w:rsidRPr="003A60B2" w:rsidRDefault="00FE2036" w:rsidP="00EC73B3">
      <w:pPr>
        <w:tabs>
          <w:tab w:val="left" w:pos="284"/>
        </w:tabs>
        <w:jc w:val="both"/>
        <w:rPr>
          <w:sz w:val="22"/>
          <w:szCs w:val="22"/>
          <w:u w:val="single"/>
          <w:lang w:val="sr-Latn-ME"/>
        </w:rPr>
      </w:pPr>
      <w:bookmarkStart w:id="0" w:name="_GoBack"/>
      <w:bookmarkEnd w:id="0"/>
      <w:r w:rsidRPr="003A60B2">
        <w:rPr>
          <w:sz w:val="22"/>
          <w:szCs w:val="22"/>
          <w:u w:val="single"/>
          <w:lang w:val="sr-Latn-ME"/>
        </w:rPr>
        <w:lastRenderedPageBreak/>
        <w:t>Pedijatrijska populacija</w:t>
      </w:r>
    </w:p>
    <w:p w:rsidR="00FE2036" w:rsidRPr="003A60B2" w:rsidRDefault="00FE2036" w:rsidP="00EC73B3">
      <w:pPr>
        <w:tabs>
          <w:tab w:val="left" w:pos="284"/>
        </w:tabs>
        <w:jc w:val="both"/>
        <w:rPr>
          <w:sz w:val="22"/>
          <w:szCs w:val="22"/>
          <w:lang w:val="sr-Latn-ME" w:eastAsia="hr-HR"/>
        </w:rPr>
      </w:pPr>
      <w:r w:rsidRPr="003A60B2">
        <w:rPr>
          <w:sz w:val="22"/>
          <w:szCs w:val="22"/>
          <w:lang w:val="sr-Latn-ME" w:eastAsia="hr-HR"/>
        </w:rPr>
        <w:t>Evropska agencija za ljekove je izuzela obavezu prijavljivanja rezultata studija sa referentnim ljekovima koji sadrže fampridin kod svih podgrupa pedijatrijske populacije u terapiji multiple skleroze sa nesposobnošću hodanja (vidjeti dio 4.2 za podatke o pedijatrijskoj primjeni).</w:t>
      </w:r>
    </w:p>
    <w:p w:rsidR="00FE2036" w:rsidRPr="003A60B2" w:rsidRDefault="00FE2036" w:rsidP="00EC73B3">
      <w:pPr>
        <w:tabs>
          <w:tab w:val="left" w:pos="540"/>
          <w:tab w:val="left" w:pos="569"/>
        </w:tabs>
        <w:jc w:val="both"/>
        <w:rPr>
          <w:b/>
          <w:bCs/>
          <w:sz w:val="22"/>
          <w:szCs w:val="22"/>
          <w:lang w:val="sr-Latn-ME"/>
        </w:rPr>
      </w:pPr>
    </w:p>
    <w:p w:rsidR="0072020E" w:rsidRPr="003A60B2" w:rsidRDefault="0072020E" w:rsidP="00EC73B3">
      <w:pPr>
        <w:tabs>
          <w:tab w:val="left" w:pos="540"/>
          <w:tab w:val="left" w:pos="569"/>
        </w:tabs>
        <w:jc w:val="both"/>
        <w:rPr>
          <w:b/>
          <w:bCs/>
          <w:sz w:val="22"/>
          <w:szCs w:val="22"/>
          <w:lang w:val="sr-Latn-ME"/>
        </w:rPr>
      </w:pPr>
      <w:r w:rsidRPr="003A60B2">
        <w:rPr>
          <w:b/>
          <w:bCs/>
          <w:sz w:val="22"/>
          <w:szCs w:val="22"/>
          <w:lang w:val="sr-Latn-ME"/>
        </w:rPr>
        <w:t xml:space="preserve">5.2. </w:t>
      </w:r>
      <w:r w:rsidR="00480FB1" w:rsidRPr="003A60B2">
        <w:rPr>
          <w:b/>
          <w:bCs/>
          <w:sz w:val="22"/>
          <w:szCs w:val="22"/>
          <w:lang w:val="sr-Latn-ME"/>
        </w:rPr>
        <w:tab/>
      </w:r>
      <w:r w:rsidRPr="003A60B2">
        <w:rPr>
          <w:b/>
          <w:bCs/>
          <w:sz w:val="22"/>
          <w:szCs w:val="22"/>
          <w:lang w:val="sr-Latn-ME"/>
        </w:rPr>
        <w:t>Farmakokinetički podaci</w:t>
      </w:r>
      <w:r w:rsidR="003A7059" w:rsidRPr="003A60B2">
        <w:rPr>
          <w:b/>
          <w:bCs/>
          <w:sz w:val="22"/>
          <w:szCs w:val="22"/>
          <w:lang w:val="sr-Latn-ME"/>
        </w:rPr>
        <w:t xml:space="preserve"> </w:t>
      </w:r>
    </w:p>
    <w:p w:rsidR="00D355E8" w:rsidRPr="003A60B2" w:rsidRDefault="00D355E8" w:rsidP="00EC73B3">
      <w:pPr>
        <w:tabs>
          <w:tab w:val="left" w:pos="540"/>
          <w:tab w:val="left" w:pos="569"/>
        </w:tabs>
        <w:jc w:val="both"/>
        <w:rPr>
          <w:b/>
          <w:bCs/>
          <w:sz w:val="22"/>
          <w:szCs w:val="22"/>
          <w:lang w:val="sr-Latn-ME"/>
        </w:rPr>
      </w:pPr>
    </w:p>
    <w:p w:rsidR="00D355E8" w:rsidRPr="003A60B2" w:rsidRDefault="00D355E8" w:rsidP="00EC73B3">
      <w:pPr>
        <w:tabs>
          <w:tab w:val="left" w:pos="284"/>
        </w:tabs>
        <w:jc w:val="both"/>
        <w:rPr>
          <w:sz w:val="22"/>
          <w:szCs w:val="22"/>
          <w:lang w:val="sr-Latn-ME"/>
        </w:rPr>
      </w:pPr>
      <w:r w:rsidRPr="003A60B2">
        <w:rPr>
          <w:sz w:val="22"/>
          <w:szCs w:val="22"/>
          <w:u w:val="single"/>
          <w:lang w:val="sr-Latn-ME" w:eastAsia="hr-HR"/>
        </w:rPr>
        <w:t>Resorpcija</w:t>
      </w:r>
    </w:p>
    <w:p w:rsidR="00D355E8" w:rsidRPr="003A60B2" w:rsidRDefault="00D355E8" w:rsidP="00EC73B3">
      <w:pPr>
        <w:tabs>
          <w:tab w:val="left" w:pos="284"/>
        </w:tabs>
        <w:jc w:val="both"/>
        <w:rPr>
          <w:sz w:val="22"/>
          <w:szCs w:val="22"/>
          <w:lang w:val="sr-Latn-ME" w:eastAsia="hr-HR"/>
        </w:rPr>
      </w:pPr>
    </w:p>
    <w:p w:rsidR="00D355E8" w:rsidRPr="003A60B2" w:rsidRDefault="00D355E8" w:rsidP="00EC73B3">
      <w:pPr>
        <w:tabs>
          <w:tab w:val="left" w:pos="284"/>
        </w:tabs>
        <w:jc w:val="both"/>
        <w:rPr>
          <w:sz w:val="22"/>
          <w:szCs w:val="22"/>
          <w:lang w:val="sr-Latn-ME"/>
        </w:rPr>
      </w:pPr>
      <w:r w:rsidRPr="003A60B2">
        <w:rPr>
          <w:sz w:val="22"/>
          <w:szCs w:val="22"/>
          <w:lang w:val="sr-Latn-ME" w:eastAsia="hr-HR"/>
        </w:rPr>
        <w:t>Oralno primijenjen fampridin se brzo i potpuno resorbuje iz gastrointestinalnog trakta. Fampridin ima uzak terapijski indeks. Apsolutna bioraspoloživost fampridin tableta sa produženim oslobađanjem nije procijenjena, ali relativna bioraspoloživost (u poređenju sa vodenim oralnim rastvorom) je 95%. Kod fampridin tablete sa produženim oslobađanjem je resorpcija fampridina odložena što se manifestuje kao sporije povećanje do niže maksimalne koncentracije, bez uticaja na obim resorpcije.</w:t>
      </w:r>
    </w:p>
    <w:p w:rsidR="00D355E8" w:rsidRPr="003A60B2" w:rsidRDefault="00D355E8" w:rsidP="00EC73B3">
      <w:pPr>
        <w:tabs>
          <w:tab w:val="left" w:pos="284"/>
        </w:tabs>
        <w:jc w:val="both"/>
        <w:rPr>
          <w:sz w:val="22"/>
          <w:szCs w:val="22"/>
          <w:lang w:val="sr-Latn-ME" w:eastAsia="hr-HR"/>
        </w:rPr>
      </w:pPr>
    </w:p>
    <w:p w:rsidR="00D355E8" w:rsidRPr="003A60B2" w:rsidRDefault="00D355E8" w:rsidP="00EC73B3">
      <w:pPr>
        <w:tabs>
          <w:tab w:val="left" w:pos="284"/>
        </w:tabs>
        <w:jc w:val="both"/>
        <w:rPr>
          <w:sz w:val="22"/>
          <w:szCs w:val="22"/>
          <w:lang w:val="sr-Latn-ME"/>
        </w:rPr>
      </w:pPr>
      <w:r w:rsidRPr="003A60B2">
        <w:rPr>
          <w:sz w:val="22"/>
          <w:szCs w:val="22"/>
          <w:lang w:val="sr-Latn-ME" w:eastAsia="hr-HR"/>
        </w:rPr>
        <w:t>Kada se fampridin tablete uzimaju sa hranom, smanjenje površine ispod krive koncentracija u plazmi- vrijeme (PIK</w:t>
      </w:r>
      <w:r w:rsidRPr="003A60B2">
        <w:rPr>
          <w:sz w:val="22"/>
          <w:szCs w:val="22"/>
          <w:vertAlign w:val="subscript"/>
          <w:lang w:val="sr-Latn-ME" w:eastAsia="hr-HR"/>
        </w:rPr>
        <w:t>0-</w:t>
      </w:r>
      <w:r w:rsidRPr="003A60B2">
        <w:rPr>
          <w:sz w:val="22"/>
          <w:szCs w:val="22"/>
          <w:vertAlign w:val="subscript"/>
          <w:lang w:val="sr-Latn-ME" w:eastAsia="hr-HR"/>
        </w:rPr>
        <w:sym w:font="Symbol" w:char="F0A5"/>
      </w:r>
      <w:r w:rsidRPr="003A60B2">
        <w:rPr>
          <w:sz w:val="22"/>
          <w:szCs w:val="22"/>
          <w:lang w:val="sr-Latn-ME" w:eastAsia="hr-HR"/>
        </w:rPr>
        <w:t>) fampridina je približno 2-7% (doza od 10 mg). Ne očekuje se da malo smanjenje PIK izazove smanjenje terapijske efikasnosti. Međutim, C</w:t>
      </w:r>
      <w:r w:rsidRPr="003A60B2">
        <w:rPr>
          <w:sz w:val="22"/>
          <w:szCs w:val="22"/>
          <w:vertAlign w:val="subscript"/>
          <w:lang w:val="sr-Latn-ME" w:eastAsia="hr-HR"/>
        </w:rPr>
        <w:t>max</w:t>
      </w:r>
      <w:r w:rsidRPr="003A60B2">
        <w:rPr>
          <w:sz w:val="22"/>
          <w:szCs w:val="22"/>
          <w:lang w:val="sr-Latn-ME" w:eastAsia="hr-HR"/>
        </w:rPr>
        <w:t xml:space="preserve"> se povećava za 15-23%. Budući da postoji jasna veza između C</w:t>
      </w:r>
      <w:r w:rsidRPr="003A60B2">
        <w:rPr>
          <w:sz w:val="22"/>
          <w:szCs w:val="22"/>
          <w:vertAlign w:val="subscript"/>
          <w:lang w:val="sr-Latn-ME" w:eastAsia="hr-HR"/>
        </w:rPr>
        <w:t>max</w:t>
      </w:r>
      <w:r w:rsidRPr="003A60B2">
        <w:rPr>
          <w:sz w:val="22"/>
          <w:szCs w:val="22"/>
          <w:lang w:val="sr-Latn-ME" w:eastAsia="hr-HR"/>
        </w:rPr>
        <w:t xml:space="preserve"> i neželjenih reakcija koje su u vezi sa dozom, preporučuje da se fampridin uzima bez hrane (vidjeti dio 4.2).</w:t>
      </w:r>
    </w:p>
    <w:p w:rsidR="00D355E8" w:rsidRPr="003A60B2" w:rsidRDefault="00D355E8" w:rsidP="00EC73B3">
      <w:pPr>
        <w:tabs>
          <w:tab w:val="left" w:pos="284"/>
        </w:tabs>
        <w:jc w:val="both"/>
        <w:rPr>
          <w:sz w:val="22"/>
          <w:szCs w:val="22"/>
          <w:u w:val="single"/>
          <w:lang w:val="sr-Latn-ME" w:eastAsia="hr-HR"/>
        </w:rPr>
      </w:pPr>
    </w:p>
    <w:p w:rsidR="00D355E8" w:rsidRPr="003A60B2" w:rsidRDefault="00D355E8" w:rsidP="00EC73B3">
      <w:pPr>
        <w:tabs>
          <w:tab w:val="left" w:pos="284"/>
        </w:tabs>
        <w:jc w:val="both"/>
        <w:rPr>
          <w:sz w:val="22"/>
          <w:szCs w:val="22"/>
          <w:lang w:val="sr-Latn-ME"/>
        </w:rPr>
      </w:pPr>
      <w:r w:rsidRPr="003A60B2">
        <w:rPr>
          <w:sz w:val="22"/>
          <w:szCs w:val="22"/>
          <w:u w:val="single"/>
          <w:lang w:val="sr-Latn-ME" w:eastAsia="hr-HR"/>
        </w:rPr>
        <w:t>Distribucija</w:t>
      </w:r>
    </w:p>
    <w:p w:rsidR="00D355E8" w:rsidRPr="003A60B2" w:rsidRDefault="00D355E8" w:rsidP="00EC73B3">
      <w:pPr>
        <w:tabs>
          <w:tab w:val="left" w:pos="284"/>
        </w:tabs>
        <w:jc w:val="both"/>
        <w:rPr>
          <w:sz w:val="22"/>
          <w:szCs w:val="22"/>
          <w:lang w:val="sr-Latn-ME" w:eastAsia="hr-HR"/>
        </w:rPr>
      </w:pPr>
    </w:p>
    <w:p w:rsidR="00D355E8" w:rsidRPr="003A60B2" w:rsidRDefault="00D355E8" w:rsidP="00EC73B3">
      <w:pPr>
        <w:tabs>
          <w:tab w:val="left" w:pos="284"/>
        </w:tabs>
        <w:jc w:val="both"/>
        <w:rPr>
          <w:sz w:val="22"/>
          <w:szCs w:val="22"/>
          <w:lang w:val="sr-Latn-ME" w:eastAsia="hr-HR"/>
        </w:rPr>
      </w:pPr>
      <w:r w:rsidRPr="003A60B2">
        <w:rPr>
          <w:sz w:val="22"/>
          <w:szCs w:val="22"/>
          <w:lang w:val="sr-Latn-ME" w:eastAsia="hr-HR"/>
        </w:rPr>
        <w:t xml:space="preserve">Fampridin je lijek rastvorljiv u mastima koji brzo prolazi kroz krvno-moždanu barijeru. Fampridin u velikoj mjeri nije vezan na proteine plazme (vezana frakcija u humanoj plazmi varira između 3 i 7%). Volumen distribucije fampridina je otprilike 2,6 l/kg. </w:t>
      </w:r>
    </w:p>
    <w:p w:rsidR="00D355E8" w:rsidRPr="003A60B2" w:rsidRDefault="00D355E8" w:rsidP="00EC73B3">
      <w:pPr>
        <w:tabs>
          <w:tab w:val="left" w:pos="284"/>
        </w:tabs>
        <w:jc w:val="both"/>
        <w:rPr>
          <w:sz w:val="22"/>
          <w:szCs w:val="22"/>
          <w:lang w:val="sr-Latn-ME"/>
        </w:rPr>
      </w:pPr>
      <w:r w:rsidRPr="003A60B2">
        <w:rPr>
          <w:sz w:val="22"/>
          <w:szCs w:val="22"/>
          <w:lang w:val="sr-Latn-ME" w:eastAsia="hr-HR"/>
        </w:rPr>
        <w:t>Fampridin nije supstrat za P-glikoprotein.</w:t>
      </w:r>
    </w:p>
    <w:p w:rsidR="00D355E8" w:rsidRPr="003A60B2" w:rsidRDefault="00D355E8" w:rsidP="00EC73B3">
      <w:pPr>
        <w:tabs>
          <w:tab w:val="left" w:pos="284"/>
        </w:tabs>
        <w:jc w:val="both"/>
        <w:rPr>
          <w:sz w:val="22"/>
          <w:szCs w:val="22"/>
          <w:u w:val="single"/>
          <w:lang w:val="sr-Latn-ME" w:eastAsia="hr-HR"/>
        </w:rPr>
      </w:pPr>
    </w:p>
    <w:p w:rsidR="00D355E8" w:rsidRPr="003A60B2" w:rsidRDefault="00D355E8" w:rsidP="00EC73B3">
      <w:pPr>
        <w:tabs>
          <w:tab w:val="left" w:pos="284"/>
        </w:tabs>
        <w:jc w:val="both"/>
        <w:rPr>
          <w:sz w:val="22"/>
          <w:szCs w:val="22"/>
          <w:u w:val="single"/>
          <w:lang w:val="sr-Latn-ME" w:eastAsia="hr-HR"/>
        </w:rPr>
      </w:pPr>
      <w:r w:rsidRPr="003A60B2">
        <w:rPr>
          <w:sz w:val="22"/>
          <w:szCs w:val="22"/>
          <w:u w:val="single"/>
          <w:lang w:val="sr-Latn-ME" w:eastAsia="hr-HR"/>
        </w:rPr>
        <w:t>Biotransformacija</w:t>
      </w:r>
    </w:p>
    <w:p w:rsidR="00D355E8" w:rsidRPr="003A60B2" w:rsidRDefault="00D355E8" w:rsidP="00EC73B3">
      <w:pPr>
        <w:tabs>
          <w:tab w:val="left" w:pos="284"/>
        </w:tabs>
        <w:jc w:val="both"/>
        <w:rPr>
          <w:sz w:val="22"/>
          <w:szCs w:val="22"/>
          <w:lang w:val="sr-Latn-ME"/>
        </w:rPr>
      </w:pPr>
    </w:p>
    <w:p w:rsidR="00D355E8" w:rsidRPr="003A60B2" w:rsidRDefault="00D355E8" w:rsidP="00EC73B3">
      <w:pPr>
        <w:tabs>
          <w:tab w:val="left" w:pos="284"/>
        </w:tabs>
        <w:jc w:val="both"/>
        <w:rPr>
          <w:sz w:val="22"/>
          <w:szCs w:val="22"/>
          <w:lang w:val="sr-Latn-ME"/>
        </w:rPr>
      </w:pPr>
      <w:r w:rsidRPr="003A60B2">
        <w:rPr>
          <w:sz w:val="22"/>
          <w:szCs w:val="22"/>
          <w:lang w:val="sr-Latn-ME" w:eastAsia="hr-HR"/>
        </w:rPr>
        <w:t>U ljudskom organizmu, fampridin se metaboliše oksidacijom u 3-hidroksi-4-aminopiridin i dalje konjugira u 3-hidroksi-4-aminopiridin sulfat.</w:t>
      </w:r>
      <w:r w:rsidRPr="003A60B2">
        <w:rPr>
          <w:i/>
          <w:iCs/>
          <w:sz w:val="22"/>
          <w:szCs w:val="22"/>
          <w:lang w:val="sr-Latn-ME" w:eastAsia="hr-HR"/>
        </w:rPr>
        <w:t xml:space="preserve"> In vitro</w:t>
      </w:r>
      <w:r w:rsidRPr="003A60B2">
        <w:rPr>
          <w:sz w:val="22"/>
          <w:szCs w:val="22"/>
          <w:lang w:val="sr-Latn-ME" w:eastAsia="hr-HR"/>
        </w:rPr>
        <w:t xml:space="preserve"> nije nađena farmakološka aktivnost metabolita fampridina u odnosu na odabrane kalijumove kanale.</w:t>
      </w:r>
    </w:p>
    <w:p w:rsidR="00D355E8" w:rsidRPr="003A60B2" w:rsidRDefault="00D355E8" w:rsidP="00EC73B3">
      <w:pPr>
        <w:tabs>
          <w:tab w:val="left" w:pos="284"/>
        </w:tabs>
        <w:jc w:val="both"/>
        <w:rPr>
          <w:sz w:val="22"/>
          <w:szCs w:val="22"/>
          <w:lang w:val="sr-Latn-ME" w:eastAsia="hr-HR"/>
        </w:rPr>
      </w:pPr>
    </w:p>
    <w:p w:rsidR="00D355E8" w:rsidRPr="003A60B2" w:rsidRDefault="00D355E8" w:rsidP="00EC73B3">
      <w:pPr>
        <w:tabs>
          <w:tab w:val="left" w:pos="284"/>
        </w:tabs>
        <w:jc w:val="both"/>
        <w:rPr>
          <w:sz w:val="22"/>
          <w:szCs w:val="22"/>
          <w:lang w:val="sr-Latn-ME"/>
        </w:rPr>
      </w:pPr>
      <w:r w:rsidRPr="003A60B2">
        <w:rPr>
          <w:sz w:val="22"/>
          <w:szCs w:val="22"/>
          <w:lang w:val="sr-Latn-ME" w:eastAsia="hr-HR"/>
        </w:rPr>
        <w:t>Čini se da citohrom P450 2E1 (CYP2E1) mikrozoma humane jetre katalizuje 3-hidroksilaciju fampridina u 3-hidroksi-4-aminopiridin.</w:t>
      </w:r>
    </w:p>
    <w:p w:rsidR="00D355E8" w:rsidRPr="003A60B2" w:rsidRDefault="00D355E8" w:rsidP="00EC73B3">
      <w:pPr>
        <w:tabs>
          <w:tab w:val="left" w:pos="284"/>
        </w:tabs>
        <w:jc w:val="both"/>
        <w:rPr>
          <w:sz w:val="22"/>
          <w:szCs w:val="22"/>
          <w:lang w:val="sr-Latn-ME" w:eastAsia="hr-HR"/>
        </w:rPr>
      </w:pPr>
    </w:p>
    <w:p w:rsidR="00D355E8" w:rsidRPr="003A60B2" w:rsidRDefault="00D355E8" w:rsidP="00EC73B3">
      <w:pPr>
        <w:tabs>
          <w:tab w:val="left" w:pos="284"/>
        </w:tabs>
        <w:jc w:val="both"/>
        <w:rPr>
          <w:sz w:val="22"/>
          <w:szCs w:val="22"/>
          <w:lang w:val="sr-Latn-ME"/>
        </w:rPr>
      </w:pPr>
      <w:r w:rsidRPr="003A60B2">
        <w:rPr>
          <w:sz w:val="22"/>
          <w:szCs w:val="22"/>
          <w:lang w:val="sr-Latn-ME" w:eastAsia="hr-HR"/>
        </w:rPr>
        <w:t>Postoje dokazi da fampridin u dozi od 30 µM direktno inhibira CYP2E1 (otprilike 12% inhibicije), što je približno 100 puta više od prosječne koncentracije fampridina u plazmi izmjerene za tabletu od 10 mg.</w:t>
      </w:r>
    </w:p>
    <w:p w:rsidR="00D355E8" w:rsidRPr="003A60B2" w:rsidRDefault="00D355E8" w:rsidP="00EC73B3">
      <w:pPr>
        <w:tabs>
          <w:tab w:val="left" w:pos="284"/>
        </w:tabs>
        <w:jc w:val="both"/>
        <w:rPr>
          <w:sz w:val="22"/>
          <w:szCs w:val="22"/>
          <w:lang w:val="sr-Latn-ME"/>
        </w:rPr>
      </w:pPr>
      <w:r w:rsidRPr="003A60B2">
        <w:rPr>
          <w:sz w:val="22"/>
          <w:szCs w:val="22"/>
          <w:lang w:val="sr-Latn-ME" w:eastAsia="hr-HR"/>
        </w:rPr>
        <w:t>Tretiranje kultivisanih humanih hepatocita fampridinom nema skoro nikakav uticaj na indukciju aktivnosti enzima CYP1A2, CYP2B6, CYP2C9, CYP2C19, CYP2E1 ili CYP3A4/5.</w:t>
      </w:r>
    </w:p>
    <w:p w:rsidR="00D355E8" w:rsidRPr="003A60B2" w:rsidRDefault="00D355E8" w:rsidP="00EC73B3">
      <w:pPr>
        <w:tabs>
          <w:tab w:val="left" w:pos="284"/>
        </w:tabs>
        <w:jc w:val="both"/>
        <w:rPr>
          <w:sz w:val="22"/>
          <w:szCs w:val="22"/>
          <w:u w:val="single"/>
          <w:lang w:val="sr-Latn-ME" w:eastAsia="hr-HR"/>
        </w:rPr>
      </w:pPr>
    </w:p>
    <w:p w:rsidR="00D355E8" w:rsidRPr="003A60B2" w:rsidRDefault="00D355E8" w:rsidP="00EC73B3">
      <w:pPr>
        <w:tabs>
          <w:tab w:val="left" w:pos="284"/>
        </w:tabs>
        <w:jc w:val="both"/>
        <w:rPr>
          <w:sz w:val="22"/>
          <w:szCs w:val="22"/>
          <w:u w:val="single"/>
          <w:lang w:val="sr-Latn-ME" w:eastAsia="hr-HR"/>
        </w:rPr>
      </w:pPr>
      <w:r w:rsidRPr="003A60B2">
        <w:rPr>
          <w:sz w:val="22"/>
          <w:szCs w:val="22"/>
          <w:u w:val="single"/>
          <w:lang w:val="sr-Latn-ME" w:eastAsia="hr-HR"/>
        </w:rPr>
        <w:t>Eliminacija</w:t>
      </w:r>
    </w:p>
    <w:p w:rsidR="00D355E8" w:rsidRPr="003A60B2" w:rsidRDefault="00D355E8" w:rsidP="00EC73B3">
      <w:pPr>
        <w:tabs>
          <w:tab w:val="left" w:pos="284"/>
        </w:tabs>
        <w:jc w:val="both"/>
        <w:rPr>
          <w:sz w:val="22"/>
          <w:szCs w:val="22"/>
          <w:lang w:val="sr-Latn-ME"/>
        </w:rPr>
      </w:pPr>
    </w:p>
    <w:p w:rsidR="00D355E8" w:rsidRPr="003A60B2" w:rsidRDefault="00D355E8" w:rsidP="00EC73B3">
      <w:pPr>
        <w:tabs>
          <w:tab w:val="left" w:pos="284"/>
        </w:tabs>
        <w:jc w:val="both"/>
        <w:rPr>
          <w:sz w:val="22"/>
          <w:szCs w:val="22"/>
          <w:lang w:val="sr-Latn-ME"/>
        </w:rPr>
      </w:pPr>
      <w:r w:rsidRPr="003A60B2">
        <w:rPr>
          <w:sz w:val="22"/>
          <w:szCs w:val="22"/>
          <w:lang w:val="sr-Latn-ME" w:eastAsia="hr-HR"/>
        </w:rPr>
        <w:t>Glavni put eliminacije fampridina je izlučivanje preko bubrega, tako da se otprilike 90% doze pojavljuje u urinu u vidu osnovnog lijeka u roku od 24 sata. Bubrežni klirens (CLR 370 ml/min) je znatno veći nego brzina glomerularne filtracije zbog kombinovane glomerularne filtracije i aktivnog izlučivanja preko renalnih OCT2 transportera. U fecesu se izlučuje manje od 1% primjenjene doze.</w:t>
      </w:r>
    </w:p>
    <w:p w:rsidR="00D355E8" w:rsidRPr="003A60B2" w:rsidRDefault="00D355E8" w:rsidP="00EC73B3">
      <w:pPr>
        <w:tabs>
          <w:tab w:val="left" w:pos="284"/>
        </w:tabs>
        <w:jc w:val="both"/>
        <w:rPr>
          <w:sz w:val="22"/>
          <w:szCs w:val="22"/>
          <w:lang w:val="sr-Latn-ME" w:eastAsia="hr-HR"/>
        </w:rPr>
      </w:pPr>
    </w:p>
    <w:p w:rsidR="00D355E8" w:rsidRPr="003A60B2" w:rsidRDefault="00D355E8" w:rsidP="00EC73B3">
      <w:pPr>
        <w:tabs>
          <w:tab w:val="left" w:pos="284"/>
        </w:tabs>
        <w:jc w:val="both"/>
        <w:rPr>
          <w:sz w:val="22"/>
          <w:szCs w:val="22"/>
          <w:lang w:val="sr-Latn-ME"/>
        </w:rPr>
      </w:pPr>
      <w:r w:rsidRPr="003A60B2">
        <w:rPr>
          <w:sz w:val="22"/>
          <w:szCs w:val="22"/>
          <w:lang w:val="sr-Latn-ME" w:eastAsia="hr-HR"/>
        </w:rPr>
        <w:t>Fampridin pokazuje linearnu (srazmjernu sa dozom) farmakokinetiku sa terminalnim poluvremenom  eliminacije od približno 6 sati. Maksimalna koncentracija u plazmi (C</w:t>
      </w:r>
      <w:r w:rsidRPr="003A60B2">
        <w:rPr>
          <w:sz w:val="22"/>
          <w:szCs w:val="22"/>
          <w:vertAlign w:val="subscript"/>
          <w:lang w:val="sr-Latn-ME" w:eastAsia="hr-HR"/>
        </w:rPr>
        <w:t>max</w:t>
      </w:r>
      <w:r w:rsidRPr="003A60B2">
        <w:rPr>
          <w:sz w:val="22"/>
          <w:szCs w:val="22"/>
          <w:lang w:val="sr-Latn-ME" w:eastAsia="hr-HR"/>
        </w:rPr>
        <w:t>) i u manjem obimu površina ispod krive koncentracija u plazmi-vreme (PIK) se povećavaju srazmjerno sa dozom. Ne postoje dokazi o klinički relevantnoj akumulaciji fampridina uzetog u preporučenoj dozi kod pacijenata sa normalnom bubrežnom funkcijom. Kod pacijenata sa oštećenjem bubrežne funkcije akumulacija se javlja srazmjerno sa stepenom oštećenja.</w:t>
      </w:r>
    </w:p>
    <w:p w:rsidR="00D355E8" w:rsidRPr="003A60B2" w:rsidRDefault="00D355E8" w:rsidP="00EC73B3">
      <w:pPr>
        <w:tabs>
          <w:tab w:val="left" w:pos="284"/>
        </w:tabs>
        <w:jc w:val="both"/>
        <w:rPr>
          <w:sz w:val="22"/>
          <w:szCs w:val="22"/>
          <w:u w:val="single"/>
          <w:lang w:val="sr-Latn-ME" w:eastAsia="hr-HR"/>
        </w:rPr>
      </w:pPr>
    </w:p>
    <w:p w:rsidR="00D355E8" w:rsidRPr="003A60B2" w:rsidRDefault="00D355E8" w:rsidP="00EC73B3">
      <w:pPr>
        <w:tabs>
          <w:tab w:val="left" w:pos="284"/>
        </w:tabs>
        <w:jc w:val="both"/>
        <w:rPr>
          <w:sz w:val="22"/>
          <w:szCs w:val="22"/>
          <w:lang w:val="sr-Latn-ME"/>
        </w:rPr>
      </w:pPr>
      <w:r w:rsidRPr="003A60B2">
        <w:rPr>
          <w:sz w:val="22"/>
          <w:szCs w:val="22"/>
          <w:u w:val="single"/>
          <w:lang w:val="sr-Latn-ME" w:eastAsia="hr-HR"/>
        </w:rPr>
        <w:lastRenderedPageBreak/>
        <w:t>Posebne populacije</w:t>
      </w:r>
    </w:p>
    <w:p w:rsidR="00D355E8" w:rsidRPr="003A60B2" w:rsidRDefault="00D355E8" w:rsidP="00EC73B3">
      <w:pPr>
        <w:tabs>
          <w:tab w:val="left" w:pos="284"/>
        </w:tabs>
        <w:jc w:val="both"/>
        <w:rPr>
          <w:sz w:val="22"/>
          <w:szCs w:val="22"/>
          <w:u w:val="single"/>
          <w:lang w:val="sr-Latn-ME" w:eastAsia="hr-HR"/>
        </w:rPr>
      </w:pPr>
    </w:p>
    <w:p w:rsidR="00D355E8" w:rsidRPr="003A60B2" w:rsidRDefault="00D355E8" w:rsidP="00EC73B3">
      <w:pPr>
        <w:tabs>
          <w:tab w:val="left" w:pos="284"/>
        </w:tabs>
        <w:jc w:val="both"/>
        <w:rPr>
          <w:i/>
          <w:sz w:val="22"/>
          <w:szCs w:val="22"/>
          <w:lang w:val="sr-Latn-ME"/>
        </w:rPr>
      </w:pPr>
      <w:r w:rsidRPr="003A60B2">
        <w:rPr>
          <w:i/>
          <w:sz w:val="22"/>
          <w:szCs w:val="22"/>
          <w:u w:val="single"/>
          <w:lang w:val="sr-Latn-ME" w:eastAsia="hr-HR"/>
        </w:rPr>
        <w:t>Starije osobe:</w:t>
      </w:r>
    </w:p>
    <w:p w:rsidR="00D355E8" w:rsidRPr="003A60B2" w:rsidRDefault="00D355E8" w:rsidP="00EC73B3">
      <w:pPr>
        <w:tabs>
          <w:tab w:val="left" w:pos="284"/>
        </w:tabs>
        <w:jc w:val="both"/>
        <w:rPr>
          <w:sz w:val="22"/>
          <w:szCs w:val="22"/>
          <w:lang w:val="sr-Latn-ME"/>
        </w:rPr>
      </w:pPr>
      <w:r w:rsidRPr="003A60B2">
        <w:rPr>
          <w:sz w:val="22"/>
          <w:szCs w:val="22"/>
          <w:lang w:val="sr-Latn-ME" w:eastAsia="hr-HR"/>
        </w:rPr>
        <w:t>Fampridin se primarno eliminiše u nepromenjenom obliku putem bubrega, a s obzirom da je poznato da se klirens kreatinina smanjuje sa starošću, treba razmotriti praćenje bubrežne funkcije kod starijih pacijenta (vidjeti dio 4.2).</w:t>
      </w:r>
    </w:p>
    <w:p w:rsidR="00D355E8" w:rsidRPr="003A60B2" w:rsidRDefault="00D355E8" w:rsidP="00EC73B3">
      <w:pPr>
        <w:tabs>
          <w:tab w:val="left" w:pos="284"/>
        </w:tabs>
        <w:jc w:val="both"/>
        <w:rPr>
          <w:sz w:val="22"/>
          <w:szCs w:val="22"/>
          <w:u w:val="single"/>
          <w:lang w:val="sr-Latn-ME" w:eastAsia="hr-HR"/>
        </w:rPr>
      </w:pPr>
    </w:p>
    <w:p w:rsidR="00D355E8" w:rsidRPr="003A60B2" w:rsidRDefault="00D355E8" w:rsidP="00EC73B3">
      <w:pPr>
        <w:tabs>
          <w:tab w:val="left" w:pos="284"/>
        </w:tabs>
        <w:jc w:val="both"/>
        <w:rPr>
          <w:i/>
          <w:sz w:val="22"/>
          <w:szCs w:val="22"/>
          <w:lang w:val="sr-Latn-ME"/>
        </w:rPr>
      </w:pPr>
      <w:r w:rsidRPr="003A60B2">
        <w:rPr>
          <w:i/>
          <w:sz w:val="22"/>
          <w:szCs w:val="22"/>
          <w:u w:val="single"/>
          <w:lang w:val="sr-Latn-ME" w:eastAsia="hr-HR"/>
        </w:rPr>
        <w:t>Pedijatrijska populacija:</w:t>
      </w:r>
    </w:p>
    <w:p w:rsidR="00D355E8" w:rsidRPr="003A60B2" w:rsidRDefault="00D355E8" w:rsidP="00EC73B3">
      <w:pPr>
        <w:tabs>
          <w:tab w:val="left" w:pos="284"/>
        </w:tabs>
        <w:jc w:val="both"/>
        <w:rPr>
          <w:sz w:val="22"/>
          <w:szCs w:val="22"/>
          <w:lang w:val="sr-Latn-ME"/>
        </w:rPr>
      </w:pPr>
      <w:r w:rsidRPr="003A60B2">
        <w:rPr>
          <w:sz w:val="22"/>
          <w:szCs w:val="22"/>
          <w:lang w:val="sr-Latn-ME" w:eastAsia="hr-HR"/>
        </w:rPr>
        <w:t>Nema dostupnih podataka.</w:t>
      </w:r>
    </w:p>
    <w:p w:rsidR="00D355E8" w:rsidRPr="003A60B2" w:rsidRDefault="00D355E8" w:rsidP="00EC73B3">
      <w:pPr>
        <w:tabs>
          <w:tab w:val="left" w:pos="284"/>
        </w:tabs>
        <w:jc w:val="both"/>
        <w:rPr>
          <w:sz w:val="22"/>
          <w:szCs w:val="22"/>
          <w:u w:val="single"/>
          <w:lang w:val="sr-Latn-ME" w:eastAsia="hr-HR"/>
        </w:rPr>
      </w:pPr>
    </w:p>
    <w:p w:rsidR="00D355E8" w:rsidRPr="003A60B2" w:rsidRDefault="00D355E8" w:rsidP="00EC73B3">
      <w:pPr>
        <w:tabs>
          <w:tab w:val="left" w:pos="284"/>
        </w:tabs>
        <w:jc w:val="both"/>
        <w:rPr>
          <w:i/>
          <w:sz w:val="22"/>
          <w:szCs w:val="22"/>
          <w:lang w:val="sr-Latn-ME"/>
        </w:rPr>
      </w:pPr>
      <w:r w:rsidRPr="003A60B2">
        <w:rPr>
          <w:i/>
          <w:sz w:val="22"/>
          <w:szCs w:val="22"/>
          <w:u w:val="single"/>
          <w:lang w:val="sr-Latn-ME" w:eastAsia="hr-HR"/>
        </w:rPr>
        <w:t>Pacijenti sa oštećenjem bubrežne funkcije:</w:t>
      </w:r>
    </w:p>
    <w:p w:rsidR="00D355E8" w:rsidRPr="003A60B2" w:rsidRDefault="00D355E8" w:rsidP="00EC73B3">
      <w:pPr>
        <w:tabs>
          <w:tab w:val="left" w:pos="284"/>
        </w:tabs>
        <w:jc w:val="both"/>
        <w:rPr>
          <w:sz w:val="22"/>
          <w:szCs w:val="22"/>
          <w:lang w:val="sr-Latn-ME"/>
        </w:rPr>
      </w:pPr>
      <w:r w:rsidRPr="003A60B2">
        <w:rPr>
          <w:sz w:val="22"/>
          <w:szCs w:val="22"/>
          <w:lang w:val="sr-Latn-ME" w:eastAsia="hr-HR"/>
        </w:rPr>
        <w:t>Fampridin se primarno eliminiše putem bubrega kao nepromijenjeni lijek pa stoga funkcija bubrega treba provjeravati kod pacijenata kod kojih bi funkcija bubrega mogla biti kompromitovana. Može se očekivati da pacijenti sa blagim oštećenjem bubrežne funkcije imaju otprilike 1,7 do 1,9 puta višu koncentraciju fampridina nego pacijenti sa normalnom bubrežnom funkcijom. Fampridin se ne smije primjenjivati kod pacijenata sa blagim, umjerenim i teškim oštećenjem bubrežne funkcije (vidjeti dio 4.3 i 4.4).</w:t>
      </w:r>
    </w:p>
    <w:p w:rsidR="0072020E" w:rsidRPr="003A60B2" w:rsidRDefault="0072020E" w:rsidP="00EC73B3">
      <w:pPr>
        <w:tabs>
          <w:tab w:val="left" w:pos="540"/>
          <w:tab w:val="left" w:pos="569"/>
        </w:tabs>
        <w:jc w:val="both"/>
        <w:rPr>
          <w:bCs/>
          <w:sz w:val="22"/>
          <w:szCs w:val="22"/>
          <w:lang w:val="sr-Latn-ME"/>
        </w:rPr>
      </w:pPr>
    </w:p>
    <w:p w:rsidR="0072020E" w:rsidRPr="003A60B2" w:rsidRDefault="0072020E" w:rsidP="00EC73B3">
      <w:pPr>
        <w:tabs>
          <w:tab w:val="left" w:pos="540"/>
          <w:tab w:val="left" w:pos="569"/>
        </w:tabs>
        <w:jc w:val="both"/>
        <w:rPr>
          <w:b/>
          <w:bCs/>
          <w:sz w:val="22"/>
          <w:szCs w:val="22"/>
          <w:lang w:val="sr-Latn-ME"/>
        </w:rPr>
      </w:pPr>
      <w:r w:rsidRPr="003A60B2">
        <w:rPr>
          <w:b/>
          <w:bCs/>
          <w:sz w:val="22"/>
          <w:szCs w:val="22"/>
          <w:lang w:val="sr-Latn-ME"/>
        </w:rPr>
        <w:t xml:space="preserve">5.3. </w:t>
      </w:r>
      <w:r w:rsidR="00480FB1" w:rsidRPr="003A60B2">
        <w:rPr>
          <w:b/>
          <w:bCs/>
          <w:sz w:val="22"/>
          <w:szCs w:val="22"/>
          <w:lang w:val="sr-Latn-ME"/>
        </w:rPr>
        <w:tab/>
      </w:r>
      <w:r w:rsidRPr="003A60B2">
        <w:rPr>
          <w:b/>
          <w:bCs/>
          <w:sz w:val="22"/>
          <w:szCs w:val="22"/>
          <w:lang w:val="sr-Latn-ME"/>
        </w:rPr>
        <w:t xml:space="preserve">Pretklinički podaci o bezbjednosti </w:t>
      </w:r>
    </w:p>
    <w:p w:rsidR="00836B35" w:rsidRPr="003A60B2" w:rsidRDefault="00836B35" w:rsidP="00EC73B3">
      <w:pPr>
        <w:tabs>
          <w:tab w:val="left" w:pos="540"/>
          <w:tab w:val="left" w:pos="569"/>
        </w:tabs>
        <w:jc w:val="both"/>
        <w:rPr>
          <w:bCs/>
          <w:sz w:val="22"/>
          <w:szCs w:val="22"/>
          <w:lang w:val="sr-Latn-ME"/>
        </w:rPr>
      </w:pPr>
    </w:p>
    <w:p w:rsidR="004126C1" w:rsidRPr="003A60B2" w:rsidRDefault="004126C1" w:rsidP="00EC73B3">
      <w:pPr>
        <w:tabs>
          <w:tab w:val="left" w:pos="284"/>
        </w:tabs>
        <w:jc w:val="both"/>
        <w:rPr>
          <w:sz w:val="22"/>
          <w:szCs w:val="22"/>
          <w:lang w:val="sr-Latn-ME"/>
        </w:rPr>
      </w:pPr>
      <w:r w:rsidRPr="003A60B2">
        <w:rPr>
          <w:sz w:val="22"/>
          <w:szCs w:val="22"/>
          <w:lang w:val="sr-Latn-ME" w:eastAsia="hr-HR"/>
        </w:rPr>
        <w:t>Fampridin je ispitivan u studijama oralne toksičnosti ponovljenih doza  kod nekoliko životinjskih vrsta.</w:t>
      </w:r>
    </w:p>
    <w:p w:rsidR="004126C1" w:rsidRPr="003A60B2" w:rsidRDefault="004126C1" w:rsidP="00EC73B3">
      <w:pPr>
        <w:tabs>
          <w:tab w:val="left" w:pos="284"/>
        </w:tabs>
        <w:jc w:val="both"/>
        <w:rPr>
          <w:sz w:val="22"/>
          <w:szCs w:val="22"/>
          <w:lang w:val="sr-Latn-ME" w:eastAsia="hr-HR"/>
        </w:rPr>
      </w:pPr>
    </w:p>
    <w:p w:rsidR="004126C1" w:rsidRPr="003A60B2" w:rsidRDefault="004126C1" w:rsidP="00EC73B3">
      <w:pPr>
        <w:tabs>
          <w:tab w:val="left" w:pos="284"/>
        </w:tabs>
        <w:jc w:val="both"/>
        <w:rPr>
          <w:sz w:val="22"/>
          <w:szCs w:val="22"/>
          <w:lang w:val="sr-Latn-ME" w:eastAsia="hr-HR"/>
        </w:rPr>
      </w:pPr>
      <w:r w:rsidRPr="003A60B2">
        <w:rPr>
          <w:sz w:val="22"/>
          <w:szCs w:val="22"/>
          <w:lang w:val="sr-Latn-ME" w:eastAsia="hr-HR"/>
        </w:rPr>
        <w:t>Neželjeni odgovori na oralno primijenjen fampridin su se brzo javljali, najčešće u  roku od prva 2 sata nakon uzimanja doze. Klinički znaci koji su bili evidentni nakon visokih pojedinačnih doza ili ponovljenih nižih doza su bili slični kod svih ispitivanih vrsta, a uključivali su tremor, konvulzije, ataksiju, dispneju, proširene zenice, prostraciju, abnormalnu vokalizaciju, ubrzano disanje i prekomjernu salivaciju. Takođe su zabilježeni poremećaji hoda i prekomjerna ekscitabilnost. Ti klinički znaci nisu bili neočekivani i predstavljaju pretjerano izraženu farmakologiju fampridina. Osim toga, kod pacova su zabilježeni pojedinačni slučajevi fatalne urinarne opstrukcije. Kliničku relevantnost ovih nalaza tek treba razjasniti, međutim uzročna veza sa terapijom fampridinom se ne može isključiti.</w:t>
      </w:r>
    </w:p>
    <w:p w:rsidR="004126C1" w:rsidRPr="003A60B2" w:rsidRDefault="004126C1" w:rsidP="00EC73B3">
      <w:pPr>
        <w:tabs>
          <w:tab w:val="left" w:pos="284"/>
        </w:tabs>
        <w:jc w:val="both"/>
        <w:rPr>
          <w:sz w:val="22"/>
          <w:szCs w:val="22"/>
          <w:lang w:val="sr-Latn-ME"/>
        </w:rPr>
      </w:pPr>
    </w:p>
    <w:p w:rsidR="004126C1" w:rsidRPr="003A60B2" w:rsidRDefault="004126C1" w:rsidP="00EC73B3">
      <w:pPr>
        <w:tabs>
          <w:tab w:val="left" w:pos="284"/>
        </w:tabs>
        <w:jc w:val="both"/>
        <w:rPr>
          <w:sz w:val="22"/>
          <w:szCs w:val="22"/>
          <w:lang w:val="sr-Latn-ME"/>
        </w:rPr>
      </w:pPr>
      <w:r w:rsidRPr="003A60B2">
        <w:rPr>
          <w:sz w:val="22"/>
          <w:szCs w:val="22"/>
          <w:lang w:val="sr-Latn-ME" w:eastAsia="hr-HR"/>
        </w:rPr>
        <w:t>U studijama reproduktivne toksičnosti kod pacova i zečeva, zabilježen je gubitak tjelesne težine i vijabilnosti fetusa i mladunaca pri dozama toksičnim za majku. Međutim, nije zabilježen povećan rizik od malformacija  ili neželjena dejstva na plodnost.</w:t>
      </w:r>
    </w:p>
    <w:p w:rsidR="004126C1" w:rsidRPr="003A60B2" w:rsidRDefault="004126C1" w:rsidP="00EC73B3">
      <w:pPr>
        <w:tabs>
          <w:tab w:val="left" w:pos="284"/>
        </w:tabs>
        <w:jc w:val="both"/>
        <w:rPr>
          <w:sz w:val="22"/>
          <w:szCs w:val="22"/>
          <w:lang w:val="sr-Latn-ME" w:eastAsia="hr-HR"/>
        </w:rPr>
      </w:pPr>
    </w:p>
    <w:p w:rsidR="004126C1" w:rsidRPr="003A60B2" w:rsidRDefault="004126C1" w:rsidP="00EC73B3">
      <w:pPr>
        <w:tabs>
          <w:tab w:val="left" w:pos="284"/>
        </w:tabs>
        <w:jc w:val="both"/>
        <w:rPr>
          <w:sz w:val="22"/>
          <w:szCs w:val="22"/>
          <w:lang w:val="sr-Latn-ME"/>
        </w:rPr>
      </w:pPr>
      <w:r w:rsidRPr="003A60B2">
        <w:rPr>
          <w:sz w:val="22"/>
          <w:szCs w:val="22"/>
          <w:lang w:val="sr-Latn-ME" w:eastAsia="hr-HR"/>
        </w:rPr>
        <w:t>U jednoj seriji</w:t>
      </w:r>
      <w:r w:rsidRPr="003A60B2">
        <w:rPr>
          <w:i/>
          <w:iCs/>
          <w:sz w:val="22"/>
          <w:szCs w:val="22"/>
          <w:lang w:val="sr-Latn-ME" w:eastAsia="hr-HR"/>
        </w:rPr>
        <w:t xml:space="preserve"> in vitro</w:t>
      </w:r>
      <w:r w:rsidRPr="003A60B2">
        <w:rPr>
          <w:sz w:val="22"/>
          <w:szCs w:val="22"/>
          <w:lang w:val="sr-Latn-ME" w:eastAsia="hr-HR"/>
        </w:rPr>
        <w:t xml:space="preserve"> i</w:t>
      </w:r>
      <w:r w:rsidRPr="003A60B2">
        <w:rPr>
          <w:i/>
          <w:iCs/>
          <w:sz w:val="22"/>
          <w:szCs w:val="22"/>
          <w:lang w:val="sr-Latn-ME" w:eastAsia="hr-HR"/>
        </w:rPr>
        <w:t xml:space="preserve"> in vivo</w:t>
      </w:r>
      <w:r w:rsidRPr="003A60B2">
        <w:rPr>
          <w:sz w:val="22"/>
          <w:szCs w:val="22"/>
          <w:lang w:val="sr-Latn-ME" w:eastAsia="hr-HR"/>
        </w:rPr>
        <w:t xml:space="preserve"> studija, fampridin nije pokazao bilo kakav mutageni, klastogeni ili kancerogeni potencijal.</w:t>
      </w:r>
    </w:p>
    <w:p w:rsidR="00396DFD" w:rsidRDefault="00396DFD" w:rsidP="00EC73B3">
      <w:pPr>
        <w:tabs>
          <w:tab w:val="left" w:pos="540"/>
          <w:tab w:val="left" w:pos="569"/>
        </w:tabs>
        <w:jc w:val="both"/>
        <w:rPr>
          <w:b/>
          <w:bCs/>
          <w:sz w:val="22"/>
          <w:szCs w:val="22"/>
          <w:lang w:val="sr-Latn-ME"/>
        </w:rPr>
      </w:pPr>
    </w:p>
    <w:p w:rsidR="00072CF4" w:rsidRPr="003A60B2" w:rsidRDefault="00072CF4" w:rsidP="00EC73B3">
      <w:pPr>
        <w:tabs>
          <w:tab w:val="left" w:pos="540"/>
          <w:tab w:val="left" w:pos="569"/>
        </w:tabs>
        <w:jc w:val="both"/>
        <w:rPr>
          <w:b/>
          <w:bCs/>
          <w:sz w:val="22"/>
          <w:szCs w:val="22"/>
          <w:lang w:val="sr-Latn-ME"/>
        </w:rPr>
      </w:pPr>
    </w:p>
    <w:p w:rsidR="0072020E" w:rsidRPr="003A60B2" w:rsidRDefault="0072020E" w:rsidP="00EC73B3">
      <w:pPr>
        <w:tabs>
          <w:tab w:val="left" w:pos="540"/>
          <w:tab w:val="left" w:pos="569"/>
        </w:tabs>
        <w:jc w:val="both"/>
        <w:rPr>
          <w:b/>
          <w:bCs/>
          <w:sz w:val="22"/>
          <w:szCs w:val="22"/>
          <w:lang w:val="sr-Latn-ME"/>
        </w:rPr>
      </w:pPr>
      <w:r w:rsidRPr="003A60B2">
        <w:rPr>
          <w:b/>
          <w:bCs/>
          <w:sz w:val="22"/>
          <w:szCs w:val="22"/>
          <w:lang w:val="sr-Latn-ME"/>
        </w:rPr>
        <w:t xml:space="preserve">6. </w:t>
      </w:r>
      <w:r w:rsidR="00480FB1" w:rsidRPr="003A60B2">
        <w:rPr>
          <w:b/>
          <w:bCs/>
          <w:sz w:val="22"/>
          <w:szCs w:val="22"/>
          <w:lang w:val="sr-Latn-ME"/>
        </w:rPr>
        <w:tab/>
      </w:r>
      <w:r w:rsidRPr="003A60B2">
        <w:rPr>
          <w:b/>
          <w:bCs/>
          <w:sz w:val="22"/>
          <w:szCs w:val="22"/>
          <w:lang w:val="sr-Latn-ME"/>
        </w:rPr>
        <w:t>FARMACEUTSKI PODACI</w:t>
      </w:r>
    </w:p>
    <w:p w:rsidR="00836B35" w:rsidRPr="003A60B2" w:rsidRDefault="00836B35" w:rsidP="00EC73B3">
      <w:pPr>
        <w:tabs>
          <w:tab w:val="left" w:pos="540"/>
          <w:tab w:val="left" w:pos="569"/>
        </w:tabs>
        <w:jc w:val="both"/>
        <w:rPr>
          <w:bCs/>
          <w:sz w:val="22"/>
          <w:szCs w:val="22"/>
          <w:lang w:val="sr-Latn-ME"/>
        </w:rPr>
      </w:pPr>
    </w:p>
    <w:p w:rsidR="0072020E" w:rsidRPr="003A60B2" w:rsidRDefault="0072020E" w:rsidP="00EC73B3">
      <w:pPr>
        <w:tabs>
          <w:tab w:val="left" w:pos="540"/>
          <w:tab w:val="left" w:pos="569"/>
        </w:tabs>
        <w:jc w:val="both"/>
        <w:rPr>
          <w:b/>
          <w:bCs/>
          <w:sz w:val="22"/>
          <w:szCs w:val="22"/>
          <w:lang w:val="sr-Latn-ME"/>
        </w:rPr>
      </w:pPr>
      <w:r w:rsidRPr="003A60B2">
        <w:rPr>
          <w:b/>
          <w:bCs/>
          <w:sz w:val="22"/>
          <w:szCs w:val="22"/>
          <w:lang w:val="sr-Latn-ME"/>
        </w:rPr>
        <w:t xml:space="preserve">6.1. </w:t>
      </w:r>
      <w:r w:rsidR="00480FB1" w:rsidRPr="003A60B2">
        <w:rPr>
          <w:b/>
          <w:bCs/>
          <w:sz w:val="22"/>
          <w:szCs w:val="22"/>
          <w:lang w:val="sr-Latn-ME"/>
        </w:rPr>
        <w:tab/>
      </w:r>
      <w:r w:rsidRPr="003A60B2">
        <w:rPr>
          <w:b/>
          <w:bCs/>
          <w:sz w:val="22"/>
          <w:szCs w:val="22"/>
          <w:lang w:val="sr-Latn-ME"/>
        </w:rPr>
        <w:t>Lista pomoćnih supstanci</w:t>
      </w:r>
      <w:r w:rsidR="002E0135" w:rsidRPr="003A60B2">
        <w:rPr>
          <w:b/>
          <w:bCs/>
          <w:sz w:val="22"/>
          <w:szCs w:val="22"/>
          <w:lang w:val="sr-Latn-ME"/>
        </w:rPr>
        <w:t xml:space="preserve"> (ekscipijenasa)</w:t>
      </w:r>
    </w:p>
    <w:p w:rsidR="004126C1" w:rsidRPr="003A60B2" w:rsidRDefault="004126C1" w:rsidP="00EC73B3">
      <w:pPr>
        <w:tabs>
          <w:tab w:val="left" w:pos="540"/>
          <w:tab w:val="left" w:pos="569"/>
        </w:tabs>
        <w:jc w:val="both"/>
        <w:rPr>
          <w:b/>
          <w:bCs/>
          <w:sz w:val="22"/>
          <w:szCs w:val="22"/>
          <w:lang w:val="sr-Latn-ME"/>
        </w:rPr>
      </w:pPr>
    </w:p>
    <w:p w:rsidR="004126C1" w:rsidRPr="003A60B2" w:rsidRDefault="004126C1" w:rsidP="00EC73B3">
      <w:pPr>
        <w:tabs>
          <w:tab w:val="left" w:pos="284"/>
        </w:tabs>
        <w:jc w:val="both"/>
        <w:rPr>
          <w:sz w:val="22"/>
          <w:szCs w:val="22"/>
          <w:u w:val="single"/>
          <w:lang w:val="sr-Latn-ME" w:eastAsia="hr-HR"/>
        </w:rPr>
      </w:pPr>
      <w:r w:rsidRPr="003A60B2">
        <w:rPr>
          <w:sz w:val="22"/>
          <w:szCs w:val="22"/>
          <w:u w:val="single"/>
          <w:lang w:val="sr-Latn-ME" w:eastAsia="hr-HR"/>
        </w:rPr>
        <w:t xml:space="preserve">Jezgro tablete: </w:t>
      </w:r>
    </w:p>
    <w:p w:rsidR="004126C1" w:rsidRPr="003A60B2" w:rsidRDefault="004126C1" w:rsidP="00EC73B3">
      <w:pPr>
        <w:tabs>
          <w:tab w:val="left" w:pos="284"/>
        </w:tabs>
        <w:jc w:val="both"/>
        <w:rPr>
          <w:sz w:val="22"/>
          <w:szCs w:val="22"/>
          <w:lang w:val="sr-Latn-ME" w:eastAsia="hr-HR"/>
        </w:rPr>
      </w:pPr>
      <w:r w:rsidRPr="003A60B2">
        <w:rPr>
          <w:sz w:val="22"/>
          <w:szCs w:val="22"/>
          <w:lang w:val="sr-Latn-ME" w:eastAsia="hr-HR"/>
        </w:rPr>
        <w:t>Kalcijum hidrogenfosfat</w:t>
      </w:r>
      <w:r w:rsidR="005A0038">
        <w:rPr>
          <w:sz w:val="22"/>
          <w:szCs w:val="22"/>
          <w:lang w:val="sr-Latn-ME" w:eastAsia="hr-HR"/>
        </w:rPr>
        <w:t>,</w:t>
      </w:r>
      <w:r w:rsidRPr="003A60B2">
        <w:rPr>
          <w:sz w:val="22"/>
          <w:szCs w:val="22"/>
          <w:lang w:val="sr-Latn-ME" w:eastAsia="hr-HR"/>
        </w:rPr>
        <w:t xml:space="preserve"> dihidrat</w:t>
      </w:r>
    </w:p>
    <w:p w:rsidR="004126C1" w:rsidRPr="003A60B2" w:rsidRDefault="004126C1" w:rsidP="00EC73B3">
      <w:pPr>
        <w:tabs>
          <w:tab w:val="left" w:pos="284"/>
        </w:tabs>
        <w:jc w:val="both"/>
        <w:rPr>
          <w:sz w:val="22"/>
          <w:szCs w:val="22"/>
          <w:lang w:val="sr-Latn-ME"/>
        </w:rPr>
      </w:pPr>
      <w:r w:rsidRPr="003A60B2">
        <w:rPr>
          <w:sz w:val="22"/>
          <w:szCs w:val="22"/>
          <w:lang w:val="sr-Latn-ME" w:eastAsia="hr-HR"/>
        </w:rPr>
        <w:t xml:space="preserve">Hipromeloza </w:t>
      </w:r>
    </w:p>
    <w:p w:rsidR="004126C1" w:rsidRPr="003A60B2" w:rsidRDefault="004126C1" w:rsidP="00EC73B3">
      <w:pPr>
        <w:tabs>
          <w:tab w:val="left" w:pos="284"/>
        </w:tabs>
        <w:jc w:val="both"/>
        <w:rPr>
          <w:sz w:val="22"/>
          <w:szCs w:val="22"/>
          <w:lang w:val="sr-Latn-ME" w:eastAsia="hr-HR"/>
        </w:rPr>
      </w:pPr>
      <w:r w:rsidRPr="003A60B2">
        <w:rPr>
          <w:sz w:val="22"/>
          <w:szCs w:val="22"/>
          <w:lang w:val="sr-Latn-ME" w:eastAsia="hr-HR"/>
        </w:rPr>
        <w:t xml:space="preserve">Silicijum dioksid, koloidni, bezvodni </w:t>
      </w:r>
    </w:p>
    <w:p w:rsidR="004126C1" w:rsidRPr="003A60B2" w:rsidRDefault="004126C1" w:rsidP="00EC73B3">
      <w:pPr>
        <w:tabs>
          <w:tab w:val="left" w:pos="284"/>
        </w:tabs>
        <w:jc w:val="both"/>
        <w:rPr>
          <w:sz w:val="22"/>
          <w:szCs w:val="22"/>
          <w:lang w:val="sr-Latn-ME"/>
        </w:rPr>
      </w:pPr>
      <w:r w:rsidRPr="003A60B2">
        <w:rPr>
          <w:sz w:val="22"/>
          <w:szCs w:val="22"/>
          <w:lang w:val="sr-Latn-ME" w:eastAsia="hr-HR"/>
        </w:rPr>
        <w:t>Magnezijum stearat</w:t>
      </w:r>
    </w:p>
    <w:p w:rsidR="004126C1" w:rsidRPr="003A60B2" w:rsidRDefault="004126C1" w:rsidP="00EC73B3">
      <w:pPr>
        <w:tabs>
          <w:tab w:val="left" w:pos="284"/>
        </w:tabs>
        <w:jc w:val="both"/>
        <w:rPr>
          <w:sz w:val="22"/>
          <w:szCs w:val="22"/>
          <w:u w:val="single"/>
          <w:lang w:val="sr-Latn-ME" w:eastAsia="hr-HR"/>
        </w:rPr>
      </w:pPr>
    </w:p>
    <w:p w:rsidR="004126C1" w:rsidRPr="003A60B2" w:rsidRDefault="004126C1" w:rsidP="00EC73B3">
      <w:pPr>
        <w:tabs>
          <w:tab w:val="left" w:pos="284"/>
        </w:tabs>
        <w:jc w:val="both"/>
        <w:rPr>
          <w:sz w:val="22"/>
          <w:szCs w:val="22"/>
          <w:lang w:val="sr-Latn-ME"/>
        </w:rPr>
      </w:pPr>
      <w:r w:rsidRPr="003A60B2">
        <w:rPr>
          <w:sz w:val="22"/>
          <w:szCs w:val="22"/>
          <w:u w:val="single"/>
          <w:lang w:val="sr-Latn-ME" w:eastAsia="hr-HR"/>
        </w:rPr>
        <w:t>Film omotač:</w:t>
      </w:r>
    </w:p>
    <w:p w:rsidR="004126C1" w:rsidRPr="003A60B2" w:rsidRDefault="004126C1" w:rsidP="00EC73B3">
      <w:pPr>
        <w:tabs>
          <w:tab w:val="left" w:pos="284"/>
        </w:tabs>
        <w:jc w:val="both"/>
        <w:rPr>
          <w:sz w:val="22"/>
          <w:szCs w:val="22"/>
          <w:lang w:val="sr-Latn-ME" w:eastAsia="hr-HR"/>
        </w:rPr>
      </w:pPr>
      <w:r w:rsidRPr="003A60B2">
        <w:rPr>
          <w:sz w:val="22"/>
          <w:szCs w:val="22"/>
          <w:lang w:val="sr-Latn-ME" w:eastAsia="hr-HR"/>
        </w:rPr>
        <w:t xml:space="preserve">Hipromeloza  </w:t>
      </w:r>
    </w:p>
    <w:p w:rsidR="004126C1" w:rsidRPr="003A60B2" w:rsidRDefault="004126C1" w:rsidP="00EC73B3">
      <w:pPr>
        <w:tabs>
          <w:tab w:val="left" w:pos="284"/>
        </w:tabs>
        <w:jc w:val="both"/>
        <w:rPr>
          <w:sz w:val="22"/>
          <w:szCs w:val="22"/>
          <w:lang w:val="sr-Latn-ME"/>
        </w:rPr>
      </w:pPr>
      <w:r w:rsidRPr="003A60B2">
        <w:rPr>
          <w:sz w:val="22"/>
          <w:szCs w:val="22"/>
          <w:lang w:val="sr-Latn-ME" w:eastAsia="hr-HR"/>
        </w:rPr>
        <w:t xml:space="preserve">Titan dioksid (E 171) </w:t>
      </w:r>
    </w:p>
    <w:p w:rsidR="004126C1" w:rsidRPr="003A60B2" w:rsidRDefault="004126C1" w:rsidP="00EC73B3">
      <w:pPr>
        <w:tabs>
          <w:tab w:val="left" w:pos="284"/>
        </w:tabs>
        <w:jc w:val="both"/>
        <w:rPr>
          <w:sz w:val="22"/>
          <w:szCs w:val="22"/>
          <w:lang w:val="sr-Latn-ME"/>
        </w:rPr>
      </w:pPr>
      <w:r w:rsidRPr="003A60B2">
        <w:rPr>
          <w:sz w:val="22"/>
          <w:szCs w:val="22"/>
          <w:lang w:val="sr-Latn-ME"/>
        </w:rPr>
        <w:t>Makrogol 400</w:t>
      </w:r>
    </w:p>
    <w:p w:rsidR="0072020E" w:rsidRPr="003A60B2" w:rsidRDefault="0072020E" w:rsidP="00EC73B3">
      <w:pPr>
        <w:tabs>
          <w:tab w:val="left" w:pos="540"/>
          <w:tab w:val="left" w:pos="569"/>
        </w:tabs>
        <w:jc w:val="both"/>
        <w:rPr>
          <w:bCs/>
          <w:sz w:val="22"/>
          <w:szCs w:val="22"/>
          <w:lang w:val="sr-Latn-ME"/>
        </w:rPr>
      </w:pPr>
    </w:p>
    <w:p w:rsidR="0072020E" w:rsidRPr="003A60B2" w:rsidRDefault="0072020E" w:rsidP="00EC73B3">
      <w:pPr>
        <w:tabs>
          <w:tab w:val="left" w:pos="540"/>
          <w:tab w:val="left" w:pos="569"/>
        </w:tabs>
        <w:jc w:val="both"/>
        <w:rPr>
          <w:b/>
          <w:bCs/>
          <w:sz w:val="22"/>
          <w:szCs w:val="22"/>
          <w:lang w:val="sr-Latn-ME"/>
        </w:rPr>
      </w:pPr>
      <w:r w:rsidRPr="003A60B2">
        <w:rPr>
          <w:b/>
          <w:bCs/>
          <w:sz w:val="22"/>
          <w:szCs w:val="22"/>
          <w:lang w:val="sr-Latn-ME"/>
        </w:rPr>
        <w:t xml:space="preserve">6.2. </w:t>
      </w:r>
      <w:r w:rsidR="00480FB1" w:rsidRPr="003A60B2">
        <w:rPr>
          <w:b/>
          <w:bCs/>
          <w:sz w:val="22"/>
          <w:szCs w:val="22"/>
          <w:lang w:val="sr-Latn-ME"/>
        </w:rPr>
        <w:tab/>
      </w:r>
      <w:r w:rsidRPr="003A60B2">
        <w:rPr>
          <w:b/>
          <w:bCs/>
          <w:sz w:val="22"/>
          <w:szCs w:val="22"/>
          <w:lang w:val="sr-Latn-ME"/>
        </w:rPr>
        <w:t>Inkompatibilnost</w:t>
      </w:r>
      <w:r w:rsidR="002846DB" w:rsidRPr="003A60B2">
        <w:rPr>
          <w:b/>
          <w:bCs/>
          <w:sz w:val="22"/>
          <w:szCs w:val="22"/>
          <w:lang w:val="sr-Latn-ME"/>
        </w:rPr>
        <w:t>i</w:t>
      </w:r>
    </w:p>
    <w:p w:rsidR="004126C1" w:rsidRPr="003A60B2" w:rsidRDefault="004126C1" w:rsidP="00EC73B3">
      <w:pPr>
        <w:tabs>
          <w:tab w:val="left" w:pos="540"/>
          <w:tab w:val="left" w:pos="569"/>
        </w:tabs>
        <w:jc w:val="both"/>
        <w:rPr>
          <w:b/>
          <w:bCs/>
          <w:sz w:val="22"/>
          <w:szCs w:val="22"/>
          <w:lang w:val="sr-Latn-ME"/>
        </w:rPr>
      </w:pPr>
    </w:p>
    <w:p w:rsidR="004126C1" w:rsidRPr="003A60B2" w:rsidRDefault="004126C1" w:rsidP="00EC73B3">
      <w:pPr>
        <w:tabs>
          <w:tab w:val="left" w:pos="540"/>
          <w:tab w:val="left" w:pos="569"/>
        </w:tabs>
        <w:jc w:val="both"/>
        <w:rPr>
          <w:bCs/>
          <w:sz w:val="22"/>
          <w:szCs w:val="22"/>
          <w:lang w:val="sr-Latn-ME"/>
        </w:rPr>
      </w:pPr>
      <w:r w:rsidRPr="003A60B2">
        <w:rPr>
          <w:bCs/>
          <w:sz w:val="22"/>
          <w:szCs w:val="22"/>
          <w:lang w:val="sr-Latn-ME"/>
        </w:rPr>
        <w:t>Nije primjenljivo.</w:t>
      </w:r>
    </w:p>
    <w:p w:rsidR="0072020E" w:rsidRPr="003A60B2" w:rsidRDefault="0072020E" w:rsidP="00EC73B3">
      <w:pPr>
        <w:tabs>
          <w:tab w:val="left" w:pos="540"/>
          <w:tab w:val="left" w:pos="569"/>
        </w:tabs>
        <w:jc w:val="both"/>
        <w:rPr>
          <w:bCs/>
          <w:sz w:val="22"/>
          <w:szCs w:val="22"/>
          <w:lang w:val="sr-Latn-ME"/>
        </w:rPr>
      </w:pPr>
    </w:p>
    <w:p w:rsidR="0072020E" w:rsidRPr="003A60B2" w:rsidRDefault="0072020E" w:rsidP="00EC73B3">
      <w:pPr>
        <w:tabs>
          <w:tab w:val="left" w:pos="540"/>
          <w:tab w:val="left" w:pos="569"/>
        </w:tabs>
        <w:jc w:val="both"/>
        <w:rPr>
          <w:b/>
          <w:bCs/>
          <w:sz w:val="22"/>
          <w:szCs w:val="22"/>
          <w:lang w:val="sr-Latn-ME"/>
        </w:rPr>
      </w:pPr>
      <w:r w:rsidRPr="003A60B2">
        <w:rPr>
          <w:b/>
          <w:bCs/>
          <w:sz w:val="22"/>
          <w:szCs w:val="22"/>
          <w:lang w:val="sr-Latn-ME"/>
        </w:rPr>
        <w:t>6.3.</w:t>
      </w:r>
      <w:r w:rsidR="00C05DF8" w:rsidRPr="003A60B2">
        <w:rPr>
          <w:b/>
          <w:bCs/>
          <w:sz w:val="22"/>
          <w:szCs w:val="22"/>
          <w:lang w:val="sr-Latn-ME"/>
        </w:rPr>
        <w:t xml:space="preserve"> </w:t>
      </w:r>
      <w:r w:rsidR="00480FB1" w:rsidRPr="003A60B2">
        <w:rPr>
          <w:b/>
          <w:bCs/>
          <w:sz w:val="22"/>
          <w:szCs w:val="22"/>
          <w:lang w:val="sr-Latn-ME"/>
        </w:rPr>
        <w:tab/>
      </w:r>
      <w:r w:rsidRPr="003A60B2">
        <w:rPr>
          <w:b/>
          <w:bCs/>
          <w:sz w:val="22"/>
          <w:szCs w:val="22"/>
          <w:lang w:val="sr-Latn-ME"/>
        </w:rPr>
        <w:t>Rok upotrebe</w:t>
      </w:r>
    </w:p>
    <w:p w:rsidR="0072020E" w:rsidRPr="003A60B2" w:rsidRDefault="0072020E" w:rsidP="00EC73B3">
      <w:pPr>
        <w:tabs>
          <w:tab w:val="left" w:pos="540"/>
          <w:tab w:val="left" w:pos="569"/>
        </w:tabs>
        <w:jc w:val="both"/>
        <w:rPr>
          <w:bCs/>
          <w:sz w:val="22"/>
          <w:szCs w:val="22"/>
          <w:lang w:val="sr-Latn-ME"/>
        </w:rPr>
      </w:pPr>
    </w:p>
    <w:p w:rsidR="004126C1" w:rsidRDefault="004126C1" w:rsidP="00EC73B3">
      <w:pPr>
        <w:tabs>
          <w:tab w:val="left" w:pos="540"/>
          <w:tab w:val="left" w:pos="569"/>
        </w:tabs>
        <w:jc w:val="both"/>
        <w:rPr>
          <w:bCs/>
          <w:sz w:val="22"/>
          <w:szCs w:val="22"/>
          <w:lang w:val="sr-Latn-ME"/>
        </w:rPr>
      </w:pPr>
      <w:r w:rsidRPr="003A60B2">
        <w:rPr>
          <w:bCs/>
          <w:sz w:val="22"/>
          <w:szCs w:val="22"/>
          <w:lang w:val="sr-Latn-ME"/>
        </w:rPr>
        <w:t xml:space="preserve">2 godine. </w:t>
      </w:r>
    </w:p>
    <w:p w:rsidR="00072CF4" w:rsidRPr="003A60B2" w:rsidRDefault="00072CF4" w:rsidP="00EC73B3">
      <w:pPr>
        <w:tabs>
          <w:tab w:val="left" w:pos="540"/>
          <w:tab w:val="left" w:pos="569"/>
        </w:tabs>
        <w:jc w:val="both"/>
        <w:rPr>
          <w:bCs/>
          <w:sz w:val="22"/>
          <w:szCs w:val="22"/>
          <w:lang w:val="sr-Latn-ME"/>
        </w:rPr>
      </w:pPr>
    </w:p>
    <w:p w:rsidR="0072020E" w:rsidRPr="003A60B2" w:rsidRDefault="0072020E" w:rsidP="00EC73B3">
      <w:pPr>
        <w:tabs>
          <w:tab w:val="left" w:pos="540"/>
          <w:tab w:val="left" w:pos="569"/>
        </w:tabs>
        <w:jc w:val="both"/>
        <w:rPr>
          <w:b/>
          <w:bCs/>
          <w:sz w:val="22"/>
          <w:szCs w:val="22"/>
          <w:lang w:val="sr-Latn-ME"/>
        </w:rPr>
      </w:pPr>
      <w:r w:rsidRPr="003A60B2">
        <w:rPr>
          <w:b/>
          <w:bCs/>
          <w:sz w:val="22"/>
          <w:szCs w:val="22"/>
          <w:lang w:val="sr-Latn-ME"/>
        </w:rPr>
        <w:t xml:space="preserve">6.4. </w:t>
      </w:r>
      <w:r w:rsidR="00480FB1" w:rsidRPr="003A60B2">
        <w:rPr>
          <w:b/>
          <w:bCs/>
          <w:sz w:val="22"/>
          <w:szCs w:val="22"/>
          <w:lang w:val="sr-Latn-ME"/>
        </w:rPr>
        <w:tab/>
      </w:r>
      <w:r w:rsidRPr="003A60B2">
        <w:rPr>
          <w:b/>
          <w:bCs/>
          <w:sz w:val="22"/>
          <w:szCs w:val="22"/>
          <w:lang w:val="sr-Latn-ME"/>
        </w:rPr>
        <w:t>Posebne mjere upozorenja pri čuvanju</w:t>
      </w:r>
      <w:r w:rsidR="00F8570A" w:rsidRPr="003A60B2">
        <w:rPr>
          <w:b/>
          <w:bCs/>
          <w:sz w:val="22"/>
          <w:szCs w:val="22"/>
          <w:lang w:val="sr-Latn-ME"/>
        </w:rPr>
        <w:t xml:space="preserve"> lijeka</w:t>
      </w:r>
    </w:p>
    <w:p w:rsidR="004126C1" w:rsidRPr="003A60B2" w:rsidRDefault="004126C1" w:rsidP="00EC73B3">
      <w:pPr>
        <w:tabs>
          <w:tab w:val="left" w:pos="540"/>
          <w:tab w:val="left" w:pos="569"/>
        </w:tabs>
        <w:jc w:val="both"/>
        <w:rPr>
          <w:b/>
          <w:bCs/>
          <w:sz w:val="22"/>
          <w:szCs w:val="22"/>
          <w:lang w:val="sr-Latn-ME"/>
        </w:rPr>
      </w:pPr>
    </w:p>
    <w:p w:rsidR="004126C1" w:rsidRPr="003A60B2" w:rsidRDefault="004126C1" w:rsidP="00EC73B3">
      <w:pPr>
        <w:tabs>
          <w:tab w:val="left" w:pos="540"/>
          <w:tab w:val="left" w:pos="569"/>
        </w:tabs>
        <w:jc w:val="both"/>
        <w:rPr>
          <w:bCs/>
          <w:sz w:val="22"/>
          <w:szCs w:val="22"/>
          <w:lang w:val="sr-Latn-ME"/>
        </w:rPr>
      </w:pPr>
      <w:r w:rsidRPr="003A60B2">
        <w:rPr>
          <w:bCs/>
          <w:sz w:val="22"/>
          <w:szCs w:val="22"/>
          <w:lang w:val="sr-Latn-ME"/>
        </w:rPr>
        <w:t xml:space="preserve">Ovaj lijek ne zahtijeva posebne </w:t>
      </w:r>
      <w:r w:rsidR="00072CF4">
        <w:rPr>
          <w:bCs/>
          <w:sz w:val="22"/>
          <w:szCs w:val="22"/>
          <w:lang w:val="sr-Latn-ME"/>
        </w:rPr>
        <w:t xml:space="preserve">temperaturne </w:t>
      </w:r>
      <w:r w:rsidRPr="003A60B2">
        <w:rPr>
          <w:bCs/>
          <w:sz w:val="22"/>
          <w:szCs w:val="22"/>
          <w:lang w:val="sr-Latn-ME"/>
        </w:rPr>
        <w:t xml:space="preserve">uslove čuvanja. Čuvati u originalnom pakovanju radi zaštite od svjetlosti i vlage. </w:t>
      </w:r>
    </w:p>
    <w:p w:rsidR="004126C1" w:rsidRPr="003A60B2" w:rsidRDefault="004126C1" w:rsidP="00EC73B3">
      <w:pPr>
        <w:tabs>
          <w:tab w:val="left" w:pos="540"/>
          <w:tab w:val="left" w:pos="569"/>
        </w:tabs>
        <w:jc w:val="both"/>
        <w:rPr>
          <w:b/>
          <w:bCs/>
          <w:sz w:val="22"/>
          <w:szCs w:val="22"/>
          <w:lang w:val="sr-Latn-ME"/>
        </w:rPr>
      </w:pPr>
    </w:p>
    <w:p w:rsidR="0072020E" w:rsidRPr="003A60B2" w:rsidRDefault="0072020E" w:rsidP="00EC73B3">
      <w:pPr>
        <w:tabs>
          <w:tab w:val="left" w:pos="540"/>
          <w:tab w:val="left" w:pos="569"/>
        </w:tabs>
        <w:jc w:val="both"/>
        <w:rPr>
          <w:b/>
          <w:bCs/>
          <w:sz w:val="22"/>
          <w:szCs w:val="22"/>
          <w:lang w:val="sr-Latn-ME"/>
        </w:rPr>
      </w:pPr>
      <w:r w:rsidRPr="003A60B2">
        <w:rPr>
          <w:b/>
          <w:bCs/>
          <w:sz w:val="22"/>
          <w:szCs w:val="22"/>
          <w:lang w:val="sr-Latn-ME"/>
        </w:rPr>
        <w:t xml:space="preserve">6.5. </w:t>
      </w:r>
      <w:r w:rsidR="00480FB1" w:rsidRPr="003A60B2">
        <w:rPr>
          <w:b/>
          <w:bCs/>
          <w:sz w:val="22"/>
          <w:szCs w:val="22"/>
          <w:lang w:val="sr-Latn-ME"/>
        </w:rPr>
        <w:tab/>
      </w:r>
      <w:r w:rsidR="002846DB" w:rsidRPr="003A60B2">
        <w:rPr>
          <w:b/>
          <w:bCs/>
          <w:sz w:val="22"/>
          <w:szCs w:val="22"/>
          <w:lang w:val="sr-Latn-ME"/>
        </w:rPr>
        <w:t xml:space="preserve">Vrsta i sadržaj </w:t>
      </w:r>
      <w:r w:rsidR="00F8570A" w:rsidRPr="003A60B2">
        <w:rPr>
          <w:b/>
          <w:bCs/>
          <w:sz w:val="22"/>
          <w:szCs w:val="22"/>
          <w:lang w:val="sr-Latn-ME"/>
        </w:rPr>
        <w:t>pakovanja</w:t>
      </w:r>
      <w:r w:rsidR="00C06864" w:rsidRPr="003A60B2">
        <w:rPr>
          <w:b/>
          <w:bCs/>
          <w:sz w:val="22"/>
          <w:szCs w:val="22"/>
          <w:lang w:val="sr-Latn-ME"/>
        </w:rPr>
        <w:t xml:space="preserve"> </w:t>
      </w:r>
    </w:p>
    <w:p w:rsidR="004126C1" w:rsidRPr="003A60B2" w:rsidRDefault="004126C1" w:rsidP="00EC73B3">
      <w:pPr>
        <w:tabs>
          <w:tab w:val="left" w:pos="540"/>
          <w:tab w:val="left" w:pos="569"/>
        </w:tabs>
        <w:jc w:val="both"/>
        <w:rPr>
          <w:b/>
          <w:bCs/>
          <w:sz w:val="22"/>
          <w:szCs w:val="22"/>
          <w:lang w:val="sr-Latn-ME"/>
        </w:rPr>
      </w:pPr>
    </w:p>
    <w:p w:rsidR="00780D7C" w:rsidRPr="003A60B2" w:rsidRDefault="00780D7C" w:rsidP="00EC73B3">
      <w:pPr>
        <w:tabs>
          <w:tab w:val="left" w:pos="540"/>
          <w:tab w:val="left" w:pos="569"/>
        </w:tabs>
        <w:jc w:val="both"/>
        <w:rPr>
          <w:bCs/>
          <w:sz w:val="22"/>
          <w:szCs w:val="22"/>
          <w:lang w:val="sr-Latn-ME"/>
        </w:rPr>
      </w:pPr>
      <w:r w:rsidRPr="003A60B2">
        <w:rPr>
          <w:bCs/>
          <w:sz w:val="22"/>
          <w:szCs w:val="22"/>
          <w:lang w:val="sr-Latn-ME"/>
        </w:rPr>
        <w:t>Lijek Fampridin Teva dostupan je u pakovanjima od 28 i 56 tableta, u AL/PVC/PVDC ili OPA/AL/PE blisterima sa po 14 tableta, u kartonskoj kutiji.</w:t>
      </w:r>
    </w:p>
    <w:p w:rsidR="0072020E" w:rsidRPr="003A60B2" w:rsidRDefault="0072020E" w:rsidP="00EC73B3">
      <w:pPr>
        <w:tabs>
          <w:tab w:val="left" w:pos="540"/>
          <w:tab w:val="left" w:pos="569"/>
        </w:tabs>
        <w:jc w:val="both"/>
        <w:rPr>
          <w:bCs/>
          <w:sz w:val="22"/>
          <w:szCs w:val="22"/>
          <w:lang w:val="sr-Latn-ME"/>
        </w:rPr>
      </w:pPr>
    </w:p>
    <w:p w:rsidR="002846DB" w:rsidRPr="003A60B2" w:rsidRDefault="0072020E" w:rsidP="00EC73B3">
      <w:pPr>
        <w:tabs>
          <w:tab w:val="left" w:pos="540"/>
          <w:tab w:val="left" w:pos="569"/>
        </w:tabs>
        <w:jc w:val="both"/>
        <w:rPr>
          <w:b/>
          <w:bCs/>
          <w:sz w:val="22"/>
          <w:szCs w:val="22"/>
          <w:lang w:val="sr-Latn-ME"/>
        </w:rPr>
      </w:pPr>
      <w:r w:rsidRPr="003A60B2">
        <w:rPr>
          <w:b/>
          <w:bCs/>
          <w:sz w:val="22"/>
          <w:szCs w:val="22"/>
          <w:lang w:val="sr-Latn-ME"/>
        </w:rPr>
        <w:t xml:space="preserve">6.6. </w:t>
      </w:r>
      <w:r w:rsidR="00480FB1" w:rsidRPr="003A60B2">
        <w:rPr>
          <w:b/>
          <w:bCs/>
          <w:sz w:val="22"/>
          <w:szCs w:val="22"/>
          <w:lang w:val="sr-Latn-ME"/>
        </w:rPr>
        <w:tab/>
      </w:r>
      <w:r w:rsidRPr="003A60B2">
        <w:rPr>
          <w:b/>
          <w:bCs/>
          <w:color w:val="000000"/>
          <w:sz w:val="22"/>
          <w:szCs w:val="22"/>
          <w:lang w:val="sr-Latn-ME"/>
        </w:rPr>
        <w:t>Posebne mjere opreza pri odlaganju materijala koji treba odbaciti nakon primjene lijeka</w:t>
      </w:r>
      <w:r w:rsidRPr="003A60B2">
        <w:rPr>
          <w:b/>
          <w:bCs/>
          <w:sz w:val="22"/>
          <w:szCs w:val="22"/>
          <w:lang w:val="sr-Latn-ME"/>
        </w:rPr>
        <w:t xml:space="preserve"> </w:t>
      </w:r>
      <w:r w:rsidR="00310F03" w:rsidRPr="003A60B2">
        <w:rPr>
          <w:b/>
          <w:bCs/>
          <w:sz w:val="22"/>
          <w:szCs w:val="22"/>
          <w:lang w:val="sr-Latn-ME"/>
        </w:rPr>
        <w:t>(i druga uputs</w:t>
      </w:r>
      <w:r w:rsidR="004109FA" w:rsidRPr="003A60B2">
        <w:rPr>
          <w:b/>
          <w:bCs/>
          <w:sz w:val="22"/>
          <w:szCs w:val="22"/>
          <w:lang w:val="sr-Latn-ME"/>
        </w:rPr>
        <w:t>t</w:t>
      </w:r>
      <w:r w:rsidR="00310F03" w:rsidRPr="003A60B2">
        <w:rPr>
          <w:b/>
          <w:bCs/>
          <w:sz w:val="22"/>
          <w:szCs w:val="22"/>
          <w:lang w:val="sr-Latn-ME"/>
        </w:rPr>
        <w:t xml:space="preserve">va za rukovanje lijekom) </w:t>
      </w:r>
    </w:p>
    <w:p w:rsidR="00B66A70" w:rsidRPr="003A60B2" w:rsidRDefault="00B66A70" w:rsidP="00EC73B3">
      <w:pPr>
        <w:tabs>
          <w:tab w:val="left" w:pos="540"/>
          <w:tab w:val="left" w:pos="569"/>
        </w:tabs>
        <w:jc w:val="both"/>
        <w:rPr>
          <w:b/>
          <w:bCs/>
          <w:sz w:val="22"/>
          <w:szCs w:val="22"/>
          <w:lang w:val="sr-Latn-ME"/>
        </w:rPr>
      </w:pPr>
    </w:p>
    <w:p w:rsidR="004126C1" w:rsidRPr="003A60B2" w:rsidRDefault="004126C1" w:rsidP="00EC73B3">
      <w:pPr>
        <w:tabs>
          <w:tab w:val="left" w:pos="540"/>
          <w:tab w:val="left" w:pos="569"/>
        </w:tabs>
        <w:jc w:val="both"/>
        <w:rPr>
          <w:bCs/>
          <w:sz w:val="22"/>
          <w:szCs w:val="22"/>
          <w:lang w:val="sr-Latn-ME"/>
        </w:rPr>
      </w:pPr>
      <w:r w:rsidRPr="003A60B2">
        <w:rPr>
          <w:bCs/>
          <w:sz w:val="22"/>
          <w:szCs w:val="22"/>
          <w:lang w:val="sr-Latn-ME"/>
        </w:rPr>
        <w:t>Nema posebnih zahtjeva.</w:t>
      </w:r>
    </w:p>
    <w:p w:rsidR="0072020E" w:rsidRDefault="0072020E" w:rsidP="00EC73B3">
      <w:pPr>
        <w:tabs>
          <w:tab w:val="left" w:pos="540"/>
          <w:tab w:val="left" w:pos="569"/>
        </w:tabs>
        <w:jc w:val="both"/>
        <w:rPr>
          <w:bCs/>
          <w:sz w:val="22"/>
          <w:szCs w:val="22"/>
          <w:lang w:val="sr-Latn-ME"/>
        </w:rPr>
      </w:pPr>
    </w:p>
    <w:p w:rsidR="00B743A2" w:rsidRPr="003A60B2" w:rsidRDefault="00B743A2" w:rsidP="00EC73B3">
      <w:pPr>
        <w:tabs>
          <w:tab w:val="left" w:pos="540"/>
          <w:tab w:val="left" w:pos="569"/>
        </w:tabs>
        <w:jc w:val="both"/>
        <w:rPr>
          <w:bCs/>
          <w:sz w:val="22"/>
          <w:szCs w:val="22"/>
          <w:lang w:val="sr-Latn-ME"/>
        </w:rPr>
      </w:pPr>
    </w:p>
    <w:p w:rsidR="00F8570A" w:rsidRPr="003A60B2" w:rsidRDefault="0072020E" w:rsidP="00EC73B3">
      <w:pPr>
        <w:tabs>
          <w:tab w:val="left" w:pos="540"/>
          <w:tab w:val="left" w:pos="569"/>
        </w:tabs>
        <w:jc w:val="both"/>
        <w:rPr>
          <w:b/>
          <w:bCs/>
          <w:sz w:val="22"/>
          <w:szCs w:val="22"/>
          <w:lang w:val="sr-Latn-ME"/>
        </w:rPr>
      </w:pPr>
      <w:r w:rsidRPr="003A60B2">
        <w:rPr>
          <w:b/>
          <w:bCs/>
          <w:sz w:val="22"/>
          <w:szCs w:val="22"/>
          <w:lang w:val="sr-Latn-ME"/>
        </w:rPr>
        <w:t xml:space="preserve">7. </w:t>
      </w:r>
      <w:r w:rsidR="00480FB1" w:rsidRPr="003A60B2">
        <w:rPr>
          <w:b/>
          <w:bCs/>
          <w:sz w:val="22"/>
          <w:szCs w:val="22"/>
          <w:lang w:val="sr-Latn-ME"/>
        </w:rPr>
        <w:tab/>
      </w:r>
      <w:r w:rsidRPr="003A60B2">
        <w:rPr>
          <w:b/>
          <w:bCs/>
          <w:sz w:val="22"/>
          <w:szCs w:val="22"/>
          <w:lang w:val="sr-Latn-ME"/>
        </w:rPr>
        <w:t>NOSILAC DOZVOLE</w:t>
      </w:r>
      <w:r w:rsidR="00483928" w:rsidRPr="003A60B2">
        <w:rPr>
          <w:b/>
          <w:bCs/>
          <w:sz w:val="22"/>
          <w:szCs w:val="22"/>
          <w:lang w:val="sr-Latn-ME"/>
        </w:rPr>
        <w:t xml:space="preserve"> </w:t>
      </w:r>
    </w:p>
    <w:p w:rsidR="00C61BE0" w:rsidRPr="003A60B2" w:rsidRDefault="00C61BE0" w:rsidP="00EC73B3">
      <w:pPr>
        <w:tabs>
          <w:tab w:val="left" w:pos="540"/>
          <w:tab w:val="left" w:pos="569"/>
        </w:tabs>
        <w:jc w:val="both"/>
        <w:rPr>
          <w:bCs/>
          <w:sz w:val="22"/>
          <w:szCs w:val="22"/>
          <w:lang w:val="sr-Latn-ME"/>
        </w:rPr>
      </w:pPr>
    </w:p>
    <w:p w:rsidR="004126C1" w:rsidRPr="003A60B2" w:rsidRDefault="004126C1" w:rsidP="00EC73B3">
      <w:pPr>
        <w:tabs>
          <w:tab w:val="left" w:pos="540"/>
          <w:tab w:val="left" w:pos="569"/>
        </w:tabs>
        <w:jc w:val="both"/>
        <w:rPr>
          <w:bCs/>
          <w:sz w:val="22"/>
          <w:szCs w:val="22"/>
          <w:lang w:val="sr-Latn-ME"/>
        </w:rPr>
      </w:pPr>
      <w:r w:rsidRPr="003A60B2">
        <w:rPr>
          <w:bCs/>
          <w:sz w:val="22"/>
          <w:szCs w:val="22"/>
          <w:lang w:val="sr-Latn-ME"/>
        </w:rPr>
        <w:t>Evropa Lek Pharma d.o.o. Podgorica</w:t>
      </w:r>
    </w:p>
    <w:p w:rsidR="004126C1" w:rsidRPr="003A60B2" w:rsidRDefault="004126C1" w:rsidP="00EC73B3">
      <w:pPr>
        <w:tabs>
          <w:tab w:val="left" w:pos="540"/>
          <w:tab w:val="left" w:pos="569"/>
        </w:tabs>
        <w:jc w:val="both"/>
        <w:rPr>
          <w:bCs/>
          <w:sz w:val="22"/>
          <w:szCs w:val="22"/>
          <w:lang w:val="sr-Latn-ME"/>
        </w:rPr>
      </w:pPr>
      <w:r w:rsidRPr="003A60B2">
        <w:rPr>
          <w:bCs/>
          <w:sz w:val="22"/>
          <w:szCs w:val="22"/>
          <w:lang w:val="sr-Latn-ME"/>
        </w:rPr>
        <w:t>Kritskog odreda 4/1, 81000 Podgorica, Crna Gora</w:t>
      </w:r>
    </w:p>
    <w:p w:rsidR="00C37FD7" w:rsidRDefault="00C37FD7" w:rsidP="00EC73B3">
      <w:pPr>
        <w:tabs>
          <w:tab w:val="left" w:pos="540"/>
          <w:tab w:val="left" w:pos="569"/>
        </w:tabs>
        <w:jc w:val="both"/>
        <w:rPr>
          <w:bCs/>
          <w:sz w:val="22"/>
          <w:szCs w:val="22"/>
          <w:lang w:val="sr-Latn-ME"/>
        </w:rPr>
      </w:pPr>
    </w:p>
    <w:p w:rsidR="00B743A2" w:rsidRPr="003A60B2" w:rsidRDefault="00B743A2" w:rsidP="00EC73B3">
      <w:pPr>
        <w:tabs>
          <w:tab w:val="left" w:pos="540"/>
          <w:tab w:val="left" w:pos="569"/>
        </w:tabs>
        <w:jc w:val="both"/>
        <w:rPr>
          <w:bCs/>
          <w:sz w:val="22"/>
          <w:szCs w:val="22"/>
          <w:lang w:val="sr-Latn-ME"/>
        </w:rPr>
      </w:pPr>
    </w:p>
    <w:p w:rsidR="0072020E" w:rsidRPr="003A60B2" w:rsidRDefault="0072020E" w:rsidP="00EC73B3">
      <w:pPr>
        <w:tabs>
          <w:tab w:val="left" w:pos="540"/>
          <w:tab w:val="left" w:pos="569"/>
        </w:tabs>
        <w:jc w:val="both"/>
        <w:rPr>
          <w:b/>
          <w:bCs/>
          <w:sz w:val="22"/>
          <w:szCs w:val="22"/>
          <w:lang w:val="sr-Latn-ME"/>
        </w:rPr>
      </w:pPr>
      <w:r w:rsidRPr="003A60B2">
        <w:rPr>
          <w:b/>
          <w:bCs/>
          <w:sz w:val="22"/>
          <w:szCs w:val="22"/>
          <w:lang w:val="sr-Latn-ME"/>
        </w:rPr>
        <w:t xml:space="preserve">8. </w:t>
      </w:r>
      <w:r w:rsidR="00480FB1" w:rsidRPr="003A60B2">
        <w:rPr>
          <w:b/>
          <w:bCs/>
          <w:sz w:val="22"/>
          <w:szCs w:val="22"/>
          <w:lang w:val="sr-Latn-ME"/>
        </w:rPr>
        <w:tab/>
      </w:r>
      <w:r w:rsidRPr="003A60B2">
        <w:rPr>
          <w:b/>
          <w:bCs/>
          <w:sz w:val="22"/>
          <w:szCs w:val="22"/>
          <w:lang w:val="sr-Latn-ME"/>
        </w:rPr>
        <w:t>BROJ DOZVOLE</w:t>
      </w:r>
      <w:r w:rsidR="008A6D43" w:rsidRPr="003A60B2">
        <w:rPr>
          <w:b/>
          <w:bCs/>
          <w:sz w:val="22"/>
          <w:szCs w:val="22"/>
          <w:lang w:val="sr-Latn-ME"/>
        </w:rPr>
        <w:t xml:space="preserve"> ZA STAVLJANJE LIJEKA U PROMET</w:t>
      </w:r>
    </w:p>
    <w:p w:rsidR="0072020E" w:rsidRDefault="0072020E" w:rsidP="00EC73B3">
      <w:pPr>
        <w:tabs>
          <w:tab w:val="left" w:pos="540"/>
          <w:tab w:val="left" w:pos="569"/>
        </w:tabs>
        <w:jc w:val="both"/>
        <w:rPr>
          <w:bCs/>
          <w:sz w:val="22"/>
          <w:szCs w:val="22"/>
          <w:lang w:val="sr-Latn-ME"/>
        </w:rPr>
      </w:pPr>
    </w:p>
    <w:p w:rsidR="008E152F" w:rsidRPr="008E152F" w:rsidRDefault="008E152F" w:rsidP="008E152F">
      <w:pPr>
        <w:tabs>
          <w:tab w:val="left" w:pos="540"/>
          <w:tab w:val="left" w:pos="569"/>
        </w:tabs>
        <w:jc w:val="both"/>
        <w:rPr>
          <w:bCs/>
          <w:sz w:val="22"/>
          <w:szCs w:val="22"/>
          <w:lang w:val="sr-Latn-ME"/>
        </w:rPr>
      </w:pPr>
      <w:r w:rsidRPr="008E152F">
        <w:rPr>
          <w:bCs/>
          <w:sz w:val="22"/>
          <w:szCs w:val="22"/>
          <w:lang w:val="sr-Latn-ME"/>
        </w:rPr>
        <w:t>Fampridin Teva, tableta sa produženim oslobađanjem, 10mg, blister, 28 tableta sa produženim oslobađanjem: 2030/23/2611 – 6881</w:t>
      </w:r>
    </w:p>
    <w:p w:rsidR="008E152F" w:rsidRPr="008E152F" w:rsidRDefault="008E152F" w:rsidP="008E152F">
      <w:pPr>
        <w:tabs>
          <w:tab w:val="left" w:pos="540"/>
          <w:tab w:val="left" w:pos="569"/>
        </w:tabs>
        <w:jc w:val="both"/>
        <w:rPr>
          <w:bCs/>
          <w:sz w:val="22"/>
          <w:szCs w:val="22"/>
          <w:lang w:val="sr-Latn-ME"/>
        </w:rPr>
      </w:pPr>
      <w:r w:rsidRPr="008E152F">
        <w:rPr>
          <w:bCs/>
          <w:sz w:val="22"/>
          <w:szCs w:val="22"/>
          <w:lang w:val="sr-Latn-ME"/>
        </w:rPr>
        <w:t>Fampridin Teva, tableta sa produženim oslobađanjem, 10 mg, blister, 56 tableta sa produženim oslobađanjem: 2030/23/2612 - 6882</w:t>
      </w:r>
    </w:p>
    <w:p w:rsidR="00F45F77" w:rsidRPr="008E152F" w:rsidRDefault="00F45F77" w:rsidP="00EC73B3">
      <w:pPr>
        <w:tabs>
          <w:tab w:val="left" w:pos="540"/>
          <w:tab w:val="left" w:pos="569"/>
        </w:tabs>
        <w:jc w:val="both"/>
        <w:rPr>
          <w:bCs/>
          <w:sz w:val="22"/>
          <w:szCs w:val="22"/>
          <w:lang w:val="sr-Latn-ME"/>
        </w:rPr>
      </w:pPr>
    </w:p>
    <w:p w:rsidR="0072020E" w:rsidRPr="003A60B2" w:rsidRDefault="0072020E" w:rsidP="00EC73B3">
      <w:pPr>
        <w:tabs>
          <w:tab w:val="left" w:pos="540"/>
          <w:tab w:val="left" w:pos="569"/>
        </w:tabs>
        <w:jc w:val="both"/>
        <w:rPr>
          <w:b/>
          <w:bCs/>
          <w:sz w:val="22"/>
          <w:szCs w:val="22"/>
          <w:lang w:val="sr-Latn-ME"/>
        </w:rPr>
      </w:pPr>
      <w:r w:rsidRPr="003A60B2">
        <w:rPr>
          <w:b/>
          <w:bCs/>
          <w:sz w:val="22"/>
          <w:szCs w:val="22"/>
          <w:lang w:val="sr-Latn-ME"/>
        </w:rPr>
        <w:t xml:space="preserve">9. </w:t>
      </w:r>
      <w:r w:rsidR="00480FB1" w:rsidRPr="003A60B2">
        <w:rPr>
          <w:b/>
          <w:bCs/>
          <w:sz w:val="22"/>
          <w:szCs w:val="22"/>
          <w:lang w:val="sr-Latn-ME"/>
        </w:rPr>
        <w:tab/>
      </w:r>
      <w:r w:rsidRPr="003A60B2">
        <w:rPr>
          <w:b/>
          <w:bCs/>
          <w:sz w:val="22"/>
          <w:szCs w:val="22"/>
          <w:lang w:val="sr-Latn-ME"/>
        </w:rPr>
        <w:t xml:space="preserve">DATUM </w:t>
      </w:r>
      <w:r w:rsidR="00C05DF8" w:rsidRPr="003A60B2">
        <w:rPr>
          <w:b/>
          <w:bCs/>
          <w:sz w:val="22"/>
          <w:szCs w:val="22"/>
          <w:lang w:val="sr-Latn-ME"/>
        </w:rPr>
        <w:t xml:space="preserve">PRVE </w:t>
      </w:r>
      <w:r w:rsidR="008A6D43" w:rsidRPr="003A60B2">
        <w:rPr>
          <w:b/>
          <w:bCs/>
          <w:sz w:val="22"/>
          <w:szCs w:val="22"/>
          <w:lang w:val="sr-Latn-ME"/>
        </w:rPr>
        <w:t>DOZVOLE</w:t>
      </w:r>
      <w:r w:rsidR="00C05DF8" w:rsidRPr="003A60B2">
        <w:rPr>
          <w:b/>
          <w:bCs/>
          <w:sz w:val="22"/>
          <w:szCs w:val="22"/>
          <w:lang w:val="sr-Latn-ME"/>
        </w:rPr>
        <w:t>/OBNOVE DOZVOLE</w:t>
      </w:r>
      <w:r w:rsidR="008A6D43" w:rsidRPr="003A60B2">
        <w:rPr>
          <w:b/>
          <w:bCs/>
          <w:sz w:val="22"/>
          <w:szCs w:val="22"/>
          <w:lang w:val="sr-Latn-ME"/>
        </w:rPr>
        <w:t xml:space="preserve"> ZA STAVLJANJE LIJEKA U PROMET</w:t>
      </w:r>
    </w:p>
    <w:p w:rsidR="0072020E" w:rsidRDefault="0072020E" w:rsidP="00EC73B3">
      <w:pPr>
        <w:tabs>
          <w:tab w:val="left" w:pos="540"/>
          <w:tab w:val="left" w:pos="569"/>
        </w:tabs>
        <w:jc w:val="both"/>
        <w:rPr>
          <w:bCs/>
          <w:sz w:val="22"/>
          <w:szCs w:val="22"/>
          <w:lang w:val="sr-Latn-ME"/>
        </w:rPr>
      </w:pPr>
    </w:p>
    <w:p w:rsidR="008E152F" w:rsidRPr="003A60B2" w:rsidRDefault="008E152F" w:rsidP="00EC73B3">
      <w:pPr>
        <w:tabs>
          <w:tab w:val="left" w:pos="540"/>
          <w:tab w:val="left" w:pos="569"/>
        </w:tabs>
        <w:jc w:val="both"/>
        <w:rPr>
          <w:bCs/>
          <w:sz w:val="22"/>
          <w:szCs w:val="22"/>
          <w:lang w:val="sr-Latn-ME"/>
        </w:rPr>
      </w:pPr>
      <w:r w:rsidRPr="008E152F">
        <w:rPr>
          <w:bCs/>
          <w:sz w:val="22"/>
          <w:szCs w:val="22"/>
          <w:lang w:val="sr-Latn-ME"/>
        </w:rPr>
        <w:t>12.07.2023. godine</w:t>
      </w:r>
    </w:p>
    <w:p w:rsidR="00836B35" w:rsidRPr="003A60B2" w:rsidRDefault="00836B35" w:rsidP="00EC73B3">
      <w:pPr>
        <w:tabs>
          <w:tab w:val="left" w:pos="540"/>
          <w:tab w:val="left" w:pos="569"/>
        </w:tabs>
        <w:jc w:val="both"/>
        <w:rPr>
          <w:bCs/>
          <w:sz w:val="22"/>
          <w:szCs w:val="22"/>
          <w:lang w:val="sr-Latn-ME"/>
        </w:rPr>
      </w:pPr>
    </w:p>
    <w:p w:rsidR="003F6A59" w:rsidRPr="003A60B2" w:rsidRDefault="0072020E" w:rsidP="00EC73B3">
      <w:pPr>
        <w:tabs>
          <w:tab w:val="left" w:pos="540"/>
          <w:tab w:val="left" w:pos="569"/>
        </w:tabs>
        <w:ind w:left="540" w:hanging="540"/>
        <w:jc w:val="both"/>
        <w:rPr>
          <w:bCs/>
          <w:sz w:val="22"/>
          <w:szCs w:val="22"/>
          <w:lang w:val="sr-Latn-ME"/>
        </w:rPr>
      </w:pPr>
      <w:r w:rsidRPr="003A60B2">
        <w:rPr>
          <w:b/>
          <w:bCs/>
          <w:sz w:val="22"/>
          <w:szCs w:val="22"/>
          <w:lang w:val="sr-Latn-ME"/>
        </w:rPr>
        <w:t xml:space="preserve">10. </w:t>
      </w:r>
      <w:r w:rsidR="00480FB1" w:rsidRPr="003A60B2">
        <w:rPr>
          <w:b/>
          <w:bCs/>
          <w:sz w:val="22"/>
          <w:szCs w:val="22"/>
          <w:lang w:val="sr-Latn-ME"/>
        </w:rPr>
        <w:tab/>
      </w:r>
      <w:r w:rsidR="002846DB" w:rsidRPr="003A60B2">
        <w:rPr>
          <w:b/>
          <w:bCs/>
          <w:sz w:val="22"/>
          <w:szCs w:val="22"/>
          <w:lang w:val="sr-Latn-ME"/>
        </w:rPr>
        <w:t>D</w:t>
      </w:r>
      <w:r w:rsidR="00EC2532" w:rsidRPr="003A60B2">
        <w:rPr>
          <w:b/>
          <w:bCs/>
          <w:sz w:val="22"/>
          <w:szCs w:val="22"/>
          <w:lang w:val="sr-Latn-ME"/>
        </w:rPr>
        <w:t xml:space="preserve">ATUM REVIZIJE TEKSTA </w:t>
      </w:r>
    </w:p>
    <w:p w:rsidR="003F6A59" w:rsidRPr="003A60B2" w:rsidRDefault="003F6A59" w:rsidP="00EC73B3">
      <w:pPr>
        <w:tabs>
          <w:tab w:val="left" w:pos="540"/>
          <w:tab w:val="left" w:pos="569"/>
        </w:tabs>
        <w:jc w:val="both"/>
        <w:rPr>
          <w:bCs/>
          <w:sz w:val="22"/>
          <w:szCs w:val="22"/>
          <w:lang w:val="sr-Latn-ME"/>
        </w:rPr>
      </w:pPr>
    </w:p>
    <w:p w:rsidR="008A6D43" w:rsidRPr="003A60B2" w:rsidRDefault="008E152F" w:rsidP="00EC73B3">
      <w:pPr>
        <w:tabs>
          <w:tab w:val="left" w:pos="540"/>
          <w:tab w:val="left" w:pos="569"/>
        </w:tabs>
        <w:jc w:val="both"/>
        <w:rPr>
          <w:bCs/>
          <w:sz w:val="22"/>
          <w:szCs w:val="22"/>
          <w:lang w:val="sr-Latn-ME"/>
        </w:rPr>
      </w:pPr>
      <w:r>
        <w:rPr>
          <w:bCs/>
          <w:sz w:val="22"/>
          <w:szCs w:val="22"/>
          <w:lang w:val="sr-Latn-ME"/>
        </w:rPr>
        <w:t xml:space="preserve">Jul, </w:t>
      </w:r>
      <w:r w:rsidRPr="008E152F">
        <w:rPr>
          <w:bCs/>
          <w:sz w:val="22"/>
          <w:szCs w:val="22"/>
          <w:lang w:val="sr-Latn-ME"/>
        </w:rPr>
        <w:t>2023. godine</w:t>
      </w:r>
    </w:p>
    <w:p w:rsidR="003F6A59" w:rsidRPr="003A60B2" w:rsidRDefault="003F6A59" w:rsidP="00EC73B3">
      <w:pPr>
        <w:jc w:val="both"/>
        <w:rPr>
          <w:sz w:val="22"/>
          <w:szCs w:val="22"/>
          <w:lang w:val="sr-Latn-ME"/>
        </w:rPr>
      </w:pPr>
    </w:p>
    <w:sectPr w:rsidR="003F6A59" w:rsidRPr="003A60B2"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9C1" w:rsidRDefault="00FE69C1">
      <w:r>
        <w:separator/>
      </w:r>
    </w:p>
  </w:endnote>
  <w:endnote w:type="continuationSeparator" w:id="0">
    <w:p w:rsidR="00FE69C1" w:rsidRDefault="00FE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CF4" w:rsidRPr="00B23F69" w:rsidRDefault="00072CF4"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B2BFC">
      <w:rPr>
        <w:noProof/>
        <w:sz w:val="22"/>
        <w:szCs w:val="22"/>
      </w:rPr>
      <w:t>11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B2BFC">
      <w:rPr>
        <w:noProof/>
        <w:sz w:val="22"/>
        <w:szCs w:val="22"/>
      </w:rPr>
      <w:t>11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9C1" w:rsidRDefault="00FE69C1">
      <w:r>
        <w:separator/>
      </w:r>
    </w:p>
  </w:footnote>
  <w:footnote w:type="continuationSeparator" w:id="0">
    <w:p w:rsidR="00FE69C1" w:rsidRDefault="00FE6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23AFA"/>
    <w:multiLevelType w:val="hybridMultilevel"/>
    <w:tmpl w:val="B79C6620"/>
    <w:lvl w:ilvl="0" w:tplc="A7B2C152">
      <w:start w:val="35"/>
      <w:numFmt w:val="bullet"/>
      <w:lvlText w:val=""/>
      <w:lvlJc w:val="left"/>
      <w:pPr>
        <w:tabs>
          <w:tab w:val="num" w:pos="680"/>
        </w:tabs>
        <w:ind w:left="680" w:hanging="453"/>
      </w:pPr>
      <w:rPr>
        <w:rFonts w:ascii="Symbol" w:eastAsia="Microsoft Sans Serif"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2CF4"/>
    <w:rsid w:val="00075E28"/>
    <w:rsid w:val="00076726"/>
    <w:rsid w:val="00080303"/>
    <w:rsid w:val="00083D02"/>
    <w:rsid w:val="000A3F58"/>
    <w:rsid w:val="000D2343"/>
    <w:rsid w:val="000D3449"/>
    <w:rsid w:val="000D425A"/>
    <w:rsid w:val="000D60CC"/>
    <w:rsid w:val="000E2084"/>
    <w:rsid w:val="000E6F55"/>
    <w:rsid w:val="000F77FA"/>
    <w:rsid w:val="00103C07"/>
    <w:rsid w:val="00107BF7"/>
    <w:rsid w:val="00126F53"/>
    <w:rsid w:val="0014766D"/>
    <w:rsid w:val="001536CC"/>
    <w:rsid w:val="001A3FBA"/>
    <w:rsid w:val="001A5518"/>
    <w:rsid w:val="001B1C6A"/>
    <w:rsid w:val="001C1263"/>
    <w:rsid w:val="001C1417"/>
    <w:rsid w:val="001D1419"/>
    <w:rsid w:val="001E390B"/>
    <w:rsid w:val="001F42FB"/>
    <w:rsid w:val="001F719A"/>
    <w:rsid w:val="002031B3"/>
    <w:rsid w:val="00215931"/>
    <w:rsid w:val="00224C91"/>
    <w:rsid w:val="00227BDB"/>
    <w:rsid w:val="00230EE4"/>
    <w:rsid w:val="00234CB1"/>
    <w:rsid w:val="002352F8"/>
    <w:rsid w:val="002510A5"/>
    <w:rsid w:val="00254A0A"/>
    <w:rsid w:val="00266046"/>
    <w:rsid w:val="002846DB"/>
    <w:rsid w:val="00284CCD"/>
    <w:rsid w:val="002C6637"/>
    <w:rsid w:val="002E0135"/>
    <w:rsid w:val="002E37A5"/>
    <w:rsid w:val="00310F03"/>
    <w:rsid w:val="003247D2"/>
    <w:rsid w:val="00333AF1"/>
    <w:rsid w:val="003445C1"/>
    <w:rsid w:val="00355B61"/>
    <w:rsid w:val="00362686"/>
    <w:rsid w:val="00371510"/>
    <w:rsid w:val="00396DFD"/>
    <w:rsid w:val="003A60B2"/>
    <w:rsid w:val="003A7059"/>
    <w:rsid w:val="003B7A36"/>
    <w:rsid w:val="003C17AB"/>
    <w:rsid w:val="003C7823"/>
    <w:rsid w:val="003E1DCC"/>
    <w:rsid w:val="003F11A1"/>
    <w:rsid w:val="003F6A59"/>
    <w:rsid w:val="004065C8"/>
    <w:rsid w:val="004109FA"/>
    <w:rsid w:val="00411B4B"/>
    <w:rsid w:val="004126C1"/>
    <w:rsid w:val="00415BEE"/>
    <w:rsid w:val="004254E9"/>
    <w:rsid w:val="00427F85"/>
    <w:rsid w:val="00436F42"/>
    <w:rsid w:val="004378B4"/>
    <w:rsid w:val="00451314"/>
    <w:rsid w:val="00452E9D"/>
    <w:rsid w:val="004534C7"/>
    <w:rsid w:val="004671AA"/>
    <w:rsid w:val="00471DF8"/>
    <w:rsid w:val="00480FB1"/>
    <w:rsid w:val="00483928"/>
    <w:rsid w:val="004C331F"/>
    <w:rsid w:val="004D6103"/>
    <w:rsid w:val="004E3BCE"/>
    <w:rsid w:val="004E70AD"/>
    <w:rsid w:val="004F0E97"/>
    <w:rsid w:val="004F17E2"/>
    <w:rsid w:val="00501DD1"/>
    <w:rsid w:val="00515C21"/>
    <w:rsid w:val="00530BD7"/>
    <w:rsid w:val="00545CD2"/>
    <w:rsid w:val="005476F3"/>
    <w:rsid w:val="00572527"/>
    <w:rsid w:val="00573E40"/>
    <w:rsid w:val="00576348"/>
    <w:rsid w:val="005A0038"/>
    <w:rsid w:val="005A0B2E"/>
    <w:rsid w:val="005A23D2"/>
    <w:rsid w:val="005A36CB"/>
    <w:rsid w:val="005B49B8"/>
    <w:rsid w:val="005C0741"/>
    <w:rsid w:val="005C5EF4"/>
    <w:rsid w:val="005D693A"/>
    <w:rsid w:val="005E2E0B"/>
    <w:rsid w:val="005E67AD"/>
    <w:rsid w:val="005E7A7D"/>
    <w:rsid w:val="00602457"/>
    <w:rsid w:val="00644FC3"/>
    <w:rsid w:val="00646BD1"/>
    <w:rsid w:val="006561C2"/>
    <w:rsid w:val="00671CB3"/>
    <w:rsid w:val="00674BAF"/>
    <w:rsid w:val="00682200"/>
    <w:rsid w:val="00692BF6"/>
    <w:rsid w:val="006A1351"/>
    <w:rsid w:val="006A1497"/>
    <w:rsid w:val="006B0BD1"/>
    <w:rsid w:val="006B5404"/>
    <w:rsid w:val="006D20A5"/>
    <w:rsid w:val="006D37BF"/>
    <w:rsid w:val="00702E22"/>
    <w:rsid w:val="0072020E"/>
    <w:rsid w:val="00754902"/>
    <w:rsid w:val="00780D7C"/>
    <w:rsid w:val="00786071"/>
    <w:rsid w:val="007A09DC"/>
    <w:rsid w:val="007A0E0D"/>
    <w:rsid w:val="007A3ECB"/>
    <w:rsid w:val="007D7BB3"/>
    <w:rsid w:val="007E31E9"/>
    <w:rsid w:val="007F05E3"/>
    <w:rsid w:val="00824AB9"/>
    <w:rsid w:val="00836B35"/>
    <w:rsid w:val="00843BDE"/>
    <w:rsid w:val="0087588C"/>
    <w:rsid w:val="0089705C"/>
    <w:rsid w:val="008A6D43"/>
    <w:rsid w:val="008B3E21"/>
    <w:rsid w:val="008B491E"/>
    <w:rsid w:val="008C1A28"/>
    <w:rsid w:val="008C2E98"/>
    <w:rsid w:val="008E152F"/>
    <w:rsid w:val="008E49BD"/>
    <w:rsid w:val="008E53E9"/>
    <w:rsid w:val="008E5771"/>
    <w:rsid w:val="008F4ACF"/>
    <w:rsid w:val="00924166"/>
    <w:rsid w:val="00940B9B"/>
    <w:rsid w:val="00953573"/>
    <w:rsid w:val="0095676E"/>
    <w:rsid w:val="00956983"/>
    <w:rsid w:val="00963CF0"/>
    <w:rsid w:val="00964BB1"/>
    <w:rsid w:val="009775D9"/>
    <w:rsid w:val="00997175"/>
    <w:rsid w:val="009A1847"/>
    <w:rsid w:val="009B062A"/>
    <w:rsid w:val="009B2BFC"/>
    <w:rsid w:val="009E7C6F"/>
    <w:rsid w:val="009F1793"/>
    <w:rsid w:val="009F2D23"/>
    <w:rsid w:val="00A01D69"/>
    <w:rsid w:val="00A02335"/>
    <w:rsid w:val="00A46C9A"/>
    <w:rsid w:val="00A619F3"/>
    <w:rsid w:val="00A62A73"/>
    <w:rsid w:val="00A87FF6"/>
    <w:rsid w:val="00AA0A3B"/>
    <w:rsid w:val="00AA2763"/>
    <w:rsid w:val="00AA33B6"/>
    <w:rsid w:val="00AB07EC"/>
    <w:rsid w:val="00AB50CA"/>
    <w:rsid w:val="00AB6D64"/>
    <w:rsid w:val="00AC53CE"/>
    <w:rsid w:val="00AD2193"/>
    <w:rsid w:val="00AE5E49"/>
    <w:rsid w:val="00AF19F4"/>
    <w:rsid w:val="00AF2AC7"/>
    <w:rsid w:val="00AF74CE"/>
    <w:rsid w:val="00B208DB"/>
    <w:rsid w:val="00B23F69"/>
    <w:rsid w:val="00B60619"/>
    <w:rsid w:val="00B66A70"/>
    <w:rsid w:val="00B67366"/>
    <w:rsid w:val="00B743A2"/>
    <w:rsid w:val="00B80EE1"/>
    <w:rsid w:val="00B84135"/>
    <w:rsid w:val="00C04D34"/>
    <w:rsid w:val="00C05DF8"/>
    <w:rsid w:val="00C05F17"/>
    <w:rsid w:val="00C06864"/>
    <w:rsid w:val="00C10F54"/>
    <w:rsid w:val="00C23D8D"/>
    <w:rsid w:val="00C37AA3"/>
    <w:rsid w:val="00C37FD7"/>
    <w:rsid w:val="00C43419"/>
    <w:rsid w:val="00C44CF3"/>
    <w:rsid w:val="00C61BE0"/>
    <w:rsid w:val="00C6707E"/>
    <w:rsid w:val="00C70B0E"/>
    <w:rsid w:val="00C773CA"/>
    <w:rsid w:val="00C83785"/>
    <w:rsid w:val="00C87FA8"/>
    <w:rsid w:val="00C92DB7"/>
    <w:rsid w:val="00C94C0D"/>
    <w:rsid w:val="00CA1FEB"/>
    <w:rsid w:val="00CD3F05"/>
    <w:rsid w:val="00CD4F85"/>
    <w:rsid w:val="00CD6F02"/>
    <w:rsid w:val="00CE246D"/>
    <w:rsid w:val="00CF07A0"/>
    <w:rsid w:val="00CF3E03"/>
    <w:rsid w:val="00D0082A"/>
    <w:rsid w:val="00D21455"/>
    <w:rsid w:val="00D329D7"/>
    <w:rsid w:val="00D355E8"/>
    <w:rsid w:val="00D47634"/>
    <w:rsid w:val="00D709B3"/>
    <w:rsid w:val="00D74CD2"/>
    <w:rsid w:val="00D83309"/>
    <w:rsid w:val="00DA2ED6"/>
    <w:rsid w:val="00DB1D55"/>
    <w:rsid w:val="00DB76B8"/>
    <w:rsid w:val="00DC2EA1"/>
    <w:rsid w:val="00DD6AAF"/>
    <w:rsid w:val="00DE3F5C"/>
    <w:rsid w:val="00DF1D20"/>
    <w:rsid w:val="00E008EA"/>
    <w:rsid w:val="00E21324"/>
    <w:rsid w:val="00E246B9"/>
    <w:rsid w:val="00E31FEA"/>
    <w:rsid w:val="00E45169"/>
    <w:rsid w:val="00E47787"/>
    <w:rsid w:val="00E51C30"/>
    <w:rsid w:val="00E64180"/>
    <w:rsid w:val="00E7235D"/>
    <w:rsid w:val="00E74AEE"/>
    <w:rsid w:val="00E868E5"/>
    <w:rsid w:val="00E9237A"/>
    <w:rsid w:val="00E939FA"/>
    <w:rsid w:val="00EA5765"/>
    <w:rsid w:val="00EC2532"/>
    <w:rsid w:val="00EC73B3"/>
    <w:rsid w:val="00ED7812"/>
    <w:rsid w:val="00EF3B86"/>
    <w:rsid w:val="00F317E9"/>
    <w:rsid w:val="00F34554"/>
    <w:rsid w:val="00F35B68"/>
    <w:rsid w:val="00F4381C"/>
    <w:rsid w:val="00F45F77"/>
    <w:rsid w:val="00F5167F"/>
    <w:rsid w:val="00F52258"/>
    <w:rsid w:val="00F8570A"/>
    <w:rsid w:val="00F91C7B"/>
    <w:rsid w:val="00FE2036"/>
    <w:rsid w:val="00FE69C1"/>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DFB2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5EF9F-DD11-4C60-B33B-08EC6273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3885</Words>
  <Characters>22149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25983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10</cp:revision>
  <cp:lastPrinted>2023-05-29T10:27:00Z</cp:lastPrinted>
  <dcterms:created xsi:type="dcterms:W3CDTF">2023-07-10T11:50:00Z</dcterms:created>
  <dcterms:modified xsi:type="dcterms:W3CDTF">2023-07-12T09:32:00Z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