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742C1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4D78A7AD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28C56F37" w14:textId="77777777" w:rsidR="002510A5" w:rsidRPr="002510A5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14:paraId="394862E1" w14:textId="77777777" w:rsidR="002510A5" w:rsidRPr="002510A5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290619AC" w14:textId="77777777" w:rsidR="003C17AB" w:rsidRPr="00CA1FEB" w:rsidRDefault="003C17AB" w:rsidP="00CA1FEB">
      <w:pPr>
        <w:rPr>
          <w:sz w:val="22"/>
          <w:szCs w:val="22"/>
          <w:lang w:val="sr-Latn-CS"/>
        </w:rPr>
      </w:pPr>
    </w:p>
    <w:p w14:paraId="6A139D58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1.</w:t>
      </w:r>
      <w:r w:rsidR="00F5167F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NAZIV </w:t>
      </w:r>
      <w:r w:rsidRPr="00786071">
        <w:rPr>
          <w:b/>
          <w:bCs/>
          <w:sz w:val="22"/>
          <w:szCs w:val="22"/>
        </w:rPr>
        <w:t>LIJEKA</w:t>
      </w:r>
    </w:p>
    <w:p w14:paraId="0D882C36" w14:textId="77777777" w:rsidR="00EC2532" w:rsidRPr="00786071" w:rsidRDefault="00EC2532">
      <w:pPr>
        <w:rPr>
          <w:sz w:val="22"/>
          <w:szCs w:val="22"/>
          <w:lang w:val="pl-PL"/>
        </w:rPr>
      </w:pPr>
    </w:p>
    <w:p w14:paraId="3C14D508" w14:textId="77777777" w:rsidR="00107BF7" w:rsidRPr="00EB7F2A" w:rsidRDefault="00D53974" w:rsidP="00625848">
      <w:pPr>
        <w:jc w:val="both"/>
        <w:rPr>
          <w:bCs/>
          <w:sz w:val="22"/>
          <w:szCs w:val="22"/>
          <w:lang w:val="sv-SE"/>
        </w:rPr>
      </w:pPr>
      <w:r>
        <w:rPr>
          <w:bCs/>
          <w:sz w:val="22"/>
          <w:szCs w:val="22"/>
          <w:lang w:val="sv-SE"/>
        </w:rPr>
        <w:t xml:space="preserve">Macmiror </w:t>
      </w:r>
      <w:r w:rsidR="00EB7F2A" w:rsidRPr="00E65785">
        <w:rPr>
          <w:bCs/>
          <w:sz w:val="22"/>
          <w:szCs w:val="22"/>
          <w:lang w:val="sv-SE"/>
        </w:rPr>
        <w:t>Complex, 200000 i.j.+ 500 mg, vaginalna kapsula, meka</w:t>
      </w:r>
    </w:p>
    <w:p w14:paraId="063D5D57" w14:textId="77777777" w:rsidR="000D425A" w:rsidRDefault="000D425A" w:rsidP="00625848">
      <w:pPr>
        <w:jc w:val="both"/>
        <w:rPr>
          <w:bCs/>
          <w:sz w:val="22"/>
          <w:szCs w:val="22"/>
          <w:lang w:val="sv-SE"/>
        </w:rPr>
      </w:pPr>
    </w:p>
    <w:p w14:paraId="7B328661" w14:textId="77777777" w:rsidR="006D20A5" w:rsidRPr="00786071" w:rsidRDefault="006D20A5" w:rsidP="00625848">
      <w:pPr>
        <w:jc w:val="both"/>
        <w:rPr>
          <w:sz w:val="22"/>
          <w:szCs w:val="22"/>
          <w:lang w:val="sr-Latn-CS"/>
        </w:rPr>
      </w:pPr>
      <w:r w:rsidRPr="00B66A70">
        <w:rPr>
          <w:sz w:val="22"/>
          <w:szCs w:val="22"/>
          <w:lang w:val="sv-SE"/>
        </w:rPr>
        <w:t>INN:</w:t>
      </w:r>
      <w:r w:rsidR="00EB7F2A" w:rsidRPr="00EB7F2A">
        <w:rPr>
          <w:bCs/>
          <w:sz w:val="22"/>
          <w:szCs w:val="22"/>
          <w:lang w:val="sv-SE"/>
        </w:rPr>
        <w:t xml:space="preserve"> </w:t>
      </w:r>
      <w:r w:rsidR="00EB7F2A" w:rsidRPr="00E65785">
        <w:rPr>
          <w:bCs/>
          <w:sz w:val="22"/>
          <w:szCs w:val="22"/>
          <w:lang w:val="sv-SE"/>
        </w:rPr>
        <w:t>nistatin, nifuratel</w:t>
      </w:r>
    </w:p>
    <w:p w14:paraId="5C5A24C8" w14:textId="66CD920B" w:rsidR="006D20A5" w:rsidRDefault="006D20A5">
      <w:pPr>
        <w:rPr>
          <w:bCs/>
          <w:sz w:val="22"/>
          <w:szCs w:val="22"/>
          <w:lang w:val="sv-SE"/>
        </w:rPr>
      </w:pPr>
    </w:p>
    <w:p w14:paraId="7768A089" w14:textId="77777777" w:rsidR="00F710E0" w:rsidRPr="00786071" w:rsidRDefault="00F710E0">
      <w:pPr>
        <w:rPr>
          <w:bCs/>
          <w:sz w:val="22"/>
          <w:szCs w:val="22"/>
          <w:lang w:val="sv-SE"/>
        </w:rPr>
      </w:pPr>
    </w:p>
    <w:p w14:paraId="0941FC14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2.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KVALITATIVNI I KVANTITATIVNI SASTAV</w:t>
      </w:r>
    </w:p>
    <w:p w14:paraId="43704290" w14:textId="77777777" w:rsidR="005A0B2E" w:rsidRPr="00786071" w:rsidRDefault="005A0B2E">
      <w:pPr>
        <w:rPr>
          <w:sz w:val="22"/>
          <w:szCs w:val="22"/>
          <w:lang w:val="sr-Latn-CS"/>
        </w:rPr>
      </w:pPr>
    </w:p>
    <w:p w14:paraId="44B66A1A" w14:textId="77777777" w:rsidR="00EB7F2A" w:rsidRPr="00E65785" w:rsidRDefault="00EB7F2A" w:rsidP="00625848">
      <w:pPr>
        <w:jc w:val="both"/>
        <w:rPr>
          <w:sz w:val="22"/>
          <w:szCs w:val="22"/>
          <w:lang w:val="sr-Latn-CS"/>
        </w:rPr>
      </w:pPr>
      <w:r w:rsidRPr="00E65785">
        <w:rPr>
          <w:sz w:val="22"/>
          <w:szCs w:val="22"/>
          <w:lang w:val="sr-Latn-CS"/>
        </w:rPr>
        <w:t>Jedna vaginalna kapsula, meka sadrži 200000 i.j. nistatina i 500 mg nifuratela.</w:t>
      </w:r>
    </w:p>
    <w:p w14:paraId="25112E7B" w14:textId="77777777" w:rsidR="00D53974" w:rsidRDefault="00D53974" w:rsidP="00625848">
      <w:pPr>
        <w:jc w:val="both"/>
        <w:rPr>
          <w:sz w:val="22"/>
          <w:szCs w:val="22"/>
          <w:lang w:val="sr-Latn-CS"/>
        </w:rPr>
      </w:pPr>
    </w:p>
    <w:p w14:paraId="1F30DFA8" w14:textId="77777777" w:rsidR="00EB7F2A" w:rsidRDefault="00EB7F2A" w:rsidP="00625848">
      <w:pPr>
        <w:jc w:val="both"/>
        <w:rPr>
          <w:sz w:val="22"/>
          <w:szCs w:val="22"/>
          <w:lang w:val="sr-Latn-CS"/>
        </w:rPr>
      </w:pPr>
      <w:r w:rsidRPr="00E65785">
        <w:rPr>
          <w:sz w:val="22"/>
          <w:szCs w:val="22"/>
          <w:lang w:val="sr-Latn-CS"/>
        </w:rPr>
        <w:t xml:space="preserve">Pomoćne supstance </w:t>
      </w:r>
      <w:r w:rsidR="00D53974">
        <w:rPr>
          <w:sz w:val="22"/>
          <w:szCs w:val="22"/>
          <w:lang w:val="sr-Latn-CS"/>
        </w:rPr>
        <w:t>sa potvrđenim dejstvom natrijum</w:t>
      </w:r>
      <w:r w:rsidR="00971A76">
        <w:rPr>
          <w:sz w:val="22"/>
          <w:szCs w:val="22"/>
          <w:lang w:val="sr-Latn-CS"/>
        </w:rPr>
        <w:t xml:space="preserve"> </w:t>
      </w:r>
      <w:r w:rsidRPr="00E65785">
        <w:rPr>
          <w:sz w:val="22"/>
          <w:szCs w:val="22"/>
          <w:lang w:val="sr-Latn-CS"/>
        </w:rPr>
        <w:t>etil</w:t>
      </w:r>
      <w:r w:rsidR="00971A76">
        <w:rPr>
          <w:sz w:val="22"/>
          <w:szCs w:val="22"/>
          <w:lang w:val="sr-Latn-CS"/>
        </w:rPr>
        <w:t xml:space="preserve"> </w:t>
      </w:r>
      <w:r w:rsidRPr="00E65785">
        <w:rPr>
          <w:sz w:val="22"/>
          <w:szCs w:val="22"/>
          <w:lang w:val="sr-Latn-CS"/>
        </w:rPr>
        <w:t>parahidroksibenzoat, natrijum</w:t>
      </w:r>
      <w:r w:rsidR="00971A76">
        <w:rPr>
          <w:sz w:val="22"/>
          <w:szCs w:val="22"/>
          <w:lang w:val="sr-Latn-CS"/>
        </w:rPr>
        <w:t xml:space="preserve"> </w:t>
      </w:r>
      <w:r w:rsidRPr="00E65785">
        <w:rPr>
          <w:sz w:val="22"/>
          <w:szCs w:val="22"/>
          <w:lang w:val="sr-Latn-CS"/>
        </w:rPr>
        <w:t>propil</w:t>
      </w:r>
      <w:r w:rsidR="00971A76">
        <w:rPr>
          <w:sz w:val="22"/>
          <w:szCs w:val="22"/>
          <w:lang w:val="sr-Latn-CS"/>
        </w:rPr>
        <w:t xml:space="preserve"> </w:t>
      </w:r>
      <w:r w:rsidRPr="00E65785">
        <w:rPr>
          <w:sz w:val="22"/>
          <w:szCs w:val="22"/>
          <w:lang w:val="sr-Latn-CS"/>
        </w:rPr>
        <w:t>parahidroksibenzoat</w:t>
      </w:r>
      <w:r>
        <w:rPr>
          <w:sz w:val="22"/>
          <w:szCs w:val="22"/>
          <w:lang w:val="sr-Latn-CS"/>
        </w:rPr>
        <w:t xml:space="preserve"> </w:t>
      </w:r>
      <w:r w:rsidRPr="00E65785">
        <w:rPr>
          <w:sz w:val="22"/>
          <w:szCs w:val="22"/>
          <w:lang w:val="sr-Latn-CS"/>
        </w:rPr>
        <w:t>i glicerol.</w:t>
      </w:r>
    </w:p>
    <w:p w14:paraId="3100E1A3" w14:textId="77777777" w:rsidR="00EB7F2A" w:rsidRDefault="00EB7F2A" w:rsidP="00625848">
      <w:pPr>
        <w:jc w:val="both"/>
        <w:rPr>
          <w:sz w:val="22"/>
          <w:szCs w:val="22"/>
          <w:lang w:val="sr-Latn-CS"/>
        </w:rPr>
      </w:pPr>
    </w:p>
    <w:p w14:paraId="09DCE723" w14:textId="77777777" w:rsidR="0003793F" w:rsidRDefault="0003793F" w:rsidP="00EB7F2A">
      <w:pPr>
        <w:rPr>
          <w:sz w:val="22"/>
          <w:szCs w:val="22"/>
          <w:lang w:val="sr-Latn-CS"/>
        </w:rPr>
      </w:pPr>
      <w:r w:rsidRPr="00786071">
        <w:rPr>
          <w:sz w:val="22"/>
          <w:szCs w:val="22"/>
          <w:lang w:val="sr-Latn-CS"/>
        </w:rPr>
        <w:t>Za spisak svih ekscipijenasa, pogledati dio 6.1.</w:t>
      </w:r>
    </w:p>
    <w:p w14:paraId="7A9BD0AD" w14:textId="77777777" w:rsidR="00347583" w:rsidRPr="00786071" w:rsidRDefault="00347583" w:rsidP="00EB7F2A">
      <w:pPr>
        <w:rPr>
          <w:sz w:val="22"/>
          <w:szCs w:val="22"/>
          <w:lang w:val="sr-Latn-CS"/>
        </w:rPr>
      </w:pPr>
    </w:p>
    <w:p w14:paraId="46A16812" w14:textId="77777777" w:rsidR="0003793F" w:rsidRDefault="0003793F">
      <w:pPr>
        <w:rPr>
          <w:sz w:val="22"/>
          <w:szCs w:val="22"/>
          <w:lang w:val="sr-Latn-CS"/>
        </w:rPr>
      </w:pPr>
    </w:p>
    <w:p w14:paraId="392251AE" w14:textId="77777777" w:rsidR="00411B4B" w:rsidRPr="00F36E01" w:rsidRDefault="00411B4B" w:rsidP="000A36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47583">
        <w:rPr>
          <w:b/>
          <w:bCs/>
          <w:sz w:val="22"/>
          <w:szCs w:val="22"/>
        </w:rPr>
        <w:t xml:space="preserve">3. </w:t>
      </w:r>
      <w:r w:rsidR="00F5167F" w:rsidRPr="00347583">
        <w:rPr>
          <w:b/>
          <w:bCs/>
          <w:sz w:val="22"/>
          <w:szCs w:val="22"/>
        </w:rPr>
        <w:tab/>
      </w:r>
      <w:r w:rsidRPr="00347583">
        <w:rPr>
          <w:b/>
          <w:bCs/>
          <w:sz w:val="22"/>
          <w:szCs w:val="22"/>
        </w:rPr>
        <w:t>FARMACEUTSKI OBLIK</w:t>
      </w:r>
      <w:r w:rsidR="009F2D23" w:rsidRPr="00F36E01">
        <w:rPr>
          <w:b/>
          <w:bCs/>
          <w:sz w:val="22"/>
          <w:szCs w:val="22"/>
        </w:rPr>
        <w:t xml:space="preserve"> </w:t>
      </w:r>
    </w:p>
    <w:p w14:paraId="74A46390" w14:textId="77777777" w:rsidR="00411B4B" w:rsidRPr="00347583" w:rsidRDefault="00411B4B" w:rsidP="000A3641">
      <w:pPr>
        <w:jc w:val="both"/>
        <w:rPr>
          <w:bCs/>
          <w:sz w:val="22"/>
          <w:szCs w:val="22"/>
          <w:lang w:val="sr-Latn-CS"/>
        </w:rPr>
      </w:pPr>
    </w:p>
    <w:p w14:paraId="618C85F8" w14:textId="77777777" w:rsidR="00EB7F2A" w:rsidRPr="00347583" w:rsidRDefault="00EB7F2A" w:rsidP="00347583">
      <w:pPr>
        <w:jc w:val="both"/>
        <w:rPr>
          <w:bCs/>
          <w:sz w:val="22"/>
          <w:szCs w:val="22"/>
          <w:lang w:val="sr-Latn-CS"/>
        </w:rPr>
      </w:pPr>
      <w:r w:rsidRPr="00347583">
        <w:rPr>
          <w:bCs/>
          <w:sz w:val="22"/>
          <w:szCs w:val="22"/>
          <w:lang w:val="sr-Latn-CS"/>
        </w:rPr>
        <w:t>Vaginalna kapsula, meka.</w:t>
      </w:r>
    </w:p>
    <w:p w14:paraId="66FC6245" w14:textId="77777777" w:rsidR="00EB7F2A" w:rsidRDefault="00EB7F2A" w:rsidP="00F36E01">
      <w:pPr>
        <w:jc w:val="both"/>
        <w:rPr>
          <w:bCs/>
          <w:sz w:val="22"/>
          <w:szCs w:val="22"/>
          <w:lang w:val="sr-Latn-CS"/>
        </w:rPr>
      </w:pPr>
      <w:r w:rsidRPr="00347583">
        <w:rPr>
          <w:bCs/>
          <w:sz w:val="22"/>
          <w:szCs w:val="22"/>
          <w:lang w:val="sr-Latn-CS"/>
        </w:rPr>
        <w:t>Ovalne, meke vaginalne kapsule tamno žute boje, punjene uljastom suspenzijom žućkaste boje.</w:t>
      </w:r>
    </w:p>
    <w:p w14:paraId="7B52CF79" w14:textId="77777777" w:rsidR="00F36E01" w:rsidRPr="00F36E01" w:rsidRDefault="00F36E01" w:rsidP="00F36E01">
      <w:pPr>
        <w:jc w:val="both"/>
        <w:rPr>
          <w:bCs/>
          <w:sz w:val="22"/>
          <w:szCs w:val="22"/>
          <w:lang w:val="sr-Latn-CS"/>
        </w:rPr>
      </w:pPr>
    </w:p>
    <w:p w14:paraId="32EE5011" w14:textId="77777777" w:rsidR="00EB7F2A" w:rsidRPr="00F36E01" w:rsidRDefault="00EB7F2A" w:rsidP="000A3641">
      <w:pPr>
        <w:jc w:val="both"/>
        <w:rPr>
          <w:bCs/>
          <w:sz w:val="22"/>
          <w:szCs w:val="22"/>
          <w:lang w:val="sr-Latn-CS"/>
        </w:rPr>
      </w:pPr>
    </w:p>
    <w:p w14:paraId="7B82606F" w14:textId="77777777" w:rsidR="00411B4B" w:rsidRPr="00347583" w:rsidRDefault="00411B4B" w:rsidP="000A36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347583">
        <w:rPr>
          <w:b/>
          <w:bCs/>
          <w:sz w:val="22"/>
          <w:szCs w:val="22"/>
          <w:lang w:val="sr-Latn-CS"/>
        </w:rPr>
        <w:t xml:space="preserve">4. </w:t>
      </w:r>
      <w:r w:rsidR="00480FB1" w:rsidRPr="00347583">
        <w:rPr>
          <w:b/>
          <w:bCs/>
          <w:sz w:val="22"/>
          <w:szCs w:val="22"/>
          <w:lang w:val="sr-Latn-CS"/>
        </w:rPr>
        <w:tab/>
      </w:r>
      <w:r w:rsidRPr="00347583">
        <w:rPr>
          <w:b/>
          <w:bCs/>
          <w:sz w:val="22"/>
          <w:szCs w:val="22"/>
        </w:rPr>
        <w:t>KLINI</w:t>
      </w:r>
      <w:r w:rsidRPr="00347583">
        <w:rPr>
          <w:b/>
          <w:bCs/>
          <w:sz w:val="22"/>
          <w:szCs w:val="22"/>
          <w:lang w:val="sr-Latn-CS"/>
        </w:rPr>
        <w:t>Č</w:t>
      </w:r>
      <w:r w:rsidRPr="00347583">
        <w:rPr>
          <w:b/>
          <w:bCs/>
          <w:sz w:val="22"/>
          <w:szCs w:val="22"/>
        </w:rPr>
        <w:t>KI</w:t>
      </w:r>
      <w:r w:rsidRPr="00347583">
        <w:rPr>
          <w:b/>
          <w:bCs/>
          <w:sz w:val="22"/>
          <w:szCs w:val="22"/>
          <w:lang w:val="sr-Latn-CS"/>
        </w:rPr>
        <w:t xml:space="preserve"> </w:t>
      </w:r>
      <w:r w:rsidRPr="00347583">
        <w:rPr>
          <w:b/>
          <w:bCs/>
          <w:sz w:val="22"/>
          <w:szCs w:val="22"/>
        </w:rPr>
        <w:t>PODACI</w:t>
      </w:r>
    </w:p>
    <w:p w14:paraId="53BA6E5F" w14:textId="77777777" w:rsidR="00CD6F02" w:rsidRPr="00347583" w:rsidRDefault="00CD6F02" w:rsidP="000A36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322909A8" w14:textId="77777777" w:rsidR="00411B4B" w:rsidRPr="00347583" w:rsidRDefault="00411B4B" w:rsidP="000A36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347583">
        <w:rPr>
          <w:b/>
          <w:bCs/>
          <w:sz w:val="22"/>
          <w:szCs w:val="22"/>
          <w:lang w:val="sr-Latn-CS"/>
        </w:rPr>
        <w:t xml:space="preserve">4.1. </w:t>
      </w:r>
      <w:r w:rsidR="00480FB1" w:rsidRPr="00347583">
        <w:rPr>
          <w:b/>
          <w:bCs/>
          <w:sz w:val="22"/>
          <w:szCs w:val="22"/>
          <w:lang w:val="sr-Latn-CS"/>
        </w:rPr>
        <w:tab/>
      </w:r>
      <w:r w:rsidRPr="00347583">
        <w:rPr>
          <w:b/>
          <w:bCs/>
          <w:sz w:val="22"/>
          <w:szCs w:val="22"/>
        </w:rPr>
        <w:t>Terapijske</w:t>
      </w:r>
      <w:r w:rsidRPr="00347583">
        <w:rPr>
          <w:b/>
          <w:bCs/>
          <w:sz w:val="22"/>
          <w:szCs w:val="22"/>
          <w:lang w:val="sr-Latn-CS"/>
        </w:rPr>
        <w:t xml:space="preserve"> </w:t>
      </w:r>
      <w:r w:rsidRPr="00347583">
        <w:rPr>
          <w:b/>
          <w:bCs/>
          <w:sz w:val="22"/>
          <w:szCs w:val="22"/>
        </w:rPr>
        <w:t>indikacije</w:t>
      </w:r>
    </w:p>
    <w:p w14:paraId="6B642F05" w14:textId="77777777" w:rsidR="00411B4B" w:rsidRPr="00347583" w:rsidRDefault="00411B4B" w:rsidP="000A36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7D6CCD78" w14:textId="77777777" w:rsidR="00EB7F2A" w:rsidRPr="00347583" w:rsidRDefault="00EB7F2A" w:rsidP="003475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347583">
        <w:rPr>
          <w:bCs/>
          <w:sz w:val="22"/>
          <w:szCs w:val="22"/>
        </w:rPr>
        <w:t>Lijek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je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namijenjen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za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terapiju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mje</w:t>
      </w:r>
      <w:r w:rsidRPr="00347583">
        <w:rPr>
          <w:bCs/>
          <w:sz w:val="22"/>
          <w:szCs w:val="22"/>
          <w:lang w:val="sr-Latn-CS"/>
        </w:rPr>
        <w:t>š</w:t>
      </w:r>
      <w:r w:rsidRPr="00347583">
        <w:rPr>
          <w:bCs/>
          <w:sz w:val="22"/>
          <w:szCs w:val="22"/>
        </w:rPr>
        <w:t>ovitih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bakterijskih</w:t>
      </w:r>
      <w:r w:rsidRPr="00347583">
        <w:rPr>
          <w:bCs/>
          <w:sz w:val="22"/>
          <w:szCs w:val="22"/>
          <w:lang w:val="sr-Latn-CS"/>
        </w:rPr>
        <w:t xml:space="preserve">, </w:t>
      </w:r>
      <w:r w:rsidRPr="00347583">
        <w:rPr>
          <w:bCs/>
          <w:sz w:val="22"/>
          <w:szCs w:val="22"/>
        </w:rPr>
        <w:t>gljivi</w:t>
      </w:r>
      <w:r w:rsidRPr="00347583">
        <w:rPr>
          <w:bCs/>
          <w:sz w:val="22"/>
          <w:szCs w:val="22"/>
          <w:lang w:val="sr-Latn-CS"/>
        </w:rPr>
        <w:t>č</w:t>
      </w:r>
      <w:r w:rsidRPr="00347583">
        <w:rPr>
          <w:bCs/>
          <w:sz w:val="22"/>
          <w:szCs w:val="22"/>
        </w:rPr>
        <w:t>nih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i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infekcija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uzrokovanih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patogenim</w:t>
      </w:r>
      <w:r w:rsidR="00625848"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mikroorganizmom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i/>
          <w:sz w:val="22"/>
          <w:szCs w:val="22"/>
        </w:rPr>
        <w:t>Trihomonas</w:t>
      </w:r>
      <w:r w:rsidRPr="00347583">
        <w:rPr>
          <w:bCs/>
          <w:i/>
          <w:sz w:val="22"/>
          <w:szCs w:val="22"/>
          <w:lang w:val="sr-Latn-CS"/>
        </w:rPr>
        <w:t xml:space="preserve"> </w:t>
      </w:r>
      <w:r w:rsidRPr="00347583">
        <w:rPr>
          <w:bCs/>
          <w:i/>
          <w:sz w:val="22"/>
          <w:szCs w:val="22"/>
        </w:rPr>
        <w:t>vaginalis</w:t>
      </w:r>
      <w:r w:rsidRPr="00347583">
        <w:rPr>
          <w:bCs/>
          <w:sz w:val="22"/>
          <w:szCs w:val="22"/>
          <w:lang w:val="sr-Latn-CS"/>
        </w:rPr>
        <w:t xml:space="preserve">, </w:t>
      </w:r>
      <w:r w:rsidRPr="00347583">
        <w:rPr>
          <w:bCs/>
          <w:sz w:val="22"/>
          <w:szCs w:val="22"/>
        </w:rPr>
        <w:t>uklju</w:t>
      </w:r>
      <w:r w:rsidRPr="00347583">
        <w:rPr>
          <w:bCs/>
          <w:sz w:val="22"/>
          <w:szCs w:val="22"/>
          <w:lang w:val="sr-Latn-CS"/>
        </w:rPr>
        <w:t>č</w:t>
      </w:r>
      <w:r w:rsidRPr="00347583">
        <w:rPr>
          <w:bCs/>
          <w:sz w:val="22"/>
          <w:szCs w:val="22"/>
        </w:rPr>
        <w:t>uju</w:t>
      </w:r>
      <w:r w:rsidRPr="00347583">
        <w:rPr>
          <w:bCs/>
          <w:sz w:val="22"/>
          <w:szCs w:val="22"/>
          <w:lang w:val="sr-Latn-CS"/>
        </w:rPr>
        <w:t>ć</w:t>
      </w:r>
      <w:r w:rsidRPr="00347583">
        <w:rPr>
          <w:bCs/>
          <w:sz w:val="22"/>
          <w:szCs w:val="22"/>
        </w:rPr>
        <w:t>i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bakterijsku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vaginozu</w:t>
      </w:r>
      <w:r w:rsidRPr="00347583">
        <w:rPr>
          <w:bCs/>
          <w:sz w:val="22"/>
          <w:szCs w:val="22"/>
          <w:lang w:val="sr-Latn-CS"/>
        </w:rPr>
        <w:t xml:space="preserve">, </w:t>
      </w:r>
      <w:r w:rsidRPr="00347583">
        <w:rPr>
          <w:bCs/>
          <w:sz w:val="22"/>
          <w:szCs w:val="22"/>
        </w:rPr>
        <w:t>infekcije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spoljnih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polnih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organa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i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u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profilaksi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malih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ginekolo</w:t>
      </w:r>
      <w:r w:rsidRPr="00347583">
        <w:rPr>
          <w:bCs/>
          <w:sz w:val="22"/>
          <w:szCs w:val="22"/>
          <w:lang w:val="sr-Latn-CS"/>
        </w:rPr>
        <w:t>š</w:t>
      </w:r>
      <w:r w:rsidRPr="00347583">
        <w:rPr>
          <w:bCs/>
          <w:sz w:val="22"/>
          <w:szCs w:val="22"/>
        </w:rPr>
        <w:t>kih</w:t>
      </w:r>
      <w:r w:rsidRPr="00347583">
        <w:rPr>
          <w:bCs/>
          <w:sz w:val="22"/>
          <w:szCs w:val="22"/>
          <w:lang w:val="sr-Latn-CS"/>
        </w:rPr>
        <w:t xml:space="preserve"> </w:t>
      </w:r>
      <w:r w:rsidRPr="00347583">
        <w:rPr>
          <w:bCs/>
          <w:sz w:val="22"/>
          <w:szCs w:val="22"/>
        </w:rPr>
        <w:t>intervencija</w:t>
      </w:r>
      <w:r w:rsidRPr="00347583">
        <w:rPr>
          <w:bCs/>
          <w:sz w:val="22"/>
          <w:szCs w:val="22"/>
          <w:lang w:val="sr-Latn-CS"/>
        </w:rPr>
        <w:t>.</w:t>
      </w:r>
    </w:p>
    <w:p w14:paraId="52138222" w14:textId="77777777" w:rsidR="00EB7F2A" w:rsidRPr="00347583" w:rsidRDefault="00EB7F2A" w:rsidP="000A36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517430D6" w14:textId="77777777" w:rsidR="00411B4B" w:rsidRPr="00347583" w:rsidRDefault="00411B4B" w:rsidP="000A36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47583">
        <w:rPr>
          <w:b/>
          <w:bCs/>
          <w:sz w:val="22"/>
          <w:szCs w:val="22"/>
        </w:rPr>
        <w:t xml:space="preserve">4.2. </w:t>
      </w:r>
      <w:r w:rsidR="00480FB1" w:rsidRPr="00347583">
        <w:rPr>
          <w:b/>
          <w:bCs/>
          <w:sz w:val="22"/>
          <w:szCs w:val="22"/>
        </w:rPr>
        <w:tab/>
      </w:r>
      <w:r w:rsidRPr="00347583">
        <w:rPr>
          <w:b/>
          <w:bCs/>
          <w:sz w:val="22"/>
          <w:szCs w:val="22"/>
        </w:rPr>
        <w:t>Doziranje i način primjene</w:t>
      </w:r>
    </w:p>
    <w:p w14:paraId="71825D74" w14:textId="77777777" w:rsidR="0072020E" w:rsidRPr="00347583" w:rsidRDefault="0072020E" w:rsidP="000A364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1481192" w14:textId="77777777" w:rsidR="00452E9D" w:rsidRPr="000A3641" w:rsidRDefault="00452E9D" w:rsidP="0034758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A3641">
        <w:rPr>
          <w:bCs/>
          <w:sz w:val="22"/>
          <w:szCs w:val="22"/>
          <w:u w:val="single"/>
          <w:lang w:val="sr-Latn-ME"/>
        </w:rPr>
        <w:t>Doziranje</w:t>
      </w:r>
    </w:p>
    <w:p w14:paraId="34D6CD34" w14:textId="77777777" w:rsidR="00452E9D" w:rsidRPr="000A3641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F8B2274" w14:textId="77777777" w:rsidR="00EB7F2A" w:rsidRPr="000A3641" w:rsidRDefault="00EB7F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Uobičajeno doziranje kod akutne infekcije je 2,5 g krema ili jedna vaginalna kapsula jednom dnevno tokom 6-8 dana. Kod hroničnih i ponovljenih infekcija primjenjuje se kombinacija 2,5 g krema ujutru i jedna vaginalna kapsula uveče tokom 10-12 dana.</w:t>
      </w:r>
    </w:p>
    <w:p w14:paraId="07B57876" w14:textId="77777777" w:rsidR="00EB7F2A" w:rsidRPr="000A3641" w:rsidRDefault="00EB7F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DB02CF" w14:textId="77777777" w:rsidR="00EB7F2A" w:rsidRPr="000A3641" w:rsidRDefault="00EB7F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Druga mogućnost je da se prim</w:t>
      </w:r>
      <w:r w:rsidR="00D53974" w:rsidRPr="000A3641">
        <w:rPr>
          <w:bCs/>
          <w:sz w:val="22"/>
          <w:szCs w:val="22"/>
          <w:lang w:val="sr-Latn-ME"/>
        </w:rPr>
        <w:t>i</w:t>
      </w:r>
      <w:r w:rsidRPr="000A3641">
        <w:rPr>
          <w:bCs/>
          <w:sz w:val="22"/>
          <w:szCs w:val="22"/>
          <w:lang w:val="sr-Latn-ME"/>
        </w:rPr>
        <w:t>jeni po jedna vaginalna kapsula dva puta dnevno ili 2,5 g krema dva puta dnevno.</w:t>
      </w:r>
    </w:p>
    <w:p w14:paraId="0807A508" w14:textId="77777777" w:rsidR="00F36E01" w:rsidRPr="000A3641" w:rsidRDefault="00F36E0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52D19D" w14:textId="77777777" w:rsidR="00EB7F2A" w:rsidRPr="000A3641" w:rsidRDefault="00EB7F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Kod hroničnih vaginalnih infekcija, urogenitalnih infekcija, trihomonijaza kombinovanih sa gljivičnim</w:t>
      </w:r>
    </w:p>
    <w:p w14:paraId="0C40463C" w14:textId="77777777" w:rsidR="00EB7F2A" w:rsidRPr="000A3641" w:rsidRDefault="00EB7F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infekcijama ili kod gljivične superinfekcije kao i kod vaginalne infekcije kod pacijentkinja sa kompleksnim bolestima (šećerna bolest (di</w:t>
      </w:r>
      <w:r w:rsidR="0058159B" w:rsidRPr="000A3641">
        <w:rPr>
          <w:bCs/>
          <w:sz w:val="22"/>
          <w:szCs w:val="22"/>
          <w:lang w:val="sr-Latn-ME"/>
        </w:rPr>
        <w:t>j</w:t>
      </w:r>
      <w:r w:rsidRPr="000A3641">
        <w:rPr>
          <w:bCs/>
          <w:sz w:val="22"/>
          <w:szCs w:val="22"/>
          <w:lang w:val="sr-Latn-ME"/>
        </w:rPr>
        <w:t>abetes), malokrvnost (anemija), hormonski poremećaj itd.) preporučuje se dodatak uz lokalnu terapiju i peroralna terapija.</w:t>
      </w:r>
    </w:p>
    <w:p w14:paraId="18D3293E" w14:textId="77777777" w:rsidR="00EB7F2A" w:rsidRPr="000A3641" w:rsidRDefault="00EB7F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Primjenu lijeka treba prekinuti tokom menstrualnog krvarenja i nastaviti je nakon završetka menstruacije onoliko dugo koliko je propisano. Tačkasto krvarenje ne ometa lokalnu primjenu lijeka.</w:t>
      </w:r>
    </w:p>
    <w:p w14:paraId="77E1E0E6" w14:textId="77777777" w:rsidR="00EB7F2A" w:rsidRPr="000A3641" w:rsidRDefault="00EB7F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7DCC4B" w14:textId="77777777" w:rsidR="00452E9D" w:rsidRPr="000A3641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A3641">
        <w:rPr>
          <w:bCs/>
          <w:sz w:val="22"/>
          <w:szCs w:val="22"/>
          <w:u w:val="single"/>
          <w:lang w:val="sr-Latn-ME"/>
        </w:rPr>
        <w:t>Način primjene</w:t>
      </w:r>
    </w:p>
    <w:p w14:paraId="08133317" w14:textId="77777777" w:rsidR="00452E9D" w:rsidRPr="000A3641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9BA4AA" w14:textId="77777777" w:rsidR="00EB7F2A" w:rsidRPr="000A3641" w:rsidRDefault="00EB7F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Vaginalne kapsule se stavljaju duboko u vaginu.</w:t>
      </w:r>
    </w:p>
    <w:p w14:paraId="6508E725" w14:textId="77777777" w:rsidR="00EB7F2A" w:rsidRPr="000A3641" w:rsidRDefault="00EB7F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lastRenderedPageBreak/>
        <w:t>Potrebnu dozu vaginalnog krema treba aplikovati graduisanim aplikatorom koji je priložen u pakovanju.</w:t>
      </w:r>
    </w:p>
    <w:p w14:paraId="21986B08" w14:textId="77777777" w:rsidR="00EB7F2A" w:rsidRPr="000A3641" w:rsidRDefault="00EB7F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Uputstvo za upotrebu graduisanog aplikatora:</w:t>
      </w:r>
    </w:p>
    <w:p w14:paraId="6F4EDDA8" w14:textId="77777777" w:rsidR="00D53974" w:rsidRPr="000A3641" w:rsidRDefault="00EB7F2A">
      <w:pPr>
        <w:pStyle w:val="ListParagraph"/>
        <w:numPr>
          <w:ilvl w:val="0"/>
          <w:numId w:val="13"/>
        </w:numPr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Zavrnuti graduisani aplikator na tubu sa kremom i istisnuti potrebnu količinu krema u aplikator prema uputstvu (prateći linije u cilindru za količinu krema).</w:t>
      </w:r>
    </w:p>
    <w:p w14:paraId="3F9A685F" w14:textId="39D6F38C" w:rsidR="00FD03AA" w:rsidRPr="000A3641" w:rsidRDefault="00EB7F2A">
      <w:pPr>
        <w:pStyle w:val="ListParagraph"/>
        <w:numPr>
          <w:ilvl w:val="0"/>
          <w:numId w:val="13"/>
        </w:numPr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Odvojiti aplikator od tube i aplikovati krem duboko u vaginu istiskivanjem klipa na aplikatoru.</w:t>
      </w:r>
      <w:r w:rsidR="00625848" w:rsidRPr="000A3641">
        <w:rPr>
          <w:bCs/>
          <w:sz w:val="22"/>
          <w:szCs w:val="22"/>
          <w:lang w:val="sr-Latn-ME"/>
        </w:rPr>
        <w:t xml:space="preserve"> </w:t>
      </w:r>
      <w:r w:rsidRPr="000A3641">
        <w:rPr>
          <w:bCs/>
          <w:sz w:val="22"/>
          <w:szCs w:val="22"/>
          <w:lang w:val="sr-Latn-ME"/>
        </w:rPr>
        <w:t>Ako je potrebno, radi lakše primjene vaginaln</w:t>
      </w:r>
      <w:r w:rsidR="00E80039" w:rsidRPr="000A3641">
        <w:rPr>
          <w:bCs/>
          <w:sz w:val="22"/>
          <w:szCs w:val="22"/>
          <w:lang w:val="sr-Latn-ME"/>
        </w:rPr>
        <w:t>og</w:t>
      </w:r>
      <w:r w:rsidRPr="000A3641">
        <w:rPr>
          <w:bCs/>
          <w:sz w:val="22"/>
          <w:szCs w:val="22"/>
          <w:lang w:val="sr-Latn-ME"/>
        </w:rPr>
        <w:t xml:space="preserve"> krem</w:t>
      </w:r>
      <w:r w:rsidR="00E80039" w:rsidRPr="000A3641">
        <w:rPr>
          <w:bCs/>
          <w:sz w:val="22"/>
          <w:szCs w:val="22"/>
          <w:lang w:val="sr-Latn-ME"/>
        </w:rPr>
        <w:t>a</w:t>
      </w:r>
      <w:r w:rsidRPr="000A3641">
        <w:rPr>
          <w:bCs/>
          <w:sz w:val="22"/>
          <w:szCs w:val="22"/>
          <w:lang w:val="sr-Latn-ME"/>
        </w:rPr>
        <w:t>, odvojiti cjevčicu od klipa aplikatora i pričvrstiti je na suprotni kraj aplikatora prije uvođenja u vaginu.</w:t>
      </w:r>
    </w:p>
    <w:p w14:paraId="21A2E58C" w14:textId="77777777" w:rsidR="00FD03AA" w:rsidRPr="000A3641" w:rsidRDefault="00FD03AA">
      <w:pPr>
        <w:pStyle w:val="ListParagraph"/>
        <w:jc w:val="both"/>
        <w:rPr>
          <w:bCs/>
          <w:sz w:val="22"/>
          <w:szCs w:val="22"/>
          <w:lang w:val="sr-Latn-ME"/>
        </w:rPr>
      </w:pPr>
    </w:p>
    <w:p w14:paraId="014CE7F5" w14:textId="77777777" w:rsidR="00EB7F2A" w:rsidRPr="000A3641" w:rsidRDefault="00EB7F2A">
      <w:pPr>
        <w:pStyle w:val="ListParagraph"/>
        <w:ind w:hanging="360"/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Nakon svake primjene lijeka, aplikator treba dobro oprati i tako pripremiti za sljedeću upotrebu.</w:t>
      </w:r>
    </w:p>
    <w:p w14:paraId="7E6B490A" w14:textId="77777777" w:rsidR="00EB7F2A" w:rsidRPr="000A3641" w:rsidRDefault="00EB7F2A" w:rsidP="000A36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DDF6D2" w14:textId="77777777" w:rsidR="00411B4B" w:rsidRPr="000A3641" w:rsidRDefault="00411B4B" w:rsidP="000A36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 xml:space="preserve">4.3.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Pr="000A3641">
        <w:rPr>
          <w:b/>
          <w:bCs/>
          <w:sz w:val="22"/>
          <w:szCs w:val="22"/>
          <w:lang w:val="sr-Latn-ME"/>
        </w:rPr>
        <w:t>Kontraindikacije</w:t>
      </w:r>
    </w:p>
    <w:p w14:paraId="0252DB24" w14:textId="77777777" w:rsidR="0072020E" w:rsidRPr="000A3641" w:rsidRDefault="00EB7F2A" w:rsidP="000A3641">
      <w:pPr>
        <w:tabs>
          <w:tab w:val="left" w:pos="1116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ab/>
      </w:r>
    </w:p>
    <w:p w14:paraId="3FADA981" w14:textId="77777777" w:rsidR="00EB7F2A" w:rsidRPr="000A3641" w:rsidRDefault="00EB7F2A" w:rsidP="000A3641">
      <w:pPr>
        <w:tabs>
          <w:tab w:val="left" w:pos="1116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 xml:space="preserve">Preosjetljivost na aktivne supstance ili na bilo koju od pomoćnih supstanci navedenih u </w:t>
      </w:r>
      <w:r w:rsidR="0058159B" w:rsidRPr="000A3641">
        <w:rPr>
          <w:bCs/>
          <w:sz w:val="22"/>
          <w:szCs w:val="22"/>
          <w:lang w:val="sr-Latn-ME"/>
        </w:rPr>
        <w:t>dijelu</w:t>
      </w:r>
      <w:r w:rsidRPr="000A3641">
        <w:rPr>
          <w:bCs/>
          <w:sz w:val="22"/>
          <w:szCs w:val="22"/>
          <w:lang w:val="sr-Latn-ME"/>
        </w:rPr>
        <w:t xml:space="preserve"> 6.1.</w:t>
      </w:r>
    </w:p>
    <w:p w14:paraId="044C80E7" w14:textId="77777777" w:rsidR="00EB7F2A" w:rsidRPr="000A3641" w:rsidRDefault="00EB7F2A" w:rsidP="000A3641">
      <w:pPr>
        <w:tabs>
          <w:tab w:val="left" w:pos="1116"/>
        </w:tabs>
        <w:jc w:val="both"/>
        <w:rPr>
          <w:bCs/>
          <w:sz w:val="22"/>
          <w:szCs w:val="22"/>
          <w:lang w:val="sr-Latn-ME"/>
        </w:rPr>
      </w:pPr>
    </w:p>
    <w:p w14:paraId="05F9C988" w14:textId="77777777" w:rsidR="00411B4B" w:rsidRPr="000A3641" w:rsidRDefault="00411B4B" w:rsidP="000A36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 xml:space="preserve">4.4.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Pr="000A3641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5AB50EF1" w14:textId="77777777" w:rsidR="0072020E" w:rsidRPr="000A3641" w:rsidRDefault="0072020E" w:rsidP="000A36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F0B17A7" w14:textId="77777777" w:rsidR="00EB7F2A" w:rsidRPr="000A3641" w:rsidRDefault="00EB7F2A" w:rsidP="003475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Dugotrajna upotreba lijeka može dovesti do iritacije na mjestu primjene.</w:t>
      </w:r>
    </w:p>
    <w:p w14:paraId="17975549" w14:textId="77777777" w:rsidR="00EB7F2A" w:rsidRPr="000A3641" w:rsidRDefault="00EB7F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U slučaju pojave reakcije preosjetljivosti na lijek</w:t>
      </w:r>
      <w:r w:rsidR="008549A7" w:rsidRPr="000A3641">
        <w:rPr>
          <w:bCs/>
          <w:sz w:val="22"/>
          <w:szCs w:val="22"/>
          <w:lang w:val="sr-Latn-ME"/>
        </w:rPr>
        <w:t>,</w:t>
      </w:r>
      <w:r w:rsidRPr="000A3641">
        <w:rPr>
          <w:bCs/>
          <w:sz w:val="22"/>
          <w:szCs w:val="22"/>
          <w:lang w:val="sr-Latn-ME"/>
        </w:rPr>
        <w:t xml:space="preserve"> prekinuti terapiju. Neophodno je izbjegavati seksualne odnose za vrijeme trajanja terapije.</w:t>
      </w:r>
    </w:p>
    <w:p w14:paraId="23AF8F7D" w14:textId="77777777" w:rsidR="00EB7F2A" w:rsidRPr="000A3641" w:rsidRDefault="0072570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Ovaj lijek sadrži natrijum</w:t>
      </w:r>
      <w:r w:rsidR="00A15AAD" w:rsidRPr="000A3641">
        <w:rPr>
          <w:bCs/>
          <w:sz w:val="22"/>
          <w:szCs w:val="22"/>
          <w:lang w:val="sr-Latn-ME"/>
        </w:rPr>
        <w:t xml:space="preserve"> </w:t>
      </w:r>
      <w:r w:rsidR="00EB7F2A" w:rsidRPr="000A3641">
        <w:rPr>
          <w:bCs/>
          <w:sz w:val="22"/>
          <w:szCs w:val="22"/>
          <w:lang w:val="sr-Latn-ME"/>
        </w:rPr>
        <w:t>eti</w:t>
      </w:r>
      <w:r w:rsidRPr="000A3641">
        <w:rPr>
          <w:bCs/>
          <w:sz w:val="22"/>
          <w:szCs w:val="22"/>
          <w:lang w:val="sr-Latn-ME"/>
        </w:rPr>
        <w:t>l</w:t>
      </w:r>
      <w:r w:rsidR="00E80039" w:rsidRPr="000A3641">
        <w:rPr>
          <w:bCs/>
          <w:sz w:val="22"/>
          <w:szCs w:val="22"/>
          <w:lang w:val="sr-Latn-ME"/>
        </w:rPr>
        <w:t xml:space="preserve"> </w:t>
      </w:r>
      <w:r w:rsidRPr="000A3641">
        <w:rPr>
          <w:bCs/>
          <w:sz w:val="22"/>
          <w:szCs w:val="22"/>
          <w:lang w:val="sr-Latn-ME"/>
        </w:rPr>
        <w:t>parahidroksibenzoat i natrijum</w:t>
      </w:r>
      <w:r w:rsidR="00A15AAD" w:rsidRPr="000A3641">
        <w:rPr>
          <w:bCs/>
          <w:sz w:val="22"/>
          <w:szCs w:val="22"/>
          <w:lang w:val="sr-Latn-ME"/>
        </w:rPr>
        <w:t xml:space="preserve"> </w:t>
      </w:r>
      <w:r w:rsidR="00EB7F2A" w:rsidRPr="000A3641">
        <w:rPr>
          <w:bCs/>
          <w:sz w:val="22"/>
          <w:szCs w:val="22"/>
          <w:lang w:val="sr-Latn-ME"/>
        </w:rPr>
        <w:t>propil</w:t>
      </w:r>
      <w:r w:rsidR="00E80039" w:rsidRPr="000A3641">
        <w:rPr>
          <w:bCs/>
          <w:sz w:val="22"/>
          <w:szCs w:val="22"/>
          <w:lang w:val="sr-Latn-ME"/>
        </w:rPr>
        <w:t xml:space="preserve"> </w:t>
      </w:r>
      <w:r w:rsidR="00EB7F2A" w:rsidRPr="000A3641">
        <w:rPr>
          <w:bCs/>
          <w:sz w:val="22"/>
          <w:szCs w:val="22"/>
          <w:lang w:val="sr-Latn-ME"/>
        </w:rPr>
        <w:t>parahidroksibenzoat koji mogu izazvati alergijske reakcije, čak i odložene.</w:t>
      </w:r>
    </w:p>
    <w:p w14:paraId="21206A35" w14:textId="77777777" w:rsidR="00057E35" w:rsidRPr="000A3641" w:rsidRDefault="00057E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9724C7" w14:textId="77777777" w:rsidR="00411B4B" w:rsidRPr="000A3641" w:rsidRDefault="00411B4B" w:rsidP="000A36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>4.5.</w:t>
      </w:r>
      <w:r w:rsidR="000D60CC" w:rsidRPr="000A3641">
        <w:rPr>
          <w:b/>
          <w:bCs/>
          <w:sz w:val="22"/>
          <w:szCs w:val="22"/>
          <w:lang w:val="sr-Latn-ME"/>
        </w:rPr>
        <w:tab/>
      </w:r>
      <w:r w:rsidRPr="000A3641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086AE8F9" w14:textId="77777777" w:rsidR="0072020E" w:rsidRPr="000A3641" w:rsidRDefault="0072020E" w:rsidP="000A36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78438B" w14:textId="63ABE3D7" w:rsidR="00EB7F2A" w:rsidRPr="000A3641" w:rsidRDefault="00EB7F2A" w:rsidP="000A36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Nisu poznate.</w:t>
      </w:r>
    </w:p>
    <w:p w14:paraId="08C3EFFC" w14:textId="77777777" w:rsidR="00EB7F2A" w:rsidRPr="000A3641" w:rsidRDefault="00EB7F2A" w:rsidP="000A36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DA4AC5" w14:textId="77777777" w:rsidR="0072020E" w:rsidRPr="000A3641" w:rsidRDefault="0072020E" w:rsidP="000A3641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 xml:space="preserve">4.6.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="006D20A5" w:rsidRPr="000A3641">
        <w:rPr>
          <w:b/>
          <w:sz w:val="22"/>
          <w:szCs w:val="22"/>
          <w:lang w:val="sr-Latn-ME"/>
        </w:rPr>
        <w:t>Plodnost, trudnoća i dojenje</w:t>
      </w:r>
    </w:p>
    <w:p w14:paraId="5473588F" w14:textId="77777777" w:rsidR="002031B3" w:rsidRPr="000A3641" w:rsidRDefault="002031B3" w:rsidP="000A364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8193C7D" w14:textId="77777777" w:rsidR="002031B3" w:rsidRPr="000A3641" w:rsidRDefault="002031B3" w:rsidP="0034758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0A3641">
        <w:rPr>
          <w:sz w:val="22"/>
          <w:szCs w:val="22"/>
          <w:u w:val="single"/>
          <w:lang w:val="sr-Latn-ME"/>
        </w:rPr>
        <w:t>Plodnost</w:t>
      </w:r>
    </w:p>
    <w:p w14:paraId="4B5B9149" w14:textId="3142C4DF" w:rsidR="00EB7F2A" w:rsidRPr="000A3641" w:rsidRDefault="00725706" w:rsidP="00A15AA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A3641">
        <w:rPr>
          <w:sz w:val="22"/>
          <w:szCs w:val="22"/>
          <w:lang w:val="sr-Latn-ME"/>
        </w:rPr>
        <w:t>Ni</w:t>
      </w:r>
      <w:r w:rsidR="00EB7F2A" w:rsidRPr="000A3641">
        <w:rPr>
          <w:sz w:val="22"/>
          <w:szCs w:val="22"/>
          <w:lang w:val="sr-Latn-ME"/>
        </w:rPr>
        <w:t xml:space="preserve">su </w:t>
      </w:r>
      <w:r w:rsidRPr="000A3641">
        <w:rPr>
          <w:sz w:val="22"/>
          <w:szCs w:val="22"/>
          <w:lang w:val="sr-Latn-ME"/>
        </w:rPr>
        <w:t>sprovedena ispitivanja o uticaju</w:t>
      </w:r>
      <w:r w:rsidR="00EB7F2A" w:rsidRPr="000A3641">
        <w:rPr>
          <w:sz w:val="22"/>
          <w:szCs w:val="22"/>
          <w:lang w:val="sr-Latn-ME"/>
        </w:rPr>
        <w:t xml:space="preserve"> ovog lijeka na plodnost kod ljudi.</w:t>
      </w:r>
    </w:p>
    <w:p w14:paraId="12E181A0" w14:textId="77777777" w:rsidR="00EB7F2A" w:rsidRPr="000A3641" w:rsidRDefault="00EB7F2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036A460" w14:textId="77777777" w:rsidR="00EB7F2A" w:rsidRPr="000A3641" w:rsidRDefault="00EB7F2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0A3641">
        <w:rPr>
          <w:sz w:val="22"/>
          <w:szCs w:val="22"/>
          <w:u w:val="single"/>
          <w:lang w:val="sr-Latn-ME"/>
        </w:rPr>
        <w:t>Trudnoća</w:t>
      </w:r>
    </w:p>
    <w:p w14:paraId="7B4CDB20" w14:textId="6F4F36C4" w:rsidR="00EB7F2A" w:rsidRPr="000A3641" w:rsidRDefault="00EB7F2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A3641">
        <w:rPr>
          <w:sz w:val="22"/>
          <w:szCs w:val="22"/>
          <w:lang w:val="sr-Latn-ME"/>
        </w:rPr>
        <w:t>Nema podataka ili su podaci o primjeni kombinacije nifuratela i nistatina kod trudnica ograničeni. Studije na životinjama ne ukazuju na štetna dejstva nifuratela u pogledu reproduktivne toksičnosti, a nistatin takođe ne preds</w:t>
      </w:r>
      <w:r w:rsidR="00725706" w:rsidRPr="000A3641">
        <w:rPr>
          <w:sz w:val="22"/>
          <w:szCs w:val="22"/>
          <w:lang w:val="sr-Latn-ME"/>
        </w:rPr>
        <w:t>t</w:t>
      </w:r>
      <w:r w:rsidRPr="000A3641">
        <w:rPr>
          <w:sz w:val="22"/>
          <w:szCs w:val="22"/>
          <w:lang w:val="sr-Latn-ME"/>
        </w:rPr>
        <w:t>avlja rizik (</w:t>
      </w:r>
      <w:r w:rsidR="00A15AAD" w:rsidRPr="000A3641">
        <w:rPr>
          <w:sz w:val="22"/>
          <w:szCs w:val="22"/>
          <w:lang w:val="sr-Latn-ME"/>
        </w:rPr>
        <w:t xml:space="preserve">vidjeti </w:t>
      </w:r>
      <w:r w:rsidR="00725706" w:rsidRPr="000A3641">
        <w:rPr>
          <w:sz w:val="22"/>
          <w:szCs w:val="22"/>
          <w:lang w:val="sr-Latn-ME"/>
        </w:rPr>
        <w:t>dio</w:t>
      </w:r>
      <w:r w:rsidRPr="000A3641">
        <w:rPr>
          <w:sz w:val="22"/>
          <w:szCs w:val="22"/>
          <w:lang w:val="sr-Latn-ME"/>
        </w:rPr>
        <w:t xml:space="preserve"> 5.3). U svakom slučaju, tokom trudnoće, lijek Macmiror Complex treba primjenjivati samo uz nadzor ljekara nakon pažljive procjene koristi u odnosu na eventualni rizik.</w:t>
      </w:r>
    </w:p>
    <w:p w14:paraId="4E7F5C53" w14:textId="77777777" w:rsidR="00EB7F2A" w:rsidRPr="000A3641" w:rsidRDefault="00EB7F2A" w:rsidP="000A364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705C62E" w14:textId="77777777" w:rsidR="00EB7F2A" w:rsidRPr="000A3641" w:rsidRDefault="00EB7F2A" w:rsidP="000A364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0A3641">
        <w:rPr>
          <w:sz w:val="22"/>
          <w:szCs w:val="22"/>
          <w:u w:val="single"/>
          <w:lang w:val="sr-Latn-ME"/>
        </w:rPr>
        <w:t xml:space="preserve">Dojenje </w:t>
      </w:r>
    </w:p>
    <w:p w14:paraId="03908704" w14:textId="77777777" w:rsidR="00725706" w:rsidRPr="000A3641" w:rsidRDefault="00EB7F2A" w:rsidP="0034758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A3641">
        <w:rPr>
          <w:sz w:val="22"/>
          <w:szCs w:val="22"/>
          <w:lang w:val="sr-Latn-ME"/>
        </w:rPr>
        <w:t>Kod lokalne primjene nifuratela ili nistatina nema značajne resorpcije. Ne očekuje se uticaj na</w:t>
      </w:r>
      <w:r w:rsidR="006E5257" w:rsidRPr="000A3641">
        <w:rPr>
          <w:sz w:val="22"/>
          <w:szCs w:val="22"/>
          <w:lang w:val="sr-Latn-ME"/>
        </w:rPr>
        <w:t xml:space="preserve"> </w:t>
      </w:r>
      <w:r w:rsidRPr="000A3641">
        <w:rPr>
          <w:sz w:val="22"/>
          <w:szCs w:val="22"/>
          <w:lang w:val="sr-Latn-ME"/>
        </w:rPr>
        <w:t>novorođenče/odojče tokom dojenja jer je sistemska izloženost nifuratela/nistatina kod žena koje doje</w:t>
      </w:r>
      <w:r w:rsidR="002A325C" w:rsidRPr="000A3641">
        <w:rPr>
          <w:sz w:val="22"/>
          <w:szCs w:val="22"/>
          <w:lang w:val="sr-Latn-ME"/>
        </w:rPr>
        <w:t xml:space="preserve"> </w:t>
      </w:r>
      <w:r w:rsidRPr="000A3641">
        <w:rPr>
          <w:sz w:val="22"/>
          <w:szCs w:val="22"/>
          <w:lang w:val="sr-Latn-ME"/>
        </w:rPr>
        <w:t xml:space="preserve">zanemarljiva. </w:t>
      </w:r>
    </w:p>
    <w:p w14:paraId="5A984FAF" w14:textId="77777777" w:rsidR="00EB7F2A" w:rsidRPr="000A3641" w:rsidRDefault="00EB7F2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A3641">
        <w:rPr>
          <w:sz w:val="22"/>
          <w:szCs w:val="22"/>
          <w:lang w:val="sr-Latn-ME"/>
        </w:rPr>
        <w:t>Nije poznato da li se metaboliti nifuratela ili nistatina izlučuju u majčino mlijeko. Zato, tokom dojenja, lijek treba primjenjivati samo kada je neophodno, nakon pažljive procjene koristi od dojenja za dijete i koristi terapije za majku.</w:t>
      </w:r>
    </w:p>
    <w:p w14:paraId="2035E55C" w14:textId="77777777" w:rsidR="00EB7F2A" w:rsidRPr="000A3641" w:rsidRDefault="00EB7F2A" w:rsidP="000A364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EACCCC4" w14:textId="77777777" w:rsidR="0072020E" w:rsidRPr="000A3641" w:rsidRDefault="0072020E" w:rsidP="000A3641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 xml:space="preserve">4.7.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Pr="000A3641">
        <w:rPr>
          <w:b/>
          <w:bCs/>
          <w:sz w:val="22"/>
          <w:szCs w:val="22"/>
          <w:lang w:val="sr-Latn-ME"/>
        </w:rPr>
        <w:t xml:space="preserve">Uticaj na </w:t>
      </w:r>
      <w:r w:rsidR="002031B3" w:rsidRPr="000A3641">
        <w:rPr>
          <w:b/>
          <w:bCs/>
          <w:sz w:val="22"/>
          <w:szCs w:val="22"/>
          <w:lang w:val="sr-Latn-ME"/>
        </w:rPr>
        <w:t xml:space="preserve">sposobnost </w:t>
      </w:r>
      <w:r w:rsidR="00F34554" w:rsidRPr="000A3641">
        <w:rPr>
          <w:b/>
          <w:bCs/>
          <w:sz w:val="22"/>
          <w:szCs w:val="22"/>
          <w:lang w:val="sr-Latn-ME"/>
        </w:rPr>
        <w:t>upravljanja vozili</w:t>
      </w:r>
      <w:r w:rsidRPr="000A3641">
        <w:rPr>
          <w:b/>
          <w:bCs/>
          <w:sz w:val="22"/>
          <w:szCs w:val="22"/>
          <w:lang w:val="sr-Latn-ME"/>
        </w:rPr>
        <w:t>m</w:t>
      </w:r>
      <w:r w:rsidR="00F34554" w:rsidRPr="000A3641">
        <w:rPr>
          <w:b/>
          <w:bCs/>
          <w:sz w:val="22"/>
          <w:szCs w:val="22"/>
          <w:lang w:val="sr-Latn-ME"/>
        </w:rPr>
        <w:t>a</w:t>
      </w:r>
      <w:r w:rsidRPr="000A3641">
        <w:rPr>
          <w:b/>
          <w:bCs/>
          <w:sz w:val="22"/>
          <w:szCs w:val="22"/>
          <w:lang w:val="sr-Latn-ME"/>
        </w:rPr>
        <w:t xml:space="preserve"> i </w:t>
      </w:r>
      <w:r w:rsidR="000D3449" w:rsidRPr="000A3641">
        <w:rPr>
          <w:b/>
          <w:bCs/>
          <w:sz w:val="22"/>
          <w:szCs w:val="22"/>
          <w:lang w:val="sr-Latn-ME"/>
        </w:rPr>
        <w:t xml:space="preserve">rukovanje </w:t>
      </w:r>
      <w:r w:rsidRPr="000A3641">
        <w:rPr>
          <w:b/>
          <w:bCs/>
          <w:sz w:val="22"/>
          <w:szCs w:val="22"/>
          <w:lang w:val="sr-Latn-ME"/>
        </w:rPr>
        <w:t>mašinama</w:t>
      </w:r>
    </w:p>
    <w:p w14:paraId="56386CF1" w14:textId="77777777" w:rsidR="0072020E" w:rsidRPr="000A3641" w:rsidRDefault="0072020E" w:rsidP="000A36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DB84F6A" w14:textId="77777777" w:rsidR="00EB7F2A" w:rsidRPr="000A3641" w:rsidRDefault="00EB7F2A" w:rsidP="003475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Ovaj lijek nema uticaja na sposobnost upravljanja vozilima i rukovanja mašinama.</w:t>
      </w:r>
    </w:p>
    <w:p w14:paraId="32CB64A2" w14:textId="77777777" w:rsidR="00EB7F2A" w:rsidRPr="000A3641" w:rsidRDefault="00EB7F2A" w:rsidP="000A36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FE06D7F" w14:textId="77777777" w:rsidR="0072020E" w:rsidRPr="000A3641" w:rsidRDefault="0072020E" w:rsidP="000A36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 xml:space="preserve">4.8.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Pr="000A3641">
        <w:rPr>
          <w:b/>
          <w:bCs/>
          <w:sz w:val="22"/>
          <w:szCs w:val="22"/>
          <w:lang w:val="sr-Latn-ME"/>
        </w:rPr>
        <w:t>Neželjena dejstva</w:t>
      </w:r>
    </w:p>
    <w:p w14:paraId="1FD58864" w14:textId="77777777" w:rsidR="004E70AD" w:rsidRPr="000A3641" w:rsidRDefault="004E70AD" w:rsidP="000A36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DE2357" w14:textId="77777777" w:rsidR="00EB7F2A" w:rsidRPr="000A3641" w:rsidRDefault="00EB7F2A" w:rsidP="003475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Neželjena dejstva se prikazuju prema klasi sistema organa i učestalosti javljanja: veoma često (≥1/10); često (≥ 1/100 do &lt; 1/10); povremeno (≥ 1/1000 do &lt;1/100); rijetko (≥ 1/10000 do &lt;1/1000); veoma rijetko (&lt;1/10000); nepoznato (ne može se proc</w:t>
      </w:r>
      <w:r w:rsidR="00D00358" w:rsidRPr="000A3641">
        <w:rPr>
          <w:bCs/>
          <w:sz w:val="22"/>
          <w:szCs w:val="22"/>
          <w:lang w:val="sr-Latn-ME"/>
        </w:rPr>
        <w:t>i</w:t>
      </w:r>
      <w:r w:rsidRPr="000A3641">
        <w:rPr>
          <w:bCs/>
          <w:sz w:val="22"/>
          <w:szCs w:val="22"/>
          <w:lang w:val="sr-Latn-ME"/>
        </w:rPr>
        <w:t>jeniti na osnovu dostupnih podataka).</w:t>
      </w:r>
    </w:p>
    <w:p w14:paraId="2DFEB798" w14:textId="77777777" w:rsidR="00EB7F2A" w:rsidRPr="000A3641" w:rsidRDefault="00EB7F2A" w:rsidP="00EB7F2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EB7F2A" w:rsidRPr="00731C0B" w14:paraId="66FB8661" w14:textId="77777777" w:rsidTr="00FE10B7">
        <w:tc>
          <w:tcPr>
            <w:tcW w:w="3021" w:type="dxa"/>
          </w:tcPr>
          <w:p w14:paraId="1FD606C8" w14:textId="77777777" w:rsidR="00EB7F2A" w:rsidRPr="000A3641" w:rsidRDefault="00EB7F2A" w:rsidP="00FE10B7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0A3641">
              <w:rPr>
                <w:b/>
                <w:bCs/>
                <w:sz w:val="22"/>
                <w:szCs w:val="22"/>
                <w:lang w:val="sr-Latn-ME"/>
              </w:rPr>
              <w:t>Klasa sistema organa</w:t>
            </w:r>
          </w:p>
        </w:tc>
        <w:tc>
          <w:tcPr>
            <w:tcW w:w="3021" w:type="dxa"/>
          </w:tcPr>
          <w:p w14:paraId="70CEE1D9" w14:textId="77777777" w:rsidR="00EB7F2A" w:rsidRPr="000A3641" w:rsidRDefault="00EB7F2A" w:rsidP="00FE10B7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0A3641">
              <w:rPr>
                <w:b/>
                <w:bCs/>
                <w:sz w:val="22"/>
                <w:szCs w:val="22"/>
                <w:lang w:val="sr-Latn-ME"/>
              </w:rPr>
              <w:t>Učestalost</w:t>
            </w:r>
          </w:p>
        </w:tc>
        <w:tc>
          <w:tcPr>
            <w:tcW w:w="3021" w:type="dxa"/>
          </w:tcPr>
          <w:p w14:paraId="4BBB2EB4" w14:textId="77777777" w:rsidR="00EB7F2A" w:rsidRPr="000A3641" w:rsidRDefault="00EB7F2A" w:rsidP="00FE10B7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0A3641">
              <w:rPr>
                <w:b/>
                <w:bCs/>
                <w:sz w:val="22"/>
                <w:szCs w:val="22"/>
                <w:lang w:val="sr-Latn-ME"/>
              </w:rPr>
              <w:t>Neželjena dejstva</w:t>
            </w:r>
          </w:p>
        </w:tc>
      </w:tr>
      <w:tr w:rsidR="00EB7F2A" w:rsidRPr="00731C0B" w14:paraId="38E61CD8" w14:textId="77777777" w:rsidTr="00FE10B7">
        <w:tc>
          <w:tcPr>
            <w:tcW w:w="3021" w:type="dxa"/>
          </w:tcPr>
          <w:p w14:paraId="5A5F3305" w14:textId="77777777" w:rsidR="00EB7F2A" w:rsidRPr="000A3641" w:rsidRDefault="00EB7F2A" w:rsidP="00FE10B7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A3641">
              <w:rPr>
                <w:bCs/>
                <w:sz w:val="22"/>
                <w:szCs w:val="22"/>
                <w:lang w:val="sr-Latn-ME"/>
              </w:rPr>
              <w:lastRenderedPageBreak/>
              <w:t>Poremećaji kože i potkožnog tkiva</w:t>
            </w:r>
          </w:p>
        </w:tc>
        <w:tc>
          <w:tcPr>
            <w:tcW w:w="3021" w:type="dxa"/>
          </w:tcPr>
          <w:p w14:paraId="1135235B" w14:textId="77777777" w:rsidR="00EB7F2A" w:rsidRPr="000A3641" w:rsidRDefault="00EB7F2A" w:rsidP="00FE10B7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A3641">
              <w:rPr>
                <w:bCs/>
                <w:sz w:val="22"/>
                <w:szCs w:val="22"/>
                <w:lang w:val="sr-Latn-ME"/>
              </w:rPr>
              <w:t xml:space="preserve">Veoma rijetko </w:t>
            </w:r>
          </w:p>
        </w:tc>
        <w:tc>
          <w:tcPr>
            <w:tcW w:w="3021" w:type="dxa"/>
          </w:tcPr>
          <w:p w14:paraId="3E9A1A0C" w14:textId="77777777" w:rsidR="00EB7F2A" w:rsidRPr="000A3641" w:rsidRDefault="00EB7F2A" w:rsidP="00FE10B7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A3641">
              <w:rPr>
                <w:bCs/>
                <w:sz w:val="22"/>
                <w:szCs w:val="22"/>
                <w:lang w:val="sr-Latn-ME"/>
              </w:rPr>
              <w:t>Al</w:t>
            </w:r>
            <w:r w:rsidR="00D00358" w:rsidRPr="000A3641">
              <w:rPr>
                <w:bCs/>
                <w:sz w:val="22"/>
                <w:szCs w:val="22"/>
                <w:lang w:val="sr-Latn-ME"/>
              </w:rPr>
              <w:t>ergijske reakcije (dermatitis, u</w:t>
            </w:r>
            <w:r w:rsidRPr="000A3641">
              <w:rPr>
                <w:bCs/>
                <w:sz w:val="22"/>
                <w:szCs w:val="22"/>
                <w:lang w:val="sr-Latn-ME"/>
              </w:rPr>
              <w:t xml:space="preserve">rtikarija). </w:t>
            </w:r>
          </w:p>
        </w:tc>
      </w:tr>
      <w:tr w:rsidR="00EB7F2A" w:rsidRPr="00731C0B" w14:paraId="2AC19E16" w14:textId="77777777" w:rsidTr="00FE10B7">
        <w:tc>
          <w:tcPr>
            <w:tcW w:w="3021" w:type="dxa"/>
          </w:tcPr>
          <w:p w14:paraId="6EED662E" w14:textId="77777777" w:rsidR="00EB7F2A" w:rsidRPr="000A3641" w:rsidRDefault="00EB7F2A" w:rsidP="00FE10B7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A3641">
              <w:rPr>
                <w:bCs/>
                <w:sz w:val="22"/>
                <w:szCs w:val="22"/>
                <w:lang w:val="sr-Latn-ME"/>
              </w:rPr>
              <w:t>Opšti poremećaji i reakcije na mjestu primjene</w:t>
            </w:r>
          </w:p>
        </w:tc>
        <w:tc>
          <w:tcPr>
            <w:tcW w:w="3021" w:type="dxa"/>
          </w:tcPr>
          <w:p w14:paraId="2475D924" w14:textId="77777777" w:rsidR="00EB7F2A" w:rsidRPr="000A3641" w:rsidRDefault="00EB7F2A" w:rsidP="00FE10B7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A3641">
              <w:rPr>
                <w:bCs/>
                <w:sz w:val="22"/>
                <w:szCs w:val="22"/>
                <w:lang w:val="sr-Latn-ME"/>
              </w:rPr>
              <w:t xml:space="preserve">Veoma rijetko </w:t>
            </w:r>
          </w:p>
        </w:tc>
        <w:tc>
          <w:tcPr>
            <w:tcW w:w="3021" w:type="dxa"/>
          </w:tcPr>
          <w:p w14:paraId="5817F93E" w14:textId="77777777" w:rsidR="00EB7F2A" w:rsidRPr="000A3641" w:rsidRDefault="00D00358" w:rsidP="00FE10B7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0A3641">
              <w:rPr>
                <w:bCs/>
                <w:sz w:val="22"/>
                <w:szCs w:val="22"/>
                <w:lang w:val="sr-Latn-ME"/>
              </w:rPr>
              <w:t>Svrab ili osjećaj peckanja u v</w:t>
            </w:r>
            <w:r w:rsidR="00EB7F2A" w:rsidRPr="000A3641">
              <w:rPr>
                <w:bCs/>
                <w:sz w:val="22"/>
                <w:szCs w:val="22"/>
                <w:lang w:val="sr-Latn-ME"/>
              </w:rPr>
              <w:t>aginalnom predjelu</w:t>
            </w:r>
          </w:p>
        </w:tc>
      </w:tr>
    </w:tbl>
    <w:p w14:paraId="60DA6E4F" w14:textId="77777777" w:rsidR="00EB7F2A" w:rsidRPr="000A3641" w:rsidRDefault="00EB7F2A" w:rsidP="00EB7F2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6C6AF02" w14:textId="77777777" w:rsidR="00EB7F2A" w:rsidRPr="000A3641" w:rsidRDefault="00EB7F2A" w:rsidP="00EB7F2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F349F30" w14:textId="0E72A8B3" w:rsidR="00EB7F2A" w:rsidRPr="000A3641" w:rsidRDefault="00EB7F2A" w:rsidP="000A3641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0A3641">
        <w:rPr>
          <w:bCs/>
          <w:sz w:val="22"/>
          <w:szCs w:val="22"/>
          <w:lang w:val="sr-Latn-ME"/>
        </w:rPr>
        <w:t>Druga neželjena dejstva nisu poznata.</w:t>
      </w:r>
    </w:p>
    <w:p w14:paraId="20CBEEDF" w14:textId="77777777" w:rsidR="005A23D2" w:rsidRPr="000A3641" w:rsidRDefault="005A23D2" w:rsidP="000A3641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0A3641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4A97B35C" w14:textId="77777777" w:rsidR="005A23D2" w:rsidRPr="000A3641" w:rsidRDefault="005A23D2" w:rsidP="00347583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0A3641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0A3641">
        <w:rPr>
          <w:rFonts w:eastAsia="Calibri"/>
          <w:sz w:val="22"/>
          <w:szCs w:val="22"/>
          <w:lang w:val="sr-Latn-ME"/>
        </w:rPr>
        <w:t>inuirano praćenje odnosa korist</w:t>
      </w:r>
      <w:r w:rsidRPr="000A3641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0A3641">
        <w:rPr>
          <w:rFonts w:eastAsia="Calibri"/>
          <w:sz w:val="22"/>
          <w:szCs w:val="22"/>
          <w:lang w:val="sr-Latn-ME"/>
        </w:rPr>
        <w:t xml:space="preserve"> </w:t>
      </w:r>
      <w:r w:rsidRPr="000A3641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0A3641">
        <w:rPr>
          <w:rFonts w:eastAsia="Calibri"/>
          <w:sz w:val="22"/>
          <w:szCs w:val="22"/>
          <w:lang w:val="sr-Latn-ME"/>
        </w:rPr>
        <w:t>Institutu</w:t>
      </w:r>
      <w:r w:rsidRPr="000A3641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0A3641">
        <w:rPr>
          <w:rFonts w:eastAsia="Calibri"/>
          <w:sz w:val="22"/>
          <w:szCs w:val="22"/>
          <w:lang w:val="sr-Latn-ME"/>
        </w:rPr>
        <w:t xml:space="preserve"> </w:t>
      </w:r>
      <w:r w:rsidRPr="000A3641">
        <w:rPr>
          <w:rFonts w:eastAsia="Calibri"/>
          <w:sz w:val="22"/>
          <w:szCs w:val="22"/>
          <w:lang w:val="sr-Latn-ME"/>
        </w:rPr>
        <w:t>(</w:t>
      </w:r>
      <w:r w:rsidR="004E70AD" w:rsidRPr="000A3641">
        <w:rPr>
          <w:rFonts w:eastAsia="Calibri"/>
          <w:sz w:val="22"/>
          <w:szCs w:val="22"/>
          <w:lang w:val="sr-Latn-ME"/>
        </w:rPr>
        <w:t>CInMED</w:t>
      </w:r>
      <w:r w:rsidRPr="000A3641">
        <w:rPr>
          <w:rFonts w:eastAsia="Calibri"/>
          <w:sz w:val="22"/>
          <w:szCs w:val="22"/>
          <w:lang w:val="sr-Latn-ME"/>
        </w:rPr>
        <w:t>):</w:t>
      </w:r>
    </w:p>
    <w:p w14:paraId="38C89BCD" w14:textId="77777777" w:rsidR="005A23D2" w:rsidRPr="000A3641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A3641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0A3641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030DD6FA" w14:textId="77777777" w:rsidR="005A23D2" w:rsidRPr="000A3641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A3641">
        <w:rPr>
          <w:rFonts w:eastAsia="Calibri"/>
          <w:sz w:val="22"/>
          <w:szCs w:val="22"/>
          <w:lang w:val="sr-Latn-ME"/>
        </w:rPr>
        <w:t>Odjeljenje za farmakovigilancu</w:t>
      </w:r>
    </w:p>
    <w:p w14:paraId="44FCDD95" w14:textId="77777777" w:rsidR="00EA5765" w:rsidRPr="000A3641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A3641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33CD6FC7" w14:textId="77777777" w:rsidR="00EA5765" w:rsidRPr="000A3641" w:rsidRDefault="00EA5765" w:rsidP="000A364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B45FD2E" w14:textId="77777777" w:rsidR="005A23D2" w:rsidRPr="000A3641" w:rsidRDefault="005A23D2" w:rsidP="0034758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A3641">
        <w:rPr>
          <w:rFonts w:eastAsia="Calibri"/>
          <w:sz w:val="22"/>
          <w:szCs w:val="22"/>
          <w:lang w:val="sr-Latn-ME"/>
        </w:rPr>
        <w:t>tel: +382 (0) 20 310 280</w:t>
      </w:r>
    </w:p>
    <w:p w14:paraId="770ED062" w14:textId="77777777" w:rsidR="00EA5765" w:rsidRPr="000A3641" w:rsidRDefault="005A23D2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0A3641">
        <w:rPr>
          <w:rFonts w:eastAsia="Calibri"/>
          <w:sz w:val="22"/>
          <w:szCs w:val="22"/>
          <w:lang w:val="sr-Latn-ME"/>
        </w:rPr>
        <w:t>fax:</w:t>
      </w:r>
      <w:r w:rsidR="00EA5765" w:rsidRPr="000A3641">
        <w:rPr>
          <w:rFonts w:eastAsia="Calibri"/>
          <w:sz w:val="22"/>
          <w:szCs w:val="22"/>
          <w:lang w:val="sr-Latn-ME"/>
        </w:rPr>
        <w:t xml:space="preserve"> </w:t>
      </w:r>
      <w:r w:rsidRPr="000A3641">
        <w:rPr>
          <w:rFonts w:eastAsia="Calibri"/>
          <w:sz w:val="22"/>
          <w:szCs w:val="22"/>
          <w:lang w:val="sr-Latn-ME"/>
        </w:rPr>
        <w:t>+382 (0) 20 310 581</w:t>
      </w:r>
      <w:r w:rsidR="00FF3EDF" w:rsidRPr="000A3641">
        <w:rPr>
          <w:rFonts w:eastAsia="Calibri"/>
          <w:sz w:val="22"/>
          <w:szCs w:val="22"/>
          <w:lang w:val="sr-Latn-ME"/>
        </w:rPr>
        <w:tab/>
      </w:r>
    </w:p>
    <w:p w14:paraId="0E5D376A" w14:textId="77777777" w:rsidR="005A23D2" w:rsidRPr="000A3641" w:rsidRDefault="00E22D8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0A3641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923A212" w14:textId="77777777" w:rsidR="00EA5765" w:rsidRPr="000A3641" w:rsidRDefault="00E22D88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0A3641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70D47BB" w14:textId="77777777" w:rsidR="005A23D2" w:rsidRPr="000A3641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A3641">
        <w:rPr>
          <w:rFonts w:eastAsia="Calibri"/>
          <w:sz w:val="22"/>
          <w:szCs w:val="22"/>
          <w:lang w:val="sr-Latn-ME"/>
        </w:rPr>
        <w:t>putem IS zdravstvene zaštite</w:t>
      </w:r>
    </w:p>
    <w:p w14:paraId="3385BDCE" w14:textId="77777777" w:rsidR="007E31E9" w:rsidRPr="000A3641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A3641">
        <w:rPr>
          <w:rFonts w:eastAsia="Calibri"/>
          <w:sz w:val="22"/>
          <w:szCs w:val="22"/>
          <w:lang w:val="sr-Latn-ME"/>
        </w:rPr>
        <w:t>QR kod za online prijavu</w:t>
      </w:r>
      <w:r w:rsidR="00D74CD2" w:rsidRPr="000A3641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0A3641">
        <w:rPr>
          <w:rFonts w:eastAsia="Calibri"/>
          <w:sz w:val="22"/>
          <w:szCs w:val="22"/>
          <w:lang w:val="sr-Latn-ME"/>
        </w:rPr>
        <w:t>:</w:t>
      </w:r>
    </w:p>
    <w:p w14:paraId="2CCF5EC1" w14:textId="77777777" w:rsidR="007E31E9" w:rsidRPr="000A3641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A72E091" w14:textId="77777777" w:rsidR="004F17E2" w:rsidRPr="000A3641" w:rsidRDefault="007E31E9" w:rsidP="007E31E9">
      <w:pPr>
        <w:pStyle w:val="NoSpacing"/>
        <w:rPr>
          <w:rFonts w:eastAsia="Calibri"/>
          <w:sz w:val="22"/>
          <w:szCs w:val="22"/>
          <w:lang w:val="sr-Latn-ME"/>
        </w:rPr>
      </w:pPr>
      <w:r w:rsidRPr="000A3641">
        <w:rPr>
          <w:noProof/>
        </w:rPr>
        <w:drawing>
          <wp:inline distT="0" distB="0" distL="0" distR="0" wp14:anchorId="7FD372AE" wp14:editId="6DE366EF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DD4F9" w14:textId="77777777" w:rsidR="00836B35" w:rsidRPr="000A3641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7801412" w14:textId="77777777" w:rsidR="00CD6F02" w:rsidRPr="000A3641" w:rsidRDefault="0072020E" w:rsidP="000A36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 xml:space="preserve">4.9.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Pr="000A3641">
        <w:rPr>
          <w:b/>
          <w:bCs/>
          <w:sz w:val="22"/>
          <w:szCs w:val="22"/>
          <w:lang w:val="sr-Latn-ME"/>
        </w:rPr>
        <w:t>Predoziranje</w:t>
      </w:r>
      <w:r w:rsidR="002846DB" w:rsidRPr="000A3641">
        <w:rPr>
          <w:b/>
          <w:bCs/>
          <w:sz w:val="22"/>
          <w:szCs w:val="22"/>
          <w:lang w:val="sr-Latn-ME"/>
        </w:rPr>
        <w:t xml:space="preserve"> </w:t>
      </w:r>
    </w:p>
    <w:p w14:paraId="678ED88B" w14:textId="77777777" w:rsidR="00CD6F02" w:rsidRPr="000A3641" w:rsidRDefault="00CD6F02" w:rsidP="003475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E163CD0" w14:textId="277EC88D" w:rsidR="00EB7F2A" w:rsidRPr="000A3641" w:rsidRDefault="006E5257" w:rsidP="00A15AA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Ni</w:t>
      </w:r>
      <w:r w:rsidR="00EB7F2A" w:rsidRPr="000A3641">
        <w:rPr>
          <w:bCs/>
          <w:sz w:val="22"/>
          <w:szCs w:val="22"/>
          <w:lang w:val="sr-Latn-ME"/>
        </w:rPr>
        <w:t>su opisani slučajevi predoziranja.</w:t>
      </w:r>
    </w:p>
    <w:p w14:paraId="6627DC1D" w14:textId="77777777" w:rsidR="00EB7F2A" w:rsidRPr="000A3641" w:rsidRDefault="00EB7F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Nije poznat specifičan antidot.</w:t>
      </w:r>
    </w:p>
    <w:p w14:paraId="22343BC0" w14:textId="77777777" w:rsidR="00227BDB" w:rsidRPr="000A3641" w:rsidRDefault="00EB7F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Ukoliko dijete slučajno proguta lijek, preporučuje se simptomatska terapija.</w:t>
      </w:r>
    </w:p>
    <w:p w14:paraId="48E4E7DA" w14:textId="77777777" w:rsidR="00EB7F2A" w:rsidRPr="000A3641" w:rsidRDefault="00EB7F2A" w:rsidP="000A36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09F6B64" w14:textId="77777777" w:rsidR="005522A1" w:rsidRPr="000A3641" w:rsidRDefault="005522A1" w:rsidP="000A36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EE7A2F6" w14:textId="77777777" w:rsidR="0072020E" w:rsidRPr="000A3641" w:rsidRDefault="0072020E" w:rsidP="000A36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 xml:space="preserve">5.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Pr="000A3641">
        <w:rPr>
          <w:b/>
          <w:bCs/>
          <w:sz w:val="22"/>
          <w:szCs w:val="22"/>
          <w:lang w:val="sr-Latn-ME"/>
        </w:rPr>
        <w:t>FARMAKOLOŠK</w:t>
      </w:r>
      <w:r w:rsidR="000D425A" w:rsidRPr="000A3641">
        <w:rPr>
          <w:b/>
          <w:bCs/>
          <w:sz w:val="22"/>
          <w:szCs w:val="22"/>
          <w:lang w:val="sr-Latn-ME"/>
        </w:rPr>
        <w:t>I</w:t>
      </w:r>
      <w:r w:rsidRPr="000A3641">
        <w:rPr>
          <w:b/>
          <w:bCs/>
          <w:sz w:val="22"/>
          <w:szCs w:val="22"/>
          <w:lang w:val="sr-Latn-ME"/>
        </w:rPr>
        <w:t xml:space="preserve"> PODACI</w:t>
      </w:r>
    </w:p>
    <w:p w14:paraId="276383B9" w14:textId="77777777" w:rsidR="0072020E" w:rsidRPr="000A3641" w:rsidRDefault="0072020E" w:rsidP="000A36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FC10735" w14:textId="77777777" w:rsidR="0072020E" w:rsidRPr="000A3641" w:rsidRDefault="0072020E" w:rsidP="000A36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 xml:space="preserve">5.1.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Pr="000A3641">
        <w:rPr>
          <w:b/>
          <w:bCs/>
          <w:sz w:val="22"/>
          <w:szCs w:val="22"/>
          <w:lang w:val="sr-Latn-ME"/>
        </w:rPr>
        <w:t>Farmakodinamski podaci</w:t>
      </w:r>
      <w:r w:rsidR="003A7059" w:rsidRPr="000A3641">
        <w:rPr>
          <w:b/>
          <w:bCs/>
          <w:sz w:val="22"/>
          <w:szCs w:val="22"/>
          <w:lang w:val="sr-Latn-ME"/>
        </w:rPr>
        <w:t xml:space="preserve"> </w:t>
      </w:r>
    </w:p>
    <w:p w14:paraId="1B3E3C2C" w14:textId="77777777" w:rsidR="00F45F77" w:rsidRPr="000A3641" w:rsidRDefault="00F45F77" w:rsidP="003475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D971523" w14:textId="77777777" w:rsidR="0072020E" w:rsidRPr="000A3641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Farmakoterapijska grupa:</w:t>
      </w:r>
      <w:r w:rsidR="00EB7F2A" w:rsidRPr="000A3641">
        <w:rPr>
          <w:bCs/>
          <w:sz w:val="22"/>
          <w:szCs w:val="22"/>
          <w:lang w:val="sr-Latn-ME"/>
        </w:rPr>
        <w:t xml:space="preserve"> Ginekološki antiinfektivi i antiseptici, antibiotici,</w:t>
      </w:r>
    </w:p>
    <w:p w14:paraId="6812BF8C" w14:textId="77777777" w:rsidR="00A15AAD" w:rsidRPr="000A3641" w:rsidRDefault="00A15AA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4B43EA" w14:textId="77777777" w:rsidR="0072020E" w:rsidRPr="000A3641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ATC kod:</w:t>
      </w:r>
      <w:r w:rsidR="00EB7F2A" w:rsidRPr="000A3641">
        <w:rPr>
          <w:bCs/>
          <w:sz w:val="22"/>
          <w:szCs w:val="22"/>
          <w:lang w:val="sr-Latn-ME"/>
        </w:rPr>
        <w:t xml:space="preserve"> G01AA51</w:t>
      </w:r>
    </w:p>
    <w:p w14:paraId="0C792A9F" w14:textId="77777777" w:rsidR="00EB7F2A" w:rsidRPr="000A3641" w:rsidRDefault="00EB7F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F64DB99" w14:textId="77777777" w:rsidR="00EB7F2A" w:rsidRPr="000A3641" w:rsidRDefault="00EB7F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Nifuratel je sintetski hemoterapeutik iz grupe nitrofurana, koji se koriste u liječenju urogenitalnih infekcija.</w:t>
      </w:r>
      <w:r w:rsidR="00D00358" w:rsidRPr="000A3641">
        <w:rPr>
          <w:bCs/>
          <w:sz w:val="22"/>
          <w:szCs w:val="22"/>
          <w:lang w:val="sr-Latn-ME"/>
        </w:rPr>
        <w:t xml:space="preserve"> </w:t>
      </w:r>
      <w:r w:rsidRPr="000A3641">
        <w:rPr>
          <w:bCs/>
          <w:sz w:val="22"/>
          <w:szCs w:val="22"/>
          <w:lang w:val="sr-Latn-ME"/>
        </w:rPr>
        <w:t>Mehanizam djelovanja nifuratela nije potpuno poznat. Najvažnija uloga se pripisuje interferenciji sa</w:t>
      </w:r>
      <w:r w:rsidR="00D00358" w:rsidRPr="000A3641">
        <w:rPr>
          <w:bCs/>
          <w:sz w:val="22"/>
          <w:szCs w:val="22"/>
          <w:lang w:val="sr-Latn-ME"/>
        </w:rPr>
        <w:t xml:space="preserve"> </w:t>
      </w:r>
      <w:r w:rsidRPr="000A3641">
        <w:rPr>
          <w:bCs/>
          <w:sz w:val="22"/>
          <w:szCs w:val="22"/>
          <w:lang w:val="sr-Latn-ME"/>
        </w:rPr>
        <w:t>proteosintezom, disrupciji ćelijske membrane i blokiranju redukcije citohroma c. Ima jako izraženo</w:t>
      </w:r>
      <w:r w:rsidR="00D00358" w:rsidRPr="000A3641">
        <w:rPr>
          <w:bCs/>
          <w:sz w:val="22"/>
          <w:szCs w:val="22"/>
          <w:lang w:val="sr-Latn-ME"/>
        </w:rPr>
        <w:t xml:space="preserve"> </w:t>
      </w:r>
      <w:r w:rsidRPr="000A3641">
        <w:rPr>
          <w:bCs/>
          <w:sz w:val="22"/>
          <w:szCs w:val="22"/>
          <w:lang w:val="sr-Latn-ME"/>
        </w:rPr>
        <w:t>antibakterijsko, trihomonacidno i mikostatičko dejstvo. Djeluje na veliki broj gram-pozitivnih i gram</w:t>
      </w:r>
      <w:r w:rsidR="001B2D4C" w:rsidRPr="000A3641">
        <w:rPr>
          <w:bCs/>
          <w:sz w:val="22"/>
          <w:szCs w:val="22"/>
          <w:lang w:val="sr-Latn-ME"/>
        </w:rPr>
        <w:t>-</w:t>
      </w:r>
      <w:r w:rsidRPr="000A3641">
        <w:rPr>
          <w:bCs/>
          <w:sz w:val="22"/>
          <w:szCs w:val="22"/>
          <w:lang w:val="sr-Latn-ME"/>
        </w:rPr>
        <w:t xml:space="preserve">negativnih mikroorganizama, na </w:t>
      </w:r>
      <w:r w:rsidRPr="000A3641">
        <w:rPr>
          <w:bCs/>
          <w:i/>
          <w:sz w:val="22"/>
          <w:szCs w:val="22"/>
          <w:lang w:val="sr-Latn-ME"/>
        </w:rPr>
        <w:t>Trichomonas vaginal</w:t>
      </w:r>
      <w:r w:rsidR="001B2D4C" w:rsidRPr="000A3641">
        <w:rPr>
          <w:bCs/>
          <w:i/>
          <w:sz w:val="22"/>
          <w:szCs w:val="22"/>
          <w:lang w:val="sr-Latn-ME"/>
        </w:rPr>
        <w:t>i</w:t>
      </w:r>
      <w:r w:rsidRPr="000A3641">
        <w:rPr>
          <w:bCs/>
          <w:i/>
          <w:sz w:val="22"/>
          <w:szCs w:val="22"/>
          <w:lang w:val="sr-Latn-ME"/>
        </w:rPr>
        <w:t>s</w:t>
      </w:r>
      <w:r w:rsidRPr="000A3641">
        <w:rPr>
          <w:bCs/>
          <w:sz w:val="22"/>
          <w:szCs w:val="22"/>
          <w:lang w:val="sr-Latn-ME"/>
        </w:rPr>
        <w:t xml:space="preserve"> i na gljivice.</w:t>
      </w:r>
    </w:p>
    <w:p w14:paraId="7B493B25" w14:textId="77777777" w:rsidR="001B2D4C" w:rsidRPr="000A3641" w:rsidRDefault="001B2D4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36EEDFB" w14:textId="77777777" w:rsidR="00EB7F2A" w:rsidRPr="000A3641" w:rsidRDefault="00EB7F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 xml:space="preserve">Nistatin je dobro poznati antibiotik polienske grupe, koga proizvodi </w:t>
      </w:r>
      <w:r w:rsidRPr="000A3641">
        <w:rPr>
          <w:bCs/>
          <w:i/>
          <w:sz w:val="22"/>
          <w:szCs w:val="22"/>
          <w:lang w:val="sr-Latn-ME"/>
        </w:rPr>
        <w:t>Streptomyces noursei</w:t>
      </w:r>
      <w:r w:rsidRPr="000A3641">
        <w:rPr>
          <w:bCs/>
          <w:sz w:val="22"/>
          <w:szCs w:val="22"/>
          <w:lang w:val="sr-Latn-ME"/>
        </w:rPr>
        <w:t>. Nistatin se vezuje za sterole u ćelijskoj membrani gljivične ćelije stvarajući nerastvorljive komplekse, direktno utičući na propustljivost membrane za jone i druge makromolekule koji izlaze iz ćelije. Nistatin ima fungistatičko, a u većim dozama fungicidno dejstvo</w:t>
      </w:r>
      <w:r w:rsidR="001B2D4C" w:rsidRPr="000A3641">
        <w:rPr>
          <w:bCs/>
          <w:sz w:val="22"/>
          <w:szCs w:val="22"/>
          <w:lang w:val="sr-Latn-ME"/>
        </w:rPr>
        <w:t>,</w:t>
      </w:r>
      <w:r w:rsidRPr="000A3641">
        <w:rPr>
          <w:bCs/>
          <w:sz w:val="22"/>
          <w:szCs w:val="22"/>
          <w:lang w:val="sr-Latn-ME"/>
        </w:rPr>
        <w:t xml:space="preserve"> naročito na gljivice roda </w:t>
      </w:r>
      <w:r w:rsidRPr="000A3641">
        <w:rPr>
          <w:bCs/>
          <w:i/>
          <w:sz w:val="22"/>
          <w:szCs w:val="22"/>
          <w:lang w:val="sr-Latn-ME"/>
        </w:rPr>
        <w:t>Candida</w:t>
      </w:r>
      <w:r w:rsidRPr="000A3641">
        <w:rPr>
          <w:bCs/>
          <w:sz w:val="22"/>
          <w:szCs w:val="22"/>
          <w:lang w:val="sr-Latn-ME"/>
        </w:rPr>
        <w:t>.</w:t>
      </w:r>
    </w:p>
    <w:p w14:paraId="11AC939F" w14:textId="77777777" w:rsidR="00EB7F2A" w:rsidRPr="000A3641" w:rsidRDefault="00EB7F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lastRenderedPageBreak/>
        <w:t>Kombinacija nifuratela i nistatina u ovom lijeku omogućava postizanje širokog spektra dejstva sa intenzivnim antibakterijskim, trihomonacidnim i antimikotičkim dejstvom, u terapiji polivalentnih zapaljenja i uspostavljanja fiziološkog stanja vagine.</w:t>
      </w:r>
    </w:p>
    <w:p w14:paraId="24A801A5" w14:textId="77777777" w:rsidR="002E37A5" w:rsidRPr="000A3641" w:rsidRDefault="002E37A5" w:rsidP="000A36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C53EA56" w14:textId="77777777" w:rsidR="0072020E" w:rsidRPr="000A3641" w:rsidRDefault="0072020E" w:rsidP="000A36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 xml:space="preserve">5.2.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Pr="000A3641">
        <w:rPr>
          <w:b/>
          <w:bCs/>
          <w:sz w:val="22"/>
          <w:szCs w:val="22"/>
          <w:lang w:val="sr-Latn-ME"/>
        </w:rPr>
        <w:t>Farmakokinetički podaci</w:t>
      </w:r>
      <w:r w:rsidR="003A7059" w:rsidRPr="000A3641">
        <w:rPr>
          <w:b/>
          <w:bCs/>
          <w:sz w:val="22"/>
          <w:szCs w:val="22"/>
          <w:lang w:val="sr-Latn-ME"/>
        </w:rPr>
        <w:t xml:space="preserve"> </w:t>
      </w:r>
    </w:p>
    <w:p w14:paraId="1A51C574" w14:textId="77777777" w:rsidR="0072020E" w:rsidRPr="000A3641" w:rsidRDefault="0072020E" w:rsidP="000A36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10AF4F" w14:textId="77777777" w:rsidR="00773F43" w:rsidRPr="000A3641" w:rsidRDefault="00773F43" w:rsidP="003475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Ovaj lijek se primjenjuje lokalno i nifuratel i nistatin se ne resorbuju u farmakološki značajnoj mjeri iz</w:t>
      </w:r>
    </w:p>
    <w:p w14:paraId="71223E11" w14:textId="77777777" w:rsidR="00773F43" w:rsidRPr="000A3641" w:rsidRDefault="00773F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vaginalne sluznice čak i nakon duže terapije.</w:t>
      </w:r>
    </w:p>
    <w:p w14:paraId="49B4003F" w14:textId="77777777" w:rsidR="00773F43" w:rsidRPr="000A3641" w:rsidRDefault="00773F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Nivo nifuratela u plazmi nakon vaginalne primjene nije omogućio procjenu sljedećih farmakokinetičkih parametara: C</w:t>
      </w:r>
      <w:r w:rsidRPr="000A3641">
        <w:rPr>
          <w:bCs/>
          <w:sz w:val="22"/>
          <w:szCs w:val="22"/>
          <w:vertAlign w:val="subscript"/>
          <w:lang w:val="sr-Latn-ME"/>
        </w:rPr>
        <w:t xml:space="preserve">max </w:t>
      </w:r>
      <w:r w:rsidRPr="000A3641">
        <w:rPr>
          <w:bCs/>
          <w:sz w:val="22"/>
          <w:szCs w:val="22"/>
          <w:lang w:val="sr-Latn-ME"/>
        </w:rPr>
        <w:t>od 4,54 mikrograma/</w:t>
      </w:r>
      <w:r w:rsidR="00463404" w:rsidRPr="000A3641">
        <w:rPr>
          <w:bCs/>
          <w:sz w:val="22"/>
          <w:szCs w:val="22"/>
          <w:lang w:val="sr-Latn-ME"/>
        </w:rPr>
        <w:t>l</w:t>
      </w:r>
      <w:r w:rsidRPr="000A3641">
        <w:rPr>
          <w:bCs/>
          <w:sz w:val="22"/>
          <w:szCs w:val="22"/>
          <w:lang w:val="sr-Latn-ME"/>
        </w:rPr>
        <w:t xml:space="preserve"> je bio niži od C</w:t>
      </w:r>
      <w:r w:rsidRPr="000A3641">
        <w:rPr>
          <w:bCs/>
          <w:sz w:val="22"/>
          <w:szCs w:val="22"/>
          <w:vertAlign w:val="subscript"/>
          <w:lang w:val="sr-Latn-ME"/>
        </w:rPr>
        <w:t>max</w:t>
      </w:r>
      <w:r w:rsidRPr="000A3641">
        <w:rPr>
          <w:bCs/>
          <w:sz w:val="22"/>
          <w:szCs w:val="22"/>
          <w:lang w:val="sr-Latn-ME"/>
        </w:rPr>
        <w:t xml:space="preserve"> nakon peroralne primjene, a T</w:t>
      </w:r>
      <w:r w:rsidRPr="000A3641">
        <w:rPr>
          <w:bCs/>
          <w:sz w:val="22"/>
          <w:szCs w:val="22"/>
          <w:vertAlign w:val="subscript"/>
          <w:lang w:val="sr-Latn-ME"/>
        </w:rPr>
        <w:t>max</w:t>
      </w:r>
      <w:r w:rsidRPr="000A3641">
        <w:rPr>
          <w:bCs/>
          <w:sz w:val="22"/>
          <w:szCs w:val="22"/>
          <w:lang w:val="sr-Latn-ME"/>
        </w:rPr>
        <w:t xml:space="preserve"> od 8 sati je bio duži od T</w:t>
      </w:r>
      <w:r w:rsidRPr="000A3641">
        <w:rPr>
          <w:bCs/>
          <w:sz w:val="22"/>
          <w:szCs w:val="22"/>
          <w:vertAlign w:val="subscript"/>
          <w:lang w:val="sr-Latn-ME"/>
        </w:rPr>
        <w:t>max</w:t>
      </w:r>
      <w:r w:rsidRPr="000A3641">
        <w:rPr>
          <w:bCs/>
          <w:sz w:val="22"/>
          <w:szCs w:val="22"/>
          <w:lang w:val="sr-Latn-ME"/>
        </w:rPr>
        <w:t xml:space="preserve"> nakon peroralne primjene; prosječna PIK (površina ispod kriv</w:t>
      </w:r>
      <w:r w:rsidR="00463404" w:rsidRPr="000A3641">
        <w:rPr>
          <w:bCs/>
          <w:sz w:val="22"/>
          <w:szCs w:val="22"/>
          <w:lang w:val="sr-Latn-ME"/>
        </w:rPr>
        <w:t>e) iznosila je 10,27 mikrograma/l</w:t>
      </w:r>
      <w:r w:rsidRPr="000A3641">
        <w:rPr>
          <w:bCs/>
          <w:sz w:val="22"/>
          <w:szCs w:val="22"/>
          <w:lang w:val="sr-Latn-ME"/>
        </w:rPr>
        <w:t>h.</w:t>
      </w:r>
    </w:p>
    <w:p w14:paraId="197A4449" w14:textId="77777777" w:rsidR="00773F43" w:rsidRPr="000A3641" w:rsidRDefault="00773F43" w:rsidP="000A36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29A5E5E" w14:textId="77777777" w:rsidR="0072020E" w:rsidRPr="000A3641" w:rsidRDefault="0072020E" w:rsidP="000A36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 xml:space="preserve">5.3.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Pr="000A3641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7722F850" w14:textId="77777777" w:rsidR="00836B35" w:rsidRPr="000A3641" w:rsidRDefault="00836B35" w:rsidP="000A36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39D0FCD" w14:textId="3E81E1CE" w:rsidR="00463404" w:rsidRPr="000A3641" w:rsidRDefault="00773F43" w:rsidP="003475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Nifuratel ima selektivnu toksičnost na patogene mikroorganizme, ali je gotovo netoksičan za laboratorijske životinje i za ljude. Peroralna LD</w:t>
      </w:r>
      <w:r w:rsidRPr="000A3641">
        <w:rPr>
          <w:bCs/>
          <w:sz w:val="22"/>
          <w:szCs w:val="22"/>
          <w:vertAlign w:val="subscript"/>
          <w:lang w:val="sr-Latn-ME"/>
        </w:rPr>
        <w:t>50</w:t>
      </w:r>
      <w:r w:rsidRPr="000A3641">
        <w:rPr>
          <w:bCs/>
          <w:sz w:val="22"/>
          <w:szCs w:val="22"/>
          <w:lang w:val="sr-Latn-ME"/>
        </w:rPr>
        <w:t xml:space="preserve"> kod pacova je 1500 puta veća od terapijske doze. Doze 10 puta veće od humanih terapijskih doza nisu izazvale nikakve patološke promjene tkiva niti smrt pasa ni poslije 6 mjeseci primjene. Vaginalna LD</w:t>
      </w:r>
      <w:r w:rsidRPr="000A3641">
        <w:rPr>
          <w:bCs/>
          <w:sz w:val="22"/>
          <w:szCs w:val="22"/>
          <w:vertAlign w:val="subscript"/>
          <w:lang w:val="sr-Latn-ME"/>
        </w:rPr>
        <w:t>50</w:t>
      </w:r>
      <w:r w:rsidRPr="000A3641">
        <w:rPr>
          <w:bCs/>
          <w:sz w:val="22"/>
          <w:szCs w:val="22"/>
          <w:lang w:val="sr-Latn-ME"/>
        </w:rPr>
        <w:t xml:space="preserve"> kod pasa je 60 puta veća od humane terapijske doze. </w:t>
      </w:r>
    </w:p>
    <w:p w14:paraId="0B73E3E6" w14:textId="77777777" w:rsidR="00463404" w:rsidRPr="000A3641" w:rsidRDefault="004634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FA9969" w14:textId="77777777" w:rsidR="00773F43" w:rsidRPr="000A3641" w:rsidRDefault="00773F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Prilikom testiranja teratogenosti i embriotoksičnosti, nifuratel u dozama od 200 mg/kg dnevno tokom 21 dana, nije izazvao toksičnost niti malformacije kod miševa, pacova i kunića.</w:t>
      </w:r>
    </w:p>
    <w:p w14:paraId="63DC4D73" w14:textId="77777777" w:rsidR="00463404" w:rsidRPr="000A3641" w:rsidRDefault="004634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941BCF" w14:textId="77777777" w:rsidR="00773F43" w:rsidRPr="000A3641" w:rsidRDefault="00773F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Subkutana LD</w:t>
      </w:r>
      <w:r w:rsidRPr="000A3641">
        <w:rPr>
          <w:bCs/>
          <w:sz w:val="22"/>
          <w:szCs w:val="22"/>
          <w:vertAlign w:val="subscript"/>
          <w:lang w:val="sr-Latn-ME"/>
        </w:rPr>
        <w:t>50</w:t>
      </w:r>
      <w:r w:rsidRPr="000A3641">
        <w:rPr>
          <w:bCs/>
          <w:sz w:val="22"/>
          <w:szCs w:val="22"/>
          <w:lang w:val="sr-Latn-ME"/>
        </w:rPr>
        <w:t xml:space="preserve"> nistatina kod pacova se nije mogla odrediti jer doze 300 puta veće od humanih terapijskih doza nijesu izazivale smrt eksperimentalnih životinja.</w:t>
      </w:r>
    </w:p>
    <w:p w14:paraId="6DFB7E4E" w14:textId="77777777" w:rsidR="00463404" w:rsidRPr="000A3641" w:rsidRDefault="004634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2979AF" w14:textId="4443AAEE" w:rsidR="00773F43" w:rsidRPr="000A3641" w:rsidRDefault="00773F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Prilikom testiranja hronične toksičnosti, čak ni subkutano davanje doza koje su 3000 puta veće od tera</w:t>
      </w:r>
      <w:r w:rsidR="00463404" w:rsidRPr="000A3641">
        <w:rPr>
          <w:bCs/>
          <w:sz w:val="22"/>
          <w:szCs w:val="22"/>
          <w:lang w:val="sr-Latn-ME"/>
        </w:rPr>
        <w:t>pijskih doza, tokom 8 dana, ni</w:t>
      </w:r>
      <w:r w:rsidRPr="000A3641">
        <w:rPr>
          <w:bCs/>
          <w:sz w:val="22"/>
          <w:szCs w:val="22"/>
          <w:lang w:val="sr-Latn-ME"/>
        </w:rPr>
        <w:t>su izazvale nikakve patološke promjene kod pacova.</w:t>
      </w:r>
    </w:p>
    <w:p w14:paraId="262E1873" w14:textId="77777777" w:rsidR="00463404" w:rsidRPr="000A3641" w:rsidRDefault="004634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6CC081" w14:textId="24CDA45C" w:rsidR="00396DFD" w:rsidRPr="000A3641" w:rsidRDefault="00773F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Pretkliničk</w:t>
      </w:r>
      <w:r w:rsidR="00463404" w:rsidRPr="000A3641">
        <w:rPr>
          <w:bCs/>
          <w:sz w:val="22"/>
          <w:szCs w:val="22"/>
          <w:lang w:val="sr-Latn-ME"/>
        </w:rPr>
        <w:t>a ispitivanja sa nistatinom ni</w:t>
      </w:r>
      <w:r w:rsidRPr="000A3641">
        <w:rPr>
          <w:bCs/>
          <w:sz w:val="22"/>
          <w:szCs w:val="22"/>
          <w:lang w:val="sr-Latn-ME"/>
        </w:rPr>
        <w:t>su pokazala poseban rizik za ljude jer se nistatin ne resorbuje nakon intravaginalne primjene.</w:t>
      </w:r>
    </w:p>
    <w:p w14:paraId="5421EEB4" w14:textId="77777777" w:rsidR="00A15AAD" w:rsidRPr="000A3641" w:rsidRDefault="00A15AA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CF4110" w14:textId="77777777" w:rsidR="00773F43" w:rsidRPr="000A3641" w:rsidRDefault="00773F43" w:rsidP="00773F4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DFFDC35" w14:textId="77777777" w:rsidR="0072020E" w:rsidRPr="000A364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 xml:space="preserve">6.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Pr="000A3641">
        <w:rPr>
          <w:b/>
          <w:bCs/>
          <w:sz w:val="22"/>
          <w:szCs w:val="22"/>
          <w:lang w:val="sr-Latn-ME"/>
        </w:rPr>
        <w:t>FARMACEUTSKI PODACI</w:t>
      </w:r>
    </w:p>
    <w:p w14:paraId="2BAF851E" w14:textId="77777777" w:rsidR="00836B35" w:rsidRPr="000A3641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7929BA8" w14:textId="77777777" w:rsidR="0072020E" w:rsidRPr="000A364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 xml:space="preserve">6.1.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Pr="000A3641">
        <w:rPr>
          <w:b/>
          <w:bCs/>
          <w:sz w:val="22"/>
          <w:szCs w:val="22"/>
          <w:lang w:val="sr-Latn-ME"/>
        </w:rPr>
        <w:t>Lista pomoćnih supstanci</w:t>
      </w:r>
      <w:r w:rsidR="002E0135" w:rsidRPr="000A3641">
        <w:rPr>
          <w:b/>
          <w:bCs/>
          <w:sz w:val="22"/>
          <w:szCs w:val="22"/>
          <w:lang w:val="sr-Latn-ME"/>
        </w:rPr>
        <w:t xml:space="preserve"> (ekscipijenasa)</w:t>
      </w:r>
    </w:p>
    <w:p w14:paraId="1E6A21A6" w14:textId="77777777" w:rsidR="0072020E" w:rsidRPr="000A364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89997D2" w14:textId="77777777" w:rsidR="00773F43" w:rsidRPr="000A3641" w:rsidRDefault="00773F43" w:rsidP="00773F43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ME"/>
        </w:rPr>
      </w:pPr>
      <w:r w:rsidRPr="000A3641">
        <w:rPr>
          <w:bCs/>
          <w:i/>
          <w:sz w:val="22"/>
          <w:szCs w:val="22"/>
          <w:lang w:val="sr-Latn-ME"/>
        </w:rPr>
        <w:t>Pomoćne supstance u jezgru kapsule:</w:t>
      </w:r>
    </w:p>
    <w:p w14:paraId="67624E2B" w14:textId="77777777" w:rsidR="00773F43" w:rsidRPr="000A3641" w:rsidRDefault="00773F43" w:rsidP="00773F4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Dimetikon</w:t>
      </w:r>
    </w:p>
    <w:p w14:paraId="415DC3A1" w14:textId="77777777" w:rsidR="00463404" w:rsidRPr="000A3641" w:rsidRDefault="00463404" w:rsidP="00773F43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ME"/>
        </w:rPr>
      </w:pPr>
    </w:p>
    <w:p w14:paraId="4526C291" w14:textId="77777777" w:rsidR="00773F43" w:rsidRPr="000A3641" w:rsidRDefault="00773F43" w:rsidP="00773F43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ME"/>
        </w:rPr>
      </w:pPr>
      <w:r w:rsidRPr="000A3641">
        <w:rPr>
          <w:bCs/>
          <w:i/>
          <w:sz w:val="22"/>
          <w:szCs w:val="22"/>
          <w:lang w:val="sr-Latn-ME"/>
        </w:rPr>
        <w:t>Pomoćne supstance u omotaču kapsule:</w:t>
      </w:r>
    </w:p>
    <w:p w14:paraId="7B030EA9" w14:textId="77777777" w:rsidR="00773F43" w:rsidRPr="000A3641" w:rsidRDefault="00773F43" w:rsidP="00773F4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Želatin;</w:t>
      </w:r>
    </w:p>
    <w:p w14:paraId="3F566F5E" w14:textId="77777777" w:rsidR="00773F43" w:rsidRPr="000A3641" w:rsidRDefault="00773F43" w:rsidP="00773F4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Glicerol;</w:t>
      </w:r>
    </w:p>
    <w:p w14:paraId="71FB3A4B" w14:textId="77777777" w:rsidR="00773F43" w:rsidRPr="000A3641" w:rsidRDefault="00463404" w:rsidP="00773F4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Natrijum</w:t>
      </w:r>
      <w:r w:rsidR="00971A76" w:rsidRPr="000A3641">
        <w:rPr>
          <w:bCs/>
          <w:sz w:val="22"/>
          <w:szCs w:val="22"/>
          <w:lang w:val="sr-Latn-ME"/>
        </w:rPr>
        <w:t xml:space="preserve"> </w:t>
      </w:r>
      <w:r w:rsidR="00773F43" w:rsidRPr="000A3641">
        <w:rPr>
          <w:bCs/>
          <w:sz w:val="22"/>
          <w:szCs w:val="22"/>
          <w:lang w:val="sr-Latn-ME"/>
        </w:rPr>
        <w:t>etil</w:t>
      </w:r>
      <w:r w:rsidR="00971A76" w:rsidRPr="000A3641">
        <w:rPr>
          <w:bCs/>
          <w:sz w:val="22"/>
          <w:szCs w:val="22"/>
          <w:lang w:val="sr-Latn-ME"/>
        </w:rPr>
        <w:t xml:space="preserve"> </w:t>
      </w:r>
      <w:r w:rsidR="00773F43" w:rsidRPr="000A3641">
        <w:rPr>
          <w:bCs/>
          <w:sz w:val="22"/>
          <w:szCs w:val="22"/>
          <w:lang w:val="sr-Latn-ME"/>
        </w:rPr>
        <w:t>parahidroksibenzoat (E215);</w:t>
      </w:r>
    </w:p>
    <w:p w14:paraId="4DF84495" w14:textId="77777777" w:rsidR="00773F43" w:rsidRPr="000A3641" w:rsidRDefault="00463404" w:rsidP="00773F4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Natrijum</w:t>
      </w:r>
      <w:r w:rsidR="00971A76" w:rsidRPr="000A3641">
        <w:rPr>
          <w:bCs/>
          <w:sz w:val="22"/>
          <w:szCs w:val="22"/>
          <w:lang w:val="sr-Latn-ME"/>
        </w:rPr>
        <w:t xml:space="preserve"> </w:t>
      </w:r>
      <w:r w:rsidR="00773F43" w:rsidRPr="000A3641">
        <w:rPr>
          <w:bCs/>
          <w:sz w:val="22"/>
          <w:szCs w:val="22"/>
          <w:lang w:val="sr-Latn-ME"/>
        </w:rPr>
        <w:t>propil</w:t>
      </w:r>
      <w:r w:rsidR="00971A76" w:rsidRPr="000A3641">
        <w:rPr>
          <w:bCs/>
          <w:sz w:val="22"/>
          <w:szCs w:val="22"/>
          <w:lang w:val="sr-Latn-ME"/>
        </w:rPr>
        <w:t xml:space="preserve"> </w:t>
      </w:r>
      <w:r w:rsidR="00773F43" w:rsidRPr="000A3641">
        <w:rPr>
          <w:bCs/>
          <w:sz w:val="22"/>
          <w:szCs w:val="22"/>
          <w:lang w:val="sr-Latn-ME"/>
        </w:rPr>
        <w:t>parahidroksibenzoat (E217);</w:t>
      </w:r>
    </w:p>
    <w:p w14:paraId="486BF35A" w14:textId="77777777" w:rsidR="00773F43" w:rsidRPr="000A3641" w:rsidRDefault="00EC1CC3" w:rsidP="00773F4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 xml:space="preserve">Titan </w:t>
      </w:r>
      <w:r w:rsidR="00773F43" w:rsidRPr="000A3641">
        <w:rPr>
          <w:bCs/>
          <w:sz w:val="22"/>
          <w:szCs w:val="22"/>
          <w:lang w:val="sr-Latn-ME"/>
        </w:rPr>
        <w:t>dioksid;</w:t>
      </w:r>
    </w:p>
    <w:p w14:paraId="70639AC2" w14:textId="77777777" w:rsidR="00773F43" w:rsidRPr="000A3641" w:rsidRDefault="00EC1CC3" w:rsidP="00773F4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Gvožđe</w:t>
      </w:r>
      <w:r w:rsidR="00971A76" w:rsidRPr="000A3641">
        <w:rPr>
          <w:bCs/>
          <w:sz w:val="22"/>
          <w:szCs w:val="22"/>
          <w:lang w:val="sr-Latn-ME"/>
        </w:rPr>
        <w:t xml:space="preserve"> </w:t>
      </w:r>
      <w:r w:rsidRPr="000A3641">
        <w:rPr>
          <w:bCs/>
          <w:sz w:val="22"/>
          <w:szCs w:val="22"/>
          <w:lang w:val="sr-Latn-ME"/>
        </w:rPr>
        <w:t>(III)</w:t>
      </w:r>
      <w:r w:rsidR="00971A76" w:rsidRPr="000A3641">
        <w:rPr>
          <w:bCs/>
          <w:sz w:val="22"/>
          <w:szCs w:val="22"/>
          <w:lang w:val="sr-Latn-ME"/>
        </w:rPr>
        <w:t xml:space="preserve"> </w:t>
      </w:r>
      <w:r w:rsidR="00773F43" w:rsidRPr="000A3641">
        <w:rPr>
          <w:bCs/>
          <w:sz w:val="22"/>
          <w:szCs w:val="22"/>
          <w:lang w:val="sr-Latn-ME"/>
        </w:rPr>
        <w:t>oksid, žuti.</w:t>
      </w:r>
    </w:p>
    <w:p w14:paraId="3835073A" w14:textId="77777777" w:rsidR="00773F43" w:rsidRPr="000A3641" w:rsidRDefault="00773F43" w:rsidP="00773F4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563148F" w14:textId="77777777" w:rsidR="0072020E" w:rsidRPr="000A364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 xml:space="preserve">6.2.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Pr="000A3641">
        <w:rPr>
          <w:b/>
          <w:bCs/>
          <w:sz w:val="22"/>
          <w:szCs w:val="22"/>
          <w:lang w:val="sr-Latn-ME"/>
        </w:rPr>
        <w:t>Inkompatibilnost</w:t>
      </w:r>
      <w:r w:rsidR="002846DB" w:rsidRPr="000A3641">
        <w:rPr>
          <w:b/>
          <w:bCs/>
          <w:sz w:val="22"/>
          <w:szCs w:val="22"/>
          <w:lang w:val="sr-Latn-ME"/>
        </w:rPr>
        <w:t>i</w:t>
      </w:r>
    </w:p>
    <w:p w14:paraId="25189FA5" w14:textId="77777777" w:rsidR="0072020E" w:rsidRPr="000A364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CB153C9" w14:textId="77777777" w:rsidR="00773F43" w:rsidRPr="000A3641" w:rsidRDefault="00773F43" w:rsidP="00773F4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Nije primjenjivo.</w:t>
      </w:r>
    </w:p>
    <w:p w14:paraId="79E80D7F" w14:textId="77777777" w:rsidR="00773F43" w:rsidRPr="000A3641" w:rsidRDefault="00773F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65ACC47" w14:textId="77777777" w:rsidR="0072020E" w:rsidRPr="000A364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>6.3.</w:t>
      </w:r>
      <w:r w:rsidR="00C05DF8" w:rsidRPr="000A3641">
        <w:rPr>
          <w:b/>
          <w:bCs/>
          <w:sz w:val="22"/>
          <w:szCs w:val="22"/>
          <w:lang w:val="sr-Latn-ME"/>
        </w:rPr>
        <w:t xml:space="preserve">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Pr="000A3641">
        <w:rPr>
          <w:b/>
          <w:bCs/>
          <w:sz w:val="22"/>
          <w:szCs w:val="22"/>
          <w:lang w:val="sr-Latn-ME"/>
        </w:rPr>
        <w:t>Rok upotrebe</w:t>
      </w:r>
    </w:p>
    <w:p w14:paraId="745BA578" w14:textId="77777777" w:rsidR="0072020E" w:rsidRPr="000A364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AE7D916" w14:textId="77777777" w:rsidR="00773F43" w:rsidRPr="000A3641" w:rsidRDefault="00773F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3 godine.</w:t>
      </w:r>
    </w:p>
    <w:p w14:paraId="2B8021CC" w14:textId="77777777" w:rsidR="00773F43" w:rsidRPr="000A3641" w:rsidRDefault="00773F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D9D4BE0" w14:textId="77777777" w:rsidR="00971A76" w:rsidRPr="000A3641" w:rsidRDefault="00971A7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674B621" w14:textId="77777777" w:rsidR="0072020E" w:rsidRPr="000A364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lastRenderedPageBreak/>
        <w:t xml:space="preserve">6.4.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Pr="000A3641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0A3641">
        <w:rPr>
          <w:b/>
          <w:bCs/>
          <w:sz w:val="22"/>
          <w:szCs w:val="22"/>
          <w:lang w:val="sr-Latn-ME"/>
        </w:rPr>
        <w:t xml:space="preserve"> lijeka</w:t>
      </w:r>
    </w:p>
    <w:p w14:paraId="067BDD3E" w14:textId="77777777" w:rsidR="00971A76" w:rsidRPr="000A3641" w:rsidRDefault="00971A7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8E3516A" w14:textId="77777777" w:rsidR="00773F43" w:rsidRPr="000A3641" w:rsidRDefault="00773F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Lijek čuvati na temperaturi do 25°C.</w:t>
      </w:r>
      <w:bookmarkStart w:id="0" w:name="_GoBack"/>
      <w:bookmarkEnd w:id="0"/>
    </w:p>
    <w:p w14:paraId="23B72AB3" w14:textId="77777777" w:rsidR="00EC2532" w:rsidRPr="000A3641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4EDCAAD" w14:textId="77777777" w:rsidR="0072020E" w:rsidRPr="000A364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 xml:space="preserve">6.5.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="002846DB" w:rsidRPr="000A3641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0A3641">
        <w:rPr>
          <w:b/>
          <w:bCs/>
          <w:sz w:val="22"/>
          <w:szCs w:val="22"/>
          <w:lang w:val="sr-Latn-ME"/>
        </w:rPr>
        <w:t>pakovanja</w:t>
      </w:r>
      <w:r w:rsidR="00C06864" w:rsidRPr="000A3641">
        <w:rPr>
          <w:b/>
          <w:bCs/>
          <w:sz w:val="22"/>
          <w:szCs w:val="22"/>
          <w:lang w:val="sr-Latn-ME"/>
        </w:rPr>
        <w:t xml:space="preserve"> </w:t>
      </w:r>
    </w:p>
    <w:p w14:paraId="71852AC8" w14:textId="77777777" w:rsidR="0072020E" w:rsidRPr="000A364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CC735FE" w14:textId="77777777" w:rsidR="00773F43" w:rsidRPr="000A3641" w:rsidRDefault="00773F43" w:rsidP="006E525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Unutrašnje pakovanje je blister (PVC/PVDC-Al) koji sadrži 12 vaginalnih kapsula, mekih.</w:t>
      </w:r>
    </w:p>
    <w:p w14:paraId="216F0427" w14:textId="77777777" w:rsidR="00773F43" w:rsidRPr="000A3641" w:rsidRDefault="00773F43" w:rsidP="006E525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Spoljašnje pakovanje lijeka je složiva kartonska kutija u kojoj se nalazi 1 blister (ukupno 12 vaginalnih kapsula, mekih) i Uputstvo za lijek.</w:t>
      </w:r>
    </w:p>
    <w:p w14:paraId="3AFF0C75" w14:textId="77777777" w:rsidR="00773F43" w:rsidRPr="000A3641" w:rsidRDefault="00773F43" w:rsidP="00773F4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58DB87F" w14:textId="77777777" w:rsidR="002846DB" w:rsidRPr="000A364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 xml:space="preserve">6.6.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Pr="000A3641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0A3641">
        <w:rPr>
          <w:b/>
          <w:bCs/>
          <w:sz w:val="22"/>
          <w:szCs w:val="22"/>
          <w:lang w:val="sr-Latn-ME"/>
        </w:rPr>
        <w:t xml:space="preserve"> </w:t>
      </w:r>
      <w:r w:rsidR="00310F03" w:rsidRPr="000A3641">
        <w:rPr>
          <w:b/>
          <w:bCs/>
          <w:sz w:val="22"/>
          <w:szCs w:val="22"/>
          <w:lang w:val="sr-Latn-ME"/>
        </w:rPr>
        <w:t>(i druga uputs</w:t>
      </w:r>
      <w:r w:rsidR="004109FA" w:rsidRPr="000A3641">
        <w:rPr>
          <w:b/>
          <w:bCs/>
          <w:sz w:val="22"/>
          <w:szCs w:val="22"/>
          <w:lang w:val="sr-Latn-ME"/>
        </w:rPr>
        <w:t>t</w:t>
      </w:r>
      <w:r w:rsidR="00310F03" w:rsidRPr="000A3641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08EBD1BB" w14:textId="77777777" w:rsidR="00B66A70" w:rsidRPr="000A3641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9D9B47F" w14:textId="77777777" w:rsidR="0072020E" w:rsidRPr="000A3641" w:rsidRDefault="00773F43" w:rsidP="006E525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Svu neiskorišćenu količinu lijeka ili otpadni materijal ukloniti u skladu sa važećim propisima.</w:t>
      </w:r>
    </w:p>
    <w:p w14:paraId="0FEE4382" w14:textId="77777777" w:rsidR="00773F43" w:rsidRPr="000A3641" w:rsidRDefault="00773F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2A07DC3" w14:textId="77777777" w:rsidR="00F8570A" w:rsidRPr="000A364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 xml:space="preserve">7.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Pr="000A3641">
        <w:rPr>
          <w:b/>
          <w:bCs/>
          <w:sz w:val="22"/>
          <w:szCs w:val="22"/>
          <w:lang w:val="sr-Latn-ME"/>
        </w:rPr>
        <w:t>NOSILAC DOZVOLE</w:t>
      </w:r>
      <w:r w:rsidR="00483928" w:rsidRPr="000A3641">
        <w:rPr>
          <w:b/>
          <w:bCs/>
          <w:sz w:val="22"/>
          <w:szCs w:val="22"/>
          <w:lang w:val="sr-Latn-ME"/>
        </w:rPr>
        <w:t xml:space="preserve"> </w:t>
      </w:r>
    </w:p>
    <w:p w14:paraId="220569C6" w14:textId="77777777" w:rsidR="00C61BE0" w:rsidRPr="000A3641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4B792CB" w14:textId="77777777" w:rsidR="00773F43" w:rsidRPr="000A3641" w:rsidRDefault="00773F43" w:rsidP="00773F4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Farmont M.P. d.o.o</w:t>
      </w:r>
      <w:r w:rsidR="00376371" w:rsidRPr="000A3641">
        <w:rPr>
          <w:bCs/>
          <w:sz w:val="22"/>
          <w:szCs w:val="22"/>
          <w:lang w:val="sr-Latn-ME"/>
        </w:rPr>
        <w:t>.</w:t>
      </w:r>
    </w:p>
    <w:p w14:paraId="5187429F" w14:textId="77777777" w:rsidR="00C37FD7" w:rsidRPr="000A3641" w:rsidRDefault="00773F43" w:rsidP="00773F4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A3641">
        <w:rPr>
          <w:bCs/>
          <w:sz w:val="22"/>
          <w:szCs w:val="22"/>
          <w:lang w:val="sr-Latn-ME"/>
        </w:rPr>
        <w:t>Kosić, Stari put bb, Danilovgrad</w:t>
      </w:r>
      <w:r w:rsidR="00971A76" w:rsidRPr="000A3641">
        <w:rPr>
          <w:bCs/>
          <w:sz w:val="22"/>
          <w:szCs w:val="22"/>
          <w:lang w:val="sr-Latn-ME"/>
        </w:rPr>
        <w:t>, Crna Gora</w:t>
      </w:r>
    </w:p>
    <w:p w14:paraId="4D13B589" w14:textId="77777777" w:rsidR="00773F43" w:rsidRPr="000A3641" w:rsidRDefault="00773F43" w:rsidP="00773F4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8283891" w14:textId="77777777" w:rsidR="0072020E" w:rsidRPr="000A364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 xml:space="preserve">8.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Pr="000A3641">
        <w:rPr>
          <w:b/>
          <w:bCs/>
          <w:sz w:val="22"/>
          <w:szCs w:val="22"/>
          <w:lang w:val="sr-Latn-ME"/>
        </w:rPr>
        <w:t>BROJ DOZVOLE</w:t>
      </w:r>
      <w:r w:rsidR="008A6D43" w:rsidRPr="000A3641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A0EC674" w14:textId="43FAD368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88D193F" w14:textId="06BE1704" w:rsidR="00F710E0" w:rsidRPr="000A3641" w:rsidRDefault="00F710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rFonts w:ascii="TimesNewRoman" w:hAnsi="TimesNewRoman" w:cs="TimesNewRoman"/>
          <w:sz w:val="22"/>
          <w:szCs w:val="22"/>
          <w:lang w:eastAsia="sr-Latn-ME"/>
        </w:rPr>
        <w:t>2030/23/2692 - 4216</w:t>
      </w:r>
    </w:p>
    <w:p w14:paraId="73E01752" w14:textId="77777777" w:rsidR="00F45F77" w:rsidRPr="000A3641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6EB940E" w14:textId="77777777" w:rsidR="0072020E" w:rsidRPr="000A364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 xml:space="preserve">9.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Pr="000A3641">
        <w:rPr>
          <w:b/>
          <w:bCs/>
          <w:sz w:val="22"/>
          <w:szCs w:val="22"/>
          <w:lang w:val="sr-Latn-ME"/>
        </w:rPr>
        <w:t xml:space="preserve">DATUM </w:t>
      </w:r>
      <w:r w:rsidR="00C05DF8" w:rsidRPr="000A3641">
        <w:rPr>
          <w:b/>
          <w:bCs/>
          <w:sz w:val="22"/>
          <w:szCs w:val="22"/>
          <w:lang w:val="sr-Latn-ME"/>
        </w:rPr>
        <w:t xml:space="preserve">PRVE </w:t>
      </w:r>
      <w:r w:rsidR="008A6D43" w:rsidRPr="000A3641">
        <w:rPr>
          <w:b/>
          <w:bCs/>
          <w:sz w:val="22"/>
          <w:szCs w:val="22"/>
          <w:lang w:val="sr-Latn-ME"/>
        </w:rPr>
        <w:t>DOZVOLE</w:t>
      </w:r>
      <w:r w:rsidR="00C05DF8" w:rsidRPr="000A3641">
        <w:rPr>
          <w:b/>
          <w:bCs/>
          <w:sz w:val="22"/>
          <w:szCs w:val="22"/>
          <w:lang w:val="sr-Latn-ME"/>
        </w:rPr>
        <w:t>/OBNOVE DOZVOLE</w:t>
      </w:r>
      <w:r w:rsidR="008A6D43" w:rsidRPr="000A3641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69BD33F" w14:textId="5BAACAE6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236B651" w14:textId="7B8CC8EA" w:rsidR="00F710E0" w:rsidRPr="000A3641" w:rsidRDefault="00F710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710E0">
        <w:rPr>
          <w:bCs/>
          <w:sz w:val="22"/>
          <w:szCs w:val="22"/>
          <w:lang w:val="sr-Latn-ME"/>
        </w:rPr>
        <w:t>19.07.2023. godine</w:t>
      </w:r>
    </w:p>
    <w:p w14:paraId="630402F5" w14:textId="77777777" w:rsidR="00836B35" w:rsidRPr="000A3641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BF26080" w14:textId="77777777" w:rsidR="003F6A59" w:rsidRPr="000A3641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0A3641">
        <w:rPr>
          <w:b/>
          <w:bCs/>
          <w:sz w:val="22"/>
          <w:szCs w:val="22"/>
          <w:lang w:val="sr-Latn-ME"/>
        </w:rPr>
        <w:t xml:space="preserve">10. </w:t>
      </w:r>
      <w:r w:rsidR="00480FB1" w:rsidRPr="000A3641">
        <w:rPr>
          <w:b/>
          <w:bCs/>
          <w:sz w:val="22"/>
          <w:szCs w:val="22"/>
          <w:lang w:val="sr-Latn-ME"/>
        </w:rPr>
        <w:tab/>
      </w:r>
      <w:r w:rsidR="002846DB" w:rsidRPr="000A3641">
        <w:rPr>
          <w:b/>
          <w:bCs/>
          <w:sz w:val="22"/>
          <w:szCs w:val="22"/>
          <w:lang w:val="sr-Latn-ME"/>
        </w:rPr>
        <w:t>D</w:t>
      </w:r>
      <w:r w:rsidR="00EC2532" w:rsidRPr="000A3641">
        <w:rPr>
          <w:b/>
          <w:bCs/>
          <w:sz w:val="22"/>
          <w:szCs w:val="22"/>
          <w:lang w:val="sr-Latn-ME"/>
        </w:rPr>
        <w:t xml:space="preserve">ATUM REVIZIJE TEKSTA </w:t>
      </w:r>
    </w:p>
    <w:p w14:paraId="0C6CCCC5" w14:textId="77777777" w:rsidR="003F6A59" w:rsidRPr="000A3641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4F852DF" w14:textId="0346EAEF" w:rsidR="008A6D43" w:rsidRPr="000A3641" w:rsidRDefault="00F710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Jul, 2023. godine</w:t>
      </w:r>
    </w:p>
    <w:p w14:paraId="058FFC6C" w14:textId="77777777" w:rsidR="003F6A59" w:rsidRPr="000A3641" w:rsidRDefault="003F6A59" w:rsidP="00DE3F5C">
      <w:pPr>
        <w:rPr>
          <w:sz w:val="22"/>
          <w:szCs w:val="22"/>
          <w:lang w:val="sr-Latn-ME"/>
        </w:rPr>
      </w:pPr>
    </w:p>
    <w:sectPr w:rsidR="003F6A59" w:rsidRPr="000A3641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81839" w16cex:dateUtc="2023-07-11T16:04:00Z"/>
  <w16cex:commentExtensible w16cex:durableId="2858184C" w16cex:dateUtc="2023-07-11T16:05:00Z"/>
  <w16cex:commentExtensible w16cex:durableId="28581883" w16cex:dateUtc="2023-07-11T16:05:00Z"/>
  <w16cex:commentExtensible w16cex:durableId="285818A1" w16cex:dateUtc="2023-07-11T16:06:00Z"/>
  <w16cex:commentExtensible w16cex:durableId="285818EF" w16cex:dateUtc="2023-07-11T16:07:00Z"/>
  <w16cex:commentExtensible w16cex:durableId="28581903" w16cex:dateUtc="2023-07-11T16:08:00Z"/>
  <w16cex:commentExtensible w16cex:durableId="28581910" w16cex:dateUtc="2023-07-11T16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BEF967" w16cid:durableId="28581839"/>
  <w16cid:commentId w16cid:paraId="63ADAF75" w16cid:durableId="2858184C"/>
  <w16cid:commentId w16cid:paraId="384F037A" w16cid:durableId="28581883"/>
  <w16cid:commentId w16cid:paraId="4B9477BD" w16cid:durableId="285818A1"/>
  <w16cid:commentId w16cid:paraId="17C06558" w16cid:durableId="285818EF"/>
  <w16cid:commentId w16cid:paraId="730132F7" w16cid:durableId="28581903"/>
  <w16cid:commentId w16cid:paraId="00272356" w16cid:durableId="285819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9ED8C" w14:textId="77777777" w:rsidR="00E22D88" w:rsidRDefault="00E22D88">
      <w:r>
        <w:separator/>
      </w:r>
    </w:p>
  </w:endnote>
  <w:endnote w:type="continuationSeparator" w:id="0">
    <w:p w14:paraId="6A78FAF7" w14:textId="77777777" w:rsidR="00E22D88" w:rsidRDefault="00E2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054BE" w14:textId="1F62CC58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F710E0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F710E0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41B32" w14:textId="77777777" w:rsidR="00E22D88" w:rsidRDefault="00E22D88">
      <w:r>
        <w:separator/>
      </w:r>
    </w:p>
  </w:footnote>
  <w:footnote w:type="continuationSeparator" w:id="0">
    <w:p w14:paraId="34C10A35" w14:textId="77777777" w:rsidR="00E22D88" w:rsidRDefault="00E22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100275E"/>
    <w:multiLevelType w:val="hybridMultilevel"/>
    <w:tmpl w:val="F9B0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34A68AC"/>
    <w:multiLevelType w:val="hybridMultilevel"/>
    <w:tmpl w:val="9036D3D4"/>
    <w:lvl w:ilvl="0" w:tplc="5D808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5130"/>
    <w:rsid w:val="00057E35"/>
    <w:rsid w:val="00075E28"/>
    <w:rsid w:val="00076726"/>
    <w:rsid w:val="00080303"/>
    <w:rsid w:val="00083D02"/>
    <w:rsid w:val="000A3641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0D50"/>
    <w:rsid w:val="0014766D"/>
    <w:rsid w:val="001536CC"/>
    <w:rsid w:val="001771F7"/>
    <w:rsid w:val="001A3FBA"/>
    <w:rsid w:val="001A5518"/>
    <w:rsid w:val="001B1C6A"/>
    <w:rsid w:val="001B2D4C"/>
    <w:rsid w:val="001C1263"/>
    <w:rsid w:val="001C1417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A325C"/>
    <w:rsid w:val="002B3317"/>
    <w:rsid w:val="002C44EE"/>
    <w:rsid w:val="002C6637"/>
    <w:rsid w:val="002E0135"/>
    <w:rsid w:val="002E37A5"/>
    <w:rsid w:val="00307CA1"/>
    <w:rsid w:val="00310F03"/>
    <w:rsid w:val="003247D2"/>
    <w:rsid w:val="003445C1"/>
    <w:rsid w:val="00347583"/>
    <w:rsid w:val="00355B61"/>
    <w:rsid w:val="00362686"/>
    <w:rsid w:val="00371510"/>
    <w:rsid w:val="00376371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54E9"/>
    <w:rsid w:val="00427F85"/>
    <w:rsid w:val="00436F42"/>
    <w:rsid w:val="004378B4"/>
    <w:rsid w:val="00451314"/>
    <w:rsid w:val="00452E9D"/>
    <w:rsid w:val="004534C7"/>
    <w:rsid w:val="00463404"/>
    <w:rsid w:val="004671AA"/>
    <w:rsid w:val="00471DF8"/>
    <w:rsid w:val="00480FB1"/>
    <w:rsid w:val="00483928"/>
    <w:rsid w:val="004C331F"/>
    <w:rsid w:val="004D6103"/>
    <w:rsid w:val="004E3BCE"/>
    <w:rsid w:val="004E70AD"/>
    <w:rsid w:val="004F0E97"/>
    <w:rsid w:val="004F17E2"/>
    <w:rsid w:val="00501DD1"/>
    <w:rsid w:val="00515C21"/>
    <w:rsid w:val="00530BD7"/>
    <w:rsid w:val="00545CD2"/>
    <w:rsid w:val="005476F3"/>
    <w:rsid w:val="005522A1"/>
    <w:rsid w:val="00572527"/>
    <w:rsid w:val="00573E40"/>
    <w:rsid w:val="00576348"/>
    <w:rsid w:val="0058159B"/>
    <w:rsid w:val="005A0B2E"/>
    <w:rsid w:val="005A23D2"/>
    <w:rsid w:val="005A36CB"/>
    <w:rsid w:val="005B49B8"/>
    <w:rsid w:val="005C0741"/>
    <w:rsid w:val="005C5EF4"/>
    <w:rsid w:val="005E2E0B"/>
    <w:rsid w:val="005E67AD"/>
    <w:rsid w:val="005E7A7D"/>
    <w:rsid w:val="00602457"/>
    <w:rsid w:val="00625848"/>
    <w:rsid w:val="00644FC3"/>
    <w:rsid w:val="00646BD1"/>
    <w:rsid w:val="006561C2"/>
    <w:rsid w:val="00671CB3"/>
    <w:rsid w:val="00674BAF"/>
    <w:rsid w:val="00682200"/>
    <w:rsid w:val="00692BF6"/>
    <w:rsid w:val="006A1351"/>
    <w:rsid w:val="006A1497"/>
    <w:rsid w:val="006B0BD1"/>
    <w:rsid w:val="006B5404"/>
    <w:rsid w:val="006D20A5"/>
    <w:rsid w:val="006D37BF"/>
    <w:rsid w:val="006E5257"/>
    <w:rsid w:val="006F67D8"/>
    <w:rsid w:val="00702E22"/>
    <w:rsid w:val="0072020E"/>
    <w:rsid w:val="00725706"/>
    <w:rsid w:val="00731C0B"/>
    <w:rsid w:val="00754902"/>
    <w:rsid w:val="00773F43"/>
    <w:rsid w:val="00786071"/>
    <w:rsid w:val="007A3ECB"/>
    <w:rsid w:val="007C6CCD"/>
    <w:rsid w:val="007D7BB3"/>
    <w:rsid w:val="007E31E9"/>
    <w:rsid w:val="007F05E3"/>
    <w:rsid w:val="00817568"/>
    <w:rsid w:val="00824AB9"/>
    <w:rsid w:val="00836B35"/>
    <w:rsid w:val="00843BDE"/>
    <w:rsid w:val="008549A7"/>
    <w:rsid w:val="00862F6D"/>
    <w:rsid w:val="0087588C"/>
    <w:rsid w:val="0089705C"/>
    <w:rsid w:val="008A6D43"/>
    <w:rsid w:val="008B491E"/>
    <w:rsid w:val="008C1A28"/>
    <w:rsid w:val="008C2E98"/>
    <w:rsid w:val="008C3071"/>
    <w:rsid w:val="008E49BD"/>
    <w:rsid w:val="008E53E9"/>
    <w:rsid w:val="008E5771"/>
    <w:rsid w:val="008F4ACF"/>
    <w:rsid w:val="00924166"/>
    <w:rsid w:val="00940B9B"/>
    <w:rsid w:val="00953573"/>
    <w:rsid w:val="0095676E"/>
    <w:rsid w:val="00956983"/>
    <w:rsid w:val="00963CF0"/>
    <w:rsid w:val="00964BB1"/>
    <w:rsid w:val="00971A76"/>
    <w:rsid w:val="009775D9"/>
    <w:rsid w:val="00997175"/>
    <w:rsid w:val="009A1847"/>
    <w:rsid w:val="009B062A"/>
    <w:rsid w:val="009E7C6F"/>
    <w:rsid w:val="009F1793"/>
    <w:rsid w:val="009F2D23"/>
    <w:rsid w:val="00A01D69"/>
    <w:rsid w:val="00A02335"/>
    <w:rsid w:val="00A15AAD"/>
    <w:rsid w:val="00A46C9A"/>
    <w:rsid w:val="00A619F3"/>
    <w:rsid w:val="00A62A73"/>
    <w:rsid w:val="00A87FF6"/>
    <w:rsid w:val="00AA0A3B"/>
    <w:rsid w:val="00AA2763"/>
    <w:rsid w:val="00AA33B6"/>
    <w:rsid w:val="00AB465A"/>
    <w:rsid w:val="00AB50CA"/>
    <w:rsid w:val="00AB6D64"/>
    <w:rsid w:val="00AC051D"/>
    <w:rsid w:val="00AC53CE"/>
    <w:rsid w:val="00AD2193"/>
    <w:rsid w:val="00AF19F4"/>
    <w:rsid w:val="00AF2AC7"/>
    <w:rsid w:val="00AF539D"/>
    <w:rsid w:val="00AF74CE"/>
    <w:rsid w:val="00B208DB"/>
    <w:rsid w:val="00B23F69"/>
    <w:rsid w:val="00B60619"/>
    <w:rsid w:val="00B66A70"/>
    <w:rsid w:val="00B67366"/>
    <w:rsid w:val="00B80EE1"/>
    <w:rsid w:val="00B830F8"/>
    <w:rsid w:val="00B84135"/>
    <w:rsid w:val="00C04D34"/>
    <w:rsid w:val="00C05DF8"/>
    <w:rsid w:val="00C06864"/>
    <w:rsid w:val="00C10F54"/>
    <w:rsid w:val="00C23D8D"/>
    <w:rsid w:val="00C31CB9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87FA8"/>
    <w:rsid w:val="00C94C0D"/>
    <w:rsid w:val="00CA1FEB"/>
    <w:rsid w:val="00CA4FC5"/>
    <w:rsid w:val="00CD4F85"/>
    <w:rsid w:val="00CD6F02"/>
    <w:rsid w:val="00CE246D"/>
    <w:rsid w:val="00CE552E"/>
    <w:rsid w:val="00CF07A0"/>
    <w:rsid w:val="00CF3E03"/>
    <w:rsid w:val="00D00358"/>
    <w:rsid w:val="00D0082A"/>
    <w:rsid w:val="00D21455"/>
    <w:rsid w:val="00D47634"/>
    <w:rsid w:val="00D53974"/>
    <w:rsid w:val="00D709B3"/>
    <w:rsid w:val="00D74CD2"/>
    <w:rsid w:val="00DA2ED6"/>
    <w:rsid w:val="00DB1D55"/>
    <w:rsid w:val="00DB76B8"/>
    <w:rsid w:val="00DC2EA1"/>
    <w:rsid w:val="00DD6AAF"/>
    <w:rsid w:val="00DE3F5C"/>
    <w:rsid w:val="00DF1D20"/>
    <w:rsid w:val="00E21324"/>
    <w:rsid w:val="00E22D88"/>
    <w:rsid w:val="00E246B9"/>
    <w:rsid w:val="00E31FEA"/>
    <w:rsid w:val="00E45169"/>
    <w:rsid w:val="00E47787"/>
    <w:rsid w:val="00E51C30"/>
    <w:rsid w:val="00E64180"/>
    <w:rsid w:val="00E7235D"/>
    <w:rsid w:val="00E74AEE"/>
    <w:rsid w:val="00E80039"/>
    <w:rsid w:val="00E868E5"/>
    <w:rsid w:val="00E9237A"/>
    <w:rsid w:val="00E939FA"/>
    <w:rsid w:val="00EA5765"/>
    <w:rsid w:val="00EB7F2A"/>
    <w:rsid w:val="00EC1CC3"/>
    <w:rsid w:val="00EC2532"/>
    <w:rsid w:val="00ED7812"/>
    <w:rsid w:val="00EF3B86"/>
    <w:rsid w:val="00F317E9"/>
    <w:rsid w:val="00F34554"/>
    <w:rsid w:val="00F35B68"/>
    <w:rsid w:val="00F36E01"/>
    <w:rsid w:val="00F45F77"/>
    <w:rsid w:val="00F5167F"/>
    <w:rsid w:val="00F52258"/>
    <w:rsid w:val="00F710E0"/>
    <w:rsid w:val="00F8570A"/>
    <w:rsid w:val="00F91C7B"/>
    <w:rsid w:val="00FD03AA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0D73A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table" w:styleId="TableGrid">
    <w:name w:val="Table Grid"/>
    <w:basedOn w:val="TableNormal"/>
    <w:rsid w:val="00EB7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974"/>
    <w:pPr>
      <w:ind w:left="720"/>
      <w:contextualSpacing/>
    </w:pPr>
  </w:style>
  <w:style w:type="paragraph" w:styleId="Revision">
    <w:name w:val="Revision"/>
    <w:hidden/>
    <w:uiPriority w:val="99"/>
    <w:semiHidden/>
    <w:rsid w:val="000A364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2B50D-8D10-46C2-8528-60AC38E6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10018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Olja Borozan</cp:lastModifiedBy>
  <cp:revision>5</cp:revision>
  <cp:lastPrinted>2023-02-09T08:16:00Z</cp:lastPrinted>
  <dcterms:created xsi:type="dcterms:W3CDTF">2023-07-11T16:09:00Z</dcterms:created>
  <dcterms:modified xsi:type="dcterms:W3CDTF">2023-07-19T10:34:00Z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