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5518" w:rsidRPr="008E586D" w:rsidRDefault="001A5518" w:rsidP="001A5518">
      <w:pPr>
        <w:rPr>
          <w:b/>
          <w:bCs/>
          <w:i/>
          <w:iCs/>
          <w:sz w:val="22"/>
          <w:szCs w:val="22"/>
          <w:u w:val="single"/>
          <w:lang w:val="sr-Latn-ME"/>
        </w:rPr>
      </w:pPr>
    </w:p>
    <w:p w:rsidR="00F91C7B" w:rsidRPr="008E586D" w:rsidRDefault="00F91C7B" w:rsidP="001A5518">
      <w:pPr>
        <w:rPr>
          <w:b/>
          <w:bCs/>
          <w:i/>
          <w:iCs/>
          <w:sz w:val="22"/>
          <w:szCs w:val="22"/>
          <w:u w:val="single"/>
          <w:lang w:val="sr-Latn-ME"/>
        </w:rPr>
      </w:pPr>
    </w:p>
    <w:p w:rsidR="002510A5" w:rsidRPr="008E586D" w:rsidRDefault="002510A5" w:rsidP="002510A5">
      <w:pPr>
        <w:jc w:val="center"/>
        <w:rPr>
          <w:b/>
          <w:bCs/>
          <w:iCs/>
          <w:sz w:val="22"/>
          <w:szCs w:val="22"/>
          <w:u w:val="single"/>
          <w:lang w:val="sr-Latn-ME"/>
        </w:rPr>
      </w:pPr>
      <w:r w:rsidRPr="008E586D">
        <w:rPr>
          <w:b/>
          <w:bCs/>
          <w:iCs/>
          <w:sz w:val="22"/>
          <w:szCs w:val="22"/>
          <w:u w:val="single"/>
          <w:lang w:val="sr-Latn-ME"/>
        </w:rPr>
        <w:t>SAŽETAK KARAKTERISTIKA LIJEKA</w:t>
      </w:r>
    </w:p>
    <w:p w:rsidR="002510A5" w:rsidRPr="008E586D" w:rsidRDefault="002510A5" w:rsidP="002510A5">
      <w:pPr>
        <w:rPr>
          <w:b/>
          <w:bCs/>
          <w:i/>
          <w:iCs/>
          <w:sz w:val="22"/>
          <w:szCs w:val="22"/>
          <w:u w:val="single"/>
          <w:lang w:val="sr-Latn-ME"/>
        </w:rPr>
      </w:pPr>
    </w:p>
    <w:p w:rsidR="003C17AB" w:rsidRPr="008E586D" w:rsidRDefault="003C17AB" w:rsidP="00F5167F">
      <w:pPr>
        <w:tabs>
          <w:tab w:val="left" w:pos="540"/>
          <w:tab w:val="left" w:pos="569"/>
        </w:tabs>
        <w:rPr>
          <w:noProof/>
          <w:sz w:val="22"/>
          <w:szCs w:val="22"/>
          <w:lang w:val="sr-Latn-ME"/>
        </w:rPr>
      </w:pPr>
    </w:p>
    <w:p w:rsidR="00C37FD7" w:rsidRPr="008E586D" w:rsidRDefault="00C37FD7" w:rsidP="00F5167F">
      <w:pPr>
        <w:tabs>
          <w:tab w:val="left" w:pos="540"/>
          <w:tab w:val="left" w:pos="569"/>
        </w:tabs>
        <w:rPr>
          <w:bCs/>
          <w:sz w:val="22"/>
          <w:szCs w:val="22"/>
          <w:lang w:val="sr-Latn-ME"/>
        </w:rPr>
      </w:pPr>
    </w:p>
    <w:p w:rsidR="00411B4B" w:rsidRPr="008E586D" w:rsidRDefault="00411B4B" w:rsidP="00F5167F">
      <w:pPr>
        <w:tabs>
          <w:tab w:val="left" w:pos="540"/>
          <w:tab w:val="left" w:pos="569"/>
        </w:tabs>
        <w:rPr>
          <w:b/>
          <w:bCs/>
          <w:sz w:val="22"/>
          <w:szCs w:val="22"/>
          <w:lang w:val="sr-Latn-ME"/>
        </w:rPr>
      </w:pPr>
      <w:r w:rsidRPr="008E586D">
        <w:rPr>
          <w:b/>
          <w:bCs/>
          <w:sz w:val="22"/>
          <w:szCs w:val="22"/>
          <w:lang w:val="sr-Latn-ME"/>
        </w:rPr>
        <w:t>1.</w:t>
      </w:r>
      <w:r w:rsidR="00F5167F" w:rsidRPr="008E586D">
        <w:rPr>
          <w:b/>
          <w:bCs/>
          <w:sz w:val="22"/>
          <w:szCs w:val="22"/>
          <w:lang w:val="sr-Latn-ME"/>
        </w:rPr>
        <w:tab/>
      </w:r>
      <w:r w:rsidR="002846DB" w:rsidRPr="008E586D">
        <w:rPr>
          <w:b/>
          <w:bCs/>
          <w:sz w:val="22"/>
          <w:szCs w:val="22"/>
          <w:lang w:val="sr-Latn-ME"/>
        </w:rPr>
        <w:t xml:space="preserve">NAZIV </w:t>
      </w:r>
      <w:r w:rsidRPr="008E586D">
        <w:rPr>
          <w:b/>
          <w:bCs/>
          <w:sz w:val="22"/>
          <w:szCs w:val="22"/>
          <w:lang w:val="sr-Latn-ME"/>
        </w:rPr>
        <w:t>LIJEKA</w:t>
      </w:r>
    </w:p>
    <w:p w:rsidR="00EC2532" w:rsidRPr="008E586D" w:rsidRDefault="00EC2532">
      <w:pPr>
        <w:rPr>
          <w:sz w:val="22"/>
          <w:szCs w:val="22"/>
          <w:lang w:val="sr-Latn-ME"/>
        </w:rPr>
      </w:pPr>
    </w:p>
    <w:p w:rsidR="00D04381" w:rsidRPr="008E586D" w:rsidRDefault="00D04381" w:rsidP="00D04381">
      <w:pPr>
        <w:rPr>
          <w:iCs/>
          <w:sz w:val="22"/>
          <w:szCs w:val="22"/>
          <w:lang w:val="sr-Latn-ME"/>
        </w:rPr>
      </w:pPr>
      <w:r w:rsidRPr="008E586D">
        <w:rPr>
          <w:iCs/>
          <w:sz w:val="22"/>
          <w:szCs w:val="22"/>
          <w:lang w:val="sr-Latn-ME"/>
        </w:rPr>
        <w:t>Irinotecan Accord, 20 mg/ml, koncentrat za rastvor za infuziju</w:t>
      </w:r>
    </w:p>
    <w:p w:rsidR="000D425A" w:rsidRPr="008E586D" w:rsidRDefault="000D425A">
      <w:pPr>
        <w:rPr>
          <w:bCs/>
          <w:sz w:val="22"/>
          <w:szCs w:val="22"/>
          <w:lang w:val="sr-Latn-ME"/>
        </w:rPr>
      </w:pPr>
    </w:p>
    <w:p w:rsidR="006D20A5" w:rsidRPr="008E586D" w:rsidRDefault="006D20A5" w:rsidP="006D20A5">
      <w:pPr>
        <w:rPr>
          <w:sz w:val="22"/>
          <w:szCs w:val="22"/>
          <w:lang w:val="sr-Latn-ME"/>
        </w:rPr>
      </w:pPr>
      <w:r w:rsidRPr="008E586D">
        <w:rPr>
          <w:sz w:val="22"/>
          <w:szCs w:val="22"/>
          <w:lang w:val="sr-Latn-ME"/>
        </w:rPr>
        <w:t>INN:</w:t>
      </w:r>
      <w:r w:rsidR="00D04381" w:rsidRPr="008E586D">
        <w:rPr>
          <w:sz w:val="22"/>
          <w:szCs w:val="22"/>
          <w:lang w:val="sr-Latn-ME"/>
        </w:rPr>
        <w:t xml:space="preserve"> irinotekan</w:t>
      </w:r>
    </w:p>
    <w:p w:rsidR="006D20A5" w:rsidRPr="008E586D" w:rsidRDefault="006D20A5">
      <w:pPr>
        <w:rPr>
          <w:bCs/>
          <w:sz w:val="22"/>
          <w:szCs w:val="22"/>
          <w:lang w:val="sr-Latn-ME"/>
        </w:rPr>
      </w:pPr>
    </w:p>
    <w:p w:rsidR="00530BD7" w:rsidRPr="008E586D" w:rsidRDefault="00530BD7">
      <w:pPr>
        <w:rPr>
          <w:bCs/>
          <w:sz w:val="22"/>
          <w:szCs w:val="22"/>
          <w:lang w:val="sr-Latn-ME"/>
        </w:rPr>
      </w:pPr>
    </w:p>
    <w:p w:rsidR="00411B4B" w:rsidRPr="008E586D" w:rsidRDefault="00411B4B" w:rsidP="00F5167F">
      <w:pPr>
        <w:tabs>
          <w:tab w:val="left" w:pos="540"/>
          <w:tab w:val="left" w:pos="569"/>
        </w:tabs>
        <w:rPr>
          <w:b/>
          <w:bCs/>
          <w:sz w:val="22"/>
          <w:szCs w:val="22"/>
          <w:lang w:val="sr-Latn-ME"/>
        </w:rPr>
      </w:pPr>
      <w:r w:rsidRPr="008E586D">
        <w:rPr>
          <w:b/>
          <w:bCs/>
          <w:sz w:val="22"/>
          <w:szCs w:val="22"/>
          <w:lang w:val="sr-Latn-ME"/>
        </w:rPr>
        <w:t xml:space="preserve">2. </w:t>
      </w:r>
      <w:r w:rsidR="00F5167F" w:rsidRPr="008E586D">
        <w:rPr>
          <w:b/>
          <w:bCs/>
          <w:sz w:val="22"/>
          <w:szCs w:val="22"/>
          <w:lang w:val="sr-Latn-ME"/>
        </w:rPr>
        <w:tab/>
      </w:r>
      <w:r w:rsidRPr="008E586D">
        <w:rPr>
          <w:b/>
          <w:bCs/>
          <w:sz w:val="22"/>
          <w:szCs w:val="22"/>
          <w:lang w:val="sr-Latn-ME"/>
        </w:rPr>
        <w:t>KVALITATIVNI I KVANTITATIVNI SASTAV</w:t>
      </w:r>
    </w:p>
    <w:p w:rsidR="00D04381" w:rsidRPr="008E586D" w:rsidRDefault="00D04381" w:rsidP="00F5167F">
      <w:pPr>
        <w:tabs>
          <w:tab w:val="left" w:pos="540"/>
          <w:tab w:val="left" w:pos="569"/>
        </w:tabs>
        <w:rPr>
          <w:b/>
          <w:bCs/>
          <w:sz w:val="22"/>
          <w:szCs w:val="22"/>
          <w:lang w:val="sr-Latn-ME"/>
        </w:rPr>
      </w:pPr>
    </w:p>
    <w:p w:rsidR="00D04381" w:rsidRPr="008E586D" w:rsidRDefault="00D04381" w:rsidP="00D04381">
      <w:pPr>
        <w:jc w:val="both"/>
        <w:rPr>
          <w:sz w:val="22"/>
          <w:szCs w:val="22"/>
          <w:lang w:val="sr-Latn-ME"/>
        </w:rPr>
      </w:pPr>
      <w:r w:rsidRPr="008E586D">
        <w:rPr>
          <w:sz w:val="22"/>
          <w:szCs w:val="22"/>
          <w:lang w:val="sr-Latn-ME"/>
        </w:rPr>
        <w:t>Jedan ml koncentrata za rastvor za infuziju sadrži 20 mg irinotekan hidrohlorid, trihidrata (što odgovara 17,33 mg irinotekana).</w:t>
      </w:r>
    </w:p>
    <w:p w:rsidR="00D04381" w:rsidRPr="008E586D" w:rsidRDefault="00D04381" w:rsidP="00D04381">
      <w:pPr>
        <w:jc w:val="both"/>
        <w:rPr>
          <w:sz w:val="22"/>
          <w:szCs w:val="22"/>
          <w:lang w:val="sr-Latn-ME"/>
        </w:rPr>
      </w:pPr>
    </w:p>
    <w:p w:rsidR="00D04381" w:rsidRPr="008E586D" w:rsidRDefault="00D04381" w:rsidP="00D04381">
      <w:pPr>
        <w:jc w:val="both"/>
        <w:rPr>
          <w:sz w:val="22"/>
          <w:szCs w:val="22"/>
          <w:lang w:val="sr-Latn-ME"/>
        </w:rPr>
      </w:pPr>
      <w:r w:rsidRPr="008E586D">
        <w:rPr>
          <w:sz w:val="22"/>
          <w:szCs w:val="22"/>
          <w:lang w:val="sr-Latn-ME"/>
        </w:rPr>
        <w:t xml:space="preserve">Jedna bočica </w:t>
      </w:r>
      <w:r w:rsidR="007B3157" w:rsidRPr="008E586D">
        <w:rPr>
          <w:sz w:val="22"/>
          <w:szCs w:val="22"/>
          <w:lang w:val="sr-Latn-ME"/>
        </w:rPr>
        <w:t>od</w:t>
      </w:r>
      <w:r w:rsidRPr="008E586D">
        <w:rPr>
          <w:sz w:val="22"/>
          <w:szCs w:val="22"/>
          <w:lang w:val="sr-Latn-ME"/>
        </w:rPr>
        <w:t xml:space="preserve"> 2 ml sadrži 40 mg irinotekan hidrohlorid, trihidrata.</w:t>
      </w:r>
    </w:p>
    <w:p w:rsidR="00D04381" w:rsidRPr="008E586D" w:rsidRDefault="00D04381" w:rsidP="00D04381">
      <w:pPr>
        <w:jc w:val="both"/>
        <w:rPr>
          <w:sz w:val="22"/>
          <w:szCs w:val="22"/>
          <w:lang w:val="sr-Latn-ME"/>
        </w:rPr>
      </w:pPr>
      <w:r w:rsidRPr="008E586D">
        <w:rPr>
          <w:sz w:val="22"/>
          <w:szCs w:val="22"/>
          <w:lang w:val="sr-Latn-ME"/>
        </w:rPr>
        <w:t xml:space="preserve">Jedna bočica </w:t>
      </w:r>
      <w:r w:rsidR="007B3157" w:rsidRPr="008E586D">
        <w:rPr>
          <w:sz w:val="22"/>
          <w:szCs w:val="22"/>
          <w:lang w:val="sr-Latn-ME"/>
        </w:rPr>
        <w:t>od</w:t>
      </w:r>
      <w:r w:rsidRPr="008E586D">
        <w:rPr>
          <w:sz w:val="22"/>
          <w:szCs w:val="22"/>
          <w:lang w:val="sr-Latn-ME"/>
        </w:rPr>
        <w:t xml:space="preserve"> 5 ml sadrži 100 mg irinotekan hidrohlorid, trihidrata.</w:t>
      </w:r>
    </w:p>
    <w:p w:rsidR="00D04381" w:rsidRPr="008E586D" w:rsidRDefault="00D04381" w:rsidP="00D04381">
      <w:pPr>
        <w:jc w:val="both"/>
        <w:rPr>
          <w:sz w:val="22"/>
          <w:szCs w:val="22"/>
          <w:lang w:val="sr-Latn-ME"/>
        </w:rPr>
      </w:pPr>
    </w:p>
    <w:p w:rsidR="00D04381" w:rsidRPr="008E586D" w:rsidRDefault="00D04381" w:rsidP="00D04381">
      <w:pPr>
        <w:jc w:val="both"/>
        <w:rPr>
          <w:sz w:val="22"/>
          <w:szCs w:val="22"/>
          <w:lang w:val="sr-Latn-ME"/>
        </w:rPr>
      </w:pPr>
      <w:r w:rsidRPr="008E586D">
        <w:rPr>
          <w:sz w:val="22"/>
          <w:szCs w:val="22"/>
          <w:lang w:val="sr-Latn-ME"/>
        </w:rPr>
        <w:t>Pomoćna supstanca sa potvrđenim dejstvom:</w:t>
      </w:r>
    </w:p>
    <w:p w:rsidR="005A0B2E" w:rsidRPr="008E586D" w:rsidRDefault="00D04381" w:rsidP="00D04381">
      <w:pPr>
        <w:jc w:val="both"/>
        <w:rPr>
          <w:sz w:val="22"/>
          <w:szCs w:val="22"/>
          <w:lang w:val="sr-Latn-ME"/>
        </w:rPr>
      </w:pPr>
      <w:r w:rsidRPr="008E586D">
        <w:rPr>
          <w:sz w:val="22"/>
          <w:szCs w:val="22"/>
          <w:lang w:val="sr-Latn-ME"/>
        </w:rPr>
        <w:t>1 ml koncentrata sadrži 45 mg sorbitola.</w:t>
      </w:r>
    </w:p>
    <w:p w:rsidR="0003793F" w:rsidRPr="008E586D" w:rsidRDefault="0003793F">
      <w:pPr>
        <w:rPr>
          <w:sz w:val="22"/>
          <w:szCs w:val="22"/>
          <w:lang w:val="sr-Latn-ME"/>
        </w:rPr>
      </w:pPr>
      <w:r w:rsidRPr="008E586D">
        <w:rPr>
          <w:sz w:val="22"/>
          <w:szCs w:val="22"/>
          <w:lang w:val="sr-Latn-ME"/>
        </w:rPr>
        <w:t>Za spisak svih ekscipijenasa, pogledati dio 6.1.</w:t>
      </w:r>
    </w:p>
    <w:p w:rsidR="0003793F" w:rsidRPr="008E586D" w:rsidRDefault="0003793F">
      <w:pPr>
        <w:rPr>
          <w:sz w:val="22"/>
          <w:szCs w:val="22"/>
          <w:lang w:val="sr-Latn-ME"/>
        </w:rPr>
      </w:pPr>
    </w:p>
    <w:p w:rsidR="00C37FD7" w:rsidRPr="008E586D" w:rsidRDefault="00C37FD7">
      <w:pPr>
        <w:rPr>
          <w:sz w:val="22"/>
          <w:szCs w:val="22"/>
          <w:lang w:val="sr-Latn-ME"/>
        </w:rPr>
      </w:pPr>
    </w:p>
    <w:p w:rsidR="00411B4B" w:rsidRPr="008E586D" w:rsidRDefault="00411B4B" w:rsidP="00F5167F">
      <w:pPr>
        <w:tabs>
          <w:tab w:val="left" w:pos="540"/>
          <w:tab w:val="left" w:pos="569"/>
        </w:tabs>
        <w:rPr>
          <w:b/>
          <w:bCs/>
          <w:sz w:val="22"/>
          <w:szCs w:val="22"/>
          <w:lang w:val="sr-Latn-ME"/>
        </w:rPr>
      </w:pPr>
      <w:r w:rsidRPr="008E586D">
        <w:rPr>
          <w:b/>
          <w:bCs/>
          <w:sz w:val="22"/>
          <w:szCs w:val="22"/>
          <w:lang w:val="sr-Latn-ME"/>
        </w:rPr>
        <w:t xml:space="preserve">3. </w:t>
      </w:r>
      <w:r w:rsidR="00F5167F" w:rsidRPr="008E586D">
        <w:rPr>
          <w:b/>
          <w:bCs/>
          <w:sz w:val="22"/>
          <w:szCs w:val="22"/>
          <w:lang w:val="sr-Latn-ME"/>
        </w:rPr>
        <w:tab/>
      </w:r>
      <w:r w:rsidRPr="008E586D">
        <w:rPr>
          <w:b/>
          <w:bCs/>
          <w:sz w:val="22"/>
          <w:szCs w:val="22"/>
          <w:lang w:val="sr-Latn-ME"/>
        </w:rPr>
        <w:t>FARMACEUTSKI OBLIK</w:t>
      </w:r>
      <w:r w:rsidR="009F2D23" w:rsidRPr="008E586D">
        <w:rPr>
          <w:b/>
          <w:bCs/>
          <w:sz w:val="22"/>
          <w:szCs w:val="22"/>
          <w:lang w:val="sr-Latn-ME"/>
        </w:rPr>
        <w:t xml:space="preserve"> </w:t>
      </w:r>
    </w:p>
    <w:p w:rsidR="00411B4B" w:rsidRPr="008E586D" w:rsidRDefault="00411B4B">
      <w:pPr>
        <w:rPr>
          <w:bCs/>
          <w:sz w:val="22"/>
          <w:szCs w:val="22"/>
          <w:lang w:val="sr-Latn-ME"/>
        </w:rPr>
      </w:pPr>
    </w:p>
    <w:p w:rsidR="00D04381" w:rsidRPr="008E586D" w:rsidRDefault="00D04381" w:rsidP="00D04381">
      <w:pPr>
        <w:jc w:val="both"/>
        <w:rPr>
          <w:bCs/>
          <w:sz w:val="22"/>
          <w:szCs w:val="22"/>
          <w:lang w:val="sr-Latn-ME"/>
        </w:rPr>
      </w:pPr>
      <w:r w:rsidRPr="008E586D">
        <w:rPr>
          <w:bCs/>
          <w:sz w:val="22"/>
          <w:szCs w:val="22"/>
          <w:lang w:val="sr-Latn-ME"/>
        </w:rPr>
        <w:t>Koncentrat za rastvor za infuziju.</w:t>
      </w:r>
    </w:p>
    <w:p w:rsidR="00D04381" w:rsidRPr="008E586D" w:rsidRDefault="00D04381" w:rsidP="00D04381">
      <w:pPr>
        <w:jc w:val="both"/>
        <w:rPr>
          <w:bCs/>
          <w:sz w:val="22"/>
          <w:szCs w:val="22"/>
          <w:lang w:val="sr-Latn-ME"/>
        </w:rPr>
      </w:pPr>
      <w:r w:rsidRPr="008E586D">
        <w:rPr>
          <w:bCs/>
          <w:sz w:val="22"/>
          <w:szCs w:val="22"/>
          <w:lang w:val="sr-Latn-ME"/>
        </w:rPr>
        <w:t>Blijedo žut, bistar rastvor, bez prisustva čestica. pH vrijednost se kreće u rasponu od otprilike 3.0 do 3.8</w:t>
      </w:r>
      <w:r w:rsidR="00620520" w:rsidRPr="008E586D">
        <w:rPr>
          <w:bCs/>
          <w:sz w:val="22"/>
          <w:szCs w:val="22"/>
          <w:lang w:val="sr-Latn-ME"/>
        </w:rPr>
        <w:t>,</w:t>
      </w:r>
      <w:r w:rsidRPr="008E586D">
        <w:rPr>
          <w:bCs/>
          <w:sz w:val="22"/>
          <w:szCs w:val="22"/>
          <w:lang w:val="sr-Latn-ME"/>
        </w:rPr>
        <w:t xml:space="preserve"> a osmolalnost u rasponu od otprilike 270 do 330 mOsmol/kg.</w:t>
      </w:r>
    </w:p>
    <w:p w:rsidR="00043878" w:rsidRPr="008E586D" w:rsidRDefault="00043878" w:rsidP="00D04381">
      <w:pPr>
        <w:jc w:val="both"/>
        <w:rPr>
          <w:bCs/>
          <w:sz w:val="22"/>
          <w:szCs w:val="22"/>
          <w:lang w:val="sr-Latn-ME"/>
        </w:rPr>
      </w:pPr>
    </w:p>
    <w:p w:rsidR="00EC2532" w:rsidRPr="008E586D" w:rsidRDefault="00EC2532" w:rsidP="00D04381">
      <w:pPr>
        <w:jc w:val="both"/>
        <w:rPr>
          <w:bCs/>
          <w:sz w:val="22"/>
          <w:szCs w:val="22"/>
          <w:lang w:val="sr-Latn-ME"/>
        </w:rPr>
      </w:pPr>
    </w:p>
    <w:p w:rsidR="00411B4B" w:rsidRPr="008E586D" w:rsidRDefault="00411B4B" w:rsidP="00F5167F">
      <w:pPr>
        <w:tabs>
          <w:tab w:val="left" w:pos="540"/>
          <w:tab w:val="left" w:pos="569"/>
        </w:tabs>
        <w:rPr>
          <w:b/>
          <w:bCs/>
          <w:sz w:val="22"/>
          <w:szCs w:val="22"/>
          <w:lang w:val="sr-Latn-ME"/>
        </w:rPr>
      </w:pPr>
      <w:r w:rsidRPr="008E586D">
        <w:rPr>
          <w:b/>
          <w:bCs/>
          <w:sz w:val="22"/>
          <w:szCs w:val="22"/>
          <w:lang w:val="sr-Latn-ME"/>
        </w:rPr>
        <w:t xml:space="preserve">4. </w:t>
      </w:r>
      <w:r w:rsidR="00480FB1" w:rsidRPr="008E586D">
        <w:rPr>
          <w:b/>
          <w:bCs/>
          <w:sz w:val="22"/>
          <w:szCs w:val="22"/>
          <w:lang w:val="sr-Latn-ME"/>
        </w:rPr>
        <w:tab/>
      </w:r>
      <w:r w:rsidRPr="008E586D">
        <w:rPr>
          <w:b/>
          <w:bCs/>
          <w:sz w:val="22"/>
          <w:szCs w:val="22"/>
          <w:lang w:val="sr-Latn-ME"/>
        </w:rPr>
        <w:t>KLINIČKI PODACI</w:t>
      </w:r>
    </w:p>
    <w:p w:rsidR="00CD6F02" w:rsidRPr="008E586D" w:rsidRDefault="00CD6F02" w:rsidP="00480FB1">
      <w:pPr>
        <w:tabs>
          <w:tab w:val="left" w:pos="540"/>
          <w:tab w:val="left" w:pos="569"/>
        </w:tabs>
        <w:rPr>
          <w:bCs/>
          <w:sz w:val="22"/>
          <w:szCs w:val="22"/>
          <w:lang w:val="sr-Latn-ME"/>
        </w:rPr>
      </w:pPr>
    </w:p>
    <w:p w:rsidR="00411B4B" w:rsidRPr="008E586D" w:rsidRDefault="00411B4B" w:rsidP="00480FB1">
      <w:pPr>
        <w:tabs>
          <w:tab w:val="left" w:pos="540"/>
          <w:tab w:val="left" w:pos="569"/>
        </w:tabs>
        <w:rPr>
          <w:b/>
          <w:bCs/>
          <w:sz w:val="22"/>
          <w:szCs w:val="22"/>
          <w:lang w:val="sr-Latn-ME"/>
        </w:rPr>
      </w:pPr>
      <w:r w:rsidRPr="008E586D">
        <w:rPr>
          <w:b/>
          <w:bCs/>
          <w:sz w:val="22"/>
          <w:szCs w:val="22"/>
          <w:lang w:val="sr-Latn-ME"/>
        </w:rPr>
        <w:t xml:space="preserve">4.1. </w:t>
      </w:r>
      <w:r w:rsidR="00480FB1" w:rsidRPr="008E586D">
        <w:rPr>
          <w:b/>
          <w:bCs/>
          <w:sz w:val="22"/>
          <w:szCs w:val="22"/>
          <w:lang w:val="sr-Latn-ME"/>
        </w:rPr>
        <w:tab/>
      </w:r>
      <w:r w:rsidRPr="008E586D">
        <w:rPr>
          <w:b/>
          <w:bCs/>
          <w:sz w:val="22"/>
          <w:szCs w:val="22"/>
          <w:lang w:val="sr-Latn-ME"/>
        </w:rPr>
        <w:t>Terapijske indikacije</w:t>
      </w:r>
    </w:p>
    <w:p w:rsidR="00D04381" w:rsidRPr="008E586D" w:rsidRDefault="00D04381" w:rsidP="00480FB1">
      <w:pPr>
        <w:tabs>
          <w:tab w:val="left" w:pos="540"/>
          <w:tab w:val="left" w:pos="569"/>
        </w:tabs>
        <w:rPr>
          <w:b/>
          <w:bCs/>
          <w:sz w:val="22"/>
          <w:szCs w:val="22"/>
          <w:lang w:val="sr-Latn-ME"/>
        </w:rPr>
      </w:pPr>
    </w:p>
    <w:p w:rsidR="00D04381" w:rsidRPr="008E586D" w:rsidRDefault="00D04381" w:rsidP="00D04381">
      <w:pPr>
        <w:autoSpaceDE w:val="0"/>
        <w:autoSpaceDN w:val="0"/>
        <w:adjustRightInd w:val="0"/>
        <w:jc w:val="both"/>
        <w:rPr>
          <w:rFonts w:eastAsia="TimesNewRoman"/>
          <w:sz w:val="22"/>
          <w:szCs w:val="22"/>
          <w:lang w:val="sr-Latn-ME" w:eastAsia="sr-Latn-ME"/>
        </w:rPr>
      </w:pPr>
      <w:r w:rsidRPr="008E586D">
        <w:rPr>
          <w:rFonts w:eastAsia="TimesNewRoman"/>
          <w:sz w:val="22"/>
          <w:szCs w:val="22"/>
          <w:lang w:val="sr-Latn-ME" w:eastAsia="sr-Latn-ME"/>
        </w:rPr>
        <w:t>Lijek Irinotecan Accord je indikovan za liječenje pacijenata sa uznapredovalim kolorektalnim karcinomom:</w:t>
      </w:r>
    </w:p>
    <w:p w:rsidR="00D04381" w:rsidRPr="008E586D" w:rsidRDefault="00D04381" w:rsidP="00D04381">
      <w:pPr>
        <w:pStyle w:val="ListParagraph"/>
        <w:numPr>
          <w:ilvl w:val="0"/>
          <w:numId w:val="12"/>
        </w:numPr>
        <w:autoSpaceDE w:val="0"/>
        <w:autoSpaceDN w:val="0"/>
        <w:adjustRightInd w:val="0"/>
        <w:jc w:val="both"/>
        <w:rPr>
          <w:rFonts w:eastAsia="TimesNewRoman"/>
          <w:sz w:val="22"/>
          <w:szCs w:val="22"/>
          <w:lang w:val="sr-Latn-ME" w:eastAsia="sr-Latn-ME"/>
        </w:rPr>
      </w:pPr>
      <w:r w:rsidRPr="008E586D">
        <w:rPr>
          <w:rFonts w:eastAsia="TimesNewRoman"/>
          <w:sz w:val="22"/>
          <w:szCs w:val="22"/>
          <w:lang w:val="sr-Latn-ME" w:eastAsia="sr-Latn-ME"/>
        </w:rPr>
        <w:t>u kombinaciji sa 5-fluorouracilom i folinskom kiselinom, kod pacijenata koji nisu prethodno primali hemioterapiju za uznapredovalu bolest;</w:t>
      </w:r>
    </w:p>
    <w:p w:rsidR="00D04381" w:rsidRPr="008E586D" w:rsidRDefault="00D04381" w:rsidP="00D04381">
      <w:pPr>
        <w:pStyle w:val="ListParagraph"/>
        <w:numPr>
          <w:ilvl w:val="0"/>
          <w:numId w:val="12"/>
        </w:numPr>
        <w:autoSpaceDE w:val="0"/>
        <w:autoSpaceDN w:val="0"/>
        <w:adjustRightInd w:val="0"/>
        <w:jc w:val="both"/>
        <w:rPr>
          <w:rFonts w:eastAsia="TimesNewRoman"/>
          <w:sz w:val="22"/>
          <w:szCs w:val="22"/>
          <w:lang w:val="sr-Latn-ME" w:eastAsia="sr-Latn-ME"/>
        </w:rPr>
      </w:pPr>
      <w:r w:rsidRPr="008E586D">
        <w:rPr>
          <w:rFonts w:eastAsia="TimesNewRoman"/>
          <w:sz w:val="22"/>
          <w:szCs w:val="22"/>
          <w:lang w:val="sr-Latn-ME" w:eastAsia="sr-Latn-ME"/>
        </w:rPr>
        <w:t>u monoterapiji, kod pacijenata koji su prethodno neuspješno liječeni standardnim terapijskim protokolom sa 5-fluorouracilom.</w:t>
      </w:r>
    </w:p>
    <w:p w:rsidR="00D04381" w:rsidRPr="008E586D" w:rsidRDefault="00D04381" w:rsidP="00D04381">
      <w:pPr>
        <w:autoSpaceDE w:val="0"/>
        <w:autoSpaceDN w:val="0"/>
        <w:adjustRightInd w:val="0"/>
        <w:jc w:val="both"/>
        <w:rPr>
          <w:rFonts w:eastAsia="TimesNewRoman"/>
          <w:sz w:val="22"/>
          <w:szCs w:val="22"/>
          <w:lang w:val="sr-Latn-ME" w:eastAsia="sr-Latn-ME"/>
        </w:rPr>
      </w:pPr>
      <w:r w:rsidRPr="008E586D">
        <w:rPr>
          <w:rFonts w:eastAsia="TimesNewRoman"/>
          <w:sz w:val="22"/>
          <w:szCs w:val="22"/>
          <w:lang w:val="sr-Latn-ME" w:eastAsia="sr-Latn-ME"/>
        </w:rPr>
        <w:t xml:space="preserve">U kombinaciji sa cetuksimabom, lijek Irinotecan Accord je indikovan za liječenje pacijenata sa metastatskim kolorektalnim karcinomom </w:t>
      </w:r>
      <w:r w:rsidRPr="008E586D">
        <w:rPr>
          <w:rFonts w:eastAsia="TimesNewRoman"/>
          <w:i/>
          <w:iCs/>
          <w:sz w:val="22"/>
          <w:szCs w:val="22"/>
          <w:lang w:val="sr-Latn-ME" w:eastAsia="sr-Latn-ME"/>
        </w:rPr>
        <w:t xml:space="preserve">KRAS wild </w:t>
      </w:r>
      <w:r w:rsidRPr="008E586D">
        <w:rPr>
          <w:rFonts w:eastAsia="TimesNewRoman"/>
          <w:sz w:val="22"/>
          <w:szCs w:val="22"/>
          <w:lang w:val="sr-Latn-ME" w:eastAsia="sr-Latn-ME"/>
        </w:rPr>
        <w:t xml:space="preserve">tipa, koji eksprimira receptore za epidermalni faktor rasta (engl. </w:t>
      </w:r>
      <w:r w:rsidRPr="008E586D">
        <w:rPr>
          <w:rFonts w:eastAsia="TimesNewRoman"/>
          <w:i/>
          <w:iCs/>
          <w:sz w:val="22"/>
          <w:szCs w:val="22"/>
          <w:lang w:val="sr-Latn-ME" w:eastAsia="sr-Latn-ME"/>
        </w:rPr>
        <w:t>epidermal growth</w:t>
      </w:r>
      <w:r w:rsidRPr="008E586D">
        <w:rPr>
          <w:rFonts w:eastAsia="TimesNewRoman"/>
          <w:sz w:val="22"/>
          <w:szCs w:val="22"/>
          <w:lang w:val="sr-Latn-ME" w:eastAsia="sr-Latn-ME"/>
        </w:rPr>
        <w:t xml:space="preserve"> </w:t>
      </w:r>
      <w:r w:rsidRPr="008E586D">
        <w:rPr>
          <w:rFonts w:eastAsia="TimesNewRoman"/>
          <w:i/>
          <w:iCs/>
          <w:sz w:val="22"/>
          <w:szCs w:val="22"/>
          <w:lang w:val="sr-Latn-ME" w:eastAsia="sr-Latn-ME"/>
        </w:rPr>
        <w:t xml:space="preserve">factor receptors </w:t>
      </w:r>
      <w:r w:rsidRPr="008E586D">
        <w:rPr>
          <w:rFonts w:eastAsia="TimesNewRoman"/>
          <w:sz w:val="22"/>
          <w:szCs w:val="22"/>
          <w:lang w:val="sr-Latn-ME" w:eastAsia="sr-Latn-ME"/>
        </w:rPr>
        <w:t>– EGFR), a koji prethodno nisu primali terapiju za metastatsku bolest ili su neuspješno liječeni citotoksičnom terapijom koja je uključivala i irinotekan (vidjeti dio 5.1).</w:t>
      </w:r>
    </w:p>
    <w:p w:rsidR="00D04381" w:rsidRPr="008E586D" w:rsidRDefault="00D04381" w:rsidP="00D04381">
      <w:pPr>
        <w:autoSpaceDE w:val="0"/>
        <w:autoSpaceDN w:val="0"/>
        <w:adjustRightInd w:val="0"/>
        <w:jc w:val="both"/>
        <w:rPr>
          <w:rFonts w:eastAsia="TimesNewRoman"/>
          <w:sz w:val="22"/>
          <w:szCs w:val="22"/>
          <w:lang w:val="sr-Latn-ME" w:eastAsia="sr-Latn-ME"/>
        </w:rPr>
      </w:pPr>
      <w:r w:rsidRPr="008E586D">
        <w:rPr>
          <w:rFonts w:eastAsia="TimesNewRoman"/>
          <w:sz w:val="22"/>
          <w:szCs w:val="22"/>
          <w:lang w:val="sr-Latn-ME" w:eastAsia="sr-Latn-ME"/>
        </w:rPr>
        <w:t>U kombinaciji sa 5-fluorouracilom, folinskom kiselinom i bevacizumabom, lijek Irinotecan Accord je indikovan u prvoj liniji terapije kod pacijenata sa metastatskim karcinomom kolona ili rektuma.</w:t>
      </w:r>
    </w:p>
    <w:p w:rsidR="00D04381" w:rsidRPr="008E586D" w:rsidRDefault="00D04381" w:rsidP="00D04381">
      <w:pPr>
        <w:autoSpaceDE w:val="0"/>
        <w:autoSpaceDN w:val="0"/>
        <w:adjustRightInd w:val="0"/>
        <w:jc w:val="both"/>
        <w:rPr>
          <w:rFonts w:eastAsia="TimesNewRoman"/>
          <w:sz w:val="22"/>
          <w:szCs w:val="22"/>
          <w:lang w:val="sr-Latn-ME" w:eastAsia="sr-Latn-ME"/>
        </w:rPr>
      </w:pPr>
      <w:r w:rsidRPr="008E586D">
        <w:rPr>
          <w:rFonts w:eastAsia="TimesNewRoman"/>
          <w:sz w:val="22"/>
          <w:szCs w:val="22"/>
          <w:lang w:val="sr-Latn-ME" w:eastAsia="sr-Latn-ME"/>
        </w:rPr>
        <w:t>U kombinaciji sa kapecitabinom sa ili bez bevacizumaba, lijek Irinotecan Accord je indikovan u prvoj liniji terapije kod pacijenata sa metastatskim kolorektalnim karcinomom.</w:t>
      </w:r>
    </w:p>
    <w:p w:rsidR="0075351E" w:rsidRPr="008E586D" w:rsidRDefault="0075351E" w:rsidP="00D04381">
      <w:pPr>
        <w:autoSpaceDE w:val="0"/>
        <w:autoSpaceDN w:val="0"/>
        <w:adjustRightInd w:val="0"/>
        <w:jc w:val="both"/>
        <w:rPr>
          <w:rFonts w:eastAsia="TimesNewRoman"/>
          <w:sz w:val="22"/>
          <w:szCs w:val="22"/>
          <w:lang w:val="sr-Latn-ME" w:eastAsia="sr-Latn-ME"/>
        </w:rPr>
      </w:pPr>
    </w:p>
    <w:p w:rsidR="0075351E" w:rsidRPr="008E586D" w:rsidRDefault="0075351E" w:rsidP="00D04381">
      <w:pPr>
        <w:autoSpaceDE w:val="0"/>
        <w:autoSpaceDN w:val="0"/>
        <w:adjustRightInd w:val="0"/>
        <w:jc w:val="both"/>
        <w:rPr>
          <w:rFonts w:eastAsia="TimesNewRoman"/>
          <w:sz w:val="22"/>
          <w:szCs w:val="22"/>
          <w:lang w:val="sr-Latn-ME" w:eastAsia="sr-Latn-ME"/>
        </w:rPr>
      </w:pPr>
    </w:p>
    <w:p w:rsidR="0075351E" w:rsidRPr="008E586D" w:rsidRDefault="0075351E" w:rsidP="00D04381">
      <w:pPr>
        <w:autoSpaceDE w:val="0"/>
        <w:autoSpaceDN w:val="0"/>
        <w:adjustRightInd w:val="0"/>
        <w:jc w:val="both"/>
        <w:rPr>
          <w:rFonts w:eastAsia="TimesNewRoman"/>
          <w:sz w:val="22"/>
          <w:szCs w:val="22"/>
          <w:lang w:val="sr-Latn-ME" w:eastAsia="sr-Latn-ME"/>
        </w:rPr>
      </w:pPr>
    </w:p>
    <w:p w:rsidR="0075351E" w:rsidRPr="008E586D" w:rsidRDefault="0075351E" w:rsidP="00D04381">
      <w:pPr>
        <w:autoSpaceDE w:val="0"/>
        <w:autoSpaceDN w:val="0"/>
        <w:adjustRightInd w:val="0"/>
        <w:jc w:val="both"/>
        <w:rPr>
          <w:rFonts w:eastAsia="TimesNewRoman"/>
          <w:sz w:val="22"/>
          <w:szCs w:val="22"/>
          <w:lang w:val="sr-Latn-ME" w:eastAsia="sr-Latn-ME"/>
        </w:rPr>
      </w:pPr>
    </w:p>
    <w:p w:rsidR="00043878" w:rsidRPr="008E586D" w:rsidRDefault="00043878" w:rsidP="00D04381">
      <w:pPr>
        <w:autoSpaceDE w:val="0"/>
        <w:autoSpaceDN w:val="0"/>
        <w:adjustRightInd w:val="0"/>
        <w:jc w:val="both"/>
        <w:rPr>
          <w:rFonts w:eastAsia="TimesNewRoman"/>
          <w:sz w:val="22"/>
          <w:szCs w:val="22"/>
          <w:lang w:val="sr-Latn-ME" w:eastAsia="sr-Latn-ME"/>
        </w:rPr>
      </w:pPr>
    </w:p>
    <w:p w:rsidR="00411B4B" w:rsidRPr="008E586D" w:rsidRDefault="00411B4B" w:rsidP="00480FB1">
      <w:pPr>
        <w:tabs>
          <w:tab w:val="left" w:pos="540"/>
          <w:tab w:val="left" w:pos="569"/>
        </w:tabs>
        <w:rPr>
          <w:b/>
          <w:bCs/>
          <w:sz w:val="22"/>
          <w:szCs w:val="22"/>
          <w:lang w:val="sr-Latn-ME"/>
        </w:rPr>
      </w:pPr>
      <w:r w:rsidRPr="008E586D">
        <w:rPr>
          <w:b/>
          <w:bCs/>
          <w:sz w:val="22"/>
          <w:szCs w:val="22"/>
          <w:lang w:val="sr-Latn-ME"/>
        </w:rPr>
        <w:lastRenderedPageBreak/>
        <w:t xml:space="preserve">4.2. </w:t>
      </w:r>
      <w:r w:rsidR="00480FB1" w:rsidRPr="008E586D">
        <w:rPr>
          <w:b/>
          <w:bCs/>
          <w:sz w:val="22"/>
          <w:szCs w:val="22"/>
          <w:lang w:val="sr-Latn-ME"/>
        </w:rPr>
        <w:tab/>
      </w:r>
      <w:r w:rsidRPr="008E586D">
        <w:rPr>
          <w:b/>
          <w:bCs/>
          <w:sz w:val="22"/>
          <w:szCs w:val="22"/>
          <w:lang w:val="sr-Latn-ME"/>
        </w:rPr>
        <w:t>Doziranje i način primjene</w:t>
      </w:r>
    </w:p>
    <w:p w:rsidR="0072020E" w:rsidRPr="008E586D" w:rsidRDefault="0072020E" w:rsidP="00480FB1">
      <w:pPr>
        <w:tabs>
          <w:tab w:val="left" w:pos="540"/>
          <w:tab w:val="left" w:pos="569"/>
        </w:tabs>
        <w:rPr>
          <w:bCs/>
          <w:sz w:val="22"/>
          <w:szCs w:val="22"/>
          <w:lang w:val="sr-Latn-ME"/>
        </w:rPr>
      </w:pPr>
    </w:p>
    <w:p w:rsidR="00D04381" w:rsidRPr="008E586D" w:rsidRDefault="00043878" w:rsidP="00D04381">
      <w:pPr>
        <w:tabs>
          <w:tab w:val="left" w:pos="540"/>
          <w:tab w:val="left" w:pos="569"/>
        </w:tabs>
        <w:rPr>
          <w:bCs/>
          <w:sz w:val="22"/>
          <w:szCs w:val="22"/>
          <w:lang w:val="sr-Latn-ME"/>
        </w:rPr>
      </w:pPr>
      <w:r w:rsidRPr="008E586D">
        <w:rPr>
          <w:bCs/>
          <w:sz w:val="22"/>
          <w:szCs w:val="22"/>
          <w:lang w:val="sr-Latn-ME"/>
        </w:rPr>
        <w:t>Doziranje</w:t>
      </w:r>
    </w:p>
    <w:p w:rsidR="00043878" w:rsidRPr="008E586D" w:rsidRDefault="00043878" w:rsidP="00D04381">
      <w:pPr>
        <w:tabs>
          <w:tab w:val="left" w:pos="540"/>
          <w:tab w:val="left" w:pos="569"/>
        </w:tabs>
        <w:rPr>
          <w:bCs/>
          <w:sz w:val="22"/>
          <w:szCs w:val="22"/>
          <w:u w:val="single"/>
          <w:lang w:val="sr-Latn-ME"/>
        </w:rPr>
      </w:pPr>
    </w:p>
    <w:p w:rsidR="00D04381" w:rsidRPr="008E586D" w:rsidRDefault="00D04381" w:rsidP="00D04381">
      <w:pPr>
        <w:tabs>
          <w:tab w:val="left" w:pos="284"/>
        </w:tabs>
        <w:jc w:val="both"/>
        <w:rPr>
          <w:sz w:val="22"/>
          <w:szCs w:val="22"/>
          <w:lang w:val="sr-Latn-ME" w:bidi="bn-IN"/>
        </w:rPr>
      </w:pPr>
      <w:r w:rsidRPr="008E586D">
        <w:rPr>
          <w:sz w:val="22"/>
          <w:szCs w:val="22"/>
          <w:lang w:val="sr-Latn-ME" w:bidi="bn-IN"/>
        </w:rPr>
        <w:t xml:space="preserve">Primjenjuje se isključivo kod odraslih. Nakon rastvaranja, lijek Irinotecan Accord koncentrat za rastvor za infuziju treba ubrizgavati u perifernu ili centralnu venu. </w:t>
      </w:r>
    </w:p>
    <w:p w:rsidR="00D04381" w:rsidRPr="008E586D" w:rsidRDefault="00D04381" w:rsidP="00D04381">
      <w:pPr>
        <w:tabs>
          <w:tab w:val="left" w:pos="540"/>
          <w:tab w:val="left" w:pos="569"/>
        </w:tabs>
        <w:jc w:val="both"/>
        <w:rPr>
          <w:b/>
          <w:color w:val="FF0000"/>
          <w:lang w:val="sr-Latn-ME"/>
        </w:rPr>
      </w:pPr>
    </w:p>
    <w:p w:rsidR="00D04381" w:rsidRPr="008E586D" w:rsidRDefault="00043878" w:rsidP="00D04381">
      <w:pPr>
        <w:tabs>
          <w:tab w:val="left" w:pos="540"/>
          <w:tab w:val="left" w:pos="569"/>
        </w:tabs>
        <w:jc w:val="both"/>
        <w:rPr>
          <w:b/>
          <w:sz w:val="22"/>
          <w:szCs w:val="22"/>
          <w:lang w:val="sr-Latn-ME" w:bidi="bn-IN"/>
        </w:rPr>
      </w:pPr>
      <w:r w:rsidRPr="008E586D">
        <w:rPr>
          <w:b/>
          <w:sz w:val="22"/>
          <w:szCs w:val="22"/>
          <w:lang w:val="sr-Latn-ME" w:bidi="bn-IN"/>
        </w:rPr>
        <w:t>Preporučeno d</w:t>
      </w:r>
      <w:r w:rsidR="00D04381" w:rsidRPr="008E586D">
        <w:rPr>
          <w:b/>
          <w:sz w:val="22"/>
          <w:szCs w:val="22"/>
          <w:lang w:val="sr-Latn-ME" w:bidi="bn-IN"/>
        </w:rPr>
        <w:t xml:space="preserve">oziranje </w:t>
      </w:r>
    </w:p>
    <w:p w:rsidR="00D04381" w:rsidRPr="008E586D" w:rsidRDefault="00D04381" w:rsidP="00D04381">
      <w:pPr>
        <w:tabs>
          <w:tab w:val="left" w:pos="540"/>
          <w:tab w:val="left" w:pos="569"/>
        </w:tabs>
        <w:jc w:val="both"/>
        <w:rPr>
          <w:sz w:val="22"/>
          <w:szCs w:val="22"/>
          <w:u w:val="single"/>
          <w:lang w:val="sr-Latn-ME" w:bidi="bn-IN"/>
        </w:rPr>
      </w:pPr>
    </w:p>
    <w:p w:rsidR="00D04381" w:rsidRPr="008E586D" w:rsidRDefault="00D04381" w:rsidP="00D04381">
      <w:pPr>
        <w:autoSpaceDE w:val="0"/>
        <w:autoSpaceDN w:val="0"/>
        <w:adjustRightInd w:val="0"/>
        <w:jc w:val="both"/>
        <w:rPr>
          <w:iCs/>
          <w:sz w:val="22"/>
          <w:szCs w:val="22"/>
          <w:u w:val="single"/>
          <w:lang w:val="sr-Latn-ME" w:eastAsia="sr-Latn-ME"/>
        </w:rPr>
      </w:pPr>
      <w:r w:rsidRPr="008E586D">
        <w:rPr>
          <w:iCs/>
          <w:sz w:val="22"/>
          <w:szCs w:val="22"/>
          <w:u w:val="single"/>
          <w:lang w:val="sr-Latn-ME" w:eastAsia="sr-Latn-ME"/>
        </w:rPr>
        <w:t>U monoterapiji (za pacijente koji su već prethodno liječeni):</w:t>
      </w:r>
    </w:p>
    <w:p w:rsidR="00D04381" w:rsidRPr="008E586D" w:rsidRDefault="00D04381" w:rsidP="00D04381">
      <w:pPr>
        <w:autoSpaceDE w:val="0"/>
        <w:autoSpaceDN w:val="0"/>
        <w:adjustRightInd w:val="0"/>
        <w:jc w:val="both"/>
        <w:rPr>
          <w:iCs/>
          <w:sz w:val="22"/>
          <w:szCs w:val="22"/>
          <w:u w:val="single"/>
          <w:lang w:val="sr-Latn-ME" w:eastAsia="sr-Latn-ME"/>
        </w:rPr>
      </w:pPr>
    </w:p>
    <w:p w:rsidR="00D04381" w:rsidRPr="008E586D" w:rsidRDefault="00D04381" w:rsidP="00D04381">
      <w:pPr>
        <w:autoSpaceDE w:val="0"/>
        <w:autoSpaceDN w:val="0"/>
        <w:adjustRightInd w:val="0"/>
        <w:jc w:val="both"/>
        <w:rPr>
          <w:rFonts w:eastAsia="TimesNewRoman"/>
          <w:sz w:val="22"/>
          <w:szCs w:val="22"/>
          <w:lang w:val="sr-Latn-ME" w:eastAsia="sr-Latn-ME"/>
        </w:rPr>
      </w:pPr>
      <w:r w:rsidRPr="008E586D">
        <w:rPr>
          <w:rFonts w:eastAsia="TimesNewRoman"/>
          <w:sz w:val="22"/>
          <w:szCs w:val="22"/>
          <w:lang w:val="sr-Latn-ME" w:eastAsia="sr-Latn-ME"/>
        </w:rPr>
        <w:t>Preporučena doza lijeka Irinotecan Accord je 350 mg/m</w:t>
      </w:r>
      <w:r w:rsidRPr="008E586D">
        <w:rPr>
          <w:rFonts w:eastAsia="TimesNewRoman"/>
          <w:sz w:val="22"/>
          <w:szCs w:val="22"/>
          <w:vertAlign w:val="superscript"/>
          <w:lang w:val="sr-Latn-ME" w:eastAsia="sr-Latn-ME"/>
        </w:rPr>
        <w:t>2</w:t>
      </w:r>
      <w:r w:rsidRPr="008E586D">
        <w:rPr>
          <w:rFonts w:eastAsia="TimesNewRoman"/>
          <w:sz w:val="22"/>
          <w:szCs w:val="22"/>
          <w:lang w:val="sr-Latn-ME" w:eastAsia="sr-Latn-ME"/>
        </w:rPr>
        <w:t>, primijenjena u vidu intravenske infuzije koja traje 30-90 min, jednom u tri nedjelje (vidjeti ispod “Način primjene” i djelove 4.4 i 6.6).</w:t>
      </w:r>
    </w:p>
    <w:p w:rsidR="00D04381" w:rsidRPr="008E586D" w:rsidRDefault="00D04381" w:rsidP="00D04381">
      <w:pPr>
        <w:autoSpaceDE w:val="0"/>
        <w:autoSpaceDN w:val="0"/>
        <w:adjustRightInd w:val="0"/>
        <w:jc w:val="both"/>
        <w:rPr>
          <w:rFonts w:eastAsia="TimesNewRoman"/>
          <w:sz w:val="22"/>
          <w:szCs w:val="22"/>
          <w:lang w:val="sr-Latn-ME" w:eastAsia="sr-Latn-ME"/>
        </w:rPr>
      </w:pPr>
    </w:p>
    <w:p w:rsidR="00D04381" w:rsidRPr="008E586D" w:rsidRDefault="00D04381" w:rsidP="00D04381">
      <w:pPr>
        <w:autoSpaceDE w:val="0"/>
        <w:autoSpaceDN w:val="0"/>
        <w:adjustRightInd w:val="0"/>
        <w:jc w:val="both"/>
        <w:rPr>
          <w:iCs/>
          <w:sz w:val="22"/>
          <w:szCs w:val="22"/>
          <w:u w:val="single"/>
          <w:lang w:val="sr-Latn-ME" w:eastAsia="sr-Latn-ME"/>
        </w:rPr>
      </w:pPr>
      <w:r w:rsidRPr="008E586D">
        <w:rPr>
          <w:iCs/>
          <w:sz w:val="22"/>
          <w:szCs w:val="22"/>
          <w:u w:val="single"/>
          <w:lang w:val="sr-Latn-ME" w:eastAsia="sr-Latn-ME"/>
        </w:rPr>
        <w:t>U kombinaciji sa drugim ljekovima (za pacijente koji nisu prethodno liječeni):</w:t>
      </w:r>
    </w:p>
    <w:p w:rsidR="00D04381" w:rsidRPr="008E586D" w:rsidRDefault="00D04381" w:rsidP="00D04381">
      <w:pPr>
        <w:autoSpaceDE w:val="0"/>
        <w:autoSpaceDN w:val="0"/>
        <w:adjustRightInd w:val="0"/>
        <w:jc w:val="both"/>
        <w:rPr>
          <w:rFonts w:eastAsia="TimesNewRoman"/>
          <w:sz w:val="22"/>
          <w:szCs w:val="22"/>
          <w:lang w:val="sr-Latn-ME" w:eastAsia="sr-Latn-ME"/>
        </w:rPr>
      </w:pPr>
      <w:r w:rsidRPr="008E586D">
        <w:rPr>
          <w:rFonts w:eastAsia="TimesNewRoman"/>
          <w:sz w:val="22"/>
          <w:szCs w:val="22"/>
          <w:lang w:val="sr-Latn-ME" w:eastAsia="sr-Latn-ME"/>
        </w:rPr>
        <w:t xml:space="preserve">Bezbjednost i efikasnost lijeka Irinotecan Accord u kombinaciji sa 5-fluorouracilom (5FU) i folinskom kiselinom (engl. </w:t>
      </w:r>
      <w:r w:rsidRPr="008E586D">
        <w:rPr>
          <w:i/>
          <w:iCs/>
          <w:sz w:val="22"/>
          <w:szCs w:val="22"/>
          <w:lang w:val="sr-Latn-ME" w:eastAsia="sr-Latn-ME"/>
        </w:rPr>
        <w:t xml:space="preserve">folinic acid </w:t>
      </w:r>
      <w:r w:rsidRPr="008E586D">
        <w:rPr>
          <w:rFonts w:eastAsia="TimesNewRoman"/>
          <w:sz w:val="22"/>
          <w:szCs w:val="22"/>
          <w:lang w:val="sr-Latn-ME" w:eastAsia="sr-Latn-ME"/>
        </w:rPr>
        <w:t>– FA) ispitani su prema sljedećem protokolu (vidjeti dio 5.1):</w:t>
      </w:r>
    </w:p>
    <w:p w:rsidR="00043878" w:rsidRPr="008E586D" w:rsidRDefault="00043878" w:rsidP="00D04381">
      <w:pPr>
        <w:autoSpaceDE w:val="0"/>
        <w:autoSpaceDN w:val="0"/>
        <w:adjustRightInd w:val="0"/>
        <w:jc w:val="both"/>
        <w:rPr>
          <w:rFonts w:eastAsia="TimesNewRoman"/>
          <w:sz w:val="22"/>
          <w:szCs w:val="22"/>
          <w:lang w:val="sr-Latn-ME" w:eastAsia="sr-Latn-ME"/>
        </w:rPr>
      </w:pPr>
    </w:p>
    <w:p w:rsidR="00D04381" w:rsidRPr="008E586D" w:rsidRDefault="00D04381" w:rsidP="00D04381">
      <w:pPr>
        <w:pStyle w:val="ListParagraph"/>
        <w:numPr>
          <w:ilvl w:val="0"/>
          <w:numId w:val="13"/>
        </w:numPr>
        <w:autoSpaceDE w:val="0"/>
        <w:autoSpaceDN w:val="0"/>
        <w:adjustRightInd w:val="0"/>
        <w:jc w:val="both"/>
        <w:rPr>
          <w:rFonts w:eastAsia="TimesNewRoman"/>
          <w:sz w:val="22"/>
          <w:szCs w:val="22"/>
          <w:lang w:val="sr-Latn-ME" w:eastAsia="sr-Latn-ME"/>
        </w:rPr>
      </w:pPr>
      <w:r w:rsidRPr="008E586D">
        <w:rPr>
          <w:rFonts w:eastAsia="TimesNewRoman"/>
          <w:sz w:val="22"/>
          <w:szCs w:val="22"/>
          <w:lang w:val="sr-Latn-ME" w:eastAsia="sr-Latn-ME"/>
        </w:rPr>
        <w:t>Irinotecan Accord plus 5FU/FA jednom u dvije nedjelje.</w:t>
      </w:r>
    </w:p>
    <w:p w:rsidR="00043878" w:rsidRPr="008E586D" w:rsidRDefault="00043878" w:rsidP="00043878">
      <w:pPr>
        <w:pStyle w:val="ListParagraph"/>
        <w:autoSpaceDE w:val="0"/>
        <w:autoSpaceDN w:val="0"/>
        <w:adjustRightInd w:val="0"/>
        <w:jc w:val="both"/>
        <w:rPr>
          <w:rFonts w:eastAsia="TimesNewRoman"/>
          <w:sz w:val="22"/>
          <w:szCs w:val="22"/>
          <w:lang w:val="sr-Latn-ME" w:eastAsia="sr-Latn-ME"/>
        </w:rPr>
      </w:pPr>
    </w:p>
    <w:p w:rsidR="00D04381" w:rsidRPr="008E586D" w:rsidRDefault="00D04381" w:rsidP="00D04381">
      <w:pPr>
        <w:autoSpaceDE w:val="0"/>
        <w:autoSpaceDN w:val="0"/>
        <w:adjustRightInd w:val="0"/>
        <w:jc w:val="both"/>
        <w:rPr>
          <w:rFonts w:eastAsia="TimesNewRoman"/>
          <w:sz w:val="22"/>
          <w:szCs w:val="22"/>
          <w:lang w:val="sr-Latn-ME" w:eastAsia="sr-Latn-ME"/>
        </w:rPr>
      </w:pPr>
      <w:r w:rsidRPr="008E586D">
        <w:rPr>
          <w:rFonts w:eastAsia="TimesNewRoman"/>
          <w:sz w:val="22"/>
          <w:szCs w:val="22"/>
          <w:lang w:val="sr-Latn-ME" w:eastAsia="sr-Latn-ME"/>
        </w:rPr>
        <w:t>Preporučena doza lijeka Irinotecan Accord je 180 mg/m</w:t>
      </w:r>
      <w:r w:rsidRPr="008E586D">
        <w:rPr>
          <w:rFonts w:eastAsia="TimesNewRoman"/>
          <w:sz w:val="22"/>
          <w:szCs w:val="22"/>
          <w:vertAlign w:val="superscript"/>
          <w:lang w:val="sr-Latn-ME" w:eastAsia="sr-Latn-ME"/>
        </w:rPr>
        <w:t>2</w:t>
      </w:r>
      <w:r w:rsidRPr="008E586D">
        <w:rPr>
          <w:rFonts w:eastAsia="TimesNewRoman"/>
          <w:sz w:val="22"/>
          <w:szCs w:val="22"/>
          <w:lang w:val="sr-Latn-ME" w:eastAsia="sr-Latn-ME"/>
        </w:rPr>
        <w:t>, primijenjena u vidu intravenske infuzije koja traje 30-90 min, jednom u dvije nedjelje, posl</w:t>
      </w:r>
      <w:r w:rsidR="005D5439" w:rsidRPr="008E586D">
        <w:rPr>
          <w:rFonts w:eastAsia="TimesNewRoman"/>
          <w:sz w:val="22"/>
          <w:szCs w:val="22"/>
          <w:lang w:val="sr-Latn-ME" w:eastAsia="sr-Latn-ME"/>
        </w:rPr>
        <w:t>ij</w:t>
      </w:r>
      <w:r w:rsidRPr="008E586D">
        <w:rPr>
          <w:rFonts w:eastAsia="TimesNewRoman"/>
          <w:sz w:val="22"/>
          <w:szCs w:val="22"/>
          <w:lang w:val="sr-Latn-ME" w:eastAsia="sr-Latn-ME"/>
        </w:rPr>
        <w:t>e koje sl</w:t>
      </w:r>
      <w:r w:rsidR="005D5439" w:rsidRPr="008E586D">
        <w:rPr>
          <w:rFonts w:eastAsia="TimesNewRoman"/>
          <w:sz w:val="22"/>
          <w:szCs w:val="22"/>
          <w:lang w:val="sr-Latn-ME" w:eastAsia="sr-Latn-ME"/>
        </w:rPr>
        <w:t>ij</w:t>
      </w:r>
      <w:r w:rsidRPr="008E586D">
        <w:rPr>
          <w:rFonts w:eastAsia="TimesNewRoman"/>
          <w:sz w:val="22"/>
          <w:szCs w:val="22"/>
          <w:lang w:val="sr-Latn-ME" w:eastAsia="sr-Latn-ME"/>
        </w:rPr>
        <w:t>ede infuzije folinske kiseline i 5-fluorouracila.</w:t>
      </w:r>
    </w:p>
    <w:p w:rsidR="00043878" w:rsidRPr="008E586D" w:rsidRDefault="00043878" w:rsidP="00D04381">
      <w:pPr>
        <w:autoSpaceDE w:val="0"/>
        <w:autoSpaceDN w:val="0"/>
        <w:adjustRightInd w:val="0"/>
        <w:jc w:val="both"/>
        <w:rPr>
          <w:rFonts w:eastAsia="TimesNewRoman"/>
          <w:sz w:val="22"/>
          <w:szCs w:val="22"/>
          <w:lang w:val="sr-Latn-ME" w:eastAsia="sr-Latn-ME"/>
        </w:rPr>
      </w:pPr>
    </w:p>
    <w:p w:rsidR="00D04381" w:rsidRPr="008E586D" w:rsidRDefault="00D04381" w:rsidP="00D04381">
      <w:pPr>
        <w:autoSpaceDE w:val="0"/>
        <w:autoSpaceDN w:val="0"/>
        <w:adjustRightInd w:val="0"/>
        <w:jc w:val="both"/>
        <w:rPr>
          <w:rFonts w:eastAsia="TimesNewRoman"/>
          <w:sz w:val="22"/>
          <w:szCs w:val="22"/>
          <w:lang w:val="sr-Latn-ME" w:eastAsia="sr-Latn-ME"/>
        </w:rPr>
      </w:pPr>
      <w:r w:rsidRPr="008E586D">
        <w:rPr>
          <w:rFonts w:eastAsia="TimesNewRoman"/>
          <w:sz w:val="22"/>
          <w:szCs w:val="22"/>
          <w:lang w:val="sr-Latn-ME" w:eastAsia="sr-Latn-ME"/>
        </w:rPr>
        <w:t xml:space="preserve">Za doziranje i način primjene cetuksimaba, kada se cetuksimab primjenjuje u kombinaciji sa irinotekanom, </w:t>
      </w:r>
      <w:r w:rsidR="006F3993" w:rsidRPr="008E586D">
        <w:rPr>
          <w:rFonts w:eastAsia="TimesNewRoman"/>
          <w:sz w:val="22"/>
          <w:szCs w:val="22"/>
          <w:lang w:val="sr-Latn-ME" w:eastAsia="sr-Latn-ME"/>
        </w:rPr>
        <w:t>pogledajte sažetak ka</w:t>
      </w:r>
      <w:r w:rsidR="00822EE5" w:rsidRPr="008E586D">
        <w:rPr>
          <w:rFonts w:eastAsia="TimesNewRoman"/>
          <w:sz w:val="22"/>
          <w:szCs w:val="22"/>
          <w:lang w:val="sr-Latn-ME" w:eastAsia="sr-Latn-ME"/>
        </w:rPr>
        <w:t>rakteristika tog</w:t>
      </w:r>
      <w:r w:rsidRPr="008E586D">
        <w:rPr>
          <w:rFonts w:eastAsia="TimesNewRoman"/>
          <w:sz w:val="22"/>
          <w:szCs w:val="22"/>
          <w:lang w:val="sr-Latn-ME" w:eastAsia="sr-Latn-ME"/>
        </w:rPr>
        <w:t xml:space="preserve"> lijek</w:t>
      </w:r>
      <w:r w:rsidR="00822EE5" w:rsidRPr="008E586D">
        <w:rPr>
          <w:rFonts w:eastAsia="TimesNewRoman"/>
          <w:sz w:val="22"/>
          <w:szCs w:val="22"/>
          <w:lang w:val="sr-Latn-ME" w:eastAsia="sr-Latn-ME"/>
        </w:rPr>
        <w:t>a</w:t>
      </w:r>
      <w:r w:rsidRPr="008E586D">
        <w:rPr>
          <w:rFonts w:eastAsia="TimesNewRoman"/>
          <w:sz w:val="22"/>
          <w:szCs w:val="22"/>
          <w:lang w:val="sr-Latn-ME" w:eastAsia="sr-Latn-ME"/>
        </w:rPr>
        <w:t>.</w:t>
      </w:r>
    </w:p>
    <w:p w:rsidR="00043878" w:rsidRPr="008E586D" w:rsidRDefault="00043878" w:rsidP="00D04381">
      <w:pPr>
        <w:autoSpaceDE w:val="0"/>
        <w:autoSpaceDN w:val="0"/>
        <w:adjustRightInd w:val="0"/>
        <w:jc w:val="both"/>
        <w:rPr>
          <w:rFonts w:eastAsia="TimesNewRoman"/>
          <w:sz w:val="22"/>
          <w:szCs w:val="22"/>
          <w:lang w:val="sr-Latn-ME" w:eastAsia="sr-Latn-ME"/>
        </w:rPr>
      </w:pPr>
    </w:p>
    <w:p w:rsidR="00D04381" w:rsidRPr="008E586D" w:rsidRDefault="00D04381" w:rsidP="00D04381">
      <w:pPr>
        <w:autoSpaceDE w:val="0"/>
        <w:autoSpaceDN w:val="0"/>
        <w:adjustRightInd w:val="0"/>
        <w:jc w:val="both"/>
        <w:rPr>
          <w:rFonts w:eastAsia="TimesNewRoman"/>
          <w:sz w:val="22"/>
          <w:szCs w:val="22"/>
          <w:lang w:val="sr-Latn-ME" w:eastAsia="sr-Latn-ME"/>
        </w:rPr>
      </w:pPr>
      <w:r w:rsidRPr="008E586D">
        <w:rPr>
          <w:rFonts w:eastAsia="TimesNewRoman"/>
          <w:sz w:val="22"/>
          <w:szCs w:val="22"/>
          <w:lang w:val="sr-Latn-ME" w:eastAsia="sr-Latn-ME"/>
        </w:rPr>
        <w:t>Uobičajeno je da doze irinotekana budu iste kao i u posljednjim ciklusima prethodno korišćenog protokola sa irinotekanom. Irinotekan se ne smije primijeniti prije nego što prođe bar jedan sat od završetka infuzije cetuksimaba.</w:t>
      </w:r>
    </w:p>
    <w:p w:rsidR="00043878" w:rsidRPr="008E586D" w:rsidRDefault="00043878" w:rsidP="00D04381">
      <w:pPr>
        <w:autoSpaceDE w:val="0"/>
        <w:autoSpaceDN w:val="0"/>
        <w:adjustRightInd w:val="0"/>
        <w:jc w:val="both"/>
        <w:rPr>
          <w:rFonts w:eastAsia="TimesNewRoman"/>
          <w:sz w:val="22"/>
          <w:szCs w:val="22"/>
          <w:lang w:val="sr-Latn-ME" w:eastAsia="sr-Latn-ME"/>
        </w:rPr>
      </w:pPr>
    </w:p>
    <w:p w:rsidR="00D04381" w:rsidRPr="008E586D" w:rsidRDefault="00D04381" w:rsidP="00D04381">
      <w:pPr>
        <w:autoSpaceDE w:val="0"/>
        <w:autoSpaceDN w:val="0"/>
        <w:adjustRightInd w:val="0"/>
        <w:jc w:val="both"/>
        <w:rPr>
          <w:rFonts w:eastAsia="TimesNewRoman"/>
          <w:sz w:val="22"/>
          <w:szCs w:val="22"/>
          <w:lang w:val="sr-Latn-ME" w:eastAsia="sr-Latn-ME"/>
        </w:rPr>
      </w:pPr>
      <w:r w:rsidRPr="008E586D">
        <w:rPr>
          <w:rFonts w:eastAsia="TimesNewRoman"/>
          <w:sz w:val="22"/>
          <w:szCs w:val="22"/>
          <w:lang w:val="sr-Latn-ME" w:eastAsia="sr-Latn-ME"/>
        </w:rPr>
        <w:t>Kada su u pitanju doziranje i način primjene bevacizumaba, treba pogledati sažetak karakteristika lijeka za bevacizumab.</w:t>
      </w:r>
    </w:p>
    <w:p w:rsidR="00043878" w:rsidRPr="008E586D" w:rsidRDefault="00043878" w:rsidP="00D04381">
      <w:pPr>
        <w:autoSpaceDE w:val="0"/>
        <w:autoSpaceDN w:val="0"/>
        <w:adjustRightInd w:val="0"/>
        <w:jc w:val="both"/>
        <w:rPr>
          <w:rFonts w:eastAsia="TimesNewRoman"/>
          <w:sz w:val="22"/>
          <w:szCs w:val="22"/>
          <w:lang w:val="sr-Latn-ME" w:eastAsia="sr-Latn-ME"/>
        </w:rPr>
      </w:pPr>
    </w:p>
    <w:p w:rsidR="00D04381" w:rsidRPr="008E586D" w:rsidRDefault="00D04381" w:rsidP="00D04381">
      <w:pPr>
        <w:autoSpaceDE w:val="0"/>
        <w:autoSpaceDN w:val="0"/>
        <w:adjustRightInd w:val="0"/>
        <w:jc w:val="both"/>
        <w:rPr>
          <w:rFonts w:eastAsia="TimesNewRoman"/>
          <w:sz w:val="22"/>
          <w:szCs w:val="22"/>
          <w:lang w:val="sr-Latn-ME" w:eastAsia="sr-Latn-ME"/>
        </w:rPr>
      </w:pPr>
      <w:r w:rsidRPr="008E586D">
        <w:rPr>
          <w:rFonts w:eastAsia="TimesNewRoman"/>
          <w:sz w:val="22"/>
          <w:szCs w:val="22"/>
          <w:lang w:val="sr-Latn-ME" w:eastAsia="sr-Latn-ME"/>
        </w:rPr>
        <w:t>Za doziranje i način primjene u kombinaciji sa kapecitabinom vidjeti dio 5.1 i sažetak karakteristika lijeka za kapecitabin.</w:t>
      </w:r>
    </w:p>
    <w:p w:rsidR="00D04381" w:rsidRPr="008E586D" w:rsidRDefault="00D04381" w:rsidP="00D04381">
      <w:pPr>
        <w:autoSpaceDE w:val="0"/>
        <w:autoSpaceDN w:val="0"/>
        <w:adjustRightInd w:val="0"/>
        <w:jc w:val="both"/>
        <w:rPr>
          <w:rFonts w:eastAsia="TimesNewRoman"/>
          <w:sz w:val="22"/>
          <w:szCs w:val="22"/>
          <w:lang w:val="sr-Latn-ME" w:eastAsia="sr-Latn-ME"/>
        </w:rPr>
      </w:pPr>
    </w:p>
    <w:p w:rsidR="00D04381" w:rsidRPr="008E586D" w:rsidRDefault="00D04381" w:rsidP="00D04381">
      <w:pPr>
        <w:autoSpaceDE w:val="0"/>
        <w:autoSpaceDN w:val="0"/>
        <w:adjustRightInd w:val="0"/>
        <w:jc w:val="both"/>
        <w:rPr>
          <w:b/>
          <w:iCs/>
          <w:sz w:val="22"/>
          <w:szCs w:val="22"/>
          <w:lang w:val="sr-Latn-ME" w:eastAsia="sr-Latn-ME"/>
        </w:rPr>
      </w:pPr>
      <w:r w:rsidRPr="008E586D">
        <w:rPr>
          <w:b/>
          <w:iCs/>
          <w:sz w:val="22"/>
          <w:szCs w:val="22"/>
          <w:lang w:val="sr-Latn-ME" w:eastAsia="sr-Latn-ME"/>
        </w:rPr>
        <w:t>Prilagođavanje doziranja:</w:t>
      </w:r>
    </w:p>
    <w:p w:rsidR="00043878" w:rsidRPr="008E586D" w:rsidRDefault="00043878" w:rsidP="00D04381">
      <w:pPr>
        <w:autoSpaceDE w:val="0"/>
        <w:autoSpaceDN w:val="0"/>
        <w:adjustRightInd w:val="0"/>
        <w:jc w:val="both"/>
        <w:rPr>
          <w:b/>
          <w:iCs/>
          <w:sz w:val="22"/>
          <w:szCs w:val="22"/>
          <w:lang w:val="sr-Latn-ME" w:eastAsia="sr-Latn-ME"/>
        </w:rPr>
      </w:pPr>
    </w:p>
    <w:p w:rsidR="00D04381" w:rsidRPr="008E586D" w:rsidRDefault="00D04381" w:rsidP="00D04381">
      <w:pPr>
        <w:autoSpaceDE w:val="0"/>
        <w:autoSpaceDN w:val="0"/>
        <w:adjustRightInd w:val="0"/>
        <w:jc w:val="both"/>
        <w:rPr>
          <w:rFonts w:eastAsia="TimesNewRoman"/>
          <w:sz w:val="22"/>
          <w:szCs w:val="22"/>
          <w:lang w:val="sr-Latn-ME" w:eastAsia="sr-Latn-ME"/>
        </w:rPr>
      </w:pPr>
      <w:r w:rsidRPr="008E586D">
        <w:rPr>
          <w:rFonts w:eastAsia="TimesNewRoman"/>
          <w:sz w:val="22"/>
          <w:szCs w:val="22"/>
          <w:lang w:val="sr-Latn-ME" w:eastAsia="sr-Latn-ME"/>
        </w:rPr>
        <w:t>Lijek Irinotecan Accord treba primjenjivati tek posl</w:t>
      </w:r>
      <w:r w:rsidR="00043878" w:rsidRPr="008E586D">
        <w:rPr>
          <w:rFonts w:eastAsia="TimesNewRoman"/>
          <w:sz w:val="22"/>
          <w:szCs w:val="22"/>
          <w:lang w:val="sr-Latn-ME" w:eastAsia="sr-Latn-ME"/>
        </w:rPr>
        <w:t>ij</w:t>
      </w:r>
      <w:r w:rsidRPr="008E586D">
        <w:rPr>
          <w:rFonts w:eastAsia="TimesNewRoman"/>
          <w:sz w:val="22"/>
          <w:szCs w:val="22"/>
          <w:lang w:val="sr-Latn-ME" w:eastAsia="sr-Latn-ME"/>
        </w:rPr>
        <w:t xml:space="preserve">e odgovarajućeg oporavka, odnosno </w:t>
      </w:r>
      <w:r w:rsidR="00873E8A" w:rsidRPr="008E586D">
        <w:rPr>
          <w:rFonts w:eastAsia="TimesNewRoman"/>
          <w:sz w:val="22"/>
          <w:szCs w:val="22"/>
          <w:lang w:val="sr-Latn-ME" w:eastAsia="sr-Latn-ME"/>
        </w:rPr>
        <w:t>poslije</w:t>
      </w:r>
      <w:r w:rsidRPr="008E586D">
        <w:rPr>
          <w:rFonts w:eastAsia="TimesNewRoman"/>
          <w:sz w:val="22"/>
          <w:szCs w:val="22"/>
          <w:lang w:val="sr-Latn-ME" w:eastAsia="sr-Latn-ME"/>
        </w:rPr>
        <w:t xml:space="preserve"> svođenja intenziteta neželjenih događaja na gradus 0 ili 1, prema NCI-CTC kriterijumima (engl. </w:t>
      </w:r>
      <w:r w:rsidRPr="008E586D">
        <w:rPr>
          <w:i/>
          <w:iCs/>
          <w:sz w:val="22"/>
          <w:szCs w:val="22"/>
          <w:lang w:val="sr-Latn-ME" w:eastAsia="sr-Latn-ME"/>
        </w:rPr>
        <w:t>National Cancer Institute Common Toxicity</w:t>
      </w:r>
      <w:r w:rsidRPr="008E586D">
        <w:rPr>
          <w:rFonts w:eastAsia="TimesNewRoman"/>
          <w:sz w:val="22"/>
          <w:szCs w:val="22"/>
          <w:lang w:val="sr-Latn-ME" w:eastAsia="sr-Latn-ME"/>
        </w:rPr>
        <w:t xml:space="preserve"> </w:t>
      </w:r>
      <w:r w:rsidRPr="008E586D">
        <w:rPr>
          <w:i/>
          <w:iCs/>
          <w:sz w:val="22"/>
          <w:szCs w:val="22"/>
          <w:lang w:val="sr-Latn-ME" w:eastAsia="sr-Latn-ME"/>
        </w:rPr>
        <w:t>Criteria</w:t>
      </w:r>
      <w:r w:rsidRPr="008E586D">
        <w:rPr>
          <w:rFonts w:eastAsia="TimesNewRoman"/>
          <w:sz w:val="22"/>
          <w:szCs w:val="22"/>
          <w:lang w:val="sr-Latn-ME" w:eastAsia="sr-Latn-ME"/>
        </w:rPr>
        <w:t>), kao i posl</w:t>
      </w:r>
      <w:r w:rsidR="006F3993" w:rsidRPr="008E586D">
        <w:rPr>
          <w:rFonts w:eastAsia="TimesNewRoman"/>
          <w:sz w:val="22"/>
          <w:szCs w:val="22"/>
          <w:lang w:val="sr-Latn-ME" w:eastAsia="sr-Latn-ME"/>
        </w:rPr>
        <w:t>ij</w:t>
      </w:r>
      <w:r w:rsidRPr="008E586D">
        <w:rPr>
          <w:rFonts w:eastAsia="TimesNewRoman"/>
          <w:sz w:val="22"/>
          <w:szCs w:val="22"/>
          <w:lang w:val="sr-Latn-ME" w:eastAsia="sr-Latn-ME"/>
        </w:rPr>
        <w:t>e potpunog prestanka dijareje izazvane terapijom.</w:t>
      </w:r>
    </w:p>
    <w:p w:rsidR="00043878" w:rsidRPr="008E586D" w:rsidRDefault="00043878" w:rsidP="00D04381">
      <w:pPr>
        <w:autoSpaceDE w:val="0"/>
        <w:autoSpaceDN w:val="0"/>
        <w:adjustRightInd w:val="0"/>
        <w:jc w:val="both"/>
        <w:rPr>
          <w:rFonts w:eastAsia="TimesNewRoman"/>
          <w:sz w:val="22"/>
          <w:szCs w:val="22"/>
          <w:lang w:val="sr-Latn-ME" w:eastAsia="sr-Latn-ME"/>
        </w:rPr>
      </w:pPr>
    </w:p>
    <w:p w:rsidR="00D04381" w:rsidRPr="008E586D" w:rsidRDefault="00D04381" w:rsidP="00D04381">
      <w:pPr>
        <w:autoSpaceDE w:val="0"/>
        <w:autoSpaceDN w:val="0"/>
        <w:adjustRightInd w:val="0"/>
        <w:jc w:val="both"/>
        <w:rPr>
          <w:rFonts w:eastAsia="TimesNewRoman"/>
          <w:sz w:val="22"/>
          <w:szCs w:val="22"/>
          <w:lang w:val="sr-Latn-ME" w:eastAsia="sr-Latn-ME"/>
        </w:rPr>
      </w:pPr>
      <w:r w:rsidRPr="008E586D">
        <w:rPr>
          <w:rFonts w:eastAsia="TimesNewRoman"/>
          <w:sz w:val="22"/>
          <w:szCs w:val="22"/>
          <w:lang w:val="sr-Latn-ME" w:eastAsia="sr-Latn-ME"/>
        </w:rPr>
        <w:t>Kada se započinje sa sljedećom infuzijom, doza l</w:t>
      </w:r>
      <w:r w:rsidR="00043878" w:rsidRPr="008E586D">
        <w:rPr>
          <w:rFonts w:eastAsia="TimesNewRoman"/>
          <w:sz w:val="22"/>
          <w:szCs w:val="22"/>
          <w:lang w:val="sr-Latn-ME" w:eastAsia="sr-Latn-ME"/>
        </w:rPr>
        <w:t>ij</w:t>
      </w:r>
      <w:r w:rsidRPr="008E586D">
        <w:rPr>
          <w:rFonts w:eastAsia="TimesNewRoman"/>
          <w:sz w:val="22"/>
          <w:szCs w:val="22"/>
          <w:lang w:val="sr-Latn-ME" w:eastAsia="sr-Latn-ME"/>
        </w:rPr>
        <w:t>eka Irinotecan Accord, kao i 5FU (ukoliko se i on koristi u liječenju), treba da se smanji u skladu sa najtežim gradusom neželjenih događaja koji su registrovani tokom prethodne infuzije. Liječenje treba da se odloži za 1-2 nedjelje da bi se omogućio oporavak od neželjenih događaja izazvanih terapijom.</w:t>
      </w:r>
    </w:p>
    <w:p w:rsidR="00043878" w:rsidRPr="008E586D" w:rsidRDefault="00043878" w:rsidP="00D04381">
      <w:pPr>
        <w:autoSpaceDE w:val="0"/>
        <w:autoSpaceDN w:val="0"/>
        <w:adjustRightInd w:val="0"/>
        <w:jc w:val="both"/>
        <w:rPr>
          <w:rFonts w:eastAsia="TimesNewRoman"/>
          <w:sz w:val="22"/>
          <w:szCs w:val="22"/>
          <w:lang w:val="sr-Latn-ME" w:eastAsia="sr-Latn-ME"/>
        </w:rPr>
      </w:pPr>
    </w:p>
    <w:p w:rsidR="00D04381" w:rsidRPr="008E586D" w:rsidRDefault="00D04381" w:rsidP="00D04381">
      <w:pPr>
        <w:autoSpaceDE w:val="0"/>
        <w:autoSpaceDN w:val="0"/>
        <w:adjustRightInd w:val="0"/>
        <w:jc w:val="both"/>
        <w:rPr>
          <w:rFonts w:eastAsia="TimesNewRoman"/>
          <w:sz w:val="22"/>
          <w:szCs w:val="22"/>
          <w:lang w:val="sr-Latn-ME" w:eastAsia="sr-Latn-ME"/>
        </w:rPr>
      </w:pPr>
      <w:r w:rsidRPr="008E586D">
        <w:rPr>
          <w:rFonts w:eastAsia="TimesNewRoman"/>
          <w:sz w:val="22"/>
          <w:szCs w:val="22"/>
          <w:lang w:val="sr-Latn-ME" w:eastAsia="sr-Latn-ME"/>
        </w:rPr>
        <w:t xml:space="preserve">Pri pojavi </w:t>
      </w:r>
      <w:r w:rsidR="00F3602A" w:rsidRPr="008E586D">
        <w:rPr>
          <w:rFonts w:eastAsia="TimesNewRoman"/>
          <w:sz w:val="22"/>
          <w:szCs w:val="22"/>
          <w:lang w:val="sr-Latn-ME" w:eastAsia="sr-Latn-ME"/>
        </w:rPr>
        <w:t>sljede</w:t>
      </w:r>
      <w:r w:rsidRPr="008E586D">
        <w:rPr>
          <w:rFonts w:eastAsia="TimesNewRoman"/>
          <w:sz w:val="22"/>
          <w:szCs w:val="22"/>
          <w:lang w:val="sr-Latn-ME" w:eastAsia="sr-Latn-ME"/>
        </w:rPr>
        <w:t>ćih neželjenih događaja, doze ljekova (Irinotecan Accord, kao i 5FU, ukoliko se koristi) treba smanjiti za 15-20%:</w:t>
      </w:r>
    </w:p>
    <w:p w:rsidR="00D04381" w:rsidRPr="008E586D" w:rsidRDefault="00D04381" w:rsidP="00D04381">
      <w:pPr>
        <w:pStyle w:val="ListParagraph"/>
        <w:numPr>
          <w:ilvl w:val="0"/>
          <w:numId w:val="13"/>
        </w:numPr>
        <w:autoSpaceDE w:val="0"/>
        <w:autoSpaceDN w:val="0"/>
        <w:adjustRightInd w:val="0"/>
        <w:jc w:val="both"/>
        <w:rPr>
          <w:rFonts w:eastAsia="TimesNewRoman"/>
          <w:sz w:val="22"/>
          <w:szCs w:val="22"/>
          <w:lang w:val="sr-Latn-ME" w:eastAsia="sr-Latn-ME"/>
        </w:rPr>
      </w:pPr>
      <w:r w:rsidRPr="008E586D">
        <w:rPr>
          <w:rFonts w:eastAsia="TimesNewRoman"/>
          <w:sz w:val="22"/>
          <w:szCs w:val="22"/>
          <w:lang w:val="sr-Latn-ME" w:eastAsia="sr-Latn-ME"/>
        </w:rPr>
        <w:t>hematološka toksičnost (neutropenija gradusa 4, febrilna neutropenija (neutropenija gradusa 3-4 i povišena temperatura gradusa 2-4), trombocitopenija i leukopenija (gradusa 4)).</w:t>
      </w:r>
    </w:p>
    <w:p w:rsidR="00D04381" w:rsidRPr="008E586D" w:rsidRDefault="00D04381" w:rsidP="00D04381">
      <w:pPr>
        <w:pStyle w:val="ListParagraph"/>
        <w:numPr>
          <w:ilvl w:val="0"/>
          <w:numId w:val="13"/>
        </w:numPr>
        <w:autoSpaceDE w:val="0"/>
        <w:autoSpaceDN w:val="0"/>
        <w:adjustRightInd w:val="0"/>
        <w:jc w:val="both"/>
        <w:rPr>
          <w:rFonts w:eastAsia="TimesNewRoman"/>
          <w:sz w:val="22"/>
          <w:szCs w:val="22"/>
          <w:lang w:val="sr-Latn-ME" w:eastAsia="sr-Latn-ME"/>
        </w:rPr>
      </w:pPr>
      <w:r w:rsidRPr="008E586D">
        <w:rPr>
          <w:rFonts w:eastAsia="TimesNewRoman"/>
          <w:sz w:val="22"/>
          <w:szCs w:val="22"/>
          <w:lang w:val="sr-Latn-ME" w:eastAsia="sr-Latn-ME"/>
        </w:rPr>
        <w:t>nehematološka toksičnost (gradusa 3-4).</w:t>
      </w:r>
    </w:p>
    <w:p w:rsidR="00043878" w:rsidRPr="008E586D" w:rsidRDefault="00043878" w:rsidP="00043878">
      <w:pPr>
        <w:pStyle w:val="ListParagraph"/>
        <w:autoSpaceDE w:val="0"/>
        <w:autoSpaceDN w:val="0"/>
        <w:adjustRightInd w:val="0"/>
        <w:jc w:val="both"/>
        <w:rPr>
          <w:rFonts w:eastAsia="TimesNewRoman"/>
          <w:sz w:val="22"/>
          <w:szCs w:val="22"/>
          <w:lang w:val="sr-Latn-ME" w:eastAsia="sr-Latn-ME"/>
        </w:rPr>
      </w:pPr>
    </w:p>
    <w:p w:rsidR="00D04381" w:rsidRPr="008E586D" w:rsidRDefault="00D04381" w:rsidP="00D04381">
      <w:pPr>
        <w:autoSpaceDE w:val="0"/>
        <w:autoSpaceDN w:val="0"/>
        <w:adjustRightInd w:val="0"/>
        <w:jc w:val="both"/>
        <w:rPr>
          <w:rFonts w:eastAsia="TimesNewRoman"/>
          <w:sz w:val="22"/>
          <w:szCs w:val="22"/>
          <w:lang w:val="sr-Latn-ME" w:eastAsia="sr-Latn-ME"/>
        </w:rPr>
      </w:pPr>
      <w:r w:rsidRPr="008E586D">
        <w:rPr>
          <w:rFonts w:eastAsia="TimesNewRoman"/>
          <w:sz w:val="22"/>
          <w:szCs w:val="22"/>
          <w:lang w:val="sr-Latn-ME" w:eastAsia="sr-Latn-ME"/>
        </w:rPr>
        <w:t>Preporuke za promjenu doze cetuksimaba, kada se daje u kombinaciji sa irinotekanom, treba da budu u</w:t>
      </w:r>
    </w:p>
    <w:p w:rsidR="00D04381" w:rsidRPr="008E586D" w:rsidRDefault="00D04381" w:rsidP="00D04381">
      <w:pPr>
        <w:autoSpaceDE w:val="0"/>
        <w:autoSpaceDN w:val="0"/>
        <w:adjustRightInd w:val="0"/>
        <w:jc w:val="both"/>
        <w:rPr>
          <w:rFonts w:eastAsia="TimesNewRoman"/>
          <w:sz w:val="22"/>
          <w:szCs w:val="22"/>
          <w:lang w:val="sr-Latn-ME" w:eastAsia="sr-Latn-ME"/>
        </w:rPr>
      </w:pPr>
      <w:r w:rsidRPr="008E586D">
        <w:rPr>
          <w:rFonts w:eastAsia="TimesNewRoman"/>
          <w:sz w:val="22"/>
          <w:szCs w:val="22"/>
          <w:lang w:val="sr-Latn-ME" w:eastAsia="sr-Latn-ME"/>
        </w:rPr>
        <w:t>skladu sa informacijama o ovom lijeku.</w:t>
      </w:r>
    </w:p>
    <w:p w:rsidR="00043878" w:rsidRPr="008E586D" w:rsidRDefault="00043878" w:rsidP="00D04381">
      <w:pPr>
        <w:autoSpaceDE w:val="0"/>
        <w:autoSpaceDN w:val="0"/>
        <w:adjustRightInd w:val="0"/>
        <w:jc w:val="both"/>
        <w:rPr>
          <w:rFonts w:eastAsia="TimesNewRoman"/>
          <w:sz w:val="22"/>
          <w:szCs w:val="22"/>
          <w:lang w:val="sr-Latn-ME" w:eastAsia="sr-Latn-ME"/>
        </w:rPr>
      </w:pPr>
    </w:p>
    <w:p w:rsidR="00043878" w:rsidRPr="008E586D" w:rsidRDefault="00043878" w:rsidP="00D04381">
      <w:pPr>
        <w:autoSpaceDE w:val="0"/>
        <w:autoSpaceDN w:val="0"/>
        <w:adjustRightInd w:val="0"/>
        <w:jc w:val="both"/>
        <w:rPr>
          <w:rFonts w:eastAsia="TimesNewRoman"/>
          <w:sz w:val="22"/>
          <w:szCs w:val="22"/>
          <w:lang w:val="sr-Latn-ME" w:eastAsia="sr-Latn-ME"/>
        </w:rPr>
      </w:pPr>
      <w:r w:rsidRPr="008E586D">
        <w:rPr>
          <w:rFonts w:eastAsia="TimesNewRoman"/>
          <w:sz w:val="22"/>
          <w:szCs w:val="22"/>
          <w:lang w:val="sr-Latn-ME" w:eastAsia="sr-Latn-ME"/>
        </w:rPr>
        <w:lastRenderedPageBreak/>
        <w:t xml:space="preserve">Treba pogledati sažetak karakteristika lijeka za bevacizumab za modifikacije doze bevacizumaba kada se </w:t>
      </w:r>
      <w:r w:rsidR="00C47805" w:rsidRPr="008E586D">
        <w:rPr>
          <w:rFonts w:eastAsia="TimesNewRoman"/>
          <w:sz w:val="22"/>
          <w:szCs w:val="22"/>
          <w:lang w:val="sr-Latn-ME" w:eastAsia="sr-Latn-ME"/>
        </w:rPr>
        <w:t>primjen</w:t>
      </w:r>
      <w:r w:rsidRPr="008E586D">
        <w:rPr>
          <w:rFonts w:eastAsia="TimesNewRoman"/>
          <w:sz w:val="22"/>
          <w:szCs w:val="22"/>
          <w:lang w:val="sr-Latn-ME" w:eastAsia="sr-Latn-ME"/>
        </w:rPr>
        <w:t>juje u kombinaciji sa irinotekanom, 5-fluororacilom ili folinskom kiselinom.</w:t>
      </w:r>
    </w:p>
    <w:p w:rsidR="00043878" w:rsidRPr="008E586D" w:rsidRDefault="00043878" w:rsidP="00D04381">
      <w:pPr>
        <w:autoSpaceDE w:val="0"/>
        <w:autoSpaceDN w:val="0"/>
        <w:adjustRightInd w:val="0"/>
        <w:jc w:val="both"/>
        <w:rPr>
          <w:rFonts w:eastAsia="TimesNewRoman"/>
          <w:sz w:val="22"/>
          <w:szCs w:val="22"/>
          <w:lang w:val="sr-Latn-ME" w:eastAsia="sr-Latn-ME"/>
        </w:rPr>
      </w:pPr>
    </w:p>
    <w:p w:rsidR="00D04381" w:rsidRPr="008E586D" w:rsidRDefault="00D04381" w:rsidP="00D04381">
      <w:pPr>
        <w:autoSpaceDE w:val="0"/>
        <w:autoSpaceDN w:val="0"/>
        <w:adjustRightInd w:val="0"/>
        <w:jc w:val="both"/>
        <w:rPr>
          <w:rFonts w:eastAsia="TimesNewRoman"/>
          <w:sz w:val="22"/>
          <w:szCs w:val="22"/>
          <w:lang w:val="sr-Latn-ME" w:eastAsia="sr-Latn-ME"/>
        </w:rPr>
      </w:pPr>
      <w:r w:rsidRPr="008E586D">
        <w:rPr>
          <w:rFonts w:eastAsia="TimesNewRoman"/>
          <w:sz w:val="22"/>
          <w:szCs w:val="22"/>
          <w:lang w:val="sr-Latn-ME" w:eastAsia="sr-Latn-ME"/>
        </w:rPr>
        <w:t>Kada se lijek Irinotecan Accord primjenjuje u kombinaciji sa kapecitabinom kod pacijenta starosti 65 godina i starijih, preporučuje se smanjenje početne doze kapecitabina na 800 mg/m</w:t>
      </w:r>
      <w:r w:rsidRPr="008E586D">
        <w:rPr>
          <w:rFonts w:eastAsia="TimesNewRoman"/>
          <w:sz w:val="22"/>
          <w:szCs w:val="22"/>
          <w:vertAlign w:val="superscript"/>
          <w:lang w:val="sr-Latn-ME" w:eastAsia="sr-Latn-ME"/>
        </w:rPr>
        <w:t>2</w:t>
      </w:r>
      <w:r w:rsidRPr="008E586D">
        <w:rPr>
          <w:rFonts w:eastAsia="TimesNewRoman"/>
          <w:sz w:val="14"/>
          <w:szCs w:val="14"/>
          <w:lang w:val="sr-Latn-ME" w:eastAsia="sr-Latn-ME"/>
        </w:rPr>
        <w:t xml:space="preserve"> </w:t>
      </w:r>
      <w:r w:rsidRPr="008E586D">
        <w:rPr>
          <w:rFonts w:eastAsia="TimesNewRoman"/>
          <w:sz w:val="22"/>
          <w:szCs w:val="22"/>
          <w:lang w:val="sr-Latn-ME" w:eastAsia="sr-Latn-ME"/>
        </w:rPr>
        <w:t>dva puta dnevno prema sažetku karakteristika lijeka za kapecitabin. Kod primjene kombinacije ovih ljekova pogledati preporuke za prilagođavanje doze date u sažetku karakteristika lijeka za kapecitabin.</w:t>
      </w:r>
    </w:p>
    <w:p w:rsidR="00D04381" w:rsidRPr="008E586D" w:rsidRDefault="00D04381" w:rsidP="00D04381">
      <w:pPr>
        <w:autoSpaceDE w:val="0"/>
        <w:autoSpaceDN w:val="0"/>
        <w:adjustRightInd w:val="0"/>
        <w:jc w:val="both"/>
        <w:rPr>
          <w:rFonts w:eastAsia="TimesNewRoman"/>
          <w:sz w:val="22"/>
          <w:szCs w:val="22"/>
          <w:lang w:val="sr-Latn-ME" w:eastAsia="sr-Latn-ME"/>
        </w:rPr>
      </w:pPr>
    </w:p>
    <w:p w:rsidR="00D04381" w:rsidRPr="008E586D" w:rsidRDefault="00D04381" w:rsidP="00D04381">
      <w:pPr>
        <w:autoSpaceDE w:val="0"/>
        <w:autoSpaceDN w:val="0"/>
        <w:adjustRightInd w:val="0"/>
        <w:jc w:val="both"/>
        <w:rPr>
          <w:b/>
          <w:iCs/>
          <w:sz w:val="22"/>
          <w:szCs w:val="22"/>
          <w:lang w:val="sr-Latn-ME" w:eastAsia="sr-Latn-ME"/>
        </w:rPr>
      </w:pPr>
      <w:r w:rsidRPr="008E586D">
        <w:rPr>
          <w:b/>
          <w:iCs/>
          <w:sz w:val="22"/>
          <w:szCs w:val="22"/>
          <w:lang w:val="sr-Latn-ME" w:eastAsia="sr-Latn-ME"/>
        </w:rPr>
        <w:t>Trajanje terapije</w:t>
      </w:r>
    </w:p>
    <w:p w:rsidR="0099133B" w:rsidRPr="008E586D" w:rsidRDefault="0099133B" w:rsidP="00D04381">
      <w:pPr>
        <w:autoSpaceDE w:val="0"/>
        <w:autoSpaceDN w:val="0"/>
        <w:adjustRightInd w:val="0"/>
        <w:jc w:val="both"/>
        <w:rPr>
          <w:b/>
          <w:iCs/>
          <w:sz w:val="22"/>
          <w:szCs w:val="22"/>
          <w:lang w:val="sr-Latn-ME" w:eastAsia="sr-Latn-ME"/>
        </w:rPr>
      </w:pPr>
    </w:p>
    <w:p w:rsidR="00D04381" w:rsidRPr="008E586D" w:rsidRDefault="00D04381" w:rsidP="00D04381">
      <w:pPr>
        <w:autoSpaceDE w:val="0"/>
        <w:autoSpaceDN w:val="0"/>
        <w:adjustRightInd w:val="0"/>
        <w:jc w:val="both"/>
        <w:rPr>
          <w:rFonts w:eastAsia="TimesNewRoman"/>
          <w:sz w:val="22"/>
          <w:szCs w:val="22"/>
          <w:lang w:val="sr-Latn-ME" w:eastAsia="sr-Latn-ME"/>
        </w:rPr>
      </w:pPr>
      <w:r w:rsidRPr="008E586D">
        <w:rPr>
          <w:rFonts w:eastAsia="TimesNewRoman"/>
          <w:sz w:val="22"/>
          <w:szCs w:val="22"/>
          <w:lang w:val="sr-Latn-ME" w:eastAsia="sr-Latn-ME"/>
        </w:rPr>
        <w:t>Liječenje lijekom Irinotecan Accord treba nastaviti sve dok ne dođe do objektivne progresije bolesti ili neprihvatljive toksičnosti.</w:t>
      </w:r>
    </w:p>
    <w:p w:rsidR="00D04381" w:rsidRPr="008E586D" w:rsidRDefault="00D04381" w:rsidP="00D04381">
      <w:pPr>
        <w:autoSpaceDE w:val="0"/>
        <w:autoSpaceDN w:val="0"/>
        <w:adjustRightInd w:val="0"/>
        <w:jc w:val="both"/>
        <w:rPr>
          <w:rFonts w:eastAsia="TimesNewRoman"/>
          <w:sz w:val="22"/>
          <w:szCs w:val="22"/>
          <w:lang w:val="sr-Latn-ME" w:eastAsia="sr-Latn-ME"/>
        </w:rPr>
      </w:pPr>
    </w:p>
    <w:p w:rsidR="00D04381" w:rsidRPr="008E586D" w:rsidRDefault="00D04381" w:rsidP="00D04381">
      <w:pPr>
        <w:autoSpaceDE w:val="0"/>
        <w:autoSpaceDN w:val="0"/>
        <w:adjustRightInd w:val="0"/>
        <w:jc w:val="both"/>
        <w:rPr>
          <w:b/>
          <w:iCs/>
          <w:sz w:val="22"/>
          <w:szCs w:val="22"/>
          <w:lang w:val="sr-Latn-ME" w:eastAsia="sr-Latn-ME"/>
        </w:rPr>
      </w:pPr>
      <w:r w:rsidRPr="008E586D">
        <w:rPr>
          <w:b/>
          <w:iCs/>
          <w:sz w:val="22"/>
          <w:szCs w:val="22"/>
          <w:lang w:val="sr-Latn-ME" w:eastAsia="sr-Latn-ME"/>
        </w:rPr>
        <w:t>Posebne populacije</w:t>
      </w:r>
    </w:p>
    <w:p w:rsidR="0099133B" w:rsidRPr="008E586D" w:rsidRDefault="0099133B" w:rsidP="00D04381">
      <w:pPr>
        <w:autoSpaceDE w:val="0"/>
        <w:autoSpaceDN w:val="0"/>
        <w:adjustRightInd w:val="0"/>
        <w:jc w:val="both"/>
        <w:rPr>
          <w:b/>
          <w:iCs/>
          <w:sz w:val="22"/>
          <w:szCs w:val="22"/>
          <w:lang w:val="sr-Latn-ME" w:eastAsia="sr-Latn-ME"/>
        </w:rPr>
      </w:pPr>
    </w:p>
    <w:p w:rsidR="00D04381" w:rsidRPr="008E586D" w:rsidRDefault="00D04381" w:rsidP="00D04381">
      <w:pPr>
        <w:autoSpaceDE w:val="0"/>
        <w:autoSpaceDN w:val="0"/>
        <w:adjustRightInd w:val="0"/>
        <w:jc w:val="both"/>
        <w:rPr>
          <w:iCs/>
          <w:sz w:val="22"/>
          <w:szCs w:val="22"/>
          <w:u w:val="single"/>
          <w:lang w:val="sr-Latn-ME" w:eastAsia="sr-Latn-ME"/>
        </w:rPr>
      </w:pPr>
      <w:r w:rsidRPr="008E586D">
        <w:rPr>
          <w:iCs/>
          <w:sz w:val="22"/>
          <w:szCs w:val="22"/>
          <w:u w:val="single"/>
          <w:lang w:val="sr-Latn-ME" w:eastAsia="sr-Latn-ME"/>
        </w:rPr>
        <w:t>Pacijenti sa oštećenjem funkcije jetre</w:t>
      </w:r>
    </w:p>
    <w:p w:rsidR="00091C62" w:rsidRPr="008E586D" w:rsidRDefault="00091C62" w:rsidP="00D04381">
      <w:pPr>
        <w:autoSpaceDE w:val="0"/>
        <w:autoSpaceDN w:val="0"/>
        <w:adjustRightInd w:val="0"/>
        <w:jc w:val="both"/>
        <w:rPr>
          <w:iCs/>
          <w:sz w:val="22"/>
          <w:szCs w:val="22"/>
          <w:u w:val="single"/>
          <w:lang w:val="sr-Latn-ME" w:eastAsia="sr-Latn-ME"/>
        </w:rPr>
      </w:pPr>
    </w:p>
    <w:p w:rsidR="00D04381" w:rsidRPr="008E586D" w:rsidRDefault="00D04381" w:rsidP="00D04381">
      <w:pPr>
        <w:autoSpaceDE w:val="0"/>
        <w:autoSpaceDN w:val="0"/>
        <w:adjustRightInd w:val="0"/>
        <w:jc w:val="both"/>
        <w:rPr>
          <w:rFonts w:eastAsia="TimesNewRoman"/>
          <w:sz w:val="22"/>
          <w:szCs w:val="22"/>
          <w:lang w:val="sr-Latn-ME" w:eastAsia="sr-Latn-ME"/>
        </w:rPr>
      </w:pPr>
      <w:r w:rsidRPr="008E586D">
        <w:rPr>
          <w:rFonts w:eastAsia="TimesNewRoman"/>
          <w:sz w:val="22"/>
          <w:szCs w:val="22"/>
          <w:lang w:val="sr-Latn-ME" w:eastAsia="sr-Latn-ME"/>
        </w:rPr>
        <w:t xml:space="preserve">U monoterapiji: Početnu dozu lijeka Irinotecan Accord treba odrediti na osnovu nivoa bilirubina u krvi (do 3 puta veći od gornje granice normalnih vrijednosti) kod pacijenata sa performans statusom </w:t>
      </w:r>
      <w:r w:rsidRPr="008E586D">
        <w:rPr>
          <w:sz w:val="22"/>
          <w:szCs w:val="22"/>
          <w:lang w:val="sr-Latn-ME" w:eastAsia="sr-Latn-ME"/>
        </w:rPr>
        <w:t xml:space="preserve">≤ </w:t>
      </w:r>
      <w:r w:rsidRPr="008E586D">
        <w:rPr>
          <w:rFonts w:eastAsia="TimesNewRoman"/>
          <w:sz w:val="22"/>
          <w:szCs w:val="22"/>
          <w:lang w:val="sr-Latn-ME" w:eastAsia="sr-Latn-ME"/>
        </w:rPr>
        <w:t>2. Kod takvih pacijenata sa hiperbilirubinemijom i protrombinskim vremenom većim od 50%, klirens irinotekana je smanjen (vidjeti dio 5.2), a rizik od hepatotoksičnosti je povećan. Zbog toga, kod takvih pacijenata treba svake nedjelje redovno kontrolisati kompletnu krvnu sliku.</w:t>
      </w:r>
    </w:p>
    <w:p w:rsidR="00D04381" w:rsidRPr="008E586D" w:rsidRDefault="00D04381" w:rsidP="00D04381">
      <w:pPr>
        <w:pStyle w:val="ListParagraph"/>
        <w:numPr>
          <w:ilvl w:val="0"/>
          <w:numId w:val="14"/>
        </w:numPr>
        <w:autoSpaceDE w:val="0"/>
        <w:autoSpaceDN w:val="0"/>
        <w:adjustRightInd w:val="0"/>
        <w:jc w:val="both"/>
        <w:rPr>
          <w:rFonts w:eastAsia="TimesNewRoman"/>
          <w:sz w:val="22"/>
          <w:szCs w:val="22"/>
          <w:lang w:val="sr-Latn-ME" w:eastAsia="sr-Latn-ME"/>
        </w:rPr>
      </w:pPr>
      <w:r w:rsidRPr="008E586D">
        <w:rPr>
          <w:rFonts w:eastAsia="TimesNewRoman"/>
          <w:sz w:val="22"/>
          <w:szCs w:val="22"/>
          <w:lang w:val="sr-Latn-ME" w:eastAsia="sr-Latn-ME"/>
        </w:rPr>
        <w:t>Kod pacijenata sa nivoima bilirubina koji su do 1,5 puta veći od gornje granice normalnih vrijednosti, preporučena doza lijeka Irinotecan Accord iznosi 350 mg/m</w:t>
      </w:r>
      <w:r w:rsidRPr="008E586D">
        <w:rPr>
          <w:rFonts w:eastAsia="TimesNewRoman"/>
          <w:sz w:val="22"/>
          <w:szCs w:val="22"/>
          <w:vertAlign w:val="superscript"/>
          <w:lang w:val="sr-Latn-ME" w:eastAsia="sr-Latn-ME"/>
        </w:rPr>
        <w:t>2</w:t>
      </w:r>
      <w:r w:rsidRPr="008E586D">
        <w:rPr>
          <w:rFonts w:eastAsia="TimesNewRoman"/>
          <w:sz w:val="22"/>
          <w:szCs w:val="22"/>
          <w:lang w:val="sr-Latn-ME" w:eastAsia="sr-Latn-ME"/>
        </w:rPr>
        <w:t>.</w:t>
      </w:r>
    </w:p>
    <w:p w:rsidR="00D04381" w:rsidRPr="008E586D" w:rsidRDefault="00D04381" w:rsidP="00D04381">
      <w:pPr>
        <w:pStyle w:val="ListParagraph"/>
        <w:numPr>
          <w:ilvl w:val="0"/>
          <w:numId w:val="14"/>
        </w:numPr>
        <w:autoSpaceDE w:val="0"/>
        <w:autoSpaceDN w:val="0"/>
        <w:adjustRightInd w:val="0"/>
        <w:jc w:val="both"/>
        <w:rPr>
          <w:rFonts w:eastAsia="TimesNewRoman"/>
          <w:sz w:val="22"/>
          <w:szCs w:val="22"/>
          <w:lang w:val="sr-Latn-ME" w:eastAsia="sr-Latn-ME"/>
        </w:rPr>
      </w:pPr>
      <w:r w:rsidRPr="008E586D">
        <w:rPr>
          <w:rFonts w:eastAsia="TimesNewRoman"/>
          <w:sz w:val="22"/>
          <w:szCs w:val="22"/>
          <w:lang w:val="sr-Latn-ME" w:eastAsia="sr-Latn-ME"/>
        </w:rPr>
        <w:t>Kod pacijenata sa nivoima bilirubina koji su 1,5-3 puta veći od gornje granice normalnih vrijednosti, preporučena doza lijeka Irinotecan Accord iznosi 200 mg/m</w:t>
      </w:r>
      <w:r w:rsidRPr="008E586D">
        <w:rPr>
          <w:rFonts w:eastAsia="TimesNewRoman"/>
          <w:sz w:val="22"/>
          <w:szCs w:val="22"/>
          <w:vertAlign w:val="superscript"/>
          <w:lang w:val="sr-Latn-ME" w:eastAsia="sr-Latn-ME"/>
        </w:rPr>
        <w:t>2</w:t>
      </w:r>
      <w:r w:rsidRPr="008E586D">
        <w:rPr>
          <w:rFonts w:eastAsia="TimesNewRoman"/>
          <w:sz w:val="22"/>
          <w:szCs w:val="22"/>
          <w:lang w:val="sr-Latn-ME" w:eastAsia="sr-Latn-ME"/>
        </w:rPr>
        <w:t>.</w:t>
      </w:r>
    </w:p>
    <w:p w:rsidR="00D04381" w:rsidRPr="008E586D" w:rsidRDefault="00D04381" w:rsidP="00D04381">
      <w:pPr>
        <w:pStyle w:val="ListParagraph"/>
        <w:numPr>
          <w:ilvl w:val="0"/>
          <w:numId w:val="14"/>
        </w:numPr>
        <w:autoSpaceDE w:val="0"/>
        <w:autoSpaceDN w:val="0"/>
        <w:adjustRightInd w:val="0"/>
        <w:jc w:val="both"/>
        <w:rPr>
          <w:rFonts w:eastAsia="TimesNewRoman"/>
          <w:sz w:val="22"/>
          <w:szCs w:val="22"/>
          <w:lang w:val="sr-Latn-ME" w:eastAsia="sr-Latn-ME"/>
        </w:rPr>
      </w:pPr>
      <w:r w:rsidRPr="008E586D">
        <w:rPr>
          <w:rFonts w:eastAsia="TimesNewRoman"/>
          <w:sz w:val="22"/>
          <w:szCs w:val="22"/>
          <w:lang w:val="sr-Latn-ME" w:eastAsia="sr-Latn-ME"/>
        </w:rPr>
        <w:t>Pacijenti čiji nivo bilirubina prelazi više od 3 puta gornju granicu normalnih vrijednosti ne bi trebalo liječiti lijekom Irinotecan Accord (vidjeti djelove 4.3 i 4.4).</w:t>
      </w:r>
    </w:p>
    <w:p w:rsidR="00D04381" w:rsidRPr="008E586D" w:rsidRDefault="00D04381" w:rsidP="00D04381">
      <w:pPr>
        <w:autoSpaceDE w:val="0"/>
        <w:autoSpaceDN w:val="0"/>
        <w:adjustRightInd w:val="0"/>
        <w:jc w:val="both"/>
        <w:rPr>
          <w:rFonts w:eastAsia="TimesNewRoman"/>
          <w:sz w:val="22"/>
          <w:szCs w:val="22"/>
          <w:lang w:val="sr-Latn-ME" w:eastAsia="sr-Latn-ME"/>
        </w:rPr>
      </w:pPr>
      <w:r w:rsidRPr="008E586D">
        <w:rPr>
          <w:rFonts w:eastAsia="TimesNewRoman"/>
          <w:sz w:val="22"/>
          <w:szCs w:val="22"/>
          <w:lang w:val="sr-Latn-ME" w:eastAsia="sr-Latn-ME"/>
        </w:rPr>
        <w:t>Nema podataka o liječenju pacijenata sa insuficijencijom jetre lijekom Irinotecan Accord u kombinaciji sa drugim ljekovima.</w:t>
      </w:r>
    </w:p>
    <w:p w:rsidR="00D04381" w:rsidRPr="008E586D" w:rsidRDefault="00D04381" w:rsidP="00D04381">
      <w:pPr>
        <w:autoSpaceDE w:val="0"/>
        <w:autoSpaceDN w:val="0"/>
        <w:adjustRightInd w:val="0"/>
        <w:jc w:val="both"/>
        <w:rPr>
          <w:rFonts w:eastAsia="TimesNewRoman"/>
          <w:sz w:val="22"/>
          <w:szCs w:val="22"/>
          <w:lang w:val="sr-Latn-ME" w:eastAsia="sr-Latn-ME"/>
        </w:rPr>
      </w:pPr>
    </w:p>
    <w:p w:rsidR="00D04381" w:rsidRPr="008E586D" w:rsidRDefault="00D04381" w:rsidP="00D04381">
      <w:pPr>
        <w:autoSpaceDE w:val="0"/>
        <w:autoSpaceDN w:val="0"/>
        <w:adjustRightInd w:val="0"/>
        <w:jc w:val="both"/>
        <w:rPr>
          <w:rFonts w:eastAsia="TimesNewRoman"/>
          <w:sz w:val="22"/>
          <w:szCs w:val="22"/>
          <w:u w:val="single"/>
          <w:lang w:val="sr-Latn-ME" w:eastAsia="sr-Latn-ME"/>
        </w:rPr>
      </w:pPr>
      <w:r w:rsidRPr="008E586D">
        <w:rPr>
          <w:rFonts w:eastAsia="TimesNewRoman"/>
          <w:sz w:val="22"/>
          <w:szCs w:val="22"/>
          <w:u w:val="single"/>
          <w:lang w:val="sr-Latn-ME" w:eastAsia="sr-Latn-ME"/>
        </w:rPr>
        <w:t>Pacijenti sa oštećenjem funkcije bubrega</w:t>
      </w:r>
    </w:p>
    <w:p w:rsidR="00091C62" w:rsidRPr="008E586D" w:rsidRDefault="00091C62" w:rsidP="00D04381">
      <w:pPr>
        <w:autoSpaceDE w:val="0"/>
        <w:autoSpaceDN w:val="0"/>
        <w:adjustRightInd w:val="0"/>
        <w:jc w:val="both"/>
        <w:rPr>
          <w:rFonts w:eastAsia="TimesNewRoman"/>
          <w:sz w:val="22"/>
          <w:szCs w:val="22"/>
          <w:u w:val="single"/>
          <w:lang w:val="sr-Latn-ME" w:eastAsia="sr-Latn-ME"/>
        </w:rPr>
      </w:pPr>
    </w:p>
    <w:p w:rsidR="00D04381" w:rsidRPr="008E586D" w:rsidRDefault="00D04381" w:rsidP="00D04381">
      <w:pPr>
        <w:autoSpaceDE w:val="0"/>
        <w:autoSpaceDN w:val="0"/>
        <w:adjustRightInd w:val="0"/>
        <w:jc w:val="both"/>
        <w:rPr>
          <w:rFonts w:eastAsia="TimesNewRoman"/>
          <w:sz w:val="22"/>
          <w:szCs w:val="22"/>
          <w:lang w:val="sr-Latn-ME" w:eastAsia="sr-Latn-ME"/>
        </w:rPr>
      </w:pPr>
      <w:r w:rsidRPr="008E586D">
        <w:rPr>
          <w:rFonts w:eastAsia="TimesNewRoman"/>
          <w:sz w:val="22"/>
          <w:szCs w:val="22"/>
          <w:lang w:val="sr-Latn-ME" w:eastAsia="sr-Latn-ME"/>
        </w:rPr>
        <w:t>Primjena lijeka Irinotecan Accord se ne preporučuje kod pacijenata sa oštećenom funkcijom bubrega, pošto nisu</w:t>
      </w:r>
      <w:r w:rsidR="003B207E" w:rsidRPr="008E586D">
        <w:rPr>
          <w:rFonts w:eastAsia="TimesNewRoman"/>
          <w:sz w:val="22"/>
          <w:szCs w:val="22"/>
          <w:lang w:val="sr-Latn-ME" w:eastAsia="sr-Latn-ME"/>
        </w:rPr>
        <w:t xml:space="preserve"> </w:t>
      </w:r>
      <w:r w:rsidRPr="008E586D">
        <w:rPr>
          <w:rFonts w:eastAsia="TimesNewRoman"/>
          <w:sz w:val="22"/>
          <w:szCs w:val="22"/>
          <w:lang w:val="sr-Latn-ME" w:eastAsia="sr-Latn-ME"/>
        </w:rPr>
        <w:t>sprovedene studije sa ovom populacijom pacijenata (vidjeti djelove 4.4 i 5.2).</w:t>
      </w:r>
    </w:p>
    <w:p w:rsidR="00D04381" w:rsidRPr="008E586D" w:rsidRDefault="00D04381" w:rsidP="00D04381">
      <w:pPr>
        <w:autoSpaceDE w:val="0"/>
        <w:autoSpaceDN w:val="0"/>
        <w:adjustRightInd w:val="0"/>
        <w:jc w:val="both"/>
        <w:rPr>
          <w:rFonts w:eastAsia="TimesNewRoman"/>
          <w:sz w:val="22"/>
          <w:szCs w:val="22"/>
          <w:lang w:val="sr-Latn-ME" w:eastAsia="sr-Latn-ME"/>
        </w:rPr>
      </w:pPr>
    </w:p>
    <w:p w:rsidR="00D04381" w:rsidRPr="008E586D" w:rsidRDefault="00D04381" w:rsidP="00D04381">
      <w:pPr>
        <w:autoSpaceDE w:val="0"/>
        <w:autoSpaceDN w:val="0"/>
        <w:adjustRightInd w:val="0"/>
        <w:jc w:val="both"/>
        <w:rPr>
          <w:rFonts w:eastAsia="TimesNewRoman"/>
          <w:sz w:val="22"/>
          <w:szCs w:val="22"/>
          <w:u w:val="single"/>
          <w:lang w:val="sr-Latn-ME" w:eastAsia="sr-Latn-ME"/>
        </w:rPr>
      </w:pPr>
      <w:r w:rsidRPr="008E586D">
        <w:rPr>
          <w:rFonts w:eastAsia="TimesNewRoman"/>
          <w:sz w:val="22"/>
          <w:szCs w:val="22"/>
          <w:u w:val="single"/>
          <w:lang w:val="sr-Latn-ME" w:eastAsia="sr-Latn-ME"/>
        </w:rPr>
        <w:t>Stariji pacijenti</w:t>
      </w:r>
    </w:p>
    <w:p w:rsidR="00091C62" w:rsidRPr="008E586D" w:rsidRDefault="00091C62" w:rsidP="00D04381">
      <w:pPr>
        <w:autoSpaceDE w:val="0"/>
        <w:autoSpaceDN w:val="0"/>
        <w:adjustRightInd w:val="0"/>
        <w:jc w:val="both"/>
        <w:rPr>
          <w:rFonts w:eastAsia="TimesNewRoman"/>
          <w:sz w:val="22"/>
          <w:szCs w:val="22"/>
          <w:u w:val="single"/>
          <w:lang w:val="sr-Latn-ME" w:eastAsia="sr-Latn-ME"/>
        </w:rPr>
      </w:pPr>
    </w:p>
    <w:p w:rsidR="00D04381" w:rsidRPr="008E586D" w:rsidRDefault="00D04381" w:rsidP="00D04381">
      <w:pPr>
        <w:autoSpaceDE w:val="0"/>
        <w:autoSpaceDN w:val="0"/>
        <w:adjustRightInd w:val="0"/>
        <w:jc w:val="both"/>
        <w:rPr>
          <w:rFonts w:eastAsia="TimesNewRoman"/>
          <w:sz w:val="22"/>
          <w:szCs w:val="22"/>
          <w:lang w:val="sr-Latn-ME" w:eastAsia="sr-Latn-ME"/>
        </w:rPr>
      </w:pPr>
      <w:r w:rsidRPr="008E586D">
        <w:rPr>
          <w:rFonts w:eastAsia="TimesNewRoman"/>
          <w:sz w:val="22"/>
          <w:szCs w:val="22"/>
          <w:lang w:val="sr-Latn-ME" w:eastAsia="sr-Latn-ME"/>
        </w:rPr>
        <w:t>Posebne farmakokinetičke studije kod starijih pacijenata nisu sprovedene. Međutim, treba pažljivo odabrati dozu kada je ova populacija u pitanju, zbog toga što su kod starijih u većoj mjeri smanjene biološke funkcije.</w:t>
      </w:r>
      <w:r w:rsidR="003B207E" w:rsidRPr="008E586D">
        <w:rPr>
          <w:rFonts w:eastAsia="TimesNewRoman"/>
          <w:sz w:val="22"/>
          <w:szCs w:val="22"/>
          <w:lang w:val="sr-Latn-ME" w:eastAsia="sr-Latn-ME"/>
        </w:rPr>
        <w:t xml:space="preserve"> </w:t>
      </w:r>
      <w:r w:rsidRPr="008E586D">
        <w:rPr>
          <w:rFonts w:eastAsia="TimesNewRoman"/>
          <w:sz w:val="22"/>
          <w:szCs w:val="22"/>
          <w:lang w:val="sr-Latn-ME" w:eastAsia="sr-Latn-ME"/>
        </w:rPr>
        <w:t>Ova grupa pacijenata zahtijeva intenzivniji nadzor (vidjeti dio 4.4).</w:t>
      </w:r>
    </w:p>
    <w:p w:rsidR="00D04381" w:rsidRPr="008E586D" w:rsidRDefault="00D04381" w:rsidP="00D04381">
      <w:pPr>
        <w:autoSpaceDE w:val="0"/>
        <w:autoSpaceDN w:val="0"/>
        <w:adjustRightInd w:val="0"/>
        <w:jc w:val="both"/>
        <w:rPr>
          <w:rFonts w:eastAsia="TimesNewRoman"/>
          <w:sz w:val="22"/>
          <w:szCs w:val="22"/>
          <w:lang w:val="sr-Latn-ME" w:eastAsia="sr-Latn-ME"/>
        </w:rPr>
      </w:pPr>
    </w:p>
    <w:p w:rsidR="00D04381" w:rsidRPr="008E586D" w:rsidRDefault="00D04381" w:rsidP="00D04381">
      <w:pPr>
        <w:autoSpaceDE w:val="0"/>
        <w:autoSpaceDN w:val="0"/>
        <w:adjustRightInd w:val="0"/>
        <w:jc w:val="both"/>
        <w:rPr>
          <w:rFonts w:eastAsia="TimesNewRoman"/>
          <w:sz w:val="22"/>
          <w:szCs w:val="22"/>
          <w:u w:val="single"/>
          <w:lang w:val="sr-Latn-ME" w:eastAsia="sr-Latn-ME"/>
        </w:rPr>
      </w:pPr>
      <w:r w:rsidRPr="008E586D">
        <w:rPr>
          <w:rFonts w:eastAsia="TimesNewRoman"/>
          <w:sz w:val="22"/>
          <w:szCs w:val="22"/>
          <w:u w:val="single"/>
          <w:lang w:val="sr-Latn-ME" w:eastAsia="sr-Latn-ME"/>
        </w:rPr>
        <w:t>Pedijatrijska populacija</w:t>
      </w:r>
    </w:p>
    <w:p w:rsidR="00091C62" w:rsidRPr="008E586D" w:rsidRDefault="00091C62" w:rsidP="00D04381">
      <w:pPr>
        <w:autoSpaceDE w:val="0"/>
        <w:autoSpaceDN w:val="0"/>
        <w:adjustRightInd w:val="0"/>
        <w:jc w:val="both"/>
        <w:rPr>
          <w:rFonts w:eastAsia="TimesNewRoman"/>
          <w:sz w:val="22"/>
          <w:szCs w:val="22"/>
          <w:u w:val="single"/>
          <w:lang w:val="sr-Latn-ME" w:eastAsia="sr-Latn-ME"/>
        </w:rPr>
      </w:pPr>
    </w:p>
    <w:p w:rsidR="00D04381" w:rsidRPr="008E586D" w:rsidRDefault="00D04381" w:rsidP="00D04381">
      <w:pPr>
        <w:autoSpaceDE w:val="0"/>
        <w:autoSpaceDN w:val="0"/>
        <w:adjustRightInd w:val="0"/>
        <w:jc w:val="both"/>
        <w:rPr>
          <w:rFonts w:eastAsia="TimesNewRoman"/>
          <w:sz w:val="22"/>
          <w:szCs w:val="22"/>
          <w:lang w:val="sr-Latn-ME" w:eastAsia="sr-Latn-ME"/>
        </w:rPr>
      </w:pPr>
      <w:r w:rsidRPr="008E586D">
        <w:rPr>
          <w:rFonts w:eastAsia="TimesNewRoman"/>
          <w:sz w:val="22"/>
          <w:szCs w:val="22"/>
          <w:lang w:val="sr-Latn-ME" w:eastAsia="sr-Latn-ME"/>
        </w:rPr>
        <w:t>Bezbjednost i efikasnost primjene lijeka Irinotecan Accord kod djece još uvijek nije ustanovljena. Nema dostupnih podataka.</w:t>
      </w:r>
    </w:p>
    <w:p w:rsidR="00D04381" w:rsidRPr="008E586D" w:rsidRDefault="00D04381" w:rsidP="00D04381">
      <w:pPr>
        <w:tabs>
          <w:tab w:val="left" w:pos="540"/>
          <w:tab w:val="left" w:pos="569"/>
        </w:tabs>
        <w:jc w:val="both"/>
        <w:rPr>
          <w:bCs/>
          <w:color w:val="FF0000"/>
          <w:sz w:val="22"/>
          <w:szCs w:val="22"/>
          <w:lang w:val="sr-Latn-ME"/>
        </w:rPr>
      </w:pPr>
    </w:p>
    <w:p w:rsidR="00D04381" w:rsidRPr="008E586D" w:rsidRDefault="00D04381" w:rsidP="00D04381">
      <w:pPr>
        <w:autoSpaceDE w:val="0"/>
        <w:autoSpaceDN w:val="0"/>
        <w:adjustRightInd w:val="0"/>
        <w:jc w:val="both"/>
        <w:rPr>
          <w:iCs/>
          <w:sz w:val="22"/>
          <w:szCs w:val="22"/>
          <w:u w:val="single"/>
          <w:lang w:val="sr-Latn-ME" w:eastAsia="sr-Latn-ME"/>
        </w:rPr>
      </w:pPr>
      <w:r w:rsidRPr="008E586D">
        <w:rPr>
          <w:iCs/>
          <w:sz w:val="22"/>
          <w:szCs w:val="22"/>
          <w:u w:val="single"/>
          <w:lang w:val="sr-Latn-ME" w:eastAsia="sr-Latn-ME"/>
        </w:rPr>
        <w:t>Način primjene</w:t>
      </w:r>
    </w:p>
    <w:p w:rsidR="00D04381" w:rsidRPr="008E586D" w:rsidRDefault="00D04381" w:rsidP="00D04381">
      <w:pPr>
        <w:autoSpaceDE w:val="0"/>
        <w:autoSpaceDN w:val="0"/>
        <w:adjustRightInd w:val="0"/>
        <w:jc w:val="both"/>
        <w:rPr>
          <w:rFonts w:eastAsia="TimesNewRoman"/>
          <w:i/>
          <w:sz w:val="22"/>
          <w:szCs w:val="22"/>
          <w:lang w:val="sr-Latn-ME" w:eastAsia="sr-Latn-ME"/>
        </w:rPr>
      </w:pPr>
      <w:r w:rsidRPr="008E586D">
        <w:rPr>
          <w:rFonts w:eastAsia="TimesNewRoman"/>
          <w:i/>
          <w:sz w:val="22"/>
          <w:szCs w:val="22"/>
          <w:lang w:val="sr-Latn-ME" w:eastAsia="sr-Latn-ME"/>
        </w:rPr>
        <w:t>Potreban je oprez pri rukovanju i primjeni lijeka.</w:t>
      </w:r>
    </w:p>
    <w:p w:rsidR="00D908EE" w:rsidRPr="008E586D" w:rsidRDefault="00D908EE" w:rsidP="00D04381">
      <w:pPr>
        <w:autoSpaceDE w:val="0"/>
        <w:autoSpaceDN w:val="0"/>
        <w:adjustRightInd w:val="0"/>
        <w:jc w:val="both"/>
        <w:rPr>
          <w:rFonts w:eastAsia="TimesNewRoman"/>
          <w:i/>
          <w:sz w:val="22"/>
          <w:szCs w:val="22"/>
          <w:lang w:val="sr-Latn-ME" w:eastAsia="sr-Latn-ME"/>
        </w:rPr>
      </w:pPr>
    </w:p>
    <w:p w:rsidR="00D04381" w:rsidRPr="008E586D" w:rsidRDefault="00D04381" w:rsidP="00D04381">
      <w:pPr>
        <w:tabs>
          <w:tab w:val="left" w:pos="540"/>
          <w:tab w:val="left" w:pos="569"/>
        </w:tabs>
        <w:jc w:val="both"/>
        <w:rPr>
          <w:rFonts w:eastAsia="TimesNewRoman"/>
          <w:sz w:val="22"/>
          <w:szCs w:val="22"/>
          <w:lang w:val="sr-Latn-ME" w:eastAsia="sr-Latn-ME"/>
        </w:rPr>
      </w:pPr>
      <w:r w:rsidRPr="008E586D">
        <w:rPr>
          <w:rFonts w:eastAsia="TimesNewRoman"/>
          <w:sz w:val="22"/>
          <w:szCs w:val="22"/>
          <w:lang w:val="sr-Latn-ME" w:eastAsia="sr-Latn-ME"/>
        </w:rPr>
        <w:t>Ovaj lijek je citotoksičan. Za uputstvo o razblaživanju lijeka prije primjene</w:t>
      </w:r>
      <w:r w:rsidR="003B207E" w:rsidRPr="008E586D">
        <w:rPr>
          <w:rFonts w:eastAsia="TimesNewRoman"/>
          <w:sz w:val="22"/>
          <w:szCs w:val="22"/>
          <w:lang w:val="sr-Latn-ME" w:eastAsia="sr-Latn-ME"/>
        </w:rPr>
        <w:t>, posebnim upozorenjima o odlaganju i rukovanju</w:t>
      </w:r>
      <w:r w:rsidRPr="008E586D">
        <w:rPr>
          <w:rFonts w:eastAsia="TimesNewRoman"/>
          <w:sz w:val="22"/>
          <w:szCs w:val="22"/>
          <w:lang w:val="sr-Latn-ME" w:eastAsia="sr-Latn-ME"/>
        </w:rPr>
        <w:t xml:space="preserve"> vidjeti dio 6.6.</w:t>
      </w:r>
    </w:p>
    <w:p w:rsidR="00452E9D" w:rsidRPr="008E586D" w:rsidRDefault="00452E9D" w:rsidP="00480FB1">
      <w:pPr>
        <w:tabs>
          <w:tab w:val="left" w:pos="540"/>
          <w:tab w:val="left" w:pos="569"/>
        </w:tabs>
        <w:rPr>
          <w:bCs/>
          <w:sz w:val="22"/>
          <w:szCs w:val="22"/>
          <w:lang w:val="sr-Latn-ME"/>
        </w:rPr>
      </w:pPr>
    </w:p>
    <w:p w:rsidR="00411B4B" w:rsidRPr="008E586D" w:rsidRDefault="00411B4B" w:rsidP="00480FB1">
      <w:pPr>
        <w:tabs>
          <w:tab w:val="left" w:pos="540"/>
          <w:tab w:val="left" w:pos="569"/>
        </w:tabs>
        <w:rPr>
          <w:b/>
          <w:bCs/>
          <w:sz w:val="22"/>
          <w:szCs w:val="22"/>
          <w:lang w:val="sr-Latn-ME"/>
        </w:rPr>
      </w:pPr>
      <w:r w:rsidRPr="008E586D">
        <w:rPr>
          <w:b/>
          <w:bCs/>
          <w:sz w:val="22"/>
          <w:szCs w:val="22"/>
          <w:lang w:val="sr-Latn-ME"/>
        </w:rPr>
        <w:t xml:space="preserve">4.3. </w:t>
      </w:r>
      <w:r w:rsidR="00480FB1" w:rsidRPr="008E586D">
        <w:rPr>
          <w:b/>
          <w:bCs/>
          <w:sz w:val="22"/>
          <w:szCs w:val="22"/>
          <w:lang w:val="sr-Latn-ME"/>
        </w:rPr>
        <w:tab/>
      </w:r>
      <w:r w:rsidRPr="008E586D">
        <w:rPr>
          <w:b/>
          <w:bCs/>
          <w:sz w:val="22"/>
          <w:szCs w:val="22"/>
          <w:lang w:val="sr-Latn-ME"/>
        </w:rPr>
        <w:t>Kontraindikacije</w:t>
      </w:r>
    </w:p>
    <w:p w:rsidR="00D04381" w:rsidRPr="008E586D" w:rsidRDefault="00D04381" w:rsidP="00480FB1">
      <w:pPr>
        <w:tabs>
          <w:tab w:val="left" w:pos="540"/>
          <w:tab w:val="left" w:pos="569"/>
        </w:tabs>
        <w:rPr>
          <w:b/>
          <w:bCs/>
          <w:sz w:val="22"/>
          <w:szCs w:val="22"/>
          <w:lang w:val="sr-Latn-ME"/>
        </w:rPr>
      </w:pPr>
    </w:p>
    <w:p w:rsidR="00D04381" w:rsidRPr="008E586D" w:rsidRDefault="00D04381" w:rsidP="00D04381">
      <w:pPr>
        <w:pStyle w:val="ListParagraph"/>
        <w:numPr>
          <w:ilvl w:val="0"/>
          <w:numId w:val="15"/>
        </w:numPr>
        <w:autoSpaceDE w:val="0"/>
        <w:autoSpaceDN w:val="0"/>
        <w:adjustRightInd w:val="0"/>
        <w:jc w:val="both"/>
        <w:rPr>
          <w:rFonts w:eastAsia="TimesNewRoman"/>
          <w:sz w:val="22"/>
          <w:szCs w:val="22"/>
          <w:lang w:val="sr-Latn-ME" w:eastAsia="sr-Latn-ME"/>
        </w:rPr>
      </w:pPr>
      <w:r w:rsidRPr="008E586D">
        <w:rPr>
          <w:rFonts w:eastAsia="TimesNewRoman"/>
          <w:sz w:val="22"/>
          <w:szCs w:val="22"/>
          <w:lang w:val="sr-Latn-ME" w:eastAsia="sr-Latn-ME"/>
        </w:rPr>
        <w:t>Hronična inflamatorna bolest crijeva i/ili opstrukcija crijeva (vidjeti dio 4.4.)</w:t>
      </w:r>
    </w:p>
    <w:p w:rsidR="00D04381" w:rsidRPr="008E586D" w:rsidRDefault="00D04381" w:rsidP="00C05CEF">
      <w:pPr>
        <w:pStyle w:val="ListParagraph"/>
        <w:numPr>
          <w:ilvl w:val="0"/>
          <w:numId w:val="15"/>
        </w:numPr>
        <w:autoSpaceDE w:val="0"/>
        <w:autoSpaceDN w:val="0"/>
        <w:adjustRightInd w:val="0"/>
        <w:jc w:val="both"/>
        <w:rPr>
          <w:rFonts w:eastAsia="TimesNewRoman"/>
          <w:sz w:val="22"/>
          <w:szCs w:val="22"/>
          <w:lang w:val="sr-Latn-ME" w:eastAsia="sr-Latn-ME"/>
        </w:rPr>
      </w:pPr>
      <w:r w:rsidRPr="008E586D">
        <w:rPr>
          <w:rFonts w:eastAsia="TimesNewRoman"/>
          <w:sz w:val="22"/>
          <w:szCs w:val="22"/>
          <w:lang w:val="sr-Latn-ME" w:eastAsia="sr-Latn-ME"/>
        </w:rPr>
        <w:t>Preosjetljivost na aktivnu supstancu ili na neku od pomoćnih supstanci navedenih u dijelu 6.1</w:t>
      </w:r>
    </w:p>
    <w:p w:rsidR="00D04381" w:rsidRPr="008E586D" w:rsidRDefault="00D04381" w:rsidP="00C05CEF">
      <w:pPr>
        <w:pStyle w:val="ListParagraph"/>
        <w:numPr>
          <w:ilvl w:val="0"/>
          <w:numId w:val="15"/>
        </w:numPr>
        <w:autoSpaceDE w:val="0"/>
        <w:autoSpaceDN w:val="0"/>
        <w:adjustRightInd w:val="0"/>
        <w:jc w:val="both"/>
        <w:rPr>
          <w:rFonts w:eastAsia="TimesNewRoman"/>
          <w:sz w:val="22"/>
          <w:szCs w:val="22"/>
          <w:lang w:val="sr-Latn-ME" w:eastAsia="sr-Latn-ME"/>
        </w:rPr>
      </w:pPr>
      <w:r w:rsidRPr="008E586D">
        <w:rPr>
          <w:rFonts w:eastAsia="TimesNewRoman"/>
          <w:sz w:val="22"/>
          <w:szCs w:val="22"/>
          <w:lang w:val="sr-Latn-ME" w:eastAsia="sr-Latn-ME"/>
        </w:rPr>
        <w:lastRenderedPageBreak/>
        <w:t>Laktacija (vidjeti djelove 4.4 i 4.6.)</w:t>
      </w:r>
    </w:p>
    <w:p w:rsidR="00D04381" w:rsidRPr="008E586D" w:rsidRDefault="00D04381" w:rsidP="00D04381">
      <w:pPr>
        <w:pStyle w:val="ListParagraph"/>
        <w:numPr>
          <w:ilvl w:val="0"/>
          <w:numId w:val="15"/>
        </w:numPr>
        <w:autoSpaceDE w:val="0"/>
        <w:autoSpaceDN w:val="0"/>
        <w:adjustRightInd w:val="0"/>
        <w:jc w:val="both"/>
        <w:rPr>
          <w:rFonts w:eastAsia="TimesNewRoman"/>
          <w:sz w:val="22"/>
          <w:szCs w:val="22"/>
          <w:lang w:val="sr-Latn-ME" w:eastAsia="sr-Latn-ME"/>
        </w:rPr>
      </w:pPr>
      <w:r w:rsidRPr="008E586D">
        <w:rPr>
          <w:rFonts w:eastAsia="TimesNewRoman"/>
          <w:sz w:val="22"/>
          <w:szCs w:val="22"/>
          <w:lang w:val="sr-Latn-ME" w:eastAsia="sr-Latn-ME"/>
        </w:rPr>
        <w:t>Vrijednosti bilirubina povećane više od 3 puta u odnosu na gornju granicu normalne vrijednosti (vidjeti dio 4.4)</w:t>
      </w:r>
    </w:p>
    <w:p w:rsidR="00D04381" w:rsidRPr="008E586D" w:rsidRDefault="00D04381" w:rsidP="00D04381">
      <w:pPr>
        <w:pStyle w:val="ListParagraph"/>
        <w:numPr>
          <w:ilvl w:val="0"/>
          <w:numId w:val="15"/>
        </w:numPr>
        <w:autoSpaceDE w:val="0"/>
        <w:autoSpaceDN w:val="0"/>
        <w:adjustRightInd w:val="0"/>
        <w:jc w:val="both"/>
        <w:rPr>
          <w:rFonts w:eastAsia="TimesNewRoman"/>
          <w:sz w:val="22"/>
          <w:szCs w:val="22"/>
          <w:lang w:val="sr-Latn-ME" w:eastAsia="sr-Latn-ME"/>
        </w:rPr>
      </w:pPr>
      <w:r w:rsidRPr="008E586D">
        <w:rPr>
          <w:rFonts w:eastAsia="TimesNewRoman"/>
          <w:sz w:val="22"/>
          <w:szCs w:val="22"/>
          <w:lang w:val="sr-Latn-ME" w:eastAsia="sr-Latn-ME"/>
        </w:rPr>
        <w:t>Teška insuficijencija koštane srži</w:t>
      </w:r>
    </w:p>
    <w:p w:rsidR="00D04381" w:rsidRPr="008E586D" w:rsidRDefault="00D04381" w:rsidP="00D04381">
      <w:pPr>
        <w:pStyle w:val="ListParagraph"/>
        <w:numPr>
          <w:ilvl w:val="0"/>
          <w:numId w:val="15"/>
        </w:numPr>
        <w:autoSpaceDE w:val="0"/>
        <w:autoSpaceDN w:val="0"/>
        <w:adjustRightInd w:val="0"/>
        <w:jc w:val="both"/>
        <w:rPr>
          <w:rFonts w:eastAsia="TimesNewRoman"/>
          <w:sz w:val="22"/>
          <w:szCs w:val="22"/>
          <w:lang w:val="sr-Latn-ME" w:eastAsia="sr-Latn-ME"/>
        </w:rPr>
      </w:pPr>
      <w:r w:rsidRPr="008E586D">
        <w:rPr>
          <w:rFonts w:eastAsia="TimesNewRoman"/>
          <w:sz w:val="22"/>
          <w:szCs w:val="22"/>
          <w:lang w:val="sr-Latn-ME" w:eastAsia="sr-Latn-ME"/>
        </w:rPr>
        <w:t>Performans status &gt; 2 (na osnovu skale Svetske zdravstvene organizacije)</w:t>
      </w:r>
    </w:p>
    <w:p w:rsidR="00D04381" w:rsidRPr="008E586D" w:rsidRDefault="00D04381" w:rsidP="00D04381">
      <w:pPr>
        <w:pStyle w:val="ListParagraph"/>
        <w:numPr>
          <w:ilvl w:val="0"/>
          <w:numId w:val="15"/>
        </w:numPr>
        <w:autoSpaceDE w:val="0"/>
        <w:autoSpaceDN w:val="0"/>
        <w:adjustRightInd w:val="0"/>
        <w:jc w:val="both"/>
        <w:rPr>
          <w:rFonts w:eastAsia="TimesNewRoman"/>
          <w:sz w:val="22"/>
          <w:szCs w:val="22"/>
          <w:lang w:val="sr-Latn-ME" w:eastAsia="sr-Latn-ME"/>
        </w:rPr>
      </w:pPr>
      <w:r w:rsidRPr="008E586D">
        <w:rPr>
          <w:rFonts w:eastAsia="TimesNewRoman"/>
          <w:sz w:val="22"/>
          <w:szCs w:val="22"/>
          <w:lang w:val="sr-Latn-ME" w:eastAsia="sr-Latn-ME"/>
        </w:rPr>
        <w:t xml:space="preserve">Istovremena primjena preparata na bazi biljke </w:t>
      </w:r>
      <w:r w:rsidRPr="008E586D">
        <w:rPr>
          <w:i/>
          <w:iCs/>
          <w:sz w:val="22"/>
          <w:szCs w:val="22"/>
          <w:lang w:val="sr-Latn-ME" w:eastAsia="sr-Latn-ME"/>
        </w:rPr>
        <w:t xml:space="preserve">Hypericum perforatum </w:t>
      </w:r>
      <w:r w:rsidRPr="008E586D">
        <w:rPr>
          <w:rFonts w:eastAsia="TimesNewRoman"/>
          <w:sz w:val="22"/>
          <w:szCs w:val="22"/>
          <w:lang w:val="sr-Latn-ME" w:eastAsia="sr-Latn-ME"/>
        </w:rPr>
        <w:t>(kantarion) (vidjeti dio 4.5)</w:t>
      </w:r>
    </w:p>
    <w:p w:rsidR="00D04381" w:rsidRPr="008E586D" w:rsidRDefault="00D04381" w:rsidP="00D04381">
      <w:pPr>
        <w:pStyle w:val="ListParagraph"/>
        <w:numPr>
          <w:ilvl w:val="0"/>
          <w:numId w:val="15"/>
        </w:numPr>
        <w:autoSpaceDE w:val="0"/>
        <w:autoSpaceDN w:val="0"/>
        <w:adjustRightInd w:val="0"/>
        <w:jc w:val="both"/>
        <w:rPr>
          <w:rFonts w:eastAsia="TimesNewRoman"/>
          <w:sz w:val="22"/>
          <w:szCs w:val="22"/>
          <w:lang w:val="sr-Latn-ME" w:eastAsia="sr-Latn-ME"/>
        </w:rPr>
      </w:pPr>
      <w:r w:rsidRPr="008E586D">
        <w:rPr>
          <w:rFonts w:eastAsia="TimesNewRoman"/>
          <w:sz w:val="22"/>
          <w:szCs w:val="22"/>
          <w:lang w:val="sr-Latn-ME" w:eastAsia="sr-Latn-ME"/>
        </w:rPr>
        <w:t>Žive atenuisane vakcine (vidjeti dio 4.5)</w:t>
      </w:r>
    </w:p>
    <w:p w:rsidR="00D04381" w:rsidRPr="008E586D" w:rsidRDefault="00D04381" w:rsidP="00D04381">
      <w:pPr>
        <w:autoSpaceDE w:val="0"/>
        <w:autoSpaceDN w:val="0"/>
        <w:adjustRightInd w:val="0"/>
        <w:jc w:val="both"/>
        <w:rPr>
          <w:rFonts w:eastAsia="TimesNewRoman"/>
          <w:sz w:val="22"/>
          <w:szCs w:val="22"/>
          <w:lang w:val="sr-Latn-ME" w:eastAsia="sr-Latn-ME"/>
        </w:rPr>
      </w:pPr>
      <w:r w:rsidRPr="008E586D">
        <w:rPr>
          <w:rFonts w:eastAsia="TimesNewRoman"/>
          <w:sz w:val="22"/>
          <w:szCs w:val="22"/>
          <w:lang w:val="sr-Latn-ME" w:eastAsia="sr-Latn-ME"/>
        </w:rPr>
        <w:t>Za dodatne kontraindikacije koje se odnose na cetuksimab, bevacizumab ili kapecitabin, pogledati</w:t>
      </w:r>
    </w:p>
    <w:p w:rsidR="00C05CEF" w:rsidRPr="008E586D" w:rsidRDefault="00D04381" w:rsidP="00D04381">
      <w:pPr>
        <w:tabs>
          <w:tab w:val="left" w:pos="540"/>
          <w:tab w:val="left" w:pos="569"/>
        </w:tabs>
        <w:jc w:val="both"/>
        <w:rPr>
          <w:bCs/>
          <w:color w:val="FF0000"/>
          <w:sz w:val="22"/>
          <w:szCs w:val="22"/>
          <w:lang w:val="sr-Latn-ME"/>
        </w:rPr>
      </w:pPr>
      <w:r w:rsidRPr="008E586D">
        <w:rPr>
          <w:rFonts w:eastAsia="TimesNewRoman"/>
          <w:sz w:val="22"/>
          <w:szCs w:val="22"/>
          <w:lang w:val="sr-Latn-ME" w:eastAsia="sr-Latn-ME"/>
        </w:rPr>
        <w:t>informacije koje se odnose na ove ljekove.</w:t>
      </w:r>
    </w:p>
    <w:p w:rsidR="0072020E" w:rsidRPr="008E586D" w:rsidRDefault="0072020E" w:rsidP="00480FB1">
      <w:pPr>
        <w:tabs>
          <w:tab w:val="left" w:pos="540"/>
          <w:tab w:val="left" w:pos="569"/>
        </w:tabs>
        <w:rPr>
          <w:bCs/>
          <w:sz w:val="22"/>
          <w:szCs w:val="22"/>
          <w:lang w:val="sr-Latn-ME"/>
        </w:rPr>
      </w:pPr>
    </w:p>
    <w:p w:rsidR="00411B4B" w:rsidRPr="008E586D" w:rsidRDefault="00411B4B" w:rsidP="00480FB1">
      <w:pPr>
        <w:tabs>
          <w:tab w:val="left" w:pos="540"/>
          <w:tab w:val="left" w:pos="569"/>
        </w:tabs>
        <w:rPr>
          <w:b/>
          <w:bCs/>
          <w:sz w:val="22"/>
          <w:szCs w:val="22"/>
          <w:lang w:val="sr-Latn-ME"/>
        </w:rPr>
      </w:pPr>
      <w:r w:rsidRPr="008E586D">
        <w:rPr>
          <w:b/>
          <w:bCs/>
          <w:sz w:val="22"/>
          <w:szCs w:val="22"/>
          <w:lang w:val="sr-Latn-ME"/>
        </w:rPr>
        <w:t xml:space="preserve">4.4. </w:t>
      </w:r>
      <w:r w:rsidR="00480FB1" w:rsidRPr="008E586D">
        <w:rPr>
          <w:b/>
          <w:bCs/>
          <w:sz w:val="22"/>
          <w:szCs w:val="22"/>
          <w:lang w:val="sr-Latn-ME"/>
        </w:rPr>
        <w:tab/>
      </w:r>
      <w:r w:rsidRPr="008E586D">
        <w:rPr>
          <w:b/>
          <w:bCs/>
          <w:sz w:val="22"/>
          <w:szCs w:val="22"/>
          <w:lang w:val="sr-Latn-ME"/>
        </w:rPr>
        <w:t>Posebna upozorenja i mjere opreza pri upotrebi lijeka</w:t>
      </w:r>
    </w:p>
    <w:p w:rsidR="0072020E" w:rsidRPr="008E586D" w:rsidRDefault="0072020E" w:rsidP="00480FB1">
      <w:pPr>
        <w:tabs>
          <w:tab w:val="left" w:pos="540"/>
          <w:tab w:val="left" w:pos="569"/>
        </w:tabs>
        <w:rPr>
          <w:bCs/>
          <w:sz w:val="22"/>
          <w:szCs w:val="22"/>
          <w:lang w:val="sr-Latn-ME"/>
        </w:rPr>
      </w:pPr>
    </w:p>
    <w:p w:rsidR="00D04381" w:rsidRPr="008E586D" w:rsidRDefault="00D04381" w:rsidP="00D04381">
      <w:pPr>
        <w:autoSpaceDE w:val="0"/>
        <w:autoSpaceDN w:val="0"/>
        <w:adjustRightInd w:val="0"/>
        <w:jc w:val="both"/>
        <w:rPr>
          <w:rFonts w:eastAsia="TimesNewRoman"/>
          <w:sz w:val="22"/>
          <w:szCs w:val="22"/>
          <w:lang w:val="sr-Latn-ME" w:eastAsia="sr-Latn-ME"/>
        </w:rPr>
      </w:pPr>
      <w:r w:rsidRPr="008E586D">
        <w:rPr>
          <w:rFonts w:eastAsia="TimesNewRoman"/>
          <w:sz w:val="22"/>
          <w:szCs w:val="22"/>
          <w:lang w:val="sr-Latn-ME" w:eastAsia="sr-Latn-ME"/>
        </w:rPr>
        <w:t>Upotrebu lijeka Irinotecan Accord treba ograničiti na jedinice specijalizovane za primjenu citotoksičnih ljekova, a lijek Irinotecan Accord treba primjenjivati samo pod nadzorom ljekara posebno obučenih za hemioterapiju maligniteta.</w:t>
      </w:r>
    </w:p>
    <w:p w:rsidR="003B207E" w:rsidRPr="008E586D" w:rsidRDefault="003B207E" w:rsidP="00D04381">
      <w:pPr>
        <w:autoSpaceDE w:val="0"/>
        <w:autoSpaceDN w:val="0"/>
        <w:adjustRightInd w:val="0"/>
        <w:jc w:val="both"/>
        <w:rPr>
          <w:rFonts w:eastAsia="TimesNewRoman"/>
          <w:sz w:val="22"/>
          <w:szCs w:val="22"/>
          <w:lang w:val="sr-Latn-ME" w:eastAsia="sr-Latn-ME"/>
        </w:rPr>
      </w:pPr>
    </w:p>
    <w:p w:rsidR="00D04381" w:rsidRPr="008E586D" w:rsidRDefault="00D04381" w:rsidP="00D04381">
      <w:pPr>
        <w:autoSpaceDE w:val="0"/>
        <w:autoSpaceDN w:val="0"/>
        <w:adjustRightInd w:val="0"/>
        <w:jc w:val="both"/>
        <w:rPr>
          <w:rFonts w:eastAsia="TimesNewRoman"/>
          <w:sz w:val="22"/>
          <w:szCs w:val="22"/>
          <w:lang w:val="sr-Latn-ME" w:eastAsia="sr-Latn-ME"/>
        </w:rPr>
      </w:pPr>
      <w:r w:rsidRPr="008E586D">
        <w:rPr>
          <w:rFonts w:eastAsia="TimesNewRoman"/>
          <w:sz w:val="22"/>
          <w:szCs w:val="22"/>
          <w:lang w:val="sr-Latn-ME" w:eastAsia="sr-Latn-ME"/>
        </w:rPr>
        <w:t xml:space="preserve">Uzimajući u obzir prirodu i učestalost neželjenih događaja, lijek Irinotecan Accord treba propisati u </w:t>
      </w:r>
      <w:r w:rsidR="00F3602A" w:rsidRPr="008E586D">
        <w:rPr>
          <w:rFonts w:eastAsia="TimesNewRoman"/>
          <w:sz w:val="22"/>
          <w:szCs w:val="22"/>
          <w:lang w:val="sr-Latn-ME" w:eastAsia="sr-Latn-ME"/>
        </w:rPr>
        <w:t>sljede</w:t>
      </w:r>
      <w:r w:rsidRPr="008E586D">
        <w:rPr>
          <w:rFonts w:eastAsia="TimesNewRoman"/>
          <w:sz w:val="22"/>
          <w:szCs w:val="22"/>
          <w:lang w:val="sr-Latn-ME" w:eastAsia="sr-Latn-ME"/>
        </w:rPr>
        <w:t>ćim slučajevima samo posl</w:t>
      </w:r>
      <w:r w:rsidR="00C05CEF" w:rsidRPr="008E586D">
        <w:rPr>
          <w:rFonts w:eastAsia="TimesNewRoman"/>
          <w:sz w:val="22"/>
          <w:szCs w:val="22"/>
          <w:lang w:val="sr-Latn-ME" w:eastAsia="sr-Latn-ME"/>
        </w:rPr>
        <w:t>ij</w:t>
      </w:r>
      <w:r w:rsidRPr="008E586D">
        <w:rPr>
          <w:rFonts w:eastAsia="TimesNewRoman"/>
          <w:sz w:val="22"/>
          <w:szCs w:val="22"/>
          <w:lang w:val="sr-Latn-ME" w:eastAsia="sr-Latn-ME"/>
        </w:rPr>
        <w:t xml:space="preserve">e </w:t>
      </w:r>
      <w:r w:rsidR="00C05CEF" w:rsidRPr="008E586D">
        <w:rPr>
          <w:rFonts w:eastAsia="TimesNewRoman"/>
          <w:sz w:val="22"/>
          <w:szCs w:val="22"/>
          <w:lang w:val="sr-Latn-ME" w:eastAsia="sr-Latn-ME"/>
        </w:rPr>
        <w:t xml:space="preserve">procjene </w:t>
      </w:r>
      <w:r w:rsidRPr="008E586D">
        <w:rPr>
          <w:rFonts w:eastAsia="TimesNewRoman"/>
          <w:sz w:val="22"/>
          <w:szCs w:val="22"/>
          <w:lang w:val="sr-Latn-ME" w:eastAsia="sr-Latn-ME"/>
        </w:rPr>
        <w:t>odnosa očekivane koristi i mogućih terapijskih rizika:</w:t>
      </w:r>
    </w:p>
    <w:p w:rsidR="003B207E" w:rsidRPr="008E586D" w:rsidRDefault="003B207E" w:rsidP="00D04381">
      <w:pPr>
        <w:autoSpaceDE w:val="0"/>
        <w:autoSpaceDN w:val="0"/>
        <w:adjustRightInd w:val="0"/>
        <w:jc w:val="both"/>
        <w:rPr>
          <w:rFonts w:eastAsia="TimesNewRoman"/>
          <w:sz w:val="22"/>
          <w:szCs w:val="22"/>
          <w:lang w:val="sr-Latn-ME" w:eastAsia="sr-Latn-ME"/>
        </w:rPr>
      </w:pPr>
    </w:p>
    <w:p w:rsidR="00D04381" w:rsidRPr="008E586D" w:rsidRDefault="00D04381" w:rsidP="00D04381">
      <w:pPr>
        <w:pStyle w:val="ListParagraph"/>
        <w:numPr>
          <w:ilvl w:val="0"/>
          <w:numId w:val="16"/>
        </w:numPr>
        <w:autoSpaceDE w:val="0"/>
        <w:autoSpaceDN w:val="0"/>
        <w:adjustRightInd w:val="0"/>
        <w:jc w:val="both"/>
        <w:rPr>
          <w:rFonts w:eastAsia="TimesNewRoman"/>
          <w:sz w:val="22"/>
          <w:szCs w:val="22"/>
          <w:lang w:val="sr-Latn-ME" w:eastAsia="sr-Latn-ME"/>
        </w:rPr>
      </w:pPr>
      <w:r w:rsidRPr="008E586D">
        <w:rPr>
          <w:rFonts w:eastAsia="TimesNewRoman"/>
          <w:sz w:val="22"/>
          <w:szCs w:val="22"/>
          <w:lang w:val="sr-Latn-ME" w:eastAsia="sr-Latn-ME"/>
        </w:rPr>
        <w:t>kod pacijenata sa nekim faktorom rizika, posebno kod onih sa performans statusom koji je jednak 2 (skala Svetske zdravstvene organizacije).</w:t>
      </w:r>
    </w:p>
    <w:p w:rsidR="00D04381" w:rsidRPr="008E586D" w:rsidRDefault="00D04381" w:rsidP="00D04381">
      <w:pPr>
        <w:pStyle w:val="ListParagraph"/>
        <w:numPr>
          <w:ilvl w:val="0"/>
          <w:numId w:val="16"/>
        </w:numPr>
        <w:autoSpaceDE w:val="0"/>
        <w:autoSpaceDN w:val="0"/>
        <w:adjustRightInd w:val="0"/>
        <w:jc w:val="both"/>
        <w:rPr>
          <w:rFonts w:eastAsia="TimesNewRoman"/>
          <w:sz w:val="22"/>
          <w:szCs w:val="22"/>
          <w:lang w:val="sr-Latn-ME" w:eastAsia="sr-Latn-ME"/>
        </w:rPr>
      </w:pPr>
      <w:r w:rsidRPr="008E586D">
        <w:rPr>
          <w:rFonts w:eastAsia="TimesNewRoman"/>
          <w:sz w:val="22"/>
          <w:szCs w:val="22"/>
          <w:lang w:val="sr-Latn-ME" w:eastAsia="sr-Latn-ME"/>
        </w:rPr>
        <w:t>u određenim, rijetkim slučajevima gd</w:t>
      </w:r>
      <w:r w:rsidR="00880E9A" w:rsidRPr="008E586D">
        <w:rPr>
          <w:rFonts w:eastAsia="TimesNewRoman"/>
          <w:sz w:val="22"/>
          <w:szCs w:val="22"/>
          <w:lang w:val="sr-Latn-ME" w:eastAsia="sr-Latn-ME"/>
        </w:rPr>
        <w:t>j</w:t>
      </w:r>
      <w:r w:rsidRPr="008E586D">
        <w:rPr>
          <w:rFonts w:eastAsia="TimesNewRoman"/>
          <w:sz w:val="22"/>
          <w:szCs w:val="22"/>
          <w:lang w:val="sr-Latn-ME" w:eastAsia="sr-Latn-ME"/>
        </w:rPr>
        <w:t>e se smatra malo vjerovatnim da se pacijenti pridržavaju preporuka koje se odnose na zbrinjavanje neželjenih događaja (u slučaju pojave odložene dijareje, kada terapija dijareje treba da počne odmah, traje dovoljno dugo i da uključuje veliku količinu tečnosti). Kod takvih pacijenata neophodan je striktni intrahospitalni nadzor.</w:t>
      </w:r>
    </w:p>
    <w:p w:rsidR="00D04381" w:rsidRPr="008E586D" w:rsidRDefault="00D04381" w:rsidP="00D04381">
      <w:pPr>
        <w:autoSpaceDE w:val="0"/>
        <w:autoSpaceDN w:val="0"/>
        <w:adjustRightInd w:val="0"/>
        <w:jc w:val="both"/>
        <w:rPr>
          <w:rFonts w:eastAsia="TimesNewRoman"/>
          <w:sz w:val="22"/>
          <w:szCs w:val="22"/>
          <w:lang w:val="sr-Latn-ME" w:eastAsia="sr-Latn-ME"/>
        </w:rPr>
      </w:pPr>
    </w:p>
    <w:p w:rsidR="00D04381" w:rsidRPr="008E586D" w:rsidRDefault="00D04381" w:rsidP="00D04381">
      <w:pPr>
        <w:autoSpaceDE w:val="0"/>
        <w:autoSpaceDN w:val="0"/>
        <w:adjustRightInd w:val="0"/>
        <w:jc w:val="both"/>
        <w:rPr>
          <w:rFonts w:eastAsia="TimesNewRoman"/>
          <w:sz w:val="22"/>
          <w:szCs w:val="22"/>
          <w:lang w:val="sr-Latn-ME" w:eastAsia="sr-Latn-ME"/>
        </w:rPr>
      </w:pPr>
      <w:r w:rsidRPr="008E586D">
        <w:rPr>
          <w:rFonts w:eastAsia="TimesNewRoman"/>
          <w:sz w:val="22"/>
          <w:szCs w:val="22"/>
          <w:lang w:val="sr-Latn-ME" w:eastAsia="sr-Latn-ME"/>
        </w:rPr>
        <w:t>Kada se lijek Irinotecan Accord koristi u monoterapiji, obično se propisuje troned</w:t>
      </w:r>
      <w:r w:rsidR="003B207E" w:rsidRPr="008E586D">
        <w:rPr>
          <w:rFonts w:eastAsia="TimesNewRoman"/>
          <w:sz w:val="22"/>
          <w:szCs w:val="22"/>
          <w:lang w:val="sr-Latn-ME" w:eastAsia="sr-Latn-ME"/>
        </w:rPr>
        <w:t>j</w:t>
      </w:r>
      <w:r w:rsidRPr="008E586D">
        <w:rPr>
          <w:rFonts w:eastAsia="TimesNewRoman"/>
          <w:sz w:val="22"/>
          <w:szCs w:val="22"/>
          <w:lang w:val="sr-Latn-ME" w:eastAsia="sr-Latn-ME"/>
        </w:rPr>
        <w:t>eljni režim (davanje lijeka jednom u tri nedjelje). Međutim, treba uzeti u obzir i primjenu lijeka svake nedjelje (vidjeti dio 5</w:t>
      </w:r>
      <w:r w:rsidR="003B207E" w:rsidRPr="008E586D">
        <w:rPr>
          <w:rFonts w:eastAsia="TimesNewRoman"/>
          <w:sz w:val="22"/>
          <w:szCs w:val="22"/>
          <w:lang w:val="sr-Latn-ME" w:eastAsia="sr-Latn-ME"/>
        </w:rPr>
        <w:t>.1</w:t>
      </w:r>
      <w:r w:rsidRPr="008E586D">
        <w:rPr>
          <w:rFonts w:eastAsia="TimesNewRoman"/>
          <w:sz w:val="22"/>
          <w:szCs w:val="22"/>
          <w:lang w:val="sr-Latn-ME" w:eastAsia="sr-Latn-ME"/>
        </w:rPr>
        <w:t>) kod pacijenata koji zahtijevaju intenzivniji nadzor ili kod kojih postoji poseban rizik od teške neutropenije.</w:t>
      </w:r>
    </w:p>
    <w:p w:rsidR="00D04381" w:rsidRPr="008E586D" w:rsidRDefault="00D04381" w:rsidP="00D04381">
      <w:pPr>
        <w:autoSpaceDE w:val="0"/>
        <w:autoSpaceDN w:val="0"/>
        <w:adjustRightInd w:val="0"/>
        <w:jc w:val="both"/>
        <w:rPr>
          <w:rFonts w:eastAsia="TimesNewRoman"/>
          <w:sz w:val="22"/>
          <w:szCs w:val="22"/>
          <w:lang w:val="sr-Latn-ME" w:eastAsia="sr-Latn-ME"/>
        </w:rPr>
      </w:pPr>
    </w:p>
    <w:p w:rsidR="00D04381" w:rsidRPr="008E586D" w:rsidRDefault="00D04381" w:rsidP="00D04381">
      <w:pPr>
        <w:suppressAutoHyphens/>
        <w:autoSpaceDE w:val="0"/>
        <w:jc w:val="both"/>
        <w:rPr>
          <w:rFonts w:eastAsia="TimesNewRoman"/>
          <w:b/>
          <w:bCs/>
          <w:color w:val="FF0000"/>
          <w:sz w:val="22"/>
          <w:szCs w:val="22"/>
          <w:lang w:val="sr-Latn-ME" w:eastAsia="hr-HR"/>
        </w:rPr>
      </w:pPr>
      <w:r w:rsidRPr="008E586D">
        <w:rPr>
          <w:rFonts w:eastAsia="TimesNewRoman"/>
          <w:b/>
          <w:sz w:val="22"/>
          <w:szCs w:val="22"/>
          <w:lang w:val="sr-Latn-ME" w:eastAsia="sr-Latn-ME"/>
        </w:rPr>
        <w:t>Odložena dijareja</w:t>
      </w:r>
      <w:r w:rsidRPr="008E586D">
        <w:rPr>
          <w:rFonts w:eastAsia="TimesNewRoman"/>
          <w:b/>
          <w:bCs/>
          <w:color w:val="FF0000"/>
          <w:sz w:val="22"/>
          <w:szCs w:val="22"/>
          <w:lang w:val="sr-Latn-ME" w:eastAsia="hr-HR"/>
        </w:rPr>
        <w:t xml:space="preserve"> </w:t>
      </w:r>
    </w:p>
    <w:p w:rsidR="003B207E" w:rsidRPr="008E586D" w:rsidRDefault="003B207E" w:rsidP="00D04381">
      <w:pPr>
        <w:suppressAutoHyphens/>
        <w:autoSpaceDE w:val="0"/>
        <w:jc w:val="both"/>
        <w:rPr>
          <w:rFonts w:eastAsia="TimesNewRoman"/>
          <w:b/>
          <w:bCs/>
          <w:color w:val="FF0000"/>
          <w:sz w:val="22"/>
          <w:szCs w:val="22"/>
          <w:lang w:val="sr-Latn-ME" w:eastAsia="hr-HR"/>
        </w:rPr>
      </w:pPr>
    </w:p>
    <w:p w:rsidR="00D04381" w:rsidRPr="008E586D" w:rsidRDefault="00D04381" w:rsidP="00D04381">
      <w:pPr>
        <w:autoSpaceDE w:val="0"/>
        <w:autoSpaceDN w:val="0"/>
        <w:adjustRightInd w:val="0"/>
        <w:jc w:val="both"/>
        <w:rPr>
          <w:rFonts w:eastAsia="TimesNewRoman"/>
          <w:sz w:val="22"/>
          <w:szCs w:val="22"/>
          <w:lang w:val="sr-Latn-ME" w:eastAsia="sr-Latn-ME"/>
        </w:rPr>
      </w:pPr>
      <w:r w:rsidRPr="008E586D">
        <w:rPr>
          <w:rFonts w:eastAsia="TimesNewRoman"/>
          <w:sz w:val="22"/>
          <w:szCs w:val="22"/>
          <w:lang w:val="sr-Latn-ME" w:eastAsia="sr-Latn-ME"/>
        </w:rPr>
        <w:t xml:space="preserve">Pacijente treba upoznati sa rizikom od pojave odložene dijareje do koje dolazi više od 24 h </w:t>
      </w:r>
      <w:r w:rsidR="00873E8A" w:rsidRPr="008E586D">
        <w:rPr>
          <w:rFonts w:eastAsia="TimesNewRoman"/>
          <w:sz w:val="22"/>
          <w:szCs w:val="22"/>
          <w:lang w:val="sr-Latn-ME" w:eastAsia="sr-Latn-ME"/>
        </w:rPr>
        <w:t>poslije</w:t>
      </w:r>
      <w:r w:rsidRPr="008E586D">
        <w:rPr>
          <w:rFonts w:eastAsia="TimesNewRoman"/>
          <w:sz w:val="22"/>
          <w:szCs w:val="22"/>
          <w:lang w:val="sr-Latn-ME" w:eastAsia="sr-Latn-ME"/>
        </w:rPr>
        <w:t xml:space="preserve"> primjene lijeka Irinotecan Accord i u bilo kom momentu prije sl</w:t>
      </w:r>
      <w:r w:rsidR="00873E8A" w:rsidRPr="008E586D">
        <w:rPr>
          <w:rFonts w:eastAsia="TimesNewRoman"/>
          <w:sz w:val="22"/>
          <w:szCs w:val="22"/>
          <w:lang w:val="sr-Latn-ME" w:eastAsia="sr-Latn-ME"/>
        </w:rPr>
        <w:t>j</w:t>
      </w:r>
      <w:r w:rsidRPr="008E586D">
        <w:rPr>
          <w:rFonts w:eastAsia="TimesNewRoman"/>
          <w:sz w:val="22"/>
          <w:szCs w:val="22"/>
          <w:lang w:val="sr-Latn-ME" w:eastAsia="sr-Latn-ME"/>
        </w:rPr>
        <w:t xml:space="preserve">edećeg ciklusa. U monoterapiji, </w:t>
      </w:r>
      <w:r w:rsidR="00873E8A" w:rsidRPr="008E586D">
        <w:rPr>
          <w:rFonts w:eastAsia="TimesNewRoman"/>
          <w:sz w:val="22"/>
          <w:szCs w:val="22"/>
          <w:lang w:val="sr-Latn-ME" w:eastAsia="sr-Latn-ME"/>
        </w:rPr>
        <w:t xml:space="preserve">medijana vremena </w:t>
      </w:r>
      <w:r w:rsidR="00433B82" w:rsidRPr="008E586D">
        <w:rPr>
          <w:rFonts w:eastAsia="TimesNewRoman"/>
          <w:sz w:val="22"/>
          <w:szCs w:val="22"/>
          <w:lang w:val="sr-Latn-ME" w:eastAsia="sr-Latn-ME"/>
        </w:rPr>
        <w:t>do pojave prve tečne stolice iznosila je</w:t>
      </w:r>
      <w:r w:rsidRPr="008E586D">
        <w:rPr>
          <w:rFonts w:eastAsia="TimesNewRoman"/>
          <w:sz w:val="22"/>
          <w:szCs w:val="22"/>
          <w:lang w:val="sr-Latn-ME" w:eastAsia="sr-Latn-ME"/>
        </w:rPr>
        <w:t xml:space="preserve"> 5 dana </w:t>
      </w:r>
      <w:r w:rsidR="00873E8A" w:rsidRPr="008E586D">
        <w:rPr>
          <w:rFonts w:eastAsia="TimesNewRoman"/>
          <w:sz w:val="22"/>
          <w:szCs w:val="22"/>
          <w:lang w:val="sr-Latn-ME" w:eastAsia="sr-Latn-ME"/>
        </w:rPr>
        <w:t>poslije</w:t>
      </w:r>
      <w:r w:rsidRPr="008E586D">
        <w:rPr>
          <w:rFonts w:eastAsia="TimesNewRoman"/>
          <w:sz w:val="22"/>
          <w:szCs w:val="22"/>
          <w:lang w:val="sr-Latn-ME" w:eastAsia="sr-Latn-ME"/>
        </w:rPr>
        <w:t xml:space="preserve"> infuzije lijeka Irinotecan Accord. Pacijenti treba smjesta da obavijeste ljekara o pojavi ove dijareje i da odmah započnu sa odgovarajućom terapijom.</w:t>
      </w:r>
    </w:p>
    <w:p w:rsidR="003B207E" w:rsidRPr="008E586D" w:rsidRDefault="003B207E" w:rsidP="00D04381">
      <w:pPr>
        <w:autoSpaceDE w:val="0"/>
        <w:autoSpaceDN w:val="0"/>
        <w:adjustRightInd w:val="0"/>
        <w:jc w:val="both"/>
        <w:rPr>
          <w:rFonts w:eastAsia="TimesNewRoman"/>
          <w:sz w:val="22"/>
          <w:szCs w:val="22"/>
          <w:lang w:val="sr-Latn-ME" w:eastAsia="sr-Latn-ME"/>
        </w:rPr>
      </w:pPr>
    </w:p>
    <w:p w:rsidR="00D04381" w:rsidRPr="008E586D" w:rsidRDefault="00D04381" w:rsidP="00D04381">
      <w:pPr>
        <w:autoSpaceDE w:val="0"/>
        <w:autoSpaceDN w:val="0"/>
        <w:adjustRightInd w:val="0"/>
        <w:jc w:val="both"/>
        <w:rPr>
          <w:rFonts w:eastAsia="TimesNewRoman"/>
          <w:sz w:val="22"/>
          <w:szCs w:val="22"/>
          <w:lang w:val="sr-Latn-ME" w:eastAsia="sr-Latn-ME"/>
        </w:rPr>
      </w:pPr>
      <w:r w:rsidRPr="008E586D">
        <w:rPr>
          <w:rFonts w:eastAsia="TimesNewRoman"/>
          <w:sz w:val="22"/>
          <w:szCs w:val="22"/>
          <w:lang w:val="sr-Latn-ME" w:eastAsia="sr-Latn-ME"/>
        </w:rPr>
        <w:t xml:space="preserve">Pacijenti sa povećanim rizikom od pojave dijareje su oni koji su već bili podvrgnuti radioterapiji abdomena i male karlice, oni sa hiperleukocitozom na početku liječenja, zatim pacijenti sa performans statusom ≥2, kao </w:t>
      </w:r>
      <w:r w:rsidR="00C05CEF" w:rsidRPr="008E586D">
        <w:rPr>
          <w:rFonts w:eastAsia="TimesNewRoman"/>
          <w:sz w:val="22"/>
          <w:szCs w:val="22"/>
          <w:lang w:val="sr-Latn-ME" w:eastAsia="sr-Latn-ME"/>
        </w:rPr>
        <w:t>i</w:t>
      </w:r>
      <w:r w:rsidRPr="008E586D">
        <w:rPr>
          <w:rFonts w:eastAsia="TimesNewRoman"/>
          <w:sz w:val="22"/>
          <w:szCs w:val="22"/>
          <w:lang w:val="sr-Latn-ME" w:eastAsia="sr-Latn-ME"/>
        </w:rPr>
        <w:t xml:space="preserve"> osobe ženskog pola. Ako se ne sprovede odgovarajuća terapija, dijareja može biti opasna po život, posebno kod pacijenata koji istovremeno imaju i neutropeniju.</w:t>
      </w:r>
    </w:p>
    <w:p w:rsidR="003B207E" w:rsidRPr="008E586D" w:rsidRDefault="003B207E" w:rsidP="00D04381">
      <w:pPr>
        <w:autoSpaceDE w:val="0"/>
        <w:autoSpaceDN w:val="0"/>
        <w:adjustRightInd w:val="0"/>
        <w:jc w:val="both"/>
        <w:rPr>
          <w:rFonts w:eastAsia="TimesNewRoman"/>
          <w:sz w:val="22"/>
          <w:szCs w:val="22"/>
          <w:lang w:val="sr-Latn-ME" w:eastAsia="sr-Latn-ME"/>
        </w:rPr>
      </w:pPr>
    </w:p>
    <w:p w:rsidR="00D04381" w:rsidRPr="008E586D" w:rsidRDefault="00D04381" w:rsidP="00D04381">
      <w:pPr>
        <w:autoSpaceDE w:val="0"/>
        <w:autoSpaceDN w:val="0"/>
        <w:adjustRightInd w:val="0"/>
        <w:jc w:val="both"/>
        <w:rPr>
          <w:rFonts w:eastAsia="TimesNewRoman"/>
          <w:sz w:val="22"/>
          <w:szCs w:val="22"/>
          <w:lang w:val="sr-Latn-ME" w:eastAsia="sr-Latn-ME"/>
        </w:rPr>
      </w:pPr>
      <w:r w:rsidRPr="008E586D">
        <w:rPr>
          <w:rFonts w:eastAsia="TimesNewRoman"/>
          <w:sz w:val="22"/>
          <w:szCs w:val="22"/>
          <w:lang w:val="sr-Latn-ME" w:eastAsia="sr-Latn-ME"/>
        </w:rPr>
        <w:t>Čim se pojavi prva tečna stolica, pacijent treba da počne da pije velike količine tečnosti (napitaka) sa</w:t>
      </w:r>
    </w:p>
    <w:p w:rsidR="00D04381" w:rsidRPr="008E586D" w:rsidRDefault="00D04381" w:rsidP="00D04381">
      <w:pPr>
        <w:autoSpaceDE w:val="0"/>
        <w:autoSpaceDN w:val="0"/>
        <w:adjustRightInd w:val="0"/>
        <w:jc w:val="both"/>
        <w:rPr>
          <w:rFonts w:eastAsia="TimesNewRoman"/>
          <w:sz w:val="22"/>
          <w:szCs w:val="22"/>
          <w:lang w:val="sr-Latn-ME" w:eastAsia="sr-Latn-ME"/>
        </w:rPr>
      </w:pPr>
      <w:r w:rsidRPr="008E586D">
        <w:rPr>
          <w:rFonts w:eastAsia="TimesNewRoman"/>
          <w:sz w:val="22"/>
          <w:szCs w:val="22"/>
          <w:lang w:val="sr-Latn-ME" w:eastAsia="sr-Latn-ME"/>
        </w:rPr>
        <w:t xml:space="preserve">elektrolitima i smjesta započne sa odgovarajućom terapijom </w:t>
      </w:r>
      <w:r w:rsidR="00433B82" w:rsidRPr="008E586D">
        <w:rPr>
          <w:rFonts w:eastAsia="TimesNewRoman"/>
          <w:sz w:val="22"/>
          <w:szCs w:val="22"/>
          <w:lang w:val="sr-Latn-ME" w:eastAsia="sr-Latn-ME"/>
        </w:rPr>
        <w:t xml:space="preserve">za zaustavljanje </w:t>
      </w:r>
      <w:r w:rsidRPr="008E586D">
        <w:rPr>
          <w:rFonts w:eastAsia="TimesNewRoman"/>
          <w:sz w:val="22"/>
          <w:szCs w:val="22"/>
          <w:lang w:val="sr-Latn-ME" w:eastAsia="sr-Latn-ME"/>
        </w:rPr>
        <w:t xml:space="preserve">dijareje. Terapiju dijareje propisuje odjeljenje na kome je primijenjen lijek Irinotecan Accord. </w:t>
      </w:r>
      <w:r w:rsidR="00873E8A" w:rsidRPr="008E586D">
        <w:rPr>
          <w:rFonts w:eastAsia="TimesNewRoman"/>
          <w:sz w:val="22"/>
          <w:szCs w:val="22"/>
          <w:lang w:val="sr-Latn-ME" w:eastAsia="sr-Latn-ME"/>
        </w:rPr>
        <w:t>Poslije</w:t>
      </w:r>
      <w:r w:rsidRPr="008E586D">
        <w:rPr>
          <w:rFonts w:eastAsia="TimesNewRoman"/>
          <w:sz w:val="22"/>
          <w:szCs w:val="22"/>
          <w:lang w:val="sr-Latn-ME" w:eastAsia="sr-Latn-ME"/>
        </w:rPr>
        <w:t xml:space="preserve"> otpusta iz bolnice, pacijent treba da se snabdije propisanim lijekom, tako da može da započne liječenje dijareje čim se ona pojavi. Osim toga, pacijenti treba da </w:t>
      </w:r>
      <w:r w:rsidR="00433B82" w:rsidRPr="008E586D">
        <w:rPr>
          <w:rFonts w:eastAsia="TimesNewRoman"/>
          <w:sz w:val="22"/>
          <w:szCs w:val="22"/>
          <w:lang w:val="sr-Latn-ME" w:eastAsia="sr-Latn-ME"/>
        </w:rPr>
        <w:t>obav</w:t>
      </w:r>
      <w:r w:rsidR="00F3602A" w:rsidRPr="008E586D">
        <w:rPr>
          <w:rFonts w:eastAsia="TimesNewRoman"/>
          <w:sz w:val="22"/>
          <w:szCs w:val="22"/>
          <w:lang w:val="sr-Latn-ME" w:eastAsia="sr-Latn-ME"/>
        </w:rPr>
        <w:t>i</w:t>
      </w:r>
      <w:r w:rsidR="00433B82" w:rsidRPr="008E586D">
        <w:rPr>
          <w:rFonts w:eastAsia="TimesNewRoman"/>
          <w:sz w:val="22"/>
          <w:szCs w:val="22"/>
          <w:lang w:val="sr-Latn-ME" w:eastAsia="sr-Latn-ME"/>
        </w:rPr>
        <w:t xml:space="preserve">jeste </w:t>
      </w:r>
      <w:r w:rsidRPr="008E586D">
        <w:rPr>
          <w:rFonts w:eastAsia="TimesNewRoman"/>
          <w:sz w:val="22"/>
          <w:szCs w:val="22"/>
          <w:lang w:val="sr-Latn-ME" w:eastAsia="sr-Latn-ME"/>
        </w:rPr>
        <w:t>o pojavi dijareje svog ljekara ili odjeljenje gdje se lijek Irinotecan Accord primjenjuje.</w:t>
      </w:r>
    </w:p>
    <w:p w:rsidR="003B207E" w:rsidRPr="008E586D" w:rsidRDefault="003B207E" w:rsidP="00D04381">
      <w:pPr>
        <w:autoSpaceDE w:val="0"/>
        <w:autoSpaceDN w:val="0"/>
        <w:adjustRightInd w:val="0"/>
        <w:jc w:val="both"/>
        <w:rPr>
          <w:rFonts w:eastAsia="TimesNewRoman"/>
          <w:sz w:val="22"/>
          <w:szCs w:val="22"/>
          <w:lang w:val="sr-Latn-ME" w:eastAsia="sr-Latn-ME"/>
        </w:rPr>
      </w:pPr>
    </w:p>
    <w:p w:rsidR="00D04381" w:rsidRPr="008E586D" w:rsidRDefault="00D04381" w:rsidP="00D04381">
      <w:pPr>
        <w:autoSpaceDE w:val="0"/>
        <w:autoSpaceDN w:val="0"/>
        <w:adjustRightInd w:val="0"/>
        <w:jc w:val="both"/>
        <w:rPr>
          <w:rFonts w:eastAsia="TimesNewRoman"/>
          <w:sz w:val="22"/>
          <w:szCs w:val="22"/>
          <w:lang w:val="sr-Latn-ME" w:eastAsia="sr-Latn-ME"/>
        </w:rPr>
      </w:pPr>
      <w:r w:rsidRPr="008E586D">
        <w:rPr>
          <w:rFonts w:eastAsia="TimesNewRoman"/>
          <w:sz w:val="22"/>
          <w:szCs w:val="22"/>
          <w:lang w:val="sr-Latn-ME" w:eastAsia="sr-Latn-ME"/>
        </w:rPr>
        <w:t xml:space="preserve">Prema aktuelnim preporukama, terapija dijareje sastoji se od visokih doza loperamida (4 mg u prvoj dozi, a zatim po 2 mg na dva sata). U neizmijenjenom obliku, ova terapija treba da traje 12 h nakon </w:t>
      </w:r>
      <w:r w:rsidR="00873E8A" w:rsidRPr="008E586D">
        <w:rPr>
          <w:rFonts w:eastAsia="TimesNewRoman"/>
          <w:sz w:val="22"/>
          <w:szCs w:val="22"/>
          <w:lang w:val="sr-Latn-ME" w:eastAsia="sr-Latn-ME"/>
        </w:rPr>
        <w:t>poslje</w:t>
      </w:r>
      <w:r w:rsidRPr="008E586D">
        <w:rPr>
          <w:rFonts w:eastAsia="TimesNewRoman"/>
          <w:sz w:val="22"/>
          <w:szCs w:val="22"/>
          <w:lang w:val="sr-Latn-ME" w:eastAsia="sr-Latn-ME"/>
        </w:rPr>
        <w:t>dnje tečne stolice. Ni u kom slučaju ove doze loperamida ne treba davati duže od 48 h bez prekida zbog rizika od pojave paralitičkog ileusa, niti terapija loperamidom treba da traje kraće od 12 h.</w:t>
      </w:r>
    </w:p>
    <w:p w:rsidR="003B207E" w:rsidRPr="008E586D" w:rsidRDefault="003B207E" w:rsidP="00D04381">
      <w:pPr>
        <w:autoSpaceDE w:val="0"/>
        <w:autoSpaceDN w:val="0"/>
        <w:adjustRightInd w:val="0"/>
        <w:jc w:val="both"/>
        <w:rPr>
          <w:rFonts w:eastAsia="TimesNewRoman"/>
          <w:sz w:val="22"/>
          <w:szCs w:val="22"/>
          <w:lang w:val="sr-Latn-ME" w:eastAsia="sr-Latn-ME"/>
        </w:rPr>
      </w:pPr>
    </w:p>
    <w:p w:rsidR="00D04381" w:rsidRPr="008E586D" w:rsidRDefault="00D04381" w:rsidP="00D04381">
      <w:pPr>
        <w:autoSpaceDE w:val="0"/>
        <w:autoSpaceDN w:val="0"/>
        <w:adjustRightInd w:val="0"/>
        <w:jc w:val="both"/>
        <w:rPr>
          <w:rFonts w:eastAsia="TimesNewRoman"/>
          <w:sz w:val="22"/>
          <w:szCs w:val="22"/>
          <w:lang w:val="sr-Latn-ME" w:eastAsia="sr-Latn-ME"/>
        </w:rPr>
      </w:pPr>
      <w:r w:rsidRPr="008E586D">
        <w:rPr>
          <w:rFonts w:eastAsia="TimesNewRoman"/>
          <w:sz w:val="22"/>
          <w:szCs w:val="22"/>
          <w:lang w:val="sr-Latn-ME" w:eastAsia="sr-Latn-ME"/>
        </w:rPr>
        <w:lastRenderedPageBreak/>
        <w:t>Terapiju dijareje treba dopuniti profilaktičkom prim</w:t>
      </w:r>
      <w:r w:rsidR="00FC1FD7" w:rsidRPr="008E586D">
        <w:rPr>
          <w:rFonts w:eastAsia="TimesNewRoman"/>
          <w:sz w:val="22"/>
          <w:szCs w:val="22"/>
          <w:lang w:val="sr-Latn-ME" w:eastAsia="sr-Latn-ME"/>
        </w:rPr>
        <w:t>j</w:t>
      </w:r>
      <w:r w:rsidRPr="008E586D">
        <w:rPr>
          <w:rFonts w:eastAsia="TimesNewRoman"/>
          <w:sz w:val="22"/>
          <w:szCs w:val="22"/>
          <w:lang w:val="sr-Latn-ME" w:eastAsia="sr-Latn-ME"/>
        </w:rPr>
        <w:t>enom antibiotika širokog spektra kod pacijenata koji istovremeno imaju tešku neutropeniju (broj neutrofila &lt; 500 ćelija/mm</w:t>
      </w:r>
      <w:r w:rsidRPr="008E586D">
        <w:rPr>
          <w:rFonts w:eastAsia="TimesNewRoman"/>
          <w:sz w:val="22"/>
          <w:szCs w:val="22"/>
          <w:vertAlign w:val="superscript"/>
          <w:lang w:val="sr-Latn-ME" w:eastAsia="sr-Latn-ME"/>
        </w:rPr>
        <w:t>3</w:t>
      </w:r>
      <w:r w:rsidRPr="008E586D">
        <w:rPr>
          <w:rFonts w:eastAsia="TimesNewRoman"/>
          <w:sz w:val="22"/>
          <w:szCs w:val="22"/>
          <w:lang w:val="sr-Latn-ME" w:eastAsia="sr-Latn-ME"/>
        </w:rPr>
        <w:t>).</w:t>
      </w:r>
    </w:p>
    <w:p w:rsidR="001A4C90" w:rsidRPr="008E586D" w:rsidRDefault="001A4C90" w:rsidP="00D04381">
      <w:pPr>
        <w:autoSpaceDE w:val="0"/>
        <w:autoSpaceDN w:val="0"/>
        <w:adjustRightInd w:val="0"/>
        <w:jc w:val="both"/>
        <w:rPr>
          <w:rFonts w:eastAsia="TimesNewRoman"/>
          <w:sz w:val="22"/>
          <w:szCs w:val="22"/>
          <w:lang w:val="sr-Latn-ME" w:eastAsia="sr-Latn-ME"/>
        </w:rPr>
      </w:pPr>
    </w:p>
    <w:p w:rsidR="00D04381" w:rsidRPr="008E586D" w:rsidRDefault="00D04381" w:rsidP="00D04381">
      <w:pPr>
        <w:autoSpaceDE w:val="0"/>
        <w:autoSpaceDN w:val="0"/>
        <w:adjustRightInd w:val="0"/>
        <w:jc w:val="both"/>
        <w:rPr>
          <w:rFonts w:eastAsia="TimesNewRoman"/>
          <w:sz w:val="22"/>
          <w:szCs w:val="22"/>
          <w:lang w:val="sr-Latn-ME" w:eastAsia="sr-Latn-ME"/>
        </w:rPr>
      </w:pPr>
      <w:r w:rsidRPr="008E586D">
        <w:rPr>
          <w:rFonts w:eastAsia="TimesNewRoman"/>
          <w:sz w:val="22"/>
          <w:szCs w:val="22"/>
          <w:lang w:val="sr-Latn-ME" w:eastAsia="sr-Latn-ME"/>
        </w:rPr>
        <w:t xml:space="preserve">Osim antibiotske terapije, u liječenju dijareje preporučuje se i hospitalizacija u </w:t>
      </w:r>
      <w:r w:rsidR="00F3602A" w:rsidRPr="008E586D">
        <w:rPr>
          <w:rFonts w:eastAsia="TimesNewRoman"/>
          <w:sz w:val="22"/>
          <w:szCs w:val="22"/>
          <w:lang w:val="sr-Latn-ME" w:eastAsia="sr-Latn-ME"/>
        </w:rPr>
        <w:t>sljede</w:t>
      </w:r>
      <w:r w:rsidRPr="008E586D">
        <w:rPr>
          <w:rFonts w:eastAsia="TimesNewRoman"/>
          <w:sz w:val="22"/>
          <w:szCs w:val="22"/>
          <w:lang w:val="sr-Latn-ME" w:eastAsia="sr-Latn-ME"/>
        </w:rPr>
        <w:t>ćim slučajevima:</w:t>
      </w:r>
    </w:p>
    <w:p w:rsidR="001A4C90" w:rsidRPr="008E586D" w:rsidRDefault="001A4C90" w:rsidP="00D04381">
      <w:pPr>
        <w:autoSpaceDE w:val="0"/>
        <w:autoSpaceDN w:val="0"/>
        <w:adjustRightInd w:val="0"/>
        <w:jc w:val="both"/>
        <w:rPr>
          <w:rFonts w:eastAsia="TimesNewRoman"/>
          <w:sz w:val="22"/>
          <w:szCs w:val="22"/>
          <w:lang w:val="sr-Latn-ME" w:eastAsia="sr-Latn-ME"/>
        </w:rPr>
      </w:pPr>
    </w:p>
    <w:p w:rsidR="00D04381" w:rsidRPr="008E586D" w:rsidRDefault="00D04381" w:rsidP="00D04381">
      <w:pPr>
        <w:autoSpaceDE w:val="0"/>
        <w:autoSpaceDN w:val="0"/>
        <w:adjustRightInd w:val="0"/>
        <w:jc w:val="both"/>
        <w:rPr>
          <w:rFonts w:eastAsia="TimesNewRoman"/>
          <w:sz w:val="22"/>
          <w:szCs w:val="22"/>
          <w:lang w:val="sr-Latn-ME" w:eastAsia="sr-Latn-ME"/>
        </w:rPr>
      </w:pPr>
      <w:r w:rsidRPr="008E586D">
        <w:rPr>
          <w:rFonts w:eastAsia="TimesNewRoman"/>
          <w:sz w:val="22"/>
          <w:szCs w:val="22"/>
          <w:lang w:val="sr-Latn-ME" w:eastAsia="sr-Latn-ME"/>
        </w:rPr>
        <w:t>- dijareja udružena sa groznicom;</w:t>
      </w:r>
    </w:p>
    <w:p w:rsidR="00D04381" w:rsidRPr="008E586D" w:rsidRDefault="00D04381" w:rsidP="00D04381">
      <w:pPr>
        <w:autoSpaceDE w:val="0"/>
        <w:autoSpaceDN w:val="0"/>
        <w:adjustRightInd w:val="0"/>
        <w:jc w:val="both"/>
        <w:rPr>
          <w:rFonts w:eastAsia="TimesNewRoman"/>
          <w:sz w:val="22"/>
          <w:szCs w:val="22"/>
          <w:lang w:val="sr-Latn-ME" w:eastAsia="sr-Latn-ME"/>
        </w:rPr>
      </w:pPr>
      <w:r w:rsidRPr="008E586D">
        <w:rPr>
          <w:rFonts w:eastAsia="TimesNewRoman"/>
          <w:sz w:val="22"/>
          <w:szCs w:val="22"/>
          <w:lang w:val="sr-Latn-ME" w:eastAsia="sr-Latn-ME"/>
        </w:rPr>
        <w:t>- teška dijareja (koja zahtijeva intravensku rehidrataciju);</w:t>
      </w:r>
    </w:p>
    <w:p w:rsidR="00D04381" w:rsidRPr="008E586D" w:rsidRDefault="00D04381" w:rsidP="00D04381">
      <w:pPr>
        <w:autoSpaceDE w:val="0"/>
        <w:autoSpaceDN w:val="0"/>
        <w:adjustRightInd w:val="0"/>
        <w:jc w:val="both"/>
        <w:rPr>
          <w:rFonts w:eastAsia="TimesNewRoman"/>
          <w:sz w:val="22"/>
          <w:szCs w:val="22"/>
          <w:lang w:val="sr-Latn-ME" w:eastAsia="sr-Latn-ME"/>
        </w:rPr>
      </w:pPr>
      <w:r w:rsidRPr="008E586D">
        <w:rPr>
          <w:rFonts w:eastAsia="TimesNewRoman"/>
          <w:sz w:val="22"/>
          <w:szCs w:val="22"/>
          <w:lang w:val="sr-Latn-ME" w:eastAsia="sr-Latn-ME"/>
        </w:rPr>
        <w:t xml:space="preserve">- dijareja koja traje duže od 48 h </w:t>
      </w:r>
      <w:r w:rsidR="00873E8A" w:rsidRPr="008E586D">
        <w:rPr>
          <w:rFonts w:eastAsia="TimesNewRoman"/>
          <w:sz w:val="22"/>
          <w:szCs w:val="22"/>
          <w:lang w:val="sr-Latn-ME" w:eastAsia="sr-Latn-ME"/>
        </w:rPr>
        <w:t>poslije</w:t>
      </w:r>
      <w:r w:rsidRPr="008E586D">
        <w:rPr>
          <w:rFonts w:eastAsia="TimesNewRoman"/>
          <w:sz w:val="22"/>
          <w:szCs w:val="22"/>
          <w:lang w:val="sr-Latn-ME" w:eastAsia="sr-Latn-ME"/>
        </w:rPr>
        <w:t xml:space="preserve"> započinjanja terapije visokim dozama loperamida.</w:t>
      </w:r>
    </w:p>
    <w:p w:rsidR="00F3602A" w:rsidRPr="008E586D" w:rsidRDefault="00F3602A" w:rsidP="00D04381">
      <w:pPr>
        <w:autoSpaceDE w:val="0"/>
        <w:autoSpaceDN w:val="0"/>
        <w:adjustRightInd w:val="0"/>
        <w:jc w:val="both"/>
        <w:rPr>
          <w:rFonts w:eastAsia="TimesNewRoman"/>
          <w:sz w:val="22"/>
          <w:szCs w:val="22"/>
          <w:lang w:val="sr-Latn-ME" w:eastAsia="sr-Latn-ME"/>
        </w:rPr>
      </w:pPr>
    </w:p>
    <w:p w:rsidR="00D04381" w:rsidRPr="008E586D" w:rsidRDefault="00D04381" w:rsidP="00D04381">
      <w:pPr>
        <w:autoSpaceDE w:val="0"/>
        <w:autoSpaceDN w:val="0"/>
        <w:adjustRightInd w:val="0"/>
        <w:jc w:val="both"/>
        <w:rPr>
          <w:rFonts w:eastAsia="TimesNewRoman"/>
          <w:sz w:val="22"/>
          <w:szCs w:val="22"/>
          <w:lang w:val="sr-Latn-ME" w:eastAsia="sr-Latn-ME"/>
        </w:rPr>
      </w:pPr>
      <w:r w:rsidRPr="008E586D">
        <w:rPr>
          <w:rFonts w:eastAsia="TimesNewRoman"/>
          <w:sz w:val="22"/>
          <w:szCs w:val="22"/>
          <w:lang w:val="sr-Latn-ME" w:eastAsia="sr-Latn-ME"/>
        </w:rPr>
        <w:t>Loperamid ne treba davati u profilaktičke svrhe, čak ni kod pacijenata koji su već imali odloženu dijareju tokom prethodnih ciklusa.</w:t>
      </w:r>
    </w:p>
    <w:p w:rsidR="00D04381" w:rsidRPr="008E586D" w:rsidRDefault="00D04381" w:rsidP="00D04381">
      <w:pPr>
        <w:autoSpaceDE w:val="0"/>
        <w:autoSpaceDN w:val="0"/>
        <w:adjustRightInd w:val="0"/>
        <w:jc w:val="both"/>
        <w:rPr>
          <w:rFonts w:eastAsia="TimesNewRoman"/>
          <w:sz w:val="22"/>
          <w:szCs w:val="22"/>
          <w:lang w:val="sr-Latn-ME" w:eastAsia="sr-Latn-ME"/>
        </w:rPr>
      </w:pPr>
      <w:r w:rsidRPr="008E586D">
        <w:rPr>
          <w:rFonts w:eastAsia="TimesNewRoman"/>
          <w:sz w:val="22"/>
          <w:szCs w:val="22"/>
          <w:lang w:val="sr-Latn-ME" w:eastAsia="sr-Latn-ME"/>
        </w:rPr>
        <w:t>Kod pacijenata koji su imali tešku dijareju, preporučuje se smanjenje doze za naredne cikluse (vidjeti dio 4.2).</w:t>
      </w:r>
    </w:p>
    <w:p w:rsidR="00D04381" w:rsidRPr="008E586D" w:rsidRDefault="00D04381" w:rsidP="00D04381">
      <w:pPr>
        <w:autoSpaceDE w:val="0"/>
        <w:autoSpaceDN w:val="0"/>
        <w:adjustRightInd w:val="0"/>
        <w:jc w:val="both"/>
        <w:rPr>
          <w:rFonts w:eastAsia="TimesNewRoman"/>
          <w:sz w:val="22"/>
          <w:szCs w:val="22"/>
          <w:lang w:val="sr-Latn-ME" w:eastAsia="sr-Latn-ME"/>
        </w:rPr>
      </w:pPr>
    </w:p>
    <w:p w:rsidR="00D04381" w:rsidRPr="008E586D" w:rsidRDefault="00D04381" w:rsidP="00D04381">
      <w:pPr>
        <w:autoSpaceDE w:val="0"/>
        <w:autoSpaceDN w:val="0"/>
        <w:adjustRightInd w:val="0"/>
        <w:jc w:val="both"/>
        <w:rPr>
          <w:rFonts w:eastAsia="TimesNewRoman"/>
          <w:b/>
          <w:sz w:val="22"/>
          <w:szCs w:val="22"/>
          <w:lang w:val="sr-Latn-ME" w:eastAsia="sr-Latn-ME"/>
        </w:rPr>
      </w:pPr>
      <w:r w:rsidRPr="008E586D">
        <w:rPr>
          <w:rFonts w:eastAsia="TimesNewRoman"/>
          <w:b/>
          <w:sz w:val="22"/>
          <w:szCs w:val="22"/>
          <w:lang w:val="sr-Latn-ME" w:eastAsia="sr-Latn-ME"/>
        </w:rPr>
        <w:t>Hematologija</w:t>
      </w:r>
    </w:p>
    <w:p w:rsidR="00B24A2D" w:rsidRPr="008E586D" w:rsidRDefault="00B24A2D" w:rsidP="00D04381">
      <w:pPr>
        <w:autoSpaceDE w:val="0"/>
        <w:autoSpaceDN w:val="0"/>
        <w:adjustRightInd w:val="0"/>
        <w:jc w:val="both"/>
        <w:rPr>
          <w:rFonts w:eastAsia="TimesNewRoman"/>
          <w:b/>
          <w:sz w:val="22"/>
          <w:szCs w:val="22"/>
          <w:lang w:val="sr-Latn-ME" w:eastAsia="sr-Latn-ME"/>
        </w:rPr>
      </w:pPr>
    </w:p>
    <w:p w:rsidR="00D04381" w:rsidRPr="008E586D" w:rsidRDefault="00D04381" w:rsidP="00D04381">
      <w:pPr>
        <w:autoSpaceDE w:val="0"/>
        <w:autoSpaceDN w:val="0"/>
        <w:adjustRightInd w:val="0"/>
        <w:jc w:val="both"/>
        <w:rPr>
          <w:rFonts w:eastAsia="TimesNewRoman"/>
          <w:sz w:val="22"/>
          <w:szCs w:val="22"/>
          <w:lang w:val="sr-Latn-ME" w:eastAsia="sr-Latn-ME"/>
        </w:rPr>
      </w:pPr>
      <w:r w:rsidRPr="008E586D">
        <w:rPr>
          <w:rFonts w:eastAsia="TimesNewRoman"/>
          <w:sz w:val="22"/>
          <w:szCs w:val="22"/>
          <w:lang w:val="sr-Latn-ME" w:eastAsia="sr-Latn-ME"/>
        </w:rPr>
        <w:t>U kliničkim studijama, učestalost neutropenije gradusa 3 i 4 prema NCI-CTC kriterijumima bila je značajno veća kod pacijenata koji su prethodno bili podvrgnuti radioterapiji male karlice/abdomena u odnosu na pacijente koji nisu bili na radioterapiji. Vjerovatnoća pojave neutropenije gradusa 3 i 4 tokom prvog ciklusa kod pacijenata sa ukupnim bilirubinom u serumu od 1,0 mg/dl ili više na početku liječenja takođe je značajno veća nego kod pacijenata sa vrijednostima bilirubina manjim od 1,0 mg/dl.</w:t>
      </w:r>
    </w:p>
    <w:p w:rsidR="00B24A2D" w:rsidRPr="008E586D" w:rsidRDefault="00B24A2D" w:rsidP="00D04381">
      <w:pPr>
        <w:autoSpaceDE w:val="0"/>
        <w:autoSpaceDN w:val="0"/>
        <w:adjustRightInd w:val="0"/>
        <w:jc w:val="both"/>
        <w:rPr>
          <w:rFonts w:eastAsia="TimesNewRoman"/>
          <w:sz w:val="22"/>
          <w:szCs w:val="22"/>
          <w:lang w:val="sr-Latn-ME" w:eastAsia="sr-Latn-ME"/>
        </w:rPr>
      </w:pPr>
    </w:p>
    <w:p w:rsidR="00D04381" w:rsidRPr="008E586D" w:rsidRDefault="00D04381" w:rsidP="00D04381">
      <w:pPr>
        <w:autoSpaceDE w:val="0"/>
        <w:autoSpaceDN w:val="0"/>
        <w:adjustRightInd w:val="0"/>
        <w:jc w:val="both"/>
        <w:rPr>
          <w:rFonts w:eastAsia="TimesNewRoman"/>
          <w:sz w:val="22"/>
          <w:szCs w:val="22"/>
          <w:lang w:val="sr-Latn-ME" w:eastAsia="sr-Latn-ME"/>
        </w:rPr>
      </w:pPr>
      <w:r w:rsidRPr="008E586D">
        <w:rPr>
          <w:rFonts w:eastAsia="TimesNewRoman"/>
          <w:sz w:val="22"/>
          <w:szCs w:val="22"/>
          <w:lang w:val="sr-Latn-ME" w:eastAsia="sr-Latn-ME"/>
        </w:rPr>
        <w:t>Svake nedjelje treba redovno kontrolisati cjelokupnu krvnu sliku tokom liječenja lijekom Irinotecan Accord. Pacijenti treba da budu upoznati sa rizikom od pojave neutropenije i značajem pojave groznice. Febrilnu neutropeniju (temperatura &gt; 38°C i broj neutrofila ≤1000 ćelija/mm</w:t>
      </w:r>
      <w:r w:rsidRPr="008E586D">
        <w:rPr>
          <w:rFonts w:eastAsia="TimesNewRoman"/>
          <w:sz w:val="22"/>
          <w:szCs w:val="22"/>
          <w:vertAlign w:val="superscript"/>
          <w:lang w:val="sr-Latn-ME" w:eastAsia="sr-Latn-ME"/>
        </w:rPr>
        <w:t>3</w:t>
      </w:r>
      <w:r w:rsidRPr="008E586D">
        <w:rPr>
          <w:rFonts w:eastAsia="TimesNewRoman"/>
          <w:sz w:val="22"/>
          <w:szCs w:val="22"/>
          <w:lang w:val="sr-Latn-ME" w:eastAsia="sr-Latn-ME"/>
        </w:rPr>
        <w:t>) treba odmah liječiti intrahospitalno antibioticima širokog spektra za intravensku primjenu.</w:t>
      </w:r>
    </w:p>
    <w:p w:rsidR="00B24A2D" w:rsidRPr="008E586D" w:rsidRDefault="00B24A2D" w:rsidP="00D04381">
      <w:pPr>
        <w:autoSpaceDE w:val="0"/>
        <w:autoSpaceDN w:val="0"/>
        <w:adjustRightInd w:val="0"/>
        <w:jc w:val="both"/>
        <w:rPr>
          <w:rFonts w:eastAsia="TimesNewRoman"/>
          <w:sz w:val="22"/>
          <w:szCs w:val="22"/>
          <w:lang w:val="sr-Latn-ME" w:eastAsia="sr-Latn-ME"/>
        </w:rPr>
      </w:pPr>
    </w:p>
    <w:p w:rsidR="00D04381" w:rsidRPr="008E586D" w:rsidRDefault="00D04381" w:rsidP="00D04381">
      <w:pPr>
        <w:autoSpaceDE w:val="0"/>
        <w:autoSpaceDN w:val="0"/>
        <w:adjustRightInd w:val="0"/>
        <w:jc w:val="both"/>
        <w:rPr>
          <w:rFonts w:eastAsia="TimesNewRoman"/>
          <w:sz w:val="22"/>
          <w:szCs w:val="22"/>
          <w:lang w:val="sr-Latn-ME" w:eastAsia="sr-Latn-ME"/>
        </w:rPr>
      </w:pPr>
      <w:r w:rsidRPr="008E586D">
        <w:rPr>
          <w:rFonts w:eastAsia="TimesNewRoman"/>
          <w:sz w:val="22"/>
          <w:szCs w:val="22"/>
          <w:lang w:val="sr-Latn-ME" w:eastAsia="sr-Latn-ME"/>
        </w:rPr>
        <w:t xml:space="preserve">Kod pacijenata koji su imali teške hematološke događaje, preporučuje se smanjenje doze za </w:t>
      </w:r>
      <w:r w:rsidR="00F3602A" w:rsidRPr="008E586D">
        <w:rPr>
          <w:rFonts w:eastAsia="TimesNewRoman"/>
          <w:sz w:val="22"/>
          <w:szCs w:val="22"/>
          <w:lang w:val="sr-Latn-ME" w:eastAsia="sr-Latn-ME"/>
        </w:rPr>
        <w:t>sljede</w:t>
      </w:r>
      <w:r w:rsidRPr="008E586D">
        <w:rPr>
          <w:rFonts w:eastAsia="TimesNewRoman"/>
          <w:sz w:val="22"/>
          <w:szCs w:val="22"/>
          <w:lang w:val="sr-Latn-ME" w:eastAsia="sr-Latn-ME"/>
        </w:rPr>
        <w:t>ći ciklus davanja lijeka (vidjeti dio 4.2).</w:t>
      </w:r>
    </w:p>
    <w:p w:rsidR="00B24A2D" w:rsidRPr="008E586D" w:rsidRDefault="00B24A2D" w:rsidP="00D04381">
      <w:pPr>
        <w:autoSpaceDE w:val="0"/>
        <w:autoSpaceDN w:val="0"/>
        <w:adjustRightInd w:val="0"/>
        <w:jc w:val="both"/>
        <w:rPr>
          <w:rFonts w:eastAsia="TimesNewRoman"/>
          <w:sz w:val="22"/>
          <w:szCs w:val="22"/>
          <w:lang w:val="sr-Latn-ME" w:eastAsia="sr-Latn-ME"/>
        </w:rPr>
      </w:pPr>
    </w:p>
    <w:p w:rsidR="00D04381" w:rsidRPr="008E586D" w:rsidRDefault="00D04381" w:rsidP="00D04381">
      <w:pPr>
        <w:autoSpaceDE w:val="0"/>
        <w:autoSpaceDN w:val="0"/>
        <w:adjustRightInd w:val="0"/>
        <w:jc w:val="both"/>
        <w:rPr>
          <w:rFonts w:eastAsia="TimesNewRoman"/>
          <w:sz w:val="22"/>
          <w:szCs w:val="22"/>
          <w:lang w:val="sr-Latn-ME" w:eastAsia="sr-Latn-ME"/>
        </w:rPr>
      </w:pPr>
      <w:r w:rsidRPr="008E586D">
        <w:rPr>
          <w:rFonts w:eastAsia="TimesNewRoman"/>
          <w:sz w:val="22"/>
          <w:szCs w:val="22"/>
          <w:lang w:val="sr-Latn-ME" w:eastAsia="sr-Latn-ME"/>
        </w:rPr>
        <w:t xml:space="preserve">Kod pacijenata sa teškom dijarejom, povećan je rizik od infekcija i hematotoksičnosti. Potrebna je </w:t>
      </w:r>
      <w:r w:rsidR="00B24A2D" w:rsidRPr="008E586D">
        <w:rPr>
          <w:rFonts w:eastAsia="TimesNewRoman"/>
          <w:sz w:val="22"/>
          <w:szCs w:val="22"/>
          <w:lang w:val="sr-Latn-ME" w:eastAsia="sr-Latn-ME"/>
        </w:rPr>
        <w:t>k</w:t>
      </w:r>
      <w:r w:rsidRPr="008E586D">
        <w:rPr>
          <w:rFonts w:eastAsia="TimesNewRoman"/>
          <w:sz w:val="22"/>
          <w:szCs w:val="22"/>
          <w:lang w:val="sr-Latn-ME" w:eastAsia="sr-Latn-ME"/>
        </w:rPr>
        <w:t>ontrola cjelokupne krvne slike kod pacijenata sa teškom dijarejom.</w:t>
      </w:r>
    </w:p>
    <w:p w:rsidR="00D04381" w:rsidRPr="008E586D" w:rsidRDefault="00D04381" w:rsidP="00D04381">
      <w:pPr>
        <w:autoSpaceDE w:val="0"/>
        <w:autoSpaceDN w:val="0"/>
        <w:adjustRightInd w:val="0"/>
        <w:jc w:val="both"/>
        <w:rPr>
          <w:rFonts w:eastAsia="TimesNewRoman"/>
          <w:sz w:val="22"/>
          <w:szCs w:val="22"/>
          <w:lang w:val="sr-Latn-ME" w:eastAsia="sr-Latn-ME"/>
        </w:rPr>
      </w:pPr>
    </w:p>
    <w:p w:rsidR="00D04381" w:rsidRPr="008E586D" w:rsidRDefault="00D04381" w:rsidP="00D04381">
      <w:pPr>
        <w:autoSpaceDE w:val="0"/>
        <w:autoSpaceDN w:val="0"/>
        <w:adjustRightInd w:val="0"/>
        <w:jc w:val="both"/>
        <w:rPr>
          <w:rFonts w:eastAsia="TimesNewRoman"/>
          <w:b/>
          <w:sz w:val="22"/>
          <w:szCs w:val="22"/>
          <w:lang w:val="sr-Latn-ME" w:eastAsia="sr-Latn-ME"/>
        </w:rPr>
      </w:pPr>
      <w:r w:rsidRPr="008E586D">
        <w:rPr>
          <w:rFonts w:eastAsia="TimesNewRoman"/>
          <w:b/>
          <w:sz w:val="22"/>
          <w:szCs w:val="22"/>
          <w:lang w:val="sr-Latn-ME" w:eastAsia="sr-Latn-ME"/>
        </w:rPr>
        <w:t>Oštećenje funkcije jetre</w:t>
      </w:r>
    </w:p>
    <w:p w:rsidR="00B24A2D" w:rsidRPr="008E586D" w:rsidRDefault="00B24A2D" w:rsidP="00D04381">
      <w:pPr>
        <w:autoSpaceDE w:val="0"/>
        <w:autoSpaceDN w:val="0"/>
        <w:adjustRightInd w:val="0"/>
        <w:jc w:val="both"/>
        <w:rPr>
          <w:rFonts w:eastAsia="TimesNewRoman"/>
          <w:b/>
          <w:sz w:val="22"/>
          <w:szCs w:val="22"/>
          <w:lang w:val="sr-Latn-ME" w:eastAsia="sr-Latn-ME"/>
        </w:rPr>
      </w:pPr>
    </w:p>
    <w:p w:rsidR="00D04381" w:rsidRPr="008E586D" w:rsidRDefault="00D04381" w:rsidP="00D04381">
      <w:pPr>
        <w:autoSpaceDE w:val="0"/>
        <w:autoSpaceDN w:val="0"/>
        <w:adjustRightInd w:val="0"/>
        <w:jc w:val="both"/>
        <w:rPr>
          <w:rFonts w:eastAsia="TimesNewRoman"/>
          <w:sz w:val="22"/>
          <w:szCs w:val="22"/>
          <w:lang w:val="sr-Latn-ME" w:eastAsia="sr-Latn-ME"/>
        </w:rPr>
      </w:pPr>
      <w:r w:rsidRPr="008E586D">
        <w:rPr>
          <w:rFonts w:eastAsia="TimesNewRoman"/>
          <w:sz w:val="22"/>
          <w:szCs w:val="22"/>
          <w:lang w:val="sr-Latn-ME" w:eastAsia="sr-Latn-ME"/>
        </w:rPr>
        <w:t>Funkciju jetre treba testirati na početku liječenja i prije svakog ciklusa.</w:t>
      </w:r>
    </w:p>
    <w:p w:rsidR="00B24A2D" w:rsidRPr="008E586D" w:rsidRDefault="00B24A2D" w:rsidP="00D04381">
      <w:pPr>
        <w:autoSpaceDE w:val="0"/>
        <w:autoSpaceDN w:val="0"/>
        <w:adjustRightInd w:val="0"/>
        <w:jc w:val="both"/>
        <w:rPr>
          <w:rFonts w:eastAsia="TimesNewRoman"/>
          <w:sz w:val="22"/>
          <w:szCs w:val="22"/>
          <w:lang w:val="sr-Latn-ME" w:eastAsia="sr-Latn-ME"/>
        </w:rPr>
      </w:pPr>
    </w:p>
    <w:p w:rsidR="00D04381" w:rsidRPr="008E586D" w:rsidRDefault="00D04381" w:rsidP="00D04381">
      <w:pPr>
        <w:autoSpaceDE w:val="0"/>
        <w:autoSpaceDN w:val="0"/>
        <w:adjustRightInd w:val="0"/>
        <w:jc w:val="both"/>
        <w:rPr>
          <w:rFonts w:eastAsia="TimesNewRoman"/>
          <w:sz w:val="22"/>
          <w:szCs w:val="22"/>
          <w:lang w:val="sr-Latn-ME" w:eastAsia="sr-Latn-ME"/>
        </w:rPr>
      </w:pPr>
      <w:r w:rsidRPr="008E586D">
        <w:rPr>
          <w:rFonts w:eastAsia="TimesNewRoman"/>
          <w:sz w:val="22"/>
          <w:szCs w:val="22"/>
          <w:lang w:val="sr-Latn-ME" w:eastAsia="sr-Latn-ME"/>
        </w:rPr>
        <w:t>Cjelokupnu krvnu sliku treba kontrolisati jednom ned</w:t>
      </w:r>
      <w:r w:rsidR="00B24A2D" w:rsidRPr="008E586D">
        <w:rPr>
          <w:rFonts w:eastAsia="TimesNewRoman"/>
          <w:sz w:val="22"/>
          <w:szCs w:val="22"/>
          <w:lang w:val="sr-Latn-ME" w:eastAsia="sr-Latn-ME"/>
        </w:rPr>
        <w:t>j</w:t>
      </w:r>
      <w:r w:rsidRPr="008E586D">
        <w:rPr>
          <w:rFonts w:eastAsia="TimesNewRoman"/>
          <w:sz w:val="22"/>
          <w:szCs w:val="22"/>
          <w:lang w:val="sr-Latn-ME" w:eastAsia="sr-Latn-ME"/>
        </w:rPr>
        <w:t xml:space="preserve">eljno kod pacijenata sa nivoima bilirubina koji su 1,5-3 puta veći od gornje granice normalnih vrijednosti, zbog smanjenog klirensa irinotekana i povećanog rizika od hematotoksičnosti kod tih pacijenata (vidjeti dio 5.2). Za pacijente sa nivoima bilirubina koji su &gt; 3 puta povećani u odnosu na gornju granicu normalnih vrijednosti </w:t>
      </w:r>
      <w:r w:rsidR="00A25ABF" w:rsidRPr="008E586D">
        <w:rPr>
          <w:rFonts w:eastAsia="TimesNewRoman"/>
          <w:sz w:val="22"/>
          <w:szCs w:val="22"/>
          <w:lang w:val="sr-Latn-ME" w:eastAsia="sr-Latn-ME"/>
        </w:rPr>
        <w:t>(</w:t>
      </w:r>
      <w:r w:rsidRPr="008E586D">
        <w:rPr>
          <w:rFonts w:eastAsia="TimesNewRoman"/>
          <w:sz w:val="22"/>
          <w:szCs w:val="22"/>
          <w:lang w:val="sr-Latn-ME" w:eastAsia="sr-Latn-ME"/>
        </w:rPr>
        <w:t>vidjeti dio 4.3</w:t>
      </w:r>
      <w:r w:rsidR="00A25ABF" w:rsidRPr="008E586D">
        <w:rPr>
          <w:rFonts w:eastAsia="TimesNewRoman"/>
          <w:sz w:val="22"/>
          <w:szCs w:val="22"/>
          <w:lang w:val="sr-Latn-ME" w:eastAsia="sr-Latn-ME"/>
        </w:rPr>
        <w:t>)</w:t>
      </w:r>
      <w:r w:rsidRPr="008E586D">
        <w:rPr>
          <w:rFonts w:eastAsia="TimesNewRoman"/>
          <w:sz w:val="22"/>
          <w:szCs w:val="22"/>
          <w:lang w:val="sr-Latn-ME" w:eastAsia="sr-Latn-ME"/>
        </w:rPr>
        <w:t>.</w:t>
      </w:r>
    </w:p>
    <w:p w:rsidR="00D04381" w:rsidRPr="008E586D" w:rsidRDefault="00D04381" w:rsidP="00D04381">
      <w:pPr>
        <w:autoSpaceDE w:val="0"/>
        <w:autoSpaceDN w:val="0"/>
        <w:adjustRightInd w:val="0"/>
        <w:jc w:val="both"/>
        <w:rPr>
          <w:rFonts w:eastAsia="TimesNewRoman"/>
          <w:sz w:val="22"/>
          <w:szCs w:val="22"/>
          <w:lang w:val="sr-Latn-ME" w:eastAsia="sr-Latn-ME"/>
        </w:rPr>
      </w:pPr>
    </w:p>
    <w:p w:rsidR="00D04381" w:rsidRPr="008E586D" w:rsidRDefault="00D04381" w:rsidP="00D04381">
      <w:pPr>
        <w:autoSpaceDE w:val="0"/>
        <w:autoSpaceDN w:val="0"/>
        <w:adjustRightInd w:val="0"/>
        <w:jc w:val="both"/>
        <w:rPr>
          <w:rFonts w:eastAsia="TimesNewRoman"/>
          <w:b/>
          <w:sz w:val="22"/>
          <w:szCs w:val="22"/>
          <w:lang w:val="sr-Latn-ME" w:eastAsia="sr-Latn-ME"/>
        </w:rPr>
      </w:pPr>
      <w:r w:rsidRPr="008E586D">
        <w:rPr>
          <w:rFonts w:eastAsia="TimesNewRoman"/>
          <w:b/>
          <w:sz w:val="22"/>
          <w:szCs w:val="22"/>
          <w:lang w:val="sr-Latn-ME" w:eastAsia="sr-Latn-ME"/>
        </w:rPr>
        <w:t>Mučnina i povraćanje</w:t>
      </w:r>
    </w:p>
    <w:p w:rsidR="00B24A2D" w:rsidRPr="008E586D" w:rsidRDefault="00B24A2D" w:rsidP="00D04381">
      <w:pPr>
        <w:autoSpaceDE w:val="0"/>
        <w:autoSpaceDN w:val="0"/>
        <w:adjustRightInd w:val="0"/>
        <w:jc w:val="both"/>
        <w:rPr>
          <w:rFonts w:eastAsia="TimesNewRoman"/>
          <w:b/>
          <w:sz w:val="22"/>
          <w:szCs w:val="22"/>
          <w:lang w:val="sr-Latn-ME" w:eastAsia="sr-Latn-ME"/>
        </w:rPr>
      </w:pPr>
    </w:p>
    <w:p w:rsidR="00D04381" w:rsidRPr="008E586D" w:rsidRDefault="00D04381" w:rsidP="00D04381">
      <w:pPr>
        <w:autoSpaceDE w:val="0"/>
        <w:autoSpaceDN w:val="0"/>
        <w:adjustRightInd w:val="0"/>
        <w:jc w:val="both"/>
        <w:rPr>
          <w:rFonts w:eastAsia="TimesNewRoman"/>
          <w:sz w:val="22"/>
          <w:szCs w:val="22"/>
          <w:lang w:val="sr-Latn-ME" w:eastAsia="sr-Latn-ME"/>
        </w:rPr>
      </w:pPr>
      <w:r w:rsidRPr="008E586D">
        <w:rPr>
          <w:rFonts w:eastAsia="TimesNewRoman"/>
          <w:sz w:val="22"/>
          <w:szCs w:val="22"/>
          <w:lang w:val="sr-Latn-ME" w:eastAsia="sr-Latn-ME"/>
        </w:rPr>
        <w:t xml:space="preserve">Preporučuje se profilaktička primjena antiemetika prije svakog ciklusa primjene lijeka Irinotecan Accord. Mučnina </w:t>
      </w:r>
      <w:r w:rsidR="00A25ABF" w:rsidRPr="008E586D">
        <w:rPr>
          <w:rFonts w:eastAsia="TimesNewRoman"/>
          <w:sz w:val="22"/>
          <w:szCs w:val="22"/>
          <w:lang w:val="sr-Latn-ME" w:eastAsia="sr-Latn-ME"/>
        </w:rPr>
        <w:t xml:space="preserve">i </w:t>
      </w:r>
      <w:r w:rsidRPr="008E586D">
        <w:rPr>
          <w:rFonts w:eastAsia="TimesNewRoman"/>
          <w:sz w:val="22"/>
          <w:szCs w:val="22"/>
          <w:lang w:val="sr-Latn-ME" w:eastAsia="sr-Latn-ME"/>
        </w:rPr>
        <w:t>povraćanje su često prijavljivani. Pacijente sa povraćanjem udruženim sa odloženom dijarejom treba što prije hospitalizovati u cilju liječenja.</w:t>
      </w:r>
    </w:p>
    <w:p w:rsidR="00D04381" w:rsidRPr="008E586D" w:rsidRDefault="00D04381" w:rsidP="00D04381">
      <w:pPr>
        <w:autoSpaceDE w:val="0"/>
        <w:autoSpaceDN w:val="0"/>
        <w:adjustRightInd w:val="0"/>
        <w:jc w:val="both"/>
        <w:rPr>
          <w:rFonts w:eastAsia="TimesNewRoman"/>
          <w:sz w:val="22"/>
          <w:szCs w:val="22"/>
          <w:lang w:val="sr-Latn-ME" w:eastAsia="sr-Latn-ME"/>
        </w:rPr>
      </w:pPr>
    </w:p>
    <w:p w:rsidR="00D04381" w:rsidRPr="008E586D" w:rsidRDefault="00D04381" w:rsidP="00D04381">
      <w:pPr>
        <w:autoSpaceDE w:val="0"/>
        <w:autoSpaceDN w:val="0"/>
        <w:adjustRightInd w:val="0"/>
        <w:jc w:val="both"/>
        <w:rPr>
          <w:rFonts w:eastAsia="TimesNewRoman"/>
          <w:b/>
          <w:sz w:val="22"/>
          <w:szCs w:val="22"/>
          <w:lang w:val="sr-Latn-ME" w:eastAsia="sr-Latn-ME"/>
        </w:rPr>
      </w:pPr>
      <w:r w:rsidRPr="008E586D">
        <w:rPr>
          <w:rFonts w:eastAsia="TimesNewRoman"/>
          <w:b/>
          <w:sz w:val="22"/>
          <w:szCs w:val="22"/>
          <w:lang w:val="sr-Latn-ME" w:eastAsia="sr-Latn-ME"/>
        </w:rPr>
        <w:t>Akutni holinergički sindrom</w:t>
      </w:r>
    </w:p>
    <w:p w:rsidR="00B24A2D" w:rsidRPr="008E586D" w:rsidRDefault="00B24A2D" w:rsidP="00D04381">
      <w:pPr>
        <w:autoSpaceDE w:val="0"/>
        <w:autoSpaceDN w:val="0"/>
        <w:adjustRightInd w:val="0"/>
        <w:jc w:val="both"/>
        <w:rPr>
          <w:rFonts w:eastAsia="TimesNewRoman"/>
          <w:b/>
          <w:sz w:val="22"/>
          <w:szCs w:val="22"/>
          <w:lang w:val="sr-Latn-ME" w:eastAsia="sr-Latn-ME"/>
        </w:rPr>
      </w:pPr>
    </w:p>
    <w:p w:rsidR="00D04381" w:rsidRPr="008E586D" w:rsidRDefault="00D04381" w:rsidP="00D04381">
      <w:pPr>
        <w:autoSpaceDE w:val="0"/>
        <w:autoSpaceDN w:val="0"/>
        <w:adjustRightInd w:val="0"/>
        <w:jc w:val="both"/>
        <w:rPr>
          <w:rFonts w:eastAsia="TimesNewRoman"/>
          <w:sz w:val="22"/>
          <w:szCs w:val="22"/>
          <w:lang w:val="sr-Latn-ME" w:eastAsia="sr-Latn-ME"/>
        </w:rPr>
      </w:pPr>
      <w:r w:rsidRPr="008E586D">
        <w:rPr>
          <w:rFonts w:eastAsia="TimesNewRoman"/>
          <w:sz w:val="22"/>
          <w:szCs w:val="22"/>
          <w:lang w:val="sr-Latn-ME" w:eastAsia="sr-Latn-ME"/>
        </w:rPr>
        <w:t>Ukoliko dođe do akutnog holinergičkog sindroma (definiše se kao pojava rane dijareje, uz brojne druge znake i simptome kao što su znojenje, grčevi u trbuhu, mioza i salivacija), potrebno je primijeniti atropin sulfat (0,25 mg, supkutano) osim ako nije kontraindikovan (vidjeti dio 4.8).</w:t>
      </w:r>
    </w:p>
    <w:p w:rsidR="00B24A2D" w:rsidRPr="008E586D" w:rsidRDefault="00B24A2D" w:rsidP="00D04381">
      <w:pPr>
        <w:autoSpaceDE w:val="0"/>
        <w:autoSpaceDN w:val="0"/>
        <w:adjustRightInd w:val="0"/>
        <w:jc w:val="both"/>
        <w:rPr>
          <w:rFonts w:eastAsia="TimesNewRoman"/>
          <w:sz w:val="22"/>
          <w:szCs w:val="22"/>
          <w:lang w:val="sr-Latn-ME" w:eastAsia="sr-Latn-ME"/>
        </w:rPr>
      </w:pPr>
    </w:p>
    <w:p w:rsidR="00D04381" w:rsidRPr="008E586D" w:rsidRDefault="00D04381" w:rsidP="00D04381">
      <w:pPr>
        <w:autoSpaceDE w:val="0"/>
        <w:autoSpaceDN w:val="0"/>
        <w:adjustRightInd w:val="0"/>
        <w:jc w:val="both"/>
        <w:rPr>
          <w:rFonts w:eastAsia="TimesNewRoman"/>
          <w:sz w:val="22"/>
          <w:szCs w:val="22"/>
          <w:lang w:val="sr-Latn-ME" w:eastAsia="sr-Latn-ME"/>
        </w:rPr>
      </w:pPr>
      <w:r w:rsidRPr="008E586D">
        <w:rPr>
          <w:rFonts w:eastAsia="TimesNewRoman"/>
          <w:sz w:val="22"/>
          <w:szCs w:val="22"/>
          <w:lang w:val="sr-Latn-ME" w:eastAsia="sr-Latn-ME"/>
        </w:rPr>
        <w:t>Ovi simptomi se mogu uočiti tokom ili odmah nakon primjene infuzije irinotekana, a smatra se da su</w:t>
      </w:r>
    </w:p>
    <w:p w:rsidR="00D04381" w:rsidRPr="008E586D" w:rsidRDefault="00D04381" w:rsidP="00D04381">
      <w:pPr>
        <w:autoSpaceDE w:val="0"/>
        <w:autoSpaceDN w:val="0"/>
        <w:adjustRightInd w:val="0"/>
        <w:jc w:val="both"/>
        <w:rPr>
          <w:rFonts w:eastAsia="TimesNewRoman"/>
          <w:sz w:val="22"/>
          <w:szCs w:val="22"/>
          <w:lang w:val="sr-Latn-ME" w:eastAsia="sr-Latn-ME"/>
        </w:rPr>
      </w:pPr>
      <w:r w:rsidRPr="008E586D">
        <w:rPr>
          <w:rFonts w:eastAsia="TimesNewRoman"/>
          <w:sz w:val="22"/>
          <w:szCs w:val="22"/>
          <w:lang w:val="sr-Latn-ME" w:eastAsia="sr-Latn-ME"/>
        </w:rPr>
        <w:t>povezani sa antiholinesteraznom aktivnošću nepromijenjenog lijeka i da se češće javljaju pri primjeni većih doza irinotekana.</w:t>
      </w:r>
    </w:p>
    <w:p w:rsidR="00B24A2D" w:rsidRPr="008E586D" w:rsidRDefault="00B24A2D" w:rsidP="00D04381">
      <w:pPr>
        <w:autoSpaceDE w:val="0"/>
        <w:autoSpaceDN w:val="0"/>
        <w:adjustRightInd w:val="0"/>
        <w:jc w:val="both"/>
        <w:rPr>
          <w:rFonts w:eastAsia="TimesNewRoman"/>
          <w:sz w:val="22"/>
          <w:szCs w:val="22"/>
          <w:lang w:val="sr-Latn-ME" w:eastAsia="sr-Latn-ME"/>
        </w:rPr>
      </w:pPr>
    </w:p>
    <w:p w:rsidR="00D04381" w:rsidRPr="008E586D" w:rsidRDefault="00D04381" w:rsidP="00D04381">
      <w:pPr>
        <w:autoSpaceDE w:val="0"/>
        <w:autoSpaceDN w:val="0"/>
        <w:adjustRightInd w:val="0"/>
        <w:jc w:val="both"/>
        <w:rPr>
          <w:rFonts w:eastAsia="TimesNewRoman"/>
          <w:sz w:val="22"/>
          <w:szCs w:val="22"/>
          <w:lang w:val="sr-Latn-ME" w:eastAsia="sr-Latn-ME"/>
        </w:rPr>
      </w:pPr>
      <w:r w:rsidRPr="008E586D">
        <w:rPr>
          <w:rFonts w:eastAsia="TimesNewRoman"/>
          <w:sz w:val="22"/>
          <w:szCs w:val="22"/>
          <w:lang w:val="sr-Latn-ME" w:eastAsia="sr-Latn-ME"/>
        </w:rPr>
        <w:t>Potrebna je i opreznost kod pacijenata sa astmom. Kod pacijenata koji su imali akutnu i tešku formu</w:t>
      </w:r>
    </w:p>
    <w:p w:rsidR="00D04381" w:rsidRPr="008E586D" w:rsidRDefault="00D04381" w:rsidP="00D04381">
      <w:pPr>
        <w:autoSpaceDE w:val="0"/>
        <w:autoSpaceDN w:val="0"/>
        <w:adjustRightInd w:val="0"/>
        <w:jc w:val="both"/>
        <w:rPr>
          <w:rFonts w:eastAsia="TimesNewRoman"/>
          <w:sz w:val="22"/>
          <w:szCs w:val="22"/>
          <w:lang w:val="sr-Latn-ME" w:eastAsia="sr-Latn-ME"/>
        </w:rPr>
      </w:pPr>
      <w:r w:rsidRPr="008E586D">
        <w:rPr>
          <w:rFonts w:eastAsia="TimesNewRoman"/>
          <w:sz w:val="22"/>
          <w:szCs w:val="22"/>
          <w:lang w:val="sr-Latn-ME" w:eastAsia="sr-Latn-ME"/>
        </w:rPr>
        <w:t>holinergičkog sindroma preporučuje se profilaktička prim</w:t>
      </w:r>
      <w:r w:rsidR="00B24A2D" w:rsidRPr="008E586D">
        <w:rPr>
          <w:rFonts w:eastAsia="TimesNewRoman"/>
          <w:sz w:val="22"/>
          <w:szCs w:val="22"/>
          <w:lang w:val="sr-Latn-ME" w:eastAsia="sr-Latn-ME"/>
        </w:rPr>
        <w:t>jena atropin</w:t>
      </w:r>
      <w:r w:rsidRPr="008E586D">
        <w:rPr>
          <w:rFonts w:eastAsia="TimesNewRoman"/>
          <w:sz w:val="22"/>
          <w:szCs w:val="22"/>
          <w:lang w:val="sr-Latn-ME" w:eastAsia="sr-Latn-ME"/>
        </w:rPr>
        <w:t xml:space="preserve"> sulfata uz naredne doze lijeka Irinotecan Accord.</w:t>
      </w:r>
    </w:p>
    <w:p w:rsidR="00D04381" w:rsidRPr="008E586D" w:rsidRDefault="00D04381" w:rsidP="00D04381">
      <w:pPr>
        <w:autoSpaceDE w:val="0"/>
        <w:autoSpaceDN w:val="0"/>
        <w:adjustRightInd w:val="0"/>
        <w:jc w:val="both"/>
        <w:rPr>
          <w:rFonts w:eastAsia="TimesNewRoman"/>
          <w:sz w:val="22"/>
          <w:szCs w:val="22"/>
          <w:lang w:val="sr-Latn-ME" w:eastAsia="sr-Latn-ME"/>
        </w:rPr>
      </w:pPr>
    </w:p>
    <w:p w:rsidR="00D04381" w:rsidRPr="008E586D" w:rsidRDefault="00D04381" w:rsidP="00D04381">
      <w:pPr>
        <w:autoSpaceDE w:val="0"/>
        <w:autoSpaceDN w:val="0"/>
        <w:adjustRightInd w:val="0"/>
        <w:jc w:val="both"/>
        <w:rPr>
          <w:rFonts w:eastAsia="TimesNewRoman"/>
          <w:b/>
          <w:sz w:val="22"/>
          <w:szCs w:val="22"/>
          <w:lang w:val="sr-Latn-ME" w:eastAsia="sr-Latn-ME"/>
        </w:rPr>
      </w:pPr>
      <w:r w:rsidRPr="008E586D">
        <w:rPr>
          <w:rFonts w:eastAsia="TimesNewRoman"/>
          <w:b/>
          <w:sz w:val="22"/>
          <w:szCs w:val="22"/>
          <w:lang w:val="sr-Latn-ME" w:eastAsia="sr-Latn-ME"/>
        </w:rPr>
        <w:t>Respiratorni poremećaji</w:t>
      </w:r>
    </w:p>
    <w:p w:rsidR="007501FA" w:rsidRPr="008E586D" w:rsidRDefault="007501FA" w:rsidP="00D04381">
      <w:pPr>
        <w:autoSpaceDE w:val="0"/>
        <w:autoSpaceDN w:val="0"/>
        <w:adjustRightInd w:val="0"/>
        <w:jc w:val="both"/>
        <w:rPr>
          <w:rFonts w:eastAsia="TimesNewRoman"/>
          <w:b/>
          <w:sz w:val="22"/>
          <w:szCs w:val="22"/>
          <w:lang w:val="sr-Latn-ME" w:eastAsia="sr-Latn-ME"/>
        </w:rPr>
      </w:pPr>
    </w:p>
    <w:p w:rsidR="00D04381" w:rsidRPr="008E586D" w:rsidRDefault="00D04381" w:rsidP="00D04381">
      <w:pPr>
        <w:autoSpaceDE w:val="0"/>
        <w:autoSpaceDN w:val="0"/>
        <w:adjustRightInd w:val="0"/>
        <w:jc w:val="both"/>
        <w:rPr>
          <w:rFonts w:eastAsia="TimesNewRoman"/>
          <w:sz w:val="22"/>
          <w:szCs w:val="22"/>
          <w:lang w:val="sr-Latn-ME" w:eastAsia="sr-Latn-ME"/>
        </w:rPr>
      </w:pPr>
      <w:r w:rsidRPr="008E586D">
        <w:rPr>
          <w:rFonts w:eastAsia="TimesNewRoman"/>
          <w:sz w:val="22"/>
          <w:szCs w:val="22"/>
          <w:lang w:val="sr-Latn-ME" w:eastAsia="sr-Latn-ME"/>
        </w:rPr>
        <w:t>Povremeno, tokom l</w:t>
      </w:r>
      <w:r w:rsidR="007501FA" w:rsidRPr="008E586D">
        <w:rPr>
          <w:rFonts w:eastAsia="TimesNewRoman"/>
          <w:sz w:val="22"/>
          <w:szCs w:val="22"/>
          <w:lang w:val="sr-Latn-ME" w:eastAsia="sr-Latn-ME"/>
        </w:rPr>
        <w:t>ij</w:t>
      </w:r>
      <w:r w:rsidRPr="008E586D">
        <w:rPr>
          <w:rFonts w:eastAsia="TimesNewRoman"/>
          <w:sz w:val="22"/>
          <w:szCs w:val="22"/>
          <w:lang w:val="sr-Latn-ME" w:eastAsia="sr-Latn-ME"/>
        </w:rPr>
        <w:t>ečenja irinotekanom može doći do pojave intersticijalne bolesti pluća koja se</w:t>
      </w:r>
    </w:p>
    <w:p w:rsidR="007501FA" w:rsidRPr="008E586D" w:rsidRDefault="00D04381" w:rsidP="00D04381">
      <w:pPr>
        <w:autoSpaceDE w:val="0"/>
        <w:autoSpaceDN w:val="0"/>
        <w:adjustRightInd w:val="0"/>
        <w:jc w:val="both"/>
        <w:rPr>
          <w:rFonts w:eastAsia="TimesNewRoman"/>
          <w:sz w:val="22"/>
          <w:szCs w:val="22"/>
          <w:lang w:val="sr-Latn-ME" w:eastAsia="sr-Latn-ME"/>
        </w:rPr>
      </w:pPr>
      <w:r w:rsidRPr="008E586D">
        <w:rPr>
          <w:rFonts w:eastAsia="TimesNewRoman"/>
          <w:sz w:val="22"/>
          <w:szCs w:val="22"/>
          <w:lang w:val="sr-Latn-ME" w:eastAsia="sr-Latn-ME"/>
        </w:rPr>
        <w:t>manifestuje plućnim infiltratima. Intersticijalna bolest pluća može biti smrtonosna. Faktori rizika koji su vjerovatno povezani sa razvojem intersticijalne bolesti pluća uključuju korišćenje pneumotoksičnih ljekova, radioterapiju i prim</w:t>
      </w:r>
      <w:r w:rsidR="007501FA" w:rsidRPr="008E586D">
        <w:rPr>
          <w:rFonts w:eastAsia="TimesNewRoman"/>
          <w:sz w:val="22"/>
          <w:szCs w:val="22"/>
          <w:lang w:val="sr-Latn-ME" w:eastAsia="sr-Latn-ME"/>
        </w:rPr>
        <w:t>j</w:t>
      </w:r>
      <w:r w:rsidRPr="008E586D">
        <w:rPr>
          <w:rFonts w:eastAsia="TimesNewRoman"/>
          <w:sz w:val="22"/>
          <w:szCs w:val="22"/>
          <w:lang w:val="sr-Latn-ME" w:eastAsia="sr-Latn-ME"/>
        </w:rPr>
        <w:t xml:space="preserve">enu faktora stimulacije kolonija. </w:t>
      </w:r>
    </w:p>
    <w:p w:rsidR="007501FA" w:rsidRPr="008E586D" w:rsidRDefault="007501FA" w:rsidP="00D04381">
      <w:pPr>
        <w:autoSpaceDE w:val="0"/>
        <w:autoSpaceDN w:val="0"/>
        <w:adjustRightInd w:val="0"/>
        <w:jc w:val="both"/>
        <w:rPr>
          <w:rFonts w:eastAsia="TimesNewRoman"/>
          <w:sz w:val="22"/>
          <w:szCs w:val="22"/>
          <w:lang w:val="sr-Latn-ME" w:eastAsia="sr-Latn-ME"/>
        </w:rPr>
      </w:pPr>
    </w:p>
    <w:p w:rsidR="00D04381" w:rsidRPr="008E586D" w:rsidRDefault="00D04381" w:rsidP="00D04381">
      <w:pPr>
        <w:autoSpaceDE w:val="0"/>
        <w:autoSpaceDN w:val="0"/>
        <w:adjustRightInd w:val="0"/>
        <w:jc w:val="both"/>
        <w:rPr>
          <w:rFonts w:eastAsia="TimesNewRoman"/>
          <w:sz w:val="22"/>
          <w:szCs w:val="22"/>
          <w:lang w:val="sr-Latn-ME" w:eastAsia="sr-Latn-ME"/>
        </w:rPr>
      </w:pPr>
      <w:r w:rsidRPr="008E586D">
        <w:rPr>
          <w:rFonts w:eastAsia="TimesNewRoman"/>
          <w:sz w:val="22"/>
          <w:szCs w:val="22"/>
          <w:lang w:val="sr-Latn-ME" w:eastAsia="sr-Latn-ME"/>
        </w:rPr>
        <w:t>Potrebno je intenzivno praćenje respiratornih simptoma kod pacijenata sa faktorima rizika pr</w:t>
      </w:r>
      <w:r w:rsidR="007501FA" w:rsidRPr="008E586D">
        <w:rPr>
          <w:rFonts w:eastAsia="TimesNewRoman"/>
          <w:sz w:val="22"/>
          <w:szCs w:val="22"/>
          <w:lang w:val="sr-Latn-ME" w:eastAsia="sr-Latn-ME"/>
        </w:rPr>
        <w:t>ij</w:t>
      </w:r>
      <w:r w:rsidRPr="008E586D">
        <w:rPr>
          <w:rFonts w:eastAsia="TimesNewRoman"/>
          <w:sz w:val="22"/>
          <w:szCs w:val="22"/>
          <w:lang w:val="sr-Latn-ME" w:eastAsia="sr-Latn-ME"/>
        </w:rPr>
        <w:t>e i tokom liječenja irinotekanom.</w:t>
      </w:r>
    </w:p>
    <w:p w:rsidR="00D04381" w:rsidRPr="008E586D" w:rsidRDefault="00D04381" w:rsidP="00D04381">
      <w:pPr>
        <w:autoSpaceDE w:val="0"/>
        <w:autoSpaceDN w:val="0"/>
        <w:adjustRightInd w:val="0"/>
        <w:jc w:val="both"/>
        <w:rPr>
          <w:rFonts w:eastAsia="TimesNewRoman"/>
          <w:sz w:val="22"/>
          <w:szCs w:val="22"/>
          <w:lang w:val="sr-Latn-ME" w:eastAsia="sr-Latn-ME"/>
        </w:rPr>
      </w:pPr>
    </w:p>
    <w:p w:rsidR="00D04381" w:rsidRPr="008E586D" w:rsidRDefault="00D04381" w:rsidP="00D04381">
      <w:pPr>
        <w:autoSpaceDE w:val="0"/>
        <w:autoSpaceDN w:val="0"/>
        <w:adjustRightInd w:val="0"/>
        <w:jc w:val="both"/>
        <w:rPr>
          <w:rFonts w:eastAsia="TimesNewRoman"/>
          <w:b/>
          <w:sz w:val="22"/>
          <w:szCs w:val="22"/>
          <w:lang w:val="sr-Latn-ME" w:eastAsia="sr-Latn-ME"/>
        </w:rPr>
      </w:pPr>
      <w:r w:rsidRPr="008E586D">
        <w:rPr>
          <w:rFonts w:eastAsia="TimesNewRoman"/>
          <w:b/>
          <w:sz w:val="22"/>
          <w:szCs w:val="22"/>
          <w:lang w:val="sr-Latn-ME" w:eastAsia="sr-Latn-ME"/>
        </w:rPr>
        <w:t>Ekstravazacija</w:t>
      </w:r>
    </w:p>
    <w:p w:rsidR="00A25ABF" w:rsidRPr="008E586D" w:rsidRDefault="00A25ABF" w:rsidP="00D04381">
      <w:pPr>
        <w:autoSpaceDE w:val="0"/>
        <w:autoSpaceDN w:val="0"/>
        <w:adjustRightInd w:val="0"/>
        <w:jc w:val="both"/>
        <w:rPr>
          <w:rFonts w:eastAsia="TimesNewRoman"/>
          <w:b/>
          <w:sz w:val="22"/>
          <w:szCs w:val="22"/>
          <w:lang w:val="sr-Latn-ME" w:eastAsia="sr-Latn-ME"/>
        </w:rPr>
      </w:pPr>
    </w:p>
    <w:p w:rsidR="00D04381" w:rsidRPr="008E586D" w:rsidRDefault="00D04381" w:rsidP="00D04381">
      <w:pPr>
        <w:autoSpaceDE w:val="0"/>
        <w:autoSpaceDN w:val="0"/>
        <w:adjustRightInd w:val="0"/>
        <w:jc w:val="both"/>
        <w:rPr>
          <w:rFonts w:eastAsia="TimesNewRoman"/>
          <w:sz w:val="22"/>
          <w:szCs w:val="22"/>
          <w:lang w:val="sr-Latn-ME" w:eastAsia="sr-Latn-ME"/>
        </w:rPr>
      </w:pPr>
      <w:r w:rsidRPr="008E586D">
        <w:rPr>
          <w:rFonts w:eastAsia="TimesNewRoman"/>
          <w:sz w:val="22"/>
          <w:szCs w:val="22"/>
          <w:lang w:val="sr-Latn-ME" w:eastAsia="sr-Latn-ME"/>
        </w:rPr>
        <w:t>Iako irinotekan nije poznat kao vezikant, primjenu lijeka treba sprovoditi sa oprezom kako ne bi došlo do ekstravazacije, a mjesto primjene infuzije treba pratiti kako bi se uočili znaci inflamacije. Ukoliko se pojavi ekstravazacija, preporučuje se ispiranje i stavljanje leda na mjesto primjene.</w:t>
      </w:r>
    </w:p>
    <w:p w:rsidR="00D04381" w:rsidRPr="008E586D" w:rsidRDefault="00D04381" w:rsidP="00D04381">
      <w:pPr>
        <w:autoSpaceDE w:val="0"/>
        <w:autoSpaceDN w:val="0"/>
        <w:adjustRightInd w:val="0"/>
        <w:jc w:val="both"/>
        <w:rPr>
          <w:rFonts w:eastAsia="TimesNewRoman"/>
          <w:sz w:val="22"/>
          <w:szCs w:val="22"/>
          <w:lang w:val="sr-Latn-ME" w:eastAsia="sr-Latn-ME"/>
        </w:rPr>
      </w:pPr>
    </w:p>
    <w:p w:rsidR="00D04381" w:rsidRPr="008E586D" w:rsidRDefault="00D04381" w:rsidP="00D04381">
      <w:pPr>
        <w:autoSpaceDE w:val="0"/>
        <w:autoSpaceDN w:val="0"/>
        <w:adjustRightInd w:val="0"/>
        <w:jc w:val="both"/>
        <w:rPr>
          <w:rFonts w:eastAsia="TimesNewRoman"/>
          <w:b/>
          <w:sz w:val="22"/>
          <w:szCs w:val="22"/>
          <w:lang w:val="sr-Latn-ME" w:eastAsia="sr-Latn-ME"/>
        </w:rPr>
      </w:pPr>
      <w:r w:rsidRPr="008E586D">
        <w:rPr>
          <w:rFonts w:eastAsia="TimesNewRoman"/>
          <w:b/>
          <w:sz w:val="22"/>
          <w:szCs w:val="22"/>
          <w:lang w:val="sr-Latn-ME" w:eastAsia="sr-Latn-ME"/>
        </w:rPr>
        <w:t>Stariji pacijenti</w:t>
      </w:r>
    </w:p>
    <w:p w:rsidR="007501FA" w:rsidRPr="008E586D" w:rsidRDefault="007501FA" w:rsidP="00D04381">
      <w:pPr>
        <w:autoSpaceDE w:val="0"/>
        <w:autoSpaceDN w:val="0"/>
        <w:adjustRightInd w:val="0"/>
        <w:jc w:val="both"/>
        <w:rPr>
          <w:rFonts w:eastAsia="TimesNewRoman"/>
          <w:b/>
          <w:sz w:val="22"/>
          <w:szCs w:val="22"/>
          <w:lang w:val="sr-Latn-ME" w:eastAsia="sr-Latn-ME"/>
        </w:rPr>
      </w:pPr>
    </w:p>
    <w:p w:rsidR="00D04381" w:rsidRPr="008E586D" w:rsidRDefault="00D04381" w:rsidP="00D04381">
      <w:pPr>
        <w:autoSpaceDE w:val="0"/>
        <w:autoSpaceDN w:val="0"/>
        <w:adjustRightInd w:val="0"/>
        <w:jc w:val="both"/>
        <w:rPr>
          <w:rFonts w:eastAsia="TimesNewRoman"/>
          <w:sz w:val="22"/>
          <w:szCs w:val="22"/>
          <w:lang w:val="sr-Latn-ME" w:eastAsia="sr-Latn-ME"/>
        </w:rPr>
      </w:pPr>
      <w:r w:rsidRPr="008E586D">
        <w:rPr>
          <w:rFonts w:eastAsia="TimesNewRoman"/>
          <w:sz w:val="22"/>
          <w:szCs w:val="22"/>
          <w:lang w:val="sr-Latn-ME" w:eastAsia="sr-Latn-ME"/>
        </w:rPr>
        <w:t>Zbog češće pojave slabljenja bioloških funkcija, posebno funkcije jetre, potrebna je opreznost pri izboru doza lijeka Irinotecan Accord kod ove grupe pacijenata (vidjeti dio 4.2).</w:t>
      </w:r>
    </w:p>
    <w:p w:rsidR="00D04381" w:rsidRPr="008E586D" w:rsidRDefault="00D04381" w:rsidP="00D04381">
      <w:pPr>
        <w:autoSpaceDE w:val="0"/>
        <w:autoSpaceDN w:val="0"/>
        <w:adjustRightInd w:val="0"/>
        <w:jc w:val="both"/>
        <w:rPr>
          <w:rFonts w:eastAsia="TimesNewRoman"/>
          <w:sz w:val="22"/>
          <w:szCs w:val="22"/>
          <w:lang w:val="sr-Latn-ME" w:eastAsia="sr-Latn-ME"/>
        </w:rPr>
      </w:pPr>
    </w:p>
    <w:p w:rsidR="00D04381" w:rsidRPr="008E586D" w:rsidRDefault="00D04381" w:rsidP="00D04381">
      <w:pPr>
        <w:autoSpaceDE w:val="0"/>
        <w:autoSpaceDN w:val="0"/>
        <w:adjustRightInd w:val="0"/>
        <w:jc w:val="both"/>
        <w:rPr>
          <w:rFonts w:eastAsia="TimesNewRoman"/>
          <w:b/>
          <w:sz w:val="22"/>
          <w:szCs w:val="22"/>
          <w:lang w:val="sr-Latn-ME" w:eastAsia="sr-Latn-ME"/>
        </w:rPr>
      </w:pPr>
      <w:r w:rsidRPr="008E586D">
        <w:rPr>
          <w:rFonts w:eastAsia="TimesNewRoman"/>
          <w:b/>
          <w:sz w:val="22"/>
          <w:szCs w:val="22"/>
          <w:lang w:val="sr-Latn-ME" w:eastAsia="sr-Latn-ME"/>
        </w:rPr>
        <w:t>Hronična inflamatorna bolest crijeva i/ili opstrukcija crijeva</w:t>
      </w:r>
    </w:p>
    <w:p w:rsidR="007501FA" w:rsidRPr="008E586D" w:rsidRDefault="007501FA" w:rsidP="00D04381">
      <w:pPr>
        <w:autoSpaceDE w:val="0"/>
        <w:autoSpaceDN w:val="0"/>
        <w:adjustRightInd w:val="0"/>
        <w:jc w:val="both"/>
        <w:rPr>
          <w:rFonts w:eastAsia="TimesNewRoman"/>
          <w:b/>
          <w:sz w:val="22"/>
          <w:szCs w:val="22"/>
          <w:lang w:val="sr-Latn-ME" w:eastAsia="sr-Latn-ME"/>
        </w:rPr>
      </w:pPr>
    </w:p>
    <w:p w:rsidR="00D04381" w:rsidRPr="008E586D" w:rsidRDefault="00D04381" w:rsidP="00D04381">
      <w:pPr>
        <w:autoSpaceDE w:val="0"/>
        <w:autoSpaceDN w:val="0"/>
        <w:adjustRightInd w:val="0"/>
        <w:jc w:val="both"/>
        <w:rPr>
          <w:rFonts w:eastAsia="TimesNewRoman"/>
          <w:sz w:val="22"/>
          <w:szCs w:val="22"/>
          <w:lang w:val="sr-Latn-ME" w:eastAsia="sr-Latn-ME"/>
        </w:rPr>
      </w:pPr>
      <w:r w:rsidRPr="008E586D">
        <w:rPr>
          <w:rFonts w:eastAsia="TimesNewRoman"/>
          <w:sz w:val="22"/>
          <w:szCs w:val="22"/>
          <w:lang w:val="sr-Latn-ME" w:eastAsia="sr-Latn-ME"/>
        </w:rPr>
        <w:t>Pacijenti ne smiju primati lijek Irinotecan Accord sve dok traje opstrukcija crijeva (vidjeti dio 4.3).</w:t>
      </w:r>
    </w:p>
    <w:p w:rsidR="00D04381" w:rsidRPr="008E586D" w:rsidRDefault="00D04381" w:rsidP="00D04381">
      <w:pPr>
        <w:autoSpaceDE w:val="0"/>
        <w:autoSpaceDN w:val="0"/>
        <w:adjustRightInd w:val="0"/>
        <w:jc w:val="both"/>
        <w:rPr>
          <w:rFonts w:eastAsia="TimesNewRoman"/>
          <w:sz w:val="22"/>
          <w:szCs w:val="22"/>
          <w:lang w:val="sr-Latn-ME" w:eastAsia="sr-Latn-ME"/>
        </w:rPr>
      </w:pPr>
    </w:p>
    <w:p w:rsidR="00D04381" w:rsidRPr="008E586D" w:rsidRDefault="00D04381" w:rsidP="00D04381">
      <w:pPr>
        <w:autoSpaceDE w:val="0"/>
        <w:autoSpaceDN w:val="0"/>
        <w:adjustRightInd w:val="0"/>
        <w:jc w:val="both"/>
        <w:rPr>
          <w:rFonts w:eastAsia="TimesNewRoman"/>
          <w:b/>
          <w:sz w:val="22"/>
          <w:szCs w:val="22"/>
          <w:lang w:val="sr-Latn-ME" w:eastAsia="sr-Latn-ME"/>
        </w:rPr>
      </w:pPr>
      <w:r w:rsidRPr="008E586D">
        <w:rPr>
          <w:rFonts w:eastAsia="TimesNewRoman"/>
          <w:b/>
          <w:sz w:val="22"/>
          <w:szCs w:val="22"/>
          <w:lang w:val="sr-Latn-ME" w:eastAsia="sr-Latn-ME"/>
        </w:rPr>
        <w:t>Funkcija bubrega</w:t>
      </w:r>
    </w:p>
    <w:p w:rsidR="0074610D" w:rsidRPr="008E586D" w:rsidRDefault="0074610D" w:rsidP="00D04381">
      <w:pPr>
        <w:autoSpaceDE w:val="0"/>
        <w:autoSpaceDN w:val="0"/>
        <w:adjustRightInd w:val="0"/>
        <w:jc w:val="both"/>
        <w:rPr>
          <w:rFonts w:eastAsia="TimesNewRoman"/>
          <w:b/>
          <w:sz w:val="22"/>
          <w:szCs w:val="22"/>
          <w:lang w:val="sr-Latn-ME" w:eastAsia="sr-Latn-ME"/>
        </w:rPr>
      </w:pPr>
    </w:p>
    <w:p w:rsidR="00D04381" w:rsidRPr="008E586D" w:rsidRDefault="00D04381" w:rsidP="00D04381">
      <w:pPr>
        <w:autoSpaceDE w:val="0"/>
        <w:autoSpaceDN w:val="0"/>
        <w:adjustRightInd w:val="0"/>
        <w:jc w:val="both"/>
        <w:rPr>
          <w:rFonts w:eastAsia="TimesNewRoman"/>
          <w:sz w:val="22"/>
          <w:szCs w:val="22"/>
          <w:lang w:val="sr-Latn-ME" w:eastAsia="sr-Latn-ME"/>
        </w:rPr>
      </w:pPr>
      <w:r w:rsidRPr="008E586D">
        <w:rPr>
          <w:rFonts w:eastAsia="TimesNewRoman"/>
          <w:sz w:val="22"/>
          <w:szCs w:val="22"/>
          <w:lang w:val="sr-Latn-ME" w:eastAsia="sr-Latn-ME"/>
        </w:rPr>
        <w:t xml:space="preserve">Zabilježeno je povećanje vrijednosti kreatinina u serumu ili azota u krvi porijeklom iz uree. Zabilježeni su </w:t>
      </w:r>
      <w:r w:rsidR="0074610D" w:rsidRPr="008E586D">
        <w:rPr>
          <w:rFonts w:eastAsia="TimesNewRoman"/>
          <w:sz w:val="22"/>
          <w:szCs w:val="22"/>
          <w:lang w:val="sr-Latn-ME" w:eastAsia="sr-Latn-ME"/>
        </w:rPr>
        <w:t>i</w:t>
      </w:r>
      <w:r w:rsidRPr="008E586D">
        <w:rPr>
          <w:rFonts w:eastAsia="TimesNewRoman"/>
          <w:sz w:val="22"/>
          <w:szCs w:val="22"/>
          <w:lang w:val="sr-Latn-ME" w:eastAsia="sr-Latn-ME"/>
        </w:rPr>
        <w:t xml:space="preserve"> slučajevi akutne bubrežne insuficijencije. Ovi događaji su generalno pripisivani komplikacijama usled infekcije ili dehidrataciji izazvanoj mučninom, povraćanjem ili dijarejom. Takođe su prijavljeni i rijetki slučajevi poremećaja funkcije bubrega usled sindroma lize tumora.</w:t>
      </w:r>
    </w:p>
    <w:p w:rsidR="00D04381" w:rsidRPr="008E586D" w:rsidRDefault="00D04381" w:rsidP="00D04381">
      <w:pPr>
        <w:autoSpaceDE w:val="0"/>
        <w:autoSpaceDN w:val="0"/>
        <w:adjustRightInd w:val="0"/>
        <w:jc w:val="both"/>
        <w:rPr>
          <w:rFonts w:eastAsia="TimesNewRoman"/>
          <w:sz w:val="22"/>
          <w:szCs w:val="22"/>
          <w:lang w:val="sr-Latn-ME" w:eastAsia="sr-Latn-ME"/>
        </w:rPr>
      </w:pPr>
    </w:p>
    <w:p w:rsidR="00D04381" w:rsidRPr="008E586D" w:rsidRDefault="00D04381" w:rsidP="00D04381">
      <w:pPr>
        <w:autoSpaceDE w:val="0"/>
        <w:autoSpaceDN w:val="0"/>
        <w:adjustRightInd w:val="0"/>
        <w:jc w:val="both"/>
        <w:rPr>
          <w:rFonts w:eastAsia="TimesNewRoman"/>
          <w:b/>
          <w:sz w:val="22"/>
          <w:szCs w:val="22"/>
          <w:lang w:val="sr-Latn-ME" w:eastAsia="sr-Latn-ME"/>
        </w:rPr>
      </w:pPr>
      <w:r w:rsidRPr="008E586D">
        <w:rPr>
          <w:rFonts w:eastAsia="TimesNewRoman"/>
          <w:b/>
          <w:sz w:val="22"/>
          <w:szCs w:val="22"/>
          <w:lang w:val="sr-Latn-ME" w:eastAsia="sr-Latn-ME"/>
        </w:rPr>
        <w:t>Radioterapija</w:t>
      </w:r>
    </w:p>
    <w:p w:rsidR="00D04381" w:rsidRPr="008E586D" w:rsidRDefault="00D04381" w:rsidP="00D04381">
      <w:pPr>
        <w:autoSpaceDE w:val="0"/>
        <w:autoSpaceDN w:val="0"/>
        <w:adjustRightInd w:val="0"/>
        <w:jc w:val="both"/>
        <w:rPr>
          <w:rFonts w:eastAsia="TimesNewRoman"/>
          <w:sz w:val="22"/>
          <w:szCs w:val="22"/>
          <w:lang w:val="sr-Latn-ME" w:eastAsia="sr-Latn-ME"/>
        </w:rPr>
      </w:pPr>
      <w:r w:rsidRPr="008E586D">
        <w:rPr>
          <w:rFonts w:eastAsia="TimesNewRoman"/>
          <w:sz w:val="22"/>
          <w:szCs w:val="22"/>
          <w:lang w:val="sr-Latn-ME" w:eastAsia="sr-Latn-ME"/>
        </w:rPr>
        <w:t xml:space="preserve">Kod pacijenata koji su prethodno bili podvrgnuti radioterapiji male karlice/abdomena postoji povećan rizik od mijelosupresije nakon primjene irinotekana. Potreban je oprez prilikom liječenja pacijenata koji su prethodno primali radioterapiju u velikim dozama (npr. &gt;25% ozračene koštane srži tokom 6 nedjelja prije započinjanja terapije irinotekanom). Kod ove populacije može biti potrebno </w:t>
      </w:r>
      <w:r w:rsidR="0074610D" w:rsidRPr="008E586D">
        <w:rPr>
          <w:rFonts w:eastAsia="TimesNewRoman"/>
          <w:sz w:val="22"/>
          <w:szCs w:val="22"/>
          <w:lang w:val="sr-Latn-ME" w:eastAsia="sr-Latn-ME"/>
        </w:rPr>
        <w:t>p</w:t>
      </w:r>
      <w:r w:rsidRPr="008E586D">
        <w:rPr>
          <w:rFonts w:eastAsia="TimesNewRoman"/>
          <w:sz w:val="22"/>
          <w:szCs w:val="22"/>
          <w:lang w:val="sr-Latn-ME" w:eastAsia="sr-Latn-ME"/>
        </w:rPr>
        <w:t>rilagođavanje doze (vidjeti dio 4.2).</w:t>
      </w:r>
    </w:p>
    <w:p w:rsidR="00D04381" w:rsidRPr="008E586D" w:rsidRDefault="00D04381" w:rsidP="00D04381">
      <w:pPr>
        <w:autoSpaceDE w:val="0"/>
        <w:autoSpaceDN w:val="0"/>
        <w:adjustRightInd w:val="0"/>
        <w:jc w:val="both"/>
        <w:rPr>
          <w:rFonts w:eastAsia="TimesNewRoman"/>
          <w:sz w:val="22"/>
          <w:szCs w:val="22"/>
          <w:lang w:val="sr-Latn-ME" w:eastAsia="sr-Latn-ME"/>
        </w:rPr>
      </w:pPr>
    </w:p>
    <w:p w:rsidR="00D04381" w:rsidRPr="008E586D" w:rsidRDefault="00D04381" w:rsidP="00D04381">
      <w:pPr>
        <w:autoSpaceDE w:val="0"/>
        <w:autoSpaceDN w:val="0"/>
        <w:adjustRightInd w:val="0"/>
        <w:jc w:val="both"/>
        <w:rPr>
          <w:rFonts w:eastAsia="TimesNewRoman"/>
          <w:b/>
          <w:sz w:val="22"/>
          <w:szCs w:val="22"/>
          <w:lang w:val="sr-Latn-ME" w:eastAsia="sr-Latn-ME"/>
        </w:rPr>
      </w:pPr>
      <w:r w:rsidRPr="008E586D">
        <w:rPr>
          <w:rFonts w:eastAsia="TimesNewRoman"/>
          <w:b/>
          <w:sz w:val="22"/>
          <w:szCs w:val="22"/>
          <w:lang w:val="sr-Latn-ME" w:eastAsia="sr-Latn-ME"/>
        </w:rPr>
        <w:t>Kardiološki poremećaji</w:t>
      </w:r>
    </w:p>
    <w:p w:rsidR="008A7413" w:rsidRPr="008E586D" w:rsidRDefault="008A7413" w:rsidP="00D04381">
      <w:pPr>
        <w:autoSpaceDE w:val="0"/>
        <w:autoSpaceDN w:val="0"/>
        <w:adjustRightInd w:val="0"/>
        <w:jc w:val="both"/>
        <w:rPr>
          <w:rFonts w:eastAsia="TimesNewRoman"/>
          <w:b/>
          <w:sz w:val="22"/>
          <w:szCs w:val="22"/>
          <w:lang w:val="sr-Latn-ME" w:eastAsia="sr-Latn-ME"/>
        </w:rPr>
      </w:pPr>
    </w:p>
    <w:p w:rsidR="00D04381" w:rsidRPr="008E586D" w:rsidRDefault="00D04381" w:rsidP="00D04381">
      <w:pPr>
        <w:autoSpaceDE w:val="0"/>
        <w:autoSpaceDN w:val="0"/>
        <w:adjustRightInd w:val="0"/>
        <w:jc w:val="both"/>
        <w:rPr>
          <w:rFonts w:eastAsia="TimesNewRoman"/>
          <w:sz w:val="22"/>
          <w:szCs w:val="22"/>
          <w:lang w:val="sr-Latn-ME" w:eastAsia="sr-Latn-ME"/>
        </w:rPr>
      </w:pPr>
      <w:r w:rsidRPr="008E586D">
        <w:rPr>
          <w:rFonts w:eastAsia="TimesNewRoman"/>
          <w:sz w:val="22"/>
          <w:szCs w:val="22"/>
          <w:lang w:val="sr-Latn-ME" w:eastAsia="sr-Latn-ME"/>
        </w:rPr>
        <w:t>Nakon terapije irinotekanom zabilježeni su događaji povezani sa ishemijom miokarda, predominantno kod pacijenata koji imaju kardiološka oboljenja, druge poznate faktore rizika za kardiološka oboljenja ili su prethodno primali citotoksičnu terapiju (vidjeti dio 4.8).</w:t>
      </w:r>
    </w:p>
    <w:p w:rsidR="008A7413" w:rsidRPr="008E586D" w:rsidRDefault="008A7413" w:rsidP="00D04381">
      <w:pPr>
        <w:autoSpaceDE w:val="0"/>
        <w:autoSpaceDN w:val="0"/>
        <w:adjustRightInd w:val="0"/>
        <w:jc w:val="both"/>
        <w:rPr>
          <w:rFonts w:eastAsia="TimesNewRoman"/>
          <w:sz w:val="22"/>
          <w:szCs w:val="22"/>
          <w:lang w:val="sr-Latn-ME" w:eastAsia="sr-Latn-ME"/>
        </w:rPr>
      </w:pPr>
    </w:p>
    <w:p w:rsidR="00D04381" w:rsidRPr="008E586D" w:rsidRDefault="00D04381" w:rsidP="00D04381">
      <w:pPr>
        <w:autoSpaceDE w:val="0"/>
        <w:autoSpaceDN w:val="0"/>
        <w:adjustRightInd w:val="0"/>
        <w:jc w:val="both"/>
        <w:rPr>
          <w:rFonts w:eastAsia="TimesNewRoman"/>
          <w:sz w:val="22"/>
          <w:szCs w:val="22"/>
          <w:lang w:val="sr-Latn-ME" w:eastAsia="sr-Latn-ME"/>
        </w:rPr>
      </w:pPr>
      <w:r w:rsidRPr="008E586D">
        <w:rPr>
          <w:rFonts w:eastAsia="TimesNewRoman"/>
          <w:sz w:val="22"/>
          <w:szCs w:val="22"/>
          <w:lang w:val="sr-Latn-ME" w:eastAsia="sr-Latn-ME"/>
        </w:rPr>
        <w:t>Iz tog razloga, pacijente sa poznatim faktorima rizika potrebno je intezivno pratiti i preduzeti mjere u cilju smanjivanja svih faktora rizika koji se mogu modifikovati (npr. pušenje, hipertenzija i hiperlipidemija).</w:t>
      </w:r>
    </w:p>
    <w:p w:rsidR="00D04381" w:rsidRPr="008E586D" w:rsidRDefault="00D04381" w:rsidP="00D04381">
      <w:pPr>
        <w:autoSpaceDE w:val="0"/>
        <w:autoSpaceDN w:val="0"/>
        <w:adjustRightInd w:val="0"/>
        <w:jc w:val="both"/>
        <w:rPr>
          <w:rFonts w:eastAsia="TimesNewRoman"/>
          <w:sz w:val="22"/>
          <w:szCs w:val="22"/>
          <w:lang w:val="sr-Latn-ME" w:eastAsia="sr-Latn-ME"/>
        </w:rPr>
      </w:pPr>
    </w:p>
    <w:p w:rsidR="00D04381" w:rsidRPr="008E586D" w:rsidRDefault="006017D2" w:rsidP="00D04381">
      <w:pPr>
        <w:autoSpaceDE w:val="0"/>
        <w:autoSpaceDN w:val="0"/>
        <w:adjustRightInd w:val="0"/>
        <w:jc w:val="both"/>
        <w:rPr>
          <w:rFonts w:eastAsia="TimesNewRoman"/>
          <w:b/>
          <w:sz w:val="22"/>
          <w:szCs w:val="22"/>
          <w:lang w:val="sr-Latn-ME" w:eastAsia="sr-Latn-ME"/>
        </w:rPr>
      </w:pPr>
      <w:r w:rsidRPr="008E586D">
        <w:rPr>
          <w:rFonts w:eastAsia="TimesNewRoman"/>
          <w:b/>
          <w:sz w:val="22"/>
          <w:szCs w:val="22"/>
          <w:lang w:val="sr-Latn-ME" w:eastAsia="sr-Latn-ME"/>
        </w:rPr>
        <w:t>Vaskularni poremećaji</w:t>
      </w:r>
    </w:p>
    <w:p w:rsidR="008A7413" w:rsidRPr="008E586D" w:rsidRDefault="008A7413" w:rsidP="00D04381">
      <w:pPr>
        <w:autoSpaceDE w:val="0"/>
        <w:autoSpaceDN w:val="0"/>
        <w:adjustRightInd w:val="0"/>
        <w:jc w:val="both"/>
        <w:rPr>
          <w:rFonts w:eastAsia="TimesNewRoman"/>
          <w:b/>
          <w:sz w:val="22"/>
          <w:szCs w:val="22"/>
          <w:lang w:val="sr-Latn-ME" w:eastAsia="sr-Latn-ME"/>
        </w:rPr>
      </w:pPr>
    </w:p>
    <w:p w:rsidR="00D04381" w:rsidRPr="008E586D" w:rsidRDefault="00D04381" w:rsidP="00D04381">
      <w:pPr>
        <w:autoSpaceDE w:val="0"/>
        <w:autoSpaceDN w:val="0"/>
        <w:adjustRightInd w:val="0"/>
        <w:jc w:val="both"/>
        <w:rPr>
          <w:rFonts w:eastAsia="TimesNewRoman"/>
          <w:sz w:val="22"/>
          <w:szCs w:val="22"/>
          <w:lang w:val="sr-Latn-ME" w:eastAsia="sr-Latn-ME"/>
        </w:rPr>
      </w:pPr>
      <w:r w:rsidRPr="008E586D">
        <w:rPr>
          <w:rFonts w:eastAsia="TimesNewRoman"/>
          <w:sz w:val="22"/>
          <w:szCs w:val="22"/>
          <w:lang w:val="sr-Latn-ME" w:eastAsia="sr-Latn-ME"/>
        </w:rPr>
        <w:t>Primjena irinotekana r</w:t>
      </w:r>
      <w:r w:rsidR="008A7413" w:rsidRPr="008E586D">
        <w:rPr>
          <w:rFonts w:eastAsia="TimesNewRoman"/>
          <w:sz w:val="22"/>
          <w:szCs w:val="22"/>
          <w:lang w:val="sr-Latn-ME" w:eastAsia="sr-Latn-ME"/>
        </w:rPr>
        <w:t>ij</w:t>
      </w:r>
      <w:r w:rsidRPr="008E586D">
        <w:rPr>
          <w:rFonts w:eastAsia="TimesNewRoman"/>
          <w:sz w:val="22"/>
          <w:szCs w:val="22"/>
          <w:lang w:val="sr-Latn-ME" w:eastAsia="sr-Latn-ME"/>
        </w:rPr>
        <w:t>etko može biti povezana sa tromboembolijskim događajima (plućna embolija,</w:t>
      </w:r>
    </w:p>
    <w:p w:rsidR="00D04381" w:rsidRPr="008E586D" w:rsidRDefault="00D04381" w:rsidP="00D04381">
      <w:pPr>
        <w:autoSpaceDE w:val="0"/>
        <w:autoSpaceDN w:val="0"/>
        <w:adjustRightInd w:val="0"/>
        <w:jc w:val="both"/>
        <w:rPr>
          <w:rFonts w:eastAsia="TimesNewRoman"/>
          <w:sz w:val="22"/>
          <w:szCs w:val="22"/>
          <w:lang w:val="sr-Latn-ME" w:eastAsia="sr-Latn-ME"/>
        </w:rPr>
      </w:pPr>
      <w:r w:rsidRPr="008E586D">
        <w:rPr>
          <w:rFonts w:eastAsia="TimesNewRoman"/>
          <w:sz w:val="22"/>
          <w:szCs w:val="22"/>
          <w:lang w:val="sr-Latn-ME" w:eastAsia="sr-Latn-ME"/>
        </w:rPr>
        <w:lastRenderedPageBreak/>
        <w:t>tromboza vena i tromboembolija arterija) kod pacijenata koji pored postojeće neoplazme imaju višestruke faktore rizika.</w:t>
      </w:r>
    </w:p>
    <w:p w:rsidR="00D04381" w:rsidRPr="008E586D" w:rsidRDefault="00D04381" w:rsidP="00D04381">
      <w:pPr>
        <w:autoSpaceDE w:val="0"/>
        <w:autoSpaceDN w:val="0"/>
        <w:adjustRightInd w:val="0"/>
        <w:jc w:val="both"/>
        <w:rPr>
          <w:rFonts w:eastAsia="TimesNewRoman"/>
          <w:sz w:val="22"/>
          <w:szCs w:val="22"/>
          <w:lang w:val="sr-Latn-ME" w:eastAsia="sr-Latn-ME"/>
        </w:rPr>
      </w:pPr>
    </w:p>
    <w:p w:rsidR="008A7413" w:rsidRPr="008E586D" w:rsidRDefault="00D04381" w:rsidP="00D04381">
      <w:pPr>
        <w:autoSpaceDE w:val="0"/>
        <w:autoSpaceDN w:val="0"/>
        <w:adjustRightInd w:val="0"/>
        <w:jc w:val="both"/>
        <w:rPr>
          <w:rFonts w:eastAsia="TimesNewRoman"/>
          <w:b/>
          <w:sz w:val="22"/>
          <w:szCs w:val="22"/>
          <w:lang w:val="sr-Latn-ME" w:eastAsia="sr-Latn-ME"/>
        </w:rPr>
      </w:pPr>
      <w:r w:rsidRPr="008E586D">
        <w:rPr>
          <w:rFonts w:eastAsia="TimesNewRoman"/>
          <w:b/>
          <w:sz w:val="22"/>
          <w:szCs w:val="22"/>
          <w:lang w:val="sr-Latn-ME" w:eastAsia="sr-Latn-ME"/>
        </w:rPr>
        <w:t>Ostalo</w:t>
      </w:r>
    </w:p>
    <w:p w:rsidR="008A7413" w:rsidRPr="008E586D" w:rsidRDefault="008A7413" w:rsidP="00320C4D">
      <w:pPr>
        <w:autoSpaceDE w:val="0"/>
        <w:autoSpaceDN w:val="0"/>
        <w:adjustRightInd w:val="0"/>
        <w:jc w:val="both"/>
        <w:rPr>
          <w:rFonts w:eastAsia="TimesNewRoman"/>
          <w:b/>
          <w:sz w:val="22"/>
          <w:szCs w:val="22"/>
          <w:lang w:val="sr-Latn-ME" w:eastAsia="sr-Latn-ME"/>
        </w:rPr>
      </w:pPr>
    </w:p>
    <w:p w:rsidR="00D04381" w:rsidRPr="008E586D" w:rsidRDefault="00D04381" w:rsidP="00320C4D">
      <w:pPr>
        <w:autoSpaceDE w:val="0"/>
        <w:autoSpaceDN w:val="0"/>
        <w:adjustRightInd w:val="0"/>
        <w:jc w:val="both"/>
        <w:rPr>
          <w:rFonts w:eastAsia="TimesNewRoman"/>
          <w:sz w:val="22"/>
          <w:szCs w:val="22"/>
          <w:lang w:val="sr-Latn-ME" w:eastAsia="sr-Latn-ME"/>
        </w:rPr>
      </w:pPr>
      <w:r w:rsidRPr="008E586D">
        <w:rPr>
          <w:rFonts w:eastAsia="TimesNewRoman"/>
          <w:sz w:val="22"/>
          <w:szCs w:val="22"/>
          <w:lang w:val="sr-Latn-ME" w:eastAsia="sr-Latn-ME"/>
        </w:rPr>
        <w:t>Rijetki slučajevi bubrežne insuficijencije, hipotenzije ili cirkulatornog šoka zapaženi su kod pacijenata koji su imali epizode dehidratacije izazvane dijarejom i/ili povraćanjem, ili sepsu.</w:t>
      </w:r>
    </w:p>
    <w:p w:rsidR="00D47FE8" w:rsidRPr="008E586D" w:rsidRDefault="00D47FE8" w:rsidP="00320C4D">
      <w:pPr>
        <w:autoSpaceDE w:val="0"/>
        <w:autoSpaceDN w:val="0"/>
        <w:adjustRightInd w:val="0"/>
        <w:jc w:val="both"/>
        <w:rPr>
          <w:rFonts w:eastAsia="TimesNewRoman"/>
          <w:sz w:val="22"/>
          <w:szCs w:val="22"/>
          <w:lang w:val="sr-Latn-ME" w:eastAsia="sr-Latn-ME"/>
        </w:rPr>
      </w:pPr>
      <w:r w:rsidRPr="008E586D">
        <w:rPr>
          <w:rFonts w:eastAsia="TimesNewRoman"/>
          <w:sz w:val="22"/>
          <w:szCs w:val="22"/>
          <w:lang w:val="sr-Latn-ME" w:eastAsia="sr-Latn-ME"/>
        </w:rPr>
        <w:t>Istovremena primjena irinotekana sa jakim inhibitorom (npr. ketokonazolom) ili induktorom (npr. rifampicin, karbamazepin, fenobarbital, fenitoin, apalutamid) CYP3A4 može da promijeni metabolizam irinotekana i treba je izbjegavati (vidjeti dio 4.5).</w:t>
      </w:r>
    </w:p>
    <w:p w:rsidR="00D47FE8" w:rsidRPr="008E586D" w:rsidRDefault="00D47FE8" w:rsidP="00320C4D">
      <w:pPr>
        <w:autoSpaceDE w:val="0"/>
        <w:autoSpaceDN w:val="0"/>
        <w:adjustRightInd w:val="0"/>
        <w:jc w:val="both"/>
        <w:rPr>
          <w:rFonts w:eastAsia="TimesNewRoman"/>
          <w:sz w:val="22"/>
          <w:szCs w:val="22"/>
          <w:lang w:val="sr-Latn-ME" w:eastAsia="sr-Latn-ME"/>
        </w:rPr>
      </w:pPr>
    </w:p>
    <w:p w:rsidR="00D47FE8" w:rsidRPr="008E586D" w:rsidRDefault="00D47FE8" w:rsidP="00320C4D">
      <w:pPr>
        <w:tabs>
          <w:tab w:val="left" w:pos="540"/>
          <w:tab w:val="left" w:pos="569"/>
        </w:tabs>
        <w:jc w:val="both"/>
        <w:rPr>
          <w:bCs/>
          <w:sz w:val="22"/>
          <w:szCs w:val="22"/>
          <w:lang w:val="sr-Latn-ME"/>
        </w:rPr>
      </w:pPr>
      <w:r w:rsidRPr="008E586D">
        <w:rPr>
          <w:bCs/>
          <w:sz w:val="22"/>
          <w:szCs w:val="22"/>
          <w:lang w:val="sr-Latn-ME"/>
        </w:rPr>
        <w:t>Kontracepcija kod žena u reproduktivnom periodu/muškaraca:</w:t>
      </w:r>
    </w:p>
    <w:p w:rsidR="00D47FE8" w:rsidRPr="008E586D" w:rsidRDefault="00D47FE8" w:rsidP="00320C4D">
      <w:pPr>
        <w:tabs>
          <w:tab w:val="left" w:pos="540"/>
          <w:tab w:val="left" w:pos="569"/>
        </w:tabs>
        <w:jc w:val="both"/>
        <w:rPr>
          <w:bCs/>
          <w:sz w:val="22"/>
          <w:szCs w:val="22"/>
          <w:lang w:val="sr-Latn-ME"/>
        </w:rPr>
      </w:pPr>
    </w:p>
    <w:p w:rsidR="00D47FE8" w:rsidRPr="008E586D" w:rsidRDefault="00D47FE8" w:rsidP="00320C4D">
      <w:pPr>
        <w:tabs>
          <w:tab w:val="left" w:pos="540"/>
          <w:tab w:val="left" w:pos="569"/>
        </w:tabs>
        <w:jc w:val="both"/>
        <w:rPr>
          <w:bCs/>
          <w:sz w:val="22"/>
          <w:szCs w:val="22"/>
          <w:lang w:val="sr-Latn-ME"/>
        </w:rPr>
      </w:pPr>
      <w:r w:rsidRPr="008E586D">
        <w:rPr>
          <w:bCs/>
          <w:sz w:val="22"/>
          <w:szCs w:val="22"/>
          <w:lang w:val="sr-Latn-ME"/>
        </w:rPr>
        <w:t xml:space="preserve">Zbog moguće genotoksičnosti, treba savjetovati pacijentkinje sa reproduktivnim potencijalom da koriste visokoefikasnu kontracepciju tokom liječenja i 6 mjeseci nakon </w:t>
      </w:r>
      <w:r w:rsidR="00873E8A" w:rsidRPr="008E586D">
        <w:rPr>
          <w:bCs/>
          <w:sz w:val="22"/>
          <w:szCs w:val="22"/>
          <w:lang w:val="sr-Latn-ME"/>
        </w:rPr>
        <w:t>poslje</w:t>
      </w:r>
      <w:r w:rsidRPr="008E586D">
        <w:rPr>
          <w:bCs/>
          <w:sz w:val="22"/>
          <w:szCs w:val="22"/>
          <w:lang w:val="sr-Latn-ME"/>
        </w:rPr>
        <w:t>dnje doze irinotekana.</w:t>
      </w:r>
    </w:p>
    <w:p w:rsidR="00D47FE8" w:rsidRPr="008E586D" w:rsidRDefault="00D47FE8" w:rsidP="00320C4D">
      <w:pPr>
        <w:tabs>
          <w:tab w:val="left" w:pos="540"/>
          <w:tab w:val="left" w:pos="569"/>
        </w:tabs>
        <w:jc w:val="both"/>
        <w:rPr>
          <w:bCs/>
          <w:sz w:val="22"/>
          <w:szCs w:val="22"/>
          <w:lang w:val="sr-Latn-ME"/>
        </w:rPr>
      </w:pPr>
    </w:p>
    <w:p w:rsidR="00D47FE8" w:rsidRPr="008E586D" w:rsidRDefault="00D47FE8" w:rsidP="00320C4D">
      <w:pPr>
        <w:tabs>
          <w:tab w:val="left" w:pos="540"/>
          <w:tab w:val="left" w:pos="569"/>
        </w:tabs>
        <w:jc w:val="both"/>
        <w:rPr>
          <w:bCs/>
          <w:sz w:val="22"/>
          <w:szCs w:val="22"/>
          <w:lang w:val="sr-Latn-ME"/>
        </w:rPr>
      </w:pPr>
      <w:r w:rsidRPr="008E586D">
        <w:rPr>
          <w:bCs/>
          <w:sz w:val="22"/>
          <w:szCs w:val="22"/>
          <w:lang w:val="sr-Latn-ME"/>
        </w:rPr>
        <w:t xml:space="preserve">Zbog potencijalne genotoksičnosti, treba savjetovati muške pacijente sa </w:t>
      </w:r>
      <w:r w:rsidR="00E026C6" w:rsidRPr="008E586D">
        <w:rPr>
          <w:bCs/>
          <w:sz w:val="22"/>
          <w:szCs w:val="22"/>
          <w:lang w:val="sr-Latn-ME"/>
        </w:rPr>
        <w:t xml:space="preserve">partnerkama u reproduktivnom periodu </w:t>
      </w:r>
      <w:r w:rsidRPr="008E586D">
        <w:rPr>
          <w:bCs/>
          <w:sz w:val="22"/>
          <w:szCs w:val="22"/>
          <w:lang w:val="sr-Latn-ME"/>
        </w:rPr>
        <w:t>da koriste efikasnu kontracepciju tokom l</w:t>
      </w:r>
      <w:r w:rsidR="00E026C6" w:rsidRPr="008E586D">
        <w:rPr>
          <w:bCs/>
          <w:sz w:val="22"/>
          <w:szCs w:val="22"/>
          <w:lang w:val="sr-Latn-ME"/>
        </w:rPr>
        <w:t>ij</w:t>
      </w:r>
      <w:r w:rsidRPr="008E586D">
        <w:rPr>
          <w:bCs/>
          <w:sz w:val="22"/>
          <w:szCs w:val="22"/>
          <w:lang w:val="sr-Latn-ME"/>
        </w:rPr>
        <w:t>ečenja i 3 m</w:t>
      </w:r>
      <w:r w:rsidR="00E026C6" w:rsidRPr="008E586D">
        <w:rPr>
          <w:bCs/>
          <w:sz w:val="22"/>
          <w:szCs w:val="22"/>
          <w:lang w:val="sr-Latn-ME"/>
        </w:rPr>
        <w:t>j</w:t>
      </w:r>
      <w:r w:rsidRPr="008E586D">
        <w:rPr>
          <w:bCs/>
          <w:sz w:val="22"/>
          <w:szCs w:val="22"/>
          <w:lang w:val="sr-Latn-ME"/>
        </w:rPr>
        <w:t xml:space="preserve">eseca nakon </w:t>
      </w:r>
      <w:r w:rsidR="00873E8A" w:rsidRPr="008E586D">
        <w:rPr>
          <w:bCs/>
          <w:sz w:val="22"/>
          <w:szCs w:val="22"/>
          <w:lang w:val="sr-Latn-ME"/>
        </w:rPr>
        <w:t>poslje</w:t>
      </w:r>
      <w:r w:rsidRPr="008E586D">
        <w:rPr>
          <w:bCs/>
          <w:sz w:val="22"/>
          <w:szCs w:val="22"/>
          <w:lang w:val="sr-Latn-ME"/>
        </w:rPr>
        <w:t>dnje doze irinotekana (</w:t>
      </w:r>
      <w:r w:rsidR="00E026C6" w:rsidRPr="008E586D">
        <w:rPr>
          <w:bCs/>
          <w:sz w:val="22"/>
          <w:szCs w:val="22"/>
          <w:lang w:val="sr-Latn-ME"/>
        </w:rPr>
        <w:t xml:space="preserve">vidjeti dio </w:t>
      </w:r>
      <w:r w:rsidRPr="008E586D">
        <w:rPr>
          <w:bCs/>
          <w:sz w:val="22"/>
          <w:szCs w:val="22"/>
          <w:lang w:val="sr-Latn-ME"/>
        </w:rPr>
        <w:t>4.6).</w:t>
      </w:r>
    </w:p>
    <w:p w:rsidR="00E026C6" w:rsidRPr="008E586D" w:rsidRDefault="00E026C6" w:rsidP="00320C4D">
      <w:pPr>
        <w:tabs>
          <w:tab w:val="left" w:pos="540"/>
          <w:tab w:val="left" w:pos="569"/>
        </w:tabs>
        <w:jc w:val="both"/>
        <w:rPr>
          <w:bCs/>
          <w:sz w:val="22"/>
          <w:szCs w:val="22"/>
          <w:lang w:val="sr-Latn-ME"/>
        </w:rPr>
      </w:pPr>
    </w:p>
    <w:p w:rsidR="00D47FE8" w:rsidRPr="008E586D" w:rsidRDefault="00D47FE8" w:rsidP="00320C4D">
      <w:pPr>
        <w:tabs>
          <w:tab w:val="left" w:pos="540"/>
          <w:tab w:val="left" w:pos="569"/>
        </w:tabs>
        <w:jc w:val="both"/>
        <w:rPr>
          <w:bCs/>
          <w:sz w:val="22"/>
          <w:szCs w:val="22"/>
          <w:lang w:val="sr-Latn-ME"/>
        </w:rPr>
      </w:pPr>
      <w:r w:rsidRPr="008E586D">
        <w:rPr>
          <w:bCs/>
          <w:sz w:val="22"/>
          <w:szCs w:val="22"/>
          <w:lang w:val="sr-Latn-ME"/>
        </w:rPr>
        <w:t>Dojenje</w:t>
      </w:r>
    </w:p>
    <w:p w:rsidR="00D47FE8" w:rsidRPr="008E586D" w:rsidRDefault="00D47FE8" w:rsidP="00320C4D">
      <w:pPr>
        <w:tabs>
          <w:tab w:val="left" w:pos="540"/>
          <w:tab w:val="left" w:pos="569"/>
        </w:tabs>
        <w:jc w:val="both"/>
        <w:rPr>
          <w:bCs/>
          <w:sz w:val="22"/>
          <w:szCs w:val="22"/>
          <w:lang w:val="sr-Latn-ME"/>
        </w:rPr>
      </w:pPr>
      <w:r w:rsidRPr="008E586D">
        <w:rPr>
          <w:bCs/>
          <w:sz w:val="22"/>
          <w:szCs w:val="22"/>
          <w:lang w:val="sr-Latn-ME"/>
        </w:rPr>
        <w:t xml:space="preserve">Zbog potencijalnih neželjenih reakcija kod dojenčadi, dojenje treba prekinuti dok traje terapija </w:t>
      </w:r>
      <w:r w:rsidR="00E026C6" w:rsidRPr="008E586D">
        <w:rPr>
          <w:bCs/>
          <w:sz w:val="22"/>
          <w:szCs w:val="22"/>
          <w:lang w:val="sr-Latn-ME"/>
        </w:rPr>
        <w:t>lijekom Irinotecan Accord</w:t>
      </w:r>
      <w:r w:rsidRPr="008E586D">
        <w:rPr>
          <w:bCs/>
          <w:sz w:val="22"/>
          <w:szCs w:val="22"/>
          <w:lang w:val="sr-Latn-ME"/>
        </w:rPr>
        <w:t>(vid</w:t>
      </w:r>
      <w:r w:rsidR="00E026C6" w:rsidRPr="008E586D">
        <w:rPr>
          <w:bCs/>
          <w:sz w:val="22"/>
          <w:szCs w:val="22"/>
          <w:lang w:val="sr-Latn-ME"/>
        </w:rPr>
        <w:t xml:space="preserve">jeti djelove </w:t>
      </w:r>
      <w:r w:rsidRPr="008E586D">
        <w:rPr>
          <w:bCs/>
          <w:sz w:val="22"/>
          <w:szCs w:val="22"/>
          <w:lang w:val="sr-Latn-ME"/>
        </w:rPr>
        <w:t>4.3 i 4.6).</w:t>
      </w:r>
    </w:p>
    <w:p w:rsidR="00E026C6" w:rsidRPr="008E586D" w:rsidRDefault="00E026C6" w:rsidP="00320C4D">
      <w:pPr>
        <w:tabs>
          <w:tab w:val="left" w:pos="540"/>
          <w:tab w:val="left" w:pos="569"/>
        </w:tabs>
        <w:jc w:val="both"/>
        <w:rPr>
          <w:bCs/>
          <w:sz w:val="22"/>
          <w:szCs w:val="22"/>
          <w:lang w:val="sr-Latn-ME"/>
        </w:rPr>
      </w:pPr>
    </w:p>
    <w:p w:rsidR="00D47FE8" w:rsidRPr="008E586D" w:rsidRDefault="00D47FE8" w:rsidP="00320C4D">
      <w:pPr>
        <w:tabs>
          <w:tab w:val="left" w:pos="540"/>
          <w:tab w:val="left" w:pos="569"/>
        </w:tabs>
        <w:jc w:val="both"/>
        <w:rPr>
          <w:bCs/>
          <w:sz w:val="22"/>
          <w:szCs w:val="22"/>
          <w:lang w:val="sr-Latn-ME"/>
        </w:rPr>
      </w:pPr>
      <w:r w:rsidRPr="008E586D">
        <w:rPr>
          <w:bCs/>
          <w:sz w:val="22"/>
          <w:szCs w:val="22"/>
          <w:lang w:val="sr-Latn-ME"/>
        </w:rPr>
        <w:t>Ovaj l</w:t>
      </w:r>
      <w:r w:rsidR="00E026C6" w:rsidRPr="008E586D">
        <w:rPr>
          <w:bCs/>
          <w:sz w:val="22"/>
          <w:szCs w:val="22"/>
          <w:lang w:val="sr-Latn-ME"/>
        </w:rPr>
        <w:t>ij</w:t>
      </w:r>
      <w:r w:rsidRPr="008E586D">
        <w:rPr>
          <w:bCs/>
          <w:sz w:val="22"/>
          <w:szCs w:val="22"/>
          <w:lang w:val="sr-Latn-ME"/>
        </w:rPr>
        <w:t>ek sadrži sorbitol (</w:t>
      </w:r>
      <w:r w:rsidR="00E026C6" w:rsidRPr="008E586D">
        <w:rPr>
          <w:bCs/>
          <w:sz w:val="22"/>
          <w:szCs w:val="22"/>
          <w:lang w:val="sr-Latn-ME"/>
        </w:rPr>
        <w:t xml:space="preserve">vidjeti dio </w:t>
      </w:r>
      <w:r w:rsidRPr="008E586D">
        <w:rPr>
          <w:bCs/>
          <w:sz w:val="22"/>
          <w:szCs w:val="22"/>
          <w:lang w:val="sr-Latn-ME"/>
        </w:rPr>
        <w:t>2). Sorbitol je izvor fruktoze. Pacijentima sa nasl</w:t>
      </w:r>
      <w:r w:rsidR="00E026C6" w:rsidRPr="008E586D">
        <w:rPr>
          <w:bCs/>
          <w:sz w:val="22"/>
          <w:szCs w:val="22"/>
          <w:lang w:val="sr-Latn-ME"/>
        </w:rPr>
        <w:t>j</w:t>
      </w:r>
      <w:r w:rsidRPr="008E586D">
        <w:rPr>
          <w:bCs/>
          <w:sz w:val="22"/>
          <w:szCs w:val="22"/>
          <w:lang w:val="sr-Latn-ME"/>
        </w:rPr>
        <w:t>ednom intolerancijom na fruktozu (HFI) se ne sm</w:t>
      </w:r>
      <w:r w:rsidR="00E026C6" w:rsidRPr="008E586D">
        <w:rPr>
          <w:bCs/>
          <w:sz w:val="22"/>
          <w:szCs w:val="22"/>
          <w:lang w:val="sr-Latn-ME"/>
        </w:rPr>
        <w:t>ij</w:t>
      </w:r>
      <w:r w:rsidRPr="008E586D">
        <w:rPr>
          <w:bCs/>
          <w:sz w:val="22"/>
          <w:szCs w:val="22"/>
          <w:lang w:val="sr-Latn-ME"/>
        </w:rPr>
        <w:t>e davati ovaj l</w:t>
      </w:r>
      <w:r w:rsidR="00E026C6" w:rsidRPr="008E586D">
        <w:rPr>
          <w:bCs/>
          <w:sz w:val="22"/>
          <w:szCs w:val="22"/>
          <w:lang w:val="sr-Latn-ME"/>
        </w:rPr>
        <w:t>ij</w:t>
      </w:r>
      <w:r w:rsidRPr="008E586D">
        <w:rPr>
          <w:bCs/>
          <w:sz w:val="22"/>
          <w:szCs w:val="22"/>
          <w:lang w:val="sr-Latn-ME"/>
        </w:rPr>
        <w:t>ek osim ako je to strogo neophodno.</w:t>
      </w:r>
    </w:p>
    <w:p w:rsidR="00E026C6" w:rsidRPr="008E586D" w:rsidRDefault="00E026C6" w:rsidP="00320C4D">
      <w:pPr>
        <w:tabs>
          <w:tab w:val="left" w:pos="540"/>
          <w:tab w:val="left" w:pos="569"/>
        </w:tabs>
        <w:jc w:val="both"/>
        <w:rPr>
          <w:bCs/>
          <w:sz w:val="22"/>
          <w:szCs w:val="22"/>
          <w:lang w:val="sr-Latn-ME"/>
        </w:rPr>
      </w:pPr>
    </w:p>
    <w:p w:rsidR="00D47FE8" w:rsidRPr="008E586D" w:rsidRDefault="00D47FE8" w:rsidP="00320C4D">
      <w:pPr>
        <w:tabs>
          <w:tab w:val="left" w:pos="540"/>
          <w:tab w:val="left" w:pos="569"/>
        </w:tabs>
        <w:jc w:val="both"/>
        <w:rPr>
          <w:bCs/>
          <w:sz w:val="22"/>
          <w:szCs w:val="22"/>
          <w:lang w:val="sr-Latn-ME"/>
        </w:rPr>
      </w:pPr>
      <w:r w:rsidRPr="008E586D">
        <w:rPr>
          <w:bCs/>
          <w:sz w:val="22"/>
          <w:szCs w:val="22"/>
          <w:lang w:val="sr-Latn-ME"/>
        </w:rPr>
        <w:t>Bebama i maloj d</w:t>
      </w:r>
      <w:r w:rsidR="00E026C6" w:rsidRPr="008E586D">
        <w:rPr>
          <w:bCs/>
          <w:sz w:val="22"/>
          <w:szCs w:val="22"/>
          <w:lang w:val="sr-Latn-ME"/>
        </w:rPr>
        <w:t>j</w:t>
      </w:r>
      <w:r w:rsidRPr="008E586D">
        <w:rPr>
          <w:bCs/>
          <w:sz w:val="22"/>
          <w:szCs w:val="22"/>
          <w:lang w:val="sr-Latn-ME"/>
        </w:rPr>
        <w:t>eci (ispod 2 godine) možda još uv</w:t>
      </w:r>
      <w:r w:rsidR="00E026C6" w:rsidRPr="008E586D">
        <w:rPr>
          <w:bCs/>
          <w:sz w:val="22"/>
          <w:szCs w:val="22"/>
          <w:lang w:val="sr-Latn-ME"/>
        </w:rPr>
        <w:t>ij</w:t>
      </w:r>
      <w:r w:rsidRPr="008E586D">
        <w:rPr>
          <w:bCs/>
          <w:sz w:val="22"/>
          <w:szCs w:val="22"/>
          <w:lang w:val="sr-Latn-ME"/>
        </w:rPr>
        <w:t>ek nije dijagnostikovan</w:t>
      </w:r>
      <w:r w:rsidR="00E026C6" w:rsidRPr="008E586D">
        <w:rPr>
          <w:bCs/>
          <w:sz w:val="22"/>
          <w:szCs w:val="22"/>
          <w:lang w:val="sr-Latn-ME"/>
        </w:rPr>
        <w:t>a</w:t>
      </w:r>
      <w:r w:rsidRPr="008E586D">
        <w:rPr>
          <w:bCs/>
          <w:sz w:val="22"/>
          <w:szCs w:val="22"/>
          <w:lang w:val="sr-Latn-ME"/>
        </w:rPr>
        <w:t xml:space="preserve"> HFI. L</w:t>
      </w:r>
      <w:r w:rsidR="00E026C6" w:rsidRPr="008E586D">
        <w:rPr>
          <w:bCs/>
          <w:sz w:val="22"/>
          <w:szCs w:val="22"/>
          <w:lang w:val="sr-Latn-ME"/>
        </w:rPr>
        <w:t>j</w:t>
      </w:r>
      <w:r w:rsidRPr="008E586D">
        <w:rPr>
          <w:bCs/>
          <w:sz w:val="22"/>
          <w:szCs w:val="22"/>
          <w:lang w:val="sr-Latn-ME"/>
        </w:rPr>
        <w:t>ekovi (koji sadrže fruktozu) koji se daju intravenozno mogu imati po život opasne efekte kod osoba sa HFI i ne bi ih trebalo prim</w:t>
      </w:r>
      <w:r w:rsidR="00E026C6" w:rsidRPr="008E586D">
        <w:rPr>
          <w:bCs/>
          <w:sz w:val="22"/>
          <w:szCs w:val="22"/>
          <w:lang w:val="sr-Latn-ME"/>
        </w:rPr>
        <w:t>j</w:t>
      </w:r>
      <w:r w:rsidRPr="008E586D">
        <w:rPr>
          <w:bCs/>
          <w:sz w:val="22"/>
          <w:szCs w:val="22"/>
          <w:lang w:val="sr-Latn-ME"/>
        </w:rPr>
        <w:t>enjivati u ovoj pop</w:t>
      </w:r>
      <w:r w:rsidR="00E026C6" w:rsidRPr="008E586D">
        <w:rPr>
          <w:bCs/>
          <w:sz w:val="22"/>
          <w:szCs w:val="22"/>
          <w:lang w:val="sr-Latn-ME"/>
        </w:rPr>
        <w:t>ulaciji osim ako postoji neizbježna</w:t>
      </w:r>
      <w:r w:rsidRPr="008E586D">
        <w:rPr>
          <w:bCs/>
          <w:sz w:val="22"/>
          <w:szCs w:val="22"/>
          <w:lang w:val="sr-Latn-ME"/>
        </w:rPr>
        <w:t xml:space="preserve"> klinička potreba i ne postoje alternative.</w:t>
      </w:r>
    </w:p>
    <w:p w:rsidR="00E026C6" w:rsidRPr="008E586D" w:rsidRDefault="00E026C6" w:rsidP="00320C4D">
      <w:pPr>
        <w:tabs>
          <w:tab w:val="left" w:pos="540"/>
          <w:tab w:val="left" w:pos="569"/>
        </w:tabs>
        <w:jc w:val="both"/>
        <w:rPr>
          <w:bCs/>
          <w:sz w:val="22"/>
          <w:szCs w:val="22"/>
          <w:lang w:val="sr-Latn-ME"/>
        </w:rPr>
      </w:pPr>
    </w:p>
    <w:p w:rsidR="00D47FE8" w:rsidRPr="008E586D" w:rsidRDefault="00D47FE8" w:rsidP="00320C4D">
      <w:pPr>
        <w:tabs>
          <w:tab w:val="left" w:pos="540"/>
          <w:tab w:val="left" w:pos="569"/>
        </w:tabs>
        <w:jc w:val="both"/>
        <w:rPr>
          <w:bCs/>
          <w:sz w:val="22"/>
          <w:szCs w:val="22"/>
          <w:lang w:val="sr-Latn-ME"/>
        </w:rPr>
      </w:pPr>
      <w:r w:rsidRPr="008E586D">
        <w:rPr>
          <w:bCs/>
          <w:sz w:val="22"/>
          <w:szCs w:val="22"/>
          <w:lang w:val="sr-Latn-ME"/>
        </w:rPr>
        <w:t>Detaljna anamneza u vezi sa simptomima HFI mora se uzeti od svakog pacijenta pr</w:t>
      </w:r>
      <w:r w:rsidR="00E026C6" w:rsidRPr="008E586D">
        <w:rPr>
          <w:bCs/>
          <w:sz w:val="22"/>
          <w:szCs w:val="22"/>
          <w:lang w:val="sr-Latn-ME"/>
        </w:rPr>
        <w:t>ij</w:t>
      </w:r>
      <w:r w:rsidRPr="008E586D">
        <w:rPr>
          <w:bCs/>
          <w:sz w:val="22"/>
          <w:szCs w:val="22"/>
          <w:lang w:val="sr-Latn-ME"/>
        </w:rPr>
        <w:t>e nego što mu se da ovaj l</w:t>
      </w:r>
      <w:r w:rsidR="00E026C6" w:rsidRPr="008E586D">
        <w:rPr>
          <w:bCs/>
          <w:sz w:val="22"/>
          <w:szCs w:val="22"/>
          <w:lang w:val="sr-Latn-ME"/>
        </w:rPr>
        <w:t>ij</w:t>
      </w:r>
      <w:r w:rsidRPr="008E586D">
        <w:rPr>
          <w:bCs/>
          <w:sz w:val="22"/>
          <w:szCs w:val="22"/>
          <w:lang w:val="sr-Latn-ME"/>
        </w:rPr>
        <w:t>ek.</w:t>
      </w:r>
    </w:p>
    <w:p w:rsidR="00E026C6" w:rsidRPr="008E586D" w:rsidRDefault="00E026C6" w:rsidP="00320C4D">
      <w:pPr>
        <w:tabs>
          <w:tab w:val="left" w:pos="540"/>
          <w:tab w:val="left" w:pos="569"/>
        </w:tabs>
        <w:jc w:val="both"/>
        <w:rPr>
          <w:bCs/>
          <w:sz w:val="22"/>
          <w:szCs w:val="22"/>
          <w:lang w:val="sr-Latn-ME"/>
        </w:rPr>
      </w:pPr>
    </w:p>
    <w:p w:rsidR="00D04381" w:rsidRPr="008E586D" w:rsidRDefault="00D47FE8" w:rsidP="00320C4D">
      <w:pPr>
        <w:tabs>
          <w:tab w:val="left" w:pos="540"/>
          <w:tab w:val="left" w:pos="569"/>
        </w:tabs>
        <w:jc w:val="both"/>
        <w:rPr>
          <w:bCs/>
          <w:sz w:val="22"/>
          <w:szCs w:val="22"/>
          <w:lang w:val="sr-Latn-ME"/>
        </w:rPr>
      </w:pPr>
      <w:r w:rsidRPr="008E586D">
        <w:rPr>
          <w:bCs/>
          <w:sz w:val="22"/>
          <w:szCs w:val="22"/>
          <w:lang w:val="sr-Latn-ME"/>
        </w:rPr>
        <w:t>Ovaj l</w:t>
      </w:r>
      <w:r w:rsidR="004F25FF" w:rsidRPr="008E586D">
        <w:rPr>
          <w:bCs/>
          <w:sz w:val="22"/>
          <w:szCs w:val="22"/>
          <w:lang w:val="sr-Latn-ME"/>
        </w:rPr>
        <w:t>ij</w:t>
      </w:r>
      <w:r w:rsidRPr="008E586D">
        <w:rPr>
          <w:bCs/>
          <w:sz w:val="22"/>
          <w:szCs w:val="22"/>
          <w:lang w:val="sr-Latn-ME"/>
        </w:rPr>
        <w:t>ek sadrži manje od 1 mmol (23 mg) natrijuma po bočici, što znači da je u suštini „bez natrijuma“.</w:t>
      </w:r>
    </w:p>
    <w:p w:rsidR="00E026C6" w:rsidRPr="008E586D" w:rsidRDefault="00E026C6" w:rsidP="00320C4D">
      <w:pPr>
        <w:tabs>
          <w:tab w:val="left" w:pos="540"/>
          <w:tab w:val="left" w:pos="569"/>
        </w:tabs>
        <w:jc w:val="both"/>
        <w:rPr>
          <w:bCs/>
          <w:sz w:val="22"/>
          <w:szCs w:val="22"/>
          <w:lang w:val="sr-Latn-ME"/>
        </w:rPr>
      </w:pPr>
    </w:p>
    <w:p w:rsidR="00411B4B" w:rsidRPr="008E586D" w:rsidRDefault="00411B4B" w:rsidP="00480FB1">
      <w:pPr>
        <w:tabs>
          <w:tab w:val="left" w:pos="540"/>
          <w:tab w:val="left" w:pos="569"/>
        </w:tabs>
        <w:rPr>
          <w:b/>
          <w:bCs/>
          <w:sz w:val="22"/>
          <w:szCs w:val="22"/>
          <w:lang w:val="sr-Latn-ME"/>
        </w:rPr>
      </w:pPr>
      <w:r w:rsidRPr="008E586D">
        <w:rPr>
          <w:b/>
          <w:bCs/>
          <w:sz w:val="22"/>
          <w:szCs w:val="22"/>
          <w:lang w:val="sr-Latn-ME"/>
        </w:rPr>
        <w:t>4.5.</w:t>
      </w:r>
      <w:r w:rsidR="000D60CC" w:rsidRPr="008E586D">
        <w:rPr>
          <w:b/>
          <w:bCs/>
          <w:sz w:val="22"/>
          <w:szCs w:val="22"/>
          <w:lang w:val="sr-Latn-ME"/>
        </w:rPr>
        <w:tab/>
      </w:r>
      <w:r w:rsidRPr="008E586D">
        <w:rPr>
          <w:b/>
          <w:bCs/>
          <w:sz w:val="22"/>
          <w:szCs w:val="22"/>
          <w:lang w:val="sr-Latn-ME"/>
        </w:rPr>
        <w:t>Interakcije sa drugim ljekovima i druge vrste interakcija</w:t>
      </w:r>
    </w:p>
    <w:p w:rsidR="00320C4D" w:rsidRPr="008E586D" w:rsidRDefault="00320C4D" w:rsidP="00480FB1">
      <w:pPr>
        <w:tabs>
          <w:tab w:val="left" w:pos="540"/>
          <w:tab w:val="left" w:pos="569"/>
        </w:tabs>
        <w:rPr>
          <w:b/>
          <w:bCs/>
          <w:sz w:val="22"/>
          <w:szCs w:val="22"/>
          <w:lang w:val="sr-Latn-ME"/>
        </w:rPr>
      </w:pPr>
    </w:p>
    <w:p w:rsidR="00320C4D" w:rsidRPr="008E586D" w:rsidRDefault="00320C4D" w:rsidP="00480FB1">
      <w:pPr>
        <w:tabs>
          <w:tab w:val="left" w:pos="540"/>
          <w:tab w:val="left" w:pos="569"/>
        </w:tabs>
        <w:rPr>
          <w:bCs/>
          <w:sz w:val="22"/>
          <w:szCs w:val="22"/>
          <w:lang w:val="sr-Latn-ME"/>
        </w:rPr>
      </w:pPr>
      <w:r w:rsidRPr="008E586D">
        <w:rPr>
          <w:bCs/>
          <w:i/>
          <w:sz w:val="22"/>
          <w:szCs w:val="22"/>
          <w:u w:val="single"/>
          <w:lang w:val="sr-Latn-ME"/>
        </w:rPr>
        <w:t>Kontraindikovana istovremena upotreba (vidjeti dio 4.3</w:t>
      </w:r>
      <w:r w:rsidRPr="008E586D">
        <w:rPr>
          <w:bCs/>
          <w:sz w:val="22"/>
          <w:szCs w:val="22"/>
          <w:lang w:val="sr-Latn-ME"/>
        </w:rPr>
        <w:t xml:space="preserve">) </w:t>
      </w:r>
    </w:p>
    <w:p w:rsidR="00320C4D" w:rsidRPr="008E586D" w:rsidRDefault="00320C4D" w:rsidP="00480FB1">
      <w:pPr>
        <w:tabs>
          <w:tab w:val="left" w:pos="540"/>
          <w:tab w:val="left" w:pos="569"/>
        </w:tabs>
        <w:rPr>
          <w:bCs/>
          <w:sz w:val="22"/>
          <w:szCs w:val="22"/>
          <w:lang w:val="sr-Latn-ME"/>
        </w:rPr>
      </w:pPr>
    </w:p>
    <w:p w:rsidR="00BA2E7D" w:rsidRPr="008E586D" w:rsidRDefault="00320C4D" w:rsidP="00320C4D">
      <w:pPr>
        <w:tabs>
          <w:tab w:val="left" w:pos="540"/>
          <w:tab w:val="left" w:pos="569"/>
        </w:tabs>
        <w:jc w:val="both"/>
        <w:rPr>
          <w:bCs/>
          <w:sz w:val="22"/>
          <w:szCs w:val="22"/>
          <w:lang w:val="sr-Latn-ME"/>
        </w:rPr>
      </w:pPr>
      <w:r w:rsidRPr="008E586D">
        <w:rPr>
          <w:b/>
          <w:bCs/>
          <w:sz w:val="22"/>
          <w:szCs w:val="22"/>
          <w:lang w:val="sr-Latn-ME"/>
        </w:rPr>
        <w:t>Kantarion</w:t>
      </w:r>
      <w:r w:rsidRPr="008E586D">
        <w:rPr>
          <w:bCs/>
          <w:sz w:val="22"/>
          <w:szCs w:val="22"/>
          <w:lang w:val="sr-Latn-ME"/>
        </w:rPr>
        <w:t>: Smanjenje nivoa aktivnog metabolita irinotekana, SN-38, u plazmi. U maloj farmakokinetičkoj studiji (n=5), u kojoj je irinotekan 350 mg/m</w:t>
      </w:r>
      <w:r w:rsidRPr="008E586D">
        <w:rPr>
          <w:bCs/>
          <w:sz w:val="22"/>
          <w:szCs w:val="22"/>
          <w:vertAlign w:val="superscript"/>
          <w:lang w:val="sr-Latn-ME"/>
        </w:rPr>
        <w:t>2</w:t>
      </w:r>
      <w:r w:rsidRPr="008E586D">
        <w:rPr>
          <w:bCs/>
          <w:sz w:val="22"/>
          <w:szCs w:val="22"/>
          <w:lang w:val="sr-Latn-ME"/>
        </w:rPr>
        <w:t xml:space="preserve"> davan istovremeno sa kantarionom (Hipericum perforatum) 900 mg, </w:t>
      </w:r>
      <w:r w:rsidR="00BA2E7D" w:rsidRPr="008E586D">
        <w:rPr>
          <w:bCs/>
          <w:sz w:val="22"/>
          <w:szCs w:val="22"/>
          <w:lang w:val="sr-Latn-ME"/>
        </w:rPr>
        <w:t xml:space="preserve">primijećeno je smanjenje koncentracije </w:t>
      </w:r>
      <w:r w:rsidRPr="008E586D">
        <w:rPr>
          <w:bCs/>
          <w:sz w:val="22"/>
          <w:szCs w:val="22"/>
          <w:lang w:val="sr-Latn-ME"/>
        </w:rPr>
        <w:t>aktivnog metabolita irinotekana, SN-38, u plazmi</w:t>
      </w:r>
      <w:r w:rsidR="004E4FEE" w:rsidRPr="008E586D">
        <w:rPr>
          <w:bCs/>
          <w:sz w:val="22"/>
          <w:szCs w:val="22"/>
          <w:lang w:val="sr-Latn-ME"/>
        </w:rPr>
        <w:t xml:space="preserve"> od </w:t>
      </w:r>
      <w:r w:rsidR="00BA2E7D" w:rsidRPr="008E586D">
        <w:rPr>
          <w:bCs/>
          <w:sz w:val="22"/>
          <w:szCs w:val="22"/>
          <w:lang w:val="sr-Latn-ME"/>
        </w:rPr>
        <w:t>42%</w:t>
      </w:r>
      <w:r w:rsidRPr="008E586D">
        <w:rPr>
          <w:bCs/>
          <w:sz w:val="22"/>
          <w:szCs w:val="22"/>
          <w:lang w:val="sr-Latn-ME"/>
        </w:rPr>
        <w:t>. Kao rezultat</w:t>
      </w:r>
      <w:r w:rsidR="00BA2E7D" w:rsidRPr="008E586D">
        <w:rPr>
          <w:bCs/>
          <w:sz w:val="22"/>
          <w:szCs w:val="22"/>
          <w:lang w:val="sr-Latn-ME"/>
        </w:rPr>
        <w:t xml:space="preserve"> toga, kantarion ne treba primjenjivati</w:t>
      </w:r>
      <w:r w:rsidRPr="008E586D">
        <w:rPr>
          <w:bCs/>
          <w:sz w:val="22"/>
          <w:szCs w:val="22"/>
          <w:lang w:val="sr-Latn-ME"/>
        </w:rPr>
        <w:t xml:space="preserve"> sa irinotekanom. </w:t>
      </w:r>
    </w:p>
    <w:p w:rsidR="00BA2E7D" w:rsidRPr="008E586D" w:rsidRDefault="00BA2E7D" w:rsidP="00320C4D">
      <w:pPr>
        <w:tabs>
          <w:tab w:val="left" w:pos="540"/>
          <w:tab w:val="left" w:pos="569"/>
        </w:tabs>
        <w:jc w:val="both"/>
        <w:rPr>
          <w:bCs/>
          <w:sz w:val="22"/>
          <w:szCs w:val="22"/>
          <w:lang w:val="sr-Latn-ME"/>
        </w:rPr>
      </w:pPr>
    </w:p>
    <w:p w:rsidR="00BA2E7D" w:rsidRPr="008E586D" w:rsidRDefault="00BA2E7D" w:rsidP="00320C4D">
      <w:pPr>
        <w:tabs>
          <w:tab w:val="left" w:pos="540"/>
          <w:tab w:val="left" w:pos="569"/>
        </w:tabs>
        <w:jc w:val="both"/>
        <w:rPr>
          <w:bCs/>
          <w:sz w:val="22"/>
          <w:szCs w:val="22"/>
          <w:lang w:val="sr-Latn-ME"/>
        </w:rPr>
      </w:pPr>
      <w:r w:rsidRPr="008E586D">
        <w:rPr>
          <w:b/>
          <w:bCs/>
          <w:sz w:val="22"/>
          <w:szCs w:val="22"/>
          <w:lang w:val="sr-Latn-ME"/>
        </w:rPr>
        <w:t>Žive atenuis</w:t>
      </w:r>
      <w:r w:rsidR="00320C4D" w:rsidRPr="008E586D">
        <w:rPr>
          <w:b/>
          <w:bCs/>
          <w:sz w:val="22"/>
          <w:szCs w:val="22"/>
          <w:lang w:val="sr-Latn-ME"/>
        </w:rPr>
        <w:t>ane vakcine (npr. vakcina protiv žute groznice):</w:t>
      </w:r>
      <w:r w:rsidR="00320C4D" w:rsidRPr="008E586D">
        <w:rPr>
          <w:bCs/>
          <w:sz w:val="22"/>
          <w:szCs w:val="22"/>
          <w:lang w:val="sr-Latn-ME"/>
        </w:rPr>
        <w:t xml:space="preserve"> Rizik od generalizovane reakcije na vakcine, moguće fatalne. Istovremena upotreba je kontraindikovana tokom l</w:t>
      </w:r>
      <w:r w:rsidRPr="008E586D">
        <w:rPr>
          <w:bCs/>
          <w:sz w:val="22"/>
          <w:szCs w:val="22"/>
          <w:lang w:val="sr-Latn-ME"/>
        </w:rPr>
        <w:t>ij</w:t>
      </w:r>
      <w:r w:rsidR="00320C4D" w:rsidRPr="008E586D">
        <w:rPr>
          <w:bCs/>
          <w:sz w:val="22"/>
          <w:szCs w:val="22"/>
          <w:lang w:val="sr-Latn-ME"/>
        </w:rPr>
        <w:t>ečenja irinotekanom i 6 m</w:t>
      </w:r>
      <w:r w:rsidR="004C53DC" w:rsidRPr="008E586D">
        <w:rPr>
          <w:bCs/>
          <w:sz w:val="22"/>
          <w:szCs w:val="22"/>
          <w:lang w:val="sr-Latn-ME"/>
        </w:rPr>
        <w:t>j</w:t>
      </w:r>
      <w:r w:rsidR="00320C4D" w:rsidRPr="008E586D">
        <w:rPr>
          <w:bCs/>
          <w:sz w:val="22"/>
          <w:szCs w:val="22"/>
          <w:lang w:val="sr-Latn-ME"/>
        </w:rPr>
        <w:t>eseci nakon prekida hemoterapije. Mo</w:t>
      </w:r>
      <w:r w:rsidRPr="008E586D">
        <w:rPr>
          <w:bCs/>
          <w:sz w:val="22"/>
          <w:szCs w:val="22"/>
          <w:lang w:val="sr-Latn-ME"/>
        </w:rPr>
        <w:t>gu se davati mrtve ili inaktivis</w:t>
      </w:r>
      <w:r w:rsidR="00320C4D" w:rsidRPr="008E586D">
        <w:rPr>
          <w:bCs/>
          <w:sz w:val="22"/>
          <w:szCs w:val="22"/>
          <w:lang w:val="sr-Latn-ME"/>
        </w:rPr>
        <w:t>ane vakcine; međutim, odgovor na takve vakcine može biti smanjen.</w:t>
      </w:r>
    </w:p>
    <w:p w:rsidR="00BA2E7D" w:rsidRPr="008E586D" w:rsidRDefault="00BA2E7D" w:rsidP="00320C4D">
      <w:pPr>
        <w:tabs>
          <w:tab w:val="left" w:pos="540"/>
          <w:tab w:val="left" w:pos="569"/>
        </w:tabs>
        <w:jc w:val="both"/>
        <w:rPr>
          <w:bCs/>
          <w:sz w:val="22"/>
          <w:szCs w:val="22"/>
          <w:lang w:val="sr-Latn-ME"/>
        </w:rPr>
      </w:pPr>
    </w:p>
    <w:p w:rsidR="00BA2E7D" w:rsidRPr="008E586D" w:rsidRDefault="00320C4D" w:rsidP="00320C4D">
      <w:pPr>
        <w:tabs>
          <w:tab w:val="left" w:pos="540"/>
          <w:tab w:val="left" w:pos="569"/>
        </w:tabs>
        <w:jc w:val="both"/>
        <w:rPr>
          <w:bCs/>
          <w:sz w:val="22"/>
          <w:szCs w:val="22"/>
          <w:lang w:val="sr-Latn-ME"/>
        </w:rPr>
      </w:pPr>
      <w:r w:rsidRPr="008E586D">
        <w:rPr>
          <w:bCs/>
          <w:i/>
          <w:sz w:val="22"/>
          <w:szCs w:val="22"/>
          <w:u w:val="single"/>
          <w:lang w:val="sr-Latn-ME"/>
        </w:rPr>
        <w:t>Ne preporučuje se istov</w:t>
      </w:r>
      <w:r w:rsidR="00BA2E7D" w:rsidRPr="008E586D">
        <w:rPr>
          <w:bCs/>
          <w:i/>
          <w:sz w:val="22"/>
          <w:szCs w:val="22"/>
          <w:u w:val="single"/>
          <w:lang w:val="sr-Latn-ME"/>
        </w:rPr>
        <w:t xml:space="preserve">remena upotreba (vidjeti dio </w:t>
      </w:r>
      <w:r w:rsidRPr="008E586D">
        <w:rPr>
          <w:bCs/>
          <w:i/>
          <w:sz w:val="22"/>
          <w:szCs w:val="22"/>
          <w:u w:val="single"/>
          <w:lang w:val="sr-Latn-ME"/>
        </w:rPr>
        <w:t>4.4)</w:t>
      </w:r>
      <w:r w:rsidRPr="008E586D">
        <w:rPr>
          <w:bCs/>
          <w:sz w:val="22"/>
          <w:szCs w:val="22"/>
          <w:lang w:val="sr-Latn-ME"/>
        </w:rPr>
        <w:t xml:space="preserve"> </w:t>
      </w:r>
    </w:p>
    <w:p w:rsidR="00BA2E7D" w:rsidRPr="008E586D" w:rsidRDefault="00BA2E7D" w:rsidP="00320C4D">
      <w:pPr>
        <w:tabs>
          <w:tab w:val="left" w:pos="540"/>
          <w:tab w:val="left" w:pos="569"/>
        </w:tabs>
        <w:jc w:val="both"/>
        <w:rPr>
          <w:bCs/>
          <w:sz w:val="22"/>
          <w:szCs w:val="22"/>
          <w:lang w:val="sr-Latn-ME"/>
        </w:rPr>
      </w:pPr>
    </w:p>
    <w:p w:rsidR="00BA2E7D" w:rsidRPr="008E586D" w:rsidRDefault="00320C4D" w:rsidP="00320C4D">
      <w:pPr>
        <w:tabs>
          <w:tab w:val="left" w:pos="540"/>
          <w:tab w:val="left" w:pos="569"/>
        </w:tabs>
        <w:jc w:val="both"/>
        <w:rPr>
          <w:bCs/>
          <w:sz w:val="22"/>
          <w:szCs w:val="22"/>
          <w:lang w:val="sr-Latn-ME"/>
        </w:rPr>
      </w:pPr>
      <w:r w:rsidRPr="008E586D">
        <w:rPr>
          <w:bCs/>
          <w:sz w:val="22"/>
          <w:szCs w:val="22"/>
          <w:lang w:val="sr-Latn-ME"/>
        </w:rPr>
        <w:t>Istovremena prim</w:t>
      </w:r>
      <w:r w:rsidR="00BA2E7D" w:rsidRPr="008E586D">
        <w:rPr>
          <w:bCs/>
          <w:sz w:val="22"/>
          <w:szCs w:val="22"/>
          <w:lang w:val="sr-Latn-ME"/>
        </w:rPr>
        <w:t>j</w:t>
      </w:r>
      <w:r w:rsidRPr="008E586D">
        <w:rPr>
          <w:bCs/>
          <w:sz w:val="22"/>
          <w:szCs w:val="22"/>
          <w:lang w:val="sr-Latn-ME"/>
        </w:rPr>
        <w:t>ena irinotekana sa jakim inhibitorima ili induktorima citohroma P450 3A4 (CIP3A4) može da prom</w:t>
      </w:r>
      <w:r w:rsidR="00BA2E7D" w:rsidRPr="008E586D">
        <w:rPr>
          <w:bCs/>
          <w:sz w:val="22"/>
          <w:szCs w:val="22"/>
          <w:lang w:val="sr-Latn-ME"/>
        </w:rPr>
        <w:t>ij</w:t>
      </w:r>
      <w:r w:rsidRPr="008E586D">
        <w:rPr>
          <w:bCs/>
          <w:sz w:val="22"/>
          <w:szCs w:val="22"/>
          <w:lang w:val="sr-Latn-ME"/>
        </w:rPr>
        <w:t>eni meta</w:t>
      </w:r>
      <w:r w:rsidR="00BA2E7D" w:rsidRPr="008E586D">
        <w:rPr>
          <w:bCs/>
          <w:sz w:val="22"/>
          <w:szCs w:val="22"/>
          <w:lang w:val="sr-Latn-ME"/>
        </w:rPr>
        <w:t>bolizam irinotekana i treba je i</w:t>
      </w:r>
      <w:r w:rsidRPr="008E586D">
        <w:rPr>
          <w:bCs/>
          <w:sz w:val="22"/>
          <w:szCs w:val="22"/>
          <w:lang w:val="sr-Latn-ME"/>
        </w:rPr>
        <w:t>zb</w:t>
      </w:r>
      <w:r w:rsidR="00BA2E7D" w:rsidRPr="008E586D">
        <w:rPr>
          <w:bCs/>
          <w:sz w:val="22"/>
          <w:szCs w:val="22"/>
          <w:lang w:val="sr-Latn-ME"/>
        </w:rPr>
        <w:t>j</w:t>
      </w:r>
      <w:r w:rsidRPr="008E586D">
        <w:rPr>
          <w:bCs/>
          <w:sz w:val="22"/>
          <w:szCs w:val="22"/>
          <w:lang w:val="sr-Latn-ME"/>
        </w:rPr>
        <w:t>egavati (</w:t>
      </w:r>
      <w:r w:rsidR="00BA2E7D" w:rsidRPr="008E586D">
        <w:rPr>
          <w:bCs/>
          <w:sz w:val="22"/>
          <w:szCs w:val="22"/>
          <w:lang w:val="sr-Latn-ME"/>
        </w:rPr>
        <w:t xml:space="preserve">vidjeti dio </w:t>
      </w:r>
      <w:r w:rsidRPr="008E586D">
        <w:rPr>
          <w:bCs/>
          <w:sz w:val="22"/>
          <w:szCs w:val="22"/>
          <w:lang w:val="sr-Latn-ME"/>
        </w:rPr>
        <w:t xml:space="preserve">4.4): </w:t>
      </w:r>
    </w:p>
    <w:p w:rsidR="00BA2E7D" w:rsidRPr="008E586D" w:rsidRDefault="00BA2E7D" w:rsidP="00320C4D">
      <w:pPr>
        <w:tabs>
          <w:tab w:val="left" w:pos="540"/>
          <w:tab w:val="left" w:pos="569"/>
        </w:tabs>
        <w:jc w:val="both"/>
        <w:rPr>
          <w:bCs/>
          <w:sz w:val="22"/>
          <w:szCs w:val="22"/>
          <w:lang w:val="sr-Latn-ME"/>
        </w:rPr>
      </w:pPr>
    </w:p>
    <w:p w:rsidR="004E4FEE" w:rsidRPr="008E586D" w:rsidRDefault="00BA2E7D" w:rsidP="00320C4D">
      <w:pPr>
        <w:tabs>
          <w:tab w:val="left" w:pos="540"/>
          <w:tab w:val="left" w:pos="569"/>
        </w:tabs>
        <w:jc w:val="both"/>
        <w:rPr>
          <w:bCs/>
          <w:sz w:val="22"/>
          <w:szCs w:val="22"/>
          <w:lang w:val="sr-Latn-ME"/>
        </w:rPr>
      </w:pPr>
      <w:r w:rsidRPr="008E586D">
        <w:rPr>
          <w:b/>
          <w:bCs/>
          <w:sz w:val="22"/>
          <w:szCs w:val="22"/>
          <w:lang w:val="sr-Latn-ME"/>
        </w:rPr>
        <w:lastRenderedPageBreak/>
        <w:t>Snažni induktori CY</w:t>
      </w:r>
      <w:r w:rsidR="00320C4D" w:rsidRPr="008E586D">
        <w:rPr>
          <w:b/>
          <w:bCs/>
          <w:sz w:val="22"/>
          <w:szCs w:val="22"/>
          <w:lang w:val="sr-Latn-ME"/>
        </w:rPr>
        <w:t>P3A4 i/ili UGT1A1:</w:t>
      </w:r>
      <w:r w:rsidR="00320C4D" w:rsidRPr="008E586D">
        <w:rPr>
          <w:bCs/>
          <w:sz w:val="22"/>
          <w:szCs w:val="22"/>
          <w:lang w:val="sr-Latn-ME"/>
        </w:rPr>
        <w:t xml:space="preserve"> (npr. rifampicin, karbamazepin, fenobarbital, fenitoin ili apalutamid): </w:t>
      </w:r>
    </w:p>
    <w:p w:rsidR="004E4FEE" w:rsidRPr="008E586D" w:rsidRDefault="00320C4D" w:rsidP="00320C4D">
      <w:pPr>
        <w:tabs>
          <w:tab w:val="left" w:pos="540"/>
          <w:tab w:val="left" w:pos="569"/>
        </w:tabs>
        <w:jc w:val="both"/>
        <w:rPr>
          <w:bCs/>
          <w:sz w:val="22"/>
          <w:szCs w:val="22"/>
          <w:lang w:val="sr-Latn-ME"/>
        </w:rPr>
      </w:pPr>
      <w:r w:rsidRPr="008E586D">
        <w:rPr>
          <w:bCs/>
          <w:sz w:val="22"/>
          <w:szCs w:val="22"/>
          <w:lang w:val="sr-Latn-ME"/>
        </w:rPr>
        <w:t>Rizik od smanjene izloženosti irinote</w:t>
      </w:r>
      <w:r w:rsidR="004E4FEE" w:rsidRPr="008E586D">
        <w:rPr>
          <w:bCs/>
          <w:sz w:val="22"/>
          <w:szCs w:val="22"/>
          <w:lang w:val="sr-Latn-ME"/>
        </w:rPr>
        <w:t xml:space="preserve">kanu, SN-38 i SN-38 glukuronidu </w:t>
      </w:r>
      <w:r w:rsidRPr="008E586D">
        <w:rPr>
          <w:bCs/>
          <w:sz w:val="22"/>
          <w:szCs w:val="22"/>
          <w:lang w:val="sr-Latn-ME"/>
        </w:rPr>
        <w:t>i smanjenih farmakodinamičkih efekata. Nekoliko studija je pokazalo da istovremena prim</w:t>
      </w:r>
      <w:r w:rsidR="004E4FEE" w:rsidRPr="008E586D">
        <w:rPr>
          <w:bCs/>
          <w:sz w:val="22"/>
          <w:szCs w:val="22"/>
          <w:lang w:val="sr-Latn-ME"/>
        </w:rPr>
        <w:t>j</w:t>
      </w:r>
      <w:r w:rsidRPr="008E586D">
        <w:rPr>
          <w:bCs/>
          <w:sz w:val="22"/>
          <w:szCs w:val="22"/>
          <w:lang w:val="sr-Latn-ME"/>
        </w:rPr>
        <w:t>ena antikonvulzivnih l</w:t>
      </w:r>
      <w:r w:rsidR="004E4FEE" w:rsidRPr="008E586D">
        <w:rPr>
          <w:bCs/>
          <w:sz w:val="22"/>
          <w:szCs w:val="22"/>
          <w:lang w:val="sr-Latn-ME"/>
        </w:rPr>
        <w:t>jekova koji indukuju CY</w:t>
      </w:r>
      <w:r w:rsidRPr="008E586D">
        <w:rPr>
          <w:bCs/>
          <w:sz w:val="22"/>
          <w:szCs w:val="22"/>
          <w:lang w:val="sr-Latn-ME"/>
        </w:rPr>
        <w:t>P3A4 dovodi do smanjene izloženosti irinot</w:t>
      </w:r>
      <w:r w:rsidR="004E4FEE" w:rsidRPr="008E586D">
        <w:rPr>
          <w:bCs/>
          <w:sz w:val="22"/>
          <w:szCs w:val="22"/>
          <w:lang w:val="sr-Latn-ME"/>
        </w:rPr>
        <w:t>ekanu, SN-38 i SN-38 glukuroni</w:t>
      </w:r>
      <w:r w:rsidR="004536E8" w:rsidRPr="008E586D">
        <w:rPr>
          <w:bCs/>
          <w:sz w:val="22"/>
          <w:szCs w:val="22"/>
          <w:lang w:val="sr-Latn-ME"/>
        </w:rPr>
        <w:t>du</w:t>
      </w:r>
      <w:r w:rsidRPr="008E586D">
        <w:rPr>
          <w:bCs/>
          <w:sz w:val="22"/>
          <w:szCs w:val="22"/>
          <w:lang w:val="sr-Latn-ME"/>
        </w:rPr>
        <w:t xml:space="preserve"> i</w:t>
      </w:r>
      <w:r w:rsidR="004E4FEE" w:rsidRPr="008E586D">
        <w:rPr>
          <w:bCs/>
          <w:sz w:val="22"/>
          <w:szCs w:val="22"/>
          <w:lang w:val="sr-Latn-ME"/>
        </w:rPr>
        <w:t xml:space="preserve"> smanjenih farmakodinamičkih</w:t>
      </w:r>
      <w:r w:rsidRPr="008E586D">
        <w:rPr>
          <w:bCs/>
          <w:sz w:val="22"/>
          <w:szCs w:val="22"/>
          <w:lang w:val="sr-Latn-ME"/>
        </w:rPr>
        <w:t xml:space="preserve"> efekata. Efekti takvih antikonvulzivnih l</w:t>
      </w:r>
      <w:r w:rsidR="004E4FEE" w:rsidRPr="008E586D">
        <w:rPr>
          <w:bCs/>
          <w:sz w:val="22"/>
          <w:szCs w:val="22"/>
          <w:lang w:val="sr-Latn-ME"/>
        </w:rPr>
        <w:t>j</w:t>
      </w:r>
      <w:r w:rsidRPr="008E586D">
        <w:rPr>
          <w:bCs/>
          <w:sz w:val="22"/>
          <w:szCs w:val="22"/>
          <w:lang w:val="sr-Latn-ME"/>
        </w:rPr>
        <w:t>ekova se ogledaju u smanjenju AUC SN-38 i SN-38G za 50% ili</w:t>
      </w:r>
      <w:r w:rsidR="004E4FEE" w:rsidRPr="008E586D">
        <w:rPr>
          <w:bCs/>
          <w:sz w:val="22"/>
          <w:szCs w:val="22"/>
          <w:lang w:val="sr-Latn-ME"/>
        </w:rPr>
        <w:t xml:space="preserve"> više. Pored indukcije enzima CY</w:t>
      </w:r>
      <w:r w:rsidRPr="008E586D">
        <w:rPr>
          <w:bCs/>
          <w:sz w:val="22"/>
          <w:szCs w:val="22"/>
          <w:lang w:val="sr-Latn-ME"/>
        </w:rPr>
        <w:t xml:space="preserve">P3A4, pojačana glukuronidacija i pojačano izlučivanje žuči mogu igrati ulogu u smanjenju izloženosti irinotekanu i njegovim metabolitima. Dodatno sa fenitoinom: Rizik od pogoršanja konvulzija usled smanjenja digestivne </w:t>
      </w:r>
      <w:r w:rsidR="004536E8" w:rsidRPr="008E586D">
        <w:rPr>
          <w:bCs/>
          <w:sz w:val="22"/>
          <w:szCs w:val="22"/>
          <w:lang w:val="sr-Latn-ME"/>
        </w:rPr>
        <w:t xml:space="preserve">resorpcije </w:t>
      </w:r>
      <w:r w:rsidRPr="008E586D">
        <w:rPr>
          <w:bCs/>
          <w:sz w:val="22"/>
          <w:szCs w:val="22"/>
          <w:lang w:val="sr-Latn-ME"/>
        </w:rPr>
        <w:t xml:space="preserve">fenitoina </w:t>
      </w:r>
      <w:r w:rsidR="004536E8" w:rsidRPr="008E586D">
        <w:rPr>
          <w:bCs/>
          <w:sz w:val="22"/>
          <w:szCs w:val="22"/>
          <w:lang w:val="sr-Latn-ME"/>
        </w:rPr>
        <w:t>uzrokovane primjenom</w:t>
      </w:r>
      <w:r w:rsidRPr="008E586D">
        <w:rPr>
          <w:bCs/>
          <w:sz w:val="22"/>
          <w:szCs w:val="22"/>
          <w:lang w:val="sr-Latn-ME"/>
        </w:rPr>
        <w:t xml:space="preserve"> citotoksičnih l</w:t>
      </w:r>
      <w:r w:rsidR="004E4FEE" w:rsidRPr="008E586D">
        <w:rPr>
          <w:bCs/>
          <w:sz w:val="22"/>
          <w:szCs w:val="22"/>
          <w:lang w:val="sr-Latn-ME"/>
        </w:rPr>
        <w:t>j</w:t>
      </w:r>
      <w:r w:rsidRPr="008E586D">
        <w:rPr>
          <w:bCs/>
          <w:sz w:val="22"/>
          <w:szCs w:val="22"/>
          <w:lang w:val="sr-Latn-ME"/>
        </w:rPr>
        <w:t xml:space="preserve">ekova. </w:t>
      </w:r>
    </w:p>
    <w:p w:rsidR="004E4FEE" w:rsidRPr="008E586D" w:rsidRDefault="004E4FEE" w:rsidP="00320C4D">
      <w:pPr>
        <w:tabs>
          <w:tab w:val="left" w:pos="540"/>
          <w:tab w:val="left" w:pos="569"/>
        </w:tabs>
        <w:jc w:val="both"/>
        <w:rPr>
          <w:bCs/>
          <w:sz w:val="22"/>
          <w:szCs w:val="22"/>
          <w:lang w:val="sr-Latn-ME"/>
        </w:rPr>
      </w:pPr>
    </w:p>
    <w:p w:rsidR="004E4FEE" w:rsidRPr="008E586D" w:rsidRDefault="004536E8" w:rsidP="00320C4D">
      <w:pPr>
        <w:tabs>
          <w:tab w:val="left" w:pos="540"/>
          <w:tab w:val="left" w:pos="569"/>
        </w:tabs>
        <w:jc w:val="both"/>
        <w:rPr>
          <w:bCs/>
          <w:sz w:val="22"/>
          <w:szCs w:val="22"/>
          <w:lang w:val="sr-Latn-ME"/>
        </w:rPr>
      </w:pPr>
      <w:r w:rsidRPr="008E586D">
        <w:rPr>
          <w:b/>
          <w:bCs/>
          <w:sz w:val="22"/>
          <w:szCs w:val="22"/>
          <w:lang w:val="sr-Latn-ME"/>
        </w:rPr>
        <w:t xml:space="preserve">Snažni </w:t>
      </w:r>
      <w:r w:rsidR="004E4FEE" w:rsidRPr="008E586D">
        <w:rPr>
          <w:b/>
          <w:bCs/>
          <w:sz w:val="22"/>
          <w:szCs w:val="22"/>
          <w:lang w:val="sr-Latn-ME"/>
        </w:rPr>
        <w:t>inhibitori CY</w:t>
      </w:r>
      <w:r w:rsidR="00320C4D" w:rsidRPr="008E586D">
        <w:rPr>
          <w:b/>
          <w:bCs/>
          <w:sz w:val="22"/>
          <w:szCs w:val="22"/>
          <w:lang w:val="sr-Latn-ME"/>
        </w:rPr>
        <w:t>P3A4:</w:t>
      </w:r>
      <w:r w:rsidR="00320C4D" w:rsidRPr="008E586D">
        <w:rPr>
          <w:bCs/>
          <w:sz w:val="22"/>
          <w:szCs w:val="22"/>
          <w:lang w:val="sr-Latn-ME"/>
        </w:rPr>
        <w:t xml:space="preserve"> (npr. ketokonazol, itrakonazol, vorikonazol, posakonazol, inhibitori proteaze, klaritromicin, eritromicin, telitromicin): </w:t>
      </w:r>
    </w:p>
    <w:p w:rsidR="004E4FEE" w:rsidRPr="008E586D" w:rsidRDefault="004E4FEE" w:rsidP="00320C4D">
      <w:pPr>
        <w:tabs>
          <w:tab w:val="left" w:pos="540"/>
          <w:tab w:val="left" w:pos="569"/>
        </w:tabs>
        <w:jc w:val="both"/>
        <w:rPr>
          <w:bCs/>
          <w:sz w:val="22"/>
          <w:szCs w:val="22"/>
          <w:lang w:val="sr-Latn-ME"/>
        </w:rPr>
      </w:pPr>
    </w:p>
    <w:p w:rsidR="004E4FEE" w:rsidRPr="008E586D" w:rsidRDefault="00320C4D" w:rsidP="00320C4D">
      <w:pPr>
        <w:tabs>
          <w:tab w:val="left" w:pos="540"/>
          <w:tab w:val="left" w:pos="569"/>
        </w:tabs>
        <w:jc w:val="both"/>
        <w:rPr>
          <w:bCs/>
          <w:sz w:val="22"/>
          <w:szCs w:val="22"/>
          <w:lang w:val="sr-Latn-ME"/>
        </w:rPr>
      </w:pPr>
      <w:r w:rsidRPr="008E586D">
        <w:rPr>
          <w:bCs/>
          <w:sz w:val="22"/>
          <w:szCs w:val="22"/>
          <w:lang w:val="sr-Latn-ME"/>
        </w:rPr>
        <w:t>Studija je pokazala da je istovremena prim</w:t>
      </w:r>
      <w:r w:rsidR="004E4FEE" w:rsidRPr="008E586D">
        <w:rPr>
          <w:bCs/>
          <w:sz w:val="22"/>
          <w:szCs w:val="22"/>
          <w:lang w:val="sr-Latn-ME"/>
        </w:rPr>
        <w:t>j</w:t>
      </w:r>
      <w:r w:rsidRPr="008E586D">
        <w:rPr>
          <w:bCs/>
          <w:sz w:val="22"/>
          <w:szCs w:val="22"/>
          <w:lang w:val="sr-Latn-ME"/>
        </w:rPr>
        <w:t xml:space="preserve">ena ketokonazola rezultirala smanjenjem AUC APC za 87% i povećanjem AUC SN-38 od 109% u poređenju sa irinotekanom koji se daje sam. </w:t>
      </w:r>
    </w:p>
    <w:p w:rsidR="004E4FEE" w:rsidRPr="008E586D" w:rsidRDefault="004E4FEE" w:rsidP="00320C4D">
      <w:pPr>
        <w:tabs>
          <w:tab w:val="left" w:pos="540"/>
          <w:tab w:val="left" w:pos="569"/>
        </w:tabs>
        <w:jc w:val="both"/>
        <w:rPr>
          <w:bCs/>
          <w:sz w:val="22"/>
          <w:szCs w:val="22"/>
          <w:lang w:val="sr-Latn-ME"/>
        </w:rPr>
      </w:pPr>
    </w:p>
    <w:p w:rsidR="004E4FEE" w:rsidRPr="008E586D" w:rsidRDefault="00320C4D" w:rsidP="00320C4D">
      <w:pPr>
        <w:tabs>
          <w:tab w:val="left" w:pos="540"/>
          <w:tab w:val="left" w:pos="569"/>
        </w:tabs>
        <w:jc w:val="both"/>
        <w:rPr>
          <w:bCs/>
          <w:sz w:val="22"/>
          <w:szCs w:val="22"/>
          <w:lang w:val="sr-Latn-ME"/>
        </w:rPr>
      </w:pPr>
      <w:r w:rsidRPr="008E586D">
        <w:rPr>
          <w:b/>
          <w:bCs/>
          <w:sz w:val="22"/>
          <w:szCs w:val="22"/>
          <w:lang w:val="sr-Latn-ME"/>
        </w:rPr>
        <w:t>UGT1A1 inhibitori</w:t>
      </w:r>
      <w:r w:rsidRPr="008E586D">
        <w:rPr>
          <w:bCs/>
          <w:sz w:val="22"/>
          <w:szCs w:val="22"/>
          <w:lang w:val="sr-Latn-ME"/>
        </w:rPr>
        <w:t>: (npr. atazan</w:t>
      </w:r>
      <w:r w:rsidR="004E4FEE" w:rsidRPr="008E586D">
        <w:rPr>
          <w:bCs/>
          <w:sz w:val="22"/>
          <w:szCs w:val="22"/>
          <w:lang w:val="sr-Latn-ME"/>
        </w:rPr>
        <w:t>avir, ketokonazol, regorafenib)</w:t>
      </w:r>
    </w:p>
    <w:p w:rsidR="004E4FEE" w:rsidRPr="008E586D" w:rsidRDefault="004E4FEE" w:rsidP="00320C4D">
      <w:pPr>
        <w:tabs>
          <w:tab w:val="left" w:pos="540"/>
          <w:tab w:val="left" w:pos="569"/>
        </w:tabs>
        <w:jc w:val="both"/>
        <w:rPr>
          <w:bCs/>
          <w:sz w:val="22"/>
          <w:szCs w:val="22"/>
          <w:lang w:val="sr-Latn-ME"/>
        </w:rPr>
      </w:pPr>
    </w:p>
    <w:p w:rsidR="004E4FEE" w:rsidRPr="008E586D" w:rsidRDefault="00320C4D" w:rsidP="00320C4D">
      <w:pPr>
        <w:tabs>
          <w:tab w:val="left" w:pos="540"/>
          <w:tab w:val="left" w:pos="569"/>
        </w:tabs>
        <w:jc w:val="both"/>
        <w:rPr>
          <w:bCs/>
          <w:sz w:val="22"/>
          <w:szCs w:val="22"/>
          <w:lang w:val="sr-Latn-ME"/>
        </w:rPr>
      </w:pPr>
      <w:r w:rsidRPr="008E586D">
        <w:rPr>
          <w:bCs/>
          <w:sz w:val="22"/>
          <w:szCs w:val="22"/>
          <w:lang w:val="sr-Latn-ME"/>
        </w:rPr>
        <w:t xml:space="preserve">Rizik od povećanja sistemske izloženosti SN-38, aktivnog metabolita irinotekana. </w:t>
      </w:r>
      <w:r w:rsidR="004E4FEE" w:rsidRPr="008E586D">
        <w:rPr>
          <w:bCs/>
          <w:sz w:val="22"/>
          <w:szCs w:val="22"/>
          <w:lang w:val="sr-Latn-ME"/>
        </w:rPr>
        <w:t>Lj</w:t>
      </w:r>
      <w:r w:rsidRPr="008E586D">
        <w:rPr>
          <w:bCs/>
          <w:sz w:val="22"/>
          <w:szCs w:val="22"/>
          <w:lang w:val="sr-Latn-ME"/>
        </w:rPr>
        <w:t>ekari bi to trebalo da uzmu u obzir ako je kombinacija neizb</w:t>
      </w:r>
      <w:r w:rsidR="004E4FEE" w:rsidRPr="008E586D">
        <w:rPr>
          <w:bCs/>
          <w:sz w:val="22"/>
          <w:szCs w:val="22"/>
          <w:lang w:val="sr-Latn-ME"/>
        </w:rPr>
        <w:t>j</w:t>
      </w:r>
      <w:r w:rsidRPr="008E586D">
        <w:rPr>
          <w:bCs/>
          <w:sz w:val="22"/>
          <w:szCs w:val="22"/>
          <w:lang w:val="sr-Latn-ME"/>
        </w:rPr>
        <w:t xml:space="preserve">ežna. </w:t>
      </w:r>
    </w:p>
    <w:p w:rsidR="004E4FEE" w:rsidRPr="008E586D" w:rsidRDefault="004E4FEE" w:rsidP="00320C4D">
      <w:pPr>
        <w:tabs>
          <w:tab w:val="left" w:pos="540"/>
          <w:tab w:val="left" w:pos="569"/>
        </w:tabs>
        <w:jc w:val="both"/>
        <w:rPr>
          <w:bCs/>
          <w:sz w:val="22"/>
          <w:szCs w:val="22"/>
          <w:lang w:val="sr-Latn-ME"/>
        </w:rPr>
      </w:pPr>
    </w:p>
    <w:p w:rsidR="004E4FEE" w:rsidRPr="008E586D" w:rsidRDefault="004E4FEE" w:rsidP="00320C4D">
      <w:pPr>
        <w:tabs>
          <w:tab w:val="left" w:pos="540"/>
          <w:tab w:val="left" w:pos="569"/>
        </w:tabs>
        <w:jc w:val="both"/>
        <w:rPr>
          <w:bCs/>
          <w:sz w:val="22"/>
          <w:szCs w:val="22"/>
          <w:lang w:val="sr-Latn-ME"/>
        </w:rPr>
      </w:pPr>
      <w:r w:rsidRPr="008E586D">
        <w:rPr>
          <w:b/>
          <w:bCs/>
          <w:sz w:val="22"/>
          <w:szCs w:val="22"/>
          <w:lang w:val="sr-Latn-ME"/>
        </w:rPr>
        <w:t>Drugi inhibitori CY</w:t>
      </w:r>
      <w:r w:rsidR="00320C4D" w:rsidRPr="008E586D">
        <w:rPr>
          <w:b/>
          <w:bCs/>
          <w:sz w:val="22"/>
          <w:szCs w:val="22"/>
          <w:lang w:val="sr-Latn-ME"/>
        </w:rPr>
        <w:t>P3A4:</w:t>
      </w:r>
      <w:r w:rsidR="00320C4D" w:rsidRPr="008E586D">
        <w:rPr>
          <w:bCs/>
          <w:sz w:val="22"/>
          <w:szCs w:val="22"/>
          <w:lang w:val="sr-Latn-ME"/>
        </w:rPr>
        <w:t xml:space="preserve"> (npr. krizotinib, idelalisib) </w:t>
      </w:r>
    </w:p>
    <w:p w:rsidR="004E4FEE" w:rsidRPr="008E586D" w:rsidRDefault="004E4FEE" w:rsidP="00320C4D">
      <w:pPr>
        <w:tabs>
          <w:tab w:val="left" w:pos="540"/>
          <w:tab w:val="left" w:pos="569"/>
        </w:tabs>
        <w:jc w:val="both"/>
        <w:rPr>
          <w:bCs/>
          <w:sz w:val="22"/>
          <w:szCs w:val="22"/>
          <w:lang w:val="sr-Latn-ME"/>
        </w:rPr>
      </w:pPr>
    </w:p>
    <w:p w:rsidR="004E4FEE" w:rsidRPr="008E586D" w:rsidRDefault="00320C4D" w:rsidP="00320C4D">
      <w:pPr>
        <w:tabs>
          <w:tab w:val="left" w:pos="540"/>
          <w:tab w:val="left" w:pos="569"/>
        </w:tabs>
        <w:jc w:val="both"/>
        <w:rPr>
          <w:bCs/>
          <w:sz w:val="22"/>
          <w:szCs w:val="22"/>
          <w:lang w:val="sr-Latn-ME"/>
        </w:rPr>
      </w:pPr>
      <w:r w:rsidRPr="008E586D">
        <w:rPr>
          <w:bCs/>
          <w:sz w:val="22"/>
          <w:szCs w:val="22"/>
          <w:lang w:val="sr-Latn-ME"/>
        </w:rPr>
        <w:t xml:space="preserve">Rizik od povećanja toksičnosti irinotekana, usled smanjenja metabolizma irinotekana krizotinibom ili idelalisibom. </w:t>
      </w:r>
    </w:p>
    <w:p w:rsidR="004E4FEE" w:rsidRPr="008E586D" w:rsidRDefault="004E4FEE" w:rsidP="00320C4D">
      <w:pPr>
        <w:tabs>
          <w:tab w:val="left" w:pos="540"/>
          <w:tab w:val="left" w:pos="569"/>
        </w:tabs>
        <w:jc w:val="both"/>
        <w:rPr>
          <w:bCs/>
          <w:sz w:val="22"/>
          <w:szCs w:val="22"/>
          <w:lang w:val="sr-Latn-ME"/>
        </w:rPr>
      </w:pPr>
    </w:p>
    <w:p w:rsidR="004E4FEE" w:rsidRPr="008E586D" w:rsidRDefault="004E4FEE" w:rsidP="00320C4D">
      <w:pPr>
        <w:tabs>
          <w:tab w:val="left" w:pos="540"/>
          <w:tab w:val="left" w:pos="569"/>
        </w:tabs>
        <w:jc w:val="both"/>
        <w:rPr>
          <w:bCs/>
          <w:sz w:val="22"/>
          <w:szCs w:val="22"/>
          <w:lang w:val="sr-Latn-ME"/>
        </w:rPr>
      </w:pPr>
      <w:r w:rsidRPr="008E586D">
        <w:rPr>
          <w:b/>
          <w:bCs/>
          <w:i/>
          <w:sz w:val="22"/>
          <w:szCs w:val="22"/>
          <w:u w:val="single"/>
          <w:lang w:val="sr-Latn-ME"/>
        </w:rPr>
        <w:t>Oprez pri upotrebi</w:t>
      </w:r>
      <w:r w:rsidR="00320C4D" w:rsidRPr="008E586D">
        <w:rPr>
          <w:bCs/>
          <w:sz w:val="22"/>
          <w:szCs w:val="22"/>
          <w:lang w:val="sr-Latn-ME"/>
        </w:rPr>
        <w:t xml:space="preserve"> </w:t>
      </w:r>
    </w:p>
    <w:p w:rsidR="004E4FEE" w:rsidRPr="008E586D" w:rsidRDefault="004E4FEE" w:rsidP="00320C4D">
      <w:pPr>
        <w:tabs>
          <w:tab w:val="left" w:pos="540"/>
          <w:tab w:val="left" w:pos="569"/>
        </w:tabs>
        <w:jc w:val="both"/>
        <w:rPr>
          <w:bCs/>
          <w:sz w:val="22"/>
          <w:szCs w:val="22"/>
          <w:lang w:val="sr-Latn-ME"/>
        </w:rPr>
      </w:pPr>
    </w:p>
    <w:p w:rsidR="004E4FEE" w:rsidRPr="008E586D" w:rsidRDefault="00320C4D" w:rsidP="00320C4D">
      <w:pPr>
        <w:tabs>
          <w:tab w:val="left" w:pos="540"/>
          <w:tab w:val="left" w:pos="569"/>
        </w:tabs>
        <w:jc w:val="both"/>
        <w:rPr>
          <w:bCs/>
          <w:sz w:val="22"/>
          <w:szCs w:val="22"/>
          <w:lang w:val="sr-Latn-ME"/>
        </w:rPr>
      </w:pPr>
      <w:r w:rsidRPr="008E586D">
        <w:rPr>
          <w:b/>
          <w:bCs/>
          <w:sz w:val="22"/>
          <w:szCs w:val="22"/>
          <w:lang w:val="sr-Latn-ME"/>
        </w:rPr>
        <w:t>Antagonisti vitamina K:</w:t>
      </w:r>
      <w:r w:rsidRPr="008E586D">
        <w:rPr>
          <w:bCs/>
          <w:sz w:val="22"/>
          <w:szCs w:val="22"/>
          <w:lang w:val="sr-Latn-ME"/>
        </w:rPr>
        <w:t xml:space="preserve"> Povećan rizik od krvarenja i tromboze kod tumorskih bolesti. Ako su indikovani antagonisti vitamina K, potrebna je povećana učestalost praćenja INR-a (Međunarodni normalizovani odnos). </w:t>
      </w:r>
    </w:p>
    <w:p w:rsidR="004E4FEE" w:rsidRPr="008E586D" w:rsidRDefault="004E4FEE" w:rsidP="00320C4D">
      <w:pPr>
        <w:tabs>
          <w:tab w:val="left" w:pos="540"/>
          <w:tab w:val="left" w:pos="569"/>
        </w:tabs>
        <w:jc w:val="both"/>
        <w:rPr>
          <w:bCs/>
          <w:sz w:val="22"/>
          <w:szCs w:val="22"/>
          <w:lang w:val="sr-Latn-ME"/>
        </w:rPr>
      </w:pPr>
    </w:p>
    <w:p w:rsidR="004E4FEE" w:rsidRPr="008E586D" w:rsidRDefault="004F25FF" w:rsidP="00320C4D">
      <w:pPr>
        <w:tabs>
          <w:tab w:val="left" w:pos="540"/>
          <w:tab w:val="left" w:pos="569"/>
        </w:tabs>
        <w:jc w:val="both"/>
        <w:rPr>
          <w:b/>
          <w:bCs/>
          <w:sz w:val="22"/>
          <w:szCs w:val="22"/>
          <w:u w:val="single"/>
          <w:lang w:val="sr-Latn-ME"/>
        </w:rPr>
      </w:pPr>
      <w:r w:rsidRPr="008E586D">
        <w:rPr>
          <w:b/>
          <w:bCs/>
          <w:sz w:val="22"/>
          <w:szCs w:val="22"/>
          <w:u w:val="single"/>
          <w:lang w:val="sr-Latn-ME"/>
        </w:rPr>
        <w:t xml:space="preserve">Treba razmotriti </w:t>
      </w:r>
      <w:r w:rsidR="00320C4D" w:rsidRPr="008E586D">
        <w:rPr>
          <w:b/>
          <w:bCs/>
          <w:sz w:val="22"/>
          <w:szCs w:val="22"/>
          <w:u w:val="single"/>
          <w:lang w:val="sr-Latn-ME"/>
        </w:rPr>
        <w:t>i</w:t>
      </w:r>
      <w:r w:rsidRPr="008E586D">
        <w:rPr>
          <w:b/>
          <w:bCs/>
          <w:sz w:val="22"/>
          <w:szCs w:val="22"/>
          <w:u w:val="single"/>
          <w:lang w:val="sr-Latn-ME"/>
        </w:rPr>
        <w:t xml:space="preserve">stovremenu </w:t>
      </w:r>
      <w:r w:rsidR="00320C4D" w:rsidRPr="008E586D">
        <w:rPr>
          <w:b/>
          <w:bCs/>
          <w:sz w:val="22"/>
          <w:szCs w:val="22"/>
          <w:u w:val="single"/>
          <w:lang w:val="sr-Latn-ME"/>
        </w:rPr>
        <w:t>upotreb</w:t>
      </w:r>
      <w:r w:rsidRPr="008E586D">
        <w:rPr>
          <w:b/>
          <w:bCs/>
          <w:sz w:val="22"/>
          <w:szCs w:val="22"/>
          <w:u w:val="single"/>
          <w:lang w:val="sr-Latn-ME"/>
        </w:rPr>
        <w:t>u</w:t>
      </w:r>
    </w:p>
    <w:p w:rsidR="004E4FEE" w:rsidRPr="008E586D" w:rsidRDefault="004E4FEE" w:rsidP="00320C4D">
      <w:pPr>
        <w:tabs>
          <w:tab w:val="left" w:pos="540"/>
          <w:tab w:val="left" w:pos="569"/>
        </w:tabs>
        <w:jc w:val="both"/>
        <w:rPr>
          <w:bCs/>
          <w:sz w:val="22"/>
          <w:szCs w:val="22"/>
          <w:lang w:val="sr-Latn-ME"/>
        </w:rPr>
      </w:pPr>
    </w:p>
    <w:p w:rsidR="00320C4D" w:rsidRPr="008E586D" w:rsidRDefault="004E4FEE" w:rsidP="00320C4D">
      <w:pPr>
        <w:tabs>
          <w:tab w:val="left" w:pos="540"/>
          <w:tab w:val="left" w:pos="569"/>
        </w:tabs>
        <w:jc w:val="both"/>
        <w:rPr>
          <w:bCs/>
          <w:sz w:val="22"/>
          <w:szCs w:val="22"/>
          <w:lang w:val="sr-Latn-ME"/>
        </w:rPr>
      </w:pPr>
      <w:r w:rsidRPr="008E586D">
        <w:rPr>
          <w:b/>
          <w:bCs/>
          <w:sz w:val="22"/>
          <w:szCs w:val="22"/>
          <w:lang w:val="sr-Latn-ME"/>
        </w:rPr>
        <w:t>Imunosupresivni ljekovi</w:t>
      </w:r>
      <w:r w:rsidR="00320C4D" w:rsidRPr="008E586D">
        <w:rPr>
          <w:bCs/>
          <w:sz w:val="22"/>
          <w:szCs w:val="22"/>
          <w:lang w:val="sr-Latn-ME"/>
        </w:rPr>
        <w:t>: (npr. ciklosporin, takrolimus): Prekom</w:t>
      </w:r>
      <w:r w:rsidRPr="008E586D">
        <w:rPr>
          <w:bCs/>
          <w:sz w:val="22"/>
          <w:szCs w:val="22"/>
          <w:lang w:val="sr-Latn-ME"/>
        </w:rPr>
        <w:t>j</w:t>
      </w:r>
      <w:r w:rsidR="00320C4D" w:rsidRPr="008E586D">
        <w:rPr>
          <w:bCs/>
          <w:sz w:val="22"/>
          <w:szCs w:val="22"/>
          <w:lang w:val="sr-Latn-ME"/>
        </w:rPr>
        <w:t>erna imunosupresija sa rizikom od limfoproliferacije.</w:t>
      </w:r>
    </w:p>
    <w:p w:rsidR="004E4FEE" w:rsidRPr="008E586D" w:rsidRDefault="004E4FEE" w:rsidP="00320C4D">
      <w:pPr>
        <w:tabs>
          <w:tab w:val="left" w:pos="540"/>
          <w:tab w:val="left" w:pos="569"/>
        </w:tabs>
        <w:jc w:val="both"/>
        <w:rPr>
          <w:bCs/>
          <w:sz w:val="22"/>
          <w:szCs w:val="22"/>
          <w:lang w:val="sr-Latn-ME"/>
        </w:rPr>
      </w:pPr>
    </w:p>
    <w:p w:rsidR="001949DA" w:rsidRPr="008E586D" w:rsidRDefault="004E4FEE" w:rsidP="004E4FEE">
      <w:pPr>
        <w:tabs>
          <w:tab w:val="left" w:pos="540"/>
          <w:tab w:val="left" w:pos="569"/>
        </w:tabs>
        <w:jc w:val="both"/>
        <w:rPr>
          <w:rFonts w:eastAsia="TimesNewRoman"/>
          <w:sz w:val="22"/>
          <w:szCs w:val="22"/>
          <w:lang w:val="sr-Latn-ME" w:eastAsia="sr-Latn-ME"/>
        </w:rPr>
      </w:pPr>
      <w:r w:rsidRPr="008E586D">
        <w:rPr>
          <w:b/>
          <w:bCs/>
          <w:sz w:val="22"/>
          <w:szCs w:val="22"/>
          <w:lang w:val="sr-Latn-ME"/>
        </w:rPr>
        <w:t xml:space="preserve">Neuromuskularni blokatori: </w:t>
      </w:r>
      <w:r w:rsidR="001949DA" w:rsidRPr="008E586D">
        <w:rPr>
          <w:rFonts w:eastAsia="TimesNewRoman"/>
          <w:sz w:val="22"/>
          <w:szCs w:val="22"/>
          <w:lang w:val="sr-Latn-ME" w:eastAsia="sr-Latn-ME"/>
        </w:rPr>
        <w:t>Ne mogu se isključiti interakcije između irinotekana i neuromuskularnih blokatora. Ljekovi sa antiholinesteraznom aktivnošću kao što je Irinotecan Accord mogu produžiti trajanje neuromišićne blokade izazvane suksametonijumom i antagonizovati neuromišićnu blokadu izazvanu nedepolarizirajućim miorelaksansima.</w:t>
      </w:r>
    </w:p>
    <w:p w:rsidR="008B6023" w:rsidRPr="008E586D" w:rsidRDefault="008B6023" w:rsidP="004E4FEE">
      <w:pPr>
        <w:tabs>
          <w:tab w:val="left" w:pos="540"/>
          <w:tab w:val="left" w:pos="569"/>
        </w:tabs>
        <w:jc w:val="both"/>
        <w:rPr>
          <w:rFonts w:eastAsia="TimesNewRoman"/>
          <w:sz w:val="22"/>
          <w:szCs w:val="22"/>
          <w:lang w:val="sr-Latn-ME" w:eastAsia="sr-Latn-ME"/>
        </w:rPr>
      </w:pPr>
    </w:p>
    <w:p w:rsidR="008B6023" w:rsidRPr="008E586D" w:rsidRDefault="008B6023" w:rsidP="004E4FEE">
      <w:pPr>
        <w:tabs>
          <w:tab w:val="left" w:pos="540"/>
          <w:tab w:val="left" w:pos="569"/>
        </w:tabs>
        <w:jc w:val="both"/>
        <w:rPr>
          <w:rFonts w:eastAsia="TimesNewRoman"/>
          <w:sz w:val="22"/>
          <w:szCs w:val="22"/>
          <w:lang w:val="sr-Latn-ME" w:eastAsia="sr-Latn-ME"/>
        </w:rPr>
      </w:pPr>
      <w:r w:rsidRPr="008E586D">
        <w:rPr>
          <w:rFonts w:eastAsia="TimesNewRoman"/>
          <w:b/>
          <w:i/>
          <w:sz w:val="22"/>
          <w:szCs w:val="22"/>
          <w:u w:val="single"/>
          <w:lang w:val="sr-Latn-ME" w:eastAsia="sr-Latn-ME"/>
        </w:rPr>
        <w:t>Druge kombinacije</w:t>
      </w:r>
      <w:r w:rsidRPr="008E586D">
        <w:rPr>
          <w:rFonts w:eastAsia="TimesNewRoman"/>
          <w:sz w:val="22"/>
          <w:szCs w:val="22"/>
          <w:lang w:val="sr-Latn-ME" w:eastAsia="sr-Latn-ME"/>
        </w:rPr>
        <w:t xml:space="preserve"> </w:t>
      </w:r>
    </w:p>
    <w:p w:rsidR="008B6023" w:rsidRPr="008E586D" w:rsidRDefault="008B6023" w:rsidP="004E4FEE">
      <w:pPr>
        <w:tabs>
          <w:tab w:val="left" w:pos="540"/>
          <w:tab w:val="left" w:pos="569"/>
        </w:tabs>
        <w:jc w:val="both"/>
        <w:rPr>
          <w:rFonts w:eastAsia="TimesNewRoman"/>
          <w:sz w:val="22"/>
          <w:szCs w:val="22"/>
          <w:lang w:val="sr-Latn-ME" w:eastAsia="sr-Latn-ME"/>
        </w:rPr>
      </w:pPr>
    </w:p>
    <w:p w:rsidR="008B6023" w:rsidRPr="008E586D" w:rsidRDefault="008B6023" w:rsidP="004E4FEE">
      <w:pPr>
        <w:tabs>
          <w:tab w:val="left" w:pos="540"/>
          <w:tab w:val="left" w:pos="569"/>
        </w:tabs>
        <w:jc w:val="both"/>
        <w:rPr>
          <w:rFonts w:eastAsia="TimesNewRoman"/>
          <w:sz w:val="22"/>
          <w:szCs w:val="22"/>
          <w:lang w:val="sr-Latn-ME" w:eastAsia="sr-Latn-ME"/>
        </w:rPr>
      </w:pPr>
      <w:r w:rsidRPr="008E586D">
        <w:rPr>
          <w:rFonts w:eastAsia="TimesNewRoman"/>
          <w:b/>
          <w:sz w:val="22"/>
          <w:szCs w:val="22"/>
          <w:lang w:val="sr-Latn-ME" w:eastAsia="sr-Latn-ME"/>
        </w:rPr>
        <w:t>5-fluorouracil/folinska kiselina</w:t>
      </w:r>
      <w:r w:rsidRPr="008E586D">
        <w:rPr>
          <w:rFonts w:eastAsia="TimesNewRoman"/>
          <w:sz w:val="22"/>
          <w:szCs w:val="22"/>
          <w:lang w:val="sr-Latn-ME" w:eastAsia="sr-Latn-ME"/>
        </w:rPr>
        <w:t xml:space="preserve">: Istovremena primjena 5-fluorouracila/folinske kiseline u kombinovanom režimu ne mijenja farmakokinetiku irinotekana. </w:t>
      </w:r>
    </w:p>
    <w:p w:rsidR="008B6023" w:rsidRPr="008E586D" w:rsidRDefault="008B6023" w:rsidP="004E4FEE">
      <w:pPr>
        <w:tabs>
          <w:tab w:val="left" w:pos="540"/>
          <w:tab w:val="left" w:pos="569"/>
        </w:tabs>
        <w:jc w:val="both"/>
        <w:rPr>
          <w:rFonts w:eastAsia="TimesNewRoman"/>
          <w:sz w:val="22"/>
          <w:szCs w:val="22"/>
          <w:lang w:val="sr-Latn-ME" w:eastAsia="sr-Latn-ME"/>
        </w:rPr>
      </w:pPr>
    </w:p>
    <w:p w:rsidR="008B6023" w:rsidRPr="008E586D" w:rsidRDefault="008B6023" w:rsidP="004E4FEE">
      <w:pPr>
        <w:tabs>
          <w:tab w:val="left" w:pos="540"/>
          <w:tab w:val="left" w:pos="569"/>
        </w:tabs>
        <w:jc w:val="both"/>
        <w:rPr>
          <w:rFonts w:eastAsia="TimesNewRoman"/>
          <w:sz w:val="22"/>
          <w:szCs w:val="22"/>
          <w:lang w:val="sr-Latn-ME" w:eastAsia="sr-Latn-ME"/>
        </w:rPr>
      </w:pPr>
      <w:r w:rsidRPr="008E586D">
        <w:rPr>
          <w:rFonts w:eastAsia="TimesNewRoman"/>
          <w:b/>
          <w:sz w:val="22"/>
          <w:szCs w:val="22"/>
          <w:lang w:val="sr-Latn-ME" w:eastAsia="sr-Latn-ME"/>
        </w:rPr>
        <w:t>Bevacizumab:</w:t>
      </w:r>
      <w:r w:rsidR="00485ABF" w:rsidRPr="008E586D">
        <w:rPr>
          <w:rFonts w:eastAsia="TimesNewRoman"/>
          <w:sz w:val="22"/>
          <w:szCs w:val="22"/>
          <w:lang w:val="sr-Latn-ME" w:eastAsia="sr-Latn-ME"/>
        </w:rPr>
        <w:t xml:space="preserve"> Rezultati </w:t>
      </w:r>
      <w:r w:rsidRPr="008E586D">
        <w:rPr>
          <w:rFonts w:eastAsia="TimesNewRoman"/>
          <w:sz w:val="22"/>
          <w:szCs w:val="22"/>
          <w:lang w:val="sr-Latn-ME" w:eastAsia="sr-Latn-ME"/>
        </w:rPr>
        <w:t>ispitivanja interakcije lij</w:t>
      </w:r>
      <w:r w:rsidR="00485ABF" w:rsidRPr="008E586D">
        <w:rPr>
          <w:rFonts w:eastAsia="TimesNewRoman"/>
          <w:sz w:val="22"/>
          <w:szCs w:val="22"/>
          <w:lang w:val="sr-Latn-ME" w:eastAsia="sr-Latn-ME"/>
        </w:rPr>
        <w:t>ek-lije</w:t>
      </w:r>
      <w:r w:rsidRPr="008E586D">
        <w:rPr>
          <w:rFonts w:eastAsia="TimesNewRoman"/>
          <w:sz w:val="22"/>
          <w:szCs w:val="22"/>
          <w:lang w:val="sr-Latn-ME" w:eastAsia="sr-Latn-ME"/>
        </w:rPr>
        <w:t xml:space="preserve">k su pokazali da nema značajnog uticaja bevacizumaba na farmakokinetiku irinotekana i njegovog aktivnog metabolita SN-38. Međutim, to ne isključuje povećanje toksičnosti zbog njihovih farmakoloških svojstava. </w:t>
      </w:r>
    </w:p>
    <w:p w:rsidR="008B6023" w:rsidRPr="008E586D" w:rsidRDefault="008B6023" w:rsidP="004E4FEE">
      <w:pPr>
        <w:tabs>
          <w:tab w:val="left" w:pos="540"/>
          <w:tab w:val="left" w:pos="569"/>
        </w:tabs>
        <w:jc w:val="both"/>
        <w:rPr>
          <w:rFonts w:eastAsia="TimesNewRoman"/>
          <w:sz w:val="22"/>
          <w:szCs w:val="22"/>
          <w:lang w:val="sr-Latn-ME" w:eastAsia="sr-Latn-ME"/>
        </w:rPr>
      </w:pPr>
    </w:p>
    <w:p w:rsidR="008B6023" w:rsidRPr="008E586D" w:rsidRDefault="008B6023" w:rsidP="004E4FEE">
      <w:pPr>
        <w:tabs>
          <w:tab w:val="left" w:pos="540"/>
          <w:tab w:val="left" w:pos="569"/>
        </w:tabs>
        <w:jc w:val="both"/>
        <w:rPr>
          <w:rFonts w:eastAsia="TimesNewRoman"/>
          <w:sz w:val="22"/>
          <w:szCs w:val="22"/>
          <w:lang w:val="sr-Latn-ME" w:eastAsia="sr-Latn-ME"/>
        </w:rPr>
      </w:pPr>
      <w:r w:rsidRPr="008E586D">
        <w:rPr>
          <w:rFonts w:eastAsia="TimesNewRoman"/>
          <w:b/>
          <w:sz w:val="22"/>
          <w:szCs w:val="22"/>
          <w:lang w:val="sr-Latn-ME" w:eastAsia="sr-Latn-ME"/>
        </w:rPr>
        <w:t>Cetuksimab:</w:t>
      </w:r>
      <w:r w:rsidRPr="008E586D">
        <w:rPr>
          <w:rFonts w:eastAsia="TimesNewRoman"/>
          <w:sz w:val="22"/>
          <w:szCs w:val="22"/>
          <w:lang w:val="sr-Latn-ME" w:eastAsia="sr-Latn-ME"/>
        </w:rPr>
        <w:t xml:space="preserve"> Nema dokaza da cetuksimab utiče na bezbjednosni profil irinotekana ili obrnuto. </w:t>
      </w:r>
    </w:p>
    <w:p w:rsidR="008B6023" w:rsidRPr="008E586D" w:rsidRDefault="008B6023" w:rsidP="004E4FEE">
      <w:pPr>
        <w:tabs>
          <w:tab w:val="left" w:pos="540"/>
          <w:tab w:val="left" w:pos="569"/>
        </w:tabs>
        <w:jc w:val="both"/>
        <w:rPr>
          <w:rFonts w:eastAsia="TimesNewRoman"/>
          <w:sz w:val="22"/>
          <w:szCs w:val="22"/>
          <w:lang w:val="sr-Latn-ME" w:eastAsia="sr-Latn-ME"/>
        </w:rPr>
      </w:pPr>
    </w:p>
    <w:p w:rsidR="008B6023" w:rsidRPr="008E586D" w:rsidRDefault="008B6023" w:rsidP="004E4FEE">
      <w:pPr>
        <w:tabs>
          <w:tab w:val="left" w:pos="540"/>
          <w:tab w:val="left" w:pos="569"/>
        </w:tabs>
        <w:jc w:val="both"/>
        <w:rPr>
          <w:rFonts w:eastAsia="TimesNewRoman"/>
          <w:sz w:val="22"/>
          <w:szCs w:val="22"/>
          <w:lang w:val="sr-Latn-ME" w:eastAsia="sr-Latn-ME"/>
        </w:rPr>
      </w:pPr>
      <w:r w:rsidRPr="008E586D">
        <w:rPr>
          <w:rFonts w:eastAsia="TimesNewRoman"/>
          <w:b/>
          <w:sz w:val="22"/>
          <w:szCs w:val="22"/>
          <w:lang w:val="sr-Latn-ME" w:eastAsia="sr-Latn-ME"/>
        </w:rPr>
        <w:t>Antineoplastični agensi (uključujući flucitozin kao prolijek za 5-fluorouracil)</w:t>
      </w:r>
      <w:r w:rsidRPr="008E586D">
        <w:rPr>
          <w:rFonts w:eastAsia="TimesNewRoman"/>
          <w:sz w:val="22"/>
          <w:szCs w:val="22"/>
          <w:lang w:val="sr-Latn-ME" w:eastAsia="sr-Latn-ME"/>
        </w:rPr>
        <w:t xml:space="preserve"> </w:t>
      </w:r>
    </w:p>
    <w:p w:rsidR="008B6023" w:rsidRPr="008E586D" w:rsidRDefault="008B6023" w:rsidP="004E4FEE">
      <w:pPr>
        <w:tabs>
          <w:tab w:val="left" w:pos="540"/>
          <w:tab w:val="left" w:pos="569"/>
        </w:tabs>
        <w:jc w:val="both"/>
        <w:rPr>
          <w:rFonts w:eastAsia="TimesNewRoman"/>
          <w:sz w:val="22"/>
          <w:szCs w:val="22"/>
          <w:lang w:val="sr-Latn-ME" w:eastAsia="sr-Latn-ME"/>
        </w:rPr>
      </w:pPr>
    </w:p>
    <w:p w:rsidR="001949DA" w:rsidRPr="008E586D" w:rsidRDefault="008B6023" w:rsidP="004F25FF">
      <w:pPr>
        <w:tabs>
          <w:tab w:val="left" w:pos="540"/>
          <w:tab w:val="left" w:pos="569"/>
        </w:tabs>
        <w:jc w:val="both"/>
        <w:rPr>
          <w:rFonts w:eastAsia="TimesNewRoman"/>
          <w:sz w:val="22"/>
          <w:szCs w:val="22"/>
          <w:lang w:val="sr-Latn-ME" w:eastAsia="sr-Latn-ME"/>
        </w:rPr>
      </w:pPr>
      <w:r w:rsidRPr="008E586D">
        <w:rPr>
          <w:rFonts w:eastAsia="TimesNewRoman"/>
          <w:sz w:val="22"/>
          <w:szCs w:val="22"/>
          <w:lang w:val="sr-Latn-ME" w:eastAsia="sr-Latn-ME"/>
        </w:rPr>
        <w:lastRenderedPageBreak/>
        <w:t>Neželjeni efekti irinotekana, kao što je mijelosupresija, mogu biti pogoršani drugim antineoplastičnim agensima koji imaju sličan profil neželjenih efekata.</w:t>
      </w:r>
    </w:p>
    <w:p w:rsidR="0072020E" w:rsidRPr="008E586D" w:rsidRDefault="0072020E" w:rsidP="00480FB1">
      <w:pPr>
        <w:tabs>
          <w:tab w:val="left" w:pos="540"/>
          <w:tab w:val="left" w:pos="569"/>
        </w:tabs>
        <w:rPr>
          <w:bCs/>
          <w:sz w:val="22"/>
          <w:szCs w:val="22"/>
          <w:lang w:val="sr-Latn-ME"/>
        </w:rPr>
      </w:pPr>
    </w:p>
    <w:p w:rsidR="0072020E" w:rsidRPr="008E586D" w:rsidRDefault="0072020E" w:rsidP="00480FB1">
      <w:pPr>
        <w:tabs>
          <w:tab w:val="left" w:pos="540"/>
          <w:tab w:val="left" w:pos="569"/>
        </w:tabs>
        <w:rPr>
          <w:b/>
          <w:sz w:val="22"/>
          <w:szCs w:val="22"/>
          <w:lang w:val="sr-Latn-ME"/>
        </w:rPr>
      </w:pPr>
      <w:r w:rsidRPr="008E586D">
        <w:rPr>
          <w:b/>
          <w:bCs/>
          <w:sz w:val="22"/>
          <w:szCs w:val="22"/>
          <w:lang w:val="sr-Latn-ME"/>
        </w:rPr>
        <w:t xml:space="preserve">4.6. </w:t>
      </w:r>
      <w:r w:rsidR="00480FB1" w:rsidRPr="008E586D">
        <w:rPr>
          <w:b/>
          <w:bCs/>
          <w:sz w:val="22"/>
          <w:szCs w:val="22"/>
          <w:lang w:val="sr-Latn-ME"/>
        </w:rPr>
        <w:tab/>
      </w:r>
      <w:r w:rsidR="006D20A5" w:rsidRPr="008E586D">
        <w:rPr>
          <w:b/>
          <w:sz w:val="22"/>
          <w:szCs w:val="22"/>
          <w:lang w:val="sr-Latn-ME"/>
        </w:rPr>
        <w:t>Plodnost, trudnoća i dojenje</w:t>
      </w:r>
    </w:p>
    <w:p w:rsidR="002031B3" w:rsidRPr="008E586D" w:rsidRDefault="002031B3" w:rsidP="00480FB1">
      <w:pPr>
        <w:tabs>
          <w:tab w:val="left" w:pos="540"/>
          <w:tab w:val="left" w:pos="569"/>
        </w:tabs>
        <w:rPr>
          <w:sz w:val="22"/>
          <w:szCs w:val="22"/>
          <w:u w:val="single"/>
          <w:lang w:val="sr-Latn-ME"/>
        </w:rPr>
      </w:pPr>
    </w:p>
    <w:p w:rsidR="00873AA6" w:rsidRPr="008E586D" w:rsidRDefault="00873AA6" w:rsidP="00085CA6">
      <w:pPr>
        <w:autoSpaceDE w:val="0"/>
        <w:autoSpaceDN w:val="0"/>
        <w:adjustRightInd w:val="0"/>
        <w:jc w:val="both"/>
        <w:rPr>
          <w:rFonts w:eastAsia="TimesNewRoman"/>
          <w:sz w:val="22"/>
          <w:szCs w:val="22"/>
          <w:u w:val="single"/>
          <w:lang w:val="sr-Latn-ME" w:eastAsia="sr-Latn-ME"/>
        </w:rPr>
      </w:pPr>
      <w:r w:rsidRPr="008E586D">
        <w:rPr>
          <w:rFonts w:eastAsia="TimesNewRoman"/>
          <w:sz w:val="22"/>
          <w:szCs w:val="22"/>
          <w:u w:val="single"/>
          <w:lang w:val="sr-Latn-ME" w:eastAsia="sr-Latn-ME"/>
        </w:rPr>
        <w:t>Kontracepcija</w:t>
      </w:r>
    </w:p>
    <w:p w:rsidR="00873AA6" w:rsidRPr="008E586D" w:rsidRDefault="00873AA6" w:rsidP="00085CA6">
      <w:pPr>
        <w:autoSpaceDE w:val="0"/>
        <w:autoSpaceDN w:val="0"/>
        <w:adjustRightInd w:val="0"/>
        <w:jc w:val="both"/>
        <w:rPr>
          <w:rFonts w:eastAsia="TimesNewRoman"/>
          <w:sz w:val="22"/>
          <w:szCs w:val="22"/>
          <w:u w:val="single"/>
          <w:lang w:val="sr-Latn-ME" w:eastAsia="sr-Latn-ME"/>
        </w:rPr>
      </w:pPr>
    </w:p>
    <w:p w:rsidR="00873AA6" w:rsidRPr="008E586D" w:rsidRDefault="00873AA6" w:rsidP="00873AA6">
      <w:pPr>
        <w:tabs>
          <w:tab w:val="left" w:pos="540"/>
          <w:tab w:val="left" w:pos="569"/>
        </w:tabs>
        <w:jc w:val="both"/>
        <w:rPr>
          <w:bCs/>
          <w:sz w:val="22"/>
          <w:szCs w:val="22"/>
          <w:lang w:val="sr-Latn-ME"/>
        </w:rPr>
      </w:pPr>
      <w:r w:rsidRPr="008E586D">
        <w:rPr>
          <w:bCs/>
          <w:sz w:val="22"/>
          <w:szCs w:val="22"/>
          <w:lang w:val="sr-Latn-ME"/>
        </w:rPr>
        <w:t xml:space="preserve">Zbog moguće genotoksičnosti, treba savjetovati pacijentkinje sa reproduktivnim potencijalom da koriste visokoefikasnu kontracepciju tokom liječenja i 6 mjeseci nakon </w:t>
      </w:r>
      <w:r w:rsidR="00873E8A" w:rsidRPr="008E586D">
        <w:rPr>
          <w:bCs/>
          <w:sz w:val="22"/>
          <w:szCs w:val="22"/>
          <w:lang w:val="sr-Latn-ME"/>
        </w:rPr>
        <w:t>poslje</w:t>
      </w:r>
      <w:r w:rsidRPr="008E586D">
        <w:rPr>
          <w:bCs/>
          <w:sz w:val="22"/>
          <w:szCs w:val="22"/>
          <w:lang w:val="sr-Latn-ME"/>
        </w:rPr>
        <w:t>dnje doze irinotekana (vidjeti dio 4.4).</w:t>
      </w:r>
    </w:p>
    <w:p w:rsidR="00873AA6" w:rsidRPr="008E586D" w:rsidRDefault="00873AA6" w:rsidP="00873AA6">
      <w:pPr>
        <w:tabs>
          <w:tab w:val="left" w:pos="540"/>
          <w:tab w:val="left" w:pos="569"/>
        </w:tabs>
        <w:jc w:val="both"/>
        <w:rPr>
          <w:bCs/>
          <w:sz w:val="22"/>
          <w:szCs w:val="22"/>
          <w:lang w:val="sr-Latn-ME"/>
        </w:rPr>
      </w:pPr>
    </w:p>
    <w:p w:rsidR="00873AA6" w:rsidRPr="008E586D" w:rsidRDefault="00873AA6" w:rsidP="00873AA6">
      <w:pPr>
        <w:tabs>
          <w:tab w:val="left" w:pos="540"/>
          <w:tab w:val="left" w:pos="569"/>
        </w:tabs>
        <w:jc w:val="both"/>
        <w:rPr>
          <w:bCs/>
          <w:sz w:val="22"/>
          <w:szCs w:val="22"/>
          <w:lang w:val="sr-Latn-ME"/>
        </w:rPr>
      </w:pPr>
      <w:r w:rsidRPr="008E586D">
        <w:rPr>
          <w:bCs/>
          <w:sz w:val="22"/>
          <w:szCs w:val="22"/>
          <w:lang w:val="sr-Latn-ME"/>
        </w:rPr>
        <w:t xml:space="preserve">Zbog potencijalne genotoksičnosti, treba savjetovati muške pacijente sa partnerkama u reproduktivnom periodu da koriste efikasnu kontracepciju tokom liječenja i 3 mjeseca nakon </w:t>
      </w:r>
      <w:r w:rsidR="00873E8A" w:rsidRPr="008E586D">
        <w:rPr>
          <w:bCs/>
          <w:sz w:val="22"/>
          <w:szCs w:val="22"/>
          <w:lang w:val="sr-Latn-ME"/>
        </w:rPr>
        <w:t>poslje</w:t>
      </w:r>
      <w:r w:rsidRPr="008E586D">
        <w:rPr>
          <w:bCs/>
          <w:sz w:val="22"/>
          <w:szCs w:val="22"/>
          <w:lang w:val="sr-Latn-ME"/>
        </w:rPr>
        <w:t>dnje doze irinotekana (vidjeti dio 4.4).</w:t>
      </w:r>
    </w:p>
    <w:p w:rsidR="00085CA6" w:rsidRPr="008E586D" w:rsidRDefault="00085CA6" w:rsidP="00085CA6">
      <w:pPr>
        <w:autoSpaceDE w:val="0"/>
        <w:autoSpaceDN w:val="0"/>
        <w:adjustRightInd w:val="0"/>
        <w:jc w:val="both"/>
        <w:rPr>
          <w:color w:val="FF0000"/>
          <w:sz w:val="22"/>
          <w:szCs w:val="22"/>
          <w:u w:val="single"/>
          <w:lang w:val="sr-Latn-ME" w:bidi="bn-IN"/>
        </w:rPr>
      </w:pPr>
    </w:p>
    <w:p w:rsidR="00085CA6" w:rsidRPr="008E586D" w:rsidRDefault="00085CA6" w:rsidP="00085CA6">
      <w:pPr>
        <w:tabs>
          <w:tab w:val="left" w:pos="284"/>
        </w:tabs>
        <w:jc w:val="both"/>
        <w:rPr>
          <w:sz w:val="22"/>
          <w:szCs w:val="22"/>
          <w:u w:val="single"/>
          <w:lang w:val="sr-Latn-ME" w:bidi="bn-IN"/>
        </w:rPr>
      </w:pPr>
      <w:r w:rsidRPr="008E586D">
        <w:rPr>
          <w:sz w:val="22"/>
          <w:szCs w:val="22"/>
          <w:u w:val="single"/>
          <w:lang w:val="sr-Latn-ME" w:bidi="bn-IN"/>
        </w:rPr>
        <w:t xml:space="preserve">Trudnoća </w:t>
      </w:r>
    </w:p>
    <w:p w:rsidR="00085CA6" w:rsidRPr="008E586D" w:rsidRDefault="00873AA6" w:rsidP="00873AA6">
      <w:pPr>
        <w:autoSpaceDE w:val="0"/>
        <w:autoSpaceDN w:val="0"/>
        <w:adjustRightInd w:val="0"/>
        <w:jc w:val="both"/>
        <w:rPr>
          <w:rFonts w:eastAsia="TimesNewRoman"/>
          <w:sz w:val="22"/>
          <w:szCs w:val="22"/>
          <w:lang w:val="sr-Latn-ME" w:eastAsia="sr-Latn-ME"/>
        </w:rPr>
      </w:pPr>
      <w:r w:rsidRPr="008E586D">
        <w:rPr>
          <w:rFonts w:eastAsia="TimesNewRoman"/>
          <w:sz w:val="22"/>
          <w:szCs w:val="22"/>
          <w:lang w:val="sr-Latn-ME" w:eastAsia="sr-Latn-ME"/>
        </w:rPr>
        <w:t xml:space="preserve">Postoje ograničeni podaci </w:t>
      </w:r>
      <w:r w:rsidR="00085CA6" w:rsidRPr="008E586D">
        <w:rPr>
          <w:rFonts w:eastAsia="TimesNewRoman"/>
          <w:sz w:val="22"/>
          <w:szCs w:val="22"/>
          <w:lang w:val="sr-Latn-ME" w:eastAsia="sr-Latn-ME"/>
        </w:rPr>
        <w:t xml:space="preserve">o upotrebi irinotekana kod trudnica. Za irinotekan je pokazano da je embriotoksičan </w:t>
      </w:r>
      <w:r w:rsidRPr="008E586D">
        <w:rPr>
          <w:rFonts w:eastAsia="TimesNewRoman"/>
          <w:sz w:val="22"/>
          <w:szCs w:val="22"/>
          <w:lang w:val="sr-Latn-ME" w:eastAsia="sr-Latn-ME"/>
        </w:rPr>
        <w:t xml:space="preserve">I </w:t>
      </w:r>
      <w:r w:rsidR="00085CA6" w:rsidRPr="008E586D">
        <w:rPr>
          <w:rFonts w:eastAsia="TimesNewRoman"/>
          <w:sz w:val="22"/>
          <w:szCs w:val="22"/>
          <w:lang w:val="sr-Latn-ME" w:eastAsia="sr-Latn-ME"/>
        </w:rPr>
        <w:t>teratogen kod životinja</w:t>
      </w:r>
      <w:r w:rsidRPr="008E586D">
        <w:rPr>
          <w:rFonts w:eastAsia="TimesNewRoman"/>
          <w:sz w:val="22"/>
          <w:szCs w:val="22"/>
          <w:lang w:val="sr-Latn-ME" w:eastAsia="sr-Latn-ME"/>
        </w:rPr>
        <w:t xml:space="preserve"> (vidjeti dio 5.3)</w:t>
      </w:r>
      <w:r w:rsidR="00085CA6" w:rsidRPr="008E586D">
        <w:rPr>
          <w:rFonts w:eastAsia="TimesNewRoman"/>
          <w:sz w:val="22"/>
          <w:szCs w:val="22"/>
          <w:lang w:val="sr-Latn-ME" w:eastAsia="sr-Latn-ME"/>
        </w:rPr>
        <w:t>. Prema tome, na osnovu rezultata studija na životinjama i mehanizma dejstva</w:t>
      </w:r>
      <w:r w:rsidRPr="008E586D">
        <w:rPr>
          <w:rFonts w:eastAsia="TimesNewRoman"/>
          <w:sz w:val="22"/>
          <w:szCs w:val="22"/>
          <w:lang w:val="sr-Latn-ME" w:eastAsia="sr-Latn-ME"/>
        </w:rPr>
        <w:t xml:space="preserve"> i</w:t>
      </w:r>
      <w:r w:rsidR="00085CA6" w:rsidRPr="008E586D">
        <w:rPr>
          <w:rFonts w:eastAsia="TimesNewRoman"/>
          <w:sz w:val="22"/>
          <w:szCs w:val="22"/>
          <w:lang w:val="sr-Latn-ME" w:eastAsia="sr-Latn-ME"/>
        </w:rPr>
        <w:t>rinotekana, lijek Irinotecan Accord se ne smije koristiti tokom trudnoće osim ukoliko je to neophodno.</w:t>
      </w:r>
    </w:p>
    <w:p w:rsidR="00873AA6" w:rsidRPr="008E586D" w:rsidRDefault="00873AA6" w:rsidP="00085CA6">
      <w:pPr>
        <w:tabs>
          <w:tab w:val="left" w:pos="284"/>
        </w:tabs>
        <w:jc w:val="both"/>
        <w:rPr>
          <w:rFonts w:eastAsia="TimesNewRoman"/>
          <w:sz w:val="22"/>
          <w:szCs w:val="22"/>
          <w:lang w:val="sr-Latn-ME" w:eastAsia="sr-Latn-ME"/>
        </w:rPr>
      </w:pPr>
    </w:p>
    <w:p w:rsidR="00085CA6" w:rsidRPr="008E586D" w:rsidRDefault="00873AA6" w:rsidP="00085CA6">
      <w:pPr>
        <w:tabs>
          <w:tab w:val="left" w:pos="284"/>
        </w:tabs>
        <w:jc w:val="both"/>
        <w:rPr>
          <w:sz w:val="22"/>
          <w:szCs w:val="22"/>
          <w:lang w:val="sr-Latn-ME" w:bidi="bn-IN"/>
        </w:rPr>
      </w:pPr>
      <w:r w:rsidRPr="008E586D">
        <w:rPr>
          <w:sz w:val="22"/>
          <w:szCs w:val="22"/>
          <w:lang w:val="sr-Latn-ME" w:bidi="bn-IN"/>
        </w:rPr>
        <w:t>Žene u reproduktivnom periodu ne treba da započinju terapiju irinotekanom dok se ne isključi mogućnost trudnoće. Trudnoću treba izbjegavati ako bilo koji od partnera prima irinotekan.</w:t>
      </w:r>
    </w:p>
    <w:p w:rsidR="00873AA6" w:rsidRPr="008E586D" w:rsidRDefault="00873AA6" w:rsidP="00085CA6">
      <w:pPr>
        <w:tabs>
          <w:tab w:val="left" w:pos="284"/>
        </w:tabs>
        <w:jc w:val="both"/>
        <w:rPr>
          <w:sz w:val="22"/>
          <w:szCs w:val="22"/>
          <w:lang w:val="sr-Latn-ME" w:bidi="bn-IN"/>
        </w:rPr>
      </w:pPr>
    </w:p>
    <w:p w:rsidR="00085CA6" w:rsidRPr="008E586D" w:rsidRDefault="00085CA6" w:rsidP="00085CA6">
      <w:pPr>
        <w:tabs>
          <w:tab w:val="left" w:pos="284"/>
        </w:tabs>
        <w:jc w:val="both"/>
        <w:rPr>
          <w:sz w:val="22"/>
          <w:szCs w:val="22"/>
          <w:u w:val="single"/>
          <w:lang w:val="sr-Latn-ME" w:bidi="bn-IN"/>
        </w:rPr>
      </w:pPr>
      <w:r w:rsidRPr="008E586D">
        <w:rPr>
          <w:sz w:val="22"/>
          <w:szCs w:val="22"/>
          <w:u w:val="single"/>
          <w:lang w:val="sr-Latn-ME" w:bidi="bn-IN"/>
        </w:rPr>
        <w:t xml:space="preserve">Dojenje </w:t>
      </w:r>
    </w:p>
    <w:p w:rsidR="00085CA6" w:rsidRPr="008E586D" w:rsidRDefault="00873AA6" w:rsidP="00085CA6">
      <w:pPr>
        <w:autoSpaceDE w:val="0"/>
        <w:autoSpaceDN w:val="0"/>
        <w:adjustRightInd w:val="0"/>
        <w:jc w:val="both"/>
        <w:rPr>
          <w:rFonts w:eastAsia="TimesNewRoman"/>
          <w:sz w:val="22"/>
          <w:szCs w:val="22"/>
          <w:lang w:val="sr-Latn-ME" w:eastAsia="sr-Latn-ME"/>
        </w:rPr>
      </w:pPr>
      <w:r w:rsidRPr="008E586D">
        <w:rPr>
          <w:rFonts w:eastAsia="TimesNewRoman"/>
          <w:sz w:val="22"/>
          <w:szCs w:val="22"/>
          <w:lang w:val="sr-Latn-ME" w:eastAsia="sr-Latn-ME"/>
        </w:rPr>
        <w:t xml:space="preserve">Dostupni podaci su ograničeni, ali ukazuju na to da se </w:t>
      </w:r>
      <w:r w:rsidR="00085CA6" w:rsidRPr="008E586D">
        <w:rPr>
          <w:rFonts w:eastAsia="TimesNewRoman"/>
          <w:sz w:val="22"/>
          <w:szCs w:val="22"/>
          <w:lang w:val="sr-Latn-ME" w:eastAsia="sr-Latn-ME"/>
        </w:rPr>
        <w:t>irinotekan</w:t>
      </w:r>
      <w:r w:rsidRPr="008E586D">
        <w:rPr>
          <w:rFonts w:eastAsia="TimesNewRoman"/>
          <w:sz w:val="22"/>
          <w:szCs w:val="22"/>
          <w:lang w:val="sr-Latn-ME" w:eastAsia="sr-Latn-ME"/>
        </w:rPr>
        <w:t xml:space="preserve"> i njegovi metaboliti izlučuju </w:t>
      </w:r>
      <w:r w:rsidR="00085CA6" w:rsidRPr="008E586D">
        <w:rPr>
          <w:rFonts w:eastAsia="TimesNewRoman"/>
          <w:sz w:val="22"/>
          <w:szCs w:val="22"/>
          <w:lang w:val="sr-Latn-ME" w:eastAsia="sr-Latn-ME"/>
        </w:rPr>
        <w:t>u majčino mlijeko. Uzimajući to u obzir, kao i potencijal za izazivanje neželjenih reakcija kod odojčadi, dojenje se mora prekinuti tokom liječenja lijekom Irinotecan Accord (vidjeti dio 4.3</w:t>
      </w:r>
      <w:r w:rsidRPr="008E586D">
        <w:rPr>
          <w:rFonts w:eastAsia="TimesNewRoman"/>
          <w:sz w:val="22"/>
          <w:szCs w:val="22"/>
          <w:lang w:val="sr-Latn-ME" w:eastAsia="sr-Latn-ME"/>
        </w:rPr>
        <w:t xml:space="preserve"> i 4.4</w:t>
      </w:r>
      <w:r w:rsidR="00085CA6" w:rsidRPr="008E586D">
        <w:rPr>
          <w:rFonts w:eastAsia="TimesNewRoman"/>
          <w:sz w:val="22"/>
          <w:szCs w:val="22"/>
          <w:lang w:val="sr-Latn-ME" w:eastAsia="sr-Latn-ME"/>
        </w:rPr>
        <w:t>).</w:t>
      </w:r>
    </w:p>
    <w:p w:rsidR="00085CA6" w:rsidRPr="008E586D" w:rsidRDefault="00085CA6" w:rsidP="00085CA6">
      <w:pPr>
        <w:autoSpaceDE w:val="0"/>
        <w:autoSpaceDN w:val="0"/>
        <w:adjustRightInd w:val="0"/>
        <w:jc w:val="both"/>
        <w:rPr>
          <w:rFonts w:eastAsia="TimesNewRoman"/>
          <w:sz w:val="22"/>
          <w:szCs w:val="22"/>
          <w:lang w:val="sr-Latn-ME" w:eastAsia="sr-Latn-ME"/>
        </w:rPr>
      </w:pPr>
    </w:p>
    <w:p w:rsidR="00085CA6" w:rsidRPr="008E586D" w:rsidRDefault="00085CA6" w:rsidP="00085CA6">
      <w:pPr>
        <w:tabs>
          <w:tab w:val="left" w:pos="284"/>
        </w:tabs>
        <w:jc w:val="both"/>
        <w:rPr>
          <w:sz w:val="22"/>
          <w:szCs w:val="22"/>
          <w:u w:val="single"/>
          <w:lang w:val="sr-Latn-ME" w:bidi="bn-IN"/>
        </w:rPr>
      </w:pPr>
      <w:r w:rsidRPr="008E586D">
        <w:rPr>
          <w:sz w:val="22"/>
          <w:szCs w:val="22"/>
          <w:u w:val="single"/>
          <w:lang w:val="sr-Latn-ME" w:bidi="bn-IN"/>
        </w:rPr>
        <w:t xml:space="preserve">Plodnost </w:t>
      </w:r>
    </w:p>
    <w:p w:rsidR="00085CA6" w:rsidRPr="008E586D" w:rsidRDefault="00085CA6" w:rsidP="00085CA6">
      <w:pPr>
        <w:autoSpaceDE w:val="0"/>
        <w:autoSpaceDN w:val="0"/>
        <w:adjustRightInd w:val="0"/>
        <w:jc w:val="both"/>
        <w:rPr>
          <w:rFonts w:eastAsia="TimesNewRoman"/>
          <w:b/>
          <w:sz w:val="22"/>
          <w:szCs w:val="22"/>
          <w:lang w:val="sr-Latn-ME" w:eastAsia="sr-Latn-ME"/>
        </w:rPr>
      </w:pPr>
      <w:r w:rsidRPr="008E586D">
        <w:rPr>
          <w:rFonts w:eastAsia="TimesNewRoman"/>
          <w:sz w:val="22"/>
          <w:szCs w:val="22"/>
          <w:lang w:val="sr-Latn-ME" w:eastAsia="sr-Latn-ME"/>
        </w:rPr>
        <w:t>Nema podataka o efektu irinotekana na plodnost kod ljudi. Kod životinja su pokazana neželjena dejstva irinotekana na plodnost mladunaca (vidjeti dio 5.3).</w:t>
      </w:r>
      <w:r w:rsidR="00827A93" w:rsidRPr="008E586D">
        <w:rPr>
          <w:rFonts w:ascii="Helvetica" w:hAnsi="Helvetica"/>
          <w:color w:val="5F6368"/>
          <w:sz w:val="23"/>
          <w:szCs w:val="23"/>
          <w:shd w:val="clear" w:color="auto" w:fill="F5F5F5"/>
          <w:lang w:val="sr-Latn-ME"/>
        </w:rPr>
        <w:t xml:space="preserve"> </w:t>
      </w:r>
      <w:r w:rsidR="00827A93" w:rsidRPr="008E586D">
        <w:rPr>
          <w:rFonts w:eastAsia="TimesNewRoman"/>
          <w:b/>
          <w:sz w:val="22"/>
          <w:szCs w:val="22"/>
          <w:lang w:val="sr-Latn-ME" w:eastAsia="sr-Latn-ME"/>
        </w:rPr>
        <w:t>Prije nego što počnete da uzimate lijek Irinotecan Accord, razmislite o savjetovanju pacijenata o očuvanju polnih ćelija.</w:t>
      </w:r>
    </w:p>
    <w:p w:rsidR="00227BDB" w:rsidRPr="008E586D" w:rsidRDefault="00227BDB" w:rsidP="00396DFD">
      <w:pPr>
        <w:tabs>
          <w:tab w:val="left" w:pos="540"/>
          <w:tab w:val="left" w:pos="569"/>
        </w:tabs>
        <w:ind w:left="540" w:hanging="540"/>
        <w:rPr>
          <w:b/>
          <w:bCs/>
          <w:sz w:val="22"/>
          <w:szCs w:val="22"/>
          <w:lang w:val="sr-Latn-ME"/>
        </w:rPr>
      </w:pPr>
    </w:p>
    <w:p w:rsidR="0072020E" w:rsidRPr="008E586D" w:rsidRDefault="0072020E" w:rsidP="00396DFD">
      <w:pPr>
        <w:tabs>
          <w:tab w:val="left" w:pos="540"/>
          <w:tab w:val="left" w:pos="569"/>
        </w:tabs>
        <w:ind w:left="540" w:hanging="540"/>
        <w:rPr>
          <w:b/>
          <w:bCs/>
          <w:sz w:val="22"/>
          <w:szCs w:val="22"/>
          <w:lang w:val="sr-Latn-ME"/>
        </w:rPr>
      </w:pPr>
      <w:r w:rsidRPr="008E586D">
        <w:rPr>
          <w:b/>
          <w:bCs/>
          <w:sz w:val="22"/>
          <w:szCs w:val="22"/>
          <w:lang w:val="sr-Latn-ME"/>
        </w:rPr>
        <w:t xml:space="preserve">4.7. </w:t>
      </w:r>
      <w:r w:rsidR="00480FB1" w:rsidRPr="008E586D">
        <w:rPr>
          <w:b/>
          <w:bCs/>
          <w:sz w:val="22"/>
          <w:szCs w:val="22"/>
          <w:lang w:val="sr-Latn-ME"/>
        </w:rPr>
        <w:tab/>
      </w:r>
      <w:r w:rsidRPr="008E586D">
        <w:rPr>
          <w:b/>
          <w:bCs/>
          <w:sz w:val="22"/>
          <w:szCs w:val="22"/>
          <w:lang w:val="sr-Latn-ME"/>
        </w:rPr>
        <w:t xml:space="preserve">Uticaj na </w:t>
      </w:r>
      <w:r w:rsidR="002031B3" w:rsidRPr="008E586D">
        <w:rPr>
          <w:b/>
          <w:bCs/>
          <w:sz w:val="22"/>
          <w:szCs w:val="22"/>
          <w:lang w:val="sr-Latn-ME"/>
        </w:rPr>
        <w:t xml:space="preserve">sposobnost </w:t>
      </w:r>
      <w:r w:rsidR="00F34554" w:rsidRPr="008E586D">
        <w:rPr>
          <w:b/>
          <w:bCs/>
          <w:sz w:val="22"/>
          <w:szCs w:val="22"/>
          <w:lang w:val="sr-Latn-ME"/>
        </w:rPr>
        <w:t>upravljanja vozili</w:t>
      </w:r>
      <w:r w:rsidRPr="008E586D">
        <w:rPr>
          <w:b/>
          <w:bCs/>
          <w:sz w:val="22"/>
          <w:szCs w:val="22"/>
          <w:lang w:val="sr-Latn-ME"/>
        </w:rPr>
        <w:t>m</w:t>
      </w:r>
      <w:r w:rsidR="00F34554" w:rsidRPr="008E586D">
        <w:rPr>
          <w:b/>
          <w:bCs/>
          <w:sz w:val="22"/>
          <w:szCs w:val="22"/>
          <w:lang w:val="sr-Latn-ME"/>
        </w:rPr>
        <w:t>a</w:t>
      </w:r>
      <w:r w:rsidRPr="008E586D">
        <w:rPr>
          <w:b/>
          <w:bCs/>
          <w:sz w:val="22"/>
          <w:szCs w:val="22"/>
          <w:lang w:val="sr-Latn-ME"/>
        </w:rPr>
        <w:t xml:space="preserve"> i </w:t>
      </w:r>
      <w:r w:rsidR="000D3449" w:rsidRPr="008E586D">
        <w:rPr>
          <w:b/>
          <w:bCs/>
          <w:sz w:val="22"/>
          <w:szCs w:val="22"/>
          <w:lang w:val="sr-Latn-ME"/>
        </w:rPr>
        <w:t xml:space="preserve">rukovanje </w:t>
      </w:r>
      <w:r w:rsidRPr="008E586D">
        <w:rPr>
          <w:b/>
          <w:bCs/>
          <w:sz w:val="22"/>
          <w:szCs w:val="22"/>
          <w:lang w:val="sr-Latn-ME"/>
        </w:rPr>
        <w:t>mašinama</w:t>
      </w:r>
    </w:p>
    <w:p w:rsidR="00085CA6" w:rsidRPr="008E586D" w:rsidRDefault="00085CA6" w:rsidP="00396DFD">
      <w:pPr>
        <w:tabs>
          <w:tab w:val="left" w:pos="540"/>
          <w:tab w:val="left" w:pos="569"/>
        </w:tabs>
        <w:ind w:left="540" w:hanging="540"/>
        <w:rPr>
          <w:b/>
          <w:bCs/>
          <w:sz w:val="22"/>
          <w:szCs w:val="22"/>
          <w:lang w:val="sr-Latn-ME"/>
        </w:rPr>
      </w:pPr>
    </w:p>
    <w:p w:rsidR="00085CA6" w:rsidRPr="008E586D" w:rsidRDefault="00DE071F" w:rsidP="00085CA6">
      <w:pPr>
        <w:autoSpaceDE w:val="0"/>
        <w:autoSpaceDN w:val="0"/>
        <w:adjustRightInd w:val="0"/>
        <w:jc w:val="both"/>
        <w:rPr>
          <w:rFonts w:eastAsia="TimesNewRoman"/>
          <w:sz w:val="22"/>
          <w:szCs w:val="22"/>
          <w:lang w:val="sr-Latn-ME" w:eastAsia="sr-Latn-ME"/>
        </w:rPr>
      </w:pPr>
      <w:r w:rsidRPr="008E586D">
        <w:rPr>
          <w:rFonts w:eastAsia="TimesNewRoman"/>
          <w:sz w:val="22"/>
          <w:szCs w:val="22"/>
          <w:lang w:val="sr-Latn-ME" w:eastAsia="sr-Latn-ME"/>
        </w:rPr>
        <w:t xml:space="preserve">Lijek Irinotecan Accord ima umjeren uticaj na sposobnost upravljanja vozilima i rukovanje mašinama. </w:t>
      </w:r>
      <w:r w:rsidR="00085CA6" w:rsidRPr="008E586D">
        <w:rPr>
          <w:rFonts w:eastAsia="TimesNewRoman"/>
          <w:sz w:val="22"/>
          <w:szCs w:val="22"/>
          <w:lang w:val="sr-Latn-ME" w:eastAsia="sr-Latn-ME"/>
        </w:rPr>
        <w:t xml:space="preserve">Pacijente treba upozoriti na mogućnost pojave vrtoglavice ili poremećaja vida u periodu od 24 sata </w:t>
      </w:r>
      <w:r w:rsidR="00873E8A" w:rsidRPr="008E586D">
        <w:rPr>
          <w:rFonts w:eastAsia="TimesNewRoman"/>
          <w:sz w:val="22"/>
          <w:szCs w:val="22"/>
          <w:lang w:val="sr-Latn-ME" w:eastAsia="sr-Latn-ME"/>
        </w:rPr>
        <w:t>poslije</w:t>
      </w:r>
      <w:r w:rsidR="00085CA6" w:rsidRPr="008E586D">
        <w:rPr>
          <w:rFonts w:eastAsia="TimesNewRoman"/>
          <w:sz w:val="22"/>
          <w:szCs w:val="22"/>
          <w:lang w:val="sr-Latn-ME" w:eastAsia="sr-Latn-ME"/>
        </w:rPr>
        <w:t xml:space="preserve"> primjene lijeka Irinotecan Accord i savjetovati ih da ne upravljaju vozilima ni rukuju mašinama ako do ovih simptoma dođe.</w:t>
      </w:r>
    </w:p>
    <w:p w:rsidR="0072020E" w:rsidRPr="008E586D" w:rsidRDefault="0072020E" w:rsidP="00480FB1">
      <w:pPr>
        <w:tabs>
          <w:tab w:val="left" w:pos="540"/>
          <w:tab w:val="left" w:pos="569"/>
        </w:tabs>
        <w:rPr>
          <w:b/>
          <w:bCs/>
          <w:sz w:val="22"/>
          <w:szCs w:val="22"/>
          <w:lang w:val="sr-Latn-ME"/>
        </w:rPr>
      </w:pPr>
    </w:p>
    <w:p w:rsidR="0072020E" w:rsidRPr="008E586D" w:rsidRDefault="0072020E" w:rsidP="00480FB1">
      <w:pPr>
        <w:tabs>
          <w:tab w:val="left" w:pos="540"/>
          <w:tab w:val="left" w:pos="569"/>
        </w:tabs>
        <w:rPr>
          <w:b/>
          <w:bCs/>
          <w:sz w:val="22"/>
          <w:szCs w:val="22"/>
          <w:lang w:val="sr-Latn-ME"/>
        </w:rPr>
      </w:pPr>
      <w:r w:rsidRPr="008E586D">
        <w:rPr>
          <w:b/>
          <w:bCs/>
          <w:sz w:val="22"/>
          <w:szCs w:val="22"/>
          <w:lang w:val="sr-Latn-ME"/>
        </w:rPr>
        <w:t xml:space="preserve">4.8. </w:t>
      </w:r>
      <w:r w:rsidR="00480FB1" w:rsidRPr="008E586D">
        <w:rPr>
          <w:b/>
          <w:bCs/>
          <w:sz w:val="22"/>
          <w:szCs w:val="22"/>
          <w:lang w:val="sr-Latn-ME"/>
        </w:rPr>
        <w:tab/>
      </w:r>
      <w:r w:rsidRPr="008E586D">
        <w:rPr>
          <w:b/>
          <w:bCs/>
          <w:sz w:val="22"/>
          <w:szCs w:val="22"/>
          <w:lang w:val="sr-Latn-ME"/>
        </w:rPr>
        <w:t>Neželjena dejstva</w:t>
      </w:r>
    </w:p>
    <w:p w:rsidR="00D353D5" w:rsidRPr="008E586D" w:rsidRDefault="00D353D5" w:rsidP="00480FB1">
      <w:pPr>
        <w:tabs>
          <w:tab w:val="left" w:pos="540"/>
          <w:tab w:val="left" w:pos="569"/>
        </w:tabs>
        <w:rPr>
          <w:b/>
          <w:bCs/>
          <w:sz w:val="22"/>
          <w:szCs w:val="22"/>
          <w:lang w:val="sr-Latn-ME"/>
        </w:rPr>
      </w:pPr>
    </w:p>
    <w:p w:rsidR="00D353D5" w:rsidRPr="008E586D" w:rsidRDefault="00D353D5" w:rsidP="00D353D5">
      <w:pPr>
        <w:autoSpaceDE w:val="0"/>
        <w:autoSpaceDN w:val="0"/>
        <w:adjustRightInd w:val="0"/>
        <w:jc w:val="both"/>
        <w:rPr>
          <w:rFonts w:eastAsia="TimesNewRoman,Bold"/>
          <w:b/>
          <w:bCs/>
          <w:sz w:val="22"/>
          <w:szCs w:val="22"/>
          <w:lang w:val="sr-Latn-ME" w:eastAsia="sr-Latn-ME"/>
        </w:rPr>
      </w:pPr>
      <w:r w:rsidRPr="008E586D">
        <w:rPr>
          <w:rFonts w:eastAsia="TimesNewRoman,Bold"/>
          <w:b/>
          <w:bCs/>
          <w:sz w:val="22"/>
          <w:szCs w:val="22"/>
          <w:lang w:val="sr-Latn-ME" w:eastAsia="sr-Latn-ME"/>
        </w:rPr>
        <w:t>KLINIČKE STUDIJE</w:t>
      </w:r>
    </w:p>
    <w:p w:rsidR="00694A42" w:rsidRPr="008E586D" w:rsidRDefault="00694A42" w:rsidP="00D353D5">
      <w:pPr>
        <w:autoSpaceDE w:val="0"/>
        <w:autoSpaceDN w:val="0"/>
        <w:adjustRightInd w:val="0"/>
        <w:jc w:val="both"/>
        <w:rPr>
          <w:rFonts w:eastAsia="TimesNewRoman,Bold"/>
          <w:b/>
          <w:bCs/>
          <w:sz w:val="22"/>
          <w:szCs w:val="22"/>
          <w:lang w:val="sr-Latn-ME" w:eastAsia="sr-Latn-ME"/>
        </w:rPr>
      </w:pPr>
    </w:p>
    <w:p w:rsidR="00D353D5" w:rsidRPr="008E586D" w:rsidRDefault="00D353D5" w:rsidP="00D353D5">
      <w:pPr>
        <w:autoSpaceDE w:val="0"/>
        <w:autoSpaceDN w:val="0"/>
        <w:adjustRightInd w:val="0"/>
        <w:jc w:val="both"/>
        <w:rPr>
          <w:rFonts w:eastAsia="TimesNewRoman"/>
          <w:sz w:val="22"/>
          <w:szCs w:val="22"/>
          <w:lang w:val="sr-Latn-ME" w:eastAsia="sr-Latn-ME"/>
        </w:rPr>
      </w:pPr>
      <w:r w:rsidRPr="008E586D">
        <w:rPr>
          <w:rFonts w:eastAsia="TimesNewRoman"/>
          <w:sz w:val="22"/>
          <w:szCs w:val="22"/>
          <w:lang w:val="sr-Latn-ME" w:eastAsia="sr-Latn-ME"/>
        </w:rPr>
        <w:t>Podaci o neželjenim reakcijama su intenzivno prikupljani tokom kliničkih studija kod pacijenata sa</w:t>
      </w:r>
    </w:p>
    <w:p w:rsidR="00D353D5" w:rsidRPr="008E586D" w:rsidRDefault="00D353D5" w:rsidP="00D353D5">
      <w:pPr>
        <w:autoSpaceDE w:val="0"/>
        <w:autoSpaceDN w:val="0"/>
        <w:adjustRightInd w:val="0"/>
        <w:jc w:val="both"/>
        <w:rPr>
          <w:rFonts w:eastAsia="TimesNewRoman"/>
          <w:sz w:val="22"/>
          <w:szCs w:val="22"/>
          <w:lang w:val="sr-Latn-ME" w:eastAsia="sr-Latn-ME"/>
        </w:rPr>
      </w:pPr>
      <w:r w:rsidRPr="008E586D">
        <w:rPr>
          <w:rFonts w:eastAsia="TimesNewRoman"/>
          <w:sz w:val="22"/>
          <w:szCs w:val="22"/>
          <w:lang w:val="sr-Latn-ME" w:eastAsia="sr-Latn-ME"/>
        </w:rPr>
        <w:t xml:space="preserve">metastatskim kolorektalnim karcinomom, a učestalost je prikazana u nastavku teksta. </w:t>
      </w:r>
      <w:r w:rsidR="00527D76" w:rsidRPr="008E586D">
        <w:rPr>
          <w:rFonts w:eastAsia="TimesNewRoman"/>
          <w:sz w:val="22"/>
          <w:szCs w:val="22"/>
          <w:lang w:val="sr-Latn-ME" w:eastAsia="sr-Latn-ME"/>
        </w:rPr>
        <w:t>Očekuje se da će neželjene reakcije za druge indikacije biti slične onima za kolorektalni karcinom.</w:t>
      </w:r>
    </w:p>
    <w:p w:rsidR="00527D76" w:rsidRPr="008E586D" w:rsidRDefault="00527D76" w:rsidP="00D353D5">
      <w:pPr>
        <w:autoSpaceDE w:val="0"/>
        <w:autoSpaceDN w:val="0"/>
        <w:adjustRightInd w:val="0"/>
        <w:jc w:val="both"/>
        <w:rPr>
          <w:rFonts w:eastAsia="TimesNewRoman"/>
          <w:sz w:val="22"/>
          <w:szCs w:val="22"/>
          <w:lang w:val="sr-Latn-ME" w:eastAsia="sr-Latn-ME"/>
        </w:rPr>
      </w:pPr>
    </w:p>
    <w:p w:rsidR="00D353D5" w:rsidRPr="008E586D" w:rsidRDefault="00D353D5" w:rsidP="00D353D5">
      <w:pPr>
        <w:autoSpaceDE w:val="0"/>
        <w:autoSpaceDN w:val="0"/>
        <w:adjustRightInd w:val="0"/>
        <w:jc w:val="both"/>
        <w:rPr>
          <w:rFonts w:eastAsia="TimesNewRoman"/>
          <w:sz w:val="22"/>
          <w:szCs w:val="22"/>
          <w:lang w:val="sr-Latn-ME" w:eastAsia="sr-Latn-ME"/>
        </w:rPr>
      </w:pPr>
      <w:r w:rsidRPr="008E586D">
        <w:rPr>
          <w:rFonts w:eastAsia="TimesNewRoman"/>
          <w:sz w:val="22"/>
          <w:szCs w:val="22"/>
          <w:lang w:val="sr-Latn-ME" w:eastAsia="sr-Latn-ME"/>
        </w:rPr>
        <w:t>Najčešće (≥1/10) neželjene reakcije koje ograničavaju povećanje doze su odložena dijareja (koja se</w:t>
      </w:r>
    </w:p>
    <w:p w:rsidR="00D353D5" w:rsidRPr="008E586D" w:rsidRDefault="00D353D5" w:rsidP="00D353D5">
      <w:pPr>
        <w:autoSpaceDE w:val="0"/>
        <w:autoSpaceDN w:val="0"/>
        <w:adjustRightInd w:val="0"/>
        <w:jc w:val="both"/>
        <w:rPr>
          <w:rFonts w:eastAsia="TimesNewRoman"/>
          <w:sz w:val="22"/>
          <w:szCs w:val="22"/>
          <w:lang w:val="sr-Latn-ME" w:eastAsia="sr-Latn-ME"/>
        </w:rPr>
      </w:pPr>
      <w:r w:rsidRPr="008E586D">
        <w:rPr>
          <w:rFonts w:eastAsia="TimesNewRoman"/>
          <w:sz w:val="22"/>
          <w:szCs w:val="22"/>
          <w:lang w:val="sr-Latn-ME" w:eastAsia="sr-Latn-ME"/>
        </w:rPr>
        <w:t xml:space="preserve">pojavljuje više od 24 h </w:t>
      </w:r>
      <w:r w:rsidR="00873E8A" w:rsidRPr="008E586D">
        <w:rPr>
          <w:rFonts w:eastAsia="TimesNewRoman"/>
          <w:sz w:val="22"/>
          <w:szCs w:val="22"/>
          <w:lang w:val="sr-Latn-ME" w:eastAsia="sr-Latn-ME"/>
        </w:rPr>
        <w:t>poslije</w:t>
      </w:r>
      <w:r w:rsidRPr="008E586D">
        <w:rPr>
          <w:rFonts w:eastAsia="TimesNewRoman"/>
          <w:sz w:val="22"/>
          <w:szCs w:val="22"/>
          <w:lang w:val="sr-Latn-ME" w:eastAsia="sr-Latn-ME"/>
        </w:rPr>
        <w:t xml:space="preserve"> primjene lijeka) i poremećaji krvi uključujući neutropeniju, anemiju i</w:t>
      </w:r>
    </w:p>
    <w:p w:rsidR="00D353D5" w:rsidRPr="008E586D" w:rsidRDefault="00D353D5" w:rsidP="00D353D5">
      <w:pPr>
        <w:autoSpaceDE w:val="0"/>
        <w:autoSpaceDN w:val="0"/>
        <w:adjustRightInd w:val="0"/>
        <w:jc w:val="both"/>
        <w:rPr>
          <w:rFonts w:eastAsia="TimesNewRoman"/>
          <w:sz w:val="22"/>
          <w:szCs w:val="22"/>
          <w:lang w:val="sr-Latn-ME" w:eastAsia="sr-Latn-ME"/>
        </w:rPr>
      </w:pPr>
      <w:r w:rsidRPr="008E586D">
        <w:rPr>
          <w:rFonts w:eastAsia="TimesNewRoman"/>
          <w:sz w:val="22"/>
          <w:szCs w:val="22"/>
          <w:lang w:val="sr-Latn-ME" w:eastAsia="sr-Latn-ME"/>
        </w:rPr>
        <w:t>trombocitopeniju.</w:t>
      </w:r>
    </w:p>
    <w:p w:rsidR="00527D76" w:rsidRPr="008E586D" w:rsidRDefault="00527D76" w:rsidP="00D353D5">
      <w:pPr>
        <w:autoSpaceDE w:val="0"/>
        <w:autoSpaceDN w:val="0"/>
        <w:adjustRightInd w:val="0"/>
        <w:jc w:val="both"/>
        <w:rPr>
          <w:rFonts w:eastAsia="TimesNewRoman"/>
          <w:sz w:val="22"/>
          <w:szCs w:val="22"/>
          <w:lang w:val="sr-Latn-ME" w:eastAsia="sr-Latn-ME"/>
        </w:rPr>
      </w:pPr>
    </w:p>
    <w:p w:rsidR="00D353D5" w:rsidRPr="008E586D" w:rsidRDefault="00D353D5" w:rsidP="00D353D5">
      <w:pPr>
        <w:autoSpaceDE w:val="0"/>
        <w:autoSpaceDN w:val="0"/>
        <w:adjustRightInd w:val="0"/>
        <w:jc w:val="both"/>
        <w:rPr>
          <w:rFonts w:eastAsia="TimesNewRoman"/>
          <w:sz w:val="22"/>
          <w:szCs w:val="22"/>
          <w:lang w:val="sr-Latn-ME" w:eastAsia="sr-Latn-ME"/>
        </w:rPr>
      </w:pPr>
      <w:r w:rsidRPr="008E586D">
        <w:rPr>
          <w:rFonts w:eastAsia="TimesNewRoman"/>
          <w:sz w:val="22"/>
          <w:szCs w:val="22"/>
          <w:lang w:val="sr-Latn-ME" w:eastAsia="sr-Latn-ME"/>
        </w:rPr>
        <w:t>Neutropenija je toksični efekat koji ograničava povećanje doze. Neutropenija je bila reverzibilna i nije imala kumulativni karakter; medijana pojave najmanjeg broja neutrofila iznosila je 8 dana, bez obzira da li je lijek bio korišćen u monoterapiji ili kombinovanoj terapiji.</w:t>
      </w:r>
    </w:p>
    <w:p w:rsidR="00971342" w:rsidRPr="008E586D" w:rsidRDefault="00971342" w:rsidP="00D353D5">
      <w:pPr>
        <w:autoSpaceDE w:val="0"/>
        <w:autoSpaceDN w:val="0"/>
        <w:adjustRightInd w:val="0"/>
        <w:jc w:val="both"/>
        <w:rPr>
          <w:rFonts w:eastAsia="TimesNewRoman"/>
          <w:sz w:val="22"/>
          <w:szCs w:val="22"/>
          <w:lang w:val="sr-Latn-ME" w:eastAsia="sr-Latn-ME"/>
        </w:rPr>
      </w:pPr>
    </w:p>
    <w:p w:rsidR="00D353D5" w:rsidRPr="008E586D" w:rsidRDefault="00D353D5" w:rsidP="00D353D5">
      <w:pPr>
        <w:autoSpaceDE w:val="0"/>
        <w:autoSpaceDN w:val="0"/>
        <w:adjustRightInd w:val="0"/>
        <w:jc w:val="both"/>
        <w:rPr>
          <w:rFonts w:eastAsia="TimesNewRoman"/>
          <w:sz w:val="22"/>
          <w:szCs w:val="22"/>
          <w:lang w:val="sr-Latn-ME" w:eastAsia="sr-Latn-ME"/>
        </w:rPr>
      </w:pPr>
      <w:r w:rsidRPr="008E586D">
        <w:rPr>
          <w:rFonts w:eastAsia="TimesNewRoman"/>
          <w:sz w:val="22"/>
          <w:szCs w:val="22"/>
          <w:lang w:val="sr-Latn-ME" w:eastAsia="sr-Latn-ME"/>
        </w:rPr>
        <w:lastRenderedPageBreak/>
        <w:t>Težak akutni holinergički sindrom prolaznog karaktera zabilježen je veoma često.</w:t>
      </w:r>
      <w:r w:rsidR="00971342" w:rsidRPr="008E586D">
        <w:rPr>
          <w:rFonts w:eastAsia="TimesNewRoman"/>
          <w:sz w:val="22"/>
          <w:szCs w:val="22"/>
          <w:lang w:val="sr-Latn-ME" w:eastAsia="sr-Latn-ME"/>
        </w:rPr>
        <w:t xml:space="preserve"> </w:t>
      </w:r>
      <w:r w:rsidRPr="008E586D">
        <w:rPr>
          <w:rFonts w:eastAsia="TimesNewRoman"/>
          <w:sz w:val="22"/>
          <w:szCs w:val="22"/>
          <w:lang w:val="sr-Latn-ME" w:eastAsia="sr-Latn-ME"/>
        </w:rPr>
        <w:t>Glavni simptomi definisani su kao rana dijareja i različiti drugi simptomi, kao što su bolovi u trbuhu,</w:t>
      </w:r>
      <w:r w:rsidR="00971342" w:rsidRPr="008E586D">
        <w:rPr>
          <w:rFonts w:eastAsia="TimesNewRoman"/>
          <w:sz w:val="22"/>
          <w:szCs w:val="22"/>
          <w:lang w:val="sr-Latn-ME" w:eastAsia="sr-Latn-ME"/>
        </w:rPr>
        <w:t xml:space="preserve"> </w:t>
      </w:r>
      <w:r w:rsidRPr="008E586D">
        <w:rPr>
          <w:rFonts w:eastAsia="TimesNewRoman"/>
          <w:sz w:val="22"/>
          <w:szCs w:val="22"/>
          <w:lang w:val="sr-Latn-ME" w:eastAsia="sr-Latn-ME"/>
        </w:rPr>
        <w:t xml:space="preserve">znojenje, mioza i pojačana salivacija, koji se javljaju tokom prvih 24 sata od primjene infuzije lijeka Irinotecan Accord </w:t>
      </w:r>
      <w:r w:rsidR="00971342" w:rsidRPr="008E586D">
        <w:rPr>
          <w:rFonts w:eastAsia="TimesNewRoman"/>
          <w:sz w:val="22"/>
          <w:szCs w:val="22"/>
          <w:lang w:val="sr-Latn-ME" w:eastAsia="sr-Latn-ME"/>
        </w:rPr>
        <w:t>i</w:t>
      </w:r>
      <w:r w:rsidRPr="008E586D">
        <w:rPr>
          <w:rFonts w:eastAsia="TimesNewRoman"/>
          <w:sz w:val="22"/>
          <w:szCs w:val="22"/>
          <w:lang w:val="sr-Latn-ME" w:eastAsia="sr-Latn-ME"/>
        </w:rPr>
        <w:t xml:space="preserve"> povlače se nakon prim</w:t>
      </w:r>
      <w:r w:rsidR="00971342" w:rsidRPr="008E586D">
        <w:rPr>
          <w:rFonts w:eastAsia="TimesNewRoman"/>
          <w:sz w:val="22"/>
          <w:szCs w:val="22"/>
          <w:lang w:val="sr-Latn-ME" w:eastAsia="sr-Latn-ME"/>
        </w:rPr>
        <w:t>j</w:t>
      </w:r>
      <w:r w:rsidRPr="008E586D">
        <w:rPr>
          <w:rFonts w:eastAsia="TimesNewRoman"/>
          <w:sz w:val="22"/>
          <w:szCs w:val="22"/>
          <w:lang w:val="sr-Latn-ME" w:eastAsia="sr-Latn-ME"/>
        </w:rPr>
        <w:t>ene atropina (vidjeti dio 4.4).</w:t>
      </w:r>
    </w:p>
    <w:p w:rsidR="00D353D5" w:rsidRPr="008E586D" w:rsidRDefault="00D353D5" w:rsidP="00D353D5">
      <w:pPr>
        <w:autoSpaceDE w:val="0"/>
        <w:autoSpaceDN w:val="0"/>
        <w:adjustRightInd w:val="0"/>
        <w:jc w:val="both"/>
        <w:rPr>
          <w:rFonts w:eastAsia="TimesNewRoman"/>
          <w:sz w:val="22"/>
          <w:szCs w:val="22"/>
          <w:lang w:val="sr-Latn-ME" w:eastAsia="sr-Latn-ME"/>
        </w:rPr>
      </w:pPr>
    </w:p>
    <w:p w:rsidR="00D353D5" w:rsidRPr="008E586D" w:rsidRDefault="00D353D5" w:rsidP="00D353D5">
      <w:pPr>
        <w:autoSpaceDE w:val="0"/>
        <w:autoSpaceDN w:val="0"/>
        <w:adjustRightInd w:val="0"/>
        <w:jc w:val="both"/>
        <w:rPr>
          <w:rFonts w:eastAsia="TimesNewRoman,Bold"/>
          <w:b/>
          <w:bCs/>
          <w:sz w:val="22"/>
          <w:szCs w:val="22"/>
          <w:lang w:val="sr-Latn-ME" w:eastAsia="sr-Latn-ME"/>
        </w:rPr>
      </w:pPr>
      <w:r w:rsidRPr="008E586D">
        <w:rPr>
          <w:rFonts w:eastAsia="TimesNewRoman,Bold"/>
          <w:b/>
          <w:bCs/>
          <w:sz w:val="22"/>
          <w:szCs w:val="22"/>
          <w:lang w:val="sr-Latn-ME" w:eastAsia="sr-Latn-ME"/>
        </w:rPr>
        <w:t>MONOTERAPIJA</w:t>
      </w:r>
      <w:r w:rsidR="00971342" w:rsidRPr="008E586D">
        <w:rPr>
          <w:rFonts w:eastAsia="TimesNewRoman,Bold"/>
          <w:b/>
          <w:bCs/>
          <w:sz w:val="22"/>
          <w:szCs w:val="22"/>
          <w:lang w:val="sr-Latn-ME" w:eastAsia="sr-Latn-ME"/>
        </w:rPr>
        <w:t xml:space="preserve"> I POSTAMARKETINŠKO PRAĆENJE</w:t>
      </w:r>
    </w:p>
    <w:p w:rsidR="00971342" w:rsidRPr="008E586D" w:rsidRDefault="00971342" w:rsidP="00D353D5">
      <w:pPr>
        <w:autoSpaceDE w:val="0"/>
        <w:autoSpaceDN w:val="0"/>
        <w:adjustRightInd w:val="0"/>
        <w:jc w:val="both"/>
        <w:rPr>
          <w:rFonts w:eastAsia="TimesNewRoman,Bold"/>
          <w:b/>
          <w:bCs/>
          <w:sz w:val="22"/>
          <w:szCs w:val="22"/>
          <w:lang w:val="sr-Latn-ME" w:eastAsia="sr-Latn-ME"/>
        </w:rPr>
      </w:pPr>
    </w:p>
    <w:p w:rsidR="00D353D5" w:rsidRPr="008E586D" w:rsidRDefault="00F3602A" w:rsidP="00E077A4">
      <w:pPr>
        <w:autoSpaceDE w:val="0"/>
        <w:autoSpaceDN w:val="0"/>
        <w:adjustRightInd w:val="0"/>
        <w:jc w:val="both"/>
        <w:rPr>
          <w:rFonts w:eastAsia="TimesNewRoman"/>
          <w:sz w:val="22"/>
          <w:szCs w:val="22"/>
          <w:lang w:val="sr-Latn-ME" w:eastAsia="sr-Latn-ME"/>
        </w:rPr>
      </w:pPr>
      <w:r w:rsidRPr="008E586D">
        <w:rPr>
          <w:rFonts w:eastAsia="TimesNewRoman"/>
          <w:sz w:val="22"/>
          <w:szCs w:val="22"/>
          <w:lang w:val="sr-Latn-ME" w:eastAsia="sr-Latn-ME"/>
        </w:rPr>
        <w:t>Sljede</w:t>
      </w:r>
      <w:r w:rsidR="00D353D5" w:rsidRPr="008E586D">
        <w:rPr>
          <w:rFonts w:eastAsia="TimesNewRoman"/>
          <w:sz w:val="22"/>
          <w:szCs w:val="22"/>
          <w:lang w:val="sr-Latn-ME" w:eastAsia="sr-Latn-ME"/>
        </w:rPr>
        <w:t>će neželjene reakcije za koje se smatra da su moguće ili vjerovatno povezane sa primjenom lijeka Irinotecan Accord prijavljene su kod 765 pacijenata koji su lijek dobijali u dozi od 350 mg/m</w:t>
      </w:r>
      <w:r w:rsidR="00D353D5" w:rsidRPr="008E586D">
        <w:rPr>
          <w:rFonts w:eastAsia="TimesNewRoman"/>
          <w:sz w:val="22"/>
          <w:szCs w:val="22"/>
          <w:vertAlign w:val="superscript"/>
          <w:lang w:val="sr-Latn-ME" w:eastAsia="sr-Latn-ME"/>
        </w:rPr>
        <w:t>2</w:t>
      </w:r>
      <w:r w:rsidR="00971342" w:rsidRPr="008E586D">
        <w:rPr>
          <w:rFonts w:eastAsia="TimesNewRoman"/>
          <w:sz w:val="22"/>
          <w:szCs w:val="22"/>
          <w:lang w:val="sr-Latn-ME" w:eastAsia="sr-Latn-ME"/>
        </w:rPr>
        <w:t xml:space="preserve"> u monoterapiji, tokom kliničkih studija ili postmarketinškog praćenja.</w:t>
      </w:r>
      <w:r w:rsidR="00E077A4" w:rsidRPr="008E586D">
        <w:rPr>
          <w:rFonts w:ascii="Helvetica" w:hAnsi="Helvetica"/>
          <w:color w:val="5F6368"/>
          <w:sz w:val="23"/>
          <w:szCs w:val="23"/>
          <w:shd w:val="clear" w:color="auto" w:fill="F5F5F5"/>
          <w:lang w:val="sr-Latn-ME"/>
        </w:rPr>
        <w:t xml:space="preserve"> </w:t>
      </w:r>
      <w:r w:rsidR="00E077A4" w:rsidRPr="008E586D">
        <w:rPr>
          <w:rFonts w:eastAsia="TimesNewRoman"/>
          <w:sz w:val="22"/>
          <w:szCs w:val="22"/>
          <w:lang w:val="sr-Latn-ME" w:eastAsia="sr-Latn-ME"/>
        </w:rPr>
        <w:t xml:space="preserve">Unutar svake grupe učestalosti, neželjena dejstva su prikazana prema opadajućoj ozbiljnosti. </w:t>
      </w:r>
      <w:r w:rsidR="00D353D5" w:rsidRPr="008E586D">
        <w:rPr>
          <w:sz w:val="22"/>
          <w:szCs w:val="22"/>
          <w:lang w:val="sr-Latn-ME" w:bidi="bn-IN"/>
        </w:rPr>
        <w:t>Neželjena dejstva su podijeljena prema učestalosti ispoljavanja  na sljedeći način: veoma česta (≥ 1/10), česta (≥ 1/100 do &lt; 1/10), povremena (≥  1/1000 do ≤1/100), rijetka (≥ 1/10000 do ≤ 1/1000), veoma rijetka (≤ 1/10000), nepoznata (učestalost se ne može procijeniti na osnovu raspoloživih podataka).</w:t>
      </w:r>
    </w:p>
    <w:p w:rsidR="00D353D5" w:rsidRPr="008E586D" w:rsidRDefault="00D353D5" w:rsidP="00D353D5">
      <w:pPr>
        <w:tabs>
          <w:tab w:val="left" w:pos="284"/>
        </w:tabs>
        <w:jc w:val="both"/>
        <w:rPr>
          <w:sz w:val="22"/>
          <w:szCs w:val="22"/>
          <w:lang w:val="sr-Latn-ME" w:bidi="bn-IN"/>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3079"/>
        <w:gridCol w:w="2989"/>
        <w:gridCol w:w="2989"/>
      </w:tblGrid>
      <w:tr w:rsidR="00D353D5" w:rsidRPr="008E586D" w:rsidTr="000F1999">
        <w:trPr>
          <w:tblCellSpacing w:w="0" w:type="dxa"/>
        </w:trPr>
        <w:tc>
          <w:tcPr>
            <w:tcW w:w="5000" w:type="pct"/>
            <w:gridSpan w:val="3"/>
            <w:tcBorders>
              <w:top w:val="outset" w:sz="6" w:space="0" w:color="auto"/>
              <w:left w:val="outset" w:sz="6" w:space="0" w:color="auto"/>
              <w:bottom w:val="outset" w:sz="6" w:space="0" w:color="auto"/>
              <w:right w:val="outset" w:sz="6" w:space="0" w:color="auto"/>
            </w:tcBorders>
          </w:tcPr>
          <w:p w:rsidR="00D353D5" w:rsidRPr="008E586D" w:rsidRDefault="00D353D5" w:rsidP="000F1999">
            <w:pPr>
              <w:autoSpaceDE w:val="0"/>
              <w:autoSpaceDN w:val="0"/>
              <w:adjustRightInd w:val="0"/>
              <w:rPr>
                <w:rFonts w:eastAsia="TimesNewRoman,Bold"/>
                <w:b/>
                <w:bCs/>
                <w:sz w:val="22"/>
                <w:szCs w:val="22"/>
                <w:lang w:val="sr-Latn-ME" w:eastAsia="sr-Latn-ME"/>
              </w:rPr>
            </w:pPr>
            <w:r w:rsidRPr="008E586D">
              <w:rPr>
                <w:rFonts w:eastAsia="TimesNewRoman,Bold"/>
                <w:b/>
                <w:bCs/>
                <w:sz w:val="22"/>
                <w:szCs w:val="22"/>
                <w:lang w:val="sr-Latn-ME" w:eastAsia="sr-Latn-ME"/>
              </w:rPr>
              <w:t>Neželjene reakcije prijavljene prilikom primjene lijeka Irinotecan Accord kao monoterapije (režim 350 mg/m</w:t>
            </w:r>
            <w:r w:rsidRPr="008E586D">
              <w:rPr>
                <w:rFonts w:eastAsia="TimesNewRoman,Bold"/>
                <w:b/>
                <w:bCs/>
                <w:sz w:val="22"/>
                <w:szCs w:val="22"/>
                <w:vertAlign w:val="superscript"/>
                <w:lang w:val="sr-Latn-ME" w:eastAsia="sr-Latn-ME"/>
              </w:rPr>
              <w:t>2</w:t>
            </w:r>
            <w:r w:rsidRPr="008E586D">
              <w:rPr>
                <w:rFonts w:eastAsia="TimesNewRoman,Bold"/>
                <w:b/>
                <w:bCs/>
                <w:sz w:val="22"/>
                <w:szCs w:val="22"/>
                <w:lang w:val="sr-Latn-ME" w:eastAsia="sr-Latn-ME"/>
              </w:rPr>
              <w:t xml:space="preserve"> na svake 3 nedjelje)</w:t>
            </w:r>
          </w:p>
        </w:tc>
      </w:tr>
      <w:tr w:rsidR="00D353D5" w:rsidRPr="008E586D" w:rsidTr="000F1999">
        <w:trPr>
          <w:tblCellSpacing w:w="0" w:type="dxa"/>
        </w:trPr>
        <w:tc>
          <w:tcPr>
            <w:tcW w:w="1700" w:type="pct"/>
            <w:tcBorders>
              <w:top w:val="outset" w:sz="6" w:space="0" w:color="auto"/>
              <w:left w:val="outset" w:sz="6" w:space="0" w:color="auto"/>
              <w:bottom w:val="outset" w:sz="6" w:space="0" w:color="auto"/>
              <w:right w:val="outset" w:sz="6" w:space="0" w:color="auto"/>
            </w:tcBorders>
            <w:hideMark/>
          </w:tcPr>
          <w:p w:rsidR="00D353D5" w:rsidRPr="008E586D" w:rsidRDefault="00D353D5" w:rsidP="000F1999">
            <w:pPr>
              <w:spacing w:before="100" w:beforeAutospacing="1" w:after="75"/>
              <w:rPr>
                <w:sz w:val="22"/>
                <w:szCs w:val="22"/>
                <w:lang w:val="sr-Latn-ME" w:eastAsia="en-GB"/>
              </w:rPr>
            </w:pPr>
            <w:r w:rsidRPr="008E586D">
              <w:rPr>
                <w:b/>
                <w:bCs/>
                <w:sz w:val="22"/>
                <w:szCs w:val="22"/>
                <w:lang w:val="sr-Latn-ME" w:eastAsia="en-GB"/>
              </w:rPr>
              <w:t>MeDRA klasa sistema organa</w:t>
            </w:r>
          </w:p>
        </w:tc>
        <w:tc>
          <w:tcPr>
            <w:tcW w:w="1650" w:type="pct"/>
            <w:tcBorders>
              <w:top w:val="outset" w:sz="6" w:space="0" w:color="auto"/>
              <w:left w:val="outset" w:sz="6" w:space="0" w:color="auto"/>
              <w:bottom w:val="outset" w:sz="6" w:space="0" w:color="auto"/>
              <w:right w:val="outset" w:sz="6" w:space="0" w:color="auto"/>
            </w:tcBorders>
            <w:hideMark/>
          </w:tcPr>
          <w:p w:rsidR="00D353D5" w:rsidRPr="008E586D" w:rsidRDefault="00D353D5" w:rsidP="000F1999">
            <w:pPr>
              <w:spacing w:before="100" w:beforeAutospacing="1" w:after="75"/>
              <w:rPr>
                <w:sz w:val="22"/>
                <w:szCs w:val="22"/>
                <w:lang w:val="sr-Latn-ME" w:eastAsia="en-GB"/>
              </w:rPr>
            </w:pPr>
            <w:r w:rsidRPr="008E586D">
              <w:rPr>
                <w:b/>
                <w:bCs/>
                <w:sz w:val="22"/>
                <w:szCs w:val="22"/>
                <w:lang w:val="sr-Latn-ME" w:eastAsia="en-GB"/>
              </w:rPr>
              <w:t xml:space="preserve">Kategorija </w:t>
            </w:r>
            <w:r w:rsidR="00E077A4" w:rsidRPr="008E586D">
              <w:rPr>
                <w:b/>
                <w:bCs/>
                <w:sz w:val="22"/>
                <w:szCs w:val="22"/>
                <w:lang w:val="sr-Latn-ME" w:eastAsia="en-GB"/>
              </w:rPr>
              <w:t>u</w:t>
            </w:r>
            <w:r w:rsidRPr="008E586D">
              <w:rPr>
                <w:b/>
                <w:bCs/>
                <w:sz w:val="22"/>
                <w:szCs w:val="22"/>
                <w:lang w:val="sr-Latn-ME" w:eastAsia="en-GB"/>
              </w:rPr>
              <w:t>čestalosti</w:t>
            </w:r>
          </w:p>
        </w:tc>
        <w:tc>
          <w:tcPr>
            <w:tcW w:w="1650" w:type="pct"/>
            <w:tcBorders>
              <w:top w:val="outset" w:sz="6" w:space="0" w:color="auto"/>
              <w:left w:val="outset" w:sz="6" w:space="0" w:color="auto"/>
              <w:bottom w:val="outset" w:sz="6" w:space="0" w:color="auto"/>
              <w:right w:val="outset" w:sz="6" w:space="0" w:color="auto"/>
            </w:tcBorders>
            <w:hideMark/>
          </w:tcPr>
          <w:p w:rsidR="00D353D5" w:rsidRPr="008E586D" w:rsidRDefault="00D353D5" w:rsidP="000F1999">
            <w:pPr>
              <w:spacing w:before="100" w:beforeAutospacing="1" w:after="75"/>
              <w:rPr>
                <w:sz w:val="22"/>
                <w:szCs w:val="22"/>
                <w:lang w:val="sr-Latn-ME" w:eastAsia="en-GB"/>
              </w:rPr>
            </w:pPr>
            <w:r w:rsidRPr="008E586D">
              <w:rPr>
                <w:b/>
                <w:bCs/>
                <w:sz w:val="22"/>
                <w:szCs w:val="22"/>
                <w:lang w:val="sr-Latn-ME" w:eastAsia="en-GB"/>
              </w:rPr>
              <w:t>Neželjeno dejstvo</w:t>
            </w:r>
          </w:p>
        </w:tc>
      </w:tr>
      <w:tr w:rsidR="00D353D5" w:rsidRPr="008E586D" w:rsidTr="000F1999">
        <w:trPr>
          <w:tblCellSpacing w:w="0" w:type="dxa"/>
        </w:trPr>
        <w:tc>
          <w:tcPr>
            <w:tcW w:w="1700" w:type="pct"/>
            <w:vMerge w:val="restart"/>
            <w:tcBorders>
              <w:top w:val="outset" w:sz="6" w:space="0" w:color="auto"/>
              <w:left w:val="outset" w:sz="6" w:space="0" w:color="auto"/>
              <w:right w:val="outset" w:sz="6" w:space="0" w:color="auto"/>
            </w:tcBorders>
          </w:tcPr>
          <w:p w:rsidR="00D353D5" w:rsidRPr="008E586D" w:rsidRDefault="00D353D5" w:rsidP="000F1999">
            <w:pPr>
              <w:spacing w:before="100" w:beforeAutospacing="1" w:after="75"/>
              <w:rPr>
                <w:sz w:val="22"/>
                <w:szCs w:val="22"/>
                <w:lang w:val="sr-Latn-ME" w:eastAsia="en-GB"/>
              </w:rPr>
            </w:pPr>
            <w:r w:rsidRPr="008E586D">
              <w:rPr>
                <w:sz w:val="22"/>
                <w:szCs w:val="22"/>
                <w:lang w:val="sr-Latn-ME" w:eastAsia="en-GB"/>
              </w:rPr>
              <w:t>Infekcije i infestacije</w:t>
            </w:r>
          </w:p>
        </w:tc>
        <w:tc>
          <w:tcPr>
            <w:tcW w:w="1650" w:type="pct"/>
            <w:tcBorders>
              <w:top w:val="outset" w:sz="6" w:space="0" w:color="auto"/>
              <w:left w:val="outset" w:sz="6" w:space="0" w:color="auto"/>
              <w:bottom w:val="outset" w:sz="6" w:space="0" w:color="auto"/>
              <w:right w:val="outset" w:sz="6" w:space="0" w:color="auto"/>
            </w:tcBorders>
          </w:tcPr>
          <w:p w:rsidR="00D353D5" w:rsidRPr="008E586D" w:rsidRDefault="00D353D5" w:rsidP="000F1999">
            <w:pPr>
              <w:spacing w:before="100" w:beforeAutospacing="1" w:after="75"/>
              <w:rPr>
                <w:sz w:val="22"/>
                <w:szCs w:val="22"/>
                <w:lang w:val="sr-Latn-ME" w:eastAsia="en-GB"/>
              </w:rPr>
            </w:pPr>
            <w:r w:rsidRPr="008E586D">
              <w:rPr>
                <w:sz w:val="22"/>
                <w:szCs w:val="22"/>
                <w:lang w:val="sr-Latn-ME" w:eastAsia="en-GB"/>
              </w:rPr>
              <w:t>Često</w:t>
            </w:r>
          </w:p>
        </w:tc>
        <w:tc>
          <w:tcPr>
            <w:tcW w:w="1650" w:type="pct"/>
            <w:tcBorders>
              <w:top w:val="outset" w:sz="6" w:space="0" w:color="auto"/>
              <w:left w:val="outset" w:sz="6" w:space="0" w:color="auto"/>
              <w:bottom w:val="outset" w:sz="6" w:space="0" w:color="auto"/>
              <w:right w:val="outset" w:sz="6" w:space="0" w:color="auto"/>
            </w:tcBorders>
          </w:tcPr>
          <w:p w:rsidR="00D353D5" w:rsidRPr="008E586D" w:rsidRDefault="00D353D5" w:rsidP="000F1999">
            <w:pPr>
              <w:spacing w:before="100" w:beforeAutospacing="1" w:after="75"/>
              <w:rPr>
                <w:sz w:val="22"/>
                <w:szCs w:val="22"/>
                <w:lang w:val="sr-Latn-ME" w:eastAsia="en-GB"/>
              </w:rPr>
            </w:pPr>
            <w:r w:rsidRPr="008E586D">
              <w:rPr>
                <w:sz w:val="22"/>
                <w:szCs w:val="22"/>
                <w:lang w:val="sr-Latn-ME" w:eastAsia="en-GB"/>
              </w:rPr>
              <w:t>Infekcija</w:t>
            </w:r>
          </w:p>
        </w:tc>
      </w:tr>
      <w:tr w:rsidR="00D353D5" w:rsidRPr="008E586D" w:rsidTr="000F1999">
        <w:trPr>
          <w:tblCellSpacing w:w="0" w:type="dxa"/>
        </w:trPr>
        <w:tc>
          <w:tcPr>
            <w:tcW w:w="1700" w:type="pct"/>
            <w:vMerge/>
            <w:tcBorders>
              <w:left w:val="outset" w:sz="6" w:space="0" w:color="auto"/>
              <w:bottom w:val="outset" w:sz="6" w:space="0" w:color="auto"/>
              <w:right w:val="outset" w:sz="6" w:space="0" w:color="auto"/>
            </w:tcBorders>
          </w:tcPr>
          <w:p w:rsidR="00D353D5" w:rsidRPr="008E586D" w:rsidRDefault="00D353D5" w:rsidP="000F1999">
            <w:pPr>
              <w:spacing w:before="100" w:beforeAutospacing="1" w:after="75"/>
              <w:rPr>
                <w:sz w:val="22"/>
                <w:szCs w:val="22"/>
                <w:lang w:val="sr-Latn-ME" w:eastAsia="en-GB"/>
              </w:rPr>
            </w:pPr>
          </w:p>
        </w:tc>
        <w:tc>
          <w:tcPr>
            <w:tcW w:w="1650" w:type="pct"/>
            <w:tcBorders>
              <w:top w:val="outset" w:sz="6" w:space="0" w:color="auto"/>
              <w:left w:val="outset" w:sz="6" w:space="0" w:color="auto"/>
              <w:bottom w:val="outset" w:sz="6" w:space="0" w:color="auto"/>
              <w:right w:val="outset" w:sz="6" w:space="0" w:color="auto"/>
            </w:tcBorders>
          </w:tcPr>
          <w:p w:rsidR="00D353D5" w:rsidRPr="008E586D" w:rsidRDefault="00D353D5" w:rsidP="000F1999">
            <w:pPr>
              <w:spacing w:before="100" w:beforeAutospacing="1" w:after="75"/>
              <w:rPr>
                <w:sz w:val="22"/>
                <w:szCs w:val="22"/>
                <w:lang w:val="sr-Latn-ME" w:eastAsia="en-GB"/>
              </w:rPr>
            </w:pPr>
            <w:r w:rsidRPr="008E586D">
              <w:rPr>
                <w:sz w:val="22"/>
                <w:szCs w:val="22"/>
                <w:lang w:val="sr-Latn-ME" w:eastAsia="en-GB"/>
              </w:rPr>
              <w:t>Nepoznato</w:t>
            </w:r>
          </w:p>
        </w:tc>
        <w:tc>
          <w:tcPr>
            <w:tcW w:w="1650" w:type="pct"/>
            <w:tcBorders>
              <w:top w:val="outset" w:sz="6" w:space="0" w:color="auto"/>
              <w:left w:val="outset" w:sz="6" w:space="0" w:color="auto"/>
              <w:bottom w:val="outset" w:sz="6" w:space="0" w:color="auto"/>
              <w:right w:val="outset" w:sz="6" w:space="0" w:color="auto"/>
            </w:tcBorders>
          </w:tcPr>
          <w:p w:rsidR="00D353D5" w:rsidRPr="008E586D" w:rsidRDefault="00E077A4" w:rsidP="00E077A4">
            <w:pPr>
              <w:spacing w:before="100" w:beforeAutospacing="1" w:after="75"/>
              <w:rPr>
                <w:sz w:val="22"/>
                <w:szCs w:val="22"/>
                <w:lang w:val="sr-Latn-ME" w:eastAsia="en-GB"/>
              </w:rPr>
            </w:pPr>
            <w:r w:rsidRPr="008E586D">
              <w:rPr>
                <w:sz w:val="22"/>
                <w:szCs w:val="22"/>
                <w:lang w:val="sr-Latn-ME" w:eastAsia="en-GB"/>
              </w:rPr>
              <w:t>Pseudomembranozni kolitis koji je bakteriološki dokumentovan (Clostridium difficile), sepsa, gljivične infekcije</w:t>
            </w:r>
            <w:r w:rsidRPr="008E586D">
              <w:rPr>
                <w:sz w:val="22"/>
                <w:szCs w:val="22"/>
                <w:vertAlign w:val="superscript"/>
                <w:lang w:val="sr-Latn-ME" w:eastAsia="en-GB"/>
              </w:rPr>
              <w:t>a</w:t>
            </w:r>
            <w:r w:rsidRPr="008E586D">
              <w:rPr>
                <w:sz w:val="22"/>
                <w:szCs w:val="22"/>
                <w:lang w:val="sr-Latn-ME" w:eastAsia="en-GB"/>
              </w:rPr>
              <w:t>, virusne infekcije</w:t>
            </w:r>
            <w:r w:rsidRPr="008E586D">
              <w:rPr>
                <w:sz w:val="22"/>
                <w:szCs w:val="22"/>
                <w:vertAlign w:val="superscript"/>
                <w:lang w:val="sr-Latn-ME" w:eastAsia="en-GB"/>
              </w:rPr>
              <w:t>b</w:t>
            </w:r>
          </w:p>
        </w:tc>
      </w:tr>
      <w:tr w:rsidR="00D353D5" w:rsidRPr="008E586D" w:rsidTr="000F1999">
        <w:trPr>
          <w:tblCellSpacing w:w="0" w:type="dxa"/>
        </w:trPr>
        <w:tc>
          <w:tcPr>
            <w:tcW w:w="1700" w:type="pct"/>
            <w:vMerge w:val="restart"/>
            <w:tcBorders>
              <w:top w:val="outset" w:sz="6" w:space="0" w:color="auto"/>
              <w:left w:val="outset" w:sz="6" w:space="0" w:color="auto"/>
              <w:right w:val="outset" w:sz="6" w:space="0" w:color="auto"/>
            </w:tcBorders>
            <w:hideMark/>
          </w:tcPr>
          <w:p w:rsidR="00D353D5" w:rsidRPr="008E586D" w:rsidRDefault="00D353D5" w:rsidP="000F1999">
            <w:pPr>
              <w:spacing w:before="100" w:beforeAutospacing="1" w:after="75"/>
              <w:rPr>
                <w:sz w:val="22"/>
                <w:szCs w:val="22"/>
                <w:lang w:val="sr-Latn-ME" w:eastAsia="en-GB"/>
              </w:rPr>
            </w:pPr>
            <w:r w:rsidRPr="008E586D">
              <w:rPr>
                <w:sz w:val="22"/>
                <w:szCs w:val="22"/>
                <w:lang w:val="sr-Latn-ME" w:eastAsia="en-GB"/>
              </w:rPr>
              <w:t>Poremećaji krvi i limfnog sistema</w:t>
            </w:r>
          </w:p>
        </w:tc>
        <w:tc>
          <w:tcPr>
            <w:tcW w:w="1650" w:type="pct"/>
            <w:tcBorders>
              <w:top w:val="outset" w:sz="6" w:space="0" w:color="auto"/>
              <w:left w:val="outset" w:sz="6" w:space="0" w:color="auto"/>
              <w:bottom w:val="outset" w:sz="6" w:space="0" w:color="auto"/>
              <w:right w:val="outset" w:sz="6" w:space="0" w:color="auto"/>
            </w:tcBorders>
            <w:hideMark/>
          </w:tcPr>
          <w:p w:rsidR="00D353D5" w:rsidRPr="008E586D" w:rsidRDefault="00D353D5" w:rsidP="000F1999">
            <w:pPr>
              <w:spacing w:before="100" w:beforeAutospacing="1" w:after="75"/>
              <w:rPr>
                <w:sz w:val="22"/>
                <w:szCs w:val="22"/>
                <w:lang w:val="sr-Latn-ME" w:eastAsia="en-GB"/>
              </w:rPr>
            </w:pPr>
            <w:r w:rsidRPr="008E586D">
              <w:rPr>
                <w:sz w:val="22"/>
                <w:szCs w:val="22"/>
                <w:lang w:val="sr-Latn-ME" w:eastAsia="en-GB"/>
              </w:rPr>
              <w:t xml:space="preserve">Veoma često </w:t>
            </w:r>
          </w:p>
        </w:tc>
        <w:tc>
          <w:tcPr>
            <w:tcW w:w="1650" w:type="pct"/>
            <w:tcBorders>
              <w:top w:val="outset" w:sz="6" w:space="0" w:color="auto"/>
              <w:left w:val="outset" w:sz="6" w:space="0" w:color="auto"/>
              <w:bottom w:val="outset" w:sz="6" w:space="0" w:color="auto"/>
              <w:right w:val="outset" w:sz="6" w:space="0" w:color="auto"/>
            </w:tcBorders>
            <w:hideMark/>
          </w:tcPr>
          <w:p w:rsidR="00D353D5" w:rsidRPr="008E586D" w:rsidRDefault="00D353D5" w:rsidP="000F1999">
            <w:pPr>
              <w:spacing w:before="100" w:beforeAutospacing="1" w:after="75"/>
              <w:rPr>
                <w:sz w:val="22"/>
                <w:szCs w:val="22"/>
                <w:lang w:val="sr-Latn-ME" w:eastAsia="en-GB"/>
              </w:rPr>
            </w:pPr>
            <w:r w:rsidRPr="008E586D">
              <w:rPr>
                <w:sz w:val="22"/>
                <w:szCs w:val="22"/>
                <w:lang w:val="sr-Latn-ME" w:eastAsia="en-GB"/>
              </w:rPr>
              <w:t>Neutropenija, a</w:t>
            </w:r>
            <w:r w:rsidR="00922060" w:rsidRPr="008E586D">
              <w:rPr>
                <w:sz w:val="22"/>
                <w:szCs w:val="22"/>
                <w:lang w:val="sr-Latn-ME" w:eastAsia="en-GB"/>
              </w:rPr>
              <w:t>n</w:t>
            </w:r>
            <w:r w:rsidRPr="008E586D">
              <w:rPr>
                <w:sz w:val="22"/>
                <w:szCs w:val="22"/>
                <w:lang w:val="sr-Latn-ME" w:eastAsia="en-GB"/>
              </w:rPr>
              <w:t xml:space="preserve">emija </w:t>
            </w:r>
          </w:p>
        </w:tc>
      </w:tr>
      <w:tr w:rsidR="00D353D5" w:rsidRPr="008E586D" w:rsidTr="000F1999">
        <w:trPr>
          <w:tblCellSpacing w:w="0" w:type="dxa"/>
        </w:trPr>
        <w:tc>
          <w:tcPr>
            <w:tcW w:w="1700" w:type="pct"/>
            <w:vMerge/>
            <w:tcBorders>
              <w:left w:val="outset" w:sz="6" w:space="0" w:color="auto"/>
              <w:right w:val="outset" w:sz="6" w:space="0" w:color="auto"/>
            </w:tcBorders>
          </w:tcPr>
          <w:p w:rsidR="00D353D5" w:rsidRPr="008E586D" w:rsidRDefault="00D353D5" w:rsidP="000F1999">
            <w:pPr>
              <w:spacing w:before="100" w:beforeAutospacing="1" w:after="75"/>
              <w:rPr>
                <w:sz w:val="22"/>
                <w:szCs w:val="22"/>
                <w:lang w:val="sr-Latn-ME" w:eastAsia="en-GB"/>
              </w:rPr>
            </w:pPr>
          </w:p>
        </w:tc>
        <w:tc>
          <w:tcPr>
            <w:tcW w:w="1650" w:type="pct"/>
            <w:tcBorders>
              <w:top w:val="outset" w:sz="6" w:space="0" w:color="auto"/>
              <w:left w:val="outset" w:sz="6" w:space="0" w:color="auto"/>
              <w:bottom w:val="outset" w:sz="6" w:space="0" w:color="auto"/>
              <w:right w:val="outset" w:sz="6" w:space="0" w:color="auto"/>
            </w:tcBorders>
          </w:tcPr>
          <w:p w:rsidR="00D353D5" w:rsidRPr="008E586D" w:rsidRDefault="00D353D5" w:rsidP="000F1999">
            <w:pPr>
              <w:spacing w:before="100" w:beforeAutospacing="1" w:after="75"/>
              <w:rPr>
                <w:sz w:val="22"/>
                <w:szCs w:val="22"/>
                <w:lang w:val="sr-Latn-ME" w:eastAsia="en-GB"/>
              </w:rPr>
            </w:pPr>
            <w:r w:rsidRPr="008E586D">
              <w:rPr>
                <w:sz w:val="22"/>
                <w:szCs w:val="22"/>
                <w:lang w:val="sr-Latn-ME" w:eastAsia="en-GB"/>
              </w:rPr>
              <w:t>Često</w:t>
            </w:r>
          </w:p>
        </w:tc>
        <w:tc>
          <w:tcPr>
            <w:tcW w:w="1650" w:type="pct"/>
            <w:tcBorders>
              <w:top w:val="outset" w:sz="6" w:space="0" w:color="auto"/>
              <w:left w:val="outset" w:sz="6" w:space="0" w:color="auto"/>
              <w:bottom w:val="outset" w:sz="6" w:space="0" w:color="auto"/>
              <w:right w:val="outset" w:sz="6" w:space="0" w:color="auto"/>
            </w:tcBorders>
          </w:tcPr>
          <w:p w:rsidR="00D353D5" w:rsidRPr="008E586D" w:rsidRDefault="00D353D5" w:rsidP="000F1999">
            <w:pPr>
              <w:spacing w:before="100" w:beforeAutospacing="1" w:after="75"/>
              <w:rPr>
                <w:sz w:val="22"/>
                <w:szCs w:val="22"/>
                <w:lang w:val="sr-Latn-ME" w:eastAsia="en-GB"/>
              </w:rPr>
            </w:pPr>
            <w:r w:rsidRPr="008E586D">
              <w:rPr>
                <w:sz w:val="22"/>
                <w:szCs w:val="22"/>
                <w:lang w:val="sr-Latn-ME" w:eastAsia="en-GB"/>
              </w:rPr>
              <w:t>Trombocitopenija, febrilna neutropenija</w:t>
            </w:r>
          </w:p>
        </w:tc>
      </w:tr>
      <w:tr w:rsidR="00D353D5" w:rsidRPr="008E586D" w:rsidTr="000F1999">
        <w:trPr>
          <w:tblCellSpacing w:w="0" w:type="dxa"/>
        </w:trPr>
        <w:tc>
          <w:tcPr>
            <w:tcW w:w="1700" w:type="pct"/>
            <w:vMerge/>
            <w:tcBorders>
              <w:left w:val="outset" w:sz="6" w:space="0" w:color="auto"/>
              <w:bottom w:val="outset" w:sz="6" w:space="0" w:color="auto"/>
              <w:right w:val="outset" w:sz="6" w:space="0" w:color="auto"/>
            </w:tcBorders>
          </w:tcPr>
          <w:p w:rsidR="00D353D5" w:rsidRPr="008E586D" w:rsidRDefault="00D353D5" w:rsidP="000F1999">
            <w:pPr>
              <w:spacing w:before="100" w:beforeAutospacing="1" w:after="75"/>
              <w:rPr>
                <w:sz w:val="22"/>
                <w:szCs w:val="22"/>
                <w:lang w:val="sr-Latn-ME" w:eastAsia="en-GB"/>
              </w:rPr>
            </w:pPr>
          </w:p>
        </w:tc>
        <w:tc>
          <w:tcPr>
            <w:tcW w:w="1650" w:type="pct"/>
            <w:tcBorders>
              <w:top w:val="outset" w:sz="6" w:space="0" w:color="auto"/>
              <w:left w:val="outset" w:sz="6" w:space="0" w:color="auto"/>
              <w:bottom w:val="outset" w:sz="6" w:space="0" w:color="auto"/>
              <w:right w:val="outset" w:sz="6" w:space="0" w:color="auto"/>
            </w:tcBorders>
          </w:tcPr>
          <w:p w:rsidR="00D353D5" w:rsidRPr="008E586D" w:rsidRDefault="00D353D5" w:rsidP="000F1999">
            <w:pPr>
              <w:spacing w:before="100" w:beforeAutospacing="1" w:after="75"/>
              <w:rPr>
                <w:sz w:val="22"/>
                <w:szCs w:val="22"/>
                <w:lang w:val="sr-Latn-ME" w:eastAsia="en-GB"/>
              </w:rPr>
            </w:pPr>
            <w:r w:rsidRPr="008E586D">
              <w:rPr>
                <w:sz w:val="22"/>
                <w:szCs w:val="22"/>
                <w:lang w:val="sr-Latn-ME" w:eastAsia="en-GB"/>
              </w:rPr>
              <w:t>Nepoznato</w:t>
            </w:r>
          </w:p>
        </w:tc>
        <w:tc>
          <w:tcPr>
            <w:tcW w:w="1650" w:type="pct"/>
            <w:tcBorders>
              <w:top w:val="outset" w:sz="6" w:space="0" w:color="auto"/>
              <w:left w:val="outset" w:sz="6" w:space="0" w:color="auto"/>
              <w:bottom w:val="outset" w:sz="6" w:space="0" w:color="auto"/>
              <w:right w:val="outset" w:sz="6" w:space="0" w:color="auto"/>
            </w:tcBorders>
          </w:tcPr>
          <w:p w:rsidR="00D353D5" w:rsidRPr="008E586D" w:rsidRDefault="00D353D5" w:rsidP="000F1999">
            <w:pPr>
              <w:spacing w:before="100" w:beforeAutospacing="1" w:after="75"/>
              <w:rPr>
                <w:sz w:val="22"/>
                <w:szCs w:val="22"/>
                <w:lang w:val="sr-Latn-ME" w:eastAsia="en-GB"/>
              </w:rPr>
            </w:pPr>
            <w:r w:rsidRPr="008E586D">
              <w:rPr>
                <w:sz w:val="22"/>
                <w:szCs w:val="22"/>
                <w:lang w:val="sr-Latn-ME" w:eastAsia="en-GB"/>
              </w:rPr>
              <w:t>Periferna trombocitopenija sa antitrombocitnim antitijelima</w:t>
            </w:r>
          </w:p>
        </w:tc>
      </w:tr>
      <w:tr w:rsidR="00D353D5" w:rsidRPr="008E586D" w:rsidTr="000F1999">
        <w:trPr>
          <w:tblCellSpacing w:w="0" w:type="dxa"/>
        </w:trPr>
        <w:tc>
          <w:tcPr>
            <w:tcW w:w="1700" w:type="pct"/>
            <w:tcBorders>
              <w:top w:val="outset" w:sz="6" w:space="0" w:color="auto"/>
              <w:left w:val="outset" w:sz="6" w:space="0" w:color="auto"/>
              <w:bottom w:val="outset" w:sz="6" w:space="0" w:color="auto"/>
              <w:right w:val="outset" w:sz="6" w:space="0" w:color="auto"/>
            </w:tcBorders>
            <w:hideMark/>
          </w:tcPr>
          <w:p w:rsidR="00D353D5" w:rsidRPr="008E586D" w:rsidRDefault="00D353D5" w:rsidP="000F1999">
            <w:pPr>
              <w:spacing w:before="100" w:beforeAutospacing="1" w:after="75"/>
              <w:rPr>
                <w:sz w:val="22"/>
                <w:szCs w:val="22"/>
                <w:lang w:val="sr-Latn-ME" w:eastAsia="en-GB"/>
              </w:rPr>
            </w:pPr>
            <w:r w:rsidRPr="008E586D">
              <w:rPr>
                <w:sz w:val="22"/>
                <w:szCs w:val="22"/>
                <w:lang w:val="sr-Latn-ME" w:eastAsia="en-GB"/>
              </w:rPr>
              <w:t xml:space="preserve">Poremećaji imunog sistema </w:t>
            </w:r>
          </w:p>
        </w:tc>
        <w:tc>
          <w:tcPr>
            <w:tcW w:w="1650" w:type="pct"/>
            <w:tcBorders>
              <w:top w:val="outset" w:sz="6" w:space="0" w:color="auto"/>
              <w:left w:val="outset" w:sz="6" w:space="0" w:color="auto"/>
              <w:bottom w:val="outset" w:sz="6" w:space="0" w:color="auto"/>
              <w:right w:val="outset" w:sz="6" w:space="0" w:color="auto"/>
            </w:tcBorders>
            <w:hideMark/>
          </w:tcPr>
          <w:p w:rsidR="00D353D5" w:rsidRPr="008E586D" w:rsidRDefault="00D353D5" w:rsidP="000F1999">
            <w:pPr>
              <w:spacing w:before="100" w:beforeAutospacing="1" w:after="75"/>
              <w:rPr>
                <w:sz w:val="22"/>
                <w:szCs w:val="22"/>
                <w:lang w:val="sr-Latn-ME" w:eastAsia="en-GB"/>
              </w:rPr>
            </w:pPr>
            <w:r w:rsidRPr="008E586D">
              <w:rPr>
                <w:sz w:val="22"/>
                <w:szCs w:val="22"/>
                <w:lang w:val="sr-Latn-ME" w:eastAsia="en-GB"/>
              </w:rPr>
              <w:t>Nepoznato</w:t>
            </w:r>
          </w:p>
        </w:tc>
        <w:tc>
          <w:tcPr>
            <w:tcW w:w="1650" w:type="pct"/>
            <w:tcBorders>
              <w:top w:val="outset" w:sz="6" w:space="0" w:color="auto"/>
              <w:left w:val="outset" w:sz="6" w:space="0" w:color="auto"/>
              <w:bottom w:val="outset" w:sz="6" w:space="0" w:color="auto"/>
              <w:right w:val="outset" w:sz="6" w:space="0" w:color="auto"/>
            </w:tcBorders>
            <w:hideMark/>
          </w:tcPr>
          <w:p w:rsidR="00D353D5" w:rsidRPr="008E586D" w:rsidRDefault="00D353D5" w:rsidP="000F1999">
            <w:pPr>
              <w:spacing w:before="100" w:beforeAutospacing="1" w:after="75"/>
              <w:rPr>
                <w:sz w:val="22"/>
                <w:szCs w:val="22"/>
                <w:lang w:val="sr-Latn-ME" w:eastAsia="en-GB"/>
              </w:rPr>
            </w:pPr>
            <w:r w:rsidRPr="008E586D">
              <w:rPr>
                <w:sz w:val="22"/>
                <w:szCs w:val="22"/>
                <w:lang w:val="sr-Latn-ME" w:eastAsia="en-GB"/>
              </w:rPr>
              <w:t xml:space="preserve">Rekacije preosjetljivosti, anafilaktička reakcija </w:t>
            </w:r>
          </w:p>
        </w:tc>
      </w:tr>
      <w:tr w:rsidR="00D353D5" w:rsidRPr="008E586D" w:rsidTr="000F1999">
        <w:trPr>
          <w:tblCellSpacing w:w="0" w:type="dxa"/>
        </w:trPr>
        <w:tc>
          <w:tcPr>
            <w:tcW w:w="1700" w:type="pct"/>
            <w:vMerge w:val="restart"/>
            <w:tcBorders>
              <w:top w:val="outset" w:sz="6" w:space="0" w:color="auto"/>
              <w:left w:val="outset" w:sz="6" w:space="0" w:color="auto"/>
              <w:right w:val="outset" w:sz="6" w:space="0" w:color="auto"/>
            </w:tcBorders>
            <w:hideMark/>
          </w:tcPr>
          <w:p w:rsidR="00D353D5" w:rsidRPr="008E586D" w:rsidRDefault="00D353D5" w:rsidP="000F1999">
            <w:pPr>
              <w:spacing w:before="100" w:beforeAutospacing="1" w:after="75"/>
              <w:rPr>
                <w:sz w:val="22"/>
                <w:szCs w:val="22"/>
                <w:lang w:val="sr-Latn-ME" w:eastAsia="en-GB"/>
              </w:rPr>
            </w:pPr>
            <w:r w:rsidRPr="008E586D">
              <w:rPr>
                <w:sz w:val="22"/>
                <w:szCs w:val="22"/>
                <w:lang w:val="sr-Latn-ME" w:eastAsia="en-GB"/>
              </w:rPr>
              <w:t>Poremećaji metabolizma i ishrane</w:t>
            </w:r>
          </w:p>
        </w:tc>
        <w:tc>
          <w:tcPr>
            <w:tcW w:w="1650" w:type="pct"/>
            <w:tcBorders>
              <w:top w:val="outset" w:sz="6" w:space="0" w:color="auto"/>
              <w:left w:val="outset" w:sz="6" w:space="0" w:color="auto"/>
              <w:bottom w:val="outset" w:sz="6" w:space="0" w:color="auto"/>
              <w:right w:val="outset" w:sz="6" w:space="0" w:color="auto"/>
            </w:tcBorders>
            <w:hideMark/>
          </w:tcPr>
          <w:p w:rsidR="00D353D5" w:rsidRPr="008E586D" w:rsidRDefault="00D353D5" w:rsidP="000F1999">
            <w:pPr>
              <w:spacing w:before="100" w:beforeAutospacing="1" w:after="75"/>
              <w:rPr>
                <w:sz w:val="22"/>
                <w:szCs w:val="22"/>
                <w:lang w:val="sr-Latn-ME" w:eastAsia="en-GB"/>
              </w:rPr>
            </w:pPr>
            <w:r w:rsidRPr="008E586D">
              <w:rPr>
                <w:sz w:val="22"/>
                <w:szCs w:val="22"/>
                <w:lang w:val="sr-Latn-ME" w:eastAsia="en-GB"/>
              </w:rPr>
              <w:t xml:space="preserve">Veoma često </w:t>
            </w:r>
          </w:p>
        </w:tc>
        <w:tc>
          <w:tcPr>
            <w:tcW w:w="1650" w:type="pct"/>
            <w:tcBorders>
              <w:top w:val="outset" w:sz="6" w:space="0" w:color="auto"/>
              <w:left w:val="outset" w:sz="6" w:space="0" w:color="auto"/>
              <w:bottom w:val="outset" w:sz="6" w:space="0" w:color="auto"/>
              <w:right w:val="outset" w:sz="6" w:space="0" w:color="auto"/>
            </w:tcBorders>
            <w:hideMark/>
          </w:tcPr>
          <w:p w:rsidR="00D353D5" w:rsidRPr="008E586D" w:rsidRDefault="00D353D5" w:rsidP="000F1999">
            <w:pPr>
              <w:spacing w:before="100" w:beforeAutospacing="1" w:after="75"/>
              <w:rPr>
                <w:sz w:val="22"/>
                <w:szCs w:val="22"/>
                <w:lang w:val="sr-Latn-ME" w:eastAsia="en-GB"/>
              </w:rPr>
            </w:pPr>
            <w:r w:rsidRPr="008E586D">
              <w:rPr>
                <w:sz w:val="22"/>
                <w:szCs w:val="22"/>
                <w:lang w:val="sr-Latn-ME" w:eastAsia="en-GB"/>
              </w:rPr>
              <w:t xml:space="preserve">Smanjen apetit </w:t>
            </w:r>
          </w:p>
        </w:tc>
      </w:tr>
      <w:tr w:rsidR="00D353D5" w:rsidRPr="008E586D" w:rsidTr="000F1999">
        <w:trPr>
          <w:trHeight w:val="513"/>
          <w:tblCellSpacing w:w="0" w:type="dxa"/>
        </w:trPr>
        <w:tc>
          <w:tcPr>
            <w:tcW w:w="1700" w:type="pct"/>
            <w:vMerge/>
            <w:tcBorders>
              <w:left w:val="outset" w:sz="6" w:space="0" w:color="auto"/>
              <w:bottom w:val="outset" w:sz="6" w:space="0" w:color="auto"/>
              <w:right w:val="outset" w:sz="6" w:space="0" w:color="auto"/>
            </w:tcBorders>
          </w:tcPr>
          <w:p w:rsidR="00D353D5" w:rsidRPr="008E586D" w:rsidRDefault="00D353D5" w:rsidP="000F1999">
            <w:pPr>
              <w:spacing w:before="100" w:beforeAutospacing="1" w:after="75"/>
              <w:rPr>
                <w:sz w:val="22"/>
                <w:szCs w:val="22"/>
                <w:lang w:val="sr-Latn-ME" w:eastAsia="en-GB"/>
              </w:rPr>
            </w:pPr>
          </w:p>
        </w:tc>
        <w:tc>
          <w:tcPr>
            <w:tcW w:w="1650" w:type="pct"/>
            <w:tcBorders>
              <w:top w:val="outset" w:sz="6" w:space="0" w:color="auto"/>
              <w:left w:val="outset" w:sz="6" w:space="0" w:color="auto"/>
              <w:bottom w:val="outset" w:sz="6" w:space="0" w:color="auto"/>
              <w:right w:val="outset" w:sz="6" w:space="0" w:color="auto"/>
            </w:tcBorders>
          </w:tcPr>
          <w:p w:rsidR="00D353D5" w:rsidRPr="008E586D" w:rsidRDefault="00D353D5" w:rsidP="000F1999">
            <w:pPr>
              <w:spacing w:before="100" w:beforeAutospacing="1" w:after="75"/>
              <w:rPr>
                <w:sz w:val="22"/>
                <w:szCs w:val="22"/>
                <w:lang w:val="sr-Latn-ME" w:eastAsia="en-GB"/>
              </w:rPr>
            </w:pPr>
            <w:r w:rsidRPr="008E586D">
              <w:rPr>
                <w:sz w:val="22"/>
                <w:szCs w:val="22"/>
                <w:lang w:val="sr-Latn-ME" w:eastAsia="en-GB"/>
              </w:rPr>
              <w:t>Nepoznato</w:t>
            </w:r>
          </w:p>
        </w:tc>
        <w:tc>
          <w:tcPr>
            <w:tcW w:w="1650" w:type="pct"/>
            <w:tcBorders>
              <w:top w:val="outset" w:sz="6" w:space="0" w:color="auto"/>
              <w:left w:val="outset" w:sz="6" w:space="0" w:color="auto"/>
              <w:bottom w:val="outset" w:sz="6" w:space="0" w:color="auto"/>
              <w:right w:val="outset" w:sz="6" w:space="0" w:color="auto"/>
            </w:tcBorders>
          </w:tcPr>
          <w:p w:rsidR="00D353D5" w:rsidRPr="008E586D" w:rsidRDefault="00922060" w:rsidP="000F1999">
            <w:pPr>
              <w:pStyle w:val="Default"/>
              <w:rPr>
                <w:color w:val="auto"/>
                <w:sz w:val="22"/>
                <w:szCs w:val="22"/>
                <w:lang w:val="sr-Latn-ME"/>
              </w:rPr>
            </w:pPr>
            <w:r w:rsidRPr="008E586D">
              <w:rPr>
                <w:color w:val="auto"/>
                <w:sz w:val="22"/>
                <w:szCs w:val="22"/>
                <w:lang w:val="sr-Latn-ME"/>
              </w:rPr>
              <w:t>Dehidracija (zbog dijareje</w:t>
            </w:r>
            <w:r w:rsidR="00D353D5" w:rsidRPr="008E586D">
              <w:rPr>
                <w:color w:val="auto"/>
                <w:sz w:val="22"/>
                <w:szCs w:val="22"/>
                <w:lang w:val="sr-Latn-ME"/>
              </w:rPr>
              <w:t xml:space="preserve"> i povraćanja), hipovolemija, hipomagnezijemija, sindrom lize tumora, hipokalijemija, hiponatrijemija </w:t>
            </w:r>
          </w:p>
        </w:tc>
      </w:tr>
      <w:tr w:rsidR="00D353D5" w:rsidRPr="008E586D" w:rsidTr="000F1999">
        <w:trPr>
          <w:tblCellSpacing w:w="0" w:type="dxa"/>
        </w:trPr>
        <w:tc>
          <w:tcPr>
            <w:tcW w:w="1700" w:type="pct"/>
            <w:tcBorders>
              <w:top w:val="outset" w:sz="6" w:space="0" w:color="auto"/>
              <w:left w:val="outset" w:sz="6" w:space="0" w:color="auto"/>
              <w:bottom w:val="outset" w:sz="6" w:space="0" w:color="auto"/>
              <w:right w:val="outset" w:sz="6" w:space="0" w:color="auto"/>
            </w:tcBorders>
            <w:hideMark/>
          </w:tcPr>
          <w:p w:rsidR="00D353D5" w:rsidRPr="008E586D" w:rsidRDefault="00D353D5" w:rsidP="000F1999">
            <w:pPr>
              <w:spacing w:before="100" w:beforeAutospacing="1" w:after="75"/>
              <w:rPr>
                <w:sz w:val="22"/>
                <w:szCs w:val="22"/>
                <w:lang w:val="sr-Latn-ME" w:eastAsia="en-GB"/>
              </w:rPr>
            </w:pPr>
            <w:r w:rsidRPr="008E586D">
              <w:rPr>
                <w:sz w:val="22"/>
                <w:szCs w:val="22"/>
                <w:lang w:val="sr-Latn-ME" w:eastAsia="en-GB"/>
              </w:rPr>
              <w:t xml:space="preserve">Psihijatrijski poremećaji </w:t>
            </w:r>
          </w:p>
        </w:tc>
        <w:tc>
          <w:tcPr>
            <w:tcW w:w="1650" w:type="pct"/>
            <w:tcBorders>
              <w:top w:val="outset" w:sz="6" w:space="0" w:color="auto"/>
              <w:left w:val="outset" w:sz="6" w:space="0" w:color="auto"/>
              <w:bottom w:val="outset" w:sz="6" w:space="0" w:color="auto"/>
              <w:right w:val="outset" w:sz="6" w:space="0" w:color="auto"/>
            </w:tcBorders>
            <w:hideMark/>
          </w:tcPr>
          <w:p w:rsidR="00D353D5" w:rsidRPr="008E586D" w:rsidRDefault="00D353D5" w:rsidP="000F1999">
            <w:pPr>
              <w:spacing w:before="100" w:beforeAutospacing="1" w:after="75"/>
              <w:rPr>
                <w:sz w:val="22"/>
                <w:szCs w:val="22"/>
                <w:lang w:val="sr-Latn-ME" w:eastAsia="en-GB"/>
              </w:rPr>
            </w:pPr>
            <w:r w:rsidRPr="008E586D">
              <w:rPr>
                <w:sz w:val="22"/>
                <w:szCs w:val="22"/>
                <w:lang w:val="sr-Latn-ME" w:eastAsia="en-GB"/>
              </w:rPr>
              <w:t>Nepoznato</w:t>
            </w:r>
          </w:p>
        </w:tc>
        <w:tc>
          <w:tcPr>
            <w:tcW w:w="1650" w:type="pct"/>
            <w:tcBorders>
              <w:top w:val="outset" w:sz="6" w:space="0" w:color="auto"/>
              <w:left w:val="outset" w:sz="6" w:space="0" w:color="auto"/>
              <w:bottom w:val="outset" w:sz="6" w:space="0" w:color="auto"/>
              <w:right w:val="outset" w:sz="6" w:space="0" w:color="auto"/>
            </w:tcBorders>
            <w:hideMark/>
          </w:tcPr>
          <w:p w:rsidR="00D353D5" w:rsidRPr="008E586D" w:rsidRDefault="00D353D5" w:rsidP="000F1999">
            <w:pPr>
              <w:spacing w:before="100" w:beforeAutospacing="1" w:after="75"/>
              <w:rPr>
                <w:sz w:val="22"/>
                <w:szCs w:val="22"/>
                <w:lang w:val="sr-Latn-ME" w:eastAsia="en-GB"/>
              </w:rPr>
            </w:pPr>
            <w:r w:rsidRPr="008E586D">
              <w:rPr>
                <w:sz w:val="22"/>
                <w:szCs w:val="22"/>
                <w:lang w:val="sr-Latn-ME" w:eastAsia="en-GB"/>
              </w:rPr>
              <w:t xml:space="preserve">Konfuzija </w:t>
            </w:r>
          </w:p>
        </w:tc>
      </w:tr>
      <w:tr w:rsidR="00D353D5" w:rsidRPr="008E586D" w:rsidTr="000F1999">
        <w:trPr>
          <w:tblCellSpacing w:w="0" w:type="dxa"/>
        </w:trPr>
        <w:tc>
          <w:tcPr>
            <w:tcW w:w="1700" w:type="pct"/>
            <w:vMerge w:val="restart"/>
            <w:tcBorders>
              <w:top w:val="outset" w:sz="6" w:space="0" w:color="auto"/>
              <w:left w:val="outset" w:sz="6" w:space="0" w:color="auto"/>
              <w:right w:val="outset" w:sz="6" w:space="0" w:color="auto"/>
            </w:tcBorders>
            <w:hideMark/>
          </w:tcPr>
          <w:p w:rsidR="00D353D5" w:rsidRPr="008E586D" w:rsidRDefault="00D353D5" w:rsidP="000F1999">
            <w:pPr>
              <w:spacing w:before="100" w:beforeAutospacing="1" w:after="75"/>
              <w:rPr>
                <w:sz w:val="22"/>
                <w:szCs w:val="22"/>
                <w:lang w:val="sr-Latn-ME" w:eastAsia="en-GB"/>
              </w:rPr>
            </w:pPr>
            <w:r w:rsidRPr="008E586D">
              <w:rPr>
                <w:sz w:val="22"/>
                <w:szCs w:val="22"/>
                <w:lang w:val="sr-Latn-ME" w:eastAsia="en-GB"/>
              </w:rPr>
              <w:t xml:space="preserve">Poremećaji nervnog sistema </w:t>
            </w:r>
          </w:p>
        </w:tc>
        <w:tc>
          <w:tcPr>
            <w:tcW w:w="1650" w:type="pct"/>
            <w:tcBorders>
              <w:top w:val="outset" w:sz="6" w:space="0" w:color="auto"/>
              <w:left w:val="outset" w:sz="6" w:space="0" w:color="auto"/>
              <w:bottom w:val="outset" w:sz="6" w:space="0" w:color="auto"/>
              <w:right w:val="outset" w:sz="6" w:space="0" w:color="auto"/>
            </w:tcBorders>
            <w:hideMark/>
          </w:tcPr>
          <w:p w:rsidR="00D353D5" w:rsidRPr="008E586D" w:rsidRDefault="00D353D5" w:rsidP="000F1999">
            <w:pPr>
              <w:spacing w:before="100" w:beforeAutospacing="1" w:after="75"/>
              <w:rPr>
                <w:sz w:val="22"/>
                <w:szCs w:val="22"/>
                <w:lang w:val="sr-Latn-ME" w:eastAsia="en-GB"/>
              </w:rPr>
            </w:pPr>
            <w:r w:rsidRPr="008E586D">
              <w:rPr>
                <w:sz w:val="22"/>
                <w:szCs w:val="22"/>
                <w:lang w:val="sr-Latn-ME" w:eastAsia="en-GB"/>
              </w:rPr>
              <w:t xml:space="preserve">Veoma često </w:t>
            </w:r>
          </w:p>
        </w:tc>
        <w:tc>
          <w:tcPr>
            <w:tcW w:w="1650" w:type="pct"/>
            <w:tcBorders>
              <w:top w:val="outset" w:sz="6" w:space="0" w:color="auto"/>
              <w:left w:val="outset" w:sz="6" w:space="0" w:color="auto"/>
              <w:bottom w:val="outset" w:sz="6" w:space="0" w:color="auto"/>
              <w:right w:val="outset" w:sz="6" w:space="0" w:color="auto"/>
            </w:tcBorders>
            <w:hideMark/>
          </w:tcPr>
          <w:p w:rsidR="00D353D5" w:rsidRPr="008E586D" w:rsidRDefault="00D353D5" w:rsidP="000F1999">
            <w:pPr>
              <w:spacing w:before="100" w:beforeAutospacing="1" w:after="75"/>
              <w:rPr>
                <w:sz w:val="22"/>
                <w:szCs w:val="22"/>
                <w:lang w:val="sr-Latn-ME" w:eastAsia="en-GB"/>
              </w:rPr>
            </w:pPr>
            <w:r w:rsidRPr="008E586D">
              <w:rPr>
                <w:sz w:val="22"/>
                <w:szCs w:val="22"/>
                <w:lang w:val="sr-Latn-ME" w:eastAsia="en-GB"/>
              </w:rPr>
              <w:t>Holinergični sindrom</w:t>
            </w:r>
          </w:p>
        </w:tc>
      </w:tr>
      <w:tr w:rsidR="00D353D5" w:rsidRPr="008E586D" w:rsidTr="000F1999">
        <w:trPr>
          <w:tblCellSpacing w:w="0" w:type="dxa"/>
        </w:trPr>
        <w:tc>
          <w:tcPr>
            <w:tcW w:w="1700" w:type="pct"/>
            <w:vMerge/>
            <w:tcBorders>
              <w:left w:val="outset" w:sz="6" w:space="0" w:color="auto"/>
              <w:bottom w:val="outset" w:sz="6" w:space="0" w:color="auto"/>
              <w:right w:val="outset" w:sz="6" w:space="0" w:color="auto"/>
            </w:tcBorders>
            <w:hideMark/>
          </w:tcPr>
          <w:p w:rsidR="00D353D5" w:rsidRPr="008E586D" w:rsidRDefault="00D353D5" w:rsidP="000F1999">
            <w:pPr>
              <w:rPr>
                <w:sz w:val="22"/>
                <w:szCs w:val="22"/>
                <w:lang w:val="sr-Latn-ME" w:eastAsia="en-GB"/>
              </w:rPr>
            </w:pPr>
          </w:p>
        </w:tc>
        <w:tc>
          <w:tcPr>
            <w:tcW w:w="1650" w:type="pct"/>
            <w:tcBorders>
              <w:top w:val="outset" w:sz="6" w:space="0" w:color="auto"/>
              <w:left w:val="outset" w:sz="6" w:space="0" w:color="auto"/>
              <w:bottom w:val="outset" w:sz="6" w:space="0" w:color="auto"/>
              <w:right w:val="outset" w:sz="6" w:space="0" w:color="auto"/>
            </w:tcBorders>
            <w:hideMark/>
          </w:tcPr>
          <w:p w:rsidR="00D353D5" w:rsidRPr="008E586D" w:rsidRDefault="00D353D5" w:rsidP="000F1999">
            <w:pPr>
              <w:spacing w:before="100" w:beforeAutospacing="1" w:after="75"/>
              <w:rPr>
                <w:sz w:val="22"/>
                <w:szCs w:val="22"/>
                <w:lang w:val="sr-Latn-ME" w:eastAsia="en-GB"/>
              </w:rPr>
            </w:pPr>
            <w:r w:rsidRPr="008E586D">
              <w:rPr>
                <w:sz w:val="22"/>
                <w:szCs w:val="22"/>
                <w:lang w:val="sr-Latn-ME" w:eastAsia="en-GB"/>
              </w:rPr>
              <w:t>Nepoznato</w:t>
            </w:r>
          </w:p>
        </w:tc>
        <w:tc>
          <w:tcPr>
            <w:tcW w:w="1650" w:type="pct"/>
            <w:tcBorders>
              <w:top w:val="outset" w:sz="6" w:space="0" w:color="auto"/>
              <w:left w:val="outset" w:sz="6" w:space="0" w:color="auto"/>
              <w:bottom w:val="outset" w:sz="6" w:space="0" w:color="auto"/>
              <w:right w:val="outset" w:sz="6" w:space="0" w:color="auto"/>
            </w:tcBorders>
            <w:hideMark/>
          </w:tcPr>
          <w:p w:rsidR="00D353D5" w:rsidRPr="008E586D" w:rsidRDefault="00922060" w:rsidP="000F1999">
            <w:pPr>
              <w:spacing w:before="100" w:beforeAutospacing="1" w:after="75"/>
              <w:rPr>
                <w:sz w:val="22"/>
                <w:szCs w:val="22"/>
                <w:lang w:val="sr-Latn-ME" w:eastAsia="en-GB"/>
              </w:rPr>
            </w:pPr>
            <w:r w:rsidRPr="008E586D">
              <w:rPr>
                <w:sz w:val="22"/>
                <w:szCs w:val="22"/>
                <w:lang w:val="sr-Latn-ME" w:eastAsia="en-GB"/>
              </w:rPr>
              <w:t>Prolazni poremećaji govora, u nekim slučajevima, događaj se pripisuje holinergičkom sindromu uočenom tokom ili ubrzo nakon infuzije irinotekana, parestezija, glavobolja, sinkopa</w:t>
            </w:r>
          </w:p>
        </w:tc>
      </w:tr>
      <w:tr w:rsidR="00D353D5" w:rsidRPr="008E586D" w:rsidTr="000F1999">
        <w:trPr>
          <w:tblCellSpacing w:w="0" w:type="dxa"/>
        </w:trPr>
        <w:tc>
          <w:tcPr>
            <w:tcW w:w="1700" w:type="pct"/>
            <w:tcBorders>
              <w:top w:val="outset" w:sz="6" w:space="0" w:color="auto"/>
              <w:left w:val="outset" w:sz="6" w:space="0" w:color="auto"/>
              <w:right w:val="outset" w:sz="6" w:space="0" w:color="auto"/>
            </w:tcBorders>
            <w:hideMark/>
          </w:tcPr>
          <w:p w:rsidR="00D353D5" w:rsidRPr="008E586D" w:rsidRDefault="00D353D5" w:rsidP="000F1999">
            <w:pPr>
              <w:spacing w:before="100" w:beforeAutospacing="1" w:after="75"/>
              <w:rPr>
                <w:sz w:val="22"/>
                <w:szCs w:val="22"/>
                <w:lang w:val="sr-Latn-ME" w:eastAsia="en-GB"/>
              </w:rPr>
            </w:pPr>
            <w:r w:rsidRPr="008E586D">
              <w:rPr>
                <w:sz w:val="22"/>
                <w:szCs w:val="22"/>
                <w:lang w:val="sr-Latn-ME" w:eastAsia="en-GB"/>
              </w:rPr>
              <w:lastRenderedPageBreak/>
              <w:t xml:space="preserve">Kardiološki poremećaji </w:t>
            </w:r>
          </w:p>
        </w:tc>
        <w:tc>
          <w:tcPr>
            <w:tcW w:w="1650" w:type="pct"/>
            <w:tcBorders>
              <w:top w:val="outset" w:sz="6" w:space="0" w:color="auto"/>
              <w:left w:val="outset" w:sz="6" w:space="0" w:color="auto"/>
              <w:bottom w:val="outset" w:sz="6" w:space="0" w:color="auto"/>
              <w:right w:val="outset" w:sz="6" w:space="0" w:color="auto"/>
            </w:tcBorders>
            <w:hideMark/>
          </w:tcPr>
          <w:p w:rsidR="00D353D5" w:rsidRPr="008E586D" w:rsidRDefault="00D353D5" w:rsidP="000F1999">
            <w:pPr>
              <w:spacing w:before="100" w:beforeAutospacing="1" w:after="75"/>
              <w:rPr>
                <w:sz w:val="22"/>
                <w:szCs w:val="22"/>
                <w:lang w:val="sr-Latn-ME" w:eastAsia="en-GB"/>
              </w:rPr>
            </w:pPr>
            <w:r w:rsidRPr="008E586D">
              <w:rPr>
                <w:sz w:val="22"/>
                <w:szCs w:val="22"/>
                <w:lang w:val="sr-Latn-ME" w:eastAsia="en-GB"/>
              </w:rPr>
              <w:t>Nepoznato</w:t>
            </w:r>
          </w:p>
        </w:tc>
        <w:tc>
          <w:tcPr>
            <w:tcW w:w="1650" w:type="pct"/>
            <w:tcBorders>
              <w:top w:val="outset" w:sz="6" w:space="0" w:color="auto"/>
              <w:left w:val="outset" w:sz="6" w:space="0" w:color="auto"/>
              <w:bottom w:val="outset" w:sz="6" w:space="0" w:color="auto"/>
              <w:right w:val="outset" w:sz="6" w:space="0" w:color="auto"/>
            </w:tcBorders>
            <w:hideMark/>
          </w:tcPr>
          <w:p w:rsidR="00D353D5" w:rsidRPr="008E586D" w:rsidRDefault="00D353D5" w:rsidP="000F1999">
            <w:pPr>
              <w:pStyle w:val="Default"/>
              <w:rPr>
                <w:color w:val="auto"/>
                <w:sz w:val="22"/>
                <w:szCs w:val="22"/>
                <w:lang w:val="sr-Latn-ME"/>
              </w:rPr>
            </w:pPr>
            <w:r w:rsidRPr="008E586D">
              <w:rPr>
                <w:color w:val="auto"/>
                <w:sz w:val="22"/>
                <w:szCs w:val="22"/>
                <w:lang w:val="sr-Latn-ME"/>
              </w:rPr>
              <w:t>Hipertenzija (tokom ili nakon infuzije), kardiovaskularna insuficijencija*, kardiovaskularni poremećaji (angina pektoris, srčani zastoj, infarkt miokarda, ishemija miokarda), bradikardija</w:t>
            </w:r>
          </w:p>
        </w:tc>
      </w:tr>
      <w:tr w:rsidR="00D353D5" w:rsidRPr="008E586D" w:rsidTr="000F1999">
        <w:trPr>
          <w:tblCellSpacing w:w="0" w:type="dxa"/>
        </w:trPr>
        <w:tc>
          <w:tcPr>
            <w:tcW w:w="1700" w:type="pct"/>
            <w:tcBorders>
              <w:top w:val="outset" w:sz="6" w:space="0" w:color="auto"/>
              <w:left w:val="outset" w:sz="6" w:space="0" w:color="auto"/>
              <w:bottom w:val="outset" w:sz="6" w:space="0" w:color="auto"/>
              <w:right w:val="outset" w:sz="6" w:space="0" w:color="auto"/>
            </w:tcBorders>
            <w:hideMark/>
          </w:tcPr>
          <w:p w:rsidR="00D353D5" w:rsidRPr="008E586D" w:rsidRDefault="00D353D5" w:rsidP="000F1999">
            <w:pPr>
              <w:spacing w:before="100" w:beforeAutospacing="1" w:after="75"/>
              <w:rPr>
                <w:sz w:val="22"/>
                <w:szCs w:val="22"/>
                <w:lang w:val="sr-Latn-ME" w:eastAsia="en-GB"/>
              </w:rPr>
            </w:pPr>
            <w:r w:rsidRPr="008E586D">
              <w:rPr>
                <w:sz w:val="22"/>
                <w:szCs w:val="22"/>
                <w:lang w:val="sr-Latn-ME" w:eastAsia="en-GB"/>
              </w:rPr>
              <w:t xml:space="preserve">Vaskularni poremećaji </w:t>
            </w:r>
          </w:p>
        </w:tc>
        <w:tc>
          <w:tcPr>
            <w:tcW w:w="1650" w:type="pct"/>
            <w:tcBorders>
              <w:top w:val="outset" w:sz="6" w:space="0" w:color="auto"/>
              <w:left w:val="outset" w:sz="6" w:space="0" w:color="auto"/>
              <w:bottom w:val="outset" w:sz="6" w:space="0" w:color="auto"/>
              <w:right w:val="outset" w:sz="6" w:space="0" w:color="auto"/>
            </w:tcBorders>
            <w:hideMark/>
          </w:tcPr>
          <w:p w:rsidR="00D353D5" w:rsidRPr="008E586D" w:rsidRDefault="00D353D5" w:rsidP="000F1999">
            <w:pPr>
              <w:spacing w:before="100" w:beforeAutospacing="1" w:after="75"/>
              <w:rPr>
                <w:sz w:val="22"/>
                <w:szCs w:val="22"/>
                <w:lang w:val="sr-Latn-ME" w:eastAsia="en-GB"/>
              </w:rPr>
            </w:pPr>
            <w:r w:rsidRPr="008E586D">
              <w:rPr>
                <w:sz w:val="22"/>
                <w:szCs w:val="22"/>
                <w:lang w:val="sr-Latn-ME" w:eastAsia="en-GB"/>
              </w:rPr>
              <w:t xml:space="preserve">Nepoznato </w:t>
            </w:r>
          </w:p>
        </w:tc>
        <w:tc>
          <w:tcPr>
            <w:tcW w:w="1650" w:type="pct"/>
            <w:tcBorders>
              <w:top w:val="outset" w:sz="6" w:space="0" w:color="auto"/>
              <w:left w:val="outset" w:sz="6" w:space="0" w:color="auto"/>
              <w:bottom w:val="outset" w:sz="6" w:space="0" w:color="auto"/>
              <w:right w:val="outset" w:sz="6" w:space="0" w:color="auto"/>
            </w:tcBorders>
            <w:hideMark/>
          </w:tcPr>
          <w:p w:rsidR="00D353D5" w:rsidRPr="008E586D" w:rsidRDefault="00D353D5" w:rsidP="000F1999">
            <w:pPr>
              <w:spacing w:before="100" w:beforeAutospacing="1" w:after="75"/>
              <w:rPr>
                <w:sz w:val="22"/>
                <w:szCs w:val="22"/>
                <w:lang w:val="sr-Latn-ME" w:eastAsia="en-GB"/>
              </w:rPr>
            </w:pPr>
            <w:r w:rsidRPr="008E586D">
              <w:rPr>
                <w:sz w:val="22"/>
                <w:szCs w:val="22"/>
                <w:lang w:val="sr-Latn-ME" w:eastAsia="en-GB"/>
              </w:rPr>
              <w:t>Hipotenzija, crvenilo, tromboembolijski događaji (arterijska tromboza, cerebralni infarkt, cerebrovaskularni incident, duboki tromboflebitis, embolija donjih ekstremiteta, plućna embolija, tromboflebitis, tromboza i iznenadna smrt), periferni vaskularni poremećaj</w:t>
            </w:r>
          </w:p>
        </w:tc>
      </w:tr>
      <w:tr w:rsidR="00D353D5" w:rsidRPr="008E586D" w:rsidTr="000F1999">
        <w:trPr>
          <w:tblCellSpacing w:w="0" w:type="dxa"/>
        </w:trPr>
        <w:tc>
          <w:tcPr>
            <w:tcW w:w="1700" w:type="pct"/>
            <w:tcBorders>
              <w:top w:val="outset" w:sz="6" w:space="0" w:color="auto"/>
              <w:left w:val="outset" w:sz="6" w:space="0" w:color="auto"/>
              <w:bottom w:val="outset" w:sz="6" w:space="0" w:color="auto"/>
              <w:right w:val="outset" w:sz="6" w:space="0" w:color="auto"/>
            </w:tcBorders>
            <w:hideMark/>
          </w:tcPr>
          <w:p w:rsidR="00D353D5" w:rsidRPr="008E586D" w:rsidRDefault="00D353D5" w:rsidP="000F1999">
            <w:pPr>
              <w:spacing w:before="100" w:beforeAutospacing="1" w:after="75"/>
              <w:rPr>
                <w:sz w:val="22"/>
                <w:szCs w:val="22"/>
                <w:lang w:val="sr-Latn-ME" w:eastAsia="en-GB"/>
              </w:rPr>
            </w:pPr>
            <w:r w:rsidRPr="008E586D">
              <w:rPr>
                <w:sz w:val="22"/>
                <w:szCs w:val="22"/>
                <w:lang w:val="sr-Latn-ME" w:eastAsia="en-GB"/>
              </w:rPr>
              <w:t xml:space="preserve">Respiratorni, torakalni i medijastinalni poremećaji </w:t>
            </w:r>
          </w:p>
        </w:tc>
        <w:tc>
          <w:tcPr>
            <w:tcW w:w="1650" w:type="pct"/>
            <w:tcBorders>
              <w:top w:val="outset" w:sz="6" w:space="0" w:color="auto"/>
              <w:left w:val="outset" w:sz="6" w:space="0" w:color="auto"/>
              <w:bottom w:val="outset" w:sz="6" w:space="0" w:color="auto"/>
              <w:right w:val="outset" w:sz="6" w:space="0" w:color="auto"/>
            </w:tcBorders>
            <w:hideMark/>
          </w:tcPr>
          <w:p w:rsidR="00D353D5" w:rsidRPr="008E586D" w:rsidRDefault="00D353D5" w:rsidP="000F1999">
            <w:pPr>
              <w:spacing w:before="100" w:beforeAutospacing="1" w:after="75"/>
              <w:rPr>
                <w:sz w:val="22"/>
                <w:szCs w:val="22"/>
                <w:lang w:val="sr-Latn-ME" w:eastAsia="en-GB"/>
              </w:rPr>
            </w:pPr>
            <w:r w:rsidRPr="008E586D">
              <w:rPr>
                <w:sz w:val="22"/>
                <w:szCs w:val="22"/>
                <w:lang w:val="sr-Latn-ME" w:eastAsia="en-GB"/>
              </w:rPr>
              <w:t>Nepoznato</w:t>
            </w:r>
          </w:p>
        </w:tc>
        <w:tc>
          <w:tcPr>
            <w:tcW w:w="1650" w:type="pct"/>
            <w:tcBorders>
              <w:top w:val="outset" w:sz="6" w:space="0" w:color="auto"/>
              <w:left w:val="outset" w:sz="6" w:space="0" w:color="auto"/>
              <w:bottom w:val="outset" w:sz="6" w:space="0" w:color="auto"/>
              <w:right w:val="outset" w:sz="6" w:space="0" w:color="auto"/>
            </w:tcBorders>
            <w:hideMark/>
          </w:tcPr>
          <w:p w:rsidR="00D353D5" w:rsidRPr="008E586D" w:rsidRDefault="00D353D5" w:rsidP="000F1999">
            <w:pPr>
              <w:spacing w:before="100" w:beforeAutospacing="1" w:after="75"/>
              <w:rPr>
                <w:sz w:val="22"/>
                <w:szCs w:val="22"/>
                <w:lang w:val="sr-Latn-ME" w:eastAsia="en-GB"/>
              </w:rPr>
            </w:pPr>
            <w:r w:rsidRPr="008E586D">
              <w:rPr>
                <w:sz w:val="22"/>
                <w:szCs w:val="22"/>
                <w:lang w:val="sr-Latn-ME" w:eastAsia="en-GB"/>
              </w:rPr>
              <w:t>Intersticijalna bolest pluća koja se m</w:t>
            </w:r>
            <w:r w:rsidR="00922060" w:rsidRPr="008E586D">
              <w:rPr>
                <w:sz w:val="22"/>
                <w:szCs w:val="22"/>
                <w:lang w:val="sr-Latn-ME" w:eastAsia="en-GB"/>
              </w:rPr>
              <w:t>anifestuje kao plućni infiltrati</w:t>
            </w:r>
            <w:r w:rsidRPr="008E586D">
              <w:rPr>
                <w:sz w:val="22"/>
                <w:szCs w:val="22"/>
                <w:lang w:val="sr-Latn-ME" w:eastAsia="en-GB"/>
              </w:rPr>
              <w:t>, dispneja, štucanje</w:t>
            </w:r>
          </w:p>
        </w:tc>
      </w:tr>
      <w:tr w:rsidR="00D353D5" w:rsidRPr="008E586D" w:rsidTr="000F1999">
        <w:trPr>
          <w:tblCellSpacing w:w="0" w:type="dxa"/>
        </w:trPr>
        <w:tc>
          <w:tcPr>
            <w:tcW w:w="1700" w:type="pct"/>
            <w:vMerge w:val="restart"/>
            <w:tcBorders>
              <w:top w:val="outset" w:sz="6" w:space="0" w:color="auto"/>
              <w:left w:val="outset" w:sz="6" w:space="0" w:color="auto"/>
              <w:right w:val="outset" w:sz="6" w:space="0" w:color="auto"/>
            </w:tcBorders>
            <w:hideMark/>
          </w:tcPr>
          <w:p w:rsidR="00D353D5" w:rsidRPr="008E586D" w:rsidRDefault="00D353D5" w:rsidP="000F1999">
            <w:pPr>
              <w:spacing w:before="100" w:beforeAutospacing="1" w:after="75"/>
              <w:rPr>
                <w:sz w:val="22"/>
                <w:szCs w:val="22"/>
                <w:lang w:val="sr-Latn-ME" w:eastAsia="en-GB"/>
              </w:rPr>
            </w:pPr>
            <w:r w:rsidRPr="008E586D">
              <w:rPr>
                <w:sz w:val="22"/>
                <w:szCs w:val="22"/>
                <w:lang w:val="sr-Latn-ME" w:eastAsia="en-GB"/>
              </w:rPr>
              <w:t xml:space="preserve">Gastrointestinalni poremećaji </w:t>
            </w:r>
          </w:p>
        </w:tc>
        <w:tc>
          <w:tcPr>
            <w:tcW w:w="1650" w:type="pct"/>
            <w:tcBorders>
              <w:top w:val="outset" w:sz="6" w:space="0" w:color="auto"/>
              <w:left w:val="outset" w:sz="6" w:space="0" w:color="auto"/>
              <w:bottom w:val="outset" w:sz="6" w:space="0" w:color="auto"/>
              <w:right w:val="outset" w:sz="6" w:space="0" w:color="auto"/>
            </w:tcBorders>
            <w:hideMark/>
          </w:tcPr>
          <w:p w:rsidR="00D353D5" w:rsidRPr="008E586D" w:rsidRDefault="00D353D5" w:rsidP="000F1999">
            <w:pPr>
              <w:spacing w:before="100" w:beforeAutospacing="1" w:after="75"/>
              <w:rPr>
                <w:sz w:val="22"/>
                <w:szCs w:val="22"/>
                <w:lang w:val="sr-Latn-ME" w:eastAsia="en-GB"/>
              </w:rPr>
            </w:pPr>
            <w:r w:rsidRPr="008E586D">
              <w:rPr>
                <w:sz w:val="22"/>
                <w:szCs w:val="22"/>
                <w:lang w:val="sr-Latn-ME" w:eastAsia="en-GB"/>
              </w:rPr>
              <w:t xml:space="preserve">Veoma često </w:t>
            </w:r>
          </w:p>
        </w:tc>
        <w:tc>
          <w:tcPr>
            <w:tcW w:w="1650" w:type="pct"/>
            <w:tcBorders>
              <w:top w:val="outset" w:sz="6" w:space="0" w:color="auto"/>
              <w:left w:val="outset" w:sz="6" w:space="0" w:color="auto"/>
              <w:bottom w:val="outset" w:sz="6" w:space="0" w:color="auto"/>
              <w:right w:val="outset" w:sz="6" w:space="0" w:color="auto"/>
            </w:tcBorders>
            <w:hideMark/>
          </w:tcPr>
          <w:p w:rsidR="00D353D5" w:rsidRPr="008E586D" w:rsidRDefault="00922060" w:rsidP="000F1999">
            <w:pPr>
              <w:spacing w:before="100" w:beforeAutospacing="1" w:after="75"/>
              <w:rPr>
                <w:sz w:val="22"/>
                <w:szCs w:val="22"/>
                <w:lang w:val="sr-Latn-ME" w:eastAsia="en-GB"/>
              </w:rPr>
            </w:pPr>
            <w:r w:rsidRPr="008E586D">
              <w:rPr>
                <w:sz w:val="22"/>
                <w:szCs w:val="22"/>
                <w:lang w:val="sr-Latn-ME" w:eastAsia="en-GB"/>
              </w:rPr>
              <w:t>Dijareja</w:t>
            </w:r>
            <w:r w:rsidR="00D353D5" w:rsidRPr="008E586D">
              <w:rPr>
                <w:sz w:val="22"/>
                <w:szCs w:val="22"/>
                <w:lang w:val="sr-Latn-ME" w:eastAsia="en-GB"/>
              </w:rPr>
              <w:t xml:space="preserve">, povraćanje, nauzeja, abdominalni bol </w:t>
            </w:r>
          </w:p>
        </w:tc>
      </w:tr>
      <w:tr w:rsidR="00D353D5" w:rsidRPr="008E586D" w:rsidTr="000F1999">
        <w:trPr>
          <w:tblCellSpacing w:w="0" w:type="dxa"/>
        </w:trPr>
        <w:tc>
          <w:tcPr>
            <w:tcW w:w="1700" w:type="pct"/>
            <w:vMerge/>
            <w:tcBorders>
              <w:left w:val="outset" w:sz="6" w:space="0" w:color="auto"/>
              <w:right w:val="outset" w:sz="6" w:space="0" w:color="auto"/>
            </w:tcBorders>
            <w:hideMark/>
          </w:tcPr>
          <w:p w:rsidR="00D353D5" w:rsidRPr="008E586D" w:rsidRDefault="00D353D5" w:rsidP="000F1999">
            <w:pPr>
              <w:rPr>
                <w:sz w:val="22"/>
                <w:szCs w:val="22"/>
                <w:lang w:val="sr-Latn-ME" w:eastAsia="en-GB"/>
              </w:rPr>
            </w:pPr>
          </w:p>
        </w:tc>
        <w:tc>
          <w:tcPr>
            <w:tcW w:w="1650" w:type="pct"/>
            <w:tcBorders>
              <w:top w:val="outset" w:sz="6" w:space="0" w:color="auto"/>
              <w:left w:val="outset" w:sz="6" w:space="0" w:color="auto"/>
              <w:bottom w:val="outset" w:sz="6" w:space="0" w:color="auto"/>
              <w:right w:val="outset" w:sz="6" w:space="0" w:color="auto"/>
            </w:tcBorders>
            <w:hideMark/>
          </w:tcPr>
          <w:p w:rsidR="00D353D5" w:rsidRPr="008E586D" w:rsidRDefault="00D353D5" w:rsidP="000F1999">
            <w:pPr>
              <w:spacing w:before="100" w:beforeAutospacing="1" w:after="75"/>
              <w:rPr>
                <w:sz w:val="22"/>
                <w:szCs w:val="22"/>
                <w:lang w:val="sr-Latn-ME" w:eastAsia="en-GB"/>
              </w:rPr>
            </w:pPr>
            <w:r w:rsidRPr="008E586D">
              <w:rPr>
                <w:sz w:val="22"/>
                <w:szCs w:val="22"/>
                <w:lang w:val="sr-Latn-ME" w:eastAsia="en-GB"/>
              </w:rPr>
              <w:t xml:space="preserve">Često </w:t>
            </w:r>
          </w:p>
        </w:tc>
        <w:tc>
          <w:tcPr>
            <w:tcW w:w="1650" w:type="pct"/>
            <w:tcBorders>
              <w:top w:val="outset" w:sz="6" w:space="0" w:color="auto"/>
              <w:left w:val="outset" w:sz="6" w:space="0" w:color="auto"/>
              <w:bottom w:val="outset" w:sz="6" w:space="0" w:color="auto"/>
              <w:right w:val="outset" w:sz="6" w:space="0" w:color="auto"/>
            </w:tcBorders>
            <w:hideMark/>
          </w:tcPr>
          <w:p w:rsidR="00D353D5" w:rsidRPr="008E586D" w:rsidRDefault="00D353D5" w:rsidP="000F1999">
            <w:pPr>
              <w:spacing w:before="100" w:beforeAutospacing="1" w:after="75"/>
              <w:rPr>
                <w:sz w:val="22"/>
                <w:szCs w:val="22"/>
                <w:lang w:val="sr-Latn-ME" w:eastAsia="en-GB"/>
              </w:rPr>
            </w:pPr>
            <w:r w:rsidRPr="008E586D">
              <w:rPr>
                <w:sz w:val="22"/>
                <w:szCs w:val="22"/>
                <w:lang w:val="sr-Latn-ME" w:eastAsia="en-GB"/>
              </w:rPr>
              <w:t xml:space="preserve">Konstipacija </w:t>
            </w:r>
          </w:p>
        </w:tc>
      </w:tr>
      <w:tr w:rsidR="00D353D5" w:rsidRPr="008E586D" w:rsidTr="000F1999">
        <w:trPr>
          <w:tblCellSpacing w:w="0" w:type="dxa"/>
        </w:trPr>
        <w:tc>
          <w:tcPr>
            <w:tcW w:w="1700" w:type="pct"/>
            <w:vMerge/>
            <w:tcBorders>
              <w:left w:val="outset" w:sz="6" w:space="0" w:color="auto"/>
              <w:right w:val="outset" w:sz="6" w:space="0" w:color="auto"/>
            </w:tcBorders>
          </w:tcPr>
          <w:p w:rsidR="00D353D5" w:rsidRPr="008E586D" w:rsidRDefault="00D353D5" w:rsidP="000F1999">
            <w:pPr>
              <w:spacing w:before="100" w:beforeAutospacing="1" w:after="75"/>
              <w:rPr>
                <w:sz w:val="22"/>
                <w:szCs w:val="22"/>
                <w:lang w:val="sr-Latn-ME" w:eastAsia="en-GB"/>
              </w:rPr>
            </w:pPr>
          </w:p>
        </w:tc>
        <w:tc>
          <w:tcPr>
            <w:tcW w:w="1650" w:type="pct"/>
            <w:tcBorders>
              <w:top w:val="outset" w:sz="6" w:space="0" w:color="auto"/>
              <w:left w:val="outset" w:sz="6" w:space="0" w:color="auto"/>
              <w:bottom w:val="outset" w:sz="6" w:space="0" w:color="auto"/>
              <w:right w:val="outset" w:sz="6" w:space="0" w:color="auto"/>
            </w:tcBorders>
          </w:tcPr>
          <w:p w:rsidR="00D353D5" w:rsidRPr="008E586D" w:rsidRDefault="00D353D5" w:rsidP="000F1999">
            <w:pPr>
              <w:spacing w:before="100" w:beforeAutospacing="1" w:after="75"/>
              <w:rPr>
                <w:sz w:val="22"/>
                <w:szCs w:val="22"/>
                <w:lang w:val="sr-Latn-ME" w:eastAsia="en-GB"/>
              </w:rPr>
            </w:pPr>
            <w:r w:rsidRPr="008E586D">
              <w:rPr>
                <w:sz w:val="22"/>
                <w:szCs w:val="22"/>
                <w:lang w:val="sr-Latn-ME" w:eastAsia="en-GB"/>
              </w:rPr>
              <w:t>Nepoznato</w:t>
            </w:r>
          </w:p>
        </w:tc>
        <w:tc>
          <w:tcPr>
            <w:tcW w:w="1650" w:type="pct"/>
            <w:tcBorders>
              <w:top w:val="outset" w:sz="6" w:space="0" w:color="auto"/>
              <w:left w:val="outset" w:sz="6" w:space="0" w:color="auto"/>
              <w:bottom w:val="outset" w:sz="6" w:space="0" w:color="auto"/>
              <w:right w:val="outset" w:sz="6" w:space="0" w:color="auto"/>
            </w:tcBorders>
          </w:tcPr>
          <w:p w:rsidR="00D353D5" w:rsidRPr="008E586D" w:rsidRDefault="00D353D5" w:rsidP="0046645A">
            <w:pPr>
              <w:spacing w:before="100" w:beforeAutospacing="1" w:after="75"/>
              <w:rPr>
                <w:sz w:val="22"/>
                <w:szCs w:val="22"/>
                <w:lang w:val="sr-Latn-ME" w:eastAsia="en-GB"/>
              </w:rPr>
            </w:pPr>
            <w:r w:rsidRPr="008E586D">
              <w:rPr>
                <w:sz w:val="22"/>
                <w:szCs w:val="22"/>
                <w:lang w:val="sr-Latn-ME" w:eastAsia="en-GB"/>
              </w:rPr>
              <w:t xml:space="preserve">Crijevna opstrukcija, ileus, proširenje debelog crijeva, gastrointestinalna hemoragija, kolitis uključujući tiflitis, ishemijski i ulcerozni kolitis, gastrointestinalno krvarenje, simptomatsko ili asimptomatsko povećanje enzima gušterače, perforacija crijeva, gastrointestinalna </w:t>
            </w:r>
            <w:r w:rsidR="0043477D" w:rsidRPr="008E586D">
              <w:rPr>
                <w:sz w:val="22"/>
                <w:szCs w:val="22"/>
                <w:lang w:val="sr-Latn-ME" w:eastAsia="en-GB"/>
              </w:rPr>
              <w:t>monilija</w:t>
            </w:r>
          </w:p>
        </w:tc>
      </w:tr>
      <w:tr w:rsidR="00D353D5" w:rsidRPr="008E586D" w:rsidTr="000F1999">
        <w:trPr>
          <w:tblCellSpacing w:w="0" w:type="dxa"/>
        </w:trPr>
        <w:tc>
          <w:tcPr>
            <w:tcW w:w="1700" w:type="pct"/>
            <w:vMerge w:val="restart"/>
            <w:tcBorders>
              <w:top w:val="outset" w:sz="6" w:space="0" w:color="auto"/>
              <w:left w:val="outset" w:sz="6" w:space="0" w:color="auto"/>
              <w:right w:val="outset" w:sz="6" w:space="0" w:color="auto"/>
            </w:tcBorders>
            <w:hideMark/>
          </w:tcPr>
          <w:p w:rsidR="00D353D5" w:rsidRPr="008E586D" w:rsidRDefault="00D353D5" w:rsidP="000F1999">
            <w:pPr>
              <w:spacing w:before="100" w:beforeAutospacing="1" w:after="75"/>
              <w:rPr>
                <w:sz w:val="22"/>
                <w:szCs w:val="22"/>
                <w:lang w:val="sr-Latn-ME" w:eastAsia="en-GB"/>
              </w:rPr>
            </w:pPr>
            <w:r w:rsidRPr="008E586D">
              <w:rPr>
                <w:sz w:val="22"/>
                <w:szCs w:val="22"/>
                <w:lang w:val="sr-Latn-ME" w:eastAsia="en-GB"/>
              </w:rPr>
              <w:t>Hepatobilijarni poremećaji</w:t>
            </w:r>
          </w:p>
        </w:tc>
        <w:tc>
          <w:tcPr>
            <w:tcW w:w="1650" w:type="pct"/>
            <w:tcBorders>
              <w:top w:val="outset" w:sz="6" w:space="0" w:color="auto"/>
              <w:left w:val="outset" w:sz="6" w:space="0" w:color="auto"/>
              <w:bottom w:val="outset" w:sz="6" w:space="0" w:color="auto"/>
              <w:right w:val="outset" w:sz="6" w:space="0" w:color="auto"/>
            </w:tcBorders>
            <w:hideMark/>
          </w:tcPr>
          <w:p w:rsidR="00D353D5" w:rsidRPr="008E586D" w:rsidRDefault="00D353D5" w:rsidP="000F1999">
            <w:pPr>
              <w:spacing w:before="100" w:beforeAutospacing="1" w:after="75"/>
              <w:rPr>
                <w:sz w:val="22"/>
                <w:szCs w:val="22"/>
                <w:lang w:val="sr-Latn-ME" w:eastAsia="en-GB"/>
              </w:rPr>
            </w:pPr>
            <w:r w:rsidRPr="008E586D">
              <w:rPr>
                <w:sz w:val="22"/>
                <w:szCs w:val="22"/>
                <w:lang w:val="sr-Latn-ME" w:eastAsia="en-GB"/>
              </w:rPr>
              <w:t xml:space="preserve">Često </w:t>
            </w:r>
          </w:p>
        </w:tc>
        <w:tc>
          <w:tcPr>
            <w:tcW w:w="1650" w:type="pct"/>
            <w:tcBorders>
              <w:top w:val="outset" w:sz="6" w:space="0" w:color="auto"/>
              <w:left w:val="outset" w:sz="6" w:space="0" w:color="auto"/>
              <w:bottom w:val="outset" w:sz="6" w:space="0" w:color="auto"/>
              <w:right w:val="outset" w:sz="6" w:space="0" w:color="auto"/>
            </w:tcBorders>
            <w:hideMark/>
          </w:tcPr>
          <w:p w:rsidR="00D353D5" w:rsidRPr="008E586D" w:rsidRDefault="00D353D5" w:rsidP="000F1999">
            <w:pPr>
              <w:spacing w:before="100" w:beforeAutospacing="1" w:after="75"/>
              <w:rPr>
                <w:sz w:val="22"/>
                <w:szCs w:val="22"/>
                <w:lang w:val="sr-Latn-ME" w:eastAsia="en-GB"/>
              </w:rPr>
            </w:pPr>
            <w:r w:rsidRPr="008E586D">
              <w:rPr>
                <w:sz w:val="22"/>
                <w:szCs w:val="22"/>
                <w:lang w:val="sr-Latn-ME" w:eastAsia="en-GB"/>
              </w:rPr>
              <w:t>Povišen kreatinin u krvi, povišene transaminaze (AST i ALT), povišen bilirubin, povišena alkalna fosfataza u krvi</w:t>
            </w:r>
          </w:p>
        </w:tc>
      </w:tr>
      <w:tr w:rsidR="00D353D5" w:rsidRPr="008E586D" w:rsidTr="000F1999">
        <w:trPr>
          <w:tblCellSpacing w:w="0" w:type="dxa"/>
        </w:trPr>
        <w:tc>
          <w:tcPr>
            <w:tcW w:w="1700" w:type="pct"/>
            <w:vMerge/>
            <w:tcBorders>
              <w:left w:val="outset" w:sz="6" w:space="0" w:color="auto"/>
              <w:bottom w:val="outset" w:sz="6" w:space="0" w:color="auto"/>
              <w:right w:val="outset" w:sz="6" w:space="0" w:color="auto"/>
            </w:tcBorders>
            <w:hideMark/>
          </w:tcPr>
          <w:p w:rsidR="00D353D5" w:rsidRPr="008E586D" w:rsidRDefault="00D353D5" w:rsidP="000F1999">
            <w:pPr>
              <w:rPr>
                <w:sz w:val="22"/>
                <w:szCs w:val="22"/>
                <w:lang w:val="sr-Latn-ME" w:eastAsia="en-GB"/>
              </w:rPr>
            </w:pPr>
          </w:p>
        </w:tc>
        <w:tc>
          <w:tcPr>
            <w:tcW w:w="1650" w:type="pct"/>
            <w:tcBorders>
              <w:top w:val="outset" w:sz="6" w:space="0" w:color="auto"/>
              <w:left w:val="outset" w:sz="6" w:space="0" w:color="auto"/>
              <w:bottom w:val="outset" w:sz="6" w:space="0" w:color="auto"/>
              <w:right w:val="outset" w:sz="6" w:space="0" w:color="auto"/>
            </w:tcBorders>
            <w:hideMark/>
          </w:tcPr>
          <w:p w:rsidR="00D353D5" w:rsidRPr="008E586D" w:rsidRDefault="00D353D5" w:rsidP="000F1999">
            <w:pPr>
              <w:spacing w:before="100" w:beforeAutospacing="1" w:after="75"/>
              <w:rPr>
                <w:sz w:val="22"/>
                <w:szCs w:val="22"/>
                <w:lang w:val="sr-Latn-ME" w:eastAsia="en-GB"/>
              </w:rPr>
            </w:pPr>
            <w:r w:rsidRPr="008E586D">
              <w:rPr>
                <w:sz w:val="22"/>
                <w:szCs w:val="22"/>
                <w:lang w:val="sr-Latn-ME" w:eastAsia="en-GB"/>
              </w:rPr>
              <w:t xml:space="preserve">Nepoznato </w:t>
            </w:r>
          </w:p>
        </w:tc>
        <w:tc>
          <w:tcPr>
            <w:tcW w:w="1650" w:type="pct"/>
            <w:tcBorders>
              <w:top w:val="outset" w:sz="6" w:space="0" w:color="auto"/>
              <w:left w:val="outset" w:sz="6" w:space="0" w:color="auto"/>
              <w:bottom w:val="outset" w:sz="6" w:space="0" w:color="auto"/>
              <w:right w:val="outset" w:sz="6" w:space="0" w:color="auto"/>
            </w:tcBorders>
            <w:hideMark/>
          </w:tcPr>
          <w:p w:rsidR="00D353D5" w:rsidRPr="008E586D" w:rsidRDefault="00D353D5" w:rsidP="000F1999">
            <w:pPr>
              <w:spacing w:before="100" w:beforeAutospacing="1" w:after="75"/>
              <w:rPr>
                <w:sz w:val="22"/>
                <w:szCs w:val="22"/>
                <w:lang w:val="sr-Latn-ME" w:eastAsia="en-GB"/>
              </w:rPr>
            </w:pPr>
            <w:r w:rsidRPr="008E586D">
              <w:rPr>
                <w:sz w:val="22"/>
                <w:szCs w:val="22"/>
                <w:lang w:val="sr-Latn-ME" w:eastAsia="en-GB"/>
              </w:rPr>
              <w:t>povišen GTP, hepatička steatoza, steatohepatitis</w:t>
            </w:r>
            <w:r w:rsidR="00922060" w:rsidRPr="008E586D">
              <w:rPr>
                <w:sz w:val="22"/>
                <w:szCs w:val="22"/>
                <w:lang w:val="sr-Latn-ME" w:eastAsia="en-GB"/>
              </w:rPr>
              <w:t>, povišena amilaza i lipaza</w:t>
            </w:r>
          </w:p>
        </w:tc>
      </w:tr>
      <w:tr w:rsidR="00D353D5" w:rsidRPr="008E586D" w:rsidTr="000F1999">
        <w:trPr>
          <w:tblCellSpacing w:w="0" w:type="dxa"/>
        </w:trPr>
        <w:tc>
          <w:tcPr>
            <w:tcW w:w="1700" w:type="pct"/>
            <w:vMerge w:val="restart"/>
            <w:tcBorders>
              <w:top w:val="outset" w:sz="6" w:space="0" w:color="auto"/>
              <w:left w:val="outset" w:sz="6" w:space="0" w:color="auto"/>
              <w:right w:val="outset" w:sz="6" w:space="0" w:color="auto"/>
            </w:tcBorders>
            <w:hideMark/>
          </w:tcPr>
          <w:p w:rsidR="00D353D5" w:rsidRPr="008E586D" w:rsidRDefault="00D353D5" w:rsidP="000F1999">
            <w:pPr>
              <w:spacing w:before="100" w:beforeAutospacing="1" w:after="75"/>
              <w:rPr>
                <w:sz w:val="22"/>
                <w:szCs w:val="22"/>
                <w:lang w:val="sr-Latn-ME" w:eastAsia="en-GB"/>
              </w:rPr>
            </w:pPr>
            <w:r w:rsidRPr="008E586D">
              <w:rPr>
                <w:sz w:val="22"/>
                <w:szCs w:val="22"/>
                <w:lang w:val="sr-Latn-ME" w:eastAsia="en-GB"/>
              </w:rPr>
              <w:t xml:space="preserve">Poremećaji kože i potkožnog tkiva </w:t>
            </w:r>
          </w:p>
        </w:tc>
        <w:tc>
          <w:tcPr>
            <w:tcW w:w="1650" w:type="pct"/>
            <w:tcBorders>
              <w:top w:val="outset" w:sz="6" w:space="0" w:color="auto"/>
              <w:left w:val="outset" w:sz="6" w:space="0" w:color="auto"/>
              <w:bottom w:val="outset" w:sz="6" w:space="0" w:color="auto"/>
              <w:right w:val="outset" w:sz="6" w:space="0" w:color="auto"/>
            </w:tcBorders>
            <w:hideMark/>
          </w:tcPr>
          <w:p w:rsidR="00D353D5" w:rsidRPr="008E586D" w:rsidRDefault="00D353D5" w:rsidP="000F1999">
            <w:pPr>
              <w:spacing w:before="100" w:beforeAutospacing="1" w:after="75"/>
              <w:rPr>
                <w:sz w:val="22"/>
                <w:szCs w:val="22"/>
                <w:lang w:val="sr-Latn-ME" w:eastAsia="en-GB"/>
              </w:rPr>
            </w:pPr>
            <w:r w:rsidRPr="008E586D">
              <w:rPr>
                <w:sz w:val="22"/>
                <w:szCs w:val="22"/>
                <w:lang w:val="sr-Latn-ME" w:eastAsia="en-GB"/>
              </w:rPr>
              <w:t xml:space="preserve">Veoma često </w:t>
            </w:r>
          </w:p>
        </w:tc>
        <w:tc>
          <w:tcPr>
            <w:tcW w:w="1650" w:type="pct"/>
            <w:tcBorders>
              <w:top w:val="outset" w:sz="6" w:space="0" w:color="auto"/>
              <w:left w:val="outset" w:sz="6" w:space="0" w:color="auto"/>
              <w:bottom w:val="outset" w:sz="6" w:space="0" w:color="auto"/>
              <w:right w:val="outset" w:sz="6" w:space="0" w:color="auto"/>
            </w:tcBorders>
            <w:hideMark/>
          </w:tcPr>
          <w:p w:rsidR="00D353D5" w:rsidRPr="008E586D" w:rsidRDefault="00D353D5" w:rsidP="000F1999">
            <w:pPr>
              <w:spacing w:before="100" w:beforeAutospacing="1" w:after="75"/>
              <w:rPr>
                <w:sz w:val="22"/>
                <w:szCs w:val="22"/>
                <w:lang w:val="sr-Latn-ME" w:eastAsia="en-GB"/>
              </w:rPr>
            </w:pPr>
            <w:r w:rsidRPr="008E586D">
              <w:rPr>
                <w:sz w:val="22"/>
                <w:szCs w:val="22"/>
                <w:lang w:val="sr-Latn-ME" w:eastAsia="en-GB"/>
              </w:rPr>
              <w:t>Alopecija (reverzibilna)</w:t>
            </w:r>
          </w:p>
        </w:tc>
      </w:tr>
      <w:tr w:rsidR="00D353D5" w:rsidRPr="008E586D" w:rsidTr="000F1999">
        <w:trPr>
          <w:tblCellSpacing w:w="0" w:type="dxa"/>
        </w:trPr>
        <w:tc>
          <w:tcPr>
            <w:tcW w:w="1700" w:type="pct"/>
            <w:vMerge/>
            <w:tcBorders>
              <w:left w:val="outset" w:sz="6" w:space="0" w:color="auto"/>
              <w:bottom w:val="outset" w:sz="6" w:space="0" w:color="auto"/>
              <w:right w:val="outset" w:sz="6" w:space="0" w:color="auto"/>
            </w:tcBorders>
          </w:tcPr>
          <w:p w:rsidR="00D353D5" w:rsidRPr="008E586D" w:rsidRDefault="00D353D5" w:rsidP="000F1999">
            <w:pPr>
              <w:spacing w:before="100" w:beforeAutospacing="1" w:after="75"/>
              <w:rPr>
                <w:sz w:val="22"/>
                <w:szCs w:val="22"/>
                <w:lang w:val="sr-Latn-ME" w:eastAsia="en-GB"/>
              </w:rPr>
            </w:pPr>
          </w:p>
        </w:tc>
        <w:tc>
          <w:tcPr>
            <w:tcW w:w="1650" w:type="pct"/>
            <w:tcBorders>
              <w:top w:val="outset" w:sz="6" w:space="0" w:color="auto"/>
              <w:left w:val="outset" w:sz="6" w:space="0" w:color="auto"/>
              <w:bottom w:val="outset" w:sz="6" w:space="0" w:color="auto"/>
              <w:right w:val="outset" w:sz="6" w:space="0" w:color="auto"/>
            </w:tcBorders>
          </w:tcPr>
          <w:p w:rsidR="00D353D5" w:rsidRPr="008E586D" w:rsidRDefault="00D353D5" w:rsidP="000F1999">
            <w:pPr>
              <w:spacing w:before="100" w:beforeAutospacing="1" w:after="75"/>
              <w:rPr>
                <w:sz w:val="22"/>
                <w:szCs w:val="22"/>
                <w:lang w:val="sr-Latn-ME" w:eastAsia="en-GB"/>
              </w:rPr>
            </w:pPr>
            <w:r w:rsidRPr="008E586D">
              <w:rPr>
                <w:sz w:val="22"/>
                <w:szCs w:val="22"/>
                <w:lang w:val="sr-Latn-ME" w:eastAsia="en-GB"/>
              </w:rPr>
              <w:t>Nepoznato</w:t>
            </w:r>
          </w:p>
        </w:tc>
        <w:tc>
          <w:tcPr>
            <w:tcW w:w="1650" w:type="pct"/>
            <w:tcBorders>
              <w:top w:val="outset" w:sz="6" w:space="0" w:color="auto"/>
              <w:left w:val="outset" w:sz="6" w:space="0" w:color="auto"/>
              <w:bottom w:val="outset" w:sz="6" w:space="0" w:color="auto"/>
              <w:right w:val="outset" w:sz="6" w:space="0" w:color="auto"/>
            </w:tcBorders>
          </w:tcPr>
          <w:p w:rsidR="00D353D5" w:rsidRPr="008E586D" w:rsidRDefault="00D353D5" w:rsidP="000F1999">
            <w:pPr>
              <w:spacing w:before="100" w:beforeAutospacing="1" w:after="75"/>
              <w:rPr>
                <w:sz w:val="22"/>
                <w:szCs w:val="22"/>
                <w:lang w:val="sr-Latn-ME" w:eastAsia="en-GB"/>
              </w:rPr>
            </w:pPr>
            <w:r w:rsidRPr="008E586D">
              <w:rPr>
                <w:sz w:val="22"/>
                <w:szCs w:val="22"/>
                <w:lang w:val="sr-Latn-ME" w:eastAsia="en-GB"/>
              </w:rPr>
              <w:t>Kožne reakcije, osip</w:t>
            </w:r>
          </w:p>
        </w:tc>
      </w:tr>
      <w:tr w:rsidR="00D353D5" w:rsidRPr="008E586D" w:rsidTr="000F1999">
        <w:trPr>
          <w:tblCellSpacing w:w="0" w:type="dxa"/>
        </w:trPr>
        <w:tc>
          <w:tcPr>
            <w:tcW w:w="1700" w:type="pct"/>
            <w:tcBorders>
              <w:top w:val="outset" w:sz="6" w:space="0" w:color="auto"/>
              <w:left w:val="outset" w:sz="6" w:space="0" w:color="auto"/>
              <w:bottom w:val="outset" w:sz="6" w:space="0" w:color="auto"/>
              <w:right w:val="outset" w:sz="6" w:space="0" w:color="auto"/>
            </w:tcBorders>
          </w:tcPr>
          <w:p w:rsidR="00D353D5" w:rsidRPr="008E586D" w:rsidRDefault="00D353D5" w:rsidP="000F1999">
            <w:pPr>
              <w:spacing w:before="100" w:beforeAutospacing="1" w:after="75"/>
              <w:rPr>
                <w:sz w:val="22"/>
                <w:szCs w:val="22"/>
                <w:lang w:val="sr-Latn-ME" w:eastAsia="en-GB"/>
              </w:rPr>
            </w:pPr>
            <w:r w:rsidRPr="008E586D">
              <w:rPr>
                <w:sz w:val="22"/>
                <w:szCs w:val="22"/>
                <w:lang w:val="sr-Latn-ME" w:eastAsia="en-GB"/>
              </w:rPr>
              <w:t>Poremećaji mišićno-koštanog sistema i vezivnog tkiva</w:t>
            </w:r>
          </w:p>
        </w:tc>
        <w:tc>
          <w:tcPr>
            <w:tcW w:w="1650" w:type="pct"/>
            <w:tcBorders>
              <w:top w:val="outset" w:sz="6" w:space="0" w:color="auto"/>
              <w:left w:val="outset" w:sz="6" w:space="0" w:color="auto"/>
              <w:bottom w:val="outset" w:sz="6" w:space="0" w:color="auto"/>
              <w:right w:val="outset" w:sz="6" w:space="0" w:color="auto"/>
            </w:tcBorders>
          </w:tcPr>
          <w:p w:rsidR="00D353D5" w:rsidRPr="008E586D" w:rsidRDefault="00D353D5" w:rsidP="000F1999">
            <w:pPr>
              <w:rPr>
                <w:sz w:val="22"/>
                <w:szCs w:val="22"/>
                <w:lang w:val="sr-Latn-ME" w:eastAsia="en-GB"/>
              </w:rPr>
            </w:pPr>
            <w:r w:rsidRPr="008E586D">
              <w:rPr>
                <w:sz w:val="22"/>
                <w:szCs w:val="22"/>
                <w:lang w:val="sr-Latn-ME" w:eastAsia="en-GB"/>
              </w:rPr>
              <w:t>Nepoznato</w:t>
            </w:r>
          </w:p>
        </w:tc>
        <w:tc>
          <w:tcPr>
            <w:tcW w:w="1650" w:type="pct"/>
            <w:tcBorders>
              <w:top w:val="outset" w:sz="6" w:space="0" w:color="auto"/>
              <w:left w:val="outset" w:sz="6" w:space="0" w:color="auto"/>
              <w:bottom w:val="outset" w:sz="6" w:space="0" w:color="auto"/>
              <w:right w:val="outset" w:sz="6" w:space="0" w:color="auto"/>
            </w:tcBorders>
          </w:tcPr>
          <w:p w:rsidR="00D353D5" w:rsidRPr="008E586D" w:rsidRDefault="00D353D5" w:rsidP="0046645A">
            <w:pPr>
              <w:spacing w:before="100" w:beforeAutospacing="1" w:after="75"/>
              <w:rPr>
                <w:sz w:val="22"/>
                <w:szCs w:val="22"/>
                <w:lang w:val="sr-Latn-ME" w:eastAsia="en-GB"/>
              </w:rPr>
            </w:pPr>
            <w:r w:rsidRPr="008E586D">
              <w:rPr>
                <w:sz w:val="22"/>
                <w:szCs w:val="22"/>
                <w:lang w:val="sr-Latn-ME" w:eastAsia="en-GB"/>
              </w:rPr>
              <w:t>Mišićne kontrakcije ili grčevi</w:t>
            </w:r>
          </w:p>
        </w:tc>
      </w:tr>
      <w:tr w:rsidR="00D353D5" w:rsidRPr="008E586D" w:rsidTr="000F1999">
        <w:trPr>
          <w:tblCellSpacing w:w="0" w:type="dxa"/>
        </w:trPr>
        <w:tc>
          <w:tcPr>
            <w:tcW w:w="1700" w:type="pct"/>
            <w:tcBorders>
              <w:top w:val="outset" w:sz="6" w:space="0" w:color="auto"/>
              <w:left w:val="outset" w:sz="6" w:space="0" w:color="auto"/>
              <w:bottom w:val="outset" w:sz="6" w:space="0" w:color="auto"/>
              <w:right w:val="outset" w:sz="6" w:space="0" w:color="auto"/>
            </w:tcBorders>
            <w:hideMark/>
          </w:tcPr>
          <w:p w:rsidR="00D353D5" w:rsidRPr="008E586D" w:rsidRDefault="00D353D5" w:rsidP="000F1999">
            <w:pPr>
              <w:spacing w:before="100" w:beforeAutospacing="1" w:after="75"/>
              <w:rPr>
                <w:sz w:val="22"/>
                <w:szCs w:val="22"/>
                <w:lang w:val="sr-Latn-ME" w:eastAsia="en-GB"/>
              </w:rPr>
            </w:pPr>
            <w:r w:rsidRPr="008E586D">
              <w:rPr>
                <w:sz w:val="22"/>
                <w:szCs w:val="22"/>
                <w:lang w:val="sr-Latn-ME" w:eastAsia="en-GB"/>
              </w:rPr>
              <w:t xml:space="preserve">Poremećaji bubrega i urinanarnog sistema </w:t>
            </w:r>
          </w:p>
        </w:tc>
        <w:tc>
          <w:tcPr>
            <w:tcW w:w="1650" w:type="pct"/>
            <w:tcBorders>
              <w:top w:val="outset" w:sz="6" w:space="0" w:color="auto"/>
              <w:left w:val="outset" w:sz="6" w:space="0" w:color="auto"/>
              <w:bottom w:val="outset" w:sz="6" w:space="0" w:color="auto"/>
              <w:right w:val="outset" w:sz="6" w:space="0" w:color="auto"/>
            </w:tcBorders>
            <w:hideMark/>
          </w:tcPr>
          <w:p w:rsidR="00D353D5" w:rsidRPr="008E586D" w:rsidRDefault="00D353D5" w:rsidP="000F1999">
            <w:pPr>
              <w:rPr>
                <w:sz w:val="22"/>
                <w:szCs w:val="22"/>
                <w:lang w:val="sr-Latn-ME"/>
              </w:rPr>
            </w:pPr>
            <w:r w:rsidRPr="008E586D">
              <w:rPr>
                <w:sz w:val="22"/>
                <w:szCs w:val="22"/>
                <w:lang w:val="sr-Latn-ME" w:eastAsia="en-GB"/>
              </w:rPr>
              <w:t>Nepoznato</w:t>
            </w:r>
          </w:p>
        </w:tc>
        <w:tc>
          <w:tcPr>
            <w:tcW w:w="1650" w:type="pct"/>
            <w:tcBorders>
              <w:top w:val="outset" w:sz="6" w:space="0" w:color="auto"/>
              <w:left w:val="outset" w:sz="6" w:space="0" w:color="auto"/>
              <w:bottom w:val="outset" w:sz="6" w:space="0" w:color="auto"/>
              <w:right w:val="outset" w:sz="6" w:space="0" w:color="auto"/>
            </w:tcBorders>
          </w:tcPr>
          <w:p w:rsidR="00D353D5" w:rsidRPr="008E586D" w:rsidRDefault="00D353D5" w:rsidP="000F1999">
            <w:pPr>
              <w:spacing w:before="100" w:beforeAutospacing="1" w:after="75"/>
              <w:rPr>
                <w:sz w:val="22"/>
                <w:szCs w:val="22"/>
                <w:lang w:val="sr-Latn-ME" w:eastAsia="en-GB"/>
              </w:rPr>
            </w:pPr>
            <w:r w:rsidRPr="008E586D">
              <w:rPr>
                <w:sz w:val="22"/>
                <w:szCs w:val="22"/>
                <w:lang w:val="sr-Latn-ME" w:eastAsia="en-GB"/>
              </w:rPr>
              <w:t xml:space="preserve">Oštećenje bubrega i akutna insuficijencija bubrega, </w:t>
            </w:r>
            <w:r w:rsidRPr="008E586D">
              <w:rPr>
                <w:sz w:val="22"/>
                <w:szCs w:val="22"/>
                <w:lang w:val="sr-Latn-ME" w:eastAsia="en-GB"/>
              </w:rPr>
              <w:lastRenderedPageBreak/>
              <w:t>bubrežna insuficijencija, infekcija mokraćnog sistema</w:t>
            </w:r>
          </w:p>
        </w:tc>
      </w:tr>
      <w:tr w:rsidR="00D353D5" w:rsidRPr="008E586D" w:rsidTr="000F1999">
        <w:trPr>
          <w:tblCellSpacing w:w="0" w:type="dxa"/>
        </w:trPr>
        <w:tc>
          <w:tcPr>
            <w:tcW w:w="1700" w:type="pct"/>
            <w:tcBorders>
              <w:top w:val="outset" w:sz="6" w:space="0" w:color="auto"/>
              <w:left w:val="outset" w:sz="6" w:space="0" w:color="auto"/>
              <w:right w:val="outset" w:sz="6" w:space="0" w:color="auto"/>
            </w:tcBorders>
            <w:hideMark/>
          </w:tcPr>
          <w:p w:rsidR="00D353D5" w:rsidRPr="008E586D" w:rsidRDefault="00D353D5" w:rsidP="000F1999">
            <w:pPr>
              <w:spacing w:before="100" w:beforeAutospacing="1" w:after="75"/>
              <w:rPr>
                <w:sz w:val="22"/>
                <w:szCs w:val="22"/>
                <w:lang w:val="sr-Latn-ME" w:eastAsia="en-GB"/>
              </w:rPr>
            </w:pPr>
            <w:r w:rsidRPr="008E586D">
              <w:rPr>
                <w:sz w:val="22"/>
                <w:szCs w:val="22"/>
                <w:lang w:val="sr-Latn-ME" w:eastAsia="en-GB"/>
              </w:rPr>
              <w:lastRenderedPageBreak/>
              <w:t xml:space="preserve">Poremećaji reproduktivnog sistema i dojki </w:t>
            </w:r>
          </w:p>
        </w:tc>
        <w:tc>
          <w:tcPr>
            <w:tcW w:w="1650" w:type="pct"/>
            <w:tcBorders>
              <w:top w:val="outset" w:sz="6" w:space="0" w:color="auto"/>
              <w:left w:val="outset" w:sz="6" w:space="0" w:color="auto"/>
              <w:bottom w:val="outset" w:sz="6" w:space="0" w:color="auto"/>
              <w:right w:val="outset" w:sz="6" w:space="0" w:color="auto"/>
            </w:tcBorders>
            <w:hideMark/>
          </w:tcPr>
          <w:p w:rsidR="00D353D5" w:rsidRPr="008E586D" w:rsidRDefault="00D353D5" w:rsidP="000F1999">
            <w:pPr>
              <w:rPr>
                <w:sz w:val="22"/>
                <w:szCs w:val="22"/>
                <w:lang w:val="sr-Latn-ME"/>
              </w:rPr>
            </w:pPr>
            <w:r w:rsidRPr="008E586D">
              <w:rPr>
                <w:sz w:val="22"/>
                <w:szCs w:val="22"/>
                <w:lang w:val="sr-Latn-ME" w:eastAsia="en-GB"/>
              </w:rPr>
              <w:t>Nepoznato</w:t>
            </w:r>
          </w:p>
        </w:tc>
        <w:tc>
          <w:tcPr>
            <w:tcW w:w="1650" w:type="pct"/>
            <w:tcBorders>
              <w:top w:val="outset" w:sz="6" w:space="0" w:color="auto"/>
              <w:left w:val="outset" w:sz="6" w:space="0" w:color="auto"/>
              <w:bottom w:val="outset" w:sz="6" w:space="0" w:color="auto"/>
              <w:right w:val="outset" w:sz="6" w:space="0" w:color="auto"/>
            </w:tcBorders>
          </w:tcPr>
          <w:p w:rsidR="00D353D5" w:rsidRPr="008E586D" w:rsidRDefault="00D353D5" w:rsidP="000F1999">
            <w:pPr>
              <w:pStyle w:val="Default"/>
              <w:rPr>
                <w:color w:val="auto"/>
                <w:sz w:val="22"/>
                <w:szCs w:val="22"/>
                <w:lang w:val="sr-Latn-ME"/>
              </w:rPr>
            </w:pPr>
            <w:r w:rsidRPr="008E586D">
              <w:rPr>
                <w:color w:val="auto"/>
                <w:sz w:val="22"/>
                <w:szCs w:val="22"/>
                <w:lang w:val="sr-Latn-ME"/>
              </w:rPr>
              <w:t xml:space="preserve">Bolovi u grudima </w:t>
            </w:r>
          </w:p>
        </w:tc>
      </w:tr>
      <w:tr w:rsidR="00D353D5" w:rsidRPr="008E586D" w:rsidTr="000F1999">
        <w:trPr>
          <w:tblCellSpacing w:w="0" w:type="dxa"/>
        </w:trPr>
        <w:tc>
          <w:tcPr>
            <w:tcW w:w="1700" w:type="pct"/>
            <w:vMerge w:val="restart"/>
            <w:tcBorders>
              <w:top w:val="outset" w:sz="6" w:space="0" w:color="auto"/>
              <w:left w:val="outset" w:sz="6" w:space="0" w:color="auto"/>
              <w:right w:val="outset" w:sz="6" w:space="0" w:color="auto"/>
            </w:tcBorders>
            <w:hideMark/>
          </w:tcPr>
          <w:p w:rsidR="00D353D5" w:rsidRPr="008E586D" w:rsidRDefault="00D353D5" w:rsidP="000F1999">
            <w:pPr>
              <w:spacing w:before="100" w:beforeAutospacing="1" w:after="75"/>
              <w:rPr>
                <w:sz w:val="22"/>
                <w:szCs w:val="22"/>
                <w:lang w:val="sr-Latn-ME" w:eastAsia="en-GB"/>
              </w:rPr>
            </w:pPr>
            <w:r w:rsidRPr="008E586D">
              <w:rPr>
                <w:sz w:val="22"/>
                <w:szCs w:val="22"/>
                <w:lang w:val="sr-Latn-ME" w:eastAsia="en-GB"/>
              </w:rPr>
              <w:t xml:space="preserve">Opšti poremećaji i reakcije na mjestu primjene </w:t>
            </w:r>
          </w:p>
        </w:tc>
        <w:tc>
          <w:tcPr>
            <w:tcW w:w="1650" w:type="pct"/>
            <w:tcBorders>
              <w:top w:val="outset" w:sz="6" w:space="0" w:color="auto"/>
              <w:left w:val="outset" w:sz="6" w:space="0" w:color="auto"/>
              <w:bottom w:val="outset" w:sz="6" w:space="0" w:color="auto"/>
              <w:right w:val="outset" w:sz="6" w:space="0" w:color="auto"/>
            </w:tcBorders>
            <w:hideMark/>
          </w:tcPr>
          <w:p w:rsidR="00D353D5" w:rsidRPr="008E586D" w:rsidRDefault="00D353D5" w:rsidP="000F1999">
            <w:pPr>
              <w:spacing w:before="100" w:beforeAutospacing="1" w:after="75"/>
              <w:rPr>
                <w:sz w:val="22"/>
                <w:szCs w:val="22"/>
                <w:lang w:val="sr-Latn-ME" w:eastAsia="en-GB"/>
              </w:rPr>
            </w:pPr>
            <w:r w:rsidRPr="008E586D">
              <w:rPr>
                <w:sz w:val="22"/>
                <w:szCs w:val="22"/>
                <w:lang w:val="sr-Latn-ME" w:eastAsia="en-GB"/>
              </w:rPr>
              <w:t xml:space="preserve">Veoma često </w:t>
            </w:r>
          </w:p>
        </w:tc>
        <w:tc>
          <w:tcPr>
            <w:tcW w:w="1650" w:type="pct"/>
            <w:tcBorders>
              <w:top w:val="outset" w:sz="6" w:space="0" w:color="auto"/>
              <w:left w:val="outset" w:sz="6" w:space="0" w:color="auto"/>
              <w:bottom w:val="outset" w:sz="6" w:space="0" w:color="auto"/>
              <w:right w:val="outset" w:sz="6" w:space="0" w:color="auto"/>
            </w:tcBorders>
            <w:hideMark/>
          </w:tcPr>
          <w:p w:rsidR="00D353D5" w:rsidRPr="008E586D" w:rsidRDefault="00D353D5" w:rsidP="000F1999">
            <w:pPr>
              <w:spacing w:before="100" w:beforeAutospacing="1" w:after="75"/>
              <w:rPr>
                <w:sz w:val="22"/>
                <w:szCs w:val="22"/>
                <w:lang w:val="sr-Latn-ME" w:eastAsia="en-GB"/>
              </w:rPr>
            </w:pPr>
            <w:r w:rsidRPr="008E586D">
              <w:rPr>
                <w:sz w:val="22"/>
                <w:szCs w:val="22"/>
                <w:lang w:val="sr-Latn-ME" w:eastAsia="en-GB"/>
              </w:rPr>
              <w:t>Upala sluzokože, pireksija, astenija</w:t>
            </w:r>
          </w:p>
        </w:tc>
      </w:tr>
      <w:tr w:rsidR="00D353D5" w:rsidRPr="008E586D" w:rsidTr="000F1999">
        <w:trPr>
          <w:tblCellSpacing w:w="0" w:type="dxa"/>
        </w:trPr>
        <w:tc>
          <w:tcPr>
            <w:tcW w:w="1700" w:type="pct"/>
            <w:vMerge/>
            <w:tcBorders>
              <w:left w:val="outset" w:sz="6" w:space="0" w:color="auto"/>
              <w:bottom w:val="outset" w:sz="6" w:space="0" w:color="auto"/>
              <w:right w:val="outset" w:sz="6" w:space="0" w:color="auto"/>
            </w:tcBorders>
            <w:hideMark/>
          </w:tcPr>
          <w:p w:rsidR="00D353D5" w:rsidRPr="008E586D" w:rsidRDefault="00D353D5" w:rsidP="000F1999">
            <w:pPr>
              <w:rPr>
                <w:sz w:val="22"/>
                <w:szCs w:val="22"/>
                <w:lang w:val="sr-Latn-ME" w:eastAsia="en-GB"/>
              </w:rPr>
            </w:pPr>
          </w:p>
        </w:tc>
        <w:tc>
          <w:tcPr>
            <w:tcW w:w="1650" w:type="pct"/>
            <w:tcBorders>
              <w:top w:val="outset" w:sz="6" w:space="0" w:color="auto"/>
              <w:left w:val="outset" w:sz="6" w:space="0" w:color="auto"/>
              <w:bottom w:val="outset" w:sz="6" w:space="0" w:color="auto"/>
              <w:right w:val="outset" w:sz="6" w:space="0" w:color="auto"/>
            </w:tcBorders>
            <w:hideMark/>
          </w:tcPr>
          <w:p w:rsidR="00D353D5" w:rsidRPr="008E586D" w:rsidRDefault="00D353D5" w:rsidP="000F1999">
            <w:pPr>
              <w:spacing w:before="100" w:beforeAutospacing="1" w:after="75"/>
              <w:rPr>
                <w:sz w:val="22"/>
                <w:szCs w:val="22"/>
                <w:lang w:val="sr-Latn-ME" w:eastAsia="en-GB"/>
              </w:rPr>
            </w:pPr>
            <w:r w:rsidRPr="008E586D">
              <w:rPr>
                <w:sz w:val="22"/>
                <w:szCs w:val="22"/>
                <w:lang w:val="sr-Latn-ME" w:eastAsia="en-GB"/>
              </w:rPr>
              <w:t>Nepoznato</w:t>
            </w:r>
          </w:p>
        </w:tc>
        <w:tc>
          <w:tcPr>
            <w:tcW w:w="1650" w:type="pct"/>
            <w:tcBorders>
              <w:top w:val="outset" w:sz="6" w:space="0" w:color="auto"/>
              <w:left w:val="outset" w:sz="6" w:space="0" w:color="auto"/>
              <w:bottom w:val="outset" w:sz="6" w:space="0" w:color="auto"/>
              <w:right w:val="outset" w:sz="6" w:space="0" w:color="auto"/>
            </w:tcBorders>
            <w:hideMark/>
          </w:tcPr>
          <w:p w:rsidR="00D353D5" w:rsidRPr="008E586D" w:rsidRDefault="00D353D5" w:rsidP="000F1999">
            <w:pPr>
              <w:spacing w:before="100" w:beforeAutospacing="1" w:after="75"/>
              <w:rPr>
                <w:sz w:val="22"/>
                <w:szCs w:val="22"/>
                <w:lang w:val="sr-Latn-ME" w:eastAsia="en-GB"/>
              </w:rPr>
            </w:pPr>
            <w:r w:rsidRPr="008E586D">
              <w:rPr>
                <w:sz w:val="22"/>
                <w:szCs w:val="22"/>
                <w:lang w:val="sr-Latn-ME" w:eastAsia="en-GB"/>
              </w:rPr>
              <w:t>Reakcije na mjestu primjene, bolovi, nenormalan hod, ekstravazacija</w:t>
            </w:r>
          </w:p>
        </w:tc>
      </w:tr>
    </w:tbl>
    <w:p w:rsidR="00955D90" w:rsidRPr="008E586D" w:rsidRDefault="00955D90" w:rsidP="00926D14">
      <w:pPr>
        <w:shd w:val="clear" w:color="auto" w:fill="FFFFFF"/>
        <w:rPr>
          <w:color w:val="000000"/>
          <w:sz w:val="20"/>
          <w:szCs w:val="20"/>
          <w:lang w:val="sr-Latn-ME"/>
        </w:rPr>
      </w:pPr>
      <w:r w:rsidRPr="008E586D">
        <w:rPr>
          <w:color w:val="000000"/>
          <w:sz w:val="20"/>
          <w:szCs w:val="20"/>
          <w:vertAlign w:val="superscript"/>
          <w:lang w:val="sr-Latn-ME"/>
        </w:rPr>
        <w:t>a</w:t>
      </w:r>
      <w:r w:rsidRPr="008E586D">
        <w:rPr>
          <w:color w:val="000000"/>
          <w:sz w:val="20"/>
          <w:szCs w:val="20"/>
          <w:lang w:val="sr-Latn-ME"/>
        </w:rPr>
        <w:t xml:space="preserve">. npr. </w:t>
      </w:r>
      <w:r w:rsidR="004D0A2C" w:rsidRPr="008E586D">
        <w:rPr>
          <w:color w:val="000000"/>
          <w:sz w:val="20"/>
          <w:szCs w:val="20"/>
          <w:lang w:val="sr-Latn-ME"/>
        </w:rPr>
        <w:t xml:space="preserve">upala pluća uzrokovana </w:t>
      </w:r>
      <w:r w:rsidRPr="008E586D">
        <w:rPr>
          <w:i/>
          <w:color w:val="000000"/>
          <w:sz w:val="20"/>
          <w:szCs w:val="20"/>
          <w:lang w:val="sr-Latn-ME"/>
        </w:rPr>
        <w:t>Pneumocystis jirovecii</w:t>
      </w:r>
      <w:r w:rsidRPr="008E586D">
        <w:rPr>
          <w:color w:val="000000"/>
          <w:sz w:val="20"/>
          <w:szCs w:val="20"/>
          <w:lang w:val="sr-Latn-ME"/>
        </w:rPr>
        <w:t xml:space="preserve">, </w:t>
      </w:r>
      <w:r w:rsidR="004D0A2C" w:rsidRPr="008E586D">
        <w:rPr>
          <w:color w:val="000000"/>
          <w:sz w:val="20"/>
          <w:szCs w:val="20"/>
          <w:lang w:val="sr-Latn-ME"/>
        </w:rPr>
        <w:t>bronhopulmonalna aspergiloza, sistemska kandida</w:t>
      </w:r>
      <w:r w:rsidR="004D0A2C" w:rsidRPr="008E586D" w:rsidDel="004D0A2C">
        <w:rPr>
          <w:color w:val="000000"/>
          <w:sz w:val="20"/>
          <w:szCs w:val="20"/>
          <w:lang w:val="sr-Latn-ME"/>
        </w:rPr>
        <w:t xml:space="preserve"> </w:t>
      </w:r>
      <w:r w:rsidRPr="008E586D">
        <w:rPr>
          <w:color w:val="000000"/>
          <w:sz w:val="20"/>
          <w:szCs w:val="20"/>
          <w:lang w:val="sr-Latn-ME"/>
        </w:rPr>
        <w:t>.</w:t>
      </w:r>
    </w:p>
    <w:p w:rsidR="00955D90" w:rsidRPr="008E586D" w:rsidRDefault="00955D90" w:rsidP="00926D14">
      <w:pPr>
        <w:shd w:val="clear" w:color="auto" w:fill="FFFFFF"/>
        <w:rPr>
          <w:color w:val="000000"/>
          <w:sz w:val="20"/>
          <w:szCs w:val="20"/>
          <w:lang w:val="sr-Latn-ME"/>
        </w:rPr>
      </w:pPr>
      <w:r w:rsidRPr="008E586D">
        <w:rPr>
          <w:color w:val="000000"/>
          <w:sz w:val="20"/>
          <w:szCs w:val="20"/>
          <w:vertAlign w:val="superscript"/>
          <w:lang w:val="sr-Latn-ME"/>
        </w:rPr>
        <w:t>b</w:t>
      </w:r>
      <w:r w:rsidRPr="008E586D">
        <w:rPr>
          <w:color w:val="000000"/>
          <w:sz w:val="20"/>
          <w:szCs w:val="20"/>
          <w:lang w:val="sr-Latn-ME"/>
        </w:rPr>
        <w:t xml:space="preserve">. npr. </w:t>
      </w:r>
      <w:r w:rsidR="004D0A2C" w:rsidRPr="008E586D">
        <w:rPr>
          <w:color w:val="000000"/>
          <w:sz w:val="20"/>
          <w:szCs w:val="20"/>
          <w:lang w:val="sr-Latn-ME"/>
        </w:rPr>
        <w:t>h</w:t>
      </w:r>
      <w:r w:rsidRPr="008E586D">
        <w:rPr>
          <w:color w:val="000000"/>
          <w:sz w:val="20"/>
          <w:szCs w:val="20"/>
          <w:lang w:val="sr-Latn-ME"/>
        </w:rPr>
        <w:t>erpes zoster, influen</w:t>
      </w:r>
      <w:r w:rsidR="004D0A2C" w:rsidRPr="008E586D">
        <w:rPr>
          <w:color w:val="000000"/>
          <w:sz w:val="20"/>
          <w:szCs w:val="20"/>
          <w:lang w:val="sr-Latn-ME"/>
        </w:rPr>
        <w:t>c</w:t>
      </w:r>
      <w:r w:rsidRPr="008E586D">
        <w:rPr>
          <w:color w:val="000000"/>
          <w:sz w:val="20"/>
          <w:szCs w:val="20"/>
          <w:lang w:val="sr-Latn-ME"/>
        </w:rPr>
        <w:t xml:space="preserve">a, </w:t>
      </w:r>
      <w:r w:rsidR="004D0A2C" w:rsidRPr="008E586D">
        <w:rPr>
          <w:color w:val="000000"/>
          <w:sz w:val="20"/>
          <w:szCs w:val="20"/>
          <w:lang w:val="sr-Latn-ME"/>
        </w:rPr>
        <w:t>reaktivacija hepatitisa B, citomegalovirusni kolitis</w:t>
      </w:r>
      <w:r w:rsidR="004D0A2C" w:rsidRPr="008E586D" w:rsidDel="004D0A2C">
        <w:rPr>
          <w:color w:val="000000"/>
          <w:sz w:val="20"/>
          <w:szCs w:val="20"/>
          <w:lang w:val="sr-Latn-ME"/>
        </w:rPr>
        <w:t xml:space="preserve"> </w:t>
      </w:r>
      <w:r w:rsidRPr="008E586D">
        <w:rPr>
          <w:color w:val="000000"/>
          <w:sz w:val="20"/>
          <w:szCs w:val="20"/>
          <w:lang w:val="sr-Latn-ME"/>
        </w:rPr>
        <w:t>.</w:t>
      </w:r>
    </w:p>
    <w:p w:rsidR="00D353D5" w:rsidRPr="008E586D" w:rsidRDefault="00D353D5" w:rsidP="0046645A">
      <w:pPr>
        <w:suppressAutoHyphens/>
        <w:autoSpaceDE w:val="0"/>
        <w:jc w:val="both"/>
        <w:rPr>
          <w:sz w:val="20"/>
          <w:szCs w:val="20"/>
          <w:lang w:val="sr-Latn-ME"/>
        </w:rPr>
      </w:pPr>
      <w:r w:rsidRPr="008E586D">
        <w:rPr>
          <w:sz w:val="20"/>
          <w:szCs w:val="20"/>
          <w:lang w:val="sr-Latn-ME"/>
        </w:rPr>
        <w:t>* Zabilježeni su rijetki slučajevi insuficijencije bubrega, hipotenzije ili kardio cirkulatorne insuficijencije kod pacijenata koji su doživjeli epizode dehidracije povezane sa</w:t>
      </w:r>
      <w:r w:rsidR="00955D90" w:rsidRPr="008E586D">
        <w:rPr>
          <w:sz w:val="20"/>
          <w:szCs w:val="20"/>
          <w:lang w:val="sr-Latn-ME"/>
        </w:rPr>
        <w:t xml:space="preserve"> dijarejom</w:t>
      </w:r>
      <w:r w:rsidRPr="008E586D">
        <w:rPr>
          <w:sz w:val="20"/>
          <w:szCs w:val="20"/>
          <w:lang w:val="sr-Latn-ME"/>
        </w:rPr>
        <w:t xml:space="preserve"> i/ili povraćanjem ili sepsom.</w:t>
      </w:r>
    </w:p>
    <w:p w:rsidR="00D353D5" w:rsidRPr="008E586D" w:rsidRDefault="00D353D5" w:rsidP="00D353D5">
      <w:pPr>
        <w:tabs>
          <w:tab w:val="left" w:pos="284"/>
        </w:tabs>
        <w:jc w:val="both"/>
        <w:rPr>
          <w:sz w:val="22"/>
          <w:szCs w:val="22"/>
          <w:lang w:val="sr-Latn-ME" w:bidi="bn-IN"/>
        </w:rPr>
      </w:pPr>
    </w:p>
    <w:p w:rsidR="006B0F21" w:rsidRPr="008E586D" w:rsidRDefault="006B0F21" w:rsidP="00974852">
      <w:pPr>
        <w:autoSpaceDE w:val="0"/>
        <w:autoSpaceDN w:val="0"/>
        <w:adjustRightInd w:val="0"/>
        <w:jc w:val="both"/>
        <w:rPr>
          <w:rFonts w:eastAsia="TimesNewRoman,Bold"/>
          <w:b/>
          <w:bCs/>
          <w:sz w:val="22"/>
          <w:szCs w:val="22"/>
          <w:lang w:val="sr-Latn-ME" w:eastAsia="sr-Latn-ME"/>
        </w:rPr>
      </w:pPr>
      <w:r w:rsidRPr="008E586D">
        <w:rPr>
          <w:rFonts w:eastAsia="TimesNewRoman,Bold"/>
          <w:b/>
          <w:bCs/>
          <w:sz w:val="22"/>
          <w:szCs w:val="22"/>
          <w:lang w:val="sr-Latn-ME" w:eastAsia="sr-Latn-ME"/>
        </w:rPr>
        <w:t>Opis odabranih neželjenih reakcija (monoterapija)</w:t>
      </w:r>
    </w:p>
    <w:p w:rsidR="007757DC" w:rsidRPr="008E586D" w:rsidRDefault="007757DC" w:rsidP="00974852">
      <w:pPr>
        <w:autoSpaceDE w:val="0"/>
        <w:autoSpaceDN w:val="0"/>
        <w:adjustRightInd w:val="0"/>
        <w:jc w:val="both"/>
        <w:rPr>
          <w:rFonts w:eastAsia="TimesNewRoman,Bold"/>
          <w:b/>
          <w:bCs/>
          <w:sz w:val="22"/>
          <w:szCs w:val="22"/>
          <w:lang w:val="sr-Latn-ME" w:eastAsia="sr-Latn-ME"/>
        </w:rPr>
      </w:pPr>
    </w:p>
    <w:p w:rsidR="006B0F21" w:rsidRPr="008E586D" w:rsidRDefault="006B0F21" w:rsidP="00974852">
      <w:pPr>
        <w:autoSpaceDE w:val="0"/>
        <w:autoSpaceDN w:val="0"/>
        <w:adjustRightInd w:val="0"/>
        <w:jc w:val="both"/>
        <w:rPr>
          <w:rFonts w:eastAsia="TimesNewRoman"/>
          <w:sz w:val="22"/>
          <w:szCs w:val="22"/>
          <w:lang w:val="sr-Latn-ME" w:eastAsia="sr-Latn-ME"/>
        </w:rPr>
      </w:pPr>
      <w:r w:rsidRPr="008E586D">
        <w:rPr>
          <w:rFonts w:eastAsia="TimesNewRoman,Bold"/>
          <w:b/>
          <w:bCs/>
          <w:sz w:val="22"/>
          <w:szCs w:val="22"/>
          <w:lang w:val="sr-Latn-ME" w:eastAsia="sr-Latn-ME"/>
        </w:rPr>
        <w:t xml:space="preserve">Teška dijareja </w:t>
      </w:r>
      <w:r w:rsidRPr="008E586D">
        <w:rPr>
          <w:rFonts w:eastAsia="TimesNewRoman"/>
          <w:sz w:val="22"/>
          <w:szCs w:val="22"/>
          <w:lang w:val="sr-Latn-ME" w:eastAsia="sr-Latn-ME"/>
        </w:rPr>
        <w:t>zabilježena je kod 20% pacijenata koji su slijedili preporuke za zbrinjavanje dijareje. Od ciklusa koji su se mogli procijeniti, 14% je imalo tešku dijareju. Medijana pojave prve tečne stolice bila je pet dana posl</w:t>
      </w:r>
      <w:r w:rsidR="007757DC" w:rsidRPr="008E586D">
        <w:rPr>
          <w:rFonts w:eastAsia="TimesNewRoman"/>
          <w:sz w:val="22"/>
          <w:szCs w:val="22"/>
          <w:lang w:val="sr-Latn-ME" w:eastAsia="sr-Latn-ME"/>
        </w:rPr>
        <w:t>ij</w:t>
      </w:r>
      <w:r w:rsidRPr="008E586D">
        <w:rPr>
          <w:rFonts w:eastAsia="TimesNewRoman"/>
          <w:sz w:val="22"/>
          <w:szCs w:val="22"/>
          <w:lang w:val="sr-Latn-ME" w:eastAsia="sr-Latn-ME"/>
        </w:rPr>
        <w:t>e infuzije lijeka Irinotecan Accord.</w:t>
      </w:r>
    </w:p>
    <w:p w:rsidR="007757DC" w:rsidRPr="008E586D" w:rsidRDefault="007757DC" w:rsidP="00974852">
      <w:pPr>
        <w:autoSpaceDE w:val="0"/>
        <w:autoSpaceDN w:val="0"/>
        <w:adjustRightInd w:val="0"/>
        <w:jc w:val="both"/>
        <w:rPr>
          <w:rFonts w:eastAsia="TimesNewRoman"/>
          <w:sz w:val="22"/>
          <w:szCs w:val="22"/>
          <w:lang w:val="sr-Latn-ME" w:eastAsia="sr-Latn-ME"/>
        </w:rPr>
      </w:pPr>
    </w:p>
    <w:p w:rsidR="006B0F21" w:rsidRPr="008E586D" w:rsidRDefault="006B0F21" w:rsidP="00974852">
      <w:pPr>
        <w:autoSpaceDE w:val="0"/>
        <w:autoSpaceDN w:val="0"/>
        <w:adjustRightInd w:val="0"/>
        <w:jc w:val="both"/>
        <w:rPr>
          <w:rFonts w:eastAsia="TimesNewRoman"/>
          <w:sz w:val="22"/>
          <w:szCs w:val="22"/>
          <w:lang w:val="sr-Latn-ME" w:eastAsia="sr-Latn-ME"/>
        </w:rPr>
      </w:pPr>
      <w:r w:rsidRPr="008E586D">
        <w:rPr>
          <w:rFonts w:eastAsia="TimesNewRoman"/>
          <w:sz w:val="22"/>
          <w:szCs w:val="22"/>
          <w:lang w:val="sr-Latn-ME" w:eastAsia="sr-Latn-ME"/>
        </w:rPr>
        <w:t xml:space="preserve">Teška </w:t>
      </w:r>
      <w:r w:rsidRPr="008E586D">
        <w:rPr>
          <w:rFonts w:eastAsia="TimesNewRoman,Bold"/>
          <w:b/>
          <w:bCs/>
          <w:sz w:val="22"/>
          <w:szCs w:val="22"/>
          <w:lang w:val="sr-Latn-ME" w:eastAsia="sr-Latn-ME"/>
        </w:rPr>
        <w:t xml:space="preserve">mučnina i povraćanje </w:t>
      </w:r>
      <w:r w:rsidRPr="008E586D">
        <w:rPr>
          <w:rFonts w:eastAsia="TimesNewRoman"/>
          <w:sz w:val="22"/>
          <w:szCs w:val="22"/>
          <w:lang w:val="sr-Latn-ME" w:eastAsia="sr-Latn-ME"/>
        </w:rPr>
        <w:t>zabilježeni su kod 10% pacijenata liječenih antiemeticima.</w:t>
      </w:r>
    </w:p>
    <w:p w:rsidR="007757DC" w:rsidRPr="008E586D" w:rsidRDefault="007757DC" w:rsidP="00974852">
      <w:pPr>
        <w:autoSpaceDE w:val="0"/>
        <w:autoSpaceDN w:val="0"/>
        <w:adjustRightInd w:val="0"/>
        <w:jc w:val="both"/>
        <w:rPr>
          <w:rFonts w:eastAsia="TimesNewRoman"/>
          <w:sz w:val="22"/>
          <w:szCs w:val="22"/>
          <w:lang w:val="sr-Latn-ME" w:eastAsia="sr-Latn-ME"/>
        </w:rPr>
      </w:pPr>
    </w:p>
    <w:p w:rsidR="006B0F21" w:rsidRPr="008E586D" w:rsidRDefault="006B0F21" w:rsidP="00974852">
      <w:pPr>
        <w:autoSpaceDE w:val="0"/>
        <w:autoSpaceDN w:val="0"/>
        <w:adjustRightInd w:val="0"/>
        <w:jc w:val="both"/>
        <w:rPr>
          <w:rFonts w:eastAsia="TimesNewRoman"/>
          <w:sz w:val="22"/>
          <w:szCs w:val="22"/>
          <w:lang w:val="sr-Latn-ME" w:eastAsia="sr-Latn-ME"/>
        </w:rPr>
      </w:pPr>
      <w:r w:rsidRPr="008E586D">
        <w:rPr>
          <w:rFonts w:eastAsia="TimesNewRoman"/>
          <w:sz w:val="22"/>
          <w:szCs w:val="22"/>
          <w:lang w:val="sr-Latn-ME" w:eastAsia="sr-Latn-ME"/>
        </w:rPr>
        <w:t xml:space="preserve">Zabilježena je pojava </w:t>
      </w:r>
      <w:r w:rsidRPr="008E586D">
        <w:rPr>
          <w:rFonts w:eastAsia="TimesNewRoman,Bold"/>
          <w:b/>
          <w:bCs/>
          <w:sz w:val="22"/>
          <w:szCs w:val="22"/>
          <w:lang w:val="sr-Latn-ME" w:eastAsia="sr-Latn-ME"/>
        </w:rPr>
        <w:t xml:space="preserve">konstipacije </w:t>
      </w:r>
      <w:r w:rsidRPr="008E586D">
        <w:rPr>
          <w:rFonts w:eastAsia="TimesNewRoman"/>
          <w:sz w:val="22"/>
          <w:szCs w:val="22"/>
          <w:lang w:val="sr-Latn-ME" w:eastAsia="sr-Latn-ME"/>
        </w:rPr>
        <w:t>kod manje od 10% pacijenata.</w:t>
      </w:r>
    </w:p>
    <w:p w:rsidR="007757DC" w:rsidRPr="008E586D" w:rsidRDefault="007757DC" w:rsidP="00974852">
      <w:pPr>
        <w:autoSpaceDE w:val="0"/>
        <w:autoSpaceDN w:val="0"/>
        <w:adjustRightInd w:val="0"/>
        <w:jc w:val="both"/>
        <w:rPr>
          <w:rFonts w:eastAsia="TimesNewRoman"/>
          <w:sz w:val="22"/>
          <w:szCs w:val="22"/>
          <w:lang w:val="sr-Latn-ME" w:eastAsia="sr-Latn-ME"/>
        </w:rPr>
      </w:pPr>
    </w:p>
    <w:p w:rsidR="006B0F21" w:rsidRPr="008E586D" w:rsidRDefault="006B0F21" w:rsidP="00974852">
      <w:pPr>
        <w:autoSpaceDE w:val="0"/>
        <w:autoSpaceDN w:val="0"/>
        <w:adjustRightInd w:val="0"/>
        <w:jc w:val="both"/>
        <w:rPr>
          <w:rFonts w:eastAsia="TimesNewRoman"/>
          <w:sz w:val="22"/>
          <w:szCs w:val="22"/>
          <w:lang w:val="sr-Latn-ME" w:eastAsia="sr-Latn-ME"/>
        </w:rPr>
      </w:pPr>
      <w:r w:rsidRPr="008E586D">
        <w:rPr>
          <w:rFonts w:eastAsia="TimesNewRoman,Bold"/>
          <w:b/>
          <w:bCs/>
          <w:sz w:val="22"/>
          <w:szCs w:val="22"/>
          <w:lang w:val="sr-Latn-ME" w:eastAsia="sr-Latn-ME"/>
        </w:rPr>
        <w:t xml:space="preserve">Neutropenija </w:t>
      </w:r>
      <w:r w:rsidRPr="008E586D">
        <w:rPr>
          <w:rFonts w:eastAsia="TimesNewRoman"/>
          <w:sz w:val="22"/>
          <w:szCs w:val="22"/>
          <w:lang w:val="sr-Latn-ME" w:eastAsia="sr-Latn-ME"/>
        </w:rPr>
        <w:t>je zapažena kod 78,7% pacijenata i bila je teška (broj neutrofila &lt;500 ćelija/mm</w:t>
      </w:r>
      <w:r w:rsidRPr="008E586D">
        <w:rPr>
          <w:rFonts w:eastAsia="TimesNewRoman"/>
          <w:sz w:val="22"/>
          <w:szCs w:val="22"/>
          <w:vertAlign w:val="superscript"/>
          <w:lang w:val="sr-Latn-ME" w:eastAsia="sr-Latn-ME"/>
        </w:rPr>
        <w:t>3</w:t>
      </w:r>
      <w:r w:rsidRPr="008E586D">
        <w:rPr>
          <w:rFonts w:eastAsia="TimesNewRoman"/>
          <w:sz w:val="22"/>
          <w:szCs w:val="22"/>
          <w:lang w:val="sr-Latn-ME" w:eastAsia="sr-Latn-ME"/>
        </w:rPr>
        <w:t>) kod 22,6% pacijenata. Od ciklusa koji su se mogli procijeniti, 18% je imalo broj neutrofila manji od 1000 ćelija/mm</w:t>
      </w:r>
      <w:r w:rsidRPr="008E586D">
        <w:rPr>
          <w:rFonts w:eastAsia="TimesNewRoman"/>
          <w:sz w:val="22"/>
          <w:szCs w:val="22"/>
          <w:vertAlign w:val="superscript"/>
          <w:lang w:val="sr-Latn-ME" w:eastAsia="sr-Latn-ME"/>
        </w:rPr>
        <w:t>3</w:t>
      </w:r>
      <w:r w:rsidRPr="008E586D">
        <w:rPr>
          <w:rFonts w:eastAsia="TimesNewRoman"/>
          <w:sz w:val="22"/>
          <w:szCs w:val="22"/>
          <w:lang w:val="sr-Latn-ME" w:eastAsia="sr-Latn-ME"/>
        </w:rPr>
        <w:t>, uključujući i 7,6% sa brojem neutrofila koji je bio manji od 500 ćelija/mm</w:t>
      </w:r>
      <w:r w:rsidRPr="008E586D">
        <w:rPr>
          <w:rFonts w:eastAsia="TimesNewRoman"/>
          <w:sz w:val="22"/>
          <w:szCs w:val="22"/>
          <w:vertAlign w:val="superscript"/>
          <w:lang w:val="sr-Latn-ME" w:eastAsia="sr-Latn-ME"/>
        </w:rPr>
        <w:t>3</w:t>
      </w:r>
      <w:r w:rsidRPr="008E586D">
        <w:rPr>
          <w:rFonts w:eastAsia="TimesNewRoman"/>
          <w:sz w:val="22"/>
          <w:szCs w:val="22"/>
          <w:lang w:val="sr-Latn-ME" w:eastAsia="sr-Latn-ME"/>
        </w:rPr>
        <w:t>.</w:t>
      </w:r>
    </w:p>
    <w:p w:rsidR="006B0F21" w:rsidRPr="008E586D" w:rsidRDefault="006B0F21" w:rsidP="00974852">
      <w:pPr>
        <w:autoSpaceDE w:val="0"/>
        <w:autoSpaceDN w:val="0"/>
        <w:adjustRightInd w:val="0"/>
        <w:jc w:val="both"/>
        <w:rPr>
          <w:rFonts w:eastAsia="TimesNewRoman"/>
          <w:sz w:val="22"/>
          <w:szCs w:val="22"/>
          <w:lang w:val="sr-Latn-ME" w:eastAsia="sr-Latn-ME"/>
        </w:rPr>
      </w:pPr>
      <w:r w:rsidRPr="008E586D">
        <w:rPr>
          <w:rFonts w:eastAsia="TimesNewRoman"/>
          <w:sz w:val="22"/>
          <w:szCs w:val="22"/>
          <w:lang w:val="sr-Latn-ME" w:eastAsia="sr-Latn-ME"/>
        </w:rPr>
        <w:t xml:space="preserve">Potpuni oporavak obično </w:t>
      </w:r>
      <w:r w:rsidR="000F009F" w:rsidRPr="008E586D">
        <w:rPr>
          <w:rFonts w:eastAsia="TimesNewRoman"/>
          <w:sz w:val="22"/>
          <w:szCs w:val="22"/>
          <w:lang w:val="sr-Latn-ME" w:eastAsia="sr-Latn-ME"/>
        </w:rPr>
        <w:t xml:space="preserve">se </w:t>
      </w:r>
      <w:r w:rsidRPr="008E586D">
        <w:rPr>
          <w:rFonts w:eastAsia="TimesNewRoman"/>
          <w:sz w:val="22"/>
          <w:szCs w:val="22"/>
          <w:lang w:val="sr-Latn-ME" w:eastAsia="sr-Latn-ME"/>
        </w:rPr>
        <w:t>postiza</w:t>
      </w:r>
      <w:r w:rsidR="000F009F" w:rsidRPr="008E586D">
        <w:rPr>
          <w:rFonts w:eastAsia="TimesNewRoman"/>
          <w:sz w:val="22"/>
          <w:szCs w:val="22"/>
          <w:lang w:val="sr-Latn-ME" w:eastAsia="sr-Latn-ME"/>
        </w:rPr>
        <w:t>o</w:t>
      </w:r>
      <w:r w:rsidRPr="008E586D">
        <w:rPr>
          <w:rFonts w:eastAsia="TimesNewRoman"/>
          <w:sz w:val="22"/>
          <w:szCs w:val="22"/>
          <w:lang w:val="sr-Latn-ME" w:eastAsia="sr-Latn-ME"/>
        </w:rPr>
        <w:t xml:space="preserve"> do 22. dana.</w:t>
      </w:r>
    </w:p>
    <w:p w:rsidR="007757DC" w:rsidRPr="008E586D" w:rsidRDefault="007757DC" w:rsidP="00974852">
      <w:pPr>
        <w:autoSpaceDE w:val="0"/>
        <w:autoSpaceDN w:val="0"/>
        <w:adjustRightInd w:val="0"/>
        <w:jc w:val="both"/>
        <w:rPr>
          <w:rFonts w:eastAsia="TimesNewRoman"/>
          <w:sz w:val="22"/>
          <w:szCs w:val="22"/>
          <w:lang w:val="sr-Latn-ME" w:eastAsia="sr-Latn-ME"/>
        </w:rPr>
      </w:pPr>
    </w:p>
    <w:p w:rsidR="006B0F21" w:rsidRPr="008E586D" w:rsidRDefault="000F009F" w:rsidP="00974852">
      <w:pPr>
        <w:autoSpaceDE w:val="0"/>
        <w:autoSpaceDN w:val="0"/>
        <w:adjustRightInd w:val="0"/>
        <w:jc w:val="both"/>
        <w:rPr>
          <w:rFonts w:eastAsia="TimesNewRoman"/>
          <w:sz w:val="22"/>
          <w:szCs w:val="22"/>
          <w:lang w:val="sr-Latn-ME" w:eastAsia="sr-Latn-ME"/>
        </w:rPr>
      </w:pPr>
      <w:r w:rsidRPr="008E586D">
        <w:rPr>
          <w:rFonts w:eastAsia="TimesNewRoman,Bold"/>
          <w:b/>
          <w:bCs/>
          <w:sz w:val="22"/>
          <w:szCs w:val="22"/>
          <w:lang w:val="sr-Latn-ME" w:eastAsia="sr-Latn-ME"/>
        </w:rPr>
        <w:t>Febrilna neutropenija</w:t>
      </w:r>
      <w:r w:rsidRPr="008E586D" w:rsidDel="000F009F">
        <w:rPr>
          <w:rFonts w:eastAsia="TimesNewRoman,Bold"/>
          <w:b/>
          <w:bCs/>
          <w:sz w:val="22"/>
          <w:szCs w:val="22"/>
          <w:lang w:val="sr-Latn-ME" w:eastAsia="sr-Latn-ME"/>
        </w:rPr>
        <w:t xml:space="preserve"> </w:t>
      </w:r>
      <w:r w:rsidR="006B0F21" w:rsidRPr="008E586D">
        <w:rPr>
          <w:rFonts w:eastAsia="TimesNewRoman"/>
          <w:sz w:val="22"/>
          <w:szCs w:val="22"/>
          <w:lang w:val="sr-Latn-ME" w:eastAsia="sr-Latn-ME"/>
        </w:rPr>
        <w:t>opisana je kod 6,2% pacijenata i u 1,7% ciklusa.</w:t>
      </w:r>
    </w:p>
    <w:p w:rsidR="007757DC" w:rsidRPr="008E586D" w:rsidRDefault="007757DC" w:rsidP="00974852">
      <w:pPr>
        <w:autoSpaceDE w:val="0"/>
        <w:autoSpaceDN w:val="0"/>
        <w:adjustRightInd w:val="0"/>
        <w:jc w:val="both"/>
        <w:rPr>
          <w:rFonts w:eastAsia="TimesNewRoman"/>
          <w:sz w:val="22"/>
          <w:szCs w:val="22"/>
          <w:lang w:val="sr-Latn-ME" w:eastAsia="sr-Latn-ME"/>
        </w:rPr>
      </w:pPr>
    </w:p>
    <w:p w:rsidR="006B0F21" w:rsidRPr="008E586D" w:rsidRDefault="006B0F21" w:rsidP="00974852">
      <w:pPr>
        <w:autoSpaceDE w:val="0"/>
        <w:autoSpaceDN w:val="0"/>
        <w:adjustRightInd w:val="0"/>
        <w:jc w:val="both"/>
        <w:rPr>
          <w:rFonts w:eastAsia="TimesNewRoman"/>
          <w:sz w:val="22"/>
          <w:szCs w:val="22"/>
          <w:lang w:val="sr-Latn-ME" w:eastAsia="sr-Latn-ME"/>
        </w:rPr>
      </w:pPr>
      <w:r w:rsidRPr="008E586D">
        <w:rPr>
          <w:rFonts w:eastAsia="TimesNewRoman,Bold"/>
          <w:bCs/>
          <w:sz w:val="22"/>
          <w:szCs w:val="22"/>
          <w:lang w:val="sr-Latn-ME" w:eastAsia="sr-Latn-ME"/>
        </w:rPr>
        <w:t>Infektivne epizode</w:t>
      </w:r>
      <w:r w:rsidRPr="008E586D">
        <w:rPr>
          <w:rFonts w:eastAsia="TimesNewRoman,Bold"/>
          <w:b/>
          <w:bCs/>
          <w:sz w:val="22"/>
          <w:szCs w:val="22"/>
          <w:lang w:val="sr-Latn-ME" w:eastAsia="sr-Latn-ME"/>
        </w:rPr>
        <w:t xml:space="preserve"> </w:t>
      </w:r>
      <w:r w:rsidRPr="008E586D">
        <w:rPr>
          <w:rFonts w:eastAsia="TimesNewRoman"/>
          <w:sz w:val="22"/>
          <w:szCs w:val="22"/>
          <w:lang w:val="sr-Latn-ME" w:eastAsia="sr-Latn-ME"/>
        </w:rPr>
        <w:t>dešavale su se kod približno 10,3% pacijenata (2,5% ciklusa), bile su udružene sa</w:t>
      </w:r>
    </w:p>
    <w:p w:rsidR="006B0F21" w:rsidRPr="008E586D" w:rsidRDefault="006B0F21" w:rsidP="00974852">
      <w:pPr>
        <w:autoSpaceDE w:val="0"/>
        <w:autoSpaceDN w:val="0"/>
        <w:adjustRightInd w:val="0"/>
        <w:jc w:val="both"/>
        <w:rPr>
          <w:rFonts w:eastAsia="TimesNewRoman"/>
          <w:sz w:val="22"/>
          <w:szCs w:val="22"/>
          <w:lang w:val="sr-Latn-ME" w:eastAsia="sr-Latn-ME"/>
        </w:rPr>
      </w:pPr>
      <w:r w:rsidRPr="008E586D">
        <w:rPr>
          <w:rFonts w:eastAsia="TimesNewRoman"/>
          <w:sz w:val="22"/>
          <w:szCs w:val="22"/>
          <w:lang w:val="sr-Latn-ME" w:eastAsia="sr-Latn-ME"/>
        </w:rPr>
        <w:t>teškom neutropenijom kod oko 5,3% pacijenata (1,1% ciklusa) i završile su se smrtnim ishodom u 2 slučaja.</w:t>
      </w:r>
    </w:p>
    <w:p w:rsidR="007757DC" w:rsidRPr="008E586D" w:rsidRDefault="007757DC" w:rsidP="00974852">
      <w:pPr>
        <w:autoSpaceDE w:val="0"/>
        <w:autoSpaceDN w:val="0"/>
        <w:adjustRightInd w:val="0"/>
        <w:jc w:val="both"/>
        <w:rPr>
          <w:rFonts w:eastAsia="TimesNewRoman"/>
          <w:sz w:val="22"/>
          <w:szCs w:val="22"/>
          <w:lang w:val="sr-Latn-ME" w:eastAsia="sr-Latn-ME"/>
        </w:rPr>
      </w:pPr>
    </w:p>
    <w:p w:rsidR="006B0F21" w:rsidRPr="008E586D" w:rsidRDefault="006B0F21" w:rsidP="00974852">
      <w:pPr>
        <w:autoSpaceDE w:val="0"/>
        <w:autoSpaceDN w:val="0"/>
        <w:adjustRightInd w:val="0"/>
        <w:jc w:val="both"/>
        <w:rPr>
          <w:rFonts w:eastAsia="TimesNewRoman"/>
          <w:sz w:val="22"/>
          <w:szCs w:val="22"/>
          <w:lang w:val="sr-Latn-ME" w:eastAsia="sr-Latn-ME"/>
        </w:rPr>
      </w:pPr>
      <w:r w:rsidRPr="008E586D">
        <w:rPr>
          <w:rFonts w:eastAsia="TimesNewRoman,Bold"/>
          <w:b/>
          <w:bCs/>
          <w:sz w:val="22"/>
          <w:szCs w:val="22"/>
          <w:lang w:val="sr-Latn-ME" w:eastAsia="sr-Latn-ME"/>
        </w:rPr>
        <w:t xml:space="preserve">Anemija </w:t>
      </w:r>
      <w:r w:rsidRPr="008E586D">
        <w:rPr>
          <w:rFonts w:eastAsia="TimesNewRoman"/>
          <w:sz w:val="22"/>
          <w:szCs w:val="22"/>
          <w:lang w:val="sr-Latn-ME" w:eastAsia="sr-Latn-ME"/>
        </w:rPr>
        <w:t>je opisana kod 58,7% pacijenata (8% sa hemoglobinom &lt;8 g/dl i 0,9% sa hemoglobinom</w:t>
      </w:r>
    </w:p>
    <w:p w:rsidR="006B0F21" w:rsidRPr="008E586D" w:rsidRDefault="006B0F21" w:rsidP="00974852">
      <w:pPr>
        <w:autoSpaceDE w:val="0"/>
        <w:autoSpaceDN w:val="0"/>
        <w:adjustRightInd w:val="0"/>
        <w:jc w:val="both"/>
        <w:rPr>
          <w:rFonts w:eastAsia="TimesNewRoman"/>
          <w:sz w:val="22"/>
          <w:szCs w:val="22"/>
          <w:lang w:val="sr-Latn-ME" w:eastAsia="sr-Latn-ME"/>
        </w:rPr>
      </w:pPr>
      <w:r w:rsidRPr="008E586D">
        <w:rPr>
          <w:rFonts w:eastAsia="TimesNewRoman"/>
          <w:sz w:val="22"/>
          <w:szCs w:val="22"/>
          <w:lang w:val="sr-Latn-ME" w:eastAsia="sr-Latn-ME"/>
        </w:rPr>
        <w:t>&lt;6,5 g/dl).</w:t>
      </w:r>
    </w:p>
    <w:p w:rsidR="007757DC" w:rsidRPr="008E586D" w:rsidRDefault="007757DC" w:rsidP="00974852">
      <w:pPr>
        <w:autoSpaceDE w:val="0"/>
        <w:autoSpaceDN w:val="0"/>
        <w:adjustRightInd w:val="0"/>
        <w:jc w:val="both"/>
        <w:rPr>
          <w:rFonts w:eastAsia="TimesNewRoman"/>
          <w:sz w:val="22"/>
          <w:szCs w:val="22"/>
          <w:lang w:val="sr-Latn-ME" w:eastAsia="sr-Latn-ME"/>
        </w:rPr>
      </w:pPr>
    </w:p>
    <w:p w:rsidR="006B0F21" w:rsidRPr="008E586D" w:rsidRDefault="006B0F21" w:rsidP="00974852">
      <w:pPr>
        <w:autoSpaceDE w:val="0"/>
        <w:autoSpaceDN w:val="0"/>
        <w:adjustRightInd w:val="0"/>
        <w:jc w:val="both"/>
        <w:rPr>
          <w:rFonts w:eastAsia="TimesNewRoman"/>
          <w:sz w:val="22"/>
          <w:szCs w:val="22"/>
          <w:lang w:val="sr-Latn-ME" w:eastAsia="sr-Latn-ME"/>
        </w:rPr>
      </w:pPr>
      <w:r w:rsidRPr="008E586D">
        <w:rPr>
          <w:rFonts w:eastAsia="TimesNewRoman,Bold"/>
          <w:b/>
          <w:bCs/>
          <w:sz w:val="22"/>
          <w:szCs w:val="22"/>
          <w:lang w:val="sr-Latn-ME" w:eastAsia="sr-Latn-ME"/>
        </w:rPr>
        <w:t xml:space="preserve">Trombocitopenija </w:t>
      </w:r>
      <w:r w:rsidRPr="008E586D">
        <w:rPr>
          <w:rFonts w:eastAsia="TimesNewRoman"/>
          <w:sz w:val="22"/>
          <w:szCs w:val="22"/>
          <w:lang w:val="sr-Latn-ME" w:eastAsia="sr-Latn-ME"/>
        </w:rPr>
        <w:t>(&lt;100000 ćelija/mm</w:t>
      </w:r>
      <w:r w:rsidRPr="008E586D">
        <w:rPr>
          <w:rFonts w:eastAsia="TimesNewRoman"/>
          <w:sz w:val="22"/>
          <w:szCs w:val="22"/>
          <w:vertAlign w:val="superscript"/>
          <w:lang w:val="sr-Latn-ME" w:eastAsia="sr-Latn-ME"/>
        </w:rPr>
        <w:t>3</w:t>
      </w:r>
      <w:r w:rsidRPr="008E586D">
        <w:rPr>
          <w:rFonts w:eastAsia="TimesNewRoman"/>
          <w:sz w:val="22"/>
          <w:szCs w:val="22"/>
          <w:lang w:val="sr-Latn-ME" w:eastAsia="sr-Latn-ME"/>
        </w:rPr>
        <w:t>) opisana je kod 7,4% pacijenata i u 1,8% ciklusa, sa 0,9%</w:t>
      </w:r>
    </w:p>
    <w:p w:rsidR="006B0F21" w:rsidRPr="008E586D" w:rsidRDefault="006B0F21" w:rsidP="00974852">
      <w:pPr>
        <w:autoSpaceDE w:val="0"/>
        <w:autoSpaceDN w:val="0"/>
        <w:adjustRightInd w:val="0"/>
        <w:jc w:val="both"/>
        <w:rPr>
          <w:rFonts w:eastAsia="TimesNewRoman"/>
          <w:sz w:val="22"/>
          <w:szCs w:val="22"/>
          <w:lang w:val="sr-Latn-ME" w:eastAsia="sr-Latn-ME"/>
        </w:rPr>
      </w:pPr>
      <w:r w:rsidRPr="008E586D">
        <w:rPr>
          <w:rFonts w:eastAsia="TimesNewRoman"/>
          <w:sz w:val="22"/>
          <w:szCs w:val="22"/>
          <w:lang w:val="sr-Latn-ME" w:eastAsia="sr-Latn-ME"/>
        </w:rPr>
        <w:t xml:space="preserve">pacijenata čiji je broj trombocita bio </w:t>
      </w:r>
      <w:r w:rsidRPr="008E586D">
        <w:rPr>
          <w:rFonts w:eastAsia="TimesNewRoman,Bold"/>
          <w:sz w:val="22"/>
          <w:szCs w:val="22"/>
          <w:lang w:val="sr-Latn-ME" w:eastAsia="sr-Latn-ME"/>
        </w:rPr>
        <w:t>≤</w:t>
      </w:r>
      <w:r w:rsidRPr="008E586D">
        <w:rPr>
          <w:rFonts w:eastAsia="TimesNewRoman"/>
          <w:sz w:val="22"/>
          <w:szCs w:val="22"/>
          <w:lang w:val="sr-Latn-ME" w:eastAsia="sr-Latn-ME"/>
        </w:rPr>
        <w:t>50000 ćelija/mm</w:t>
      </w:r>
      <w:r w:rsidRPr="008E586D">
        <w:rPr>
          <w:rFonts w:eastAsia="TimesNewRoman"/>
          <w:sz w:val="22"/>
          <w:szCs w:val="22"/>
          <w:vertAlign w:val="superscript"/>
          <w:lang w:val="sr-Latn-ME" w:eastAsia="sr-Latn-ME"/>
        </w:rPr>
        <w:t>3</w:t>
      </w:r>
      <w:r w:rsidRPr="008E586D">
        <w:rPr>
          <w:rFonts w:eastAsia="TimesNewRoman"/>
          <w:sz w:val="22"/>
          <w:szCs w:val="22"/>
          <w:lang w:val="sr-Latn-ME" w:eastAsia="sr-Latn-ME"/>
        </w:rPr>
        <w:t xml:space="preserve"> i 0,2% ciklusa.</w:t>
      </w:r>
    </w:p>
    <w:p w:rsidR="006B0F21" w:rsidRPr="008E586D" w:rsidRDefault="006B0F21" w:rsidP="00974852">
      <w:pPr>
        <w:autoSpaceDE w:val="0"/>
        <w:autoSpaceDN w:val="0"/>
        <w:adjustRightInd w:val="0"/>
        <w:jc w:val="both"/>
        <w:rPr>
          <w:rFonts w:eastAsia="TimesNewRoman"/>
          <w:sz w:val="22"/>
          <w:szCs w:val="22"/>
          <w:lang w:val="sr-Latn-ME" w:eastAsia="sr-Latn-ME"/>
        </w:rPr>
      </w:pPr>
      <w:r w:rsidRPr="008E586D">
        <w:rPr>
          <w:rFonts w:eastAsia="TimesNewRoman"/>
          <w:sz w:val="22"/>
          <w:szCs w:val="22"/>
          <w:lang w:val="sr-Latn-ME" w:eastAsia="sr-Latn-ME"/>
        </w:rPr>
        <w:t>Kod skoro svih pacijenata do 22. dana je došlo do oporavka.</w:t>
      </w:r>
    </w:p>
    <w:p w:rsidR="007757DC" w:rsidRPr="008E586D" w:rsidRDefault="007757DC" w:rsidP="00974852">
      <w:pPr>
        <w:autoSpaceDE w:val="0"/>
        <w:autoSpaceDN w:val="0"/>
        <w:adjustRightInd w:val="0"/>
        <w:jc w:val="both"/>
        <w:rPr>
          <w:rFonts w:eastAsia="TimesNewRoman"/>
          <w:sz w:val="22"/>
          <w:szCs w:val="22"/>
          <w:lang w:val="sr-Latn-ME" w:eastAsia="sr-Latn-ME"/>
        </w:rPr>
      </w:pPr>
    </w:p>
    <w:p w:rsidR="006B0F21" w:rsidRPr="008E586D" w:rsidRDefault="006B0F21" w:rsidP="00974852">
      <w:pPr>
        <w:autoSpaceDE w:val="0"/>
        <w:autoSpaceDN w:val="0"/>
        <w:adjustRightInd w:val="0"/>
        <w:jc w:val="both"/>
        <w:rPr>
          <w:rFonts w:eastAsia="TimesNewRoman,Bold"/>
          <w:b/>
          <w:bCs/>
          <w:sz w:val="22"/>
          <w:szCs w:val="22"/>
          <w:lang w:val="sr-Latn-ME" w:eastAsia="sr-Latn-ME"/>
        </w:rPr>
      </w:pPr>
      <w:r w:rsidRPr="008E586D">
        <w:rPr>
          <w:rFonts w:eastAsia="TimesNewRoman,Bold"/>
          <w:b/>
          <w:bCs/>
          <w:sz w:val="22"/>
          <w:szCs w:val="22"/>
          <w:lang w:val="sr-Latn-ME" w:eastAsia="sr-Latn-ME"/>
        </w:rPr>
        <w:t>Akutni holinergički sindrom</w:t>
      </w:r>
    </w:p>
    <w:p w:rsidR="007757DC" w:rsidRPr="008E586D" w:rsidRDefault="007757DC" w:rsidP="00974852">
      <w:pPr>
        <w:autoSpaceDE w:val="0"/>
        <w:autoSpaceDN w:val="0"/>
        <w:adjustRightInd w:val="0"/>
        <w:jc w:val="both"/>
        <w:rPr>
          <w:rFonts w:eastAsia="TimesNewRoman,Bold"/>
          <w:b/>
          <w:bCs/>
          <w:sz w:val="22"/>
          <w:szCs w:val="22"/>
          <w:lang w:val="sr-Latn-ME" w:eastAsia="sr-Latn-ME"/>
        </w:rPr>
      </w:pPr>
    </w:p>
    <w:p w:rsidR="006B0F21" w:rsidRPr="008E586D" w:rsidRDefault="006B0F21" w:rsidP="00974852">
      <w:pPr>
        <w:autoSpaceDE w:val="0"/>
        <w:autoSpaceDN w:val="0"/>
        <w:adjustRightInd w:val="0"/>
        <w:jc w:val="both"/>
        <w:rPr>
          <w:rFonts w:eastAsia="TimesNewRoman"/>
          <w:sz w:val="22"/>
          <w:szCs w:val="22"/>
          <w:lang w:val="sr-Latn-ME" w:eastAsia="sr-Latn-ME"/>
        </w:rPr>
      </w:pPr>
      <w:r w:rsidRPr="008E586D">
        <w:rPr>
          <w:rFonts w:eastAsia="TimesNewRoman"/>
          <w:sz w:val="22"/>
          <w:szCs w:val="22"/>
          <w:lang w:val="sr-Latn-ME" w:eastAsia="sr-Latn-ME"/>
        </w:rPr>
        <w:t>Težak akutni holinergički sindrom prolaznog karaktera opisan je kod 9% pacijenata liječenih u monoterapiji</w:t>
      </w:r>
      <w:r w:rsidR="007757DC" w:rsidRPr="008E586D">
        <w:rPr>
          <w:rFonts w:eastAsia="TimesNewRoman"/>
          <w:sz w:val="22"/>
          <w:szCs w:val="22"/>
          <w:lang w:val="sr-Latn-ME" w:eastAsia="sr-Latn-ME"/>
        </w:rPr>
        <w:t>.</w:t>
      </w:r>
    </w:p>
    <w:p w:rsidR="007757DC" w:rsidRPr="008E586D" w:rsidRDefault="007757DC" w:rsidP="00974852">
      <w:pPr>
        <w:autoSpaceDE w:val="0"/>
        <w:autoSpaceDN w:val="0"/>
        <w:adjustRightInd w:val="0"/>
        <w:jc w:val="both"/>
        <w:rPr>
          <w:rFonts w:eastAsia="TimesNewRoman"/>
          <w:sz w:val="22"/>
          <w:szCs w:val="22"/>
          <w:lang w:val="sr-Latn-ME" w:eastAsia="sr-Latn-ME"/>
        </w:rPr>
      </w:pPr>
    </w:p>
    <w:p w:rsidR="006B0F21" w:rsidRPr="008E586D" w:rsidRDefault="006B0F21" w:rsidP="00974852">
      <w:pPr>
        <w:autoSpaceDE w:val="0"/>
        <w:autoSpaceDN w:val="0"/>
        <w:adjustRightInd w:val="0"/>
        <w:jc w:val="both"/>
        <w:rPr>
          <w:rFonts w:eastAsia="TimesNewRoman"/>
          <w:sz w:val="22"/>
          <w:szCs w:val="22"/>
          <w:lang w:val="sr-Latn-ME" w:eastAsia="sr-Latn-ME"/>
        </w:rPr>
      </w:pPr>
      <w:r w:rsidRPr="008E586D">
        <w:rPr>
          <w:rFonts w:eastAsia="TimesNewRoman,Bold"/>
          <w:b/>
          <w:bCs/>
          <w:sz w:val="22"/>
          <w:szCs w:val="22"/>
          <w:lang w:val="sr-Latn-ME" w:eastAsia="sr-Latn-ME"/>
        </w:rPr>
        <w:t xml:space="preserve">Astenija </w:t>
      </w:r>
      <w:r w:rsidRPr="008E586D">
        <w:rPr>
          <w:rFonts w:eastAsia="TimesNewRoman"/>
          <w:sz w:val="22"/>
          <w:szCs w:val="22"/>
          <w:lang w:val="sr-Latn-ME" w:eastAsia="sr-Latn-ME"/>
        </w:rPr>
        <w:t>je bila teška kod manje od 10% pacijenata na monoterapiji. Uzročna veza sa lijekom Irinotecan Accord nije bila jasno utvrđena.</w:t>
      </w:r>
      <w:r w:rsidR="007757DC" w:rsidRPr="008E586D">
        <w:rPr>
          <w:rFonts w:eastAsia="TimesNewRoman"/>
          <w:sz w:val="22"/>
          <w:szCs w:val="22"/>
          <w:lang w:val="sr-Latn-ME" w:eastAsia="sr-Latn-ME"/>
        </w:rPr>
        <w:t xml:space="preserve"> </w:t>
      </w:r>
      <w:r w:rsidRPr="008E586D">
        <w:rPr>
          <w:rFonts w:eastAsia="TimesNewRoman,Bold"/>
          <w:bCs/>
          <w:sz w:val="22"/>
          <w:szCs w:val="22"/>
          <w:lang w:val="sr-Latn-ME" w:eastAsia="sr-Latn-ME"/>
        </w:rPr>
        <w:t>Povišena temperatura</w:t>
      </w:r>
      <w:r w:rsidRPr="008E586D">
        <w:rPr>
          <w:rFonts w:eastAsia="TimesNewRoman,Bold"/>
          <w:b/>
          <w:bCs/>
          <w:sz w:val="22"/>
          <w:szCs w:val="22"/>
          <w:lang w:val="sr-Latn-ME" w:eastAsia="sr-Latn-ME"/>
        </w:rPr>
        <w:t xml:space="preserve"> </w:t>
      </w:r>
      <w:r w:rsidRPr="008E586D">
        <w:rPr>
          <w:rFonts w:eastAsia="TimesNewRoman"/>
          <w:sz w:val="22"/>
          <w:szCs w:val="22"/>
          <w:lang w:val="sr-Latn-ME" w:eastAsia="sr-Latn-ME"/>
        </w:rPr>
        <w:t>u odsustvu infekcije i bez prateće teške neutropenije opisana je kod 12% pacijenata liječenih u monoterapiji.</w:t>
      </w:r>
    </w:p>
    <w:p w:rsidR="006B0F21" w:rsidRPr="008E586D" w:rsidRDefault="006B0F21" w:rsidP="006B0F21">
      <w:pPr>
        <w:autoSpaceDE w:val="0"/>
        <w:autoSpaceDN w:val="0"/>
        <w:adjustRightInd w:val="0"/>
        <w:rPr>
          <w:rFonts w:eastAsia="TimesNewRoman"/>
          <w:sz w:val="22"/>
          <w:szCs w:val="22"/>
          <w:lang w:val="sr-Latn-ME" w:eastAsia="sr-Latn-ME"/>
        </w:rPr>
      </w:pPr>
    </w:p>
    <w:p w:rsidR="0075351E" w:rsidRPr="008E586D" w:rsidRDefault="0075351E" w:rsidP="00974852">
      <w:pPr>
        <w:pStyle w:val="Default"/>
        <w:jc w:val="both"/>
        <w:rPr>
          <w:b/>
          <w:bCs/>
          <w:sz w:val="22"/>
          <w:szCs w:val="22"/>
          <w:lang w:val="sr-Latn-ME"/>
        </w:rPr>
      </w:pPr>
    </w:p>
    <w:p w:rsidR="0075351E" w:rsidRPr="008E586D" w:rsidRDefault="0075351E" w:rsidP="00974852">
      <w:pPr>
        <w:pStyle w:val="Default"/>
        <w:jc w:val="both"/>
        <w:rPr>
          <w:b/>
          <w:bCs/>
          <w:sz w:val="22"/>
          <w:szCs w:val="22"/>
          <w:lang w:val="sr-Latn-ME"/>
        </w:rPr>
      </w:pPr>
    </w:p>
    <w:p w:rsidR="0075351E" w:rsidRPr="008E586D" w:rsidRDefault="0075351E" w:rsidP="00974852">
      <w:pPr>
        <w:pStyle w:val="Default"/>
        <w:jc w:val="both"/>
        <w:rPr>
          <w:b/>
          <w:bCs/>
          <w:sz w:val="22"/>
          <w:szCs w:val="22"/>
          <w:lang w:val="sr-Latn-ME"/>
        </w:rPr>
      </w:pPr>
    </w:p>
    <w:p w:rsidR="006B0F21" w:rsidRPr="008E586D" w:rsidRDefault="006B0F21" w:rsidP="00974852">
      <w:pPr>
        <w:pStyle w:val="Default"/>
        <w:jc w:val="both"/>
        <w:rPr>
          <w:b/>
          <w:bCs/>
          <w:sz w:val="22"/>
          <w:szCs w:val="22"/>
          <w:lang w:val="sr-Latn-ME"/>
        </w:rPr>
      </w:pPr>
      <w:r w:rsidRPr="008E586D">
        <w:rPr>
          <w:b/>
          <w:bCs/>
          <w:sz w:val="22"/>
          <w:szCs w:val="22"/>
          <w:lang w:val="sr-Latn-ME"/>
        </w:rPr>
        <w:lastRenderedPageBreak/>
        <w:t xml:space="preserve">Laboratorijski testovi </w:t>
      </w:r>
    </w:p>
    <w:p w:rsidR="007757DC" w:rsidRPr="008E586D" w:rsidRDefault="007757DC" w:rsidP="00974852">
      <w:pPr>
        <w:pStyle w:val="Default"/>
        <w:jc w:val="both"/>
        <w:rPr>
          <w:sz w:val="22"/>
          <w:szCs w:val="22"/>
          <w:lang w:val="sr-Latn-ME"/>
        </w:rPr>
      </w:pPr>
    </w:p>
    <w:p w:rsidR="006B0F21" w:rsidRPr="008E586D" w:rsidRDefault="006B0F21" w:rsidP="00974852">
      <w:pPr>
        <w:autoSpaceDE w:val="0"/>
        <w:autoSpaceDN w:val="0"/>
        <w:adjustRightInd w:val="0"/>
        <w:jc w:val="both"/>
        <w:rPr>
          <w:sz w:val="22"/>
          <w:szCs w:val="22"/>
          <w:lang w:val="sr-Latn-ME"/>
        </w:rPr>
      </w:pPr>
      <w:r w:rsidRPr="008E586D">
        <w:rPr>
          <w:sz w:val="22"/>
          <w:szCs w:val="22"/>
          <w:lang w:val="sr-Latn-ME"/>
        </w:rPr>
        <w:t>Prolazno blago do</w:t>
      </w:r>
      <w:r w:rsidR="00406863" w:rsidRPr="008E586D">
        <w:rPr>
          <w:sz w:val="22"/>
          <w:szCs w:val="22"/>
          <w:lang w:val="sr-Latn-ME"/>
        </w:rPr>
        <w:t xml:space="preserve"> umjereno povišene koncentracij</w:t>
      </w:r>
      <w:r w:rsidRPr="008E586D">
        <w:rPr>
          <w:sz w:val="22"/>
          <w:szCs w:val="22"/>
          <w:lang w:val="sr-Latn-ME"/>
        </w:rPr>
        <w:t xml:space="preserve">e transaminaza, alkalne fosfataze ili bilirubina u serumu zabilježene su kod 9,2 %, odnosno 8,1 %, odnosno 1,8 % pacijenat bez progresivne metastaze jetre. </w:t>
      </w:r>
    </w:p>
    <w:p w:rsidR="00BB6B8D" w:rsidRPr="008E586D" w:rsidRDefault="006B0F21" w:rsidP="00974852">
      <w:pPr>
        <w:suppressAutoHyphens/>
        <w:autoSpaceDE w:val="0"/>
        <w:jc w:val="both"/>
        <w:rPr>
          <w:rFonts w:eastAsia="TimesNewRoman"/>
          <w:sz w:val="22"/>
          <w:szCs w:val="22"/>
          <w:lang w:val="sr-Latn-ME" w:eastAsia="sr-Latn-ME"/>
        </w:rPr>
      </w:pPr>
      <w:r w:rsidRPr="008E586D">
        <w:rPr>
          <w:rFonts w:eastAsia="TimesNewRoman"/>
          <w:sz w:val="22"/>
          <w:szCs w:val="22"/>
          <w:lang w:val="sr-Latn-ME" w:eastAsia="sr-Latn-ME"/>
        </w:rPr>
        <w:t>Blag ili um</w:t>
      </w:r>
      <w:r w:rsidR="00974852" w:rsidRPr="008E586D">
        <w:rPr>
          <w:rFonts w:eastAsia="TimesNewRoman"/>
          <w:sz w:val="22"/>
          <w:szCs w:val="22"/>
          <w:lang w:val="sr-Latn-ME" w:eastAsia="sr-Latn-ME"/>
        </w:rPr>
        <w:t>j</w:t>
      </w:r>
      <w:r w:rsidRPr="008E586D">
        <w:rPr>
          <w:rFonts w:eastAsia="TimesNewRoman"/>
          <w:sz w:val="22"/>
          <w:szCs w:val="22"/>
          <w:lang w:val="sr-Latn-ME" w:eastAsia="sr-Latn-ME"/>
        </w:rPr>
        <w:t>ereni prolazni porast nivoa kreatinina u serumu, opisan je kod 7,3% pacijenata.</w:t>
      </w:r>
    </w:p>
    <w:p w:rsidR="006B0F21" w:rsidRPr="008E586D" w:rsidRDefault="006B0F21" w:rsidP="006B0F21">
      <w:pPr>
        <w:suppressAutoHyphens/>
        <w:autoSpaceDE w:val="0"/>
        <w:jc w:val="both"/>
        <w:rPr>
          <w:rFonts w:eastAsia="TimesNewRoman"/>
          <w:sz w:val="22"/>
          <w:szCs w:val="22"/>
          <w:lang w:val="sr-Latn-ME" w:eastAsia="sr-Latn-ME"/>
        </w:rPr>
      </w:pPr>
    </w:p>
    <w:p w:rsidR="006B0F21" w:rsidRPr="008E586D" w:rsidRDefault="006B0F21" w:rsidP="00016BCA">
      <w:pPr>
        <w:autoSpaceDE w:val="0"/>
        <w:autoSpaceDN w:val="0"/>
        <w:adjustRightInd w:val="0"/>
        <w:jc w:val="both"/>
        <w:rPr>
          <w:rFonts w:eastAsia="TimesNewRoman,Bold"/>
          <w:b/>
          <w:bCs/>
          <w:sz w:val="22"/>
          <w:szCs w:val="22"/>
          <w:lang w:val="sr-Latn-ME" w:eastAsia="sr-Latn-ME"/>
        </w:rPr>
      </w:pPr>
      <w:r w:rsidRPr="008E586D">
        <w:rPr>
          <w:rFonts w:eastAsia="TimesNewRoman,Bold"/>
          <w:b/>
          <w:bCs/>
          <w:sz w:val="22"/>
          <w:szCs w:val="22"/>
          <w:lang w:val="sr-Latn-ME" w:eastAsia="sr-Latn-ME"/>
        </w:rPr>
        <w:t>KOMBINOVANA TERAPIJA</w:t>
      </w:r>
    </w:p>
    <w:p w:rsidR="007757DC" w:rsidRPr="008E586D" w:rsidRDefault="007757DC" w:rsidP="00016BCA">
      <w:pPr>
        <w:autoSpaceDE w:val="0"/>
        <w:autoSpaceDN w:val="0"/>
        <w:adjustRightInd w:val="0"/>
        <w:jc w:val="both"/>
        <w:rPr>
          <w:rFonts w:eastAsia="TimesNewRoman,Bold"/>
          <w:b/>
          <w:bCs/>
          <w:sz w:val="22"/>
          <w:szCs w:val="22"/>
          <w:lang w:val="sr-Latn-ME" w:eastAsia="sr-Latn-ME"/>
        </w:rPr>
      </w:pPr>
    </w:p>
    <w:p w:rsidR="006B0F21" w:rsidRPr="008E586D" w:rsidRDefault="006B0F21" w:rsidP="00016BCA">
      <w:pPr>
        <w:suppressAutoHyphens/>
        <w:autoSpaceDE w:val="0"/>
        <w:jc w:val="both"/>
        <w:rPr>
          <w:rFonts w:eastAsia="TimesNewRoman"/>
          <w:sz w:val="22"/>
          <w:szCs w:val="22"/>
          <w:lang w:val="sr-Latn-ME" w:eastAsia="sr-Latn-ME"/>
        </w:rPr>
      </w:pPr>
      <w:r w:rsidRPr="008E586D">
        <w:rPr>
          <w:rFonts w:eastAsia="TimesNewRoman"/>
          <w:sz w:val="22"/>
          <w:szCs w:val="22"/>
          <w:lang w:val="sr-Latn-ME" w:eastAsia="sr-Latn-ME"/>
        </w:rPr>
        <w:t>Neželjene reakcije koje su navedene u ovom dijelu odnose se na irinotekan.</w:t>
      </w:r>
    </w:p>
    <w:p w:rsidR="006B0F21" w:rsidRPr="008E586D" w:rsidRDefault="006B0F21" w:rsidP="00016BCA">
      <w:pPr>
        <w:autoSpaceDE w:val="0"/>
        <w:autoSpaceDN w:val="0"/>
        <w:adjustRightInd w:val="0"/>
        <w:jc w:val="both"/>
        <w:rPr>
          <w:rFonts w:eastAsia="TimesNewRoman"/>
          <w:sz w:val="22"/>
          <w:szCs w:val="22"/>
          <w:lang w:val="sr-Latn-ME" w:eastAsia="sr-Latn-ME"/>
        </w:rPr>
      </w:pPr>
      <w:r w:rsidRPr="008E586D">
        <w:rPr>
          <w:rFonts w:eastAsia="TimesNewRoman"/>
          <w:sz w:val="22"/>
          <w:szCs w:val="22"/>
          <w:lang w:val="sr-Latn-ME" w:eastAsia="sr-Latn-ME"/>
        </w:rPr>
        <w:t>Nema dokaza da na bezbjednosni profil irinotekana utiče cetuksimab i obrnuto. U kombinaciji sa</w:t>
      </w:r>
    </w:p>
    <w:p w:rsidR="006B0F21" w:rsidRPr="008E586D" w:rsidRDefault="006B0F21" w:rsidP="00016BCA">
      <w:pPr>
        <w:autoSpaceDE w:val="0"/>
        <w:autoSpaceDN w:val="0"/>
        <w:adjustRightInd w:val="0"/>
        <w:jc w:val="both"/>
        <w:rPr>
          <w:rFonts w:eastAsia="TimesNewRoman"/>
          <w:sz w:val="22"/>
          <w:szCs w:val="22"/>
          <w:lang w:val="sr-Latn-ME" w:eastAsia="sr-Latn-ME"/>
        </w:rPr>
      </w:pPr>
      <w:r w:rsidRPr="008E586D">
        <w:rPr>
          <w:rFonts w:eastAsia="TimesNewRoman"/>
          <w:sz w:val="22"/>
          <w:szCs w:val="22"/>
          <w:lang w:val="sr-Latn-ME" w:eastAsia="sr-Latn-ME"/>
        </w:rPr>
        <w:t>cetuksimabom, dodatni registrovani neželjeni efekti bili su očekivani za cetuksimab (npr. akneiformni osip 88%). Za više podataka o neželjenim reakcijama na irinotekan u kombinaciji sa cetuksimabom treba pogledati odgovarajući sažetak karakteristika lijeka.</w:t>
      </w:r>
    </w:p>
    <w:p w:rsidR="00CD67F1" w:rsidRPr="008E586D" w:rsidRDefault="00CD67F1" w:rsidP="00016BCA">
      <w:pPr>
        <w:autoSpaceDE w:val="0"/>
        <w:autoSpaceDN w:val="0"/>
        <w:adjustRightInd w:val="0"/>
        <w:jc w:val="both"/>
        <w:rPr>
          <w:rFonts w:eastAsia="TimesNewRoman"/>
          <w:sz w:val="22"/>
          <w:szCs w:val="22"/>
          <w:lang w:val="sr-Latn-ME" w:eastAsia="sr-Latn-ME"/>
        </w:rPr>
      </w:pPr>
    </w:p>
    <w:p w:rsidR="006B0F21" w:rsidRPr="008E586D" w:rsidRDefault="006B0F21" w:rsidP="00016BCA">
      <w:pPr>
        <w:autoSpaceDE w:val="0"/>
        <w:autoSpaceDN w:val="0"/>
        <w:adjustRightInd w:val="0"/>
        <w:jc w:val="both"/>
        <w:rPr>
          <w:rFonts w:eastAsia="TimesNewRoman"/>
          <w:sz w:val="22"/>
          <w:szCs w:val="22"/>
          <w:lang w:val="sr-Latn-ME" w:eastAsia="sr-Latn-ME"/>
        </w:rPr>
      </w:pPr>
      <w:r w:rsidRPr="008E586D">
        <w:rPr>
          <w:rFonts w:eastAsia="TimesNewRoman"/>
          <w:sz w:val="22"/>
          <w:szCs w:val="22"/>
          <w:lang w:val="sr-Latn-ME" w:eastAsia="sr-Latn-ME"/>
        </w:rPr>
        <w:t xml:space="preserve">Neželjene reakcije na lijek zabilježene kod pacijenata liječenih kapecitabinom u kombinaciji sa irinotekanom, pored onih zabilježenih pri monoterapiji kapecitabinom ili onih koje se pojavljuju sa većom učestalošću pri istovremenoj primjeni od onih koje se javljaju pri monoterapiji kapecitabinom, uključuju: </w:t>
      </w:r>
      <w:r w:rsidRPr="008E586D">
        <w:rPr>
          <w:rFonts w:eastAsia="TimesNewRoman"/>
          <w:i/>
          <w:iCs/>
          <w:sz w:val="22"/>
          <w:szCs w:val="22"/>
          <w:lang w:val="sr-Latn-ME" w:eastAsia="sr-Latn-ME"/>
        </w:rPr>
        <w:t>Veoma česte</w:t>
      </w:r>
      <w:r w:rsidRPr="008E586D">
        <w:rPr>
          <w:rFonts w:eastAsia="TimesNewRoman"/>
          <w:sz w:val="22"/>
          <w:szCs w:val="22"/>
          <w:lang w:val="sr-Latn-ME" w:eastAsia="sr-Latn-ME"/>
        </w:rPr>
        <w:t xml:space="preserve"> </w:t>
      </w:r>
      <w:r w:rsidRPr="008E586D">
        <w:rPr>
          <w:rFonts w:eastAsia="TimesNewRoman"/>
          <w:i/>
          <w:iCs/>
          <w:sz w:val="22"/>
          <w:szCs w:val="22"/>
          <w:lang w:val="sr-Latn-ME" w:eastAsia="sr-Latn-ME"/>
        </w:rPr>
        <w:t xml:space="preserve">neželjene reakcije svih gradusa: </w:t>
      </w:r>
      <w:r w:rsidRPr="008E586D">
        <w:rPr>
          <w:rFonts w:eastAsia="TimesNewRoman"/>
          <w:sz w:val="22"/>
          <w:szCs w:val="22"/>
          <w:lang w:val="sr-Latn-ME" w:eastAsia="sr-Latn-ME"/>
        </w:rPr>
        <w:t xml:space="preserve">tromboza/embolizam; </w:t>
      </w:r>
      <w:r w:rsidRPr="008E586D">
        <w:rPr>
          <w:rFonts w:eastAsia="TimesNewRoman"/>
          <w:i/>
          <w:iCs/>
          <w:sz w:val="22"/>
          <w:szCs w:val="22"/>
          <w:lang w:val="sr-Latn-ME" w:eastAsia="sr-Latn-ME"/>
        </w:rPr>
        <w:t xml:space="preserve">Česte neželjene reakcije svih gradusa: </w:t>
      </w:r>
      <w:r w:rsidRPr="008E586D">
        <w:rPr>
          <w:rFonts w:eastAsia="TimesNewRoman"/>
          <w:sz w:val="22"/>
          <w:szCs w:val="22"/>
          <w:lang w:val="sr-Latn-ME" w:eastAsia="sr-Latn-ME"/>
        </w:rPr>
        <w:t xml:space="preserve">reakcija preosjetljivosti, ishemija srca/infarkt miokarda; </w:t>
      </w:r>
      <w:r w:rsidRPr="008E586D">
        <w:rPr>
          <w:rFonts w:eastAsia="TimesNewRoman"/>
          <w:i/>
          <w:iCs/>
          <w:sz w:val="22"/>
          <w:szCs w:val="22"/>
          <w:lang w:val="sr-Latn-ME" w:eastAsia="sr-Latn-ME"/>
        </w:rPr>
        <w:t xml:space="preserve">Česte neželjene reakcije gradusa 3 i gradusa 4: </w:t>
      </w:r>
      <w:r w:rsidRPr="008E586D">
        <w:rPr>
          <w:rFonts w:eastAsia="TimesNewRoman"/>
          <w:sz w:val="22"/>
          <w:szCs w:val="22"/>
          <w:lang w:val="sr-Latn-ME" w:eastAsia="sr-Latn-ME"/>
        </w:rPr>
        <w:t>febrilna neutropenija. Za potpune podatke o neželjenim reakcijama kapecitabina treba konsultovati sažetak karakteristika lijeka za kapecitabin.</w:t>
      </w:r>
    </w:p>
    <w:p w:rsidR="00CD67F1" w:rsidRPr="008E586D" w:rsidRDefault="00CD67F1" w:rsidP="00016BCA">
      <w:pPr>
        <w:autoSpaceDE w:val="0"/>
        <w:autoSpaceDN w:val="0"/>
        <w:adjustRightInd w:val="0"/>
        <w:jc w:val="both"/>
        <w:rPr>
          <w:rFonts w:eastAsia="TimesNewRoman"/>
          <w:sz w:val="22"/>
          <w:szCs w:val="22"/>
          <w:lang w:val="sr-Latn-ME" w:eastAsia="sr-Latn-ME"/>
        </w:rPr>
      </w:pPr>
    </w:p>
    <w:p w:rsidR="006B0F21" w:rsidRPr="008E586D" w:rsidRDefault="006B0F21" w:rsidP="00016BCA">
      <w:pPr>
        <w:autoSpaceDE w:val="0"/>
        <w:autoSpaceDN w:val="0"/>
        <w:adjustRightInd w:val="0"/>
        <w:jc w:val="both"/>
        <w:rPr>
          <w:rFonts w:eastAsia="TimesNewRoman"/>
          <w:sz w:val="22"/>
          <w:szCs w:val="22"/>
          <w:lang w:val="sr-Latn-ME" w:eastAsia="sr-Latn-ME"/>
        </w:rPr>
      </w:pPr>
      <w:r w:rsidRPr="008E586D">
        <w:rPr>
          <w:rFonts w:eastAsia="TimesNewRoman"/>
          <w:sz w:val="22"/>
          <w:szCs w:val="22"/>
          <w:lang w:val="sr-Latn-ME" w:eastAsia="sr-Latn-ME"/>
        </w:rPr>
        <w:t>Neželjene rea</w:t>
      </w:r>
      <w:r w:rsidR="00CD67F1" w:rsidRPr="008E586D">
        <w:rPr>
          <w:rFonts w:eastAsia="TimesNewRoman"/>
          <w:sz w:val="22"/>
          <w:szCs w:val="22"/>
          <w:lang w:val="sr-Latn-ME" w:eastAsia="sr-Latn-ME"/>
        </w:rPr>
        <w:t>kcije gradusa 3 i gradusa 4 zabi</w:t>
      </w:r>
      <w:r w:rsidRPr="008E586D">
        <w:rPr>
          <w:rFonts w:eastAsia="TimesNewRoman"/>
          <w:sz w:val="22"/>
          <w:szCs w:val="22"/>
          <w:lang w:val="sr-Latn-ME" w:eastAsia="sr-Latn-ME"/>
        </w:rPr>
        <w:t>l</w:t>
      </w:r>
      <w:r w:rsidR="00CD67F1" w:rsidRPr="008E586D">
        <w:rPr>
          <w:rFonts w:eastAsia="TimesNewRoman"/>
          <w:sz w:val="22"/>
          <w:szCs w:val="22"/>
          <w:lang w:val="sr-Latn-ME" w:eastAsia="sr-Latn-ME"/>
        </w:rPr>
        <w:t>j</w:t>
      </w:r>
      <w:r w:rsidRPr="008E586D">
        <w:rPr>
          <w:rFonts w:eastAsia="TimesNewRoman"/>
          <w:sz w:val="22"/>
          <w:szCs w:val="22"/>
          <w:lang w:val="sr-Latn-ME" w:eastAsia="sr-Latn-ME"/>
        </w:rPr>
        <w:t xml:space="preserve">ežene kod pacijenata liječenih kapecitabinom u kombinaciji sa irinotekanom i bevacizumabom pored onih zabilježenih pri monoterapiji kapecitabinom ili koje se pojavljuju sa većom učestalošću pri istovremenoj primjeni od onih koje se javljaju pri monoterapiji kapecitabinom uključuju: </w:t>
      </w:r>
      <w:r w:rsidRPr="008E586D">
        <w:rPr>
          <w:rFonts w:eastAsia="TimesNewRoman"/>
          <w:i/>
          <w:iCs/>
          <w:sz w:val="22"/>
          <w:szCs w:val="22"/>
          <w:lang w:val="sr-Latn-ME" w:eastAsia="sr-Latn-ME"/>
        </w:rPr>
        <w:t xml:space="preserve">Česte neželjene reakcije gradusa 3 i gradusa 4: </w:t>
      </w:r>
      <w:r w:rsidRPr="008E586D">
        <w:rPr>
          <w:rFonts w:eastAsia="TimesNewRoman"/>
          <w:sz w:val="22"/>
          <w:szCs w:val="22"/>
          <w:lang w:val="sr-Latn-ME" w:eastAsia="sr-Latn-ME"/>
        </w:rPr>
        <w:t>neutropenija, tromboza/embolizam, hipertenzija i ishemija srca/ infarkt miokarda. Za potpune podatke o neželjenim reakcijama kapecitabina i bevacizumaba treba pogledati odgovarajuće sažetke karakteristika lijeka kapecitabina i bevacizumaba.</w:t>
      </w:r>
    </w:p>
    <w:p w:rsidR="00E52D4C" w:rsidRPr="008E586D" w:rsidRDefault="00E52D4C" w:rsidP="00016BCA">
      <w:pPr>
        <w:autoSpaceDE w:val="0"/>
        <w:autoSpaceDN w:val="0"/>
        <w:adjustRightInd w:val="0"/>
        <w:jc w:val="both"/>
        <w:rPr>
          <w:rFonts w:eastAsia="TimesNewRoman"/>
          <w:sz w:val="22"/>
          <w:szCs w:val="22"/>
          <w:lang w:val="sr-Latn-ME" w:eastAsia="sr-Latn-ME"/>
        </w:rPr>
      </w:pPr>
    </w:p>
    <w:p w:rsidR="00E52D4C" w:rsidRPr="008E586D" w:rsidRDefault="006B0F21" w:rsidP="00016BCA">
      <w:pPr>
        <w:autoSpaceDE w:val="0"/>
        <w:autoSpaceDN w:val="0"/>
        <w:adjustRightInd w:val="0"/>
        <w:jc w:val="both"/>
        <w:rPr>
          <w:rFonts w:eastAsia="TimesNewRoman"/>
          <w:sz w:val="22"/>
          <w:szCs w:val="22"/>
          <w:lang w:val="sr-Latn-ME" w:eastAsia="sr-Latn-ME"/>
        </w:rPr>
      </w:pPr>
      <w:r w:rsidRPr="008E586D">
        <w:rPr>
          <w:rFonts w:eastAsia="TimesNewRoman"/>
          <w:sz w:val="22"/>
          <w:szCs w:val="22"/>
          <w:lang w:val="sr-Latn-ME" w:eastAsia="sr-Latn-ME"/>
        </w:rPr>
        <w:t>Razvoj hipertenzije gradusa 3 predstavlja najznačajniji rizik za dodavanje bevacizumaba bol</w:t>
      </w:r>
      <w:r w:rsidR="00F94694" w:rsidRPr="008E586D">
        <w:rPr>
          <w:rFonts w:eastAsia="TimesNewRoman"/>
          <w:sz w:val="22"/>
          <w:szCs w:val="22"/>
          <w:lang w:val="sr-Latn-ME" w:eastAsia="sr-Latn-ME"/>
        </w:rPr>
        <w:t>u</w:t>
      </w:r>
      <w:r w:rsidRPr="008E586D">
        <w:rPr>
          <w:rFonts w:eastAsia="TimesNewRoman"/>
          <w:sz w:val="22"/>
          <w:szCs w:val="22"/>
          <w:lang w:val="sr-Latn-ME" w:eastAsia="sr-Latn-ME"/>
        </w:rPr>
        <w:t xml:space="preserve">s terapiji irinotekan/5-FU/FA. </w:t>
      </w:r>
    </w:p>
    <w:p w:rsidR="00E52D4C" w:rsidRPr="008E586D" w:rsidRDefault="00E52D4C" w:rsidP="00016BCA">
      <w:pPr>
        <w:autoSpaceDE w:val="0"/>
        <w:autoSpaceDN w:val="0"/>
        <w:adjustRightInd w:val="0"/>
        <w:jc w:val="both"/>
        <w:rPr>
          <w:rFonts w:eastAsia="TimesNewRoman"/>
          <w:sz w:val="22"/>
          <w:szCs w:val="22"/>
          <w:lang w:val="sr-Latn-ME" w:eastAsia="sr-Latn-ME"/>
        </w:rPr>
      </w:pPr>
    </w:p>
    <w:p w:rsidR="006B0F21" w:rsidRPr="008E586D" w:rsidRDefault="006B0F21" w:rsidP="00016BCA">
      <w:pPr>
        <w:autoSpaceDE w:val="0"/>
        <w:autoSpaceDN w:val="0"/>
        <w:adjustRightInd w:val="0"/>
        <w:jc w:val="both"/>
        <w:rPr>
          <w:rFonts w:eastAsia="TimesNewRoman"/>
          <w:sz w:val="22"/>
          <w:szCs w:val="22"/>
          <w:lang w:val="sr-Latn-ME" w:eastAsia="sr-Latn-ME"/>
        </w:rPr>
      </w:pPr>
      <w:r w:rsidRPr="008E586D">
        <w:rPr>
          <w:rFonts w:eastAsia="TimesNewRoman"/>
          <w:sz w:val="22"/>
          <w:szCs w:val="22"/>
          <w:lang w:val="sr-Latn-ME" w:eastAsia="sr-Latn-ME"/>
        </w:rPr>
        <w:t>Pored toga, kod pacijenata na ovom režimu hemioterapije zabilježen je manji porast neželjenih događaja gradusa 3 i 4 kao što su dijareja i leukopenija u odnosu na pacijente na bolus terapiji irinotekan/5-FU/FA. Za više podataka o neželjenim reakcijama na irinotekan u kombinaciji sa bevacizumabom treba pogledati odgovarajući sažetak karakteristika lijeka bevacizumaba.</w:t>
      </w:r>
    </w:p>
    <w:p w:rsidR="00E52D4C" w:rsidRPr="008E586D" w:rsidRDefault="00E52D4C" w:rsidP="00016BCA">
      <w:pPr>
        <w:autoSpaceDE w:val="0"/>
        <w:autoSpaceDN w:val="0"/>
        <w:adjustRightInd w:val="0"/>
        <w:jc w:val="both"/>
        <w:rPr>
          <w:rFonts w:eastAsia="TimesNewRoman"/>
          <w:sz w:val="22"/>
          <w:szCs w:val="22"/>
          <w:lang w:val="sr-Latn-ME" w:eastAsia="sr-Latn-ME"/>
        </w:rPr>
      </w:pPr>
    </w:p>
    <w:p w:rsidR="006B0F21" w:rsidRPr="008E586D" w:rsidRDefault="006B0F21" w:rsidP="00016BCA">
      <w:pPr>
        <w:autoSpaceDE w:val="0"/>
        <w:autoSpaceDN w:val="0"/>
        <w:adjustRightInd w:val="0"/>
        <w:jc w:val="both"/>
        <w:rPr>
          <w:rFonts w:eastAsia="TimesNewRoman"/>
          <w:sz w:val="22"/>
          <w:szCs w:val="22"/>
          <w:lang w:val="sr-Latn-ME" w:eastAsia="sr-Latn-ME"/>
        </w:rPr>
      </w:pPr>
      <w:r w:rsidRPr="008E586D">
        <w:rPr>
          <w:rFonts w:eastAsia="TimesNewRoman"/>
          <w:sz w:val="22"/>
          <w:szCs w:val="22"/>
          <w:lang w:val="sr-Latn-ME" w:eastAsia="sr-Latn-ME"/>
        </w:rPr>
        <w:t>Primjena lijeka Irinotecan Accord je ispitivana u terapiji metastatskog kolorektalnog karcinoma u kombinaciji sa 5-FU i FA. Bezbjednosni podaci o neželjenim reakcijama iz kliničkih studija pokazuju veoma često zabilježene neželjene događaje gradusa 3 ili 4 prema NCI kriterijumima koji su moguće ili vjerovatno povezani sa primjenom lijeka u okviru poremećaja krvi i limfnog sistema, gastrointestinalnih poremećaja i poremećaja kože i potkožnog tkiva, prema MedDRA klasifikaciji sistema organa.</w:t>
      </w:r>
    </w:p>
    <w:p w:rsidR="00E52D4C" w:rsidRPr="008E586D" w:rsidRDefault="00E52D4C" w:rsidP="00016BCA">
      <w:pPr>
        <w:autoSpaceDE w:val="0"/>
        <w:autoSpaceDN w:val="0"/>
        <w:adjustRightInd w:val="0"/>
        <w:jc w:val="both"/>
        <w:rPr>
          <w:rFonts w:eastAsia="TimesNewRoman"/>
          <w:sz w:val="22"/>
          <w:szCs w:val="22"/>
          <w:lang w:val="sr-Latn-ME" w:eastAsia="sr-Latn-ME"/>
        </w:rPr>
      </w:pPr>
    </w:p>
    <w:p w:rsidR="006B0F21" w:rsidRPr="008E586D" w:rsidRDefault="006B0F21" w:rsidP="00016BCA">
      <w:pPr>
        <w:autoSpaceDE w:val="0"/>
        <w:autoSpaceDN w:val="0"/>
        <w:adjustRightInd w:val="0"/>
        <w:jc w:val="both"/>
        <w:rPr>
          <w:rFonts w:eastAsia="TimesNewRoman"/>
          <w:sz w:val="22"/>
          <w:szCs w:val="22"/>
          <w:lang w:val="sr-Latn-ME" w:eastAsia="sr-Latn-ME"/>
        </w:rPr>
      </w:pPr>
      <w:r w:rsidRPr="008E586D">
        <w:rPr>
          <w:rFonts w:eastAsia="TimesNewRoman"/>
          <w:sz w:val="22"/>
          <w:szCs w:val="22"/>
          <w:lang w:val="sr-Latn-ME" w:eastAsia="sr-Latn-ME"/>
        </w:rPr>
        <w:t>Sljedeće neželjene reakcije za koje se smatra da su moguće ili verovatno povezane sa primjenom lijeka Irinotecan Accord prijavljene su kod 145 pacijenata koji su dobijali lijek Irinotecan Accord u kombinaciji sa 5 FU/FA svake dvije nedjelje u preporučenoj dozi od 180 mg/m</w:t>
      </w:r>
      <w:r w:rsidRPr="008E586D">
        <w:rPr>
          <w:rFonts w:eastAsia="TimesNewRoman"/>
          <w:sz w:val="22"/>
          <w:szCs w:val="22"/>
          <w:vertAlign w:val="superscript"/>
          <w:lang w:val="sr-Latn-ME" w:eastAsia="sr-Latn-ME"/>
        </w:rPr>
        <w:t>2</w:t>
      </w:r>
      <w:r w:rsidRPr="008E586D">
        <w:rPr>
          <w:rFonts w:eastAsia="TimesNewRoman"/>
          <w:sz w:val="22"/>
          <w:szCs w:val="22"/>
          <w:lang w:val="sr-Latn-ME" w:eastAsia="sr-Latn-ME"/>
        </w:rPr>
        <w:t>.</w:t>
      </w:r>
    </w:p>
    <w:p w:rsidR="0075351E" w:rsidRPr="008E586D" w:rsidRDefault="0075351E" w:rsidP="00016BCA">
      <w:pPr>
        <w:autoSpaceDE w:val="0"/>
        <w:autoSpaceDN w:val="0"/>
        <w:adjustRightInd w:val="0"/>
        <w:jc w:val="both"/>
        <w:rPr>
          <w:rFonts w:eastAsia="TimesNewRoman"/>
          <w:sz w:val="22"/>
          <w:szCs w:val="22"/>
          <w:lang w:val="sr-Latn-ME" w:eastAsia="sr-Latn-ME"/>
        </w:rPr>
      </w:pPr>
    </w:p>
    <w:p w:rsidR="0075351E" w:rsidRPr="008E586D" w:rsidRDefault="0075351E" w:rsidP="00016BCA">
      <w:pPr>
        <w:autoSpaceDE w:val="0"/>
        <w:autoSpaceDN w:val="0"/>
        <w:adjustRightInd w:val="0"/>
        <w:jc w:val="both"/>
        <w:rPr>
          <w:rFonts w:eastAsia="TimesNewRoman"/>
          <w:sz w:val="22"/>
          <w:szCs w:val="22"/>
          <w:lang w:val="sr-Latn-ME" w:eastAsia="sr-Latn-ME"/>
        </w:rPr>
      </w:pPr>
    </w:p>
    <w:p w:rsidR="0075351E" w:rsidRPr="008E586D" w:rsidRDefault="0075351E" w:rsidP="00016BCA">
      <w:pPr>
        <w:autoSpaceDE w:val="0"/>
        <w:autoSpaceDN w:val="0"/>
        <w:adjustRightInd w:val="0"/>
        <w:jc w:val="both"/>
        <w:rPr>
          <w:rFonts w:eastAsia="TimesNewRoman"/>
          <w:sz w:val="22"/>
          <w:szCs w:val="22"/>
          <w:lang w:val="sr-Latn-ME" w:eastAsia="sr-Latn-ME"/>
        </w:rPr>
      </w:pPr>
    </w:p>
    <w:p w:rsidR="0075351E" w:rsidRPr="008E586D" w:rsidRDefault="0075351E" w:rsidP="00016BCA">
      <w:pPr>
        <w:autoSpaceDE w:val="0"/>
        <w:autoSpaceDN w:val="0"/>
        <w:adjustRightInd w:val="0"/>
        <w:jc w:val="both"/>
        <w:rPr>
          <w:rFonts w:eastAsia="TimesNewRoman"/>
          <w:sz w:val="22"/>
          <w:szCs w:val="22"/>
          <w:lang w:val="sr-Latn-ME" w:eastAsia="sr-Latn-ME"/>
        </w:rPr>
      </w:pPr>
    </w:p>
    <w:p w:rsidR="0075351E" w:rsidRPr="008E586D" w:rsidRDefault="0075351E" w:rsidP="00016BCA">
      <w:pPr>
        <w:autoSpaceDE w:val="0"/>
        <w:autoSpaceDN w:val="0"/>
        <w:adjustRightInd w:val="0"/>
        <w:jc w:val="both"/>
        <w:rPr>
          <w:rFonts w:eastAsia="TimesNewRoman"/>
          <w:sz w:val="22"/>
          <w:szCs w:val="22"/>
          <w:lang w:val="sr-Latn-ME" w:eastAsia="sr-Latn-ME"/>
        </w:rPr>
      </w:pPr>
    </w:p>
    <w:p w:rsidR="0075351E" w:rsidRPr="008E586D" w:rsidRDefault="0075351E" w:rsidP="00016BCA">
      <w:pPr>
        <w:autoSpaceDE w:val="0"/>
        <w:autoSpaceDN w:val="0"/>
        <w:adjustRightInd w:val="0"/>
        <w:jc w:val="both"/>
        <w:rPr>
          <w:rFonts w:eastAsia="TimesNewRoman"/>
          <w:sz w:val="22"/>
          <w:szCs w:val="22"/>
          <w:lang w:val="sr-Latn-ME" w:eastAsia="sr-Latn-ME"/>
        </w:rPr>
      </w:pPr>
    </w:p>
    <w:p w:rsidR="00016BCA" w:rsidRPr="008E586D" w:rsidRDefault="00016BCA" w:rsidP="00016BCA">
      <w:pPr>
        <w:autoSpaceDE w:val="0"/>
        <w:autoSpaceDN w:val="0"/>
        <w:adjustRightInd w:val="0"/>
        <w:jc w:val="both"/>
        <w:rPr>
          <w:rFonts w:eastAsia="TimesNewRoman"/>
          <w:sz w:val="22"/>
          <w:szCs w:val="22"/>
          <w:lang w:val="sr-Latn-ME" w:eastAsia="sr-Latn-ME"/>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3079"/>
        <w:gridCol w:w="2989"/>
        <w:gridCol w:w="2989"/>
      </w:tblGrid>
      <w:tr w:rsidR="00016BCA" w:rsidRPr="008E586D" w:rsidTr="000F1999">
        <w:trPr>
          <w:tblCellSpacing w:w="0" w:type="dxa"/>
        </w:trPr>
        <w:tc>
          <w:tcPr>
            <w:tcW w:w="5000" w:type="pct"/>
            <w:gridSpan w:val="3"/>
            <w:tcBorders>
              <w:top w:val="outset" w:sz="6" w:space="0" w:color="auto"/>
              <w:left w:val="outset" w:sz="6" w:space="0" w:color="auto"/>
              <w:bottom w:val="outset" w:sz="6" w:space="0" w:color="auto"/>
              <w:right w:val="outset" w:sz="6" w:space="0" w:color="auto"/>
            </w:tcBorders>
          </w:tcPr>
          <w:p w:rsidR="00016BCA" w:rsidRPr="008E586D" w:rsidRDefault="00016BCA" w:rsidP="000F1999">
            <w:pPr>
              <w:autoSpaceDE w:val="0"/>
              <w:autoSpaceDN w:val="0"/>
              <w:adjustRightInd w:val="0"/>
              <w:rPr>
                <w:rFonts w:eastAsia="TimesNewRoman,Bold"/>
                <w:b/>
                <w:bCs/>
                <w:sz w:val="22"/>
                <w:szCs w:val="22"/>
                <w:lang w:val="sr-Latn-ME" w:eastAsia="sr-Latn-ME"/>
              </w:rPr>
            </w:pPr>
            <w:r w:rsidRPr="008E586D">
              <w:rPr>
                <w:rFonts w:eastAsia="TimesNewRoman,Bold"/>
                <w:b/>
                <w:bCs/>
                <w:sz w:val="22"/>
                <w:szCs w:val="22"/>
                <w:lang w:val="sr-Latn-ME" w:eastAsia="sr-Latn-ME"/>
              </w:rPr>
              <w:lastRenderedPageBreak/>
              <w:t>Neželjene reakcije prijavljene prilikom primjene lijeka Irinotecan Accord u kombinovanoj terapiji (režim 180 mg/m</w:t>
            </w:r>
            <w:r w:rsidRPr="008E586D">
              <w:rPr>
                <w:rFonts w:eastAsia="TimesNewRoman,Bold"/>
                <w:b/>
                <w:bCs/>
                <w:sz w:val="22"/>
                <w:szCs w:val="22"/>
                <w:vertAlign w:val="superscript"/>
                <w:lang w:val="sr-Latn-ME" w:eastAsia="sr-Latn-ME"/>
              </w:rPr>
              <w:t>2</w:t>
            </w:r>
            <w:r w:rsidRPr="008E586D">
              <w:rPr>
                <w:rFonts w:eastAsia="TimesNewRoman,Bold"/>
                <w:b/>
                <w:bCs/>
                <w:sz w:val="22"/>
                <w:szCs w:val="22"/>
                <w:lang w:val="sr-Latn-ME" w:eastAsia="sr-Latn-ME"/>
              </w:rPr>
              <w:t xml:space="preserve"> na svake 2 nedjelje)</w:t>
            </w:r>
          </w:p>
        </w:tc>
      </w:tr>
      <w:tr w:rsidR="00016BCA" w:rsidRPr="008E586D" w:rsidTr="000F1999">
        <w:trPr>
          <w:tblCellSpacing w:w="0" w:type="dxa"/>
        </w:trPr>
        <w:tc>
          <w:tcPr>
            <w:tcW w:w="1700" w:type="pct"/>
            <w:tcBorders>
              <w:top w:val="outset" w:sz="6" w:space="0" w:color="auto"/>
              <w:left w:val="outset" w:sz="6" w:space="0" w:color="auto"/>
              <w:bottom w:val="outset" w:sz="6" w:space="0" w:color="auto"/>
              <w:right w:val="outset" w:sz="6" w:space="0" w:color="auto"/>
            </w:tcBorders>
            <w:hideMark/>
          </w:tcPr>
          <w:p w:rsidR="00016BCA" w:rsidRPr="008E586D" w:rsidRDefault="00016BCA" w:rsidP="000F1999">
            <w:pPr>
              <w:spacing w:before="100" w:beforeAutospacing="1" w:after="75"/>
              <w:rPr>
                <w:sz w:val="22"/>
                <w:szCs w:val="22"/>
                <w:lang w:val="sr-Latn-ME" w:eastAsia="en-GB"/>
              </w:rPr>
            </w:pPr>
            <w:r w:rsidRPr="008E586D">
              <w:rPr>
                <w:b/>
                <w:bCs/>
                <w:sz w:val="22"/>
                <w:szCs w:val="22"/>
                <w:lang w:val="sr-Latn-ME" w:eastAsia="en-GB"/>
              </w:rPr>
              <w:t>MeDRA klasa sistema organa</w:t>
            </w:r>
          </w:p>
        </w:tc>
        <w:tc>
          <w:tcPr>
            <w:tcW w:w="1650" w:type="pct"/>
            <w:tcBorders>
              <w:top w:val="outset" w:sz="6" w:space="0" w:color="auto"/>
              <w:left w:val="outset" w:sz="6" w:space="0" w:color="auto"/>
              <w:bottom w:val="outset" w:sz="6" w:space="0" w:color="auto"/>
              <w:right w:val="outset" w:sz="6" w:space="0" w:color="auto"/>
            </w:tcBorders>
            <w:hideMark/>
          </w:tcPr>
          <w:p w:rsidR="00016BCA" w:rsidRPr="008E586D" w:rsidRDefault="00016BCA" w:rsidP="000F1999">
            <w:pPr>
              <w:spacing w:before="100" w:beforeAutospacing="1" w:after="75"/>
              <w:rPr>
                <w:sz w:val="22"/>
                <w:szCs w:val="22"/>
                <w:lang w:val="sr-Latn-ME" w:eastAsia="en-GB"/>
              </w:rPr>
            </w:pPr>
            <w:r w:rsidRPr="008E586D">
              <w:rPr>
                <w:b/>
                <w:bCs/>
                <w:sz w:val="22"/>
                <w:szCs w:val="22"/>
                <w:lang w:val="sr-Latn-ME" w:eastAsia="en-GB"/>
              </w:rPr>
              <w:t>Kategorija čestalosti</w:t>
            </w:r>
          </w:p>
        </w:tc>
        <w:tc>
          <w:tcPr>
            <w:tcW w:w="1650" w:type="pct"/>
            <w:tcBorders>
              <w:top w:val="outset" w:sz="6" w:space="0" w:color="auto"/>
              <w:left w:val="outset" w:sz="6" w:space="0" w:color="auto"/>
              <w:bottom w:val="outset" w:sz="6" w:space="0" w:color="auto"/>
              <w:right w:val="outset" w:sz="6" w:space="0" w:color="auto"/>
            </w:tcBorders>
            <w:hideMark/>
          </w:tcPr>
          <w:p w:rsidR="00016BCA" w:rsidRPr="008E586D" w:rsidRDefault="00016BCA" w:rsidP="000F1999">
            <w:pPr>
              <w:spacing w:before="100" w:beforeAutospacing="1" w:after="75"/>
              <w:rPr>
                <w:sz w:val="22"/>
                <w:szCs w:val="22"/>
                <w:lang w:val="sr-Latn-ME" w:eastAsia="en-GB"/>
              </w:rPr>
            </w:pPr>
            <w:r w:rsidRPr="008E586D">
              <w:rPr>
                <w:b/>
                <w:bCs/>
                <w:sz w:val="22"/>
                <w:szCs w:val="22"/>
                <w:lang w:val="sr-Latn-ME" w:eastAsia="en-GB"/>
              </w:rPr>
              <w:t>Neželjeno dejstvo</w:t>
            </w:r>
          </w:p>
        </w:tc>
      </w:tr>
      <w:tr w:rsidR="00016BCA" w:rsidRPr="008E586D" w:rsidTr="000F1999">
        <w:trPr>
          <w:tblCellSpacing w:w="0" w:type="dxa"/>
        </w:trPr>
        <w:tc>
          <w:tcPr>
            <w:tcW w:w="1700" w:type="pct"/>
            <w:tcBorders>
              <w:top w:val="outset" w:sz="6" w:space="0" w:color="auto"/>
              <w:left w:val="outset" w:sz="6" w:space="0" w:color="auto"/>
              <w:right w:val="outset" w:sz="6" w:space="0" w:color="auto"/>
            </w:tcBorders>
          </w:tcPr>
          <w:p w:rsidR="00016BCA" w:rsidRPr="008E586D" w:rsidRDefault="00016BCA" w:rsidP="000F1999">
            <w:pPr>
              <w:spacing w:before="100" w:beforeAutospacing="1" w:after="75"/>
              <w:rPr>
                <w:sz w:val="22"/>
                <w:szCs w:val="22"/>
                <w:lang w:val="sr-Latn-ME" w:eastAsia="en-GB"/>
              </w:rPr>
            </w:pPr>
            <w:r w:rsidRPr="008E586D">
              <w:rPr>
                <w:sz w:val="22"/>
                <w:szCs w:val="22"/>
                <w:lang w:val="sr-Latn-ME" w:eastAsia="en-GB"/>
              </w:rPr>
              <w:t>Infekcije i infestacije</w:t>
            </w:r>
          </w:p>
        </w:tc>
        <w:tc>
          <w:tcPr>
            <w:tcW w:w="1650" w:type="pct"/>
            <w:tcBorders>
              <w:top w:val="outset" w:sz="6" w:space="0" w:color="auto"/>
              <w:left w:val="outset" w:sz="6" w:space="0" w:color="auto"/>
              <w:bottom w:val="outset" w:sz="6" w:space="0" w:color="auto"/>
              <w:right w:val="outset" w:sz="6" w:space="0" w:color="auto"/>
            </w:tcBorders>
          </w:tcPr>
          <w:p w:rsidR="00016BCA" w:rsidRPr="008E586D" w:rsidRDefault="00016BCA" w:rsidP="000F1999">
            <w:pPr>
              <w:spacing w:before="100" w:beforeAutospacing="1" w:after="75"/>
              <w:rPr>
                <w:sz w:val="22"/>
                <w:szCs w:val="22"/>
                <w:lang w:val="sr-Latn-ME" w:eastAsia="en-GB"/>
              </w:rPr>
            </w:pPr>
            <w:r w:rsidRPr="008E586D">
              <w:rPr>
                <w:sz w:val="22"/>
                <w:szCs w:val="22"/>
                <w:lang w:val="sr-Latn-ME" w:eastAsia="en-GB"/>
              </w:rPr>
              <w:t>Često</w:t>
            </w:r>
          </w:p>
        </w:tc>
        <w:tc>
          <w:tcPr>
            <w:tcW w:w="1650" w:type="pct"/>
            <w:tcBorders>
              <w:top w:val="outset" w:sz="6" w:space="0" w:color="auto"/>
              <w:left w:val="outset" w:sz="6" w:space="0" w:color="auto"/>
              <w:bottom w:val="outset" w:sz="6" w:space="0" w:color="auto"/>
              <w:right w:val="outset" w:sz="6" w:space="0" w:color="auto"/>
            </w:tcBorders>
          </w:tcPr>
          <w:p w:rsidR="00016BCA" w:rsidRPr="008E586D" w:rsidRDefault="00016BCA" w:rsidP="000F1999">
            <w:pPr>
              <w:spacing w:before="100" w:beforeAutospacing="1" w:after="75"/>
              <w:rPr>
                <w:sz w:val="22"/>
                <w:szCs w:val="22"/>
                <w:lang w:val="sr-Latn-ME" w:eastAsia="en-GB"/>
              </w:rPr>
            </w:pPr>
            <w:r w:rsidRPr="008E586D">
              <w:rPr>
                <w:sz w:val="22"/>
                <w:szCs w:val="22"/>
                <w:lang w:val="sr-Latn-ME" w:eastAsia="en-GB"/>
              </w:rPr>
              <w:t>Infekcija</w:t>
            </w:r>
          </w:p>
        </w:tc>
      </w:tr>
      <w:tr w:rsidR="00016BCA" w:rsidRPr="008E586D" w:rsidTr="000F1999">
        <w:trPr>
          <w:tblCellSpacing w:w="0" w:type="dxa"/>
        </w:trPr>
        <w:tc>
          <w:tcPr>
            <w:tcW w:w="1700" w:type="pct"/>
            <w:vMerge w:val="restart"/>
            <w:tcBorders>
              <w:top w:val="outset" w:sz="6" w:space="0" w:color="auto"/>
              <w:left w:val="outset" w:sz="6" w:space="0" w:color="auto"/>
              <w:right w:val="outset" w:sz="6" w:space="0" w:color="auto"/>
            </w:tcBorders>
            <w:hideMark/>
          </w:tcPr>
          <w:p w:rsidR="00016BCA" w:rsidRPr="008E586D" w:rsidRDefault="00016BCA" w:rsidP="000F1999">
            <w:pPr>
              <w:spacing w:before="100" w:beforeAutospacing="1" w:after="75"/>
              <w:rPr>
                <w:sz w:val="22"/>
                <w:szCs w:val="22"/>
                <w:lang w:val="sr-Latn-ME" w:eastAsia="en-GB"/>
              </w:rPr>
            </w:pPr>
            <w:r w:rsidRPr="008E586D">
              <w:rPr>
                <w:sz w:val="22"/>
                <w:szCs w:val="22"/>
                <w:lang w:val="sr-Latn-ME" w:eastAsia="en-GB"/>
              </w:rPr>
              <w:t>Poremećaji krvi i limfnog sistema</w:t>
            </w:r>
          </w:p>
        </w:tc>
        <w:tc>
          <w:tcPr>
            <w:tcW w:w="1650" w:type="pct"/>
            <w:tcBorders>
              <w:top w:val="outset" w:sz="6" w:space="0" w:color="auto"/>
              <w:left w:val="outset" w:sz="6" w:space="0" w:color="auto"/>
              <w:bottom w:val="outset" w:sz="6" w:space="0" w:color="auto"/>
              <w:right w:val="outset" w:sz="6" w:space="0" w:color="auto"/>
            </w:tcBorders>
            <w:hideMark/>
          </w:tcPr>
          <w:p w:rsidR="00016BCA" w:rsidRPr="008E586D" w:rsidRDefault="00016BCA" w:rsidP="000F1999">
            <w:pPr>
              <w:spacing w:before="100" w:beforeAutospacing="1" w:after="75"/>
              <w:rPr>
                <w:sz w:val="22"/>
                <w:szCs w:val="22"/>
                <w:lang w:val="sr-Latn-ME" w:eastAsia="en-GB"/>
              </w:rPr>
            </w:pPr>
            <w:r w:rsidRPr="008E586D">
              <w:rPr>
                <w:sz w:val="22"/>
                <w:szCs w:val="22"/>
                <w:lang w:val="sr-Latn-ME" w:eastAsia="en-GB"/>
              </w:rPr>
              <w:t xml:space="preserve">Veoma često </w:t>
            </w:r>
          </w:p>
        </w:tc>
        <w:tc>
          <w:tcPr>
            <w:tcW w:w="1650" w:type="pct"/>
            <w:tcBorders>
              <w:top w:val="outset" w:sz="6" w:space="0" w:color="auto"/>
              <w:left w:val="outset" w:sz="6" w:space="0" w:color="auto"/>
              <w:bottom w:val="outset" w:sz="6" w:space="0" w:color="auto"/>
              <w:right w:val="outset" w:sz="6" w:space="0" w:color="auto"/>
            </w:tcBorders>
            <w:hideMark/>
          </w:tcPr>
          <w:p w:rsidR="00016BCA" w:rsidRPr="008E586D" w:rsidRDefault="00016BCA" w:rsidP="000F1999">
            <w:pPr>
              <w:spacing w:before="100" w:beforeAutospacing="1" w:after="75"/>
              <w:rPr>
                <w:sz w:val="22"/>
                <w:szCs w:val="22"/>
                <w:lang w:val="sr-Latn-ME" w:eastAsia="en-GB"/>
              </w:rPr>
            </w:pPr>
            <w:r w:rsidRPr="008E586D">
              <w:rPr>
                <w:sz w:val="22"/>
                <w:szCs w:val="22"/>
                <w:lang w:val="sr-Latn-ME" w:eastAsia="en-GB"/>
              </w:rPr>
              <w:t>Trombocitopenija, neutropenija, a</w:t>
            </w:r>
            <w:r w:rsidR="00E52D4C" w:rsidRPr="008E586D">
              <w:rPr>
                <w:sz w:val="22"/>
                <w:szCs w:val="22"/>
                <w:lang w:val="sr-Latn-ME" w:eastAsia="en-GB"/>
              </w:rPr>
              <w:t>n</w:t>
            </w:r>
            <w:r w:rsidRPr="008E586D">
              <w:rPr>
                <w:sz w:val="22"/>
                <w:szCs w:val="22"/>
                <w:lang w:val="sr-Latn-ME" w:eastAsia="en-GB"/>
              </w:rPr>
              <w:t xml:space="preserve">emija </w:t>
            </w:r>
          </w:p>
        </w:tc>
      </w:tr>
      <w:tr w:rsidR="00016BCA" w:rsidRPr="008E586D" w:rsidTr="000F1999">
        <w:trPr>
          <w:tblCellSpacing w:w="0" w:type="dxa"/>
        </w:trPr>
        <w:tc>
          <w:tcPr>
            <w:tcW w:w="1700" w:type="pct"/>
            <w:vMerge/>
            <w:tcBorders>
              <w:left w:val="outset" w:sz="6" w:space="0" w:color="auto"/>
              <w:right w:val="outset" w:sz="6" w:space="0" w:color="auto"/>
            </w:tcBorders>
          </w:tcPr>
          <w:p w:rsidR="00016BCA" w:rsidRPr="008E586D" w:rsidRDefault="00016BCA" w:rsidP="000F1999">
            <w:pPr>
              <w:spacing w:before="100" w:beforeAutospacing="1" w:after="75"/>
              <w:rPr>
                <w:sz w:val="22"/>
                <w:szCs w:val="22"/>
                <w:lang w:val="sr-Latn-ME" w:eastAsia="en-GB"/>
              </w:rPr>
            </w:pPr>
          </w:p>
        </w:tc>
        <w:tc>
          <w:tcPr>
            <w:tcW w:w="1650" w:type="pct"/>
            <w:tcBorders>
              <w:top w:val="outset" w:sz="6" w:space="0" w:color="auto"/>
              <w:left w:val="outset" w:sz="6" w:space="0" w:color="auto"/>
              <w:bottom w:val="outset" w:sz="6" w:space="0" w:color="auto"/>
              <w:right w:val="outset" w:sz="6" w:space="0" w:color="auto"/>
            </w:tcBorders>
          </w:tcPr>
          <w:p w:rsidR="00016BCA" w:rsidRPr="008E586D" w:rsidRDefault="00016BCA" w:rsidP="000F1999">
            <w:pPr>
              <w:spacing w:before="100" w:beforeAutospacing="1" w:after="75"/>
              <w:rPr>
                <w:sz w:val="22"/>
                <w:szCs w:val="22"/>
                <w:lang w:val="sr-Latn-ME" w:eastAsia="en-GB"/>
              </w:rPr>
            </w:pPr>
            <w:r w:rsidRPr="008E586D">
              <w:rPr>
                <w:sz w:val="22"/>
                <w:szCs w:val="22"/>
                <w:lang w:val="sr-Latn-ME" w:eastAsia="en-GB"/>
              </w:rPr>
              <w:t>Često</w:t>
            </w:r>
          </w:p>
        </w:tc>
        <w:tc>
          <w:tcPr>
            <w:tcW w:w="1650" w:type="pct"/>
            <w:tcBorders>
              <w:top w:val="outset" w:sz="6" w:space="0" w:color="auto"/>
              <w:left w:val="outset" w:sz="6" w:space="0" w:color="auto"/>
              <w:bottom w:val="outset" w:sz="6" w:space="0" w:color="auto"/>
              <w:right w:val="outset" w:sz="6" w:space="0" w:color="auto"/>
            </w:tcBorders>
          </w:tcPr>
          <w:p w:rsidR="00016BCA" w:rsidRPr="008E586D" w:rsidRDefault="00016BCA" w:rsidP="000F1999">
            <w:pPr>
              <w:spacing w:before="100" w:beforeAutospacing="1" w:after="75"/>
              <w:rPr>
                <w:sz w:val="22"/>
                <w:szCs w:val="22"/>
                <w:lang w:val="sr-Latn-ME" w:eastAsia="en-GB"/>
              </w:rPr>
            </w:pPr>
            <w:r w:rsidRPr="008E586D">
              <w:rPr>
                <w:sz w:val="22"/>
                <w:szCs w:val="22"/>
                <w:lang w:val="sr-Latn-ME" w:eastAsia="en-GB"/>
              </w:rPr>
              <w:t>Febrilna neutropenija</w:t>
            </w:r>
          </w:p>
        </w:tc>
      </w:tr>
      <w:tr w:rsidR="00016BCA" w:rsidRPr="008E586D" w:rsidTr="000F1999">
        <w:trPr>
          <w:tblCellSpacing w:w="0" w:type="dxa"/>
        </w:trPr>
        <w:tc>
          <w:tcPr>
            <w:tcW w:w="1700" w:type="pct"/>
            <w:tcBorders>
              <w:top w:val="outset" w:sz="6" w:space="0" w:color="auto"/>
              <w:left w:val="outset" w:sz="6" w:space="0" w:color="auto"/>
              <w:right w:val="outset" w:sz="6" w:space="0" w:color="auto"/>
            </w:tcBorders>
            <w:hideMark/>
          </w:tcPr>
          <w:p w:rsidR="00016BCA" w:rsidRPr="008E586D" w:rsidRDefault="00016BCA" w:rsidP="000F1999">
            <w:pPr>
              <w:spacing w:before="100" w:beforeAutospacing="1" w:after="75"/>
              <w:rPr>
                <w:sz w:val="22"/>
                <w:szCs w:val="22"/>
                <w:lang w:val="sr-Latn-ME" w:eastAsia="en-GB"/>
              </w:rPr>
            </w:pPr>
            <w:r w:rsidRPr="008E586D">
              <w:rPr>
                <w:sz w:val="22"/>
                <w:szCs w:val="22"/>
                <w:lang w:val="sr-Latn-ME" w:eastAsia="en-GB"/>
              </w:rPr>
              <w:t>Poremećaji metabolizma i ishrane</w:t>
            </w:r>
          </w:p>
        </w:tc>
        <w:tc>
          <w:tcPr>
            <w:tcW w:w="1650" w:type="pct"/>
            <w:tcBorders>
              <w:top w:val="outset" w:sz="6" w:space="0" w:color="auto"/>
              <w:left w:val="outset" w:sz="6" w:space="0" w:color="auto"/>
              <w:bottom w:val="outset" w:sz="6" w:space="0" w:color="auto"/>
              <w:right w:val="outset" w:sz="6" w:space="0" w:color="auto"/>
            </w:tcBorders>
            <w:hideMark/>
          </w:tcPr>
          <w:p w:rsidR="00016BCA" w:rsidRPr="008E586D" w:rsidRDefault="00016BCA" w:rsidP="000F1999">
            <w:pPr>
              <w:spacing w:before="100" w:beforeAutospacing="1" w:after="75"/>
              <w:rPr>
                <w:sz w:val="22"/>
                <w:szCs w:val="22"/>
                <w:lang w:val="sr-Latn-ME" w:eastAsia="en-GB"/>
              </w:rPr>
            </w:pPr>
            <w:r w:rsidRPr="008E586D">
              <w:rPr>
                <w:sz w:val="22"/>
                <w:szCs w:val="22"/>
                <w:lang w:val="sr-Latn-ME" w:eastAsia="en-GB"/>
              </w:rPr>
              <w:t xml:space="preserve">Veoma često </w:t>
            </w:r>
          </w:p>
        </w:tc>
        <w:tc>
          <w:tcPr>
            <w:tcW w:w="1650" w:type="pct"/>
            <w:tcBorders>
              <w:top w:val="outset" w:sz="6" w:space="0" w:color="auto"/>
              <w:left w:val="outset" w:sz="6" w:space="0" w:color="auto"/>
              <w:bottom w:val="outset" w:sz="6" w:space="0" w:color="auto"/>
              <w:right w:val="outset" w:sz="6" w:space="0" w:color="auto"/>
            </w:tcBorders>
            <w:hideMark/>
          </w:tcPr>
          <w:p w:rsidR="00016BCA" w:rsidRPr="008E586D" w:rsidRDefault="00016BCA" w:rsidP="000F1999">
            <w:pPr>
              <w:spacing w:before="100" w:beforeAutospacing="1" w:after="75"/>
              <w:rPr>
                <w:sz w:val="22"/>
                <w:szCs w:val="22"/>
                <w:lang w:val="sr-Latn-ME" w:eastAsia="en-GB"/>
              </w:rPr>
            </w:pPr>
            <w:r w:rsidRPr="008E586D">
              <w:rPr>
                <w:sz w:val="22"/>
                <w:szCs w:val="22"/>
                <w:lang w:val="sr-Latn-ME" w:eastAsia="en-GB"/>
              </w:rPr>
              <w:t xml:space="preserve">Smanjen apetit </w:t>
            </w:r>
          </w:p>
        </w:tc>
      </w:tr>
      <w:tr w:rsidR="00016BCA" w:rsidRPr="008E586D" w:rsidTr="000F1999">
        <w:trPr>
          <w:tblCellSpacing w:w="0" w:type="dxa"/>
        </w:trPr>
        <w:tc>
          <w:tcPr>
            <w:tcW w:w="1700" w:type="pct"/>
            <w:tcBorders>
              <w:top w:val="outset" w:sz="6" w:space="0" w:color="auto"/>
              <w:left w:val="outset" w:sz="6" w:space="0" w:color="auto"/>
              <w:right w:val="outset" w:sz="6" w:space="0" w:color="auto"/>
            </w:tcBorders>
            <w:hideMark/>
          </w:tcPr>
          <w:p w:rsidR="00016BCA" w:rsidRPr="008E586D" w:rsidRDefault="00016BCA" w:rsidP="000F1999">
            <w:pPr>
              <w:spacing w:before="100" w:beforeAutospacing="1" w:after="75"/>
              <w:rPr>
                <w:sz w:val="22"/>
                <w:szCs w:val="22"/>
                <w:lang w:val="sr-Latn-ME" w:eastAsia="en-GB"/>
              </w:rPr>
            </w:pPr>
            <w:r w:rsidRPr="008E586D">
              <w:rPr>
                <w:sz w:val="22"/>
                <w:szCs w:val="22"/>
                <w:lang w:val="sr-Latn-ME" w:eastAsia="en-GB"/>
              </w:rPr>
              <w:t xml:space="preserve">Poremećaji nervnog sistema </w:t>
            </w:r>
          </w:p>
        </w:tc>
        <w:tc>
          <w:tcPr>
            <w:tcW w:w="1650" w:type="pct"/>
            <w:tcBorders>
              <w:top w:val="outset" w:sz="6" w:space="0" w:color="auto"/>
              <w:left w:val="outset" w:sz="6" w:space="0" w:color="auto"/>
              <w:bottom w:val="outset" w:sz="6" w:space="0" w:color="auto"/>
              <w:right w:val="outset" w:sz="6" w:space="0" w:color="auto"/>
            </w:tcBorders>
            <w:hideMark/>
          </w:tcPr>
          <w:p w:rsidR="00016BCA" w:rsidRPr="008E586D" w:rsidRDefault="00016BCA" w:rsidP="000F1999">
            <w:pPr>
              <w:spacing w:before="100" w:beforeAutospacing="1" w:after="75"/>
              <w:rPr>
                <w:sz w:val="22"/>
                <w:szCs w:val="22"/>
                <w:lang w:val="sr-Latn-ME" w:eastAsia="en-GB"/>
              </w:rPr>
            </w:pPr>
            <w:r w:rsidRPr="008E586D">
              <w:rPr>
                <w:sz w:val="22"/>
                <w:szCs w:val="22"/>
                <w:lang w:val="sr-Latn-ME" w:eastAsia="en-GB"/>
              </w:rPr>
              <w:t xml:space="preserve">Veoma često </w:t>
            </w:r>
          </w:p>
        </w:tc>
        <w:tc>
          <w:tcPr>
            <w:tcW w:w="1650" w:type="pct"/>
            <w:tcBorders>
              <w:top w:val="outset" w:sz="6" w:space="0" w:color="auto"/>
              <w:left w:val="outset" w:sz="6" w:space="0" w:color="auto"/>
              <w:bottom w:val="outset" w:sz="6" w:space="0" w:color="auto"/>
              <w:right w:val="outset" w:sz="6" w:space="0" w:color="auto"/>
            </w:tcBorders>
            <w:hideMark/>
          </w:tcPr>
          <w:p w:rsidR="00016BCA" w:rsidRPr="008E586D" w:rsidRDefault="00016BCA" w:rsidP="000F1999">
            <w:pPr>
              <w:spacing w:before="100" w:beforeAutospacing="1" w:after="75"/>
              <w:rPr>
                <w:sz w:val="22"/>
                <w:szCs w:val="22"/>
                <w:lang w:val="sr-Latn-ME" w:eastAsia="en-GB"/>
              </w:rPr>
            </w:pPr>
            <w:r w:rsidRPr="008E586D">
              <w:rPr>
                <w:sz w:val="22"/>
                <w:szCs w:val="22"/>
                <w:lang w:val="sr-Latn-ME" w:eastAsia="en-GB"/>
              </w:rPr>
              <w:t>Holinergični sindrom</w:t>
            </w:r>
          </w:p>
        </w:tc>
      </w:tr>
      <w:tr w:rsidR="00016BCA" w:rsidRPr="008E586D" w:rsidTr="000F1999">
        <w:trPr>
          <w:tblCellSpacing w:w="0" w:type="dxa"/>
        </w:trPr>
        <w:tc>
          <w:tcPr>
            <w:tcW w:w="1700" w:type="pct"/>
            <w:vMerge w:val="restart"/>
            <w:tcBorders>
              <w:top w:val="outset" w:sz="6" w:space="0" w:color="auto"/>
              <w:left w:val="outset" w:sz="6" w:space="0" w:color="auto"/>
              <w:right w:val="outset" w:sz="6" w:space="0" w:color="auto"/>
            </w:tcBorders>
            <w:hideMark/>
          </w:tcPr>
          <w:p w:rsidR="00016BCA" w:rsidRPr="008E586D" w:rsidRDefault="00016BCA" w:rsidP="000F1999">
            <w:pPr>
              <w:spacing w:before="100" w:beforeAutospacing="1" w:after="75"/>
              <w:rPr>
                <w:color w:val="FF0000"/>
                <w:sz w:val="22"/>
                <w:szCs w:val="22"/>
                <w:lang w:val="sr-Latn-ME" w:eastAsia="en-GB"/>
              </w:rPr>
            </w:pPr>
            <w:r w:rsidRPr="008E586D">
              <w:rPr>
                <w:sz w:val="22"/>
                <w:szCs w:val="22"/>
                <w:lang w:val="sr-Latn-ME" w:eastAsia="en-GB"/>
              </w:rPr>
              <w:t xml:space="preserve">Gastrointestinalni poremećaji </w:t>
            </w:r>
          </w:p>
        </w:tc>
        <w:tc>
          <w:tcPr>
            <w:tcW w:w="1650" w:type="pct"/>
            <w:tcBorders>
              <w:top w:val="outset" w:sz="6" w:space="0" w:color="auto"/>
              <w:left w:val="outset" w:sz="6" w:space="0" w:color="auto"/>
              <w:bottom w:val="outset" w:sz="6" w:space="0" w:color="auto"/>
              <w:right w:val="outset" w:sz="6" w:space="0" w:color="auto"/>
            </w:tcBorders>
            <w:hideMark/>
          </w:tcPr>
          <w:p w:rsidR="00016BCA" w:rsidRPr="008E586D" w:rsidRDefault="00016BCA" w:rsidP="000F1999">
            <w:pPr>
              <w:spacing w:before="100" w:beforeAutospacing="1" w:after="75"/>
              <w:rPr>
                <w:sz w:val="22"/>
                <w:szCs w:val="22"/>
                <w:lang w:val="sr-Latn-ME" w:eastAsia="en-GB"/>
              </w:rPr>
            </w:pPr>
            <w:r w:rsidRPr="008E586D">
              <w:rPr>
                <w:sz w:val="22"/>
                <w:szCs w:val="22"/>
                <w:lang w:val="sr-Latn-ME" w:eastAsia="en-GB"/>
              </w:rPr>
              <w:t xml:space="preserve">Veoma često </w:t>
            </w:r>
          </w:p>
        </w:tc>
        <w:tc>
          <w:tcPr>
            <w:tcW w:w="1650" w:type="pct"/>
            <w:tcBorders>
              <w:top w:val="outset" w:sz="6" w:space="0" w:color="auto"/>
              <w:left w:val="outset" w:sz="6" w:space="0" w:color="auto"/>
              <w:bottom w:val="outset" w:sz="6" w:space="0" w:color="auto"/>
              <w:right w:val="outset" w:sz="6" w:space="0" w:color="auto"/>
            </w:tcBorders>
            <w:hideMark/>
          </w:tcPr>
          <w:p w:rsidR="00016BCA" w:rsidRPr="008E586D" w:rsidRDefault="00E52D4C" w:rsidP="000F1999">
            <w:pPr>
              <w:spacing w:before="100" w:beforeAutospacing="1" w:after="75"/>
              <w:rPr>
                <w:sz w:val="22"/>
                <w:szCs w:val="22"/>
                <w:lang w:val="sr-Latn-ME" w:eastAsia="en-GB"/>
              </w:rPr>
            </w:pPr>
            <w:r w:rsidRPr="008E586D">
              <w:rPr>
                <w:sz w:val="22"/>
                <w:szCs w:val="22"/>
                <w:lang w:val="sr-Latn-ME" w:eastAsia="en-GB"/>
              </w:rPr>
              <w:t>Dijareja</w:t>
            </w:r>
            <w:r w:rsidR="00016BCA" w:rsidRPr="008E586D">
              <w:rPr>
                <w:sz w:val="22"/>
                <w:szCs w:val="22"/>
                <w:lang w:val="sr-Latn-ME" w:eastAsia="en-GB"/>
              </w:rPr>
              <w:t>, povraćanje,</w:t>
            </w:r>
            <w:r w:rsidRPr="008E586D">
              <w:rPr>
                <w:sz w:val="22"/>
                <w:szCs w:val="22"/>
                <w:lang w:val="sr-Latn-ME" w:eastAsia="en-GB"/>
              </w:rPr>
              <w:t xml:space="preserve"> nauzeja</w:t>
            </w:r>
          </w:p>
        </w:tc>
      </w:tr>
      <w:tr w:rsidR="00016BCA" w:rsidRPr="008E586D" w:rsidTr="000F1999">
        <w:trPr>
          <w:tblCellSpacing w:w="0" w:type="dxa"/>
        </w:trPr>
        <w:tc>
          <w:tcPr>
            <w:tcW w:w="1700" w:type="pct"/>
            <w:vMerge/>
            <w:tcBorders>
              <w:left w:val="outset" w:sz="6" w:space="0" w:color="auto"/>
              <w:right w:val="outset" w:sz="6" w:space="0" w:color="auto"/>
            </w:tcBorders>
            <w:hideMark/>
          </w:tcPr>
          <w:p w:rsidR="00016BCA" w:rsidRPr="008E586D" w:rsidRDefault="00016BCA" w:rsidP="000F1999">
            <w:pPr>
              <w:rPr>
                <w:color w:val="FF0000"/>
                <w:sz w:val="22"/>
                <w:szCs w:val="22"/>
                <w:lang w:val="sr-Latn-ME" w:eastAsia="en-GB"/>
              </w:rPr>
            </w:pPr>
          </w:p>
        </w:tc>
        <w:tc>
          <w:tcPr>
            <w:tcW w:w="1650" w:type="pct"/>
            <w:tcBorders>
              <w:top w:val="outset" w:sz="6" w:space="0" w:color="auto"/>
              <w:left w:val="outset" w:sz="6" w:space="0" w:color="auto"/>
              <w:bottom w:val="outset" w:sz="6" w:space="0" w:color="auto"/>
              <w:right w:val="outset" w:sz="6" w:space="0" w:color="auto"/>
            </w:tcBorders>
            <w:hideMark/>
          </w:tcPr>
          <w:p w:rsidR="00016BCA" w:rsidRPr="008E586D" w:rsidRDefault="00016BCA" w:rsidP="000F1999">
            <w:pPr>
              <w:spacing w:before="100" w:beforeAutospacing="1" w:after="75"/>
              <w:rPr>
                <w:sz w:val="22"/>
                <w:szCs w:val="22"/>
                <w:lang w:val="sr-Latn-ME" w:eastAsia="en-GB"/>
              </w:rPr>
            </w:pPr>
            <w:r w:rsidRPr="008E586D">
              <w:rPr>
                <w:sz w:val="22"/>
                <w:szCs w:val="22"/>
                <w:lang w:val="sr-Latn-ME" w:eastAsia="en-GB"/>
              </w:rPr>
              <w:t xml:space="preserve">Često </w:t>
            </w:r>
          </w:p>
        </w:tc>
        <w:tc>
          <w:tcPr>
            <w:tcW w:w="1650" w:type="pct"/>
            <w:tcBorders>
              <w:top w:val="outset" w:sz="6" w:space="0" w:color="auto"/>
              <w:left w:val="outset" w:sz="6" w:space="0" w:color="auto"/>
              <w:bottom w:val="outset" w:sz="6" w:space="0" w:color="auto"/>
              <w:right w:val="outset" w:sz="6" w:space="0" w:color="auto"/>
            </w:tcBorders>
            <w:hideMark/>
          </w:tcPr>
          <w:p w:rsidR="00016BCA" w:rsidRPr="008E586D" w:rsidRDefault="00016BCA" w:rsidP="000F1999">
            <w:pPr>
              <w:spacing w:before="100" w:beforeAutospacing="1" w:after="75"/>
              <w:rPr>
                <w:sz w:val="22"/>
                <w:szCs w:val="22"/>
                <w:lang w:val="sr-Latn-ME" w:eastAsia="en-GB"/>
              </w:rPr>
            </w:pPr>
            <w:r w:rsidRPr="008E586D">
              <w:rPr>
                <w:sz w:val="22"/>
                <w:szCs w:val="22"/>
                <w:lang w:val="sr-Latn-ME" w:eastAsia="en-GB"/>
              </w:rPr>
              <w:t xml:space="preserve">Abdominalni bol, konstipacija </w:t>
            </w:r>
          </w:p>
        </w:tc>
      </w:tr>
      <w:tr w:rsidR="00016BCA" w:rsidRPr="008E586D" w:rsidTr="000F1999">
        <w:trPr>
          <w:tblCellSpacing w:w="0" w:type="dxa"/>
        </w:trPr>
        <w:tc>
          <w:tcPr>
            <w:tcW w:w="1700" w:type="pct"/>
            <w:tcBorders>
              <w:top w:val="outset" w:sz="6" w:space="0" w:color="auto"/>
              <w:left w:val="outset" w:sz="6" w:space="0" w:color="auto"/>
              <w:right w:val="outset" w:sz="6" w:space="0" w:color="auto"/>
            </w:tcBorders>
            <w:hideMark/>
          </w:tcPr>
          <w:p w:rsidR="00016BCA" w:rsidRPr="008E586D" w:rsidRDefault="00016BCA" w:rsidP="000F1999">
            <w:pPr>
              <w:spacing w:before="100" w:beforeAutospacing="1" w:after="75"/>
              <w:rPr>
                <w:color w:val="FF0000"/>
                <w:sz w:val="22"/>
                <w:szCs w:val="22"/>
                <w:lang w:val="sr-Latn-ME" w:eastAsia="en-GB"/>
              </w:rPr>
            </w:pPr>
            <w:r w:rsidRPr="008E586D">
              <w:rPr>
                <w:sz w:val="22"/>
                <w:szCs w:val="22"/>
                <w:lang w:val="sr-Latn-ME" w:eastAsia="en-GB"/>
              </w:rPr>
              <w:t>Hepatobilijarni poremećaji</w:t>
            </w:r>
          </w:p>
        </w:tc>
        <w:tc>
          <w:tcPr>
            <w:tcW w:w="1650" w:type="pct"/>
            <w:tcBorders>
              <w:top w:val="outset" w:sz="6" w:space="0" w:color="auto"/>
              <w:left w:val="outset" w:sz="6" w:space="0" w:color="auto"/>
              <w:bottom w:val="outset" w:sz="6" w:space="0" w:color="auto"/>
              <w:right w:val="outset" w:sz="6" w:space="0" w:color="auto"/>
            </w:tcBorders>
            <w:hideMark/>
          </w:tcPr>
          <w:p w:rsidR="00016BCA" w:rsidRPr="008E586D" w:rsidRDefault="00016BCA" w:rsidP="000F1999">
            <w:pPr>
              <w:spacing w:before="100" w:beforeAutospacing="1" w:after="75"/>
              <w:rPr>
                <w:sz w:val="22"/>
                <w:szCs w:val="22"/>
                <w:lang w:val="sr-Latn-ME" w:eastAsia="en-GB"/>
              </w:rPr>
            </w:pPr>
            <w:r w:rsidRPr="008E586D">
              <w:rPr>
                <w:sz w:val="22"/>
                <w:szCs w:val="22"/>
                <w:lang w:val="sr-Latn-ME" w:eastAsia="en-GB"/>
              </w:rPr>
              <w:t xml:space="preserve">Često </w:t>
            </w:r>
          </w:p>
        </w:tc>
        <w:tc>
          <w:tcPr>
            <w:tcW w:w="1650" w:type="pct"/>
            <w:tcBorders>
              <w:top w:val="outset" w:sz="6" w:space="0" w:color="auto"/>
              <w:left w:val="outset" w:sz="6" w:space="0" w:color="auto"/>
              <w:bottom w:val="outset" w:sz="6" w:space="0" w:color="auto"/>
              <w:right w:val="outset" w:sz="6" w:space="0" w:color="auto"/>
            </w:tcBorders>
            <w:hideMark/>
          </w:tcPr>
          <w:p w:rsidR="00016BCA" w:rsidRPr="008E586D" w:rsidRDefault="00016BCA" w:rsidP="000F1999">
            <w:pPr>
              <w:spacing w:before="100" w:beforeAutospacing="1" w:after="75"/>
              <w:rPr>
                <w:sz w:val="22"/>
                <w:szCs w:val="22"/>
                <w:lang w:val="sr-Latn-ME" w:eastAsia="en-GB"/>
              </w:rPr>
            </w:pPr>
            <w:r w:rsidRPr="008E586D">
              <w:rPr>
                <w:sz w:val="22"/>
                <w:szCs w:val="22"/>
                <w:lang w:val="sr-Latn-ME" w:eastAsia="en-GB"/>
              </w:rPr>
              <w:t>Povišene transaminaze (AST i ALT), povišen bilirubin, povišena alkalna fosfataza u krvi</w:t>
            </w:r>
          </w:p>
        </w:tc>
      </w:tr>
      <w:tr w:rsidR="00016BCA" w:rsidRPr="008E586D" w:rsidTr="000F1999">
        <w:trPr>
          <w:tblCellSpacing w:w="0" w:type="dxa"/>
        </w:trPr>
        <w:tc>
          <w:tcPr>
            <w:tcW w:w="1700" w:type="pct"/>
            <w:tcBorders>
              <w:top w:val="outset" w:sz="6" w:space="0" w:color="auto"/>
              <w:left w:val="outset" w:sz="6" w:space="0" w:color="auto"/>
              <w:right w:val="outset" w:sz="6" w:space="0" w:color="auto"/>
            </w:tcBorders>
            <w:hideMark/>
          </w:tcPr>
          <w:p w:rsidR="00016BCA" w:rsidRPr="008E586D" w:rsidRDefault="00016BCA" w:rsidP="000F1999">
            <w:pPr>
              <w:spacing w:before="100" w:beforeAutospacing="1" w:after="75"/>
              <w:rPr>
                <w:color w:val="FF0000"/>
                <w:sz w:val="22"/>
                <w:szCs w:val="22"/>
                <w:lang w:val="sr-Latn-ME" w:eastAsia="en-GB"/>
              </w:rPr>
            </w:pPr>
            <w:r w:rsidRPr="008E586D">
              <w:rPr>
                <w:sz w:val="22"/>
                <w:szCs w:val="22"/>
                <w:lang w:val="sr-Latn-ME" w:eastAsia="en-GB"/>
              </w:rPr>
              <w:t xml:space="preserve">Poremećaji kože i potkožnog tkiva </w:t>
            </w:r>
          </w:p>
        </w:tc>
        <w:tc>
          <w:tcPr>
            <w:tcW w:w="1650" w:type="pct"/>
            <w:tcBorders>
              <w:top w:val="outset" w:sz="6" w:space="0" w:color="auto"/>
              <w:left w:val="outset" w:sz="6" w:space="0" w:color="auto"/>
              <w:bottom w:val="outset" w:sz="6" w:space="0" w:color="auto"/>
              <w:right w:val="outset" w:sz="6" w:space="0" w:color="auto"/>
            </w:tcBorders>
            <w:hideMark/>
          </w:tcPr>
          <w:p w:rsidR="00016BCA" w:rsidRPr="008E586D" w:rsidRDefault="00016BCA" w:rsidP="000F1999">
            <w:pPr>
              <w:spacing w:before="100" w:beforeAutospacing="1" w:after="75"/>
              <w:rPr>
                <w:sz w:val="22"/>
                <w:szCs w:val="22"/>
                <w:lang w:val="sr-Latn-ME" w:eastAsia="en-GB"/>
              </w:rPr>
            </w:pPr>
            <w:r w:rsidRPr="008E586D">
              <w:rPr>
                <w:sz w:val="22"/>
                <w:szCs w:val="22"/>
                <w:lang w:val="sr-Latn-ME" w:eastAsia="en-GB"/>
              </w:rPr>
              <w:t xml:space="preserve">Veoma često </w:t>
            </w:r>
          </w:p>
        </w:tc>
        <w:tc>
          <w:tcPr>
            <w:tcW w:w="1650" w:type="pct"/>
            <w:tcBorders>
              <w:top w:val="outset" w:sz="6" w:space="0" w:color="auto"/>
              <w:left w:val="outset" w:sz="6" w:space="0" w:color="auto"/>
              <w:bottom w:val="outset" w:sz="6" w:space="0" w:color="auto"/>
              <w:right w:val="outset" w:sz="6" w:space="0" w:color="auto"/>
            </w:tcBorders>
            <w:hideMark/>
          </w:tcPr>
          <w:p w:rsidR="00016BCA" w:rsidRPr="008E586D" w:rsidRDefault="00016BCA" w:rsidP="000F1999">
            <w:pPr>
              <w:spacing w:before="100" w:beforeAutospacing="1" w:after="75"/>
              <w:rPr>
                <w:sz w:val="22"/>
                <w:szCs w:val="22"/>
                <w:lang w:val="sr-Latn-ME" w:eastAsia="en-GB"/>
              </w:rPr>
            </w:pPr>
            <w:r w:rsidRPr="008E586D">
              <w:rPr>
                <w:sz w:val="22"/>
                <w:szCs w:val="22"/>
                <w:lang w:val="sr-Latn-ME" w:eastAsia="en-GB"/>
              </w:rPr>
              <w:t>Alopecija (reverzibilna)</w:t>
            </w:r>
          </w:p>
          <w:p w:rsidR="00016BCA" w:rsidRPr="008E586D" w:rsidRDefault="00016BCA" w:rsidP="000F1999">
            <w:pPr>
              <w:spacing w:before="100" w:beforeAutospacing="1" w:after="75"/>
              <w:rPr>
                <w:sz w:val="22"/>
                <w:szCs w:val="22"/>
                <w:lang w:val="sr-Latn-ME" w:eastAsia="en-GB"/>
              </w:rPr>
            </w:pPr>
          </w:p>
        </w:tc>
      </w:tr>
      <w:tr w:rsidR="00016BCA" w:rsidRPr="008E586D" w:rsidTr="000F1999">
        <w:trPr>
          <w:tblCellSpacing w:w="0" w:type="dxa"/>
        </w:trPr>
        <w:tc>
          <w:tcPr>
            <w:tcW w:w="1700" w:type="pct"/>
            <w:vMerge w:val="restart"/>
            <w:tcBorders>
              <w:top w:val="outset" w:sz="6" w:space="0" w:color="auto"/>
              <w:left w:val="outset" w:sz="6" w:space="0" w:color="auto"/>
              <w:right w:val="outset" w:sz="6" w:space="0" w:color="auto"/>
            </w:tcBorders>
            <w:hideMark/>
          </w:tcPr>
          <w:p w:rsidR="00016BCA" w:rsidRPr="008E586D" w:rsidRDefault="00016BCA" w:rsidP="000F1999">
            <w:pPr>
              <w:spacing w:before="100" w:beforeAutospacing="1" w:after="75"/>
              <w:rPr>
                <w:color w:val="FF0000"/>
                <w:sz w:val="22"/>
                <w:szCs w:val="22"/>
                <w:lang w:val="sr-Latn-ME" w:eastAsia="en-GB"/>
              </w:rPr>
            </w:pPr>
            <w:r w:rsidRPr="008E586D">
              <w:rPr>
                <w:sz w:val="22"/>
                <w:szCs w:val="22"/>
                <w:lang w:val="sr-Latn-ME" w:eastAsia="en-GB"/>
              </w:rPr>
              <w:t xml:space="preserve">Opšti poremećaji i reakcije na mjestu primjene </w:t>
            </w:r>
          </w:p>
        </w:tc>
        <w:tc>
          <w:tcPr>
            <w:tcW w:w="1650" w:type="pct"/>
            <w:tcBorders>
              <w:top w:val="outset" w:sz="6" w:space="0" w:color="auto"/>
              <w:left w:val="outset" w:sz="6" w:space="0" w:color="auto"/>
              <w:bottom w:val="outset" w:sz="6" w:space="0" w:color="auto"/>
              <w:right w:val="outset" w:sz="6" w:space="0" w:color="auto"/>
            </w:tcBorders>
            <w:hideMark/>
          </w:tcPr>
          <w:p w:rsidR="00016BCA" w:rsidRPr="008E586D" w:rsidRDefault="00016BCA" w:rsidP="000F1999">
            <w:pPr>
              <w:spacing w:before="100" w:beforeAutospacing="1" w:after="75"/>
              <w:rPr>
                <w:sz w:val="22"/>
                <w:szCs w:val="22"/>
                <w:lang w:val="sr-Latn-ME" w:eastAsia="en-GB"/>
              </w:rPr>
            </w:pPr>
            <w:r w:rsidRPr="008E586D">
              <w:rPr>
                <w:sz w:val="22"/>
                <w:szCs w:val="22"/>
                <w:lang w:val="sr-Latn-ME" w:eastAsia="en-GB"/>
              </w:rPr>
              <w:t xml:space="preserve">Veoma često </w:t>
            </w:r>
          </w:p>
        </w:tc>
        <w:tc>
          <w:tcPr>
            <w:tcW w:w="1650" w:type="pct"/>
            <w:tcBorders>
              <w:top w:val="outset" w:sz="6" w:space="0" w:color="auto"/>
              <w:left w:val="outset" w:sz="6" w:space="0" w:color="auto"/>
              <w:bottom w:val="outset" w:sz="6" w:space="0" w:color="auto"/>
              <w:right w:val="outset" w:sz="6" w:space="0" w:color="auto"/>
            </w:tcBorders>
            <w:hideMark/>
          </w:tcPr>
          <w:p w:rsidR="00016BCA" w:rsidRPr="008E586D" w:rsidRDefault="00016BCA" w:rsidP="000F1999">
            <w:pPr>
              <w:spacing w:before="100" w:beforeAutospacing="1" w:after="75"/>
              <w:rPr>
                <w:sz w:val="22"/>
                <w:szCs w:val="22"/>
                <w:lang w:val="sr-Latn-ME" w:eastAsia="en-GB"/>
              </w:rPr>
            </w:pPr>
            <w:r w:rsidRPr="008E586D">
              <w:rPr>
                <w:sz w:val="22"/>
                <w:szCs w:val="22"/>
                <w:lang w:val="sr-Latn-ME" w:eastAsia="en-GB"/>
              </w:rPr>
              <w:t>Upala sluzokože, astenija</w:t>
            </w:r>
          </w:p>
        </w:tc>
      </w:tr>
      <w:tr w:rsidR="00016BCA" w:rsidRPr="008E586D" w:rsidTr="000F1999">
        <w:trPr>
          <w:tblCellSpacing w:w="0" w:type="dxa"/>
        </w:trPr>
        <w:tc>
          <w:tcPr>
            <w:tcW w:w="1700" w:type="pct"/>
            <w:vMerge/>
            <w:tcBorders>
              <w:left w:val="outset" w:sz="6" w:space="0" w:color="auto"/>
              <w:bottom w:val="outset" w:sz="6" w:space="0" w:color="auto"/>
              <w:right w:val="outset" w:sz="6" w:space="0" w:color="auto"/>
            </w:tcBorders>
            <w:hideMark/>
          </w:tcPr>
          <w:p w:rsidR="00016BCA" w:rsidRPr="008E586D" w:rsidRDefault="00016BCA" w:rsidP="000F1999">
            <w:pPr>
              <w:rPr>
                <w:color w:val="FF0000"/>
                <w:sz w:val="22"/>
                <w:szCs w:val="22"/>
                <w:lang w:val="sr-Latn-ME" w:eastAsia="en-GB"/>
              </w:rPr>
            </w:pPr>
          </w:p>
        </w:tc>
        <w:tc>
          <w:tcPr>
            <w:tcW w:w="1650" w:type="pct"/>
            <w:tcBorders>
              <w:top w:val="outset" w:sz="6" w:space="0" w:color="auto"/>
              <w:left w:val="outset" w:sz="6" w:space="0" w:color="auto"/>
              <w:bottom w:val="outset" w:sz="6" w:space="0" w:color="auto"/>
              <w:right w:val="outset" w:sz="6" w:space="0" w:color="auto"/>
            </w:tcBorders>
            <w:hideMark/>
          </w:tcPr>
          <w:p w:rsidR="00016BCA" w:rsidRPr="008E586D" w:rsidRDefault="00016BCA" w:rsidP="0046645A">
            <w:pPr>
              <w:spacing w:before="100" w:beforeAutospacing="1" w:after="75"/>
              <w:rPr>
                <w:sz w:val="22"/>
                <w:szCs w:val="22"/>
                <w:lang w:val="sr-Latn-ME" w:eastAsia="en-GB"/>
              </w:rPr>
            </w:pPr>
            <w:r w:rsidRPr="008E586D">
              <w:rPr>
                <w:sz w:val="22"/>
                <w:szCs w:val="22"/>
                <w:lang w:val="sr-Latn-ME" w:eastAsia="en-GB"/>
              </w:rPr>
              <w:t>Često</w:t>
            </w:r>
          </w:p>
        </w:tc>
        <w:tc>
          <w:tcPr>
            <w:tcW w:w="1650" w:type="pct"/>
            <w:tcBorders>
              <w:top w:val="outset" w:sz="6" w:space="0" w:color="auto"/>
              <w:left w:val="outset" w:sz="6" w:space="0" w:color="auto"/>
              <w:bottom w:val="outset" w:sz="6" w:space="0" w:color="auto"/>
              <w:right w:val="outset" w:sz="6" w:space="0" w:color="auto"/>
            </w:tcBorders>
            <w:hideMark/>
          </w:tcPr>
          <w:p w:rsidR="00016BCA" w:rsidRPr="008E586D" w:rsidRDefault="00016BCA" w:rsidP="000F1999">
            <w:pPr>
              <w:spacing w:before="100" w:beforeAutospacing="1" w:after="75"/>
              <w:rPr>
                <w:sz w:val="22"/>
                <w:szCs w:val="22"/>
                <w:lang w:val="sr-Latn-ME" w:eastAsia="en-GB"/>
              </w:rPr>
            </w:pPr>
            <w:r w:rsidRPr="008E586D">
              <w:rPr>
                <w:sz w:val="22"/>
                <w:szCs w:val="22"/>
                <w:lang w:val="sr-Latn-ME" w:eastAsia="en-GB"/>
              </w:rPr>
              <w:t>Pireksija</w:t>
            </w:r>
          </w:p>
        </w:tc>
      </w:tr>
    </w:tbl>
    <w:p w:rsidR="00016BCA" w:rsidRPr="008E586D" w:rsidRDefault="00016BCA" w:rsidP="00016BCA">
      <w:pPr>
        <w:autoSpaceDE w:val="0"/>
        <w:autoSpaceDN w:val="0"/>
        <w:adjustRightInd w:val="0"/>
        <w:jc w:val="both"/>
        <w:rPr>
          <w:rFonts w:eastAsia="TimesNewRoman"/>
          <w:sz w:val="22"/>
          <w:szCs w:val="22"/>
          <w:lang w:val="sr-Latn-ME" w:eastAsia="sr-Latn-ME"/>
        </w:rPr>
      </w:pPr>
    </w:p>
    <w:p w:rsidR="00016BCA" w:rsidRPr="008E586D" w:rsidRDefault="00016BCA" w:rsidP="00016BCA">
      <w:pPr>
        <w:autoSpaceDE w:val="0"/>
        <w:autoSpaceDN w:val="0"/>
        <w:adjustRightInd w:val="0"/>
        <w:jc w:val="both"/>
        <w:rPr>
          <w:rFonts w:eastAsia="TimesNewRoman,Bold"/>
          <w:b/>
          <w:bCs/>
          <w:sz w:val="22"/>
          <w:szCs w:val="22"/>
          <w:lang w:val="sr-Latn-ME" w:eastAsia="sr-Latn-ME"/>
        </w:rPr>
      </w:pPr>
      <w:r w:rsidRPr="008E586D">
        <w:rPr>
          <w:rFonts w:eastAsia="TimesNewRoman,Bold"/>
          <w:b/>
          <w:bCs/>
          <w:sz w:val="22"/>
          <w:szCs w:val="22"/>
          <w:lang w:val="sr-Latn-ME" w:eastAsia="sr-Latn-ME"/>
        </w:rPr>
        <w:t>Opis odabranih neželjenih reakcija (kombinovana terapija)</w:t>
      </w:r>
    </w:p>
    <w:p w:rsidR="00E52D4C" w:rsidRPr="008E586D" w:rsidRDefault="00E52D4C" w:rsidP="00016BCA">
      <w:pPr>
        <w:autoSpaceDE w:val="0"/>
        <w:autoSpaceDN w:val="0"/>
        <w:adjustRightInd w:val="0"/>
        <w:jc w:val="both"/>
        <w:rPr>
          <w:rFonts w:eastAsia="TimesNewRoman,Bold"/>
          <w:b/>
          <w:bCs/>
          <w:sz w:val="22"/>
          <w:szCs w:val="22"/>
          <w:lang w:val="sr-Latn-ME" w:eastAsia="sr-Latn-ME"/>
        </w:rPr>
      </w:pPr>
    </w:p>
    <w:p w:rsidR="00016BCA" w:rsidRPr="008E586D" w:rsidRDefault="00016BCA" w:rsidP="00016BCA">
      <w:pPr>
        <w:autoSpaceDE w:val="0"/>
        <w:autoSpaceDN w:val="0"/>
        <w:adjustRightInd w:val="0"/>
        <w:jc w:val="both"/>
        <w:rPr>
          <w:rFonts w:eastAsia="TimesNewRoman"/>
          <w:sz w:val="22"/>
          <w:szCs w:val="22"/>
          <w:lang w:val="sr-Latn-ME" w:eastAsia="sr-Latn-ME"/>
        </w:rPr>
      </w:pPr>
      <w:r w:rsidRPr="008E586D">
        <w:rPr>
          <w:rFonts w:eastAsia="TimesNewRoman,Bold"/>
          <w:b/>
          <w:bCs/>
          <w:sz w:val="22"/>
          <w:szCs w:val="22"/>
          <w:lang w:val="sr-Latn-ME" w:eastAsia="sr-Latn-ME"/>
        </w:rPr>
        <w:t xml:space="preserve">Teška dijareja </w:t>
      </w:r>
      <w:r w:rsidRPr="008E586D">
        <w:rPr>
          <w:rFonts w:eastAsia="TimesNewRoman"/>
          <w:sz w:val="22"/>
          <w:szCs w:val="22"/>
          <w:lang w:val="sr-Latn-ME" w:eastAsia="sr-Latn-ME"/>
        </w:rPr>
        <w:t>zabilježena je kod 13,1% pacijenata koji su sl</w:t>
      </w:r>
      <w:r w:rsidR="00E52D4C" w:rsidRPr="008E586D">
        <w:rPr>
          <w:rFonts w:eastAsia="TimesNewRoman"/>
          <w:sz w:val="22"/>
          <w:szCs w:val="22"/>
          <w:lang w:val="sr-Latn-ME" w:eastAsia="sr-Latn-ME"/>
        </w:rPr>
        <w:t>ij</w:t>
      </w:r>
      <w:r w:rsidRPr="008E586D">
        <w:rPr>
          <w:rFonts w:eastAsia="TimesNewRoman"/>
          <w:sz w:val="22"/>
          <w:szCs w:val="22"/>
          <w:lang w:val="sr-Latn-ME" w:eastAsia="sr-Latn-ME"/>
        </w:rPr>
        <w:t>edili preporuke za zbrinjavanje dijareje. Od ciklusa koji su se mogli procijeniti, 3,9% je imalo tešku dijareju.</w:t>
      </w:r>
    </w:p>
    <w:p w:rsidR="00E52D4C" w:rsidRPr="008E586D" w:rsidRDefault="00E52D4C" w:rsidP="00016BCA">
      <w:pPr>
        <w:autoSpaceDE w:val="0"/>
        <w:autoSpaceDN w:val="0"/>
        <w:adjustRightInd w:val="0"/>
        <w:jc w:val="both"/>
        <w:rPr>
          <w:rFonts w:eastAsia="TimesNewRoman"/>
          <w:sz w:val="22"/>
          <w:szCs w:val="22"/>
          <w:lang w:val="sr-Latn-ME" w:eastAsia="sr-Latn-ME"/>
        </w:rPr>
      </w:pPr>
    </w:p>
    <w:p w:rsidR="00016BCA" w:rsidRPr="008E586D" w:rsidRDefault="00016BCA" w:rsidP="00016BCA">
      <w:pPr>
        <w:autoSpaceDE w:val="0"/>
        <w:autoSpaceDN w:val="0"/>
        <w:adjustRightInd w:val="0"/>
        <w:jc w:val="both"/>
        <w:rPr>
          <w:rFonts w:eastAsia="TimesNewRoman"/>
          <w:sz w:val="22"/>
          <w:szCs w:val="22"/>
          <w:lang w:val="sr-Latn-ME" w:eastAsia="sr-Latn-ME"/>
        </w:rPr>
      </w:pPr>
      <w:r w:rsidRPr="008E586D">
        <w:rPr>
          <w:rFonts w:eastAsia="TimesNewRoman"/>
          <w:sz w:val="22"/>
          <w:szCs w:val="22"/>
          <w:lang w:val="sr-Latn-ME" w:eastAsia="sr-Latn-ME"/>
        </w:rPr>
        <w:t xml:space="preserve">Zabilježena je manja incidencija teške </w:t>
      </w:r>
      <w:r w:rsidRPr="008E586D">
        <w:rPr>
          <w:rFonts w:eastAsia="TimesNewRoman,Bold"/>
          <w:b/>
          <w:bCs/>
          <w:sz w:val="22"/>
          <w:szCs w:val="22"/>
          <w:lang w:val="sr-Latn-ME" w:eastAsia="sr-Latn-ME"/>
        </w:rPr>
        <w:t xml:space="preserve">mučnine </w:t>
      </w:r>
      <w:r w:rsidRPr="008E586D">
        <w:rPr>
          <w:rFonts w:eastAsia="TimesNewRoman"/>
          <w:sz w:val="22"/>
          <w:szCs w:val="22"/>
          <w:lang w:val="sr-Latn-ME" w:eastAsia="sr-Latn-ME"/>
        </w:rPr>
        <w:t xml:space="preserve">(2,1% pacijenata) i </w:t>
      </w:r>
      <w:r w:rsidRPr="008E586D">
        <w:rPr>
          <w:rFonts w:eastAsia="TimesNewRoman,Bold"/>
          <w:b/>
          <w:bCs/>
          <w:sz w:val="22"/>
          <w:szCs w:val="22"/>
          <w:lang w:val="sr-Latn-ME" w:eastAsia="sr-Latn-ME"/>
        </w:rPr>
        <w:t xml:space="preserve">povraćanja </w:t>
      </w:r>
      <w:r w:rsidRPr="008E586D">
        <w:rPr>
          <w:rFonts w:eastAsia="TimesNewRoman"/>
          <w:sz w:val="22"/>
          <w:szCs w:val="22"/>
          <w:lang w:val="sr-Latn-ME" w:eastAsia="sr-Latn-ME"/>
        </w:rPr>
        <w:t>(2,8% pacijenata).</w:t>
      </w:r>
    </w:p>
    <w:p w:rsidR="00E52D4C" w:rsidRPr="008E586D" w:rsidRDefault="00E52D4C" w:rsidP="00016BCA">
      <w:pPr>
        <w:autoSpaceDE w:val="0"/>
        <w:autoSpaceDN w:val="0"/>
        <w:adjustRightInd w:val="0"/>
        <w:jc w:val="both"/>
        <w:rPr>
          <w:rFonts w:eastAsia="TimesNewRoman"/>
          <w:sz w:val="22"/>
          <w:szCs w:val="22"/>
          <w:lang w:val="sr-Latn-ME" w:eastAsia="sr-Latn-ME"/>
        </w:rPr>
      </w:pPr>
    </w:p>
    <w:p w:rsidR="00016BCA" w:rsidRPr="008E586D" w:rsidRDefault="00016BCA" w:rsidP="00016BCA">
      <w:pPr>
        <w:autoSpaceDE w:val="0"/>
        <w:autoSpaceDN w:val="0"/>
        <w:adjustRightInd w:val="0"/>
        <w:jc w:val="both"/>
        <w:rPr>
          <w:rFonts w:eastAsia="TimesNewRoman"/>
          <w:sz w:val="22"/>
          <w:szCs w:val="22"/>
          <w:lang w:val="sr-Latn-ME" w:eastAsia="sr-Latn-ME"/>
        </w:rPr>
      </w:pPr>
      <w:r w:rsidRPr="008E586D">
        <w:rPr>
          <w:rFonts w:eastAsia="TimesNewRoman"/>
          <w:sz w:val="22"/>
          <w:szCs w:val="22"/>
          <w:lang w:val="sr-Latn-ME" w:eastAsia="sr-Latn-ME"/>
        </w:rPr>
        <w:t xml:space="preserve">Zabilježena je pojava </w:t>
      </w:r>
      <w:r w:rsidRPr="008E586D">
        <w:rPr>
          <w:rFonts w:eastAsia="TimesNewRoman,Bold"/>
          <w:b/>
          <w:bCs/>
          <w:sz w:val="22"/>
          <w:szCs w:val="22"/>
          <w:lang w:val="sr-Latn-ME" w:eastAsia="sr-Latn-ME"/>
        </w:rPr>
        <w:t xml:space="preserve">konstipacije </w:t>
      </w:r>
      <w:r w:rsidRPr="008E586D">
        <w:rPr>
          <w:rFonts w:eastAsia="TimesNewRoman"/>
          <w:sz w:val="22"/>
          <w:szCs w:val="22"/>
          <w:lang w:val="sr-Latn-ME" w:eastAsia="sr-Latn-ME"/>
        </w:rPr>
        <w:t>koja se odnosi na lijek Irinotecan Accord i loperamid kod 3,4% pacijenata.</w:t>
      </w:r>
    </w:p>
    <w:p w:rsidR="00016BCA" w:rsidRPr="008E586D" w:rsidRDefault="00016BCA" w:rsidP="00016BCA">
      <w:pPr>
        <w:autoSpaceDE w:val="0"/>
        <w:autoSpaceDN w:val="0"/>
        <w:adjustRightInd w:val="0"/>
        <w:jc w:val="both"/>
        <w:rPr>
          <w:rFonts w:eastAsia="TimesNewRoman"/>
          <w:sz w:val="22"/>
          <w:szCs w:val="22"/>
          <w:lang w:val="sr-Latn-ME" w:eastAsia="sr-Latn-ME"/>
        </w:rPr>
      </w:pPr>
      <w:r w:rsidRPr="008E586D">
        <w:rPr>
          <w:rFonts w:eastAsia="TimesNewRoman,Bold"/>
          <w:b/>
          <w:bCs/>
          <w:sz w:val="22"/>
          <w:szCs w:val="22"/>
          <w:lang w:val="sr-Latn-ME" w:eastAsia="sr-Latn-ME"/>
        </w:rPr>
        <w:t xml:space="preserve">Neutropenija </w:t>
      </w:r>
      <w:r w:rsidRPr="008E586D">
        <w:rPr>
          <w:rFonts w:eastAsia="TimesNewRoman"/>
          <w:sz w:val="22"/>
          <w:szCs w:val="22"/>
          <w:lang w:val="sr-Latn-ME" w:eastAsia="sr-Latn-ME"/>
        </w:rPr>
        <w:t>je opisana kod 82,5% pacijenata i bila je teška (broj neutrofila &lt;500 ćelija/mm</w:t>
      </w:r>
      <w:r w:rsidRPr="008E586D">
        <w:rPr>
          <w:rFonts w:eastAsia="TimesNewRoman"/>
          <w:sz w:val="22"/>
          <w:szCs w:val="22"/>
          <w:vertAlign w:val="superscript"/>
          <w:lang w:val="sr-Latn-ME" w:eastAsia="sr-Latn-ME"/>
        </w:rPr>
        <w:t>3</w:t>
      </w:r>
      <w:r w:rsidRPr="008E586D">
        <w:rPr>
          <w:rFonts w:eastAsia="TimesNewRoman"/>
          <w:sz w:val="22"/>
          <w:szCs w:val="22"/>
          <w:lang w:val="sr-Latn-ME" w:eastAsia="sr-Latn-ME"/>
        </w:rPr>
        <w:t>) kod 9,8% pacijenata. Od ciklusa koji su se mogli procijeniti, broj neutrofila kod 67,3% bio je manji od 1000 ćelija/mm</w:t>
      </w:r>
      <w:r w:rsidRPr="008E586D">
        <w:rPr>
          <w:rFonts w:eastAsia="TimesNewRoman"/>
          <w:sz w:val="22"/>
          <w:szCs w:val="22"/>
          <w:vertAlign w:val="superscript"/>
          <w:lang w:val="sr-Latn-ME" w:eastAsia="sr-Latn-ME"/>
        </w:rPr>
        <w:t>3</w:t>
      </w:r>
      <w:r w:rsidRPr="008E586D">
        <w:rPr>
          <w:rFonts w:eastAsia="TimesNewRoman"/>
          <w:sz w:val="22"/>
          <w:szCs w:val="22"/>
          <w:lang w:val="sr-Latn-ME" w:eastAsia="sr-Latn-ME"/>
        </w:rPr>
        <w:t>, među kojima je i 2,7% sa brojem neutrofila koji je manji od 500 ćelija/mm</w:t>
      </w:r>
      <w:r w:rsidRPr="008E586D">
        <w:rPr>
          <w:rFonts w:eastAsia="TimesNewRoman"/>
          <w:sz w:val="22"/>
          <w:szCs w:val="22"/>
          <w:vertAlign w:val="superscript"/>
          <w:lang w:val="sr-Latn-ME" w:eastAsia="sr-Latn-ME"/>
        </w:rPr>
        <w:t>3</w:t>
      </w:r>
      <w:r w:rsidRPr="008E586D">
        <w:rPr>
          <w:rFonts w:eastAsia="TimesNewRoman"/>
          <w:sz w:val="22"/>
          <w:szCs w:val="22"/>
          <w:lang w:val="sr-Latn-ME" w:eastAsia="sr-Latn-ME"/>
        </w:rPr>
        <w:t>. Do potpunog oporavka dolazilo je tokom 7-8 dana.</w:t>
      </w:r>
    </w:p>
    <w:p w:rsidR="00E52D4C" w:rsidRPr="008E586D" w:rsidRDefault="00E52D4C" w:rsidP="00016BCA">
      <w:pPr>
        <w:autoSpaceDE w:val="0"/>
        <w:autoSpaceDN w:val="0"/>
        <w:adjustRightInd w:val="0"/>
        <w:jc w:val="both"/>
        <w:rPr>
          <w:rFonts w:eastAsia="TimesNewRoman"/>
          <w:sz w:val="22"/>
          <w:szCs w:val="22"/>
          <w:lang w:val="sr-Latn-ME" w:eastAsia="sr-Latn-ME"/>
        </w:rPr>
      </w:pPr>
    </w:p>
    <w:p w:rsidR="00016BCA" w:rsidRPr="008E586D" w:rsidRDefault="00E325FC" w:rsidP="00016BCA">
      <w:pPr>
        <w:autoSpaceDE w:val="0"/>
        <w:autoSpaceDN w:val="0"/>
        <w:adjustRightInd w:val="0"/>
        <w:jc w:val="both"/>
        <w:rPr>
          <w:rFonts w:eastAsia="TimesNewRoman"/>
          <w:sz w:val="22"/>
          <w:szCs w:val="22"/>
          <w:lang w:val="sr-Latn-ME" w:eastAsia="sr-Latn-ME"/>
        </w:rPr>
      </w:pPr>
      <w:r w:rsidRPr="008E586D">
        <w:rPr>
          <w:rFonts w:eastAsia="TimesNewRoman,Bold"/>
          <w:b/>
          <w:bCs/>
          <w:sz w:val="22"/>
          <w:szCs w:val="22"/>
          <w:lang w:val="sr-Latn-ME" w:eastAsia="sr-Latn-ME"/>
        </w:rPr>
        <w:t>Febrilna neutropenija</w:t>
      </w:r>
      <w:r w:rsidRPr="008E586D" w:rsidDel="00E325FC">
        <w:rPr>
          <w:rFonts w:eastAsia="TimesNewRoman,Bold"/>
          <w:b/>
          <w:bCs/>
          <w:sz w:val="22"/>
          <w:szCs w:val="22"/>
          <w:lang w:val="sr-Latn-ME" w:eastAsia="sr-Latn-ME"/>
        </w:rPr>
        <w:t xml:space="preserve"> </w:t>
      </w:r>
      <w:r w:rsidR="00016BCA" w:rsidRPr="008E586D">
        <w:rPr>
          <w:rFonts w:eastAsia="TimesNewRoman"/>
          <w:sz w:val="22"/>
          <w:szCs w:val="22"/>
          <w:lang w:val="sr-Latn-ME" w:eastAsia="sr-Latn-ME"/>
        </w:rPr>
        <w:t>opisana je kod 3,4% pacijenata i u 0,9% ciklusa.</w:t>
      </w:r>
    </w:p>
    <w:p w:rsidR="00E52D4C" w:rsidRPr="008E586D" w:rsidRDefault="00E52D4C" w:rsidP="00016BCA">
      <w:pPr>
        <w:autoSpaceDE w:val="0"/>
        <w:autoSpaceDN w:val="0"/>
        <w:adjustRightInd w:val="0"/>
        <w:jc w:val="both"/>
        <w:rPr>
          <w:rFonts w:eastAsia="TimesNewRoman"/>
          <w:sz w:val="22"/>
          <w:szCs w:val="22"/>
          <w:lang w:val="sr-Latn-ME" w:eastAsia="sr-Latn-ME"/>
        </w:rPr>
      </w:pPr>
    </w:p>
    <w:p w:rsidR="00016BCA" w:rsidRPr="008E586D" w:rsidRDefault="00016BCA" w:rsidP="00016BCA">
      <w:pPr>
        <w:autoSpaceDE w:val="0"/>
        <w:autoSpaceDN w:val="0"/>
        <w:adjustRightInd w:val="0"/>
        <w:jc w:val="both"/>
        <w:rPr>
          <w:rFonts w:eastAsia="TimesNewRoman"/>
          <w:sz w:val="22"/>
          <w:szCs w:val="22"/>
          <w:lang w:val="sr-Latn-ME" w:eastAsia="sr-Latn-ME"/>
        </w:rPr>
      </w:pPr>
      <w:r w:rsidRPr="008E586D">
        <w:rPr>
          <w:rFonts w:eastAsia="TimesNewRoman,Bold"/>
          <w:bCs/>
          <w:sz w:val="22"/>
          <w:szCs w:val="22"/>
          <w:lang w:val="sr-Latn-ME" w:eastAsia="sr-Latn-ME"/>
        </w:rPr>
        <w:t>Infektivne epizode</w:t>
      </w:r>
      <w:r w:rsidRPr="008E586D">
        <w:rPr>
          <w:rFonts w:eastAsia="TimesNewRoman,Bold"/>
          <w:b/>
          <w:bCs/>
          <w:sz w:val="22"/>
          <w:szCs w:val="22"/>
          <w:lang w:val="sr-Latn-ME" w:eastAsia="sr-Latn-ME"/>
        </w:rPr>
        <w:t xml:space="preserve"> </w:t>
      </w:r>
      <w:r w:rsidRPr="008E586D">
        <w:rPr>
          <w:rFonts w:eastAsia="TimesNewRoman"/>
          <w:sz w:val="22"/>
          <w:szCs w:val="22"/>
          <w:lang w:val="sr-Latn-ME" w:eastAsia="sr-Latn-ME"/>
        </w:rPr>
        <w:t>dešavale su se kod približno 2% pacijenata (0,5% ciklusa), bile su udružene sa teškom neutropenijom kod oko 2,1% pacijenata (0,5% ciklusa) i završile su se smrtnim ishodom u jednom slučaju.</w:t>
      </w:r>
    </w:p>
    <w:p w:rsidR="00E52D4C" w:rsidRPr="008E586D" w:rsidRDefault="00E52D4C" w:rsidP="00016BCA">
      <w:pPr>
        <w:autoSpaceDE w:val="0"/>
        <w:autoSpaceDN w:val="0"/>
        <w:adjustRightInd w:val="0"/>
        <w:jc w:val="both"/>
        <w:rPr>
          <w:rFonts w:eastAsia="TimesNewRoman"/>
          <w:sz w:val="22"/>
          <w:szCs w:val="22"/>
          <w:lang w:val="sr-Latn-ME" w:eastAsia="sr-Latn-ME"/>
        </w:rPr>
      </w:pPr>
    </w:p>
    <w:p w:rsidR="00016BCA" w:rsidRPr="008E586D" w:rsidRDefault="00016BCA" w:rsidP="00016BCA">
      <w:pPr>
        <w:autoSpaceDE w:val="0"/>
        <w:autoSpaceDN w:val="0"/>
        <w:adjustRightInd w:val="0"/>
        <w:jc w:val="both"/>
        <w:rPr>
          <w:rFonts w:eastAsia="TimesNewRoman"/>
          <w:sz w:val="22"/>
          <w:szCs w:val="22"/>
          <w:lang w:val="sr-Latn-ME" w:eastAsia="sr-Latn-ME"/>
        </w:rPr>
      </w:pPr>
      <w:r w:rsidRPr="008E586D">
        <w:rPr>
          <w:rFonts w:eastAsia="TimesNewRoman,Bold"/>
          <w:b/>
          <w:bCs/>
          <w:sz w:val="22"/>
          <w:szCs w:val="22"/>
          <w:lang w:val="sr-Latn-ME" w:eastAsia="sr-Latn-ME"/>
        </w:rPr>
        <w:t xml:space="preserve">Anemija </w:t>
      </w:r>
      <w:r w:rsidRPr="008E586D">
        <w:rPr>
          <w:rFonts w:eastAsia="TimesNewRoman"/>
          <w:sz w:val="22"/>
          <w:szCs w:val="22"/>
          <w:lang w:val="sr-Latn-ME" w:eastAsia="sr-Latn-ME"/>
        </w:rPr>
        <w:t>je opisana kod 97,2% pacijenata (2,1% sa hemoglobinom &lt;8 g/dl).</w:t>
      </w:r>
    </w:p>
    <w:p w:rsidR="00E52D4C" w:rsidRPr="008E586D" w:rsidRDefault="00E52D4C" w:rsidP="00016BCA">
      <w:pPr>
        <w:autoSpaceDE w:val="0"/>
        <w:autoSpaceDN w:val="0"/>
        <w:adjustRightInd w:val="0"/>
        <w:jc w:val="both"/>
        <w:rPr>
          <w:rFonts w:eastAsia="TimesNewRoman"/>
          <w:sz w:val="22"/>
          <w:szCs w:val="22"/>
          <w:lang w:val="sr-Latn-ME" w:eastAsia="sr-Latn-ME"/>
        </w:rPr>
      </w:pPr>
    </w:p>
    <w:p w:rsidR="00016BCA" w:rsidRPr="008E586D" w:rsidRDefault="00016BCA" w:rsidP="00016BCA">
      <w:pPr>
        <w:autoSpaceDE w:val="0"/>
        <w:autoSpaceDN w:val="0"/>
        <w:adjustRightInd w:val="0"/>
        <w:jc w:val="both"/>
        <w:rPr>
          <w:rFonts w:eastAsia="TimesNewRoman"/>
          <w:sz w:val="22"/>
          <w:szCs w:val="22"/>
          <w:lang w:val="sr-Latn-ME" w:eastAsia="sr-Latn-ME"/>
        </w:rPr>
      </w:pPr>
      <w:r w:rsidRPr="008E586D">
        <w:rPr>
          <w:rFonts w:eastAsia="TimesNewRoman,Bold"/>
          <w:b/>
          <w:bCs/>
          <w:sz w:val="22"/>
          <w:szCs w:val="22"/>
          <w:lang w:val="sr-Latn-ME" w:eastAsia="sr-Latn-ME"/>
        </w:rPr>
        <w:t xml:space="preserve">Trombocitopenija </w:t>
      </w:r>
      <w:r w:rsidRPr="008E586D">
        <w:rPr>
          <w:rFonts w:eastAsia="TimesNewRoman"/>
          <w:sz w:val="22"/>
          <w:szCs w:val="22"/>
          <w:lang w:val="sr-Latn-ME" w:eastAsia="sr-Latn-ME"/>
        </w:rPr>
        <w:t>(&lt;100000 ćelija/mm</w:t>
      </w:r>
      <w:r w:rsidRPr="008E586D">
        <w:rPr>
          <w:rFonts w:eastAsia="TimesNewRoman"/>
          <w:sz w:val="22"/>
          <w:szCs w:val="22"/>
          <w:vertAlign w:val="superscript"/>
          <w:lang w:val="sr-Latn-ME" w:eastAsia="sr-Latn-ME"/>
        </w:rPr>
        <w:t>3</w:t>
      </w:r>
      <w:r w:rsidRPr="008E586D">
        <w:rPr>
          <w:rFonts w:eastAsia="TimesNewRoman"/>
          <w:sz w:val="22"/>
          <w:szCs w:val="22"/>
          <w:lang w:val="sr-Latn-ME" w:eastAsia="sr-Latn-ME"/>
        </w:rPr>
        <w:t>) opisana je kod 32,6% pacijenata i u 21,8% ciklusa. Nije bilo</w:t>
      </w:r>
    </w:p>
    <w:p w:rsidR="00016BCA" w:rsidRPr="008E586D" w:rsidRDefault="00016BCA" w:rsidP="00016BCA">
      <w:pPr>
        <w:autoSpaceDE w:val="0"/>
        <w:autoSpaceDN w:val="0"/>
        <w:adjustRightInd w:val="0"/>
        <w:jc w:val="both"/>
        <w:rPr>
          <w:rFonts w:eastAsia="TimesNewRoman"/>
          <w:sz w:val="22"/>
          <w:szCs w:val="22"/>
          <w:lang w:val="sr-Latn-ME" w:eastAsia="sr-Latn-ME"/>
        </w:rPr>
      </w:pPr>
      <w:r w:rsidRPr="008E586D">
        <w:rPr>
          <w:rFonts w:eastAsia="TimesNewRoman"/>
          <w:sz w:val="22"/>
          <w:szCs w:val="22"/>
          <w:lang w:val="sr-Latn-ME" w:eastAsia="sr-Latn-ME"/>
        </w:rPr>
        <w:t>slučajeva teške trombocitopenije (&lt;50000 ćelija/mm</w:t>
      </w:r>
      <w:r w:rsidRPr="008E586D">
        <w:rPr>
          <w:rFonts w:eastAsia="TimesNewRoman"/>
          <w:sz w:val="22"/>
          <w:szCs w:val="22"/>
          <w:vertAlign w:val="superscript"/>
          <w:lang w:val="sr-Latn-ME" w:eastAsia="sr-Latn-ME"/>
        </w:rPr>
        <w:t>3</w:t>
      </w:r>
      <w:r w:rsidRPr="008E586D">
        <w:rPr>
          <w:rFonts w:eastAsia="TimesNewRoman"/>
          <w:sz w:val="22"/>
          <w:szCs w:val="22"/>
          <w:lang w:val="sr-Latn-ME" w:eastAsia="sr-Latn-ME"/>
        </w:rPr>
        <w:t>).</w:t>
      </w:r>
    </w:p>
    <w:p w:rsidR="00016BCA" w:rsidRPr="008E586D" w:rsidRDefault="00016BCA" w:rsidP="00016BCA">
      <w:pPr>
        <w:autoSpaceDE w:val="0"/>
        <w:autoSpaceDN w:val="0"/>
        <w:adjustRightInd w:val="0"/>
        <w:jc w:val="both"/>
        <w:rPr>
          <w:rFonts w:eastAsia="TimesNewRoman,Bold"/>
          <w:b/>
          <w:bCs/>
          <w:sz w:val="22"/>
          <w:szCs w:val="22"/>
          <w:lang w:val="sr-Latn-ME" w:eastAsia="sr-Latn-ME"/>
        </w:rPr>
      </w:pPr>
      <w:r w:rsidRPr="008E586D">
        <w:rPr>
          <w:rFonts w:eastAsia="TimesNewRoman,Bold"/>
          <w:b/>
          <w:bCs/>
          <w:sz w:val="22"/>
          <w:szCs w:val="22"/>
          <w:lang w:val="sr-Latn-ME" w:eastAsia="sr-Latn-ME"/>
        </w:rPr>
        <w:lastRenderedPageBreak/>
        <w:t>Akutni holinergički sindrom</w:t>
      </w:r>
    </w:p>
    <w:p w:rsidR="00E52D4C" w:rsidRPr="008E586D" w:rsidRDefault="00E52D4C" w:rsidP="00016BCA">
      <w:pPr>
        <w:autoSpaceDE w:val="0"/>
        <w:autoSpaceDN w:val="0"/>
        <w:adjustRightInd w:val="0"/>
        <w:jc w:val="both"/>
        <w:rPr>
          <w:rFonts w:eastAsia="TimesNewRoman,Bold"/>
          <w:b/>
          <w:bCs/>
          <w:sz w:val="22"/>
          <w:szCs w:val="22"/>
          <w:lang w:val="sr-Latn-ME" w:eastAsia="sr-Latn-ME"/>
        </w:rPr>
      </w:pPr>
    </w:p>
    <w:p w:rsidR="00016BCA" w:rsidRPr="008E586D" w:rsidRDefault="00016BCA" w:rsidP="00016BCA">
      <w:pPr>
        <w:autoSpaceDE w:val="0"/>
        <w:autoSpaceDN w:val="0"/>
        <w:adjustRightInd w:val="0"/>
        <w:jc w:val="both"/>
        <w:rPr>
          <w:rFonts w:eastAsia="TimesNewRoman"/>
          <w:sz w:val="22"/>
          <w:szCs w:val="22"/>
          <w:lang w:val="sr-Latn-ME" w:eastAsia="sr-Latn-ME"/>
        </w:rPr>
      </w:pPr>
      <w:r w:rsidRPr="008E586D">
        <w:rPr>
          <w:rFonts w:eastAsia="TimesNewRoman"/>
          <w:sz w:val="22"/>
          <w:szCs w:val="22"/>
          <w:lang w:val="sr-Latn-ME" w:eastAsia="sr-Latn-ME"/>
        </w:rPr>
        <w:t>Težak akutni holinergički sindrom prolaznog karaktera opisan je kod 1,4% pacijenata na kombinovanoj terapiji.</w:t>
      </w:r>
    </w:p>
    <w:p w:rsidR="00E52D4C" w:rsidRPr="008E586D" w:rsidRDefault="00E52D4C" w:rsidP="00016BCA">
      <w:pPr>
        <w:autoSpaceDE w:val="0"/>
        <w:autoSpaceDN w:val="0"/>
        <w:adjustRightInd w:val="0"/>
        <w:jc w:val="both"/>
        <w:rPr>
          <w:rFonts w:eastAsia="TimesNewRoman"/>
          <w:sz w:val="22"/>
          <w:szCs w:val="22"/>
          <w:lang w:val="sr-Latn-ME" w:eastAsia="sr-Latn-ME"/>
        </w:rPr>
      </w:pPr>
    </w:p>
    <w:p w:rsidR="00016BCA" w:rsidRPr="008E586D" w:rsidRDefault="00016BCA" w:rsidP="00016BCA">
      <w:pPr>
        <w:autoSpaceDE w:val="0"/>
        <w:autoSpaceDN w:val="0"/>
        <w:adjustRightInd w:val="0"/>
        <w:jc w:val="both"/>
        <w:rPr>
          <w:rFonts w:eastAsia="TimesNewRoman"/>
          <w:sz w:val="22"/>
          <w:szCs w:val="22"/>
          <w:lang w:val="sr-Latn-ME" w:eastAsia="sr-Latn-ME"/>
        </w:rPr>
      </w:pPr>
      <w:r w:rsidRPr="008E586D">
        <w:rPr>
          <w:rFonts w:eastAsia="TimesNewRoman,Bold"/>
          <w:b/>
          <w:bCs/>
          <w:sz w:val="22"/>
          <w:szCs w:val="22"/>
          <w:lang w:val="sr-Latn-ME" w:eastAsia="sr-Latn-ME"/>
        </w:rPr>
        <w:t xml:space="preserve">Astenija </w:t>
      </w:r>
      <w:r w:rsidRPr="008E586D">
        <w:rPr>
          <w:rFonts w:eastAsia="TimesNewRoman"/>
          <w:sz w:val="22"/>
          <w:szCs w:val="22"/>
          <w:lang w:val="sr-Latn-ME" w:eastAsia="sr-Latn-ME"/>
        </w:rPr>
        <w:t>je bila teška kod 6,2% pacijenata liječenih kombinovanom terapijom. Uzročna veza sa lijekom Irinotecan Accord nije bila jasno utvrđena.</w:t>
      </w:r>
    </w:p>
    <w:p w:rsidR="00E52D4C" w:rsidRPr="008E586D" w:rsidRDefault="00E52D4C" w:rsidP="00016BCA">
      <w:pPr>
        <w:autoSpaceDE w:val="0"/>
        <w:autoSpaceDN w:val="0"/>
        <w:adjustRightInd w:val="0"/>
        <w:jc w:val="both"/>
        <w:rPr>
          <w:rFonts w:eastAsia="TimesNewRoman"/>
          <w:sz w:val="22"/>
          <w:szCs w:val="22"/>
          <w:lang w:val="sr-Latn-ME" w:eastAsia="sr-Latn-ME"/>
        </w:rPr>
      </w:pPr>
    </w:p>
    <w:p w:rsidR="00016BCA" w:rsidRPr="008E586D" w:rsidRDefault="00D019E6" w:rsidP="00016BCA">
      <w:pPr>
        <w:autoSpaceDE w:val="0"/>
        <w:autoSpaceDN w:val="0"/>
        <w:adjustRightInd w:val="0"/>
        <w:jc w:val="both"/>
        <w:rPr>
          <w:rFonts w:eastAsia="TimesNewRoman"/>
          <w:sz w:val="22"/>
          <w:szCs w:val="22"/>
          <w:lang w:val="sr-Latn-ME" w:eastAsia="sr-Latn-ME"/>
        </w:rPr>
      </w:pPr>
      <w:r w:rsidRPr="008E586D">
        <w:rPr>
          <w:rFonts w:eastAsia="TimesNewRoman,Bold"/>
          <w:b/>
          <w:bCs/>
          <w:sz w:val="22"/>
          <w:szCs w:val="22"/>
          <w:lang w:val="sr-Latn-ME" w:eastAsia="sr-Latn-ME"/>
        </w:rPr>
        <w:t>Pireksija bez</w:t>
      </w:r>
      <w:r w:rsidR="00016BCA" w:rsidRPr="008E586D">
        <w:rPr>
          <w:rFonts w:eastAsia="TimesNewRoman,Bold"/>
          <w:b/>
          <w:bCs/>
          <w:sz w:val="22"/>
          <w:szCs w:val="22"/>
          <w:lang w:val="sr-Latn-ME" w:eastAsia="sr-Latn-ME"/>
        </w:rPr>
        <w:t xml:space="preserve"> infekcije </w:t>
      </w:r>
      <w:r w:rsidR="00016BCA" w:rsidRPr="008E586D">
        <w:rPr>
          <w:rFonts w:eastAsia="TimesNewRoman"/>
          <w:sz w:val="22"/>
          <w:szCs w:val="22"/>
          <w:lang w:val="sr-Latn-ME" w:eastAsia="sr-Latn-ME"/>
        </w:rPr>
        <w:t>i bez prateće teške neutropenije opisana je kod 6,2% pacijenata sa kombinovanom terapijom.</w:t>
      </w:r>
    </w:p>
    <w:p w:rsidR="00E52D4C" w:rsidRPr="008E586D" w:rsidRDefault="00E52D4C" w:rsidP="00016BCA">
      <w:pPr>
        <w:autoSpaceDE w:val="0"/>
        <w:autoSpaceDN w:val="0"/>
        <w:adjustRightInd w:val="0"/>
        <w:jc w:val="both"/>
        <w:rPr>
          <w:rFonts w:eastAsia="TimesNewRoman"/>
          <w:sz w:val="22"/>
          <w:szCs w:val="22"/>
          <w:lang w:val="sr-Latn-ME" w:eastAsia="sr-Latn-ME"/>
        </w:rPr>
      </w:pPr>
    </w:p>
    <w:p w:rsidR="00016BCA" w:rsidRPr="008E586D" w:rsidRDefault="00D019E6" w:rsidP="00016BCA">
      <w:pPr>
        <w:autoSpaceDE w:val="0"/>
        <w:autoSpaceDN w:val="0"/>
        <w:adjustRightInd w:val="0"/>
        <w:jc w:val="both"/>
        <w:rPr>
          <w:rFonts w:eastAsia="TimesNewRoman,Bold"/>
          <w:b/>
          <w:bCs/>
          <w:sz w:val="22"/>
          <w:szCs w:val="22"/>
          <w:lang w:val="sr-Latn-ME" w:eastAsia="sr-Latn-ME"/>
        </w:rPr>
      </w:pPr>
      <w:r w:rsidRPr="008E586D">
        <w:rPr>
          <w:rFonts w:eastAsia="TimesNewRoman,Bold"/>
          <w:b/>
          <w:bCs/>
          <w:sz w:val="22"/>
          <w:szCs w:val="22"/>
          <w:lang w:val="sr-Latn-ME" w:eastAsia="sr-Latn-ME"/>
        </w:rPr>
        <w:t>Laboratorijski testovi</w:t>
      </w:r>
    </w:p>
    <w:p w:rsidR="00B20862" w:rsidRPr="008E586D" w:rsidRDefault="00B20862" w:rsidP="00016BCA">
      <w:pPr>
        <w:autoSpaceDE w:val="0"/>
        <w:autoSpaceDN w:val="0"/>
        <w:adjustRightInd w:val="0"/>
        <w:jc w:val="both"/>
        <w:rPr>
          <w:rFonts w:eastAsia="TimesNewRoman,Bold"/>
          <w:b/>
          <w:bCs/>
          <w:sz w:val="22"/>
          <w:szCs w:val="22"/>
          <w:lang w:val="sr-Latn-ME" w:eastAsia="sr-Latn-ME"/>
        </w:rPr>
      </w:pPr>
    </w:p>
    <w:p w:rsidR="00016BCA" w:rsidRPr="008E586D" w:rsidRDefault="00016BCA" w:rsidP="00016BCA">
      <w:pPr>
        <w:autoSpaceDE w:val="0"/>
        <w:autoSpaceDN w:val="0"/>
        <w:adjustRightInd w:val="0"/>
        <w:jc w:val="both"/>
        <w:rPr>
          <w:rFonts w:eastAsia="TimesNewRoman"/>
          <w:sz w:val="22"/>
          <w:szCs w:val="22"/>
          <w:lang w:val="sr-Latn-ME" w:eastAsia="sr-Latn-ME"/>
        </w:rPr>
      </w:pPr>
      <w:r w:rsidRPr="008E586D">
        <w:rPr>
          <w:rFonts w:eastAsia="TimesNewRoman"/>
          <w:sz w:val="22"/>
          <w:szCs w:val="22"/>
          <w:lang w:val="sr-Latn-ME" w:eastAsia="sr-Latn-ME"/>
        </w:rPr>
        <w:t xml:space="preserve">U odsustvu progresivnih metastaza u jetri, opisane su prolazne serumske vrijednosti (gradus 1 i gradus 2) </w:t>
      </w:r>
      <w:r w:rsidR="00B20862" w:rsidRPr="008E586D">
        <w:rPr>
          <w:rFonts w:eastAsia="TimesNewRoman"/>
          <w:sz w:val="22"/>
          <w:szCs w:val="22"/>
          <w:lang w:val="sr-Latn-ME" w:eastAsia="sr-Latn-ME"/>
        </w:rPr>
        <w:t xml:space="preserve">AST </w:t>
      </w:r>
      <w:r w:rsidRPr="008E586D">
        <w:rPr>
          <w:rFonts w:eastAsia="TimesNewRoman"/>
          <w:sz w:val="22"/>
          <w:szCs w:val="22"/>
          <w:lang w:val="sr-Latn-ME" w:eastAsia="sr-Latn-ME"/>
        </w:rPr>
        <w:t xml:space="preserve">(kod 15% pacijenata), </w:t>
      </w:r>
      <w:r w:rsidR="00B20862" w:rsidRPr="008E586D">
        <w:rPr>
          <w:rFonts w:eastAsia="TimesNewRoman"/>
          <w:sz w:val="22"/>
          <w:szCs w:val="22"/>
          <w:lang w:val="sr-Latn-ME" w:eastAsia="sr-Latn-ME"/>
        </w:rPr>
        <w:t xml:space="preserve">ALT </w:t>
      </w:r>
      <w:r w:rsidRPr="008E586D">
        <w:rPr>
          <w:rFonts w:eastAsia="TimesNewRoman"/>
          <w:sz w:val="22"/>
          <w:szCs w:val="22"/>
          <w:lang w:val="sr-Latn-ME" w:eastAsia="sr-Latn-ME"/>
        </w:rPr>
        <w:t>(11%), alkalne fosfataze (11%) i bilirubina (10%). Prolazni porast istih vrijednosti gradusa 3 zabilježen je, redom, u 0%, 0%, 0% i 1% slučajeva, dok porasta ovih vrijednosti gradusa 4 nije bilo.</w:t>
      </w:r>
    </w:p>
    <w:p w:rsidR="00E52D4C" w:rsidRPr="008E586D" w:rsidRDefault="00E52D4C" w:rsidP="00016BCA">
      <w:pPr>
        <w:autoSpaceDE w:val="0"/>
        <w:autoSpaceDN w:val="0"/>
        <w:adjustRightInd w:val="0"/>
        <w:jc w:val="both"/>
        <w:rPr>
          <w:rFonts w:eastAsia="TimesNewRoman"/>
          <w:sz w:val="22"/>
          <w:szCs w:val="22"/>
          <w:lang w:val="sr-Latn-ME" w:eastAsia="sr-Latn-ME"/>
        </w:rPr>
      </w:pPr>
    </w:p>
    <w:p w:rsidR="00016BCA" w:rsidRPr="008E586D" w:rsidRDefault="00016BCA" w:rsidP="00016BCA">
      <w:pPr>
        <w:autoSpaceDE w:val="0"/>
        <w:autoSpaceDN w:val="0"/>
        <w:adjustRightInd w:val="0"/>
        <w:jc w:val="both"/>
        <w:rPr>
          <w:rFonts w:eastAsia="TimesNewRoman"/>
          <w:sz w:val="22"/>
          <w:szCs w:val="22"/>
          <w:lang w:val="sr-Latn-ME" w:eastAsia="sr-Latn-ME"/>
        </w:rPr>
      </w:pPr>
      <w:r w:rsidRPr="008E586D">
        <w:rPr>
          <w:rFonts w:eastAsia="TimesNewRoman"/>
          <w:sz w:val="22"/>
          <w:szCs w:val="22"/>
          <w:lang w:val="sr-Latn-ME" w:eastAsia="sr-Latn-ME"/>
        </w:rPr>
        <w:t>Porast nivoa amilaze i/ili lipaze opisan je veoma rijetko.</w:t>
      </w:r>
    </w:p>
    <w:p w:rsidR="00E52D4C" w:rsidRPr="008E586D" w:rsidRDefault="00E52D4C" w:rsidP="00016BCA">
      <w:pPr>
        <w:autoSpaceDE w:val="0"/>
        <w:autoSpaceDN w:val="0"/>
        <w:adjustRightInd w:val="0"/>
        <w:jc w:val="both"/>
        <w:rPr>
          <w:rFonts w:eastAsia="TimesNewRoman"/>
          <w:sz w:val="22"/>
          <w:szCs w:val="22"/>
          <w:lang w:val="sr-Latn-ME" w:eastAsia="sr-Latn-ME"/>
        </w:rPr>
      </w:pPr>
    </w:p>
    <w:p w:rsidR="00016BCA" w:rsidRPr="008E586D" w:rsidRDefault="00016BCA" w:rsidP="00016BCA">
      <w:pPr>
        <w:autoSpaceDE w:val="0"/>
        <w:autoSpaceDN w:val="0"/>
        <w:adjustRightInd w:val="0"/>
        <w:jc w:val="both"/>
        <w:rPr>
          <w:rFonts w:eastAsia="TimesNewRoman"/>
          <w:sz w:val="22"/>
          <w:szCs w:val="22"/>
          <w:lang w:val="sr-Latn-ME" w:eastAsia="sr-Latn-ME"/>
        </w:rPr>
      </w:pPr>
      <w:r w:rsidRPr="008E586D">
        <w:rPr>
          <w:rFonts w:eastAsia="TimesNewRoman"/>
          <w:sz w:val="22"/>
          <w:szCs w:val="22"/>
          <w:lang w:val="sr-Latn-ME" w:eastAsia="sr-Latn-ME"/>
        </w:rPr>
        <w:t>Opisani su i retki slučajevi hipokalemije i hiponatremije, uglavnom u vezi sa dijarejom i povraćanjem.</w:t>
      </w:r>
    </w:p>
    <w:p w:rsidR="004E70AD" w:rsidRPr="008E586D" w:rsidRDefault="004E70AD" w:rsidP="00480FB1">
      <w:pPr>
        <w:tabs>
          <w:tab w:val="left" w:pos="540"/>
          <w:tab w:val="left" w:pos="569"/>
        </w:tabs>
        <w:rPr>
          <w:b/>
          <w:bCs/>
          <w:sz w:val="22"/>
          <w:szCs w:val="22"/>
          <w:lang w:val="sr-Latn-ME"/>
        </w:rPr>
      </w:pPr>
    </w:p>
    <w:p w:rsidR="005A23D2" w:rsidRPr="008E586D" w:rsidRDefault="005A23D2" w:rsidP="00A46C9A">
      <w:pPr>
        <w:spacing w:after="200" w:line="276" w:lineRule="auto"/>
        <w:rPr>
          <w:rFonts w:eastAsia="Calibri"/>
          <w:sz w:val="22"/>
          <w:szCs w:val="22"/>
          <w:u w:val="single"/>
          <w:lang w:val="sr-Latn-ME"/>
        </w:rPr>
      </w:pPr>
      <w:r w:rsidRPr="008E586D">
        <w:rPr>
          <w:rFonts w:eastAsia="Calibri"/>
          <w:sz w:val="22"/>
          <w:szCs w:val="22"/>
          <w:u w:val="single"/>
          <w:lang w:val="sr-Latn-ME"/>
        </w:rPr>
        <w:t>Prijavljivanje sumnji na neželjena dejstva</w:t>
      </w:r>
    </w:p>
    <w:p w:rsidR="005A23D2" w:rsidRPr="008E586D" w:rsidRDefault="005A23D2" w:rsidP="00A46C9A">
      <w:pPr>
        <w:spacing w:after="200"/>
        <w:jc w:val="both"/>
        <w:rPr>
          <w:rFonts w:eastAsia="Calibri"/>
          <w:sz w:val="22"/>
          <w:szCs w:val="22"/>
          <w:lang w:val="sr-Latn-ME"/>
        </w:rPr>
      </w:pPr>
      <w:r w:rsidRPr="008E586D">
        <w:rPr>
          <w:rFonts w:eastAsia="Calibri"/>
          <w:sz w:val="22"/>
          <w:szCs w:val="22"/>
          <w:lang w:val="sr-Latn-ME"/>
        </w:rPr>
        <w:t>Prijavljivanje neželjenih dejstava nakon dobijanja dozvole je od velikog značaja jer obezbjeđuje kont</w:t>
      </w:r>
      <w:r w:rsidR="00EA5765" w:rsidRPr="008E586D">
        <w:rPr>
          <w:rFonts w:eastAsia="Calibri"/>
          <w:sz w:val="22"/>
          <w:szCs w:val="22"/>
          <w:lang w:val="sr-Latn-ME"/>
        </w:rPr>
        <w:t>inuirano praćenje odnosa korist</w:t>
      </w:r>
      <w:r w:rsidRPr="008E586D">
        <w:rPr>
          <w:rFonts w:eastAsia="Calibri"/>
          <w:sz w:val="22"/>
          <w:szCs w:val="22"/>
          <w:lang w:val="sr-Latn-ME"/>
        </w:rPr>
        <w:t>/rizik primjene lijeka. Zdravstveni radnici treba da prijave svaku sumnju na neželjeno</w:t>
      </w:r>
      <w:r w:rsidR="009B062A" w:rsidRPr="008E586D">
        <w:rPr>
          <w:rFonts w:eastAsia="Calibri"/>
          <w:sz w:val="22"/>
          <w:szCs w:val="22"/>
          <w:lang w:val="sr-Latn-ME"/>
        </w:rPr>
        <w:t xml:space="preserve"> </w:t>
      </w:r>
      <w:r w:rsidRPr="008E586D">
        <w:rPr>
          <w:rFonts w:eastAsia="Calibri"/>
          <w:sz w:val="22"/>
          <w:szCs w:val="22"/>
          <w:lang w:val="sr-Latn-ME"/>
        </w:rPr>
        <w:t xml:space="preserve">dejstvo ovog lijeka </w:t>
      </w:r>
      <w:r w:rsidR="004E70AD" w:rsidRPr="008E586D">
        <w:rPr>
          <w:rFonts w:eastAsia="Calibri"/>
          <w:sz w:val="22"/>
          <w:szCs w:val="22"/>
          <w:lang w:val="sr-Latn-ME"/>
        </w:rPr>
        <w:t>Institutu</w:t>
      </w:r>
      <w:r w:rsidRPr="008E586D">
        <w:rPr>
          <w:rFonts w:eastAsia="Calibri"/>
          <w:sz w:val="22"/>
          <w:szCs w:val="22"/>
          <w:lang w:val="sr-Latn-ME"/>
        </w:rPr>
        <w:t xml:space="preserve"> za ljekove i medicinska sredstva</w:t>
      </w:r>
      <w:r w:rsidR="004E70AD" w:rsidRPr="008E586D">
        <w:rPr>
          <w:rFonts w:eastAsia="Calibri"/>
          <w:sz w:val="22"/>
          <w:szCs w:val="22"/>
          <w:lang w:val="sr-Latn-ME"/>
        </w:rPr>
        <w:t xml:space="preserve"> </w:t>
      </w:r>
      <w:r w:rsidRPr="008E586D">
        <w:rPr>
          <w:rFonts w:eastAsia="Calibri"/>
          <w:sz w:val="22"/>
          <w:szCs w:val="22"/>
          <w:lang w:val="sr-Latn-ME"/>
        </w:rPr>
        <w:t>(</w:t>
      </w:r>
      <w:r w:rsidR="004E70AD" w:rsidRPr="008E586D">
        <w:rPr>
          <w:rFonts w:eastAsia="Calibri"/>
          <w:sz w:val="22"/>
          <w:szCs w:val="22"/>
          <w:lang w:val="sr-Latn-ME"/>
        </w:rPr>
        <w:t>CInMED</w:t>
      </w:r>
      <w:r w:rsidRPr="008E586D">
        <w:rPr>
          <w:rFonts w:eastAsia="Calibri"/>
          <w:sz w:val="22"/>
          <w:szCs w:val="22"/>
          <w:lang w:val="sr-Latn-ME"/>
        </w:rPr>
        <w:t>):</w:t>
      </w:r>
    </w:p>
    <w:p w:rsidR="008E586D" w:rsidRPr="00786071" w:rsidRDefault="008E586D" w:rsidP="008E586D">
      <w:pPr>
        <w:pStyle w:val="NoSpacing"/>
        <w:jc w:val="both"/>
        <w:rPr>
          <w:rFonts w:eastAsia="Calibri"/>
          <w:sz w:val="22"/>
          <w:szCs w:val="22"/>
          <w:lang w:val="sr-Latn-RS"/>
        </w:rPr>
      </w:pPr>
      <w:r>
        <w:rPr>
          <w:rFonts w:eastAsia="Calibri"/>
          <w:sz w:val="22"/>
          <w:szCs w:val="22"/>
          <w:lang w:val="sr-Latn-RS"/>
        </w:rPr>
        <w:t>Institut</w:t>
      </w:r>
      <w:r w:rsidRPr="00786071">
        <w:rPr>
          <w:rFonts w:eastAsia="Calibri"/>
          <w:sz w:val="22"/>
          <w:szCs w:val="22"/>
          <w:lang w:val="sr-Latn-RS"/>
        </w:rPr>
        <w:t xml:space="preserve"> za ljekove i medicinska sredstva </w:t>
      </w:r>
    </w:p>
    <w:p w:rsidR="008E586D" w:rsidRPr="00786071" w:rsidRDefault="008E586D" w:rsidP="008E586D">
      <w:pPr>
        <w:pStyle w:val="NoSpacing"/>
        <w:jc w:val="both"/>
        <w:rPr>
          <w:rFonts w:eastAsia="Calibri"/>
          <w:sz w:val="22"/>
          <w:szCs w:val="22"/>
          <w:lang w:val="sr-Latn-RS"/>
        </w:rPr>
      </w:pPr>
      <w:r w:rsidRPr="00786071">
        <w:rPr>
          <w:rFonts w:eastAsia="Calibri"/>
          <w:sz w:val="22"/>
          <w:szCs w:val="22"/>
          <w:lang w:val="sr-Latn-RS"/>
        </w:rPr>
        <w:t>Odjeljenje za farmakovigilancu</w:t>
      </w:r>
    </w:p>
    <w:p w:rsidR="008E586D" w:rsidRPr="00786071" w:rsidRDefault="008E586D" w:rsidP="008E586D">
      <w:pPr>
        <w:pStyle w:val="NoSpacing"/>
        <w:jc w:val="both"/>
        <w:rPr>
          <w:rFonts w:eastAsia="Calibri"/>
          <w:sz w:val="22"/>
          <w:szCs w:val="22"/>
          <w:lang w:val="sr-Latn-RS"/>
        </w:rPr>
      </w:pPr>
      <w:r w:rsidRPr="00786071">
        <w:rPr>
          <w:rFonts w:eastAsia="Calibri"/>
          <w:sz w:val="22"/>
          <w:szCs w:val="22"/>
          <w:lang w:val="sr-Latn-RS"/>
        </w:rPr>
        <w:t>Bulevar Ivana Crnojevića 64a, 81000 Podgorica</w:t>
      </w:r>
    </w:p>
    <w:p w:rsidR="008E586D" w:rsidRPr="00786071" w:rsidRDefault="008E586D" w:rsidP="008E586D">
      <w:pPr>
        <w:pStyle w:val="NoSpacing"/>
        <w:rPr>
          <w:rFonts w:eastAsia="Calibri"/>
          <w:sz w:val="22"/>
          <w:szCs w:val="22"/>
          <w:lang w:val="sr-Latn-RS"/>
        </w:rPr>
      </w:pPr>
    </w:p>
    <w:p w:rsidR="008E586D" w:rsidRPr="00786071" w:rsidRDefault="008E586D" w:rsidP="008E586D">
      <w:pPr>
        <w:pStyle w:val="NoSpacing"/>
        <w:jc w:val="both"/>
        <w:rPr>
          <w:rFonts w:eastAsia="Calibri"/>
          <w:sz w:val="22"/>
          <w:szCs w:val="22"/>
          <w:lang w:val="sr-Latn-RS"/>
        </w:rPr>
      </w:pPr>
      <w:r w:rsidRPr="00786071">
        <w:rPr>
          <w:rFonts w:eastAsia="Calibri"/>
          <w:sz w:val="22"/>
          <w:szCs w:val="22"/>
          <w:lang w:val="sr-Latn-RS"/>
        </w:rPr>
        <w:t>tel: +382 (0) 20 310 280</w:t>
      </w:r>
    </w:p>
    <w:p w:rsidR="008E586D" w:rsidRPr="00786071" w:rsidRDefault="008E586D" w:rsidP="008E586D">
      <w:pPr>
        <w:pStyle w:val="NoSpacing"/>
        <w:tabs>
          <w:tab w:val="left" w:pos="6720"/>
        </w:tabs>
        <w:jc w:val="both"/>
        <w:rPr>
          <w:rFonts w:eastAsia="Calibri"/>
          <w:sz w:val="22"/>
          <w:szCs w:val="22"/>
          <w:lang w:val="sr-Latn-RS"/>
        </w:rPr>
      </w:pPr>
      <w:r w:rsidRPr="00786071">
        <w:rPr>
          <w:rFonts w:eastAsia="Calibri"/>
          <w:sz w:val="22"/>
          <w:szCs w:val="22"/>
          <w:lang w:val="sr-Latn-RS"/>
        </w:rPr>
        <w:t>fax: +382 (0) 20 310 581</w:t>
      </w:r>
      <w:r>
        <w:rPr>
          <w:rFonts w:eastAsia="Calibri"/>
          <w:sz w:val="22"/>
          <w:szCs w:val="22"/>
          <w:lang w:val="sr-Latn-RS"/>
        </w:rPr>
        <w:tab/>
      </w:r>
    </w:p>
    <w:p w:rsidR="008E586D" w:rsidRPr="00786071" w:rsidRDefault="0022222B" w:rsidP="008E586D">
      <w:pPr>
        <w:pStyle w:val="NoSpacing"/>
        <w:jc w:val="both"/>
        <w:rPr>
          <w:rFonts w:eastAsia="Calibri"/>
          <w:sz w:val="22"/>
          <w:szCs w:val="22"/>
          <w:lang w:val="sr-Latn-RS"/>
        </w:rPr>
      </w:pPr>
      <w:hyperlink r:id="rId8" w:history="1">
        <w:r w:rsidR="008E586D" w:rsidRPr="00B664A0">
          <w:rPr>
            <w:rStyle w:val="Hyperlink"/>
            <w:rFonts w:eastAsia="Calibri"/>
            <w:sz w:val="22"/>
            <w:szCs w:val="22"/>
            <w:lang w:val="sr-Latn-RS"/>
          </w:rPr>
          <w:t>www.cinmed.me</w:t>
        </w:r>
      </w:hyperlink>
    </w:p>
    <w:p w:rsidR="008E586D" w:rsidRPr="00786071" w:rsidRDefault="0022222B" w:rsidP="008E586D">
      <w:pPr>
        <w:pStyle w:val="NoSpacing"/>
        <w:jc w:val="both"/>
        <w:rPr>
          <w:rFonts w:eastAsia="Calibri"/>
          <w:color w:val="0000FF"/>
          <w:sz w:val="22"/>
          <w:szCs w:val="22"/>
          <w:u w:val="single"/>
          <w:lang w:val="sr-Latn-RS"/>
        </w:rPr>
      </w:pPr>
      <w:hyperlink r:id="rId9" w:history="1">
        <w:r w:rsidR="008E586D" w:rsidRPr="00B664A0">
          <w:rPr>
            <w:rStyle w:val="Hyperlink"/>
            <w:rFonts w:eastAsia="Calibri"/>
            <w:sz w:val="22"/>
            <w:szCs w:val="22"/>
            <w:lang w:val="sr-Latn-RS"/>
          </w:rPr>
          <w:t>nezeljenadejstva@cinmed.me</w:t>
        </w:r>
      </w:hyperlink>
    </w:p>
    <w:p w:rsidR="008E586D" w:rsidRDefault="008E586D" w:rsidP="008E586D">
      <w:pPr>
        <w:pStyle w:val="NoSpacing"/>
        <w:jc w:val="both"/>
        <w:rPr>
          <w:rFonts w:eastAsia="Calibri"/>
          <w:sz w:val="22"/>
          <w:szCs w:val="22"/>
          <w:lang w:val="sr-Latn-RS"/>
        </w:rPr>
      </w:pPr>
      <w:r w:rsidRPr="00786071">
        <w:rPr>
          <w:rFonts w:eastAsia="Calibri"/>
          <w:sz w:val="22"/>
          <w:szCs w:val="22"/>
          <w:lang w:val="sr-Latn-RS"/>
        </w:rPr>
        <w:t>putem IS zdravstvene zaštite</w:t>
      </w:r>
    </w:p>
    <w:p w:rsidR="008E586D" w:rsidRDefault="008E586D" w:rsidP="008E586D">
      <w:pPr>
        <w:pStyle w:val="NoSpacing"/>
        <w:jc w:val="both"/>
        <w:rPr>
          <w:rFonts w:eastAsia="Calibri"/>
          <w:sz w:val="22"/>
          <w:szCs w:val="22"/>
          <w:lang w:val="sr-Latn-RS"/>
        </w:rPr>
      </w:pPr>
      <w:r>
        <w:rPr>
          <w:rFonts w:eastAsia="Calibri"/>
          <w:sz w:val="22"/>
          <w:szCs w:val="22"/>
          <w:lang w:val="sr-Latn-RS"/>
        </w:rPr>
        <w:t>QR kod za online prijavu sumnje na neželjeno dejstvo lijeka:</w:t>
      </w:r>
    </w:p>
    <w:p w:rsidR="008E586D" w:rsidRDefault="008E586D" w:rsidP="008E586D">
      <w:pPr>
        <w:pStyle w:val="NoSpacing"/>
        <w:jc w:val="both"/>
        <w:rPr>
          <w:rFonts w:eastAsia="Calibri"/>
          <w:sz w:val="22"/>
          <w:szCs w:val="22"/>
          <w:lang w:val="sr-Latn-RS"/>
        </w:rPr>
      </w:pPr>
    </w:p>
    <w:p w:rsidR="008E586D" w:rsidRPr="00786071" w:rsidRDefault="008E586D" w:rsidP="008E586D">
      <w:pPr>
        <w:pStyle w:val="NoSpacing"/>
        <w:rPr>
          <w:rFonts w:eastAsia="Calibri"/>
          <w:sz w:val="22"/>
          <w:szCs w:val="22"/>
          <w:lang w:val="sr-Latn-RS"/>
        </w:rPr>
      </w:pPr>
      <w:r>
        <w:rPr>
          <w:noProof/>
        </w:rPr>
        <w:drawing>
          <wp:inline distT="0" distB="0" distL="0" distR="0" wp14:anchorId="61B78219" wp14:editId="5806D4DE">
            <wp:extent cx="971550" cy="971550"/>
            <wp:effectExtent l="0" t="0" r="0" b="0"/>
            <wp:docPr id="2" name="Picture 2"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rsidR="00E52D4C" w:rsidRPr="008E586D" w:rsidRDefault="00E52D4C" w:rsidP="00480FB1">
      <w:pPr>
        <w:tabs>
          <w:tab w:val="left" w:pos="540"/>
          <w:tab w:val="left" w:pos="569"/>
        </w:tabs>
        <w:rPr>
          <w:b/>
          <w:bCs/>
          <w:sz w:val="22"/>
          <w:szCs w:val="22"/>
          <w:lang w:val="sr-Latn-ME"/>
        </w:rPr>
      </w:pPr>
    </w:p>
    <w:p w:rsidR="00CD6F02" w:rsidRPr="008E586D" w:rsidRDefault="0072020E" w:rsidP="00480FB1">
      <w:pPr>
        <w:tabs>
          <w:tab w:val="left" w:pos="540"/>
          <w:tab w:val="left" w:pos="569"/>
        </w:tabs>
        <w:rPr>
          <w:b/>
          <w:bCs/>
          <w:sz w:val="22"/>
          <w:szCs w:val="22"/>
          <w:lang w:val="sr-Latn-ME"/>
        </w:rPr>
      </w:pPr>
      <w:r w:rsidRPr="008E586D">
        <w:rPr>
          <w:b/>
          <w:bCs/>
          <w:sz w:val="22"/>
          <w:szCs w:val="22"/>
          <w:lang w:val="sr-Latn-ME"/>
        </w:rPr>
        <w:t xml:space="preserve">4.9. </w:t>
      </w:r>
      <w:r w:rsidR="00480FB1" w:rsidRPr="008E586D">
        <w:rPr>
          <w:b/>
          <w:bCs/>
          <w:sz w:val="22"/>
          <w:szCs w:val="22"/>
          <w:lang w:val="sr-Latn-ME"/>
        </w:rPr>
        <w:tab/>
      </w:r>
      <w:r w:rsidRPr="008E586D">
        <w:rPr>
          <w:b/>
          <w:bCs/>
          <w:sz w:val="22"/>
          <w:szCs w:val="22"/>
          <w:lang w:val="sr-Latn-ME"/>
        </w:rPr>
        <w:t>Predoziranje</w:t>
      </w:r>
      <w:r w:rsidR="002846DB" w:rsidRPr="008E586D">
        <w:rPr>
          <w:b/>
          <w:bCs/>
          <w:sz w:val="22"/>
          <w:szCs w:val="22"/>
          <w:lang w:val="sr-Latn-ME"/>
        </w:rPr>
        <w:t xml:space="preserve"> </w:t>
      </w:r>
    </w:p>
    <w:p w:rsidR="00E52D4C" w:rsidRPr="008E586D" w:rsidRDefault="00E52D4C" w:rsidP="00480FB1">
      <w:pPr>
        <w:tabs>
          <w:tab w:val="left" w:pos="540"/>
          <w:tab w:val="left" w:pos="569"/>
        </w:tabs>
        <w:rPr>
          <w:b/>
          <w:bCs/>
          <w:sz w:val="22"/>
          <w:szCs w:val="22"/>
          <w:lang w:val="sr-Latn-ME"/>
        </w:rPr>
      </w:pPr>
    </w:p>
    <w:p w:rsidR="00E52D4C" w:rsidRPr="008E586D" w:rsidRDefault="00E52D4C" w:rsidP="00480FB1">
      <w:pPr>
        <w:tabs>
          <w:tab w:val="left" w:pos="540"/>
          <w:tab w:val="left" w:pos="569"/>
        </w:tabs>
        <w:rPr>
          <w:bCs/>
          <w:sz w:val="22"/>
          <w:szCs w:val="22"/>
          <w:lang w:val="sr-Latn-ME"/>
        </w:rPr>
      </w:pPr>
      <w:r w:rsidRPr="008E586D">
        <w:rPr>
          <w:bCs/>
          <w:sz w:val="22"/>
          <w:szCs w:val="22"/>
          <w:lang w:val="sr-Latn-ME"/>
        </w:rPr>
        <w:t>Simptomi</w:t>
      </w:r>
    </w:p>
    <w:p w:rsidR="000F1999" w:rsidRPr="008E586D" w:rsidRDefault="000F1999" w:rsidP="000F1999">
      <w:pPr>
        <w:autoSpaceDE w:val="0"/>
        <w:autoSpaceDN w:val="0"/>
        <w:adjustRightInd w:val="0"/>
        <w:jc w:val="both"/>
        <w:rPr>
          <w:rFonts w:eastAsia="TimesNewRoman"/>
          <w:sz w:val="22"/>
          <w:szCs w:val="22"/>
          <w:lang w:val="sr-Latn-ME" w:eastAsia="sr-Latn-ME"/>
        </w:rPr>
      </w:pPr>
      <w:r w:rsidRPr="008E586D">
        <w:rPr>
          <w:rFonts w:eastAsia="TimesNewRoman"/>
          <w:sz w:val="22"/>
          <w:szCs w:val="22"/>
          <w:lang w:val="sr-Latn-ME" w:eastAsia="sr-Latn-ME"/>
        </w:rPr>
        <w:t>Postoje izvještaji o predoziranju, u dozama koje su približno dva puta veće od preporučenih terapijskih doza, što može biti smrtonosno. Najznačajnije prijavljene neželjene reakcije bile su teška neutropenija i teška dijareja.</w:t>
      </w:r>
    </w:p>
    <w:p w:rsidR="00E52D4C" w:rsidRPr="008E586D" w:rsidRDefault="00E52D4C" w:rsidP="000F1999">
      <w:pPr>
        <w:autoSpaceDE w:val="0"/>
        <w:autoSpaceDN w:val="0"/>
        <w:adjustRightInd w:val="0"/>
        <w:jc w:val="both"/>
        <w:rPr>
          <w:rFonts w:eastAsia="TimesNewRoman"/>
          <w:sz w:val="22"/>
          <w:szCs w:val="22"/>
          <w:lang w:val="sr-Latn-ME" w:eastAsia="sr-Latn-ME"/>
        </w:rPr>
      </w:pPr>
    </w:p>
    <w:p w:rsidR="00E52D4C" w:rsidRPr="008E586D" w:rsidRDefault="00E52D4C" w:rsidP="000F1999">
      <w:pPr>
        <w:autoSpaceDE w:val="0"/>
        <w:autoSpaceDN w:val="0"/>
        <w:adjustRightInd w:val="0"/>
        <w:jc w:val="both"/>
        <w:rPr>
          <w:rFonts w:eastAsia="TimesNewRoman"/>
          <w:sz w:val="22"/>
          <w:szCs w:val="22"/>
          <w:lang w:val="sr-Latn-ME" w:eastAsia="sr-Latn-ME"/>
        </w:rPr>
      </w:pPr>
      <w:r w:rsidRPr="008E586D">
        <w:rPr>
          <w:rFonts w:eastAsia="TimesNewRoman"/>
          <w:sz w:val="22"/>
          <w:szCs w:val="22"/>
          <w:lang w:val="sr-Latn-ME" w:eastAsia="sr-Latn-ME"/>
        </w:rPr>
        <w:t>Zbrinjavanje</w:t>
      </w:r>
    </w:p>
    <w:p w:rsidR="000F1999" w:rsidRPr="008E586D" w:rsidRDefault="000F1999" w:rsidP="000F1999">
      <w:pPr>
        <w:autoSpaceDE w:val="0"/>
        <w:autoSpaceDN w:val="0"/>
        <w:adjustRightInd w:val="0"/>
        <w:jc w:val="both"/>
        <w:rPr>
          <w:rFonts w:eastAsia="TimesNewRoman"/>
          <w:sz w:val="22"/>
          <w:szCs w:val="22"/>
          <w:lang w:val="sr-Latn-ME" w:eastAsia="sr-Latn-ME"/>
        </w:rPr>
      </w:pPr>
      <w:r w:rsidRPr="008E586D">
        <w:rPr>
          <w:rFonts w:eastAsia="TimesNewRoman"/>
          <w:sz w:val="22"/>
          <w:szCs w:val="22"/>
          <w:lang w:val="sr-Latn-ME" w:eastAsia="sr-Latn-ME"/>
        </w:rPr>
        <w:t>Nema poznatog antidota za irinotekan. Treba maksimalno primijeniti mjere suportivne terapije da bi se spriječila pojava dehidratacije usl</w:t>
      </w:r>
      <w:r w:rsidR="00E52D4C" w:rsidRPr="008E586D">
        <w:rPr>
          <w:rFonts w:eastAsia="TimesNewRoman"/>
          <w:sz w:val="22"/>
          <w:szCs w:val="22"/>
          <w:lang w:val="sr-Latn-ME" w:eastAsia="sr-Latn-ME"/>
        </w:rPr>
        <w:t>j</w:t>
      </w:r>
      <w:r w:rsidRPr="008E586D">
        <w:rPr>
          <w:rFonts w:eastAsia="TimesNewRoman"/>
          <w:sz w:val="22"/>
          <w:szCs w:val="22"/>
          <w:lang w:val="sr-Latn-ME" w:eastAsia="sr-Latn-ME"/>
        </w:rPr>
        <w:t>ed dijareje i u cilju liječenja bilo koje infektivne komplikacije.</w:t>
      </w:r>
    </w:p>
    <w:p w:rsidR="00CD6F02" w:rsidRPr="008E586D" w:rsidRDefault="00CD6F02" w:rsidP="00480FB1">
      <w:pPr>
        <w:tabs>
          <w:tab w:val="left" w:pos="540"/>
          <w:tab w:val="left" w:pos="569"/>
        </w:tabs>
        <w:rPr>
          <w:b/>
          <w:bCs/>
          <w:sz w:val="22"/>
          <w:szCs w:val="22"/>
          <w:lang w:val="sr-Latn-ME"/>
        </w:rPr>
      </w:pPr>
    </w:p>
    <w:p w:rsidR="0072020E" w:rsidRPr="008E586D" w:rsidRDefault="0072020E" w:rsidP="00480FB1">
      <w:pPr>
        <w:tabs>
          <w:tab w:val="left" w:pos="540"/>
          <w:tab w:val="left" w:pos="569"/>
        </w:tabs>
        <w:rPr>
          <w:b/>
          <w:bCs/>
          <w:sz w:val="22"/>
          <w:szCs w:val="22"/>
          <w:lang w:val="sr-Latn-ME"/>
        </w:rPr>
      </w:pPr>
      <w:r w:rsidRPr="008E586D">
        <w:rPr>
          <w:b/>
          <w:bCs/>
          <w:sz w:val="22"/>
          <w:szCs w:val="22"/>
          <w:lang w:val="sr-Latn-ME"/>
        </w:rPr>
        <w:lastRenderedPageBreak/>
        <w:t xml:space="preserve">5. </w:t>
      </w:r>
      <w:r w:rsidR="00480FB1" w:rsidRPr="008E586D">
        <w:rPr>
          <w:b/>
          <w:bCs/>
          <w:sz w:val="22"/>
          <w:szCs w:val="22"/>
          <w:lang w:val="sr-Latn-ME"/>
        </w:rPr>
        <w:tab/>
      </w:r>
      <w:r w:rsidRPr="008E586D">
        <w:rPr>
          <w:b/>
          <w:bCs/>
          <w:sz w:val="22"/>
          <w:szCs w:val="22"/>
          <w:lang w:val="sr-Latn-ME"/>
        </w:rPr>
        <w:t>FARMAKOLOŠK</w:t>
      </w:r>
      <w:r w:rsidR="000D425A" w:rsidRPr="008E586D">
        <w:rPr>
          <w:b/>
          <w:bCs/>
          <w:sz w:val="22"/>
          <w:szCs w:val="22"/>
          <w:lang w:val="sr-Latn-ME"/>
        </w:rPr>
        <w:t>I</w:t>
      </w:r>
      <w:r w:rsidRPr="008E586D">
        <w:rPr>
          <w:b/>
          <w:bCs/>
          <w:sz w:val="22"/>
          <w:szCs w:val="22"/>
          <w:lang w:val="sr-Latn-ME"/>
        </w:rPr>
        <w:t xml:space="preserve"> PODACI</w:t>
      </w:r>
    </w:p>
    <w:p w:rsidR="0072020E" w:rsidRPr="008E586D" w:rsidRDefault="0072020E" w:rsidP="00480FB1">
      <w:pPr>
        <w:tabs>
          <w:tab w:val="left" w:pos="540"/>
          <w:tab w:val="left" w:pos="569"/>
        </w:tabs>
        <w:rPr>
          <w:b/>
          <w:bCs/>
          <w:sz w:val="22"/>
          <w:szCs w:val="22"/>
          <w:lang w:val="sr-Latn-ME"/>
        </w:rPr>
      </w:pPr>
    </w:p>
    <w:p w:rsidR="0072020E" w:rsidRPr="008E586D" w:rsidRDefault="0072020E" w:rsidP="00480FB1">
      <w:pPr>
        <w:tabs>
          <w:tab w:val="left" w:pos="540"/>
          <w:tab w:val="left" w:pos="569"/>
        </w:tabs>
        <w:rPr>
          <w:b/>
          <w:bCs/>
          <w:sz w:val="22"/>
          <w:szCs w:val="22"/>
          <w:lang w:val="sr-Latn-ME"/>
        </w:rPr>
      </w:pPr>
      <w:r w:rsidRPr="008E586D">
        <w:rPr>
          <w:b/>
          <w:bCs/>
          <w:sz w:val="22"/>
          <w:szCs w:val="22"/>
          <w:lang w:val="sr-Latn-ME"/>
        </w:rPr>
        <w:t xml:space="preserve">5.1. </w:t>
      </w:r>
      <w:r w:rsidR="00480FB1" w:rsidRPr="008E586D">
        <w:rPr>
          <w:b/>
          <w:bCs/>
          <w:sz w:val="22"/>
          <w:szCs w:val="22"/>
          <w:lang w:val="sr-Latn-ME"/>
        </w:rPr>
        <w:tab/>
      </w:r>
      <w:r w:rsidRPr="008E586D">
        <w:rPr>
          <w:b/>
          <w:bCs/>
          <w:sz w:val="22"/>
          <w:szCs w:val="22"/>
          <w:lang w:val="sr-Latn-ME"/>
        </w:rPr>
        <w:t>Farmakodinamski podaci</w:t>
      </w:r>
      <w:r w:rsidR="003A7059" w:rsidRPr="008E586D">
        <w:rPr>
          <w:b/>
          <w:bCs/>
          <w:sz w:val="22"/>
          <w:szCs w:val="22"/>
          <w:lang w:val="sr-Latn-ME"/>
        </w:rPr>
        <w:t xml:space="preserve"> </w:t>
      </w:r>
    </w:p>
    <w:p w:rsidR="00F45F77" w:rsidRPr="008E586D" w:rsidRDefault="00F45F77" w:rsidP="00480FB1">
      <w:pPr>
        <w:tabs>
          <w:tab w:val="left" w:pos="540"/>
          <w:tab w:val="left" w:pos="569"/>
        </w:tabs>
        <w:rPr>
          <w:b/>
          <w:bCs/>
          <w:sz w:val="22"/>
          <w:szCs w:val="22"/>
          <w:lang w:val="sr-Latn-ME"/>
        </w:rPr>
      </w:pPr>
    </w:p>
    <w:p w:rsidR="000F1999" w:rsidRPr="008E586D" w:rsidRDefault="0072020E" w:rsidP="000F1999">
      <w:pPr>
        <w:autoSpaceDE w:val="0"/>
        <w:rPr>
          <w:rFonts w:eastAsia="TimesNewRoman"/>
          <w:bCs/>
          <w:sz w:val="22"/>
          <w:szCs w:val="22"/>
          <w:lang w:val="sr-Latn-ME" w:eastAsia="hr-HR"/>
        </w:rPr>
      </w:pPr>
      <w:r w:rsidRPr="008E586D">
        <w:rPr>
          <w:bCs/>
          <w:sz w:val="22"/>
          <w:szCs w:val="22"/>
          <w:lang w:val="sr-Latn-ME"/>
        </w:rPr>
        <w:t>Farmakoterapijska grupa:</w:t>
      </w:r>
      <w:r w:rsidR="000F1999" w:rsidRPr="008E586D">
        <w:rPr>
          <w:rFonts w:eastAsia="TimesNewRoman"/>
          <w:bCs/>
          <w:sz w:val="22"/>
          <w:szCs w:val="22"/>
          <w:lang w:val="sr-Latn-ME" w:eastAsia="hr-HR"/>
        </w:rPr>
        <w:t xml:space="preserve"> </w:t>
      </w:r>
      <w:r w:rsidR="00BF6FBC" w:rsidRPr="00BF6FBC">
        <w:rPr>
          <w:rFonts w:eastAsia="TimesNewRoman"/>
          <w:bCs/>
          <w:sz w:val="22"/>
          <w:szCs w:val="22"/>
          <w:lang w:val="sr-Latn-ME" w:eastAsia="hr-HR"/>
        </w:rPr>
        <w:t>inhibitori topoizomeraze 1 (TOP1)</w:t>
      </w:r>
    </w:p>
    <w:p w:rsidR="0072020E" w:rsidRPr="008E586D" w:rsidRDefault="0072020E" w:rsidP="00480FB1">
      <w:pPr>
        <w:tabs>
          <w:tab w:val="left" w:pos="540"/>
          <w:tab w:val="left" w:pos="569"/>
        </w:tabs>
        <w:rPr>
          <w:bCs/>
          <w:sz w:val="22"/>
          <w:szCs w:val="22"/>
          <w:lang w:val="sr-Latn-ME"/>
        </w:rPr>
      </w:pPr>
    </w:p>
    <w:p w:rsidR="00C729E0" w:rsidRDefault="0072020E" w:rsidP="000F1999">
      <w:pPr>
        <w:tabs>
          <w:tab w:val="left" w:pos="540"/>
          <w:tab w:val="left" w:pos="569"/>
        </w:tabs>
        <w:rPr>
          <w:bCs/>
          <w:sz w:val="22"/>
          <w:szCs w:val="22"/>
          <w:lang w:val="sr-Latn-ME"/>
        </w:rPr>
      </w:pPr>
      <w:r w:rsidRPr="008E586D">
        <w:rPr>
          <w:bCs/>
          <w:sz w:val="22"/>
          <w:szCs w:val="22"/>
          <w:lang w:val="sr-Latn-ME"/>
        </w:rPr>
        <w:t>ATC kod:</w:t>
      </w:r>
      <w:r w:rsidR="000F1999" w:rsidRPr="008E586D">
        <w:rPr>
          <w:rFonts w:eastAsia="TimesNewRoman"/>
          <w:bCs/>
          <w:sz w:val="22"/>
          <w:szCs w:val="22"/>
          <w:lang w:val="sr-Latn-ME" w:eastAsia="hr-HR"/>
        </w:rPr>
        <w:t xml:space="preserve"> </w:t>
      </w:r>
      <w:r w:rsidR="00BF6FBC" w:rsidRPr="00BF6FBC">
        <w:rPr>
          <w:bCs/>
          <w:sz w:val="22"/>
          <w:szCs w:val="22"/>
          <w:lang w:val="sr-Latn-ME"/>
        </w:rPr>
        <w:t>L01CE02</w:t>
      </w:r>
    </w:p>
    <w:p w:rsidR="00BF6FBC" w:rsidRDefault="00BF6FBC" w:rsidP="000F1999">
      <w:pPr>
        <w:tabs>
          <w:tab w:val="left" w:pos="540"/>
          <w:tab w:val="left" w:pos="569"/>
        </w:tabs>
        <w:rPr>
          <w:b/>
          <w:bCs/>
          <w:sz w:val="22"/>
          <w:szCs w:val="22"/>
          <w:lang w:val="sr-Latn-ME"/>
        </w:rPr>
      </w:pPr>
    </w:p>
    <w:p w:rsidR="000F1999" w:rsidRPr="008E586D" w:rsidRDefault="00A06FB4" w:rsidP="000F1999">
      <w:pPr>
        <w:tabs>
          <w:tab w:val="left" w:pos="540"/>
          <w:tab w:val="left" w:pos="569"/>
        </w:tabs>
        <w:rPr>
          <w:b/>
          <w:bCs/>
          <w:sz w:val="22"/>
          <w:szCs w:val="22"/>
          <w:lang w:val="sr-Latn-ME"/>
        </w:rPr>
      </w:pPr>
      <w:r w:rsidRPr="008E586D">
        <w:rPr>
          <w:b/>
          <w:bCs/>
          <w:sz w:val="22"/>
          <w:szCs w:val="22"/>
          <w:lang w:val="sr-Latn-ME"/>
        </w:rPr>
        <w:t>Mehanizam djelovanja</w:t>
      </w:r>
    </w:p>
    <w:p w:rsidR="00A06FB4" w:rsidRPr="008E586D" w:rsidRDefault="00A06FB4" w:rsidP="000F1999">
      <w:pPr>
        <w:tabs>
          <w:tab w:val="left" w:pos="540"/>
          <w:tab w:val="left" w:pos="569"/>
        </w:tabs>
        <w:rPr>
          <w:bCs/>
          <w:sz w:val="22"/>
          <w:szCs w:val="22"/>
          <w:lang w:val="sr-Latn-ME"/>
        </w:rPr>
      </w:pPr>
    </w:p>
    <w:p w:rsidR="000F1999" w:rsidRPr="008E586D" w:rsidRDefault="000F1999" w:rsidP="000F1999">
      <w:pPr>
        <w:tabs>
          <w:tab w:val="left" w:pos="284"/>
        </w:tabs>
        <w:jc w:val="both"/>
        <w:rPr>
          <w:b/>
          <w:sz w:val="22"/>
          <w:szCs w:val="22"/>
          <w:lang w:val="sr-Latn-ME" w:bidi="bn-IN"/>
        </w:rPr>
      </w:pPr>
      <w:r w:rsidRPr="008E586D">
        <w:rPr>
          <w:b/>
          <w:sz w:val="22"/>
          <w:szCs w:val="22"/>
          <w:lang w:val="sr-Latn-ME" w:bidi="bn-IN"/>
        </w:rPr>
        <w:t>Eksperimentalni podaci</w:t>
      </w:r>
    </w:p>
    <w:p w:rsidR="00C729E0" w:rsidRDefault="00C729E0" w:rsidP="000F1999">
      <w:pPr>
        <w:autoSpaceDE w:val="0"/>
        <w:autoSpaceDN w:val="0"/>
        <w:adjustRightInd w:val="0"/>
        <w:jc w:val="both"/>
        <w:rPr>
          <w:rFonts w:eastAsia="TimesNewRoman"/>
          <w:sz w:val="22"/>
          <w:szCs w:val="22"/>
          <w:lang w:val="sr-Latn-ME" w:eastAsia="sr-Latn-ME"/>
        </w:rPr>
      </w:pPr>
    </w:p>
    <w:p w:rsidR="000F1999" w:rsidRPr="008E586D" w:rsidRDefault="000F1999" w:rsidP="000F1999">
      <w:pPr>
        <w:autoSpaceDE w:val="0"/>
        <w:autoSpaceDN w:val="0"/>
        <w:adjustRightInd w:val="0"/>
        <w:jc w:val="both"/>
        <w:rPr>
          <w:rFonts w:eastAsia="TimesNewRoman"/>
          <w:sz w:val="22"/>
          <w:szCs w:val="22"/>
          <w:lang w:val="sr-Latn-ME" w:eastAsia="sr-Latn-ME"/>
        </w:rPr>
      </w:pPr>
      <w:r w:rsidRPr="008E586D">
        <w:rPr>
          <w:rFonts w:eastAsia="TimesNewRoman"/>
          <w:sz w:val="22"/>
          <w:szCs w:val="22"/>
          <w:lang w:val="sr-Latn-ME" w:eastAsia="sr-Latn-ME"/>
        </w:rPr>
        <w:t>Irinotekan je polusintetski derivat kamptotecina. To je antineoplastično sredstvo koje djeluje kao specifični inhibitor DNK topoizomeraze I. U većini tkiva, metaboliše ga karboksilesteraza do SN-38. Pokazano je da je SN-38 aktivniji od irinotekana u prečišćenoj topoizomerazi I i više citotoksičan od irinotekana za nekoliko tipova tumorskih ćelija kod miševa i ljudi. Inhibicija DNK topoizomeraze I irinotekanom ili sa SN-38 izaziva lezije jednog lanca DNK, što blokira DNK replikacionu viljušku i odgovorno je za citotoksičnost. Pokazano je da je citotoksično dejstvo vremenski zavisno i da je specifično za S fazu.</w:t>
      </w:r>
    </w:p>
    <w:p w:rsidR="00E126E5" w:rsidRPr="008E586D" w:rsidRDefault="00E126E5" w:rsidP="000F1999">
      <w:pPr>
        <w:autoSpaceDE w:val="0"/>
        <w:autoSpaceDN w:val="0"/>
        <w:adjustRightInd w:val="0"/>
        <w:jc w:val="both"/>
        <w:rPr>
          <w:rFonts w:eastAsia="TimesNewRoman"/>
          <w:sz w:val="22"/>
          <w:szCs w:val="22"/>
          <w:lang w:val="sr-Latn-ME" w:eastAsia="sr-Latn-ME"/>
        </w:rPr>
      </w:pPr>
    </w:p>
    <w:p w:rsidR="000F1999" w:rsidRPr="008E586D" w:rsidRDefault="000F1999" w:rsidP="000F1999">
      <w:pPr>
        <w:autoSpaceDE w:val="0"/>
        <w:autoSpaceDN w:val="0"/>
        <w:adjustRightInd w:val="0"/>
        <w:jc w:val="both"/>
        <w:rPr>
          <w:rFonts w:eastAsia="TimesNewRoman"/>
          <w:sz w:val="22"/>
          <w:szCs w:val="22"/>
          <w:lang w:val="sr-Latn-ME" w:eastAsia="sr-Latn-ME"/>
        </w:rPr>
      </w:pPr>
      <w:r w:rsidRPr="008E586D">
        <w:rPr>
          <w:rFonts w:eastAsia="TimesNewRoman"/>
          <w:i/>
          <w:iCs/>
          <w:sz w:val="22"/>
          <w:szCs w:val="22"/>
          <w:lang w:val="sr-Latn-ME" w:eastAsia="sr-Latn-ME"/>
        </w:rPr>
        <w:t>In vitro</w:t>
      </w:r>
      <w:r w:rsidRPr="008E586D">
        <w:rPr>
          <w:rFonts w:eastAsia="TimesNewRoman"/>
          <w:sz w:val="22"/>
          <w:szCs w:val="22"/>
          <w:lang w:val="sr-Latn-ME" w:eastAsia="sr-Latn-ME"/>
        </w:rPr>
        <w:t>, P-glikoproteinski MDR transporter ne prepoznaje u značajnoj m</w:t>
      </w:r>
      <w:r w:rsidR="00E126E5" w:rsidRPr="008E586D">
        <w:rPr>
          <w:rFonts w:eastAsia="TimesNewRoman"/>
          <w:sz w:val="22"/>
          <w:szCs w:val="22"/>
          <w:lang w:val="sr-Latn-ME" w:eastAsia="sr-Latn-ME"/>
        </w:rPr>
        <w:t>j</w:t>
      </w:r>
      <w:r w:rsidRPr="008E586D">
        <w:rPr>
          <w:rFonts w:eastAsia="TimesNewRoman"/>
          <w:sz w:val="22"/>
          <w:szCs w:val="22"/>
          <w:lang w:val="sr-Latn-ME" w:eastAsia="sr-Latn-ME"/>
        </w:rPr>
        <w:t>eri irinotekan i SN-38, pa oni djeluju citotoksično na ćelijske linije koje su rezistentne na doksorubicin i vinblastin.</w:t>
      </w:r>
    </w:p>
    <w:p w:rsidR="00E126E5" w:rsidRPr="008E586D" w:rsidRDefault="00E126E5" w:rsidP="000F1999">
      <w:pPr>
        <w:autoSpaceDE w:val="0"/>
        <w:autoSpaceDN w:val="0"/>
        <w:adjustRightInd w:val="0"/>
        <w:jc w:val="both"/>
        <w:rPr>
          <w:rFonts w:eastAsia="TimesNewRoman"/>
          <w:sz w:val="22"/>
          <w:szCs w:val="22"/>
          <w:lang w:val="sr-Latn-ME" w:eastAsia="sr-Latn-ME"/>
        </w:rPr>
      </w:pPr>
    </w:p>
    <w:p w:rsidR="000F1999" w:rsidRPr="008E586D" w:rsidRDefault="000F1999" w:rsidP="000F1999">
      <w:pPr>
        <w:autoSpaceDE w:val="0"/>
        <w:autoSpaceDN w:val="0"/>
        <w:adjustRightInd w:val="0"/>
        <w:jc w:val="both"/>
        <w:rPr>
          <w:rFonts w:eastAsia="TimesNewRoman"/>
          <w:sz w:val="22"/>
          <w:szCs w:val="22"/>
          <w:lang w:val="sr-Latn-ME" w:eastAsia="sr-Latn-ME"/>
        </w:rPr>
      </w:pPr>
      <w:r w:rsidRPr="008E586D">
        <w:rPr>
          <w:rFonts w:eastAsia="TimesNewRoman"/>
          <w:sz w:val="22"/>
          <w:szCs w:val="22"/>
          <w:lang w:val="sr-Latn-ME" w:eastAsia="sr-Latn-ME"/>
        </w:rPr>
        <w:t xml:space="preserve">Osim toga, u ispitivanjima </w:t>
      </w:r>
      <w:r w:rsidRPr="008E586D">
        <w:rPr>
          <w:rFonts w:eastAsia="TimesNewRoman"/>
          <w:i/>
          <w:iCs/>
          <w:sz w:val="22"/>
          <w:szCs w:val="22"/>
          <w:lang w:val="sr-Latn-ME" w:eastAsia="sr-Latn-ME"/>
        </w:rPr>
        <w:t xml:space="preserve">in vivo </w:t>
      </w:r>
      <w:r w:rsidRPr="008E586D">
        <w:rPr>
          <w:rFonts w:eastAsia="TimesNewRoman"/>
          <w:sz w:val="22"/>
          <w:szCs w:val="22"/>
          <w:lang w:val="sr-Latn-ME" w:eastAsia="sr-Latn-ME"/>
        </w:rPr>
        <w:t>irinotekan pokazuje širok spektar antitumorske aktivnosti na tumorskim modelima miševa (P03 adenokarcinom kanalića pankreasa, MA16/C adenokarcinom dojke, C38 i C51 adenokarcinomi kolona) i na humanim ksenograftovima (Co-4 adenokarcinom kolona, Mx-1 adenokarcinom dojke, ST-15 i SC-16 adenokarcinomi želuca). Irinotekan je takođe djelotvoran protiv tumora koji eksprimiraju P-glikoproteinski MDR transporter (P388 leukemije rezistentne na vinkristin i doksorubicin).</w:t>
      </w:r>
    </w:p>
    <w:p w:rsidR="00E126E5" w:rsidRPr="008E586D" w:rsidRDefault="00E126E5" w:rsidP="000F1999">
      <w:pPr>
        <w:autoSpaceDE w:val="0"/>
        <w:autoSpaceDN w:val="0"/>
        <w:adjustRightInd w:val="0"/>
        <w:jc w:val="both"/>
        <w:rPr>
          <w:rFonts w:eastAsia="TimesNewRoman"/>
          <w:sz w:val="22"/>
          <w:szCs w:val="22"/>
          <w:lang w:val="sr-Latn-ME" w:eastAsia="sr-Latn-ME"/>
        </w:rPr>
      </w:pPr>
    </w:p>
    <w:p w:rsidR="000F1999" w:rsidRPr="008E586D" w:rsidRDefault="000F1999" w:rsidP="000F1999">
      <w:pPr>
        <w:autoSpaceDE w:val="0"/>
        <w:autoSpaceDN w:val="0"/>
        <w:adjustRightInd w:val="0"/>
        <w:jc w:val="both"/>
        <w:rPr>
          <w:rFonts w:eastAsia="TimesNewRoman"/>
          <w:sz w:val="22"/>
          <w:szCs w:val="22"/>
          <w:lang w:val="sr-Latn-ME" w:eastAsia="sr-Latn-ME"/>
        </w:rPr>
      </w:pPr>
      <w:r w:rsidRPr="008E586D">
        <w:rPr>
          <w:rFonts w:eastAsia="TimesNewRoman"/>
          <w:sz w:val="22"/>
          <w:szCs w:val="22"/>
          <w:lang w:val="sr-Latn-ME" w:eastAsia="sr-Latn-ME"/>
        </w:rPr>
        <w:t>Osim antitumorske aktivnosti lijeka Irinotecan Accord, najvažnije farmakološko dejstvo irinotekana je inhibicija acetilholinesteraze.</w:t>
      </w:r>
    </w:p>
    <w:p w:rsidR="000F1999" w:rsidRPr="008E586D" w:rsidRDefault="000F1999" w:rsidP="000F1999">
      <w:pPr>
        <w:tabs>
          <w:tab w:val="left" w:pos="540"/>
          <w:tab w:val="left" w:pos="569"/>
        </w:tabs>
        <w:rPr>
          <w:rFonts w:eastAsia="TimesNewRoman"/>
          <w:sz w:val="22"/>
          <w:szCs w:val="22"/>
          <w:lang w:val="sr-Latn-ME" w:eastAsia="sr-Latn-ME"/>
        </w:rPr>
      </w:pPr>
    </w:p>
    <w:p w:rsidR="000F1999" w:rsidRPr="008E586D" w:rsidRDefault="000F1999" w:rsidP="000F1999">
      <w:pPr>
        <w:autoSpaceDE w:val="0"/>
        <w:autoSpaceDN w:val="0"/>
        <w:adjustRightInd w:val="0"/>
        <w:jc w:val="both"/>
        <w:rPr>
          <w:b/>
          <w:bCs/>
          <w:iCs/>
          <w:sz w:val="22"/>
          <w:szCs w:val="22"/>
          <w:lang w:val="sr-Latn-ME" w:eastAsia="sr-Latn-ME"/>
        </w:rPr>
      </w:pPr>
      <w:r w:rsidRPr="008E586D">
        <w:rPr>
          <w:b/>
          <w:bCs/>
          <w:iCs/>
          <w:sz w:val="22"/>
          <w:szCs w:val="22"/>
          <w:lang w:val="sr-Latn-ME" w:eastAsia="sr-Latn-ME"/>
        </w:rPr>
        <w:t>Klinički podaci</w:t>
      </w:r>
    </w:p>
    <w:p w:rsidR="00E126E5" w:rsidRPr="008E586D" w:rsidRDefault="00E126E5" w:rsidP="000F1999">
      <w:pPr>
        <w:autoSpaceDE w:val="0"/>
        <w:autoSpaceDN w:val="0"/>
        <w:adjustRightInd w:val="0"/>
        <w:jc w:val="both"/>
        <w:rPr>
          <w:b/>
          <w:bCs/>
          <w:iCs/>
          <w:sz w:val="22"/>
          <w:szCs w:val="22"/>
          <w:lang w:val="sr-Latn-ME" w:eastAsia="sr-Latn-ME"/>
        </w:rPr>
      </w:pPr>
    </w:p>
    <w:p w:rsidR="000F1999" w:rsidRPr="008E586D" w:rsidRDefault="000F1999" w:rsidP="000F1999">
      <w:pPr>
        <w:autoSpaceDE w:val="0"/>
        <w:autoSpaceDN w:val="0"/>
        <w:adjustRightInd w:val="0"/>
        <w:jc w:val="both"/>
        <w:rPr>
          <w:rFonts w:eastAsia="TimesNewRoman,Bold"/>
          <w:b/>
          <w:bCs/>
          <w:sz w:val="22"/>
          <w:szCs w:val="22"/>
          <w:lang w:val="sr-Latn-ME" w:eastAsia="sr-Latn-ME"/>
        </w:rPr>
      </w:pPr>
      <w:r w:rsidRPr="008E586D">
        <w:rPr>
          <w:rFonts w:eastAsia="TimesNewRoman,Bold"/>
          <w:b/>
          <w:bCs/>
          <w:sz w:val="22"/>
          <w:szCs w:val="22"/>
          <w:u w:val="single"/>
          <w:lang w:val="sr-Latn-ME" w:eastAsia="sr-Latn-ME"/>
        </w:rPr>
        <w:t>U kombinovanoj terapiji kao prva linija terapije metastatskog kolorektalnog karcinoma</w:t>
      </w:r>
      <w:r w:rsidRPr="008E586D">
        <w:rPr>
          <w:rFonts w:eastAsia="TimesNewRoman,Bold"/>
          <w:b/>
          <w:bCs/>
          <w:sz w:val="22"/>
          <w:szCs w:val="22"/>
          <w:lang w:val="sr-Latn-ME" w:eastAsia="sr-Latn-ME"/>
        </w:rPr>
        <w:t>:</w:t>
      </w:r>
    </w:p>
    <w:p w:rsidR="00E126E5" w:rsidRPr="008E586D" w:rsidRDefault="00E126E5" w:rsidP="000F1999">
      <w:pPr>
        <w:autoSpaceDE w:val="0"/>
        <w:autoSpaceDN w:val="0"/>
        <w:adjustRightInd w:val="0"/>
        <w:jc w:val="both"/>
        <w:rPr>
          <w:rFonts w:eastAsia="TimesNewRoman,Bold"/>
          <w:b/>
          <w:bCs/>
          <w:sz w:val="22"/>
          <w:szCs w:val="22"/>
          <w:lang w:val="sr-Latn-ME" w:eastAsia="sr-Latn-ME"/>
        </w:rPr>
      </w:pPr>
    </w:p>
    <w:p w:rsidR="000F1999" w:rsidRPr="008E586D" w:rsidRDefault="000F1999" w:rsidP="000F1999">
      <w:pPr>
        <w:autoSpaceDE w:val="0"/>
        <w:autoSpaceDN w:val="0"/>
        <w:adjustRightInd w:val="0"/>
        <w:jc w:val="both"/>
        <w:rPr>
          <w:rFonts w:eastAsia="TimesNewRoman,Bold"/>
          <w:b/>
          <w:bCs/>
          <w:sz w:val="22"/>
          <w:szCs w:val="22"/>
          <w:lang w:val="sr-Latn-ME" w:eastAsia="sr-Latn-ME"/>
        </w:rPr>
      </w:pPr>
      <w:r w:rsidRPr="008E586D">
        <w:rPr>
          <w:rFonts w:eastAsia="TimesNewRoman,Bold"/>
          <w:b/>
          <w:bCs/>
          <w:sz w:val="22"/>
          <w:szCs w:val="22"/>
          <w:lang w:val="sr-Latn-ME" w:eastAsia="sr-Latn-ME"/>
        </w:rPr>
        <w:t>U kombinovanoj terapiji sa folinskom kiselinom i 5-fluorouracilom</w:t>
      </w:r>
    </w:p>
    <w:p w:rsidR="00E126E5" w:rsidRPr="008E586D" w:rsidRDefault="00E126E5" w:rsidP="000F1999">
      <w:pPr>
        <w:autoSpaceDE w:val="0"/>
        <w:autoSpaceDN w:val="0"/>
        <w:adjustRightInd w:val="0"/>
        <w:jc w:val="both"/>
        <w:rPr>
          <w:rFonts w:eastAsia="TimesNewRoman,Bold"/>
          <w:b/>
          <w:bCs/>
          <w:sz w:val="22"/>
          <w:szCs w:val="22"/>
          <w:lang w:val="sr-Latn-ME" w:eastAsia="sr-Latn-ME"/>
        </w:rPr>
      </w:pPr>
    </w:p>
    <w:p w:rsidR="000F1999" w:rsidRPr="008E586D" w:rsidRDefault="000F1999" w:rsidP="000F1999">
      <w:pPr>
        <w:autoSpaceDE w:val="0"/>
        <w:autoSpaceDN w:val="0"/>
        <w:adjustRightInd w:val="0"/>
        <w:jc w:val="both"/>
        <w:rPr>
          <w:rFonts w:eastAsia="TimesNewRoman"/>
          <w:sz w:val="22"/>
          <w:szCs w:val="22"/>
          <w:lang w:val="sr-Latn-ME" w:eastAsia="sr-Latn-ME"/>
        </w:rPr>
      </w:pPr>
      <w:r w:rsidRPr="008E586D">
        <w:rPr>
          <w:rFonts w:eastAsia="TimesNewRoman"/>
          <w:sz w:val="22"/>
          <w:szCs w:val="22"/>
          <w:lang w:val="sr-Latn-ME" w:eastAsia="sr-Latn-ME"/>
        </w:rPr>
        <w:t xml:space="preserve">Studija III faze sprovedena je </w:t>
      </w:r>
      <w:r w:rsidR="00D53821" w:rsidRPr="008E586D">
        <w:rPr>
          <w:rFonts w:eastAsia="TimesNewRoman"/>
          <w:sz w:val="22"/>
          <w:szCs w:val="22"/>
          <w:lang w:val="sr-Latn-ME" w:eastAsia="sr-Latn-ME"/>
        </w:rPr>
        <w:t xml:space="preserve">kod </w:t>
      </w:r>
      <w:r w:rsidRPr="008E586D">
        <w:rPr>
          <w:rFonts w:eastAsia="TimesNewRoman"/>
          <w:sz w:val="22"/>
          <w:szCs w:val="22"/>
          <w:lang w:val="sr-Latn-ME" w:eastAsia="sr-Latn-ME"/>
        </w:rPr>
        <w:t>385 prethodno neliječenih pacijenata sa metastatskim kolorektalnim</w:t>
      </w:r>
    </w:p>
    <w:p w:rsidR="000F1999" w:rsidRPr="008E586D" w:rsidRDefault="000F1999" w:rsidP="000F1999">
      <w:pPr>
        <w:autoSpaceDE w:val="0"/>
        <w:autoSpaceDN w:val="0"/>
        <w:adjustRightInd w:val="0"/>
        <w:jc w:val="both"/>
        <w:rPr>
          <w:rFonts w:eastAsia="TimesNewRoman"/>
          <w:sz w:val="22"/>
          <w:szCs w:val="22"/>
          <w:lang w:val="sr-Latn-ME" w:eastAsia="sr-Latn-ME"/>
        </w:rPr>
      </w:pPr>
      <w:r w:rsidRPr="008E586D">
        <w:rPr>
          <w:rFonts w:eastAsia="TimesNewRoman"/>
          <w:sz w:val="22"/>
          <w:szCs w:val="22"/>
          <w:lang w:val="sr-Latn-ME" w:eastAsia="sr-Latn-ME"/>
        </w:rPr>
        <w:t xml:space="preserve">karcinomom koji su dobijali terapiju svake dvije nedjelje (vidjeti dio 4.2) ili svake nedjelje. U prvom slučaju (dvonedjeljni režim), prvog dana ciklusa, </w:t>
      </w:r>
      <w:r w:rsidR="00873E8A" w:rsidRPr="008E586D">
        <w:rPr>
          <w:rFonts w:eastAsia="TimesNewRoman"/>
          <w:sz w:val="22"/>
          <w:szCs w:val="22"/>
          <w:lang w:val="sr-Latn-ME" w:eastAsia="sr-Latn-ME"/>
        </w:rPr>
        <w:t>poslije</w:t>
      </w:r>
      <w:r w:rsidRPr="008E586D">
        <w:rPr>
          <w:rFonts w:eastAsia="TimesNewRoman"/>
          <w:sz w:val="22"/>
          <w:szCs w:val="22"/>
          <w:lang w:val="sr-Latn-ME" w:eastAsia="sr-Latn-ME"/>
        </w:rPr>
        <w:t xml:space="preserve"> primjene lijeka Irinotecan Accord (180 mg/m</w:t>
      </w:r>
      <w:r w:rsidRPr="008E586D">
        <w:rPr>
          <w:rFonts w:eastAsia="TimesNewRoman"/>
          <w:sz w:val="22"/>
          <w:szCs w:val="22"/>
          <w:vertAlign w:val="superscript"/>
          <w:lang w:val="sr-Latn-ME" w:eastAsia="sr-Latn-ME"/>
        </w:rPr>
        <w:t>2</w:t>
      </w:r>
      <w:r w:rsidRPr="008E586D">
        <w:rPr>
          <w:rFonts w:eastAsia="TimesNewRoman"/>
          <w:sz w:val="22"/>
          <w:szCs w:val="22"/>
          <w:lang w:val="sr-Latn-ME" w:eastAsia="sr-Latn-ME"/>
        </w:rPr>
        <w:t>, jednom u dvije nedjelje), pacijenti su dobijali folinsku kiselinu (200 mg/m</w:t>
      </w:r>
      <w:r w:rsidRPr="008E586D">
        <w:rPr>
          <w:rFonts w:eastAsia="TimesNewRoman"/>
          <w:sz w:val="22"/>
          <w:szCs w:val="22"/>
          <w:vertAlign w:val="superscript"/>
          <w:lang w:val="sr-Latn-ME" w:eastAsia="sr-Latn-ME"/>
        </w:rPr>
        <w:t>2</w:t>
      </w:r>
      <w:r w:rsidRPr="008E586D">
        <w:rPr>
          <w:rFonts w:eastAsia="TimesNewRoman"/>
          <w:sz w:val="22"/>
          <w:szCs w:val="22"/>
          <w:lang w:val="sr-Latn-ME" w:eastAsia="sr-Latn-ME"/>
        </w:rPr>
        <w:t>, i.v. infuzija, tokom 2 h), a zatim 5-fluorouracil (400 mg/m</w:t>
      </w:r>
      <w:r w:rsidRPr="008E586D">
        <w:rPr>
          <w:rFonts w:eastAsia="TimesNewRoman"/>
          <w:sz w:val="22"/>
          <w:szCs w:val="22"/>
          <w:vertAlign w:val="superscript"/>
          <w:lang w:val="sr-Latn-ME" w:eastAsia="sr-Latn-ME"/>
        </w:rPr>
        <w:t>2</w:t>
      </w:r>
      <w:r w:rsidRPr="008E586D">
        <w:rPr>
          <w:rFonts w:eastAsia="TimesNewRoman"/>
          <w:sz w:val="22"/>
          <w:szCs w:val="22"/>
          <w:lang w:val="sr-Latn-ME" w:eastAsia="sr-Latn-ME"/>
        </w:rPr>
        <w:t>, i.v. bolus, a zatim 600 mg/m</w:t>
      </w:r>
      <w:r w:rsidRPr="008E586D">
        <w:rPr>
          <w:rFonts w:eastAsia="TimesNewRoman"/>
          <w:sz w:val="22"/>
          <w:szCs w:val="22"/>
          <w:vertAlign w:val="superscript"/>
          <w:lang w:val="sr-Latn-ME" w:eastAsia="sr-Latn-ME"/>
        </w:rPr>
        <w:t>2</w:t>
      </w:r>
      <w:r w:rsidRPr="008E586D">
        <w:rPr>
          <w:rFonts w:eastAsia="TimesNewRoman"/>
          <w:sz w:val="22"/>
          <w:szCs w:val="22"/>
          <w:lang w:val="sr-Latn-ME" w:eastAsia="sr-Latn-ME"/>
        </w:rPr>
        <w:t xml:space="preserve"> u i.v. infuziji tokom 22 h). Drugog dana ciklusa, folinska kiselina i 5-fluorouracil primijenjeni su u istoj dozi i doznom režimu kao i prvog dana. U nedjeljnom režimu, </w:t>
      </w:r>
      <w:r w:rsidR="00873E8A" w:rsidRPr="008E586D">
        <w:rPr>
          <w:rFonts w:eastAsia="TimesNewRoman"/>
          <w:sz w:val="22"/>
          <w:szCs w:val="22"/>
          <w:lang w:val="sr-Latn-ME" w:eastAsia="sr-Latn-ME"/>
        </w:rPr>
        <w:t>poslije</w:t>
      </w:r>
      <w:r w:rsidRPr="008E586D">
        <w:rPr>
          <w:rFonts w:eastAsia="TimesNewRoman"/>
          <w:sz w:val="22"/>
          <w:szCs w:val="22"/>
          <w:lang w:val="sr-Latn-ME" w:eastAsia="sr-Latn-ME"/>
        </w:rPr>
        <w:t xml:space="preserve"> primjene lijeka Irinotecan Accord (80 mg/m</w:t>
      </w:r>
      <w:r w:rsidRPr="008E586D">
        <w:rPr>
          <w:rFonts w:eastAsia="TimesNewRoman"/>
          <w:sz w:val="22"/>
          <w:szCs w:val="22"/>
          <w:vertAlign w:val="superscript"/>
          <w:lang w:val="sr-Latn-ME" w:eastAsia="sr-Latn-ME"/>
        </w:rPr>
        <w:t>2</w:t>
      </w:r>
      <w:r w:rsidRPr="008E586D">
        <w:rPr>
          <w:rFonts w:eastAsia="TimesNewRoman"/>
          <w:sz w:val="22"/>
          <w:szCs w:val="22"/>
          <w:lang w:val="sr-Latn-ME" w:eastAsia="sr-Latn-ME"/>
        </w:rPr>
        <w:t>), pacijenti su dobijali folinsku kiselinu (500 mg/m</w:t>
      </w:r>
      <w:r w:rsidRPr="008E586D">
        <w:rPr>
          <w:rFonts w:eastAsia="TimesNewRoman"/>
          <w:sz w:val="22"/>
          <w:szCs w:val="22"/>
          <w:vertAlign w:val="superscript"/>
          <w:lang w:val="sr-Latn-ME" w:eastAsia="sr-Latn-ME"/>
        </w:rPr>
        <w:t>2</w:t>
      </w:r>
      <w:r w:rsidRPr="008E586D">
        <w:rPr>
          <w:rFonts w:eastAsia="TimesNewRoman"/>
          <w:sz w:val="22"/>
          <w:szCs w:val="22"/>
          <w:lang w:val="sr-Latn-ME" w:eastAsia="sr-Latn-ME"/>
        </w:rPr>
        <w:t>, i.v. infuzija, tokom 2 h), a zatim 5-fluorouracil (2300 mg/m</w:t>
      </w:r>
      <w:r w:rsidRPr="008E586D">
        <w:rPr>
          <w:rFonts w:eastAsia="TimesNewRoman"/>
          <w:sz w:val="22"/>
          <w:szCs w:val="22"/>
          <w:vertAlign w:val="superscript"/>
          <w:lang w:val="sr-Latn-ME" w:eastAsia="sr-Latn-ME"/>
        </w:rPr>
        <w:t>2</w:t>
      </w:r>
      <w:r w:rsidRPr="008E586D">
        <w:rPr>
          <w:rFonts w:eastAsia="TimesNewRoman"/>
          <w:sz w:val="22"/>
          <w:szCs w:val="22"/>
          <w:lang w:val="sr-Latn-ME" w:eastAsia="sr-Latn-ME"/>
        </w:rPr>
        <w:t xml:space="preserve"> u i.v. infuziji u trajanju od 24 h), tokom 6 nedjelja.</w:t>
      </w:r>
    </w:p>
    <w:p w:rsidR="00E126E5" w:rsidRPr="008E586D" w:rsidRDefault="00E126E5" w:rsidP="000F1999">
      <w:pPr>
        <w:autoSpaceDE w:val="0"/>
        <w:autoSpaceDN w:val="0"/>
        <w:adjustRightInd w:val="0"/>
        <w:jc w:val="both"/>
        <w:rPr>
          <w:rFonts w:eastAsia="TimesNewRoman"/>
          <w:sz w:val="22"/>
          <w:szCs w:val="22"/>
          <w:lang w:val="sr-Latn-ME" w:eastAsia="sr-Latn-ME"/>
        </w:rPr>
      </w:pPr>
    </w:p>
    <w:p w:rsidR="000F1999" w:rsidRDefault="000F1999" w:rsidP="000F1999">
      <w:pPr>
        <w:autoSpaceDE w:val="0"/>
        <w:autoSpaceDN w:val="0"/>
        <w:adjustRightInd w:val="0"/>
        <w:jc w:val="both"/>
        <w:rPr>
          <w:rFonts w:eastAsia="TimesNewRoman"/>
          <w:sz w:val="22"/>
          <w:szCs w:val="22"/>
          <w:lang w:val="sr-Latn-ME" w:eastAsia="sr-Latn-ME"/>
        </w:rPr>
      </w:pPr>
      <w:r w:rsidRPr="008E586D">
        <w:rPr>
          <w:rFonts w:eastAsia="TimesNewRoman"/>
          <w:sz w:val="22"/>
          <w:szCs w:val="22"/>
          <w:lang w:val="sr-Latn-ME" w:eastAsia="sr-Latn-ME"/>
        </w:rPr>
        <w:t>U studiji sa kombinovanom terapijom, sa dva opisana dozna režima, efikasnost lijeka Irinotecan Accord ispitana je na 198 liječenih pacijenata:</w:t>
      </w:r>
    </w:p>
    <w:p w:rsidR="00C729E0" w:rsidRDefault="00C729E0" w:rsidP="000F1999">
      <w:pPr>
        <w:autoSpaceDE w:val="0"/>
        <w:autoSpaceDN w:val="0"/>
        <w:adjustRightInd w:val="0"/>
        <w:jc w:val="both"/>
        <w:rPr>
          <w:rFonts w:eastAsia="TimesNewRoman"/>
          <w:sz w:val="22"/>
          <w:szCs w:val="22"/>
          <w:lang w:val="sr-Latn-ME" w:eastAsia="sr-Latn-ME"/>
        </w:rPr>
      </w:pPr>
    </w:p>
    <w:p w:rsidR="00C729E0" w:rsidRDefault="00C729E0" w:rsidP="000F1999">
      <w:pPr>
        <w:autoSpaceDE w:val="0"/>
        <w:autoSpaceDN w:val="0"/>
        <w:adjustRightInd w:val="0"/>
        <w:jc w:val="both"/>
        <w:rPr>
          <w:rFonts w:eastAsia="TimesNewRoman"/>
          <w:sz w:val="22"/>
          <w:szCs w:val="22"/>
          <w:lang w:val="sr-Latn-ME" w:eastAsia="sr-Latn-ME"/>
        </w:rPr>
      </w:pPr>
    </w:p>
    <w:p w:rsidR="00C729E0" w:rsidRDefault="00C729E0" w:rsidP="000F1999">
      <w:pPr>
        <w:autoSpaceDE w:val="0"/>
        <w:autoSpaceDN w:val="0"/>
        <w:adjustRightInd w:val="0"/>
        <w:jc w:val="both"/>
        <w:rPr>
          <w:rFonts w:eastAsia="TimesNewRoman"/>
          <w:sz w:val="22"/>
          <w:szCs w:val="22"/>
          <w:lang w:val="sr-Latn-ME" w:eastAsia="sr-Latn-ME"/>
        </w:rPr>
      </w:pPr>
    </w:p>
    <w:p w:rsidR="00C729E0" w:rsidRPr="008E586D" w:rsidRDefault="00C729E0" w:rsidP="000F1999">
      <w:pPr>
        <w:autoSpaceDE w:val="0"/>
        <w:autoSpaceDN w:val="0"/>
        <w:adjustRightInd w:val="0"/>
        <w:jc w:val="both"/>
        <w:rPr>
          <w:rFonts w:eastAsia="TimesNewRoman"/>
          <w:sz w:val="22"/>
          <w:szCs w:val="22"/>
          <w:lang w:val="sr-Latn-ME" w:eastAsia="sr-Latn-ME"/>
        </w:rPr>
      </w:pPr>
    </w:p>
    <w:p w:rsidR="0038443C" w:rsidRPr="008E586D" w:rsidRDefault="0038443C" w:rsidP="000F1999">
      <w:pPr>
        <w:autoSpaceDE w:val="0"/>
        <w:autoSpaceDN w:val="0"/>
        <w:adjustRightInd w:val="0"/>
        <w:jc w:val="both"/>
        <w:rPr>
          <w:rFonts w:eastAsia="TimesNewRoman"/>
          <w:sz w:val="22"/>
          <w:szCs w:val="22"/>
          <w:lang w:val="sr-Latn-ME" w:eastAsia="sr-Latn-ME"/>
        </w:rPr>
      </w:pPr>
    </w:p>
    <w:tbl>
      <w:tblPr>
        <w:tblStyle w:val="TableGrid"/>
        <w:tblW w:w="0" w:type="auto"/>
        <w:tblLayout w:type="fixed"/>
        <w:tblLook w:val="04A0" w:firstRow="1" w:lastRow="0" w:firstColumn="1" w:lastColumn="0" w:noHBand="0" w:noVBand="1"/>
      </w:tblPr>
      <w:tblGrid>
        <w:gridCol w:w="1617"/>
        <w:gridCol w:w="1213"/>
        <w:gridCol w:w="1269"/>
        <w:gridCol w:w="1283"/>
        <w:gridCol w:w="1199"/>
        <w:gridCol w:w="1211"/>
        <w:gridCol w:w="1271"/>
      </w:tblGrid>
      <w:tr w:rsidR="0038443C" w:rsidRPr="008E586D" w:rsidTr="00926D14">
        <w:tc>
          <w:tcPr>
            <w:tcW w:w="1617" w:type="dxa"/>
          </w:tcPr>
          <w:p w:rsidR="0038443C" w:rsidRPr="008E586D" w:rsidRDefault="0038443C" w:rsidP="00043878">
            <w:pPr>
              <w:autoSpaceDE w:val="0"/>
              <w:autoSpaceDN w:val="0"/>
              <w:adjustRightInd w:val="0"/>
              <w:rPr>
                <w:rFonts w:ascii="Times New Roman" w:eastAsia="TimesNewRoman" w:hAnsi="Times New Roman" w:cs="Times New Roman"/>
                <w:sz w:val="22"/>
                <w:szCs w:val="22"/>
                <w:lang w:val="sr-Latn-ME" w:eastAsia="sr-Latn-ME"/>
              </w:rPr>
            </w:pPr>
          </w:p>
        </w:tc>
        <w:tc>
          <w:tcPr>
            <w:tcW w:w="2482" w:type="dxa"/>
            <w:gridSpan w:val="2"/>
          </w:tcPr>
          <w:p w:rsidR="0038443C" w:rsidRPr="00306D4F" w:rsidRDefault="0038443C" w:rsidP="00043878">
            <w:pPr>
              <w:autoSpaceDE w:val="0"/>
              <w:autoSpaceDN w:val="0"/>
              <w:adjustRightInd w:val="0"/>
              <w:jc w:val="center"/>
              <w:rPr>
                <w:rFonts w:ascii="Times New Roman" w:eastAsia="TimesNewRoman" w:hAnsi="Times New Roman" w:cs="Times New Roman"/>
                <w:sz w:val="22"/>
                <w:szCs w:val="22"/>
                <w:lang w:val="sr-Latn-ME" w:eastAsia="sr-Latn-ME"/>
              </w:rPr>
            </w:pPr>
            <w:r w:rsidRPr="00306D4F">
              <w:rPr>
                <w:rFonts w:ascii="Times New Roman" w:eastAsia="TimesNewRoman" w:hAnsi="Times New Roman" w:cs="Times New Roman"/>
                <w:sz w:val="22"/>
                <w:szCs w:val="22"/>
                <w:lang w:val="sr-Latn-ME" w:eastAsia="sr-Latn-ME"/>
              </w:rPr>
              <w:t>Kombinovani režim (n=198)</w:t>
            </w:r>
          </w:p>
        </w:tc>
        <w:tc>
          <w:tcPr>
            <w:tcW w:w="2482" w:type="dxa"/>
            <w:gridSpan w:val="2"/>
          </w:tcPr>
          <w:p w:rsidR="0038443C" w:rsidRPr="00306D4F" w:rsidRDefault="0038443C" w:rsidP="00043878">
            <w:pPr>
              <w:jc w:val="center"/>
              <w:rPr>
                <w:rFonts w:ascii="Times New Roman" w:hAnsi="Times New Roman" w:cs="Times New Roman"/>
                <w:sz w:val="22"/>
                <w:szCs w:val="22"/>
                <w:lang w:val="sr-Latn-ME"/>
              </w:rPr>
            </w:pPr>
            <w:r w:rsidRPr="00306D4F">
              <w:rPr>
                <w:rFonts w:ascii="Times New Roman" w:eastAsia="TimesNewRoman" w:hAnsi="Times New Roman" w:cs="Times New Roman"/>
                <w:sz w:val="22"/>
                <w:szCs w:val="22"/>
                <w:lang w:val="sr-Latn-ME" w:eastAsia="sr-Latn-ME"/>
              </w:rPr>
              <w:t>Kombinovani režim (n=50)</w:t>
            </w:r>
          </w:p>
        </w:tc>
        <w:tc>
          <w:tcPr>
            <w:tcW w:w="2482" w:type="dxa"/>
            <w:gridSpan w:val="2"/>
          </w:tcPr>
          <w:p w:rsidR="0038443C" w:rsidRPr="00306D4F" w:rsidRDefault="0038443C" w:rsidP="00043878">
            <w:pPr>
              <w:jc w:val="center"/>
              <w:rPr>
                <w:rFonts w:ascii="Times New Roman" w:hAnsi="Times New Roman" w:cs="Times New Roman"/>
                <w:sz w:val="22"/>
                <w:szCs w:val="22"/>
                <w:lang w:val="sr-Latn-ME"/>
              </w:rPr>
            </w:pPr>
            <w:r w:rsidRPr="00306D4F">
              <w:rPr>
                <w:rFonts w:ascii="Times New Roman" w:eastAsia="TimesNewRoman" w:hAnsi="Times New Roman" w:cs="Times New Roman"/>
                <w:sz w:val="22"/>
                <w:szCs w:val="22"/>
                <w:lang w:val="sr-Latn-ME" w:eastAsia="sr-Latn-ME"/>
              </w:rPr>
              <w:t>Kombinovani režim (n=148)</w:t>
            </w:r>
          </w:p>
        </w:tc>
      </w:tr>
      <w:tr w:rsidR="0038443C" w:rsidRPr="008E586D" w:rsidTr="00926D14">
        <w:tc>
          <w:tcPr>
            <w:tcW w:w="1617" w:type="dxa"/>
          </w:tcPr>
          <w:p w:rsidR="0038443C" w:rsidRPr="008E586D" w:rsidRDefault="0038443C" w:rsidP="00043878">
            <w:pPr>
              <w:autoSpaceDE w:val="0"/>
              <w:autoSpaceDN w:val="0"/>
              <w:adjustRightInd w:val="0"/>
              <w:rPr>
                <w:rFonts w:ascii="Times New Roman" w:eastAsia="TimesNewRoman" w:hAnsi="Times New Roman" w:cs="Times New Roman"/>
                <w:sz w:val="22"/>
                <w:szCs w:val="22"/>
                <w:lang w:val="sr-Latn-ME" w:eastAsia="sr-Latn-ME"/>
              </w:rPr>
            </w:pPr>
          </w:p>
        </w:tc>
        <w:tc>
          <w:tcPr>
            <w:tcW w:w="1213" w:type="dxa"/>
          </w:tcPr>
          <w:p w:rsidR="0038443C" w:rsidRPr="00306D4F" w:rsidRDefault="0038443C" w:rsidP="00043878">
            <w:pPr>
              <w:autoSpaceDE w:val="0"/>
              <w:autoSpaceDN w:val="0"/>
              <w:adjustRightInd w:val="0"/>
              <w:rPr>
                <w:rFonts w:ascii="Times New Roman" w:eastAsia="TimesNewRoman" w:hAnsi="Times New Roman" w:cs="Times New Roman"/>
                <w:sz w:val="22"/>
                <w:szCs w:val="22"/>
                <w:lang w:val="sr-Latn-ME" w:eastAsia="sr-Latn-ME"/>
              </w:rPr>
            </w:pPr>
            <w:r w:rsidRPr="00306D4F">
              <w:rPr>
                <w:rFonts w:ascii="Times New Roman" w:eastAsia="TimesNewRoman" w:hAnsi="Times New Roman" w:cs="Times New Roman"/>
                <w:sz w:val="22"/>
                <w:szCs w:val="22"/>
                <w:lang w:val="sr-Latn-ME" w:eastAsia="sr-Latn-ME"/>
              </w:rPr>
              <w:t>Irinotecan+5FU/FA</w:t>
            </w:r>
          </w:p>
        </w:tc>
        <w:tc>
          <w:tcPr>
            <w:tcW w:w="1269" w:type="dxa"/>
          </w:tcPr>
          <w:p w:rsidR="0038443C" w:rsidRPr="00306D4F" w:rsidRDefault="0038443C" w:rsidP="00043878">
            <w:pPr>
              <w:autoSpaceDE w:val="0"/>
              <w:autoSpaceDN w:val="0"/>
              <w:adjustRightInd w:val="0"/>
              <w:rPr>
                <w:rFonts w:ascii="Times New Roman" w:eastAsia="TimesNewRoman" w:hAnsi="Times New Roman" w:cs="Times New Roman"/>
                <w:sz w:val="22"/>
                <w:szCs w:val="22"/>
                <w:lang w:val="sr-Latn-ME" w:eastAsia="sr-Latn-ME"/>
              </w:rPr>
            </w:pPr>
            <w:r w:rsidRPr="00306D4F">
              <w:rPr>
                <w:rFonts w:ascii="Times New Roman" w:eastAsia="TimesNewRoman" w:hAnsi="Times New Roman" w:cs="Times New Roman"/>
                <w:sz w:val="22"/>
                <w:szCs w:val="22"/>
                <w:lang w:val="sr-Latn-ME" w:eastAsia="sr-Latn-ME"/>
              </w:rPr>
              <w:t>5FU/FA</w:t>
            </w:r>
          </w:p>
        </w:tc>
        <w:tc>
          <w:tcPr>
            <w:tcW w:w="1283" w:type="dxa"/>
          </w:tcPr>
          <w:p w:rsidR="0038443C" w:rsidRPr="00306D4F" w:rsidRDefault="0038443C" w:rsidP="00043878">
            <w:pPr>
              <w:rPr>
                <w:rFonts w:ascii="Times New Roman" w:eastAsia="TimesNewRoman" w:hAnsi="Times New Roman" w:cs="Times New Roman"/>
                <w:sz w:val="22"/>
                <w:szCs w:val="22"/>
                <w:lang w:val="sr-Latn-ME" w:eastAsia="sr-Latn-ME"/>
              </w:rPr>
            </w:pPr>
            <w:r w:rsidRPr="00306D4F">
              <w:rPr>
                <w:rFonts w:ascii="Times New Roman" w:eastAsia="TimesNewRoman" w:hAnsi="Times New Roman" w:cs="Times New Roman"/>
                <w:sz w:val="22"/>
                <w:szCs w:val="22"/>
                <w:lang w:val="sr-Latn-ME" w:eastAsia="sr-Latn-ME"/>
              </w:rPr>
              <w:t>Irinotecan+5FU/FA</w:t>
            </w:r>
          </w:p>
        </w:tc>
        <w:tc>
          <w:tcPr>
            <w:tcW w:w="1199" w:type="dxa"/>
          </w:tcPr>
          <w:p w:rsidR="0038443C" w:rsidRPr="00306D4F" w:rsidRDefault="0038443C" w:rsidP="00043878">
            <w:pPr>
              <w:rPr>
                <w:rFonts w:ascii="Times New Roman" w:eastAsia="TimesNewRoman" w:hAnsi="Times New Roman" w:cs="Times New Roman"/>
                <w:sz w:val="22"/>
                <w:szCs w:val="22"/>
                <w:lang w:val="sr-Latn-ME" w:eastAsia="sr-Latn-ME"/>
              </w:rPr>
            </w:pPr>
            <w:r w:rsidRPr="00306D4F">
              <w:rPr>
                <w:rFonts w:ascii="Times New Roman" w:eastAsia="TimesNewRoman" w:hAnsi="Times New Roman" w:cs="Times New Roman"/>
                <w:sz w:val="22"/>
                <w:szCs w:val="22"/>
                <w:lang w:val="sr-Latn-ME" w:eastAsia="sr-Latn-ME"/>
              </w:rPr>
              <w:t>5FU/FA</w:t>
            </w:r>
          </w:p>
        </w:tc>
        <w:tc>
          <w:tcPr>
            <w:tcW w:w="1211" w:type="dxa"/>
          </w:tcPr>
          <w:p w:rsidR="0038443C" w:rsidRPr="00306D4F" w:rsidRDefault="0038443C" w:rsidP="00043878">
            <w:pPr>
              <w:rPr>
                <w:rFonts w:ascii="Times New Roman" w:eastAsia="TimesNewRoman" w:hAnsi="Times New Roman" w:cs="Times New Roman"/>
                <w:sz w:val="22"/>
                <w:szCs w:val="22"/>
                <w:lang w:val="sr-Latn-ME" w:eastAsia="sr-Latn-ME"/>
              </w:rPr>
            </w:pPr>
            <w:r w:rsidRPr="00306D4F">
              <w:rPr>
                <w:rFonts w:ascii="Times New Roman" w:eastAsia="TimesNewRoman" w:hAnsi="Times New Roman" w:cs="Times New Roman"/>
                <w:sz w:val="22"/>
                <w:szCs w:val="22"/>
                <w:lang w:val="sr-Latn-ME" w:eastAsia="sr-Latn-ME"/>
              </w:rPr>
              <w:t>Irinotecan+5FU/FA</w:t>
            </w:r>
          </w:p>
        </w:tc>
        <w:tc>
          <w:tcPr>
            <w:tcW w:w="1271" w:type="dxa"/>
          </w:tcPr>
          <w:p w:rsidR="0038443C" w:rsidRPr="00306D4F" w:rsidRDefault="0038443C" w:rsidP="00043878">
            <w:pPr>
              <w:rPr>
                <w:rFonts w:ascii="Times New Roman" w:eastAsia="TimesNewRoman" w:hAnsi="Times New Roman" w:cs="Times New Roman"/>
                <w:sz w:val="22"/>
                <w:szCs w:val="22"/>
                <w:lang w:val="sr-Latn-ME" w:eastAsia="sr-Latn-ME"/>
              </w:rPr>
            </w:pPr>
            <w:r w:rsidRPr="00306D4F">
              <w:rPr>
                <w:rFonts w:ascii="Times New Roman" w:eastAsia="TimesNewRoman" w:hAnsi="Times New Roman" w:cs="Times New Roman"/>
                <w:sz w:val="22"/>
                <w:szCs w:val="22"/>
                <w:lang w:val="sr-Latn-ME" w:eastAsia="sr-Latn-ME"/>
              </w:rPr>
              <w:t>5FU/FA</w:t>
            </w:r>
          </w:p>
        </w:tc>
      </w:tr>
      <w:tr w:rsidR="0038443C" w:rsidRPr="008E586D" w:rsidTr="00926D14">
        <w:trPr>
          <w:trHeight w:val="1145"/>
        </w:trPr>
        <w:tc>
          <w:tcPr>
            <w:tcW w:w="1617" w:type="dxa"/>
          </w:tcPr>
          <w:p w:rsidR="0038443C" w:rsidRPr="00AD242A" w:rsidRDefault="0038443C" w:rsidP="00043878">
            <w:pPr>
              <w:autoSpaceDE w:val="0"/>
              <w:autoSpaceDN w:val="0"/>
              <w:adjustRightInd w:val="0"/>
              <w:rPr>
                <w:rFonts w:ascii="Times New Roman" w:eastAsia="TimesNewRoman" w:hAnsi="Times New Roman" w:cs="Times New Roman"/>
                <w:sz w:val="22"/>
                <w:szCs w:val="22"/>
                <w:lang w:val="sr-Latn-ME" w:eastAsia="sr-Latn-ME"/>
              </w:rPr>
            </w:pPr>
            <w:bookmarkStart w:id="0" w:name="_GoBack" w:colFirst="2" w:colLast="2"/>
            <w:r w:rsidRPr="00AD242A">
              <w:rPr>
                <w:rFonts w:ascii="Times New Roman" w:eastAsia="TimesNewRoman" w:hAnsi="Times New Roman" w:cs="Times New Roman"/>
                <w:sz w:val="22"/>
                <w:szCs w:val="22"/>
                <w:lang w:val="sr-Latn-ME" w:eastAsia="sr-Latn-ME"/>
              </w:rPr>
              <w:t>Stopa terapijskog odgovora (%)</w:t>
            </w:r>
          </w:p>
        </w:tc>
        <w:tc>
          <w:tcPr>
            <w:tcW w:w="1213" w:type="dxa"/>
          </w:tcPr>
          <w:p w:rsidR="0038443C" w:rsidRPr="00AD242A" w:rsidRDefault="0038443C" w:rsidP="00043878">
            <w:pPr>
              <w:autoSpaceDE w:val="0"/>
              <w:autoSpaceDN w:val="0"/>
              <w:adjustRightInd w:val="0"/>
              <w:rPr>
                <w:rFonts w:ascii="Times New Roman" w:eastAsia="TimesNewRoman" w:hAnsi="Times New Roman" w:cs="Times New Roman"/>
                <w:sz w:val="22"/>
                <w:szCs w:val="22"/>
                <w:lang w:val="sr-Latn-ME" w:eastAsia="sr-Latn-ME"/>
              </w:rPr>
            </w:pPr>
            <w:r w:rsidRPr="00AD242A">
              <w:rPr>
                <w:rFonts w:ascii="Times New Roman" w:eastAsia="TimesNewRoman" w:hAnsi="Times New Roman" w:cs="Times New Roman"/>
                <w:sz w:val="22"/>
                <w:szCs w:val="22"/>
                <w:lang w:val="sr-Latn-ME" w:eastAsia="sr-Latn-ME"/>
              </w:rPr>
              <w:t>40.8*</w:t>
            </w:r>
          </w:p>
        </w:tc>
        <w:tc>
          <w:tcPr>
            <w:tcW w:w="1269" w:type="dxa"/>
          </w:tcPr>
          <w:p w:rsidR="0038443C" w:rsidRPr="00AD242A" w:rsidRDefault="0038443C" w:rsidP="00043878">
            <w:pPr>
              <w:autoSpaceDE w:val="0"/>
              <w:autoSpaceDN w:val="0"/>
              <w:adjustRightInd w:val="0"/>
              <w:rPr>
                <w:rFonts w:ascii="Times New Roman" w:eastAsia="TimesNewRoman" w:hAnsi="Times New Roman" w:cs="Times New Roman"/>
                <w:sz w:val="22"/>
                <w:szCs w:val="22"/>
                <w:lang w:val="sr-Latn-ME" w:eastAsia="sr-Latn-ME"/>
              </w:rPr>
            </w:pPr>
            <w:r w:rsidRPr="00AD242A">
              <w:rPr>
                <w:rFonts w:ascii="Times New Roman" w:eastAsia="TimesNewRoman" w:hAnsi="Times New Roman" w:cs="Times New Roman"/>
                <w:sz w:val="22"/>
                <w:szCs w:val="22"/>
                <w:lang w:val="sr-Latn-ME" w:eastAsia="sr-Latn-ME"/>
              </w:rPr>
              <w:t>23.1*</w:t>
            </w:r>
          </w:p>
        </w:tc>
        <w:tc>
          <w:tcPr>
            <w:tcW w:w="1283" w:type="dxa"/>
          </w:tcPr>
          <w:p w:rsidR="0038443C" w:rsidRPr="00AD242A" w:rsidRDefault="0038443C" w:rsidP="00043878">
            <w:pPr>
              <w:autoSpaceDE w:val="0"/>
              <w:autoSpaceDN w:val="0"/>
              <w:adjustRightInd w:val="0"/>
              <w:rPr>
                <w:rFonts w:ascii="Times New Roman" w:eastAsia="TimesNewRoman" w:hAnsi="Times New Roman" w:cs="Times New Roman"/>
                <w:sz w:val="22"/>
                <w:szCs w:val="22"/>
                <w:lang w:val="sr-Latn-ME" w:eastAsia="sr-Latn-ME"/>
              </w:rPr>
            </w:pPr>
            <w:r w:rsidRPr="00AD242A">
              <w:rPr>
                <w:rFonts w:ascii="Times New Roman" w:eastAsia="TimesNewRoman" w:hAnsi="Times New Roman" w:cs="Times New Roman"/>
                <w:sz w:val="22"/>
                <w:szCs w:val="22"/>
                <w:lang w:val="sr-Latn-ME" w:eastAsia="sr-Latn-ME"/>
              </w:rPr>
              <w:t>51.2*</w:t>
            </w:r>
          </w:p>
        </w:tc>
        <w:tc>
          <w:tcPr>
            <w:tcW w:w="1199" w:type="dxa"/>
          </w:tcPr>
          <w:p w:rsidR="0038443C" w:rsidRPr="00AD242A" w:rsidRDefault="0038443C" w:rsidP="00043878">
            <w:pPr>
              <w:autoSpaceDE w:val="0"/>
              <w:autoSpaceDN w:val="0"/>
              <w:adjustRightInd w:val="0"/>
              <w:rPr>
                <w:rFonts w:ascii="Times New Roman" w:eastAsia="TimesNewRoman" w:hAnsi="Times New Roman" w:cs="Times New Roman"/>
                <w:sz w:val="22"/>
                <w:szCs w:val="22"/>
                <w:lang w:val="sr-Latn-ME" w:eastAsia="sr-Latn-ME"/>
              </w:rPr>
            </w:pPr>
            <w:r w:rsidRPr="00AD242A">
              <w:rPr>
                <w:rFonts w:ascii="Times New Roman" w:eastAsia="TimesNewRoman" w:hAnsi="Times New Roman" w:cs="Times New Roman"/>
                <w:sz w:val="22"/>
                <w:szCs w:val="22"/>
                <w:lang w:val="sr-Latn-ME" w:eastAsia="sr-Latn-ME"/>
              </w:rPr>
              <w:t>28.6*</w:t>
            </w:r>
          </w:p>
        </w:tc>
        <w:tc>
          <w:tcPr>
            <w:tcW w:w="1211" w:type="dxa"/>
          </w:tcPr>
          <w:p w:rsidR="0038443C" w:rsidRPr="00AD242A" w:rsidRDefault="0038443C" w:rsidP="00043878">
            <w:pPr>
              <w:autoSpaceDE w:val="0"/>
              <w:autoSpaceDN w:val="0"/>
              <w:adjustRightInd w:val="0"/>
              <w:rPr>
                <w:rFonts w:ascii="Times New Roman" w:eastAsia="TimesNewRoman" w:hAnsi="Times New Roman" w:cs="Times New Roman"/>
                <w:sz w:val="22"/>
                <w:szCs w:val="22"/>
                <w:lang w:val="sr-Latn-ME" w:eastAsia="sr-Latn-ME"/>
              </w:rPr>
            </w:pPr>
            <w:r w:rsidRPr="00AD242A">
              <w:rPr>
                <w:rFonts w:ascii="Times New Roman" w:eastAsia="TimesNewRoman" w:hAnsi="Times New Roman" w:cs="Times New Roman"/>
                <w:sz w:val="22"/>
                <w:szCs w:val="22"/>
                <w:lang w:val="sr-Latn-ME" w:eastAsia="sr-Latn-ME"/>
              </w:rPr>
              <w:t>37.5*</w:t>
            </w:r>
          </w:p>
        </w:tc>
        <w:tc>
          <w:tcPr>
            <w:tcW w:w="1271" w:type="dxa"/>
          </w:tcPr>
          <w:p w:rsidR="0038443C" w:rsidRPr="00AD242A" w:rsidRDefault="0038443C" w:rsidP="00043878">
            <w:pPr>
              <w:autoSpaceDE w:val="0"/>
              <w:autoSpaceDN w:val="0"/>
              <w:adjustRightInd w:val="0"/>
              <w:rPr>
                <w:rFonts w:ascii="Times New Roman" w:eastAsia="TimesNewRoman" w:hAnsi="Times New Roman" w:cs="Times New Roman"/>
                <w:sz w:val="22"/>
                <w:szCs w:val="22"/>
                <w:lang w:val="sr-Latn-ME" w:eastAsia="sr-Latn-ME"/>
              </w:rPr>
            </w:pPr>
            <w:r w:rsidRPr="00AD242A">
              <w:rPr>
                <w:rFonts w:ascii="Times New Roman" w:eastAsia="TimesNewRoman" w:hAnsi="Times New Roman" w:cs="Times New Roman"/>
                <w:sz w:val="22"/>
                <w:szCs w:val="22"/>
                <w:lang w:val="sr-Latn-ME" w:eastAsia="sr-Latn-ME"/>
              </w:rPr>
              <w:t>21.6*</w:t>
            </w:r>
          </w:p>
        </w:tc>
      </w:tr>
      <w:bookmarkEnd w:id="0"/>
      <w:tr w:rsidR="0038443C" w:rsidRPr="008E586D" w:rsidTr="00926D14">
        <w:tc>
          <w:tcPr>
            <w:tcW w:w="1617" w:type="dxa"/>
          </w:tcPr>
          <w:p w:rsidR="0038443C" w:rsidRPr="00AD242A" w:rsidRDefault="0038443C" w:rsidP="00043878">
            <w:pPr>
              <w:autoSpaceDE w:val="0"/>
              <w:autoSpaceDN w:val="0"/>
              <w:adjustRightInd w:val="0"/>
              <w:rPr>
                <w:rFonts w:ascii="Times New Roman" w:eastAsia="TimesNewRoman" w:hAnsi="Times New Roman" w:cs="Times New Roman"/>
                <w:sz w:val="22"/>
                <w:szCs w:val="22"/>
                <w:lang w:val="sr-Latn-ME" w:eastAsia="sr-Latn-ME"/>
              </w:rPr>
            </w:pPr>
            <w:r w:rsidRPr="00AD242A">
              <w:rPr>
                <w:rFonts w:ascii="Times New Roman" w:eastAsia="TimesNewRoman" w:hAnsi="Times New Roman" w:cs="Times New Roman"/>
                <w:sz w:val="22"/>
                <w:szCs w:val="22"/>
                <w:lang w:val="sr-Latn-ME" w:eastAsia="sr-Latn-ME"/>
              </w:rPr>
              <w:t>p-vrijednost</w:t>
            </w:r>
          </w:p>
        </w:tc>
        <w:tc>
          <w:tcPr>
            <w:tcW w:w="2482" w:type="dxa"/>
            <w:gridSpan w:val="2"/>
          </w:tcPr>
          <w:p w:rsidR="0038443C" w:rsidRPr="00AD242A" w:rsidRDefault="0038443C" w:rsidP="00043878">
            <w:pPr>
              <w:autoSpaceDE w:val="0"/>
              <w:autoSpaceDN w:val="0"/>
              <w:adjustRightInd w:val="0"/>
              <w:rPr>
                <w:rFonts w:ascii="Times New Roman" w:eastAsia="TimesNewRoman" w:hAnsi="Times New Roman" w:cs="Times New Roman"/>
                <w:sz w:val="22"/>
                <w:szCs w:val="22"/>
                <w:lang w:val="sr-Latn-ME" w:eastAsia="sr-Latn-ME"/>
              </w:rPr>
            </w:pPr>
            <w:r w:rsidRPr="00AD242A">
              <w:rPr>
                <w:rFonts w:ascii="Times New Roman" w:eastAsia="TimesNewRoman" w:hAnsi="Times New Roman" w:cs="Times New Roman"/>
                <w:sz w:val="22"/>
                <w:szCs w:val="22"/>
                <w:lang w:val="sr-Latn-ME" w:eastAsia="sr-Latn-ME"/>
              </w:rPr>
              <w:t>p&lt;0.001</w:t>
            </w:r>
          </w:p>
        </w:tc>
        <w:tc>
          <w:tcPr>
            <w:tcW w:w="2482" w:type="dxa"/>
            <w:gridSpan w:val="2"/>
          </w:tcPr>
          <w:p w:rsidR="0038443C" w:rsidRPr="00AD242A" w:rsidRDefault="0038443C" w:rsidP="00043878">
            <w:pPr>
              <w:autoSpaceDE w:val="0"/>
              <w:autoSpaceDN w:val="0"/>
              <w:adjustRightInd w:val="0"/>
              <w:rPr>
                <w:rFonts w:ascii="Times New Roman" w:eastAsia="TimesNewRoman" w:hAnsi="Times New Roman" w:cs="Times New Roman"/>
                <w:sz w:val="22"/>
                <w:szCs w:val="22"/>
                <w:lang w:val="sr-Latn-ME" w:eastAsia="sr-Latn-ME"/>
              </w:rPr>
            </w:pPr>
            <w:r w:rsidRPr="00AD242A">
              <w:rPr>
                <w:rFonts w:ascii="Times New Roman" w:eastAsia="TimesNewRoman" w:hAnsi="Times New Roman" w:cs="Times New Roman"/>
                <w:sz w:val="22"/>
                <w:szCs w:val="22"/>
                <w:lang w:val="sr-Latn-ME" w:eastAsia="sr-Latn-ME"/>
              </w:rPr>
              <w:t>p=0.045</w:t>
            </w:r>
          </w:p>
        </w:tc>
        <w:tc>
          <w:tcPr>
            <w:tcW w:w="2482" w:type="dxa"/>
            <w:gridSpan w:val="2"/>
          </w:tcPr>
          <w:p w:rsidR="0038443C" w:rsidRPr="00AD242A" w:rsidRDefault="0038443C" w:rsidP="00043878">
            <w:pPr>
              <w:autoSpaceDE w:val="0"/>
              <w:autoSpaceDN w:val="0"/>
              <w:adjustRightInd w:val="0"/>
              <w:rPr>
                <w:rFonts w:ascii="Times New Roman" w:eastAsia="TimesNewRoman" w:hAnsi="Times New Roman" w:cs="Times New Roman"/>
                <w:sz w:val="22"/>
                <w:szCs w:val="22"/>
                <w:lang w:val="sr-Latn-ME" w:eastAsia="sr-Latn-ME"/>
              </w:rPr>
            </w:pPr>
            <w:r w:rsidRPr="00AD242A">
              <w:rPr>
                <w:rFonts w:ascii="Times New Roman" w:eastAsia="TimesNewRoman" w:hAnsi="Times New Roman" w:cs="Times New Roman"/>
                <w:sz w:val="22"/>
                <w:szCs w:val="22"/>
                <w:lang w:val="sr-Latn-ME" w:eastAsia="sr-Latn-ME"/>
              </w:rPr>
              <w:t>p=0.005</w:t>
            </w:r>
          </w:p>
        </w:tc>
      </w:tr>
      <w:tr w:rsidR="0038443C" w:rsidRPr="008E586D" w:rsidTr="00926D14">
        <w:tc>
          <w:tcPr>
            <w:tcW w:w="1617" w:type="dxa"/>
          </w:tcPr>
          <w:p w:rsidR="0038443C" w:rsidRPr="00AD242A" w:rsidRDefault="0038443C" w:rsidP="00043878">
            <w:pPr>
              <w:autoSpaceDE w:val="0"/>
              <w:autoSpaceDN w:val="0"/>
              <w:adjustRightInd w:val="0"/>
              <w:rPr>
                <w:rFonts w:ascii="Times New Roman" w:eastAsia="TimesNewRoman" w:hAnsi="Times New Roman" w:cs="Times New Roman"/>
                <w:sz w:val="22"/>
                <w:szCs w:val="22"/>
                <w:lang w:val="sr-Latn-ME" w:eastAsia="sr-Latn-ME"/>
              </w:rPr>
            </w:pPr>
            <w:r w:rsidRPr="00AD242A">
              <w:rPr>
                <w:rFonts w:ascii="Times New Roman" w:eastAsia="TimesNewRoman" w:hAnsi="Times New Roman" w:cs="Times New Roman"/>
                <w:sz w:val="22"/>
                <w:szCs w:val="22"/>
                <w:lang w:val="sr-Latn-ME" w:eastAsia="sr-Latn-ME"/>
              </w:rPr>
              <w:t>Medijana do pojave progresije bolesti (mjeseci)</w:t>
            </w:r>
          </w:p>
        </w:tc>
        <w:tc>
          <w:tcPr>
            <w:tcW w:w="1213" w:type="dxa"/>
          </w:tcPr>
          <w:p w:rsidR="0038443C" w:rsidRPr="00AD242A" w:rsidRDefault="0038443C" w:rsidP="00043878">
            <w:pPr>
              <w:autoSpaceDE w:val="0"/>
              <w:autoSpaceDN w:val="0"/>
              <w:adjustRightInd w:val="0"/>
              <w:rPr>
                <w:rFonts w:ascii="Times New Roman" w:eastAsia="TimesNewRoman" w:hAnsi="Times New Roman" w:cs="Times New Roman"/>
                <w:sz w:val="22"/>
                <w:szCs w:val="22"/>
                <w:lang w:val="sr-Latn-ME" w:eastAsia="sr-Latn-ME"/>
              </w:rPr>
            </w:pPr>
            <w:r w:rsidRPr="00AD242A">
              <w:rPr>
                <w:rFonts w:ascii="Times New Roman" w:eastAsia="TimesNewRoman" w:hAnsi="Times New Roman" w:cs="Times New Roman"/>
                <w:sz w:val="22"/>
                <w:szCs w:val="22"/>
                <w:lang w:val="sr-Latn-ME" w:eastAsia="sr-Latn-ME"/>
              </w:rPr>
              <w:t>6.</w:t>
            </w:r>
            <w:r w:rsidR="00C36A9E" w:rsidRPr="00AD242A">
              <w:rPr>
                <w:rFonts w:ascii="Times New Roman" w:eastAsia="TimesNewRoman" w:hAnsi="Times New Roman" w:cs="Times New Roman"/>
                <w:sz w:val="22"/>
                <w:szCs w:val="22"/>
                <w:lang w:val="sr-Latn-ME" w:eastAsia="sr-Latn-ME"/>
              </w:rPr>
              <w:t>7</w:t>
            </w:r>
          </w:p>
        </w:tc>
        <w:tc>
          <w:tcPr>
            <w:tcW w:w="1269" w:type="dxa"/>
          </w:tcPr>
          <w:p w:rsidR="0038443C" w:rsidRPr="00AD242A" w:rsidRDefault="0038443C" w:rsidP="00043878">
            <w:pPr>
              <w:autoSpaceDE w:val="0"/>
              <w:autoSpaceDN w:val="0"/>
              <w:adjustRightInd w:val="0"/>
              <w:rPr>
                <w:rFonts w:ascii="Times New Roman" w:eastAsia="TimesNewRoman" w:hAnsi="Times New Roman" w:cs="Times New Roman"/>
                <w:sz w:val="22"/>
                <w:szCs w:val="22"/>
                <w:lang w:val="sr-Latn-ME" w:eastAsia="sr-Latn-ME"/>
              </w:rPr>
            </w:pPr>
            <w:r w:rsidRPr="00AD242A">
              <w:rPr>
                <w:rFonts w:ascii="Times New Roman" w:eastAsia="TimesNewRoman" w:hAnsi="Times New Roman" w:cs="Times New Roman"/>
                <w:sz w:val="22"/>
                <w:szCs w:val="22"/>
                <w:lang w:val="sr-Latn-ME" w:eastAsia="sr-Latn-ME"/>
              </w:rPr>
              <w:t>4.4</w:t>
            </w:r>
          </w:p>
        </w:tc>
        <w:tc>
          <w:tcPr>
            <w:tcW w:w="1283" w:type="dxa"/>
          </w:tcPr>
          <w:p w:rsidR="0038443C" w:rsidRPr="00AD242A" w:rsidRDefault="0038443C" w:rsidP="00043878">
            <w:pPr>
              <w:autoSpaceDE w:val="0"/>
              <w:autoSpaceDN w:val="0"/>
              <w:adjustRightInd w:val="0"/>
              <w:rPr>
                <w:rFonts w:ascii="Times New Roman" w:eastAsia="TimesNewRoman" w:hAnsi="Times New Roman" w:cs="Times New Roman"/>
                <w:sz w:val="22"/>
                <w:szCs w:val="22"/>
                <w:lang w:val="sr-Latn-ME" w:eastAsia="sr-Latn-ME"/>
              </w:rPr>
            </w:pPr>
            <w:r w:rsidRPr="00AD242A">
              <w:rPr>
                <w:rFonts w:ascii="Times New Roman" w:eastAsia="TimesNewRoman" w:hAnsi="Times New Roman" w:cs="Times New Roman"/>
                <w:sz w:val="22"/>
                <w:szCs w:val="22"/>
                <w:lang w:val="sr-Latn-ME" w:eastAsia="sr-Latn-ME"/>
              </w:rPr>
              <w:t>7.2</w:t>
            </w:r>
          </w:p>
        </w:tc>
        <w:tc>
          <w:tcPr>
            <w:tcW w:w="1199" w:type="dxa"/>
          </w:tcPr>
          <w:p w:rsidR="0038443C" w:rsidRPr="00AD242A" w:rsidRDefault="0038443C" w:rsidP="00043878">
            <w:pPr>
              <w:autoSpaceDE w:val="0"/>
              <w:autoSpaceDN w:val="0"/>
              <w:adjustRightInd w:val="0"/>
              <w:rPr>
                <w:rFonts w:ascii="Times New Roman" w:eastAsia="TimesNewRoman" w:hAnsi="Times New Roman" w:cs="Times New Roman"/>
                <w:sz w:val="22"/>
                <w:szCs w:val="22"/>
                <w:lang w:val="sr-Latn-ME" w:eastAsia="sr-Latn-ME"/>
              </w:rPr>
            </w:pPr>
            <w:r w:rsidRPr="00AD242A">
              <w:rPr>
                <w:rFonts w:ascii="Times New Roman" w:eastAsia="TimesNewRoman" w:hAnsi="Times New Roman" w:cs="Times New Roman"/>
                <w:sz w:val="22"/>
                <w:szCs w:val="22"/>
                <w:lang w:val="sr-Latn-ME" w:eastAsia="sr-Latn-ME"/>
              </w:rPr>
              <w:t>6.5</w:t>
            </w:r>
          </w:p>
        </w:tc>
        <w:tc>
          <w:tcPr>
            <w:tcW w:w="1211" w:type="dxa"/>
          </w:tcPr>
          <w:p w:rsidR="0038443C" w:rsidRPr="00AD242A" w:rsidRDefault="0038443C" w:rsidP="00043878">
            <w:pPr>
              <w:autoSpaceDE w:val="0"/>
              <w:autoSpaceDN w:val="0"/>
              <w:adjustRightInd w:val="0"/>
              <w:rPr>
                <w:rFonts w:ascii="Times New Roman" w:eastAsia="TimesNewRoman" w:hAnsi="Times New Roman" w:cs="Times New Roman"/>
                <w:sz w:val="22"/>
                <w:szCs w:val="22"/>
                <w:lang w:val="sr-Latn-ME" w:eastAsia="sr-Latn-ME"/>
              </w:rPr>
            </w:pPr>
            <w:r w:rsidRPr="00AD242A">
              <w:rPr>
                <w:rFonts w:ascii="Times New Roman" w:eastAsia="TimesNewRoman" w:hAnsi="Times New Roman" w:cs="Times New Roman"/>
                <w:sz w:val="22"/>
                <w:szCs w:val="22"/>
                <w:lang w:val="sr-Latn-ME" w:eastAsia="sr-Latn-ME"/>
              </w:rPr>
              <w:t>6.5</w:t>
            </w:r>
          </w:p>
        </w:tc>
        <w:tc>
          <w:tcPr>
            <w:tcW w:w="1271" w:type="dxa"/>
          </w:tcPr>
          <w:p w:rsidR="0038443C" w:rsidRPr="00AD242A" w:rsidRDefault="0038443C" w:rsidP="00043878">
            <w:pPr>
              <w:autoSpaceDE w:val="0"/>
              <w:autoSpaceDN w:val="0"/>
              <w:adjustRightInd w:val="0"/>
              <w:rPr>
                <w:rFonts w:ascii="Times New Roman" w:eastAsia="TimesNewRoman" w:hAnsi="Times New Roman" w:cs="Times New Roman"/>
                <w:sz w:val="22"/>
                <w:szCs w:val="22"/>
                <w:lang w:val="sr-Latn-ME" w:eastAsia="sr-Latn-ME"/>
              </w:rPr>
            </w:pPr>
            <w:r w:rsidRPr="00AD242A">
              <w:rPr>
                <w:rFonts w:ascii="Times New Roman" w:eastAsia="TimesNewRoman" w:hAnsi="Times New Roman" w:cs="Times New Roman"/>
                <w:sz w:val="22"/>
                <w:szCs w:val="22"/>
                <w:lang w:val="sr-Latn-ME" w:eastAsia="sr-Latn-ME"/>
              </w:rPr>
              <w:t>3.7</w:t>
            </w:r>
          </w:p>
        </w:tc>
      </w:tr>
      <w:tr w:rsidR="0038443C" w:rsidRPr="008E586D" w:rsidTr="00926D14">
        <w:tc>
          <w:tcPr>
            <w:tcW w:w="1617" w:type="dxa"/>
          </w:tcPr>
          <w:p w:rsidR="0038443C" w:rsidRPr="00AD242A" w:rsidRDefault="0038443C" w:rsidP="00043878">
            <w:pPr>
              <w:autoSpaceDE w:val="0"/>
              <w:autoSpaceDN w:val="0"/>
              <w:adjustRightInd w:val="0"/>
              <w:rPr>
                <w:rFonts w:ascii="Times New Roman" w:eastAsia="TimesNewRoman" w:hAnsi="Times New Roman" w:cs="Times New Roman"/>
                <w:sz w:val="22"/>
                <w:szCs w:val="22"/>
                <w:lang w:val="sr-Latn-ME" w:eastAsia="sr-Latn-ME"/>
              </w:rPr>
            </w:pPr>
            <w:r w:rsidRPr="00AD242A">
              <w:rPr>
                <w:rFonts w:ascii="Times New Roman" w:eastAsia="TimesNewRoman" w:hAnsi="Times New Roman" w:cs="Times New Roman"/>
                <w:sz w:val="22"/>
                <w:szCs w:val="22"/>
                <w:lang w:val="sr-Latn-ME" w:eastAsia="sr-Latn-ME"/>
              </w:rPr>
              <w:t>p-vrijednost</w:t>
            </w:r>
          </w:p>
        </w:tc>
        <w:tc>
          <w:tcPr>
            <w:tcW w:w="2482" w:type="dxa"/>
            <w:gridSpan w:val="2"/>
          </w:tcPr>
          <w:p w:rsidR="0038443C" w:rsidRPr="00AD242A" w:rsidRDefault="0038443C" w:rsidP="00043878">
            <w:pPr>
              <w:autoSpaceDE w:val="0"/>
              <w:autoSpaceDN w:val="0"/>
              <w:adjustRightInd w:val="0"/>
              <w:rPr>
                <w:rFonts w:ascii="Times New Roman" w:eastAsia="TimesNewRoman" w:hAnsi="Times New Roman" w:cs="Times New Roman"/>
                <w:sz w:val="22"/>
                <w:szCs w:val="22"/>
                <w:lang w:val="sr-Latn-ME" w:eastAsia="sr-Latn-ME"/>
              </w:rPr>
            </w:pPr>
            <w:r w:rsidRPr="00AD242A">
              <w:rPr>
                <w:rFonts w:ascii="Times New Roman" w:eastAsia="TimesNewRoman" w:hAnsi="Times New Roman" w:cs="Times New Roman"/>
                <w:sz w:val="22"/>
                <w:szCs w:val="22"/>
                <w:lang w:val="sr-Latn-ME" w:eastAsia="sr-Latn-ME"/>
              </w:rPr>
              <w:t>p&lt;0.001</w:t>
            </w:r>
          </w:p>
        </w:tc>
        <w:tc>
          <w:tcPr>
            <w:tcW w:w="2482" w:type="dxa"/>
            <w:gridSpan w:val="2"/>
          </w:tcPr>
          <w:p w:rsidR="0038443C" w:rsidRPr="00AD242A" w:rsidRDefault="0038443C" w:rsidP="00043878">
            <w:pPr>
              <w:autoSpaceDE w:val="0"/>
              <w:autoSpaceDN w:val="0"/>
              <w:adjustRightInd w:val="0"/>
              <w:rPr>
                <w:rFonts w:ascii="Times New Roman" w:eastAsia="TimesNewRoman" w:hAnsi="Times New Roman" w:cs="Times New Roman"/>
                <w:sz w:val="22"/>
                <w:szCs w:val="22"/>
                <w:lang w:val="sr-Latn-ME" w:eastAsia="sr-Latn-ME"/>
              </w:rPr>
            </w:pPr>
            <w:r w:rsidRPr="00AD242A">
              <w:rPr>
                <w:rFonts w:ascii="Times New Roman" w:eastAsia="TimesNewRoman" w:hAnsi="Times New Roman" w:cs="Times New Roman"/>
                <w:sz w:val="22"/>
                <w:szCs w:val="22"/>
                <w:lang w:val="sr-Latn-ME" w:eastAsia="sr-Latn-ME"/>
              </w:rPr>
              <w:t>NS</w:t>
            </w:r>
          </w:p>
        </w:tc>
        <w:tc>
          <w:tcPr>
            <w:tcW w:w="2482" w:type="dxa"/>
            <w:gridSpan w:val="2"/>
          </w:tcPr>
          <w:p w:rsidR="0038443C" w:rsidRPr="00AD242A" w:rsidRDefault="0038443C" w:rsidP="00043878">
            <w:pPr>
              <w:autoSpaceDE w:val="0"/>
              <w:autoSpaceDN w:val="0"/>
              <w:adjustRightInd w:val="0"/>
              <w:rPr>
                <w:rFonts w:ascii="Times New Roman" w:eastAsia="TimesNewRoman" w:hAnsi="Times New Roman" w:cs="Times New Roman"/>
                <w:sz w:val="22"/>
                <w:szCs w:val="22"/>
                <w:lang w:val="sr-Latn-ME" w:eastAsia="sr-Latn-ME"/>
              </w:rPr>
            </w:pPr>
            <w:r w:rsidRPr="00AD242A">
              <w:rPr>
                <w:rFonts w:ascii="Times New Roman" w:eastAsia="TimesNewRoman" w:hAnsi="Times New Roman" w:cs="Times New Roman"/>
                <w:sz w:val="22"/>
                <w:szCs w:val="22"/>
                <w:lang w:val="sr-Latn-ME" w:eastAsia="sr-Latn-ME"/>
              </w:rPr>
              <w:t>p=0.001</w:t>
            </w:r>
          </w:p>
        </w:tc>
      </w:tr>
      <w:tr w:rsidR="0038443C" w:rsidRPr="008E586D" w:rsidTr="00926D14">
        <w:tc>
          <w:tcPr>
            <w:tcW w:w="1617" w:type="dxa"/>
          </w:tcPr>
          <w:p w:rsidR="0038443C" w:rsidRPr="00AD242A" w:rsidRDefault="0038443C" w:rsidP="00043878">
            <w:pPr>
              <w:autoSpaceDE w:val="0"/>
              <w:autoSpaceDN w:val="0"/>
              <w:adjustRightInd w:val="0"/>
              <w:rPr>
                <w:rFonts w:ascii="Times New Roman" w:eastAsia="TimesNewRoman" w:hAnsi="Times New Roman" w:cs="Times New Roman"/>
                <w:sz w:val="22"/>
                <w:szCs w:val="22"/>
                <w:lang w:val="sr-Latn-ME" w:eastAsia="sr-Latn-ME"/>
              </w:rPr>
            </w:pPr>
            <w:r w:rsidRPr="00AD242A">
              <w:rPr>
                <w:rFonts w:ascii="Times New Roman" w:eastAsia="TimesNewRoman" w:hAnsi="Times New Roman" w:cs="Times New Roman"/>
                <w:sz w:val="22"/>
                <w:szCs w:val="22"/>
                <w:lang w:val="sr-Latn-ME" w:eastAsia="sr-Latn-ME"/>
              </w:rPr>
              <w:t>Medijana trajanja terapijskog odgovora (mjeseci)</w:t>
            </w:r>
          </w:p>
        </w:tc>
        <w:tc>
          <w:tcPr>
            <w:tcW w:w="1213" w:type="dxa"/>
          </w:tcPr>
          <w:p w:rsidR="0038443C" w:rsidRPr="00AD242A" w:rsidRDefault="0038443C" w:rsidP="00043878">
            <w:pPr>
              <w:autoSpaceDE w:val="0"/>
              <w:autoSpaceDN w:val="0"/>
              <w:adjustRightInd w:val="0"/>
              <w:rPr>
                <w:rFonts w:ascii="Times New Roman" w:eastAsia="TimesNewRoman" w:hAnsi="Times New Roman" w:cs="Times New Roman"/>
                <w:sz w:val="22"/>
                <w:szCs w:val="22"/>
                <w:lang w:val="sr-Latn-ME" w:eastAsia="sr-Latn-ME"/>
              </w:rPr>
            </w:pPr>
            <w:r w:rsidRPr="00AD242A">
              <w:rPr>
                <w:rFonts w:ascii="Times New Roman" w:eastAsia="TimesNewRoman" w:hAnsi="Times New Roman" w:cs="Times New Roman"/>
                <w:sz w:val="22"/>
                <w:szCs w:val="22"/>
                <w:lang w:val="sr-Latn-ME" w:eastAsia="sr-Latn-ME"/>
              </w:rPr>
              <w:t>9.3</w:t>
            </w:r>
          </w:p>
        </w:tc>
        <w:tc>
          <w:tcPr>
            <w:tcW w:w="1269" w:type="dxa"/>
          </w:tcPr>
          <w:p w:rsidR="0038443C" w:rsidRPr="00AD242A" w:rsidRDefault="0038443C" w:rsidP="00043878">
            <w:pPr>
              <w:autoSpaceDE w:val="0"/>
              <w:autoSpaceDN w:val="0"/>
              <w:adjustRightInd w:val="0"/>
              <w:rPr>
                <w:rFonts w:ascii="Times New Roman" w:eastAsia="TimesNewRoman" w:hAnsi="Times New Roman" w:cs="Times New Roman"/>
                <w:sz w:val="22"/>
                <w:szCs w:val="22"/>
                <w:lang w:val="sr-Latn-ME" w:eastAsia="sr-Latn-ME"/>
              </w:rPr>
            </w:pPr>
            <w:r w:rsidRPr="00AD242A">
              <w:rPr>
                <w:rFonts w:ascii="Times New Roman" w:eastAsia="TimesNewRoman" w:hAnsi="Times New Roman" w:cs="Times New Roman"/>
                <w:sz w:val="22"/>
                <w:szCs w:val="22"/>
                <w:lang w:val="sr-Latn-ME" w:eastAsia="sr-Latn-ME"/>
              </w:rPr>
              <w:t>8.8</w:t>
            </w:r>
          </w:p>
        </w:tc>
        <w:tc>
          <w:tcPr>
            <w:tcW w:w="1283" w:type="dxa"/>
          </w:tcPr>
          <w:p w:rsidR="0038443C" w:rsidRPr="00AD242A" w:rsidRDefault="0038443C" w:rsidP="00043878">
            <w:pPr>
              <w:autoSpaceDE w:val="0"/>
              <w:autoSpaceDN w:val="0"/>
              <w:adjustRightInd w:val="0"/>
              <w:rPr>
                <w:rFonts w:ascii="Times New Roman" w:eastAsia="TimesNewRoman" w:hAnsi="Times New Roman" w:cs="Times New Roman"/>
                <w:sz w:val="22"/>
                <w:szCs w:val="22"/>
                <w:lang w:val="sr-Latn-ME" w:eastAsia="sr-Latn-ME"/>
              </w:rPr>
            </w:pPr>
            <w:r w:rsidRPr="00AD242A">
              <w:rPr>
                <w:rFonts w:ascii="Times New Roman" w:eastAsia="TimesNewRoman" w:hAnsi="Times New Roman" w:cs="Times New Roman"/>
                <w:sz w:val="22"/>
                <w:szCs w:val="22"/>
                <w:lang w:val="sr-Latn-ME" w:eastAsia="sr-Latn-ME"/>
              </w:rPr>
              <w:t>8.9</w:t>
            </w:r>
          </w:p>
        </w:tc>
        <w:tc>
          <w:tcPr>
            <w:tcW w:w="1199" w:type="dxa"/>
          </w:tcPr>
          <w:p w:rsidR="0038443C" w:rsidRPr="00AD242A" w:rsidRDefault="0038443C" w:rsidP="00043878">
            <w:pPr>
              <w:autoSpaceDE w:val="0"/>
              <w:autoSpaceDN w:val="0"/>
              <w:adjustRightInd w:val="0"/>
              <w:rPr>
                <w:rFonts w:ascii="Times New Roman" w:eastAsia="TimesNewRoman" w:hAnsi="Times New Roman" w:cs="Times New Roman"/>
                <w:sz w:val="22"/>
                <w:szCs w:val="22"/>
                <w:lang w:val="sr-Latn-ME" w:eastAsia="sr-Latn-ME"/>
              </w:rPr>
            </w:pPr>
            <w:r w:rsidRPr="00AD242A">
              <w:rPr>
                <w:rFonts w:ascii="Times New Roman" w:eastAsia="TimesNewRoman" w:hAnsi="Times New Roman" w:cs="Times New Roman"/>
                <w:sz w:val="22"/>
                <w:szCs w:val="22"/>
                <w:lang w:val="sr-Latn-ME" w:eastAsia="sr-Latn-ME"/>
              </w:rPr>
              <w:t>6.7</w:t>
            </w:r>
          </w:p>
        </w:tc>
        <w:tc>
          <w:tcPr>
            <w:tcW w:w="1211" w:type="dxa"/>
          </w:tcPr>
          <w:p w:rsidR="0038443C" w:rsidRPr="00AD242A" w:rsidRDefault="0038443C" w:rsidP="00043878">
            <w:pPr>
              <w:autoSpaceDE w:val="0"/>
              <w:autoSpaceDN w:val="0"/>
              <w:adjustRightInd w:val="0"/>
              <w:rPr>
                <w:rFonts w:ascii="Times New Roman" w:eastAsia="TimesNewRoman" w:hAnsi="Times New Roman" w:cs="Times New Roman"/>
                <w:sz w:val="22"/>
                <w:szCs w:val="22"/>
                <w:lang w:val="sr-Latn-ME" w:eastAsia="sr-Latn-ME"/>
              </w:rPr>
            </w:pPr>
            <w:r w:rsidRPr="00AD242A">
              <w:rPr>
                <w:rFonts w:ascii="Times New Roman" w:eastAsia="TimesNewRoman" w:hAnsi="Times New Roman" w:cs="Times New Roman"/>
                <w:sz w:val="22"/>
                <w:szCs w:val="22"/>
                <w:lang w:val="sr-Latn-ME" w:eastAsia="sr-Latn-ME"/>
              </w:rPr>
              <w:t>9.3</w:t>
            </w:r>
          </w:p>
        </w:tc>
        <w:tc>
          <w:tcPr>
            <w:tcW w:w="1271" w:type="dxa"/>
          </w:tcPr>
          <w:p w:rsidR="0038443C" w:rsidRPr="00AD242A" w:rsidRDefault="0038443C" w:rsidP="00043878">
            <w:pPr>
              <w:autoSpaceDE w:val="0"/>
              <w:autoSpaceDN w:val="0"/>
              <w:adjustRightInd w:val="0"/>
              <w:rPr>
                <w:rFonts w:ascii="Times New Roman" w:eastAsia="TimesNewRoman" w:hAnsi="Times New Roman" w:cs="Times New Roman"/>
                <w:sz w:val="22"/>
                <w:szCs w:val="22"/>
                <w:lang w:val="sr-Latn-ME" w:eastAsia="sr-Latn-ME"/>
              </w:rPr>
            </w:pPr>
            <w:r w:rsidRPr="00AD242A">
              <w:rPr>
                <w:rFonts w:ascii="Times New Roman" w:eastAsia="TimesNewRoman" w:hAnsi="Times New Roman" w:cs="Times New Roman"/>
                <w:sz w:val="22"/>
                <w:szCs w:val="22"/>
                <w:lang w:val="sr-Latn-ME" w:eastAsia="sr-Latn-ME"/>
              </w:rPr>
              <w:t>9.5</w:t>
            </w:r>
          </w:p>
        </w:tc>
      </w:tr>
      <w:tr w:rsidR="0038443C" w:rsidRPr="008E586D" w:rsidTr="00926D14">
        <w:tc>
          <w:tcPr>
            <w:tcW w:w="1617" w:type="dxa"/>
          </w:tcPr>
          <w:p w:rsidR="0038443C" w:rsidRPr="00AD242A" w:rsidRDefault="0038443C" w:rsidP="00043878">
            <w:pPr>
              <w:autoSpaceDE w:val="0"/>
              <w:autoSpaceDN w:val="0"/>
              <w:adjustRightInd w:val="0"/>
              <w:rPr>
                <w:rFonts w:ascii="Times New Roman" w:eastAsia="TimesNewRoman" w:hAnsi="Times New Roman" w:cs="Times New Roman"/>
                <w:sz w:val="22"/>
                <w:szCs w:val="22"/>
                <w:lang w:val="sr-Latn-ME" w:eastAsia="sr-Latn-ME"/>
              </w:rPr>
            </w:pPr>
            <w:r w:rsidRPr="00AD242A">
              <w:rPr>
                <w:rFonts w:ascii="Times New Roman" w:eastAsia="TimesNewRoman" w:hAnsi="Times New Roman" w:cs="Times New Roman"/>
                <w:sz w:val="22"/>
                <w:szCs w:val="22"/>
                <w:lang w:val="sr-Latn-ME" w:eastAsia="sr-Latn-ME"/>
              </w:rPr>
              <w:t>p-vrijednost</w:t>
            </w:r>
          </w:p>
        </w:tc>
        <w:tc>
          <w:tcPr>
            <w:tcW w:w="2482" w:type="dxa"/>
            <w:gridSpan w:val="2"/>
          </w:tcPr>
          <w:p w:rsidR="0038443C" w:rsidRPr="00AD242A" w:rsidRDefault="0038443C" w:rsidP="00043878">
            <w:pPr>
              <w:autoSpaceDE w:val="0"/>
              <w:autoSpaceDN w:val="0"/>
              <w:adjustRightInd w:val="0"/>
              <w:rPr>
                <w:rFonts w:ascii="Times New Roman" w:eastAsia="TimesNewRoman" w:hAnsi="Times New Roman" w:cs="Times New Roman"/>
                <w:sz w:val="22"/>
                <w:szCs w:val="22"/>
                <w:lang w:val="sr-Latn-ME" w:eastAsia="sr-Latn-ME"/>
              </w:rPr>
            </w:pPr>
            <w:r w:rsidRPr="00AD242A">
              <w:rPr>
                <w:rFonts w:ascii="Times New Roman" w:eastAsia="TimesNewRoman" w:hAnsi="Times New Roman" w:cs="Times New Roman"/>
                <w:sz w:val="22"/>
                <w:szCs w:val="22"/>
                <w:lang w:val="sr-Latn-ME" w:eastAsia="sr-Latn-ME"/>
              </w:rPr>
              <w:t>NS</w:t>
            </w:r>
          </w:p>
        </w:tc>
        <w:tc>
          <w:tcPr>
            <w:tcW w:w="2482" w:type="dxa"/>
            <w:gridSpan w:val="2"/>
          </w:tcPr>
          <w:p w:rsidR="0038443C" w:rsidRPr="00AD242A" w:rsidRDefault="0038443C" w:rsidP="00043878">
            <w:pPr>
              <w:autoSpaceDE w:val="0"/>
              <w:autoSpaceDN w:val="0"/>
              <w:adjustRightInd w:val="0"/>
              <w:rPr>
                <w:rFonts w:ascii="Times New Roman" w:eastAsia="TimesNewRoman" w:hAnsi="Times New Roman" w:cs="Times New Roman"/>
                <w:sz w:val="22"/>
                <w:szCs w:val="22"/>
                <w:lang w:val="sr-Latn-ME" w:eastAsia="sr-Latn-ME"/>
              </w:rPr>
            </w:pPr>
            <w:r w:rsidRPr="00AD242A">
              <w:rPr>
                <w:rFonts w:ascii="Times New Roman" w:eastAsia="TimesNewRoman" w:hAnsi="Times New Roman" w:cs="Times New Roman"/>
                <w:sz w:val="22"/>
                <w:szCs w:val="22"/>
                <w:lang w:val="sr-Latn-ME" w:eastAsia="sr-Latn-ME"/>
              </w:rPr>
              <w:t>p=0.043</w:t>
            </w:r>
          </w:p>
        </w:tc>
        <w:tc>
          <w:tcPr>
            <w:tcW w:w="2482" w:type="dxa"/>
            <w:gridSpan w:val="2"/>
          </w:tcPr>
          <w:p w:rsidR="0038443C" w:rsidRPr="00AD242A" w:rsidRDefault="0038443C" w:rsidP="00043878">
            <w:pPr>
              <w:autoSpaceDE w:val="0"/>
              <w:autoSpaceDN w:val="0"/>
              <w:adjustRightInd w:val="0"/>
              <w:rPr>
                <w:rFonts w:ascii="Times New Roman" w:eastAsia="TimesNewRoman" w:hAnsi="Times New Roman" w:cs="Times New Roman"/>
                <w:sz w:val="22"/>
                <w:szCs w:val="22"/>
                <w:lang w:val="sr-Latn-ME" w:eastAsia="sr-Latn-ME"/>
              </w:rPr>
            </w:pPr>
            <w:r w:rsidRPr="00AD242A">
              <w:rPr>
                <w:rFonts w:ascii="Times New Roman" w:eastAsia="TimesNewRoman" w:hAnsi="Times New Roman" w:cs="Times New Roman"/>
                <w:sz w:val="22"/>
                <w:szCs w:val="22"/>
                <w:lang w:val="sr-Latn-ME" w:eastAsia="sr-Latn-ME"/>
              </w:rPr>
              <w:t>NS</w:t>
            </w:r>
          </w:p>
        </w:tc>
      </w:tr>
      <w:tr w:rsidR="0038443C" w:rsidRPr="008E586D" w:rsidTr="00926D14">
        <w:tc>
          <w:tcPr>
            <w:tcW w:w="1617" w:type="dxa"/>
          </w:tcPr>
          <w:p w:rsidR="0038443C" w:rsidRPr="00AD242A" w:rsidRDefault="0038443C" w:rsidP="00043878">
            <w:pPr>
              <w:autoSpaceDE w:val="0"/>
              <w:autoSpaceDN w:val="0"/>
              <w:adjustRightInd w:val="0"/>
              <w:rPr>
                <w:rFonts w:ascii="Times New Roman" w:eastAsia="TimesNewRoman" w:hAnsi="Times New Roman" w:cs="Times New Roman"/>
                <w:sz w:val="22"/>
                <w:szCs w:val="22"/>
                <w:lang w:val="sr-Latn-ME" w:eastAsia="sr-Latn-ME"/>
              </w:rPr>
            </w:pPr>
            <w:r w:rsidRPr="00AD242A">
              <w:rPr>
                <w:rFonts w:ascii="Times New Roman" w:eastAsia="TimesNewRoman" w:hAnsi="Times New Roman" w:cs="Times New Roman"/>
                <w:sz w:val="22"/>
                <w:szCs w:val="22"/>
                <w:lang w:val="sr-Latn-ME" w:eastAsia="sr-Latn-ME"/>
              </w:rPr>
              <w:t>Medijana trajanja terapijskog odgovora I stabilizacije (mjeseci)</w:t>
            </w:r>
          </w:p>
        </w:tc>
        <w:tc>
          <w:tcPr>
            <w:tcW w:w="1213" w:type="dxa"/>
          </w:tcPr>
          <w:p w:rsidR="0038443C" w:rsidRPr="00AD242A" w:rsidRDefault="0038443C" w:rsidP="00926D14">
            <w:pPr>
              <w:autoSpaceDE w:val="0"/>
              <w:autoSpaceDN w:val="0"/>
              <w:adjustRightInd w:val="0"/>
              <w:rPr>
                <w:rFonts w:ascii="Times New Roman" w:eastAsia="TimesNewRoman" w:hAnsi="Times New Roman" w:cs="Times New Roman"/>
                <w:sz w:val="22"/>
                <w:szCs w:val="22"/>
                <w:lang w:val="sr-Latn-ME" w:eastAsia="sr-Latn-ME"/>
              </w:rPr>
            </w:pPr>
            <w:r w:rsidRPr="00AD242A">
              <w:rPr>
                <w:rFonts w:ascii="Times New Roman" w:eastAsia="TimesNewRoman" w:hAnsi="Times New Roman" w:cs="Times New Roman"/>
                <w:sz w:val="22"/>
                <w:szCs w:val="22"/>
                <w:lang w:val="sr-Latn-ME" w:eastAsia="sr-Latn-ME"/>
              </w:rPr>
              <w:t>8.6</w:t>
            </w:r>
          </w:p>
        </w:tc>
        <w:tc>
          <w:tcPr>
            <w:tcW w:w="1269" w:type="dxa"/>
          </w:tcPr>
          <w:p w:rsidR="0038443C" w:rsidRPr="00AD242A" w:rsidRDefault="0038443C" w:rsidP="00043878">
            <w:pPr>
              <w:autoSpaceDE w:val="0"/>
              <w:autoSpaceDN w:val="0"/>
              <w:adjustRightInd w:val="0"/>
              <w:rPr>
                <w:rFonts w:ascii="Times New Roman" w:eastAsia="TimesNewRoman" w:hAnsi="Times New Roman" w:cs="Times New Roman"/>
                <w:sz w:val="22"/>
                <w:szCs w:val="22"/>
                <w:lang w:val="sr-Latn-ME" w:eastAsia="sr-Latn-ME"/>
              </w:rPr>
            </w:pPr>
            <w:r w:rsidRPr="00AD242A">
              <w:rPr>
                <w:rFonts w:ascii="Times New Roman" w:eastAsia="TimesNewRoman" w:hAnsi="Times New Roman" w:cs="Times New Roman"/>
                <w:sz w:val="22"/>
                <w:szCs w:val="22"/>
                <w:lang w:val="sr-Latn-ME" w:eastAsia="sr-Latn-ME"/>
              </w:rPr>
              <w:t>6.2</w:t>
            </w:r>
          </w:p>
        </w:tc>
        <w:tc>
          <w:tcPr>
            <w:tcW w:w="1283" w:type="dxa"/>
          </w:tcPr>
          <w:p w:rsidR="0038443C" w:rsidRPr="00AD242A" w:rsidRDefault="0038443C" w:rsidP="00043878">
            <w:pPr>
              <w:autoSpaceDE w:val="0"/>
              <w:autoSpaceDN w:val="0"/>
              <w:adjustRightInd w:val="0"/>
              <w:rPr>
                <w:rFonts w:ascii="Times New Roman" w:eastAsia="TimesNewRoman" w:hAnsi="Times New Roman" w:cs="Times New Roman"/>
                <w:sz w:val="22"/>
                <w:szCs w:val="22"/>
                <w:lang w:val="sr-Latn-ME" w:eastAsia="sr-Latn-ME"/>
              </w:rPr>
            </w:pPr>
            <w:r w:rsidRPr="00AD242A">
              <w:rPr>
                <w:rFonts w:ascii="Times New Roman" w:eastAsia="TimesNewRoman" w:hAnsi="Times New Roman" w:cs="Times New Roman"/>
                <w:sz w:val="22"/>
                <w:szCs w:val="22"/>
                <w:lang w:val="sr-Latn-ME" w:eastAsia="sr-Latn-ME"/>
              </w:rPr>
              <w:t>8.3</w:t>
            </w:r>
          </w:p>
        </w:tc>
        <w:tc>
          <w:tcPr>
            <w:tcW w:w="1199" w:type="dxa"/>
          </w:tcPr>
          <w:p w:rsidR="0038443C" w:rsidRPr="00AD242A" w:rsidRDefault="0038443C" w:rsidP="00043878">
            <w:pPr>
              <w:autoSpaceDE w:val="0"/>
              <w:autoSpaceDN w:val="0"/>
              <w:adjustRightInd w:val="0"/>
              <w:rPr>
                <w:rFonts w:ascii="Times New Roman" w:eastAsia="TimesNewRoman" w:hAnsi="Times New Roman" w:cs="Times New Roman"/>
                <w:sz w:val="22"/>
                <w:szCs w:val="22"/>
                <w:lang w:val="sr-Latn-ME" w:eastAsia="sr-Latn-ME"/>
              </w:rPr>
            </w:pPr>
            <w:r w:rsidRPr="00AD242A">
              <w:rPr>
                <w:rFonts w:ascii="Times New Roman" w:eastAsia="TimesNewRoman" w:hAnsi="Times New Roman" w:cs="Times New Roman"/>
                <w:sz w:val="22"/>
                <w:szCs w:val="22"/>
                <w:lang w:val="sr-Latn-ME" w:eastAsia="sr-Latn-ME"/>
              </w:rPr>
              <w:t>6.7</w:t>
            </w:r>
          </w:p>
        </w:tc>
        <w:tc>
          <w:tcPr>
            <w:tcW w:w="1211" w:type="dxa"/>
          </w:tcPr>
          <w:p w:rsidR="0038443C" w:rsidRPr="00AD242A" w:rsidRDefault="0038443C" w:rsidP="00043878">
            <w:pPr>
              <w:autoSpaceDE w:val="0"/>
              <w:autoSpaceDN w:val="0"/>
              <w:adjustRightInd w:val="0"/>
              <w:rPr>
                <w:rFonts w:ascii="Times New Roman" w:eastAsia="TimesNewRoman" w:hAnsi="Times New Roman" w:cs="Times New Roman"/>
                <w:sz w:val="22"/>
                <w:szCs w:val="22"/>
                <w:lang w:val="sr-Latn-ME" w:eastAsia="sr-Latn-ME"/>
              </w:rPr>
            </w:pPr>
            <w:r w:rsidRPr="00AD242A">
              <w:rPr>
                <w:rFonts w:ascii="Times New Roman" w:eastAsia="TimesNewRoman" w:hAnsi="Times New Roman" w:cs="Times New Roman"/>
                <w:sz w:val="22"/>
                <w:szCs w:val="22"/>
                <w:lang w:val="sr-Latn-ME" w:eastAsia="sr-Latn-ME"/>
              </w:rPr>
              <w:t>8.5</w:t>
            </w:r>
          </w:p>
        </w:tc>
        <w:tc>
          <w:tcPr>
            <w:tcW w:w="1271" w:type="dxa"/>
          </w:tcPr>
          <w:p w:rsidR="0038443C" w:rsidRPr="00AD242A" w:rsidRDefault="0038443C" w:rsidP="00043878">
            <w:pPr>
              <w:autoSpaceDE w:val="0"/>
              <w:autoSpaceDN w:val="0"/>
              <w:adjustRightInd w:val="0"/>
              <w:rPr>
                <w:rFonts w:ascii="Times New Roman" w:eastAsia="TimesNewRoman" w:hAnsi="Times New Roman" w:cs="Times New Roman"/>
                <w:sz w:val="22"/>
                <w:szCs w:val="22"/>
                <w:lang w:val="sr-Latn-ME" w:eastAsia="sr-Latn-ME"/>
              </w:rPr>
            </w:pPr>
            <w:r w:rsidRPr="00AD242A">
              <w:rPr>
                <w:rFonts w:ascii="Times New Roman" w:eastAsia="TimesNewRoman" w:hAnsi="Times New Roman" w:cs="Times New Roman"/>
                <w:sz w:val="22"/>
                <w:szCs w:val="22"/>
                <w:lang w:val="sr-Latn-ME" w:eastAsia="sr-Latn-ME"/>
              </w:rPr>
              <w:t>5.6</w:t>
            </w:r>
          </w:p>
        </w:tc>
      </w:tr>
      <w:tr w:rsidR="0038443C" w:rsidRPr="008E586D" w:rsidTr="00926D14">
        <w:tc>
          <w:tcPr>
            <w:tcW w:w="1617" w:type="dxa"/>
          </w:tcPr>
          <w:p w:rsidR="0038443C" w:rsidRPr="00AD242A" w:rsidRDefault="0038443C" w:rsidP="00043878">
            <w:pPr>
              <w:autoSpaceDE w:val="0"/>
              <w:autoSpaceDN w:val="0"/>
              <w:adjustRightInd w:val="0"/>
              <w:rPr>
                <w:rFonts w:ascii="Times New Roman" w:eastAsia="TimesNewRoman" w:hAnsi="Times New Roman" w:cs="Times New Roman"/>
                <w:sz w:val="22"/>
                <w:szCs w:val="22"/>
                <w:lang w:val="sr-Latn-ME" w:eastAsia="sr-Latn-ME"/>
              </w:rPr>
            </w:pPr>
            <w:r w:rsidRPr="00AD242A">
              <w:rPr>
                <w:rFonts w:ascii="Times New Roman" w:eastAsia="TimesNewRoman" w:hAnsi="Times New Roman" w:cs="Times New Roman"/>
                <w:sz w:val="22"/>
                <w:szCs w:val="22"/>
                <w:lang w:val="sr-Latn-ME" w:eastAsia="sr-Latn-ME"/>
              </w:rPr>
              <w:t>p-vrijednost</w:t>
            </w:r>
          </w:p>
        </w:tc>
        <w:tc>
          <w:tcPr>
            <w:tcW w:w="2482" w:type="dxa"/>
            <w:gridSpan w:val="2"/>
          </w:tcPr>
          <w:p w:rsidR="0038443C" w:rsidRPr="00AD242A" w:rsidRDefault="0038443C" w:rsidP="00043878">
            <w:pPr>
              <w:autoSpaceDE w:val="0"/>
              <w:autoSpaceDN w:val="0"/>
              <w:adjustRightInd w:val="0"/>
              <w:rPr>
                <w:rFonts w:ascii="Times New Roman" w:eastAsia="TimesNewRoman" w:hAnsi="Times New Roman" w:cs="Times New Roman"/>
                <w:sz w:val="22"/>
                <w:szCs w:val="22"/>
                <w:lang w:val="sr-Latn-ME" w:eastAsia="sr-Latn-ME"/>
              </w:rPr>
            </w:pPr>
            <w:r w:rsidRPr="00AD242A">
              <w:rPr>
                <w:rFonts w:ascii="Times New Roman" w:eastAsia="TimesNewRoman" w:hAnsi="Times New Roman" w:cs="Times New Roman"/>
                <w:sz w:val="22"/>
                <w:szCs w:val="22"/>
                <w:lang w:val="sr-Latn-ME" w:eastAsia="sr-Latn-ME"/>
              </w:rPr>
              <w:t>p&lt;0.001</w:t>
            </w:r>
          </w:p>
        </w:tc>
        <w:tc>
          <w:tcPr>
            <w:tcW w:w="2482" w:type="dxa"/>
            <w:gridSpan w:val="2"/>
          </w:tcPr>
          <w:p w:rsidR="0038443C" w:rsidRPr="00AD242A" w:rsidRDefault="0038443C" w:rsidP="00043878">
            <w:pPr>
              <w:autoSpaceDE w:val="0"/>
              <w:autoSpaceDN w:val="0"/>
              <w:adjustRightInd w:val="0"/>
              <w:rPr>
                <w:rFonts w:ascii="Times New Roman" w:eastAsia="TimesNewRoman" w:hAnsi="Times New Roman" w:cs="Times New Roman"/>
                <w:sz w:val="22"/>
                <w:szCs w:val="22"/>
                <w:lang w:val="sr-Latn-ME" w:eastAsia="sr-Latn-ME"/>
              </w:rPr>
            </w:pPr>
            <w:r w:rsidRPr="00AD242A">
              <w:rPr>
                <w:rFonts w:ascii="Times New Roman" w:eastAsia="TimesNewRoman" w:hAnsi="Times New Roman" w:cs="Times New Roman"/>
                <w:sz w:val="22"/>
                <w:szCs w:val="22"/>
                <w:lang w:val="sr-Latn-ME" w:eastAsia="sr-Latn-ME"/>
              </w:rPr>
              <w:t>NS</w:t>
            </w:r>
          </w:p>
        </w:tc>
        <w:tc>
          <w:tcPr>
            <w:tcW w:w="2482" w:type="dxa"/>
            <w:gridSpan w:val="2"/>
          </w:tcPr>
          <w:p w:rsidR="0038443C" w:rsidRPr="00AD242A" w:rsidRDefault="0038443C" w:rsidP="00043878">
            <w:pPr>
              <w:autoSpaceDE w:val="0"/>
              <w:autoSpaceDN w:val="0"/>
              <w:adjustRightInd w:val="0"/>
              <w:rPr>
                <w:rFonts w:ascii="Times New Roman" w:eastAsia="TimesNewRoman" w:hAnsi="Times New Roman" w:cs="Times New Roman"/>
                <w:sz w:val="22"/>
                <w:szCs w:val="22"/>
                <w:lang w:val="sr-Latn-ME" w:eastAsia="sr-Latn-ME"/>
              </w:rPr>
            </w:pPr>
            <w:r w:rsidRPr="00AD242A">
              <w:rPr>
                <w:rFonts w:ascii="Times New Roman" w:eastAsia="TimesNewRoman" w:hAnsi="Times New Roman" w:cs="Times New Roman"/>
                <w:sz w:val="22"/>
                <w:szCs w:val="22"/>
                <w:lang w:val="sr-Latn-ME" w:eastAsia="sr-Latn-ME"/>
              </w:rPr>
              <w:t>p=0.003</w:t>
            </w:r>
          </w:p>
        </w:tc>
      </w:tr>
      <w:tr w:rsidR="0038443C" w:rsidRPr="008E586D" w:rsidTr="00926D14">
        <w:tc>
          <w:tcPr>
            <w:tcW w:w="1617" w:type="dxa"/>
          </w:tcPr>
          <w:p w:rsidR="0038443C" w:rsidRPr="00AD242A" w:rsidRDefault="0038443C" w:rsidP="00043878">
            <w:pPr>
              <w:autoSpaceDE w:val="0"/>
              <w:autoSpaceDN w:val="0"/>
              <w:adjustRightInd w:val="0"/>
              <w:rPr>
                <w:rFonts w:ascii="Times New Roman" w:eastAsia="TimesNewRoman" w:hAnsi="Times New Roman" w:cs="Times New Roman"/>
                <w:sz w:val="22"/>
                <w:szCs w:val="22"/>
                <w:lang w:val="sr-Latn-ME" w:eastAsia="sr-Latn-ME"/>
              </w:rPr>
            </w:pPr>
            <w:r w:rsidRPr="00AD242A">
              <w:rPr>
                <w:rFonts w:ascii="Times New Roman" w:eastAsia="TimesNewRoman" w:hAnsi="Times New Roman" w:cs="Times New Roman"/>
                <w:sz w:val="22"/>
                <w:szCs w:val="22"/>
                <w:lang w:val="sr-Latn-ME" w:eastAsia="sr-Latn-ME"/>
              </w:rPr>
              <w:t>Medijana nastupa terapijskog neuspjeha(mjeseci)</w:t>
            </w:r>
          </w:p>
        </w:tc>
        <w:tc>
          <w:tcPr>
            <w:tcW w:w="1213" w:type="dxa"/>
          </w:tcPr>
          <w:p w:rsidR="0038443C" w:rsidRPr="00AD242A" w:rsidRDefault="0038443C" w:rsidP="00043878">
            <w:pPr>
              <w:autoSpaceDE w:val="0"/>
              <w:autoSpaceDN w:val="0"/>
              <w:adjustRightInd w:val="0"/>
              <w:rPr>
                <w:rFonts w:ascii="Times New Roman" w:eastAsia="TimesNewRoman" w:hAnsi="Times New Roman" w:cs="Times New Roman"/>
                <w:sz w:val="22"/>
                <w:szCs w:val="22"/>
                <w:lang w:val="sr-Latn-ME" w:eastAsia="sr-Latn-ME"/>
              </w:rPr>
            </w:pPr>
            <w:r w:rsidRPr="00AD242A">
              <w:rPr>
                <w:rFonts w:ascii="Times New Roman" w:eastAsia="TimesNewRoman" w:hAnsi="Times New Roman" w:cs="Times New Roman"/>
                <w:sz w:val="22"/>
                <w:szCs w:val="22"/>
                <w:lang w:val="sr-Latn-ME" w:eastAsia="sr-Latn-ME"/>
              </w:rPr>
              <w:t>5.3</w:t>
            </w:r>
          </w:p>
        </w:tc>
        <w:tc>
          <w:tcPr>
            <w:tcW w:w="1269" w:type="dxa"/>
          </w:tcPr>
          <w:p w:rsidR="0038443C" w:rsidRPr="00AD242A" w:rsidRDefault="0038443C" w:rsidP="00043878">
            <w:pPr>
              <w:autoSpaceDE w:val="0"/>
              <w:autoSpaceDN w:val="0"/>
              <w:adjustRightInd w:val="0"/>
              <w:rPr>
                <w:rFonts w:ascii="Times New Roman" w:eastAsia="TimesNewRoman" w:hAnsi="Times New Roman" w:cs="Times New Roman"/>
                <w:sz w:val="22"/>
                <w:szCs w:val="22"/>
                <w:lang w:val="sr-Latn-ME" w:eastAsia="sr-Latn-ME"/>
              </w:rPr>
            </w:pPr>
            <w:r w:rsidRPr="00AD242A">
              <w:rPr>
                <w:rFonts w:ascii="Times New Roman" w:eastAsia="TimesNewRoman" w:hAnsi="Times New Roman" w:cs="Times New Roman"/>
                <w:sz w:val="22"/>
                <w:szCs w:val="22"/>
                <w:lang w:val="sr-Latn-ME" w:eastAsia="sr-Latn-ME"/>
              </w:rPr>
              <w:t>3.8</w:t>
            </w:r>
          </w:p>
        </w:tc>
        <w:tc>
          <w:tcPr>
            <w:tcW w:w="1283" w:type="dxa"/>
          </w:tcPr>
          <w:p w:rsidR="0038443C" w:rsidRPr="00AD242A" w:rsidRDefault="0038443C" w:rsidP="00043878">
            <w:pPr>
              <w:autoSpaceDE w:val="0"/>
              <w:autoSpaceDN w:val="0"/>
              <w:adjustRightInd w:val="0"/>
              <w:rPr>
                <w:rFonts w:ascii="Times New Roman" w:eastAsia="TimesNewRoman" w:hAnsi="Times New Roman" w:cs="Times New Roman"/>
                <w:sz w:val="22"/>
                <w:szCs w:val="22"/>
                <w:lang w:val="sr-Latn-ME" w:eastAsia="sr-Latn-ME"/>
              </w:rPr>
            </w:pPr>
            <w:r w:rsidRPr="00AD242A">
              <w:rPr>
                <w:rFonts w:ascii="Times New Roman" w:eastAsia="TimesNewRoman" w:hAnsi="Times New Roman" w:cs="Times New Roman"/>
                <w:sz w:val="22"/>
                <w:szCs w:val="22"/>
                <w:lang w:val="sr-Latn-ME" w:eastAsia="sr-Latn-ME"/>
              </w:rPr>
              <w:t>5.4</w:t>
            </w:r>
          </w:p>
        </w:tc>
        <w:tc>
          <w:tcPr>
            <w:tcW w:w="1199" w:type="dxa"/>
          </w:tcPr>
          <w:p w:rsidR="0038443C" w:rsidRPr="00AD242A" w:rsidRDefault="0038443C" w:rsidP="00043878">
            <w:pPr>
              <w:autoSpaceDE w:val="0"/>
              <w:autoSpaceDN w:val="0"/>
              <w:adjustRightInd w:val="0"/>
              <w:rPr>
                <w:rFonts w:ascii="Times New Roman" w:eastAsia="TimesNewRoman" w:hAnsi="Times New Roman" w:cs="Times New Roman"/>
                <w:sz w:val="22"/>
                <w:szCs w:val="22"/>
                <w:lang w:val="sr-Latn-ME" w:eastAsia="sr-Latn-ME"/>
              </w:rPr>
            </w:pPr>
            <w:r w:rsidRPr="00AD242A">
              <w:rPr>
                <w:rFonts w:ascii="Times New Roman" w:eastAsia="TimesNewRoman" w:hAnsi="Times New Roman" w:cs="Times New Roman"/>
                <w:sz w:val="22"/>
                <w:szCs w:val="22"/>
                <w:lang w:val="sr-Latn-ME" w:eastAsia="sr-Latn-ME"/>
              </w:rPr>
              <w:t>5.0</w:t>
            </w:r>
          </w:p>
        </w:tc>
        <w:tc>
          <w:tcPr>
            <w:tcW w:w="1211" w:type="dxa"/>
          </w:tcPr>
          <w:p w:rsidR="0038443C" w:rsidRPr="00AD242A" w:rsidRDefault="0038443C" w:rsidP="00043878">
            <w:pPr>
              <w:autoSpaceDE w:val="0"/>
              <w:autoSpaceDN w:val="0"/>
              <w:adjustRightInd w:val="0"/>
              <w:rPr>
                <w:rFonts w:ascii="Times New Roman" w:eastAsia="TimesNewRoman" w:hAnsi="Times New Roman" w:cs="Times New Roman"/>
                <w:sz w:val="22"/>
                <w:szCs w:val="22"/>
                <w:lang w:val="sr-Latn-ME" w:eastAsia="sr-Latn-ME"/>
              </w:rPr>
            </w:pPr>
            <w:r w:rsidRPr="00AD242A">
              <w:rPr>
                <w:rFonts w:ascii="Times New Roman" w:eastAsia="TimesNewRoman" w:hAnsi="Times New Roman" w:cs="Times New Roman"/>
                <w:sz w:val="22"/>
                <w:szCs w:val="22"/>
                <w:lang w:val="sr-Latn-ME" w:eastAsia="sr-Latn-ME"/>
              </w:rPr>
              <w:t>5.1</w:t>
            </w:r>
          </w:p>
        </w:tc>
        <w:tc>
          <w:tcPr>
            <w:tcW w:w="1271" w:type="dxa"/>
          </w:tcPr>
          <w:p w:rsidR="0038443C" w:rsidRPr="00AD242A" w:rsidRDefault="0038443C" w:rsidP="00043878">
            <w:pPr>
              <w:autoSpaceDE w:val="0"/>
              <w:autoSpaceDN w:val="0"/>
              <w:adjustRightInd w:val="0"/>
              <w:rPr>
                <w:rFonts w:ascii="Times New Roman" w:eastAsia="TimesNewRoman" w:hAnsi="Times New Roman" w:cs="Times New Roman"/>
                <w:sz w:val="22"/>
                <w:szCs w:val="22"/>
                <w:lang w:val="sr-Latn-ME" w:eastAsia="sr-Latn-ME"/>
              </w:rPr>
            </w:pPr>
            <w:r w:rsidRPr="00AD242A">
              <w:rPr>
                <w:rFonts w:ascii="Times New Roman" w:eastAsia="TimesNewRoman" w:hAnsi="Times New Roman" w:cs="Times New Roman"/>
                <w:sz w:val="22"/>
                <w:szCs w:val="22"/>
                <w:lang w:val="sr-Latn-ME" w:eastAsia="sr-Latn-ME"/>
              </w:rPr>
              <w:t>3.0</w:t>
            </w:r>
          </w:p>
        </w:tc>
      </w:tr>
      <w:tr w:rsidR="0038443C" w:rsidRPr="008E586D" w:rsidTr="00926D14">
        <w:tc>
          <w:tcPr>
            <w:tcW w:w="1617" w:type="dxa"/>
          </w:tcPr>
          <w:p w:rsidR="0038443C" w:rsidRPr="00AD242A" w:rsidRDefault="0038443C" w:rsidP="00043878">
            <w:pPr>
              <w:autoSpaceDE w:val="0"/>
              <w:autoSpaceDN w:val="0"/>
              <w:adjustRightInd w:val="0"/>
              <w:rPr>
                <w:rFonts w:ascii="Times New Roman" w:eastAsia="TimesNewRoman" w:hAnsi="Times New Roman" w:cs="Times New Roman"/>
                <w:sz w:val="22"/>
                <w:szCs w:val="22"/>
                <w:lang w:val="sr-Latn-ME" w:eastAsia="sr-Latn-ME"/>
              </w:rPr>
            </w:pPr>
            <w:r w:rsidRPr="00AD242A">
              <w:rPr>
                <w:rFonts w:ascii="Times New Roman" w:eastAsia="TimesNewRoman" w:hAnsi="Times New Roman" w:cs="Times New Roman"/>
                <w:sz w:val="22"/>
                <w:szCs w:val="22"/>
                <w:lang w:val="sr-Latn-ME" w:eastAsia="sr-Latn-ME"/>
              </w:rPr>
              <w:t>p-vrijednost</w:t>
            </w:r>
          </w:p>
        </w:tc>
        <w:tc>
          <w:tcPr>
            <w:tcW w:w="2482" w:type="dxa"/>
            <w:gridSpan w:val="2"/>
          </w:tcPr>
          <w:p w:rsidR="0038443C" w:rsidRPr="00AD242A" w:rsidRDefault="0038443C" w:rsidP="00043878">
            <w:pPr>
              <w:autoSpaceDE w:val="0"/>
              <w:autoSpaceDN w:val="0"/>
              <w:adjustRightInd w:val="0"/>
              <w:rPr>
                <w:rFonts w:ascii="Times New Roman" w:eastAsia="TimesNewRoman" w:hAnsi="Times New Roman" w:cs="Times New Roman"/>
                <w:sz w:val="22"/>
                <w:szCs w:val="22"/>
                <w:lang w:val="sr-Latn-ME" w:eastAsia="sr-Latn-ME"/>
              </w:rPr>
            </w:pPr>
            <w:r w:rsidRPr="00AD242A">
              <w:rPr>
                <w:rFonts w:ascii="Times New Roman" w:eastAsia="TimesNewRoman" w:hAnsi="Times New Roman" w:cs="Times New Roman"/>
                <w:sz w:val="22"/>
                <w:szCs w:val="22"/>
                <w:lang w:val="sr-Latn-ME" w:eastAsia="sr-Latn-ME"/>
              </w:rPr>
              <w:t>p=0.0014</w:t>
            </w:r>
          </w:p>
        </w:tc>
        <w:tc>
          <w:tcPr>
            <w:tcW w:w="2482" w:type="dxa"/>
            <w:gridSpan w:val="2"/>
          </w:tcPr>
          <w:p w:rsidR="0038443C" w:rsidRPr="00AD242A" w:rsidRDefault="0038443C" w:rsidP="00043878">
            <w:pPr>
              <w:autoSpaceDE w:val="0"/>
              <w:autoSpaceDN w:val="0"/>
              <w:adjustRightInd w:val="0"/>
              <w:rPr>
                <w:rFonts w:ascii="Times New Roman" w:eastAsia="TimesNewRoman" w:hAnsi="Times New Roman" w:cs="Times New Roman"/>
                <w:sz w:val="22"/>
                <w:szCs w:val="22"/>
                <w:lang w:val="sr-Latn-ME" w:eastAsia="sr-Latn-ME"/>
              </w:rPr>
            </w:pPr>
            <w:r w:rsidRPr="00AD242A">
              <w:rPr>
                <w:rFonts w:ascii="Times New Roman" w:eastAsia="TimesNewRoman" w:hAnsi="Times New Roman" w:cs="Times New Roman"/>
                <w:sz w:val="22"/>
                <w:szCs w:val="22"/>
                <w:lang w:val="sr-Latn-ME" w:eastAsia="sr-Latn-ME"/>
              </w:rPr>
              <w:t>NS</w:t>
            </w:r>
          </w:p>
        </w:tc>
        <w:tc>
          <w:tcPr>
            <w:tcW w:w="2482" w:type="dxa"/>
            <w:gridSpan w:val="2"/>
          </w:tcPr>
          <w:p w:rsidR="0038443C" w:rsidRPr="00AD242A" w:rsidRDefault="0038443C" w:rsidP="00043878">
            <w:pPr>
              <w:autoSpaceDE w:val="0"/>
              <w:autoSpaceDN w:val="0"/>
              <w:adjustRightInd w:val="0"/>
              <w:rPr>
                <w:rFonts w:ascii="Times New Roman" w:eastAsia="TimesNewRoman" w:hAnsi="Times New Roman" w:cs="Times New Roman"/>
                <w:sz w:val="22"/>
                <w:szCs w:val="22"/>
                <w:lang w:val="sr-Latn-ME" w:eastAsia="sr-Latn-ME"/>
              </w:rPr>
            </w:pPr>
            <w:r w:rsidRPr="00AD242A">
              <w:rPr>
                <w:rFonts w:ascii="Times New Roman" w:eastAsia="TimesNewRoman" w:hAnsi="Times New Roman" w:cs="Times New Roman"/>
                <w:sz w:val="22"/>
                <w:szCs w:val="22"/>
                <w:lang w:val="sr-Latn-ME" w:eastAsia="sr-Latn-ME"/>
              </w:rPr>
              <w:t>p&lt;0.001</w:t>
            </w:r>
          </w:p>
        </w:tc>
      </w:tr>
      <w:tr w:rsidR="0038443C" w:rsidRPr="008E586D" w:rsidTr="00926D14">
        <w:tc>
          <w:tcPr>
            <w:tcW w:w="1617" w:type="dxa"/>
          </w:tcPr>
          <w:p w:rsidR="0038443C" w:rsidRPr="00AD242A" w:rsidRDefault="0038443C" w:rsidP="00043878">
            <w:pPr>
              <w:autoSpaceDE w:val="0"/>
              <w:autoSpaceDN w:val="0"/>
              <w:adjustRightInd w:val="0"/>
              <w:rPr>
                <w:rFonts w:ascii="Times New Roman" w:eastAsia="TimesNewRoman" w:hAnsi="Times New Roman" w:cs="Times New Roman"/>
                <w:sz w:val="22"/>
                <w:szCs w:val="22"/>
                <w:lang w:val="sr-Latn-ME" w:eastAsia="sr-Latn-ME"/>
              </w:rPr>
            </w:pPr>
            <w:r w:rsidRPr="00AD242A">
              <w:rPr>
                <w:rFonts w:ascii="Times New Roman" w:eastAsia="TimesNewRoman" w:hAnsi="Times New Roman" w:cs="Times New Roman"/>
                <w:sz w:val="22"/>
                <w:szCs w:val="22"/>
                <w:lang w:val="sr-Latn-ME" w:eastAsia="sr-Latn-ME"/>
              </w:rPr>
              <w:t>Medijana preživljavanja (mjeseci)</w:t>
            </w:r>
          </w:p>
        </w:tc>
        <w:tc>
          <w:tcPr>
            <w:tcW w:w="1213" w:type="dxa"/>
          </w:tcPr>
          <w:p w:rsidR="0038443C" w:rsidRPr="00AD242A" w:rsidRDefault="0038443C" w:rsidP="00043878">
            <w:pPr>
              <w:autoSpaceDE w:val="0"/>
              <w:autoSpaceDN w:val="0"/>
              <w:adjustRightInd w:val="0"/>
              <w:rPr>
                <w:rFonts w:ascii="Times New Roman" w:eastAsia="TimesNewRoman" w:hAnsi="Times New Roman" w:cs="Times New Roman"/>
                <w:sz w:val="22"/>
                <w:szCs w:val="22"/>
                <w:lang w:val="sr-Latn-ME" w:eastAsia="sr-Latn-ME"/>
              </w:rPr>
            </w:pPr>
            <w:r w:rsidRPr="00AD242A">
              <w:rPr>
                <w:rFonts w:ascii="Times New Roman" w:eastAsia="TimesNewRoman" w:hAnsi="Times New Roman" w:cs="Times New Roman"/>
                <w:sz w:val="22"/>
                <w:szCs w:val="22"/>
                <w:lang w:val="sr-Latn-ME" w:eastAsia="sr-Latn-ME"/>
              </w:rPr>
              <w:t>16.8</w:t>
            </w:r>
          </w:p>
        </w:tc>
        <w:tc>
          <w:tcPr>
            <w:tcW w:w="1269" w:type="dxa"/>
          </w:tcPr>
          <w:p w:rsidR="0038443C" w:rsidRPr="00AD242A" w:rsidRDefault="0038443C" w:rsidP="00043878">
            <w:pPr>
              <w:autoSpaceDE w:val="0"/>
              <w:autoSpaceDN w:val="0"/>
              <w:adjustRightInd w:val="0"/>
              <w:rPr>
                <w:rFonts w:ascii="Times New Roman" w:eastAsia="TimesNewRoman" w:hAnsi="Times New Roman" w:cs="Times New Roman"/>
                <w:sz w:val="22"/>
                <w:szCs w:val="22"/>
                <w:lang w:val="sr-Latn-ME" w:eastAsia="sr-Latn-ME"/>
              </w:rPr>
            </w:pPr>
            <w:r w:rsidRPr="00AD242A">
              <w:rPr>
                <w:rFonts w:ascii="Times New Roman" w:eastAsia="TimesNewRoman" w:hAnsi="Times New Roman" w:cs="Times New Roman"/>
                <w:sz w:val="22"/>
                <w:szCs w:val="22"/>
                <w:lang w:val="sr-Latn-ME" w:eastAsia="sr-Latn-ME"/>
              </w:rPr>
              <w:t>14.0</w:t>
            </w:r>
          </w:p>
        </w:tc>
        <w:tc>
          <w:tcPr>
            <w:tcW w:w="1283" w:type="dxa"/>
          </w:tcPr>
          <w:p w:rsidR="0038443C" w:rsidRPr="00AD242A" w:rsidRDefault="0038443C" w:rsidP="00043878">
            <w:pPr>
              <w:autoSpaceDE w:val="0"/>
              <w:autoSpaceDN w:val="0"/>
              <w:adjustRightInd w:val="0"/>
              <w:rPr>
                <w:rFonts w:ascii="Times New Roman" w:eastAsia="TimesNewRoman" w:hAnsi="Times New Roman" w:cs="Times New Roman"/>
                <w:sz w:val="22"/>
                <w:szCs w:val="22"/>
                <w:lang w:val="sr-Latn-ME" w:eastAsia="sr-Latn-ME"/>
              </w:rPr>
            </w:pPr>
            <w:r w:rsidRPr="00AD242A">
              <w:rPr>
                <w:rFonts w:ascii="Times New Roman" w:eastAsia="TimesNewRoman" w:hAnsi="Times New Roman" w:cs="Times New Roman"/>
                <w:sz w:val="22"/>
                <w:szCs w:val="22"/>
                <w:lang w:val="sr-Latn-ME" w:eastAsia="sr-Latn-ME"/>
              </w:rPr>
              <w:t>19.2</w:t>
            </w:r>
          </w:p>
        </w:tc>
        <w:tc>
          <w:tcPr>
            <w:tcW w:w="1199" w:type="dxa"/>
          </w:tcPr>
          <w:p w:rsidR="0038443C" w:rsidRPr="00AD242A" w:rsidRDefault="0038443C" w:rsidP="00043878">
            <w:pPr>
              <w:autoSpaceDE w:val="0"/>
              <w:autoSpaceDN w:val="0"/>
              <w:adjustRightInd w:val="0"/>
              <w:rPr>
                <w:rFonts w:ascii="Times New Roman" w:eastAsia="TimesNewRoman" w:hAnsi="Times New Roman" w:cs="Times New Roman"/>
                <w:sz w:val="22"/>
                <w:szCs w:val="22"/>
                <w:lang w:val="sr-Latn-ME" w:eastAsia="sr-Latn-ME"/>
              </w:rPr>
            </w:pPr>
            <w:r w:rsidRPr="00AD242A">
              <w:rPr>
                <w:rFonts w:ascii="Times New Roman" w:eastAsia="TimesNewRoman" w:hAnsi="Times New Roman" w:cs="Times New Roman"/>
                <w:sz w:val="22"/>
                <w:szCs w:val="22"/>
                <w:lang w:val="sr-Latn-ME" w:eastAsia="sr-Latn-ME"/>
              </w:rPr>
              <w:t>14.1</w:t>
            </w:r>
          </w:p>
        </w:tc>
        <w:tc>
          <w:tcPr>
            <w:tcW w:w="1211" w:type="dxa"/>
          </w:tcPr>
          <w:p w:rsidR="0038443C" w:rsidRPr="00AD242A" w:rsidRDefault="0038443C" w:rsidP="00043878">
            <w:pPr>
              <w:autoSpaceDE w:val="0"/>
              <w:autoSpaceDN w:val="0"/>
              <w:adjustRightInd w:val="0"/>
              <w:rPr>
                <w:rFonts w:ascii="Times New Roman" w:eastAsia="TimesNewRoman" w:hAnsi="Times New Roman" w:cs="Times New Roman"/>
                <w:sz w:val="22"/>
                <w:szCs w:val="22"/>
                <w:lang w:val="sr-Latn-ME" w:eastAsia="sr-Latn-ME"/>
              </w:rPr>
            </w:pPr>
            <w:r w:rsidRPr="00AD242A">
              <w:rPr>
                <w:rFonts w:ascii="Times New Roman" w:eastAsia="TimesNewRoman" w:hAnsi="Times New Roman" w:cs="Times New Roman"/>
                <w:sz w:val="22"/>
                <w:szCs w:val="22"/>
                <w:lang w:val="sr-Latn-ME" w:eastAsia="sr-Latn-ME"/>
              </w:rPr>
              <w:t>15.6</w:t>
            </w:r>
          </w:p>
        </w:tc>
        <w:tc>
          <w:tcPr>
            <w:tcW w:w="1271" w:type="dxa"/>
          </w:tcPr>
          <w:p w:rsidR="0038443C" w:rsidRPr="00AD242A" w:rsidRDefault="0038443C" w:rsidP="00043878">
            <w:pPr>
              <w:autoSpaceDE w:val="0"/>
              <w:autoSpaceDN w:val="0"/>
              <w:adjustRightInd w:val="0"/>
              <w:rPr>
                <w:rFonts w:ascii="Times New Roman" w:eastAsia="TimesNewRoman" w:hAnsi="Times New Roman" w:cs="Times New Roman"/>
                <w:sz w:val="22"/>
                <w:szCs w:val="22"/>
                <w:lang w:val="sr-Latn-ME" w:eastAsia="sr-Latn-ME"/>
              </w:rPr>
            </w:pPr>
            <w:r w:rsidRPr="00AD242A">
              <w:rPr>
                <w:rFonts w:ascii="Times New Roman" w:eastAsia="TimesNewRoman" w:hAnsi="Times New Roman" w:cs="Times New Roman"/>
                <w:sz w:val="22"/>
                <w:szCs w:val="22"/>
                <w:lang w:val="sr-Latn-ME" w:eastAsia="sr-Latn-ME"/>
              </w:rPr>
              <w:t>13.0</w:t>
            </w:r>
          </w:p>
        </w:tc>
      </w:tr>
      <w:tr w:rsidR="0038443C" w:rsidRPr="008E586D" w:rsidTr="00926D14">
        <w:tc>
          <w:tcPr>
            <w:tcW w:w="1617" w:type="dxa"/>
          </w:tcPr>
          <w:p w:rsidR="0038443C" w:rsidRPr="00AD242A" w:rsidRDefault="0038443C" w:rsidP="00043878">
            <w:pPr>
              <w:autoSpaceDE w:val="0"/>
              <w:autoSpaceDN w:val="0"/>
              <w:adjustRightInd w:val="0"/>
              <w:rPr>
                <w:rFonts w:ascii="Times New Roman" w:eastAsia="TimesNewRoman" w:hAnsi="Times New Roman" w:cs="Times New Roman"/>
                <w:sz w:val="22"/>
                <w:szCs w:val="22"/>
                <w:lang w:val="sr-Latn-ME" w:eastAsia="sr-Latn-ME"/>
              </w:rPr>
            </w:pPr>
            <w:r w:rsidRPr="00AD242A">
              <w:rPr>
                <w:rFonts w:ascii="Times New Roman" w:eastAsia="TimesNewRoman" w:hAnsi="Times New Roman" w:cs="Times New Roman"/>
                <w:sz w:val="22"/>
                <w:szCs w:val="22"/>
                <w:lang w:val="sr-Latn-ME" w:eastAsia="sr-Latn-ME"/>
              </w:rPr>
              <w:t>p-vrijednost</w:t>
            </w:r>
          </w:p>
        </w:tc>
        <w:tc>
          <w:tcPr>
            <w:tcW w:w="2482" w:type="dxa"/>
            <w:gridSpan w:val="2"/>
          </w:tcPr>
          <w:p w:rsidR="0038443C" w:rsidRPr="00AD242A" w:rsidRDefault="0038443C" w:rsidP="00043878">
            <w:pPr>
              <w:autoSpaceDE w:val="0"/>
              <w:autoSpaceDN w:val="0"/>
              <w:adjustRightInd w:val="0"/>
              <w:rPr>
                <w:rFonts w:ascii="Times New Roman" w:eastAsia="TimesNewRoman" w:hAnsi="Times New Roman" w:cs="Times New Roman"/>
                <w:sz w:val="22"/>
                <w:szCs w:val="22"/>
                <w:lang w:val="sr-Latn-ME" w:eastAsia="sr-Latn-ME"/>
              </w:rPr>
            </w:pPr>
            <w:r w:rsidRPr="00AD242A">
              <w:rPr>
                <w:rFonts w:ascii="Times New Roman" w:eastAsia="TimesNewRoman" w:hAnsi="Times New Roman" w:cs="Times New Roman"/>
                <w:sz w:val="22"/>
                <w:szCs w:val="22"/>
                <w:lang w:val="sr-Latn-ME" w:eastAsia="sr-Latn-ME"/>
              </w:rPr>
              <w:t>p=0.028</w:t>
            </w:r>
          </w:p>
        </w:tc>
        <w:tc>
          <w:tcPr>
            <w:tcW w:w="2482" w:type="dxa"/>
            <w:gridSpan w:val="2"/>
          </w:tcPr>
          <w:p w:rsidR="0038443C" w:rsidRPr="00AD242A" w:rsidRDefault="0038443C" w:rsidP="00043878">
            <w:pPr>
              <w:autoSpaceDE w:val="0"/>
              <w:autoSpaceDN w:val="0"/>
              <w:adjustRightInd w:val="0"/>
              <w:rPr>
                <w:rFonts w:ascii="Times New Roman" w:eastAsia="TimesNewRoman" w:hAnsi="Times New Roman" w:cs="Times New Roman"/>
                <w:sz w:val="22"/>
                <w:szCs w:val="22"/>
                <w:lang w:val="sr-Latn-ME" w:eastAsia="sr-Latn-ME"/>
              </w:rPr>
            </w:pPr>
            <w:r w:rsidRPr="00AD242A">
              <w:rPr>
                <w:rFonts w:ascii="Times New Roman" w:eastAsia="TimesNewRoman" w:hAnsi="Times New Roman" w:cs="Times New Roman"/>
                <w:sz w:val="22"/>
                <w:szCs w:val="22"/>
                <w:lang w:val="sr-Latn-ME" w:eastAsia="sr-Latn-ME"/>
              </w:rPr>
              <w:t>NS</w:t>
            </w:r>
          </w:p>
        </w:tc>
        <w:tc>
          <w:tcPr>
            <w:tcW w:w="2482" w:type="dxa"/>
            <w:gridSpan w:val="2"/>
          </w:tcPr>
          <w:p w:rsidR="0038443C" w:rsidRPr="00AD242A" w:rsidRDefault="0038443C" w:rsidP="00043878">
            <w:pPr>
              <w:autoSpaceDE w:val="0"/>
              <w:autoSpaceDN w:val="0"/>
              <w:adjustRightInd w:val="0"/>
              <w:rPr>
                <w:rFonts w:ascii="Times New Roman" w:eastAsia="TimesNewRoman" w:hAnsi="Times New Roman" w:cs="Times New Roman"/>
                <w:sz w:val="22"/>
                <w:szCs w:val="22"/>
                <w:lang w:val="sr-Latn-ME" w:eastAsia="sr-Latn-ME"/>
              </w:rPr>
            </w:pPr>
            <w:r w:rsidRPr="00AD242A">
              <w:rPr>
                <w:rFonts w:ascii="Times New Roman" w:eastAsia="TimesNewRoman" w:hAnsi="Times New Roman" w:cs="Times New Roman"/>
                <w:sz w:val="22"/>
                <w:szCs w:val="22"/>
                <w:lang w:val="sr-Latn-ME" w:eastAsia="sr-Latn-ME"/>
              </w:rPr>
              <w:t>p=0.041</w:t>
            </w:r>
          </w:p>
        </w:tc>
      </w:tr>
    </w:tbl>
    <w:p w:rsidR="00C36A9E" w:rsidRPr="008E586D" w:rsidRDefault="0038443C" w:rsidP="0038443C">
      <w:pPr>
        <w:autoSpaceDE w:val="0"/>
        <w:autoSpaceDN w:val="0"/>
        <w:adjustRightInd w:val="0"/>
        <w:rPr>
          <w:rFonts w:eastAsia="TimesNewRoman"/>
          <w:sz w:val="20"/>
          <w:szCs w:val="20"/>
          <w:lang w:val="sr-Latn-ME" w:eastAsia="sr-Latn-ME"/>
        </w:rPr>
      </w:pPr>
      <w:r w:rsidRPr="008E586D">
        <w:rPr>
          <w:rFonts w:eastAsia="TimesNewRoman"/>
          <w:sz w:val="20"/>
          <w:szCs w:val="20"/>
          <w:lang w:val="sr-Latn-ME" w:eastAsia="sr-Latn-ME"/>
        </w:rPr>
        <w:t xml:space="preserve">5FU - 5-fluorouracil; </w:t>
      </w:r>
    </w:p>
    <w:p w:rsidR="00C36A9E" w:rsidRPr="008E586D" w:rsidRDefault="0038443C" w:rsidP="0038443C">
      <w:pPr>
        <w:autoSpaceDE w:val="0"/>
        <w:autoSpaceDN w:val="0"/>
        <w:adjustRightInd w:val="0"/>
        <w:rPr>
          <w:rFonts w:eastAsia="TimesNewRoman"/>
          <w:sz w:val="20"/>
          <w:szCs w:val="20"/>
          <w:lang w:val="sr-Latn-ME" w:eastAsia="sr-Latn-ME"/>
        </w:rPr>
      </w:pPr>
      <w:r w:rsidRPr="008E586D">
        <w:rPr>
          <w:rFonts w:eastAsia="TimesNewRoman"/>
          <w:sz w:val="20"/>
          <w:szCs w:val="20"/>
          <w:lang w:val="sr-Latn-ME" w:eastAsia="sr-Latn-ME"/>
        </w:rPr>
        <w:t xml:space="preserve">FA - folinska kiselina; </w:t>
      </w:r>
    </w:p>
    <w:p w:rsidR="00C36A9E" w:rsidRPr="008E586D" w:rsidRDefault="0038443C" w:rsidP="0038443C">
      <w:pPr>
        <w:autoSpaceDE w:val="0"/>
        <w:autoSpaceDN w:val="0"/>
        <w:adjustRightInd w:val="0"/>
        <w:rPr>
          <w:rFonts w:eastAsia="TimesNewRoman"/>
          <w:sz w:val="20"/>
          <w:szCs w:val="20"/>
          <w:lang w:val="sr-Latn-ME" w:eastAsia="sr-Latn-ME"/>
        </w:rPr>
      </w:pPr>
      <w:r w:rsidRPr="008E586D">
        <w:rPr>
          <w:rFonts w:eastAsia="TimesNewRoman"/>
          <w:sz w:val="20"/>
          <w:szCs w:val="20"/>
          <w:lang w:val="sr-Latn-ME" w:eastAsia="sr-Latn-ME"/>
        </w:rPr>
        <w:t xml:space="preserve">NS - nije značajno; * </w:t>
      </w:r>
    </w:p>
    <w:p w:rsidR="0038443C" w:rsidRPr="008E586D" w:rsidRDefault="0038443C" w:rsidP="0038443C">
      <w:pPr>
        <w:autoSpaceDE w:val="0"/>
        <w:autoSpaceDN w:val="0"/>
        <w:adjustRightInd w:val="0"/>
        <w:rPr>
          <w:rFonts w:eastAsia="TimesNewRoman"/>
          <w:sz w:val="20"/>
          <w:szCs w:val="20"/>
          <w:lang w:val="sr-Latn-ME" w:eastAsia="sr-Latn-ME"/>
        </w:rPr>
      </w:pPr>
      <w:r w:rsidRPr="008E586D">
        <w:rPr>
          <w:rFonts w:eastAsia="TimesNewRoman"/>
          <w:sz w:val="20"/>
          <w:szCs w:val="20"/>
          <w:lang w:val="sr-Latn-ME" w:eastAsia="sr-Latn-ME"/>
        </w:rPr>
        <w:t xml:space="preserve">- prema </w:t>
      </w:r>
      <w:r w:rsidRPr="008E586D">
        <w:rPr>
          <w:rFonts w:eastAsia="TimesNewRoman"/>
          <w:i/>
          <w:iCs/>
          <w:sz w:val="20"/>
          <w:szCs w:val="20"/>
          <w:lang w:val="sr-Latn-ME" w:eastAsia="sr-Latn-ME"/>
        </w:rPr>
        <w:t xml:space="preserve">per protocol </w:t>
      </w:r>
      <w:r w:rsidRPr="008E586D">
        <w:rPr>
          <w:rFonts w:eastAsia="TimesNewRoman"/>
          <w:sz w:val="20"/>
          <w:szCs w:val="20"/>
          <w:lang w:val="sr-Latn-ME" w:eastAsia="sr-Latn-ME"/>
        </w:rPr>
        <w:t>populacionoj analizi</w:t>
      </w:r>
    </w:p>
    <w:p w:rsidR="0038443C" w:rsidRPr="008E586D" w:rsidRDefault="0038443C" w:rsidP="000F1999">
      <w:pPr>
        <w:autoSpaceDE w:val="0"/>
        <w:autoSpaceDN w:val="0"/>
        <w:adjustRightInd w:val="0"/>
        <w:jc w:val="both"/>
        <w:rPr>
          <w:rFonts w:eastAsia="TimesNewRoman"/>
          <w:sz w:val="22"/>
          <w:szCs w:val="22"/>
          <w:lang w:val="sr-Latn-ME" w:eastAsia="sr-Latn-ME"/>
        </w:rPr>
      </w:pPr>
    </w:p>
    <w:p w:rsidR="0038443C" w:rsidRPr="008E586D" w:rsidRDefault="0038443C" w:rsidP="0038443C">
      <w:pPr>
        <w:autoSpaceDE w:val="0"/>
        <w:autoSpaceDN w:val="0"/>
        <w:adjustRightInd w:val="0"/>
        <w:jc w:val="both"/>
        <w:rPr>
          <w:rFonts w:eastAsia="TimesNewRoman"/>
          <w:sz w:val="22"/>
          <w:szCs w:val="22"/>
          <w:lang w:val="sr-Latn-ME" w:eastAsia="sr-Latn-ME"/>
        </w:rPr>
      </w:pPr>
      <w:r w:rsidRPr="008E586D">
        <w:rPr>
          <w:rFonts w:eastAsia="TimesNewRoman"/>
          <w:sz w:val="22"/>
          <w:szCs w:val="22"/>
          <w:lang w:val="sr-Latn-ME" w:eastAsia="sr-Latn-ME"/>
        </w:rPr>
        <w:t>U nedjeljnom režimu, učestalost teške dijareje bila je 44,4% kod pacijenata koji su dobijali lijek Irinotecan Accord u kombinaciji sa 5FU/FA i 25,6% kod pacijenata koji su dobijali samo 5FU/FA. Učestalost teških neutropenija (broj neutrofila &lt;500 ćelija/mm</w:t>
      </w:r>
      <w:r w:rsidRPr="008E586D">
        <w:rPr>
          <w:rFonts w:eastAsia="TimesNewRoman"/>
          <w:sz w:val="22"/>
          <w:szCs w:val="22"/>
          <w:vertAlign w:val="superscript"/>
          <w:lang w:val="sr-Latn-ME" w:eastAsia="sr-Latn-ME"/>
        </w:rPr>
        <w:t>3</w:t>
      </w:r>
      <w:r w:rsidRPr="008E586D">
        <w:rPr>
          <w:rFonts w:eastAsia="TimesNewRoman"/>
          <w:sz w:val="22"/>
          <w:szCs w:val="22"/>
          <w:lang w:val="sr-Latn-ME" w:eastAsia="sr-Latn-ME"/>
        </w:rPr>
        <w:t>) bila je 5,8% kod pacijenata koji su dobijali lijek Irinotecan Accord u kombinaciji sa 5FU/FA i 2,4% kod pacijenata koji su dobijali samo 5FU/FA.</w:t>
      </w:r>
    </w:p>
    <w:p w:rsidR="00406863" w:rsidRPr="008E586D" w:rsidRDefault="00406863" w:rsidP="0038443C">
      <w:pPr>
        <w:autoSpaceDE w:val="0"/>
        <w:autoSpaceDN w:val="0"/>
        <w:adjustRightInd w:val="0"/>
        <w:jc w:val="both"/>
        <w:rPr>
          <w:rFonts w:eastAsia="TimesNewRoman"/>
          <w:sz w:val="22"/>
          <w:szCs w:val="22"/>
          <w:lang w:val="sr-Latn-ME" w:eastAsia="sr-Latn-ME"/>
        </w:rPr>
      </w:pPr>
    </w:p>
    <w:p w:rsidR="0038443C" w:rsidRPr="008E586D" w:rsidRDefault="0038443C" w:rsidP="0038443C">
      <w:pPr>
        <w:autoSpaceDE w:val="0"/>
        <w:autoSpaceDN w:val="0"/>
        <w:adjustRightInd w:val="0"/>
        <w:jc w:val="both"/>
        <w:rPr>
          <w:rFonts w:eastAsia="TimesNewRoman"/>
          <w:sz w:val="22"/>
          <w:szCs w:val="22"/>
          <w:lang w:val="sr-Latn-ME" w:eastAsia="sr-Latn-ME"/>
        </w:rPr>
      </w:pPr>
      <w:r w:rsidRPr="008E586D">
        <w:rPr>
          <w:rFonts w:eastAsia="TimesNewRoman"/>
          <w:sz w:val="22"/>
          <w:szCs w:val="22"/>
          <w:lang w:val="sr-Latn-ME" w:eastAsia="sr-Latn-ME"/>
        </w:rPr>
        <w:t xml:space="preserve">Osim toga, </w:t>
      </w:r>
      <w:r w:rsidR="00AC55F0" w:rsidRPr="008E586D">
        <w:rPr>
          <w:rFonts w:eastAsia="TimesNewRoman"/>
          <w:sz w:val="22"/>
          <w:szCs w:val="22"/>
          <w:lang w:val="sr-Latn-ME" w:eastAsia="sr-Latn-ME"/>
        </w:rPr>
        <w:t>medijana</w:t>
      </w:r>
      <w:r w:rsidRPr="008E586D">
        <w:rPr>
          <w:rFonts w:eastAsia="TimesNewRoman"/>
          <w:sz w:val="22"/>
          <w:szCs w:val="22"/>
          <w:lang w:val="sr-Latn-ME" w:eastAsia="sr-Latn-ME"/>
        </w:rPr>
        <w:t xml:space="preserve"> vreme</w:t>
      </w:r>
      <w:r w:rsidR="00AC55F0" w:rsidRPr="008E586D">
        <w:rPr>
          <w:rFonts w:eastAsia="TimesNewRoman"/>
          <w:sz w:val="22"/>
          <w:szCs w:val="22"/>
          <w:lang w:val="sr-Latn-ME" w:eastAsia="sr-Latn-ME"/>
        </w:rPr>
        <w:t>na</w:t>
      </w:r>
      <w:r w:rsidRPr="008E586D">
        <w:rPr>
          <w:rFonts w:eastAsia="TimesNewRoman"/>
          <w:sz w:val="22"/>
          <w:szCs w:val="22"/>
          <w:lang w:val="sr-Latn-ME" w:eastAsia="sr-Latn-ME"/>
        </w:rPr>
        <w:t xml:space="preserve"> do konačnog pogoršanja performans statusa bilo je značajno duže u grupi koja je primala kombinaciju ljekova sa lijekom Irinotecan Accord nego u grupi koja je liječena samo 5FU/FA (p = 0,046).</w:t>
      </w:r>
    </w:p>
    <w:p w:rsidR="0038443C" w:rsidRPr="008E586D" w:rsidRDefault="0038443C" w:rsidP="0038443C">
      <w:pPr>
        <w:autoSpaceDE w:val="0"/>
        <w:autoSpaceDN w:val="0"/>
        <w:adjustRightInd w:val="0"/>
        <w:jc w:val="both"/>
        <w:rPr>
          <w:rFonts w:eastAsia="TimesNewRoman"/>
          <w:sz w:val="22"/>
          <w:szCs w:val="22"/>
          <w:lang w:val="sr-Latn-ME" w:eastAsia="sr-Latn-ME"/>
        </w:rPr>
      </w:pPr>
      <w:r w:rsidRPr="008E586D">
        <w:rPr>
          <w:rFonts w:eastAsia="TimesNewRoman"/>
          <w:sz w:val="22"/>
          <w:szCs w:val="22"/>
          <w:lang w:val="sr-Latn-ME" w:eastAsia="sr-Latn-ME"/>
        </w:rPr>
        <w:t>Kvalitet života procijenjen je u ovoj studiji III faze na osnovu upitnika EORTC QLQ-C30. Vrijeme do</w:t>
      </w:r>
    </w:p>
    <w:p w:rsidR="0038443C" w:rsidRPr="008E586D" w:rsidRDefault="0038443C" w:rsidP="0038443C">
      <w:pPr>
        <w:autoSpaceDE w:val="0"/>
        <w:autoSpaceDN w:val="0"/>
        <w:adjustRightInd w:val="0"/>
        <w:jc w:val="both"/>
        <w:rPr>
          <w:rFonts w:eastAsia="TimesNewRoman"/>
          <w:sz w:val="22"/>
          <w:szCs w:val="22"/>
          <w:lang w:val="sr-Latn-ME" w:eastAsia="sr-Latn-ME"/>
        </w:rPr>
      </w:pPr>
      <w:r w:rsidRPr="008E586D">
        <w:rPr>
          <w:rFonts w:eastAsia="TimesNewRoman"/>
          <w:sz w:val="22"/>
          <w:szCs w:val="22"/>
          <w:lang w:val="sr-Latn-ME" w:eastAsia="sr-Latn-ME"/>
        </w:rPr>
        <w:t xml:space="preserve">konačnog pogoršanja bolesti konstantno je bilo duže u grupi koja je dobijala lijek Irinotecan Accord. Procjena stanja prema </w:t>
      </w:r>
      <w:r w:rsidRPr="008E586D">
        <w:rPr>
          <w:rFonts w:eastAsia="TimesNewRoman"/>
          <w:i/>
          <w:iCs/>
          <w:sz w:val="22"/>
          <w:szCs w:val="22"/>
          <w:lang w:val="sr-Latn-ME" w:eastAsia="sr-Latn-ME"/>
        </w:rPr>
        <w:t xml:space="preserve">Global Health Status/Quality of Life </w:t>
      </w:r>
      <w:r w:rsidRPr="008E586D">
        <w:rPr>
          <w:rFonts w:eastAsia="TimesNewRoman"/>
          <w:sz w:val="22"/>
          <w:szCs w:val="22"/>
          <w:lang w:val="sr-Latn-ME" w:eastAsia="sr-Latn-ME"/>
        </w:rPr>
        <w:t xml:space="preserve">bila je nešto bolja u grupi koja je dobijala kombinovanu terapiju sa lijekom Irinotecan Accord, mada statistička značajnost nije postignuta. Ovo </w:t>
      </w:r>
      <w:r w:rsidRPr="008E586D">
        <w:rPr>
          <w:rFonts w:eastAsia="TimesNewRoman"/>
          <w:sz w:val="22"/>
          <w:szCs w:val="22"/>
          <w:lang w:val="sr-Latn-ME" w:eastAsia="sr-Latn-ME"/>
        </w:rPr>
        <w:lastRenderedPageBreak/>
        <w:t>pokazuje da se efikasnost kombinacije sa lijekom Irinotecan Accord postiže bez uticaja na kvalitet života.</w:t>
      </w:r>
    </w:p>
    <w:p w:rsidR="00A51106" w:rsidRPr="008E586D" w:rsidRDefault="00A51106" w:rsidP="0038443C">
      <w:pPr>
        <w:autoSpaceDE w:val="0"/>
        <w:autoSpaceDN w:val="0"/>
        <w:adjustRightInd w:val="0"/>
        <w:jc w:val="both"/>
        <w:rPr>
          <w:rFonts w:eastAsia="TimesNewRoman"/>
          <w:sz w:val="22"/>
          <w:szCs w:val="22"/>
          <w:lang w:val="sr-Latn-ME" w:eastAsia="sr-Latn-ME"/>
        </w:rPr>
      </w:pPr>
    </w:p>
    <w:p w:rsidR="00A51106" w:rsidRPr="008E586D" w:rsidRDefault="00A51106" w:rsidP="00A51106">
      <w:pPr>
        <w:autoSpaceDE w:val="0"/>
        <w:autoSpaceDN w:val="0"/>
        <w:adjustRightInd w:val="0"/>
        <w:jc w:val="both"/>
        <w:rPr>
          <w:rFonts w:eastAsia="TimesNewRoman,Bold"/>
          <w:b/>
          <w:bCs/>
          <w:sz w:val="22"/>
          <w:szCs w:val="22"/>
          <w:lang w:val="sr-Latn-ME" w:eastAsia="sr-Latn-ME"/>
        </w:rPr>
      </w:pPr>
      <w:r w:rsidRPr="008E586D">
        <w:rPr>
          <w:rFonts w:eastAsia="TimesNewRoman,Bold"/>
          <w:b/>
          <w:bCs/>
          <w:sz w:val="22"/>
          <w:szCs w:val="22"/>
          <w:lang w:val="sr-Latn-ME" w:eastAsia="sr-Latn-ME"/>
        </w:rPr>
        <w:t>U kombinovanoj terapiji sa bevacizumabom</w:t>
      </w:r>
    </w:p>
    <w:p w:rsidR="00406863" w:rsidRPr="008E586D" w:rsidRDefault="00406863" w:rsidP="00A51106">
      <w:pPr>
        <w:autoSpaceDE w:val="0"/>
        <w:autoSpaceDN w:val="0"/>
        <w:adjustRightInd w:val="0"/>
        <w:jc w:val="both"/>
        <w:rPr>
          <w:rFonts w:eastAsia="TimesNewRoman"/>
          <w:sz w:val="22"/>
          <w:szCs w:val="22"/>
          <w:lang w:val="sr-Latn-ME" w:eastAsia="sr-Latn-ME"/>
        </w:rPr>
      </w:pPr>
    </w:p>
    <w:p w:rsidR="00A51106" w:rsidRPr="008E586D" w:rsidRDefault="00A51106" w:rsidP="00406863">
      <w:pPr>
        <w:autoSpaceDE w:val="0"/>
        <w:autoSpaceDN w:val="0"/>
        <w:adjustRightInd w:val="0"/>
        <w:jc w:val="both"/>
        <w:rPr>
          <w:rFonts w:eastAsia="TimesNewRoman"/>
          <w:sz w:val="22"/>
          <w:szCs w:val="22"/>
          <w:lang w:val="sr-Latn-ME" w:eastAsia="sr-Latn-ME"/>
        </w:rPr>
      </w:pPr>
      <w:r w:rsidRPr="008E586D">
        <w:rPr>
          <w:rFonts w:eastAsia="TimesNewRoman"/>
          <w:sz w:val="22"/>
          <w:szCs w:val="22"/>
          <w:lang w:val="sr-Latn-ME" w:eastAsia="sr-Latn-ME"/>
        </w:rPr>
        <w:t>U randomizovanoj, dvostruko-slijepoj, aktivno-kontrolisanoj kliničkoj studiji III faze ispitivana je primjena bevacizumaba u kombinaciji sa Irinotecan Accord/5FU/FA kao prva linija terapije metastatskog karcinoma kolona ili rektuma (studija AVF2107g). Dodavanje bevacizumaba kombinaciji Irinotecan Accord/5FU/FA rezultiralo je statistički značajnim produženjem ukupnog preživljavanja. Kliničko poboljšanje, mjereno ukupnim preživljavanjem, uočeno je u svim prethodno specificiranim podgrupama pacijenata podeljenim prema starosti, polu, performans statusu, lokalizaciji primarnog tumora, broju zahvaćenih organa i trajanju metastatskog stadijuma bolesti. Potrebno je takođe vidjeti sažetak karakteristika lijeka za bevacizumab.</w:t>
      </w:r>
      <w:r w:rsidR="00406863" w:rsidRPr="008E586D">
        <w:rPr>
          <w:rFonts w:eastAsia="TimesNewRoman"/>
          <w:sz w:val="22"/>
          <w:szCs w:val="22"/>
          <w:lang w:val="sr-Latn-ME" w:eastAsia="sr-Latn-ME"/>
        </w:rPr>
        <w:t xml:space="preserve"> R</w:t>
      </w:r>
      <w:r w:rsidRPr="008E586D">
        <w:rPr>
          <w:rFonts w:eastAsia="TimesNewRoman"/>
          <w:sz w:val="22"/>
          <w:szCs w:val="22"/>
          <w:lang w:val="sr-Latn-ME" w:eastAsia="sr-Latn-ME"/>
        </w:rPr>
        <w:t xml:space="preserve">ezultati efikasnosti iz studije AVF2107g ukratko su prikazani u </w:t>
      </w:r>
      <w:r w:rsidR="00F3602A" w:rsidRPr="008E586D">
        <w:rPr>
          <w:rFonts w:eastAsia="TimesNewRoman"/>
          <w:sz w:val="22"/>
          <w:szCs w:val="22"/>
          <w:lang w:val="sr-Latn-ME" w:eastAsia="sr-Latn-ME"/>
        </w:rPr>
        <w:t>sljede</w:t>
      </w:r>
      <w:r w:rsidRPr="008E586D">
        <w:rPr>
          <w:rFonts w:eastAsia="TimesNewRoman"/>
          <w:sz w:val="22"/>
          <w:szCs w:val="22"/>
          <w:lang w:val="sr-Latn-ME" w:eastAsia="sr-Latn-ME"/>
        </w:rPr>
        <w:t>ćoj tabeli.</w:t>
      </w:r>
    </w:p>
    <w:p w:rsidR="00A51106" w:rsidRPr="008E586D" w:rsidRDefault="00A51106" w:rsidP="00A51106">
      <w:pPr>
        <w:tabs>
          <w:tab w:val="left" w:pos="540"/>
          <w:tab w:val="left" w:pos="569"/>
        </w:tabs>
        <w:jc w:val="both"/>
        <w:rPr>
          <w:rFonts w:eastAsia="TimesNewRoman"/>
          <w:sz w:val="22"/>
          <w:szCs w:val="22"/>
          <w:lang w:val="sr-Latn-ME" w:eastAsia="sr-Latn-ME"/>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7"/>
        <w:gridCol w:w="3686"/>
        <w:gridCol w:w="2409"/>
      </w:tblGrid>
      <w:tr w:rsidR="00A51106" w:rsidRPr="008E586D" w:rsidTr="00926D14">
        <w:trPr>
          <w:trHeight w:val="249"/>
        </w:trPr>
        <w:tc>
          <w:tcPr>
            <w:tcW w:w="2977" w:type="dxa"/>
          </w:tcPr>
          <w:p w:rsidR="00A51106" w:rsidRPr="008E586D" w:rsidRDefault="00A51106" w:rsidP="00043878">
            <w:pPr>
              <w:pStyle w:val="TableParagraph"/>
              <w:ind w:left="0"/>
              <w:rPr>
                <w:sz w:val="18"/>
                <w:lang w:val="sr-Latn-ME"/>
              </w:rPr>
            </w:pPr>
          </w:p>
        </w:tc>
        <w:tc>
          <w:tcPr>
            <w:tcW w:w="6095" w:type="dxa"/>
            <w:gridSpan w:val="2"/>
          </w:tcPr>
          <w:p w:rsidR="00A51106" w:rsidRPr="008E586D" w:rsidRDefault="00A51106" w:rsidP="00043878">
            <w:pPr>
              <w:pStyle w:val="TableParagraph"/>
              <w:spacing w:line="229" w:lineRule="exact"/>
              <w:ind w:left="2324" w:right="2316"/>
              <w:jc w:val="center"/>
              <w:rPr>
                <w:b/>
                <w:lang w:val="sr-Latn-ME"/>
              </w:rPr>
            </w:pPr>
            <w:r w:rsidRPr="008E586D">
              <w:rPr>
                <w:b/>
                <w:lang w:val="sr-Latn-ME"/>
              </w:rPr>
              <w:t>AVF2107g</w:t>
            </w:r>
          </w:p>
        </w:tc>
      </w:tr>
      <w:tr w:rsidR="00A51106" w:rsidRPr="008E586D" w:rsidTr="00926D14">
        <w:trPr>
          <w:trHeight w:val="762"/>
        </w:trPr>
        <w:tc>
          <w:tcPr>
            <w:tcW w:w="2977" w:type="dxa"/>
          </w:tcPr>
          <w:p w:rsidR="00A51106" w:rsidRPr="008E586D" w:rsidRDefault="00A51106" w:rsidP="00043878">
            <w:pPr>
              <w:pStyle w:val="TableParagraph"/>
              <w:ind w:left="0"/>
              <w:rPr>
                <w:sz w:val="20"/>
                <w:lang w:val="sr-Latn-ME"/>
              </w:rPr>
            </w:pPr>
          </w:p>
        </w:tc>
        <w:tc>
          <w:tcPr>
            <w:tcW w:w="3686" w:type="dxa"/>
          </w:tcPr>
          <w:p w:rsidR="00A51106" w:rsidRPr="008E586D" w:rsidRDefault="00A51106" w:rsidP="00043878">
            <w:pPr>
              <w:pStyle w:val="TableParagraph"/>
              <w:spacing w:before="3" w:line="237" w:lineRule="auto"/>
              <w:ind w:left="456" w:right="439" w:hanging="5"/>
              <w:jc w:val="center"/>
              <w:rPr>
                <w:b/>
                <w:lang w:val="sr-Latn-ME"/>
              </w:rPr>
            </w:pPr>
            <w:r w:rsidRPr="008E586D">
              <w:rPr>
                <w:b/>
                <w:lang w:val="sr-Latn-ME"/>
              </w:rPr>
              <w:t xml:space="preserve">Grupa 1 Irinotekan/5FU/FA </w:t>
            </w:r>
            <w:r w:rsidRPr="008E586D">
              <w:rPr>
                <w:b/>
                <w:spacing w:val="-15"/>
                <w:lang w:val="sr-Latn-ME"/>
              </w:rPr>
              <w:t>+</w:t>
            </w:r>
          </w:p>
          <w:p w:rsidR="00A51106" w:rsidRPr="008E586D" w:rsidRDefault="00A51106" w:rsidP="00043878">
            <w:pPr>
              <w:pStyle w:val="TableParagraph"/>
              <w:spacing w:before="1" w:line="238" w:lineRule="exact"/>
              <w:ind w:left="876" w:right="873"/>
              <w:jc w:val="center"/>
              <w:rPr>
                <w:b/>
                <w:lang w:val="sr-Latn-ME"/>
              </w:rPr>
            </w:pPr>
            <w:r w:rsidRPr="008E586D">
              <w:rPr>
                <w:b/>
                <w:lang w:val="sr-Latn-ME"/>
              </w:rPr>
              <w:t>placebo</w:t>
            </w:r>
          </w:p>
        </w:tc>
        <w:tc>
          <w:tcPr>
            <w:tcW w:w="2409" w:type="dxa"/>
          </w:tcPr>
          <w:p w:rsidR="00A51106" w:rsidRPr="008E586D" w:rsidRDefault="00A51106" w:rsidP="00043878">
            <w:pPr>
              <w:pStyle w:val="TableParagraph"/>
              <w:spacing w:before="3" w:line="237" w:lineRule="auto"/>
              <w:ind w:left="422" w:right="405" w:hanging="5"/>
              <w:jc w:val="center"/>
              <w:rPr>
                <w:b/>
                <w:lang w:val="sr-Latn-ME"/>
              </w:rPr>
            </w:pPr>
            <w:r w:rsidRPr="008E586D">
              <w:rPr>
                <w:b/>
                <w:lang w:val="sr-Latn-ME"/>
              </w:rPr>
              <w:t xml:space="preserve">Grupa 2 Irinotekan/5FU/FA </w:t>
            </w:r>
            <w:r w:rsidRPr="008E586D">
              <w:rPr>
                <w:b/>
                <w:spacing w:val="-14"/>
                <w:lang w:val="sr-Latn-ME"/>
              </w:rPr>
              <w:t>+</w:t>
            </w:r>
          </w:p>
          <w:p w:rsidR="00A51106" w:rsidRPr="008E586D" w:rsidRDefault="00A51106" w:rsidP="00043878">
            <w:pPr>
              <w:pStyle w:val="TableParagraph"/>
              <w:spacing w:before="1" w:line="238" w:lineRule="exact"/>
              <w:ind w:right="840"/>
              <w:rPr>
                <w:b/>
                <w:lang w:val="sr-Latn-ME"/>
              </w:rPr>
            </w:pPr>
            <w:r w:rsidRPr="008E586D">
              <w:rPr>
                <w:b/>
                <w:lang w:val="sr-Latn-ME"/>
              </w:rPr>
              <w:t xml:space="preserve">             bevacizuab</w:t>
            </w:r>
            <w:r w:rsidRPr="008E586D">
              <w:rPr>
                <w:b/>
                <w:vertAlign w:val="superscript"/>
                <w:lang w:val="sr-Latn-ME"/>
              </w:rPr>
              <w:t>a</w:t>
            </w:r>
          </w:p>
        </w:tc>
      </w:tr>
      <w:tr w:rsidR="00A51106" w:rsidRPr="008E586D" w:rsidTr="00926D14">
        <w:trPr>
          <w:trHeight w:val="249"/>
        </w:trPr>
        <w:tc>
          <w:tcPr>
            <w:tcW w:w="2977" w:type="dxa"/>
          </w:tcPr>
          <w:p w:rsidR="00A51106" w:rsidRPr="008E586D" w:rsidRDefault="00A51106" w:rsidP="00043878">
            <w:pPr>
              <w:pStyle w:val="TableParagraph"/>
              <w:spacing w:line="229" w:lineRule="exact"/>
              <w:rPr>
                <w:lang w:val="sr-Latn-ME"/>
              </w:rPr>
            </w:pPr>
            <w:r w:rsidRPr="008E586D">
              <w:rPr>
                <w:lang w:val="sr-Latn-ME"/>
              </w:rPr>
              <w:t>Broj pacijenata</w:t>
            </w:r>
          </w:p>
        </w:tc>
        <w:tc>
          <w:tcPr>
            <w:tcW w:w="3686" w:type="dxa"/>
          </w:tcPr>
          <w:p w:rsidR="00A51106" w:rsidRPr="008E586D" w:rsidRDefault="00A51106" w:rsidP="00043878">
            <w:pPr>
              <w:pStyle w:val="TableParagraph"/>
              <w:spacing w:line="229" w:lineRule="exact"/>
              <w:ind w:left="887" w:right="873"/>
              <w:jc w:val="center"/>
              <w:rPr>
                <w:lang w:val="sr-Latn-ME"/>
              </w:rPr>
            </w:pPr>
            <w:r w:rsidRPr="008E586D">
              <w:rPr>
                <w:lang w:val="sr-Latn-ME"/>
              </w:rPr>
              <w:t>411</w:t>
            </w:r>
          </w:p>
        </w:tc>
        <w:tc>
          <w:tcPr>
            <w:tcW w:w="2409" w:type="dxa"/>
          </w:tcPr>
          <w:p w:rsidR="00A51106" w:rsidRPr="008E586D" w:rsidRDefault="00A51106" w:rsidP="00043878">
            <w:pPr>
              <w:pStyle w:val="TableParagraph"/>
              <w:spacing w:line="229" w:lineRule="exact"/>
              <w:ind w:left="854" w:right="840"/>
              <w:jc w:val="center"/>
              <w:rPr>
                <w:lang w:val="sr-Latn-ME"/>
              </w:rPr>
            </w:pPr>
            <w:r w:rsidRPr="008E586D">
              <w:rPr>
                <w:lang w:val="sr-Latn-ME"/>
              </w:rPr>
              <w:t>402</w:t>
            </w:r>
          </w:p>
        </w:tc>
      </w:tr>
      <w:tr w:rsidR="00A51106" w:rsidRPr="008E586D" w:rsidTr="00926D14">
        <w:trPr>
          <w:trHeight w:val="254"/>
        </w:trPr>
        <w:tc>
          <w:tcPr>
            <w:tcW w:w="2977" w:type="dxa"/>
          </w:tcPr>
          <w:p w:rsidR="00A51106" w:rsidRPr="008E586D" w:rsidRDefault="00A51106" w:rsidP="00043878">
            <w:pPr>
              <w:pStyle w:val="TableParagraph"/>
              <w:spacing w:line="234" w:lineRule="exact"/>
              <w:rPr>
                <w:lang w:val="sr-Latn-ME"/>
              </w:rPr>
            </w:pPr>
            <w:r w:rsidRPr="008E586D">
              <w:rPr>
                <w:lang w:val="sr-Latn-ME"/>
              </w:rPr>
              <w:t>Ukupno preživljavanje</w:t>
            </w:r>
          </w:p>
        </w:tc>
        <w:tc>
          <w:tcPr>
            <w:tcW w:w="3686" w:type="dxa"/>
          </w:tcPr>
          <w:p w:rsidR="00A51106" w:rsidRPr="008E586D" w:rsidRDefault="00A51106" w:rsidP="00043878">
            <w:pPr>
              <w:pStyle w:val="TableParagraph"/>
              <w:ind w:left="0"/>
              <w:rPr>
                <w:sz w:val="18"/>
                <w:lang w:val="sr-Latn-ME"/>
              </w:rPr>
            </w:pPr>
          </w:p>
        </w:tc>
        <w:tc>
          <w:tcPr>
            <w:tcW w:w="2409" w:type="dxa"/>
          </w:tcPr>
          <w:p w:rsidR="00A51106" w:rsidRPr="008E586D" w:rsidRDefault="00A51106" w:rsidP="00043878">
            <w:pPr>
              <w:pStyle w:val="TableParagraph"/>
              <w:ind w:left="0"/>
              <w:rPr>
                <w:sz w:val="18"/>
                <w:lang w:val="sr-Latn-ME"/>
              </w:rPr>
            </w:pPr>
          </w:p>
        </w:tc>
      </w:tr>
      <w:tr w:rsidR="00A51106" w:rsidRPr="008E586D" w:rsidTr="00926D14">
        <w:trPr>
          <w:trHeight w:val="253"/>
        </w:trPr>
        <w:tc>
          <w:tcPr>
            <w:tcW w:w="2977" w:type="dxa"/>
          </w:tcPr>
          <w:p w:rsidR="00A51106" w:rsidRPr="008E586D" w:rsidRDefault="00A51106" w:rsidP="00043878">
            <w:pPr>
              <w:pStyle w:val="TableParagraph"/>
              <w:spacing w:line="234" w:lineRule="exact"/>
              <w:ind w:left="441"/>
              <w:rPr>
                <w:lang w:val="sr-Latn-ME"/>
              </w:rPr>
            </w:pPr>
            <w:r w:rsidRPr="008E586D">
              <w:rPr>
                <w:lang w:val="sr-Latn-ME"/>
              </w:rPr>
              <w:t>Medijana (mjeseci)</w:t>
            </w:r>
          </w:p>
        </w:tc>
        <w:tc>
          <w:tcPr>
            <w:tcW w:w="3686" w:type="dxa"/>
          </w:tcPr>
          <w:p w:rsidR="00A51106" w:rsidRPr="008E586D" w:rsidRDefault="00A51106" w:rsidP="00043878">
            <w:pPr>
              <w:pStyle w:val="TableParagraph"/>
              <w:spacing w:line="234" w:lineRule="exact"/>
              <w:ind w:left="888" w:right="873"/>
              <w:jc w:val="center"/>
              <w:rPr>
                <w:lang w:val="sr-Latn-ME"/>
              </w:rPr>
            </w:pPr>
            <w:r w:rsidRPr="008E586D">
              <w:rPr>
                <w:lang w:val="sr-Latn-ME"/>
              </w:rPr>
              <w:t>15.6</w:t>
            </w:r>
          </w:p>
        </w:tc>
        <w:tc>
          <w:tcPr>
            <w:tcW w:w="2409" w:type="dxa"/>
          </w:tcPr>
          <w:p w:rsidR="00A51106" w:rsidRPr="008E586D" w:rsidRDefault="00A51106" w:rsidP="00043878">
            <w:pPr>
              <w:pStyle w:val="TableParagraph"/>
              <w:spacing w:line="234" w:lineRule="exact"/>
              <w:ind w:left="855" w:right="840"/>
              <w:jc w:val="center"/>
              <w:rPr>
                <w:lang w:val="sr-Latn-ME"/>
              </w:rPr>
            </w:pPr>
            <w:r w:rsidRPr="008E586D">
              <w:rPr>
                <w:lang w:val="sr-Latn-ME"/>
              </w:rPr>
              <w:t>20.3</w:t>
            </w:r>
          </w:p>
        </w:tc>
      </w:tr>
      <w:tr w:rsidR="00A51106" w:rsidRPr="008E586D" w:rsidTr="00926D14">
        <w:trPr>
          <w:trHeight w:val="254"/>
        </w:trPr>
        <w:tc>
          <w:tcPr>
            <w:tcW w:w="2977" w:type="dxa"/>
          </w:tcPr>
          <w:p w:rsidR="00A51106" w:rsidRPr="008E586D" w:rsidRDefault="00A51106" w:rsidP="00043878">
            <w:pPr>
              <w:pStyle w:val="TableParagraph"/>
              <w:spacing w:line="234" w:lineRule="exact"/>
              <w:ind w:left="446"/>
              <w:rPr>
                <w:lang w:val="sr-Latn-ME"/>
              </w:rPr>
            </w:pPr>
            <w:r w:rsidRPr="008E586D">
              <w:rPr>
                <w:lang w:val="sr-Latn-ME"/>
              </w:rPr>
              <w:t>95% interval pouzdanosti</w:t>
            </w:r>
          </w:p>
        </w:tc>
        <w:tc>
          <w:tcPr>
            <w:tcW w:w="3686" w:type="dxa"/>
          </w:tcPr>
          <w:p w:rsidR="00A51106" w:rsidRPr="008E586D" w:rsidRDefault="00A51106" w:rsidP="00043878">
            <w:pPr>
              <w:pStyle w:val="TableParagraph"/>
              <w:spacing w:line="234" w:lineRule="exact"/>
              <w:ind w:left="892" w:right="873"/>
              <w:jc w:val="center"/>
              <w:rPr>
                <w:lang w:val="sr-Latn-ME"/>
              </w:rPr>
            </w:pPr>
            <w:r w:rsidRPr="008E586D">
              <w:rPr>
                <w:lang w:val="sr-Latn-ME"/>
              </w:rPr>
              <w:t>14.29-16.99</w:t>
            </w:r>
          </w:p>
        </w:tc>
        <w:tc>
          <w:tcPr>
            <w:tcW w:w="2409" w:type="dxa"/>
          </w:tcPr>
          <w:p w:rsidR="00A51106" w:rsidRPr="008E586D" w:rsidRDefault="00A51106" w:rsidP="00043878">
            <w:pPr>
              <w:pStyle w:val="TableParagraph"/>
              <w:spacing w:line="234" w:lineRule="exact"/>
              <w:ind w:left="858" w:right="840"/>
              <w:jc w:val="center"/>
              <w:rPr>
                <w:lang w:val="sr-Latn-ME"/>
              </w:rPr>
            </w:pPr>
            <w:r w:rsidRPr="008E586D">
              <w:rPr>
                <w:lang w:val="sr-Latn-ME"/>
              </w:rPr>
              <w:t>18.46-24.18</w:t>
            </w:r>
          </w:p>
        </w:tc>
      </w:tr>
      <w:tr w:rsidR="00A51106" w:rsidRPr="008E586D" w:rsidTr="00926D14">
        <w:trPr>
          <w:trHeight w:val="254"/>
        </w:trPr>
        <w:tc>
          <w:tcPr>
            <w:tcW w:w="2977" w:type="dxa"/>
          </w:tcPr>
          <w:p w:rsidR="00A51106" w:rsidRPr="008E586D" w:rsidRDefault="00A51106" w:rsidP="00043878">
            <w:pPr>
              <w:pStyle w:val="TableParagraph"/>
              <w:spacing w:line="234" w:lineRule="exact"/>
              <w:ind w:left="446"/>
              <w:rPr>
                <w:lang w:val="sr-Latn-ME"/>
              </w:rPr>
            </w:pPr>
            <w:r w:rsidRPr="008E586D">
              <w:rPr>
                <w:lang w:val="sr-Latn-ME"/>
              </w:rPr>
              <w:t>Odnos rizika</w:t>
            </w:r>
            <w:r w:rsidRPr="008E586D">
              <w:rPr>
                <w:vertAlign w:val="superscript"/>
                <w:lang w:val="sr-Latn-ME"/>
              </w:rPr>
              <w:t>b</w:t>
            </w:r>
          </w:p>
        </w:tc>
        <w:tc>
          <w:tcPr>
            <w:tcW w:w="3686" w:type="dxa"/>
          </w:tcPr>
          <w:p w:rsidR="00A51106" w:rsidRPr="008E586D" w:rsidRDefault="00A51106" w:rsidP="00043878">
            <w:pPr>
              <w:pStyle w:val="TableParagraph"/>
              <w:ind w:left="0"/>
              <w:rPr>
                <w:sz w:val="18"/>
                <w:lang w:val="sr-Latn-ME"/>
              </w:rPr>
            </w:pPr>
          </w:p>
        </w:tc>
        <w:tc>
          <w:tcPr>
            <w:tcW w:w="2409" w:type="dxa"/>
          </w:tcPr>
          <w:p w:rsidR="00A51106" w:rsidRPr="008E586D" w:rsidRDefault="00A51106" w:rsidP="00043878">
            <w:pPr>
              <w:pStyle w:val="TableParagraph"/>
              <w:spacing w:line="234" w:lineRule="exact"/>
              <w:ind w:left="858" w:right="838"/>
              <w:jc w:val="center"/>
              <w:rPr>
                <w:lang w:val="sr-Latn-ME"/>
              </w:rPr>
            </w:pPr>
            <w:r w:rsidRPr="008E586D">
              <w:rPr>
                <w:lang w:val="sr-Latn-ME"/>
              </w:rPr>
              <w:t>0.660</w:t>
            </w:r>
          </w:p>
        </w:tc>
      </w:tr>
      <w:tr w:rsidR="00A51106" w:rsidRPr="008E586D" w:rsidTr="00926D14">
        <w:trPr>
          <w:trHeight w:val="249"/>
        </w:trPr>
        <w:tc>
          <w:tcPr>
            <w:tcW w:w="2977" w:type="dxa"/>
          </w:tcPr>
          <w:p w:rsidR="00A51106" w:rsidRPr="008E586D" w:rsidRDefault="00A51106" w:rsidP="00043878">
            <w:pPr>
              <w:pStyle w:val="TableParagraph"/>
              <w:spacing w:line="229" w:lineRule="exact"/>
              <w:ind w:left="446"/>
              <w:rPr>
                <w:lang w:val="sr-Latn-ME"/>
              </w:rPr>
            </w:pPr>
            <w:r w:rsidRPr="008E586D">
              <w:rPr>
                <w:lang w:val="sr-Latn-ME"/>
              </w:rPr>
              <w:t>p-vrijednost</w:t>
            </w:r>
          </w:p>
        </w:tc>
        <w:tc>
          <w:tcPr>
            <w:tcW w:w="3686" w:type="dxa"/>
          </w:tcPr>
          <w:p w:rsidR="00A51106" w:rsidRPr="008E586D" w:rsidRDefault="00A51106" w:rsidP="00043878">
            <w:pPr>
              <w:pStyle w:val="TableParagraph"/>
              <w:ind w:left="0"/>
              <w:rPr>
                <w:sz w:val="18"/>
                <w:lang w:val="sr-Latn-ME"/>
              </w:rPr>
            </w:pPr>
          </w:p>
        </w:tc>
        <w:tc>
          <w:tcPr>
            <w:tcW w:w="2409" w:type="dxa"/>
          </w:tcPr>
          <w:p w:rsidR="00A51106" w:rsidRPr="008E586D" w:rsidRDefault="00A51106" w:rsidP="00043878">
            <w:pPr>
              <w:pStyle w:val="TableParagraph"/>
              <w:spacing w:line="229" w:lineRule="exact"/>
              <w:ind w:left="858" w:right="839"/>
              <w:jc w:val="center"/>
              <w:rPr>
                <w:lang w:val="sr-Latn-ME"/>
              </w:rPr>
            </w:pPr>
            <w:r w:rsidRPr="008E586D">
              <w:rPr>
                <w:lang w:val="sr-Latn-ME"/>
              </w:rPr>
              <w:t>0.00004</w:t>
            </w:r>
          </w:p>
        </w:tc>
      </w:tr>
      <w:tr w:rsidR="00A51106" w:rsidRPr="008E586D" w:rsidTr="00926D14">
        <w:trPr>
          <w:trHeight w:val="254"/>
        </w:trPr>
        <w:tc>
          <w:tcPr>
            <w:tcW w:w="2977" w:type="dxa"/>
          </w:tcPr>
          <w:p w:rsidR="00A51106" w:rsidRPr="008E586D" w:rsidRDefault="00A51106" w:rsidP="00043878">
            <w:pPr>
              <w:pStyle w:val="TableParagraph"/>
              <w:spacing w:line="234" w:lineRule="exact"/>
              <w:rPr>
                <w:lang w:val="sr-Latn-ME"/>
              </w:rPr>
            </w:pPr>
            <w:r w:rsidRPr="008E586D">
              <w:rPr>
                <w:lang w:val="sr-Latn-ME"/>
              </w:rPr>
              <w:t>Preživljavanje bez progresije bolesti</w:t>
            </w:r>
          </w:p>
        </w:tc>
        <w:tc>
          <w:tcPr>
            <w:tcW w:w="3686" w:type="dxa"/>
          </w:tcPr>
          <w:p w:rsidR="00A51106" w:rsidRPr="008E586D" w:rsidRDefault="00A51106" w:rsidP="00043878">
            <w:pPr>
              <w:pStyle w:val="TableParagraph"/>
              <w:ind w:left="0"/>
              <w:rPr>
                <w:sz w:val="18"/>
                <w:lang w:val="sr-Latn-ME"/>
              </w:rPr>
            </w:pPr>
          </w:p>
        </w:tc>
        <w:tc>
          <w:tcPr>
            <w:tcW w:w="2409" w:type="dxa"/>
          </w:tcPr>
          <w:p w:rsidR="00A51106" w:rsidRPr="008E586D" w:rsidRDefault="00A51106" w:rsidP="00043878">
            <w:pPr>
              <w:pStyle w:val="TableParagraph"/>
              <w:ind w:left="0"/>
              <w:rPr>
                <w:sz w:val="18"/>
                <w:lang w:val="sr-Latn-ME"/>
              </w:rPr>
            </w:pPr>
          </w:p>
        </w:tc>
      </w:tr>
      <w:tr w:rsidR="00A51106" w:rsidRPr="008E586D" w:rsidTr="00926D14">
        <w:trPr>
          <w:trHeight w:val="254"/>
        </w:trPr>
        <w:tc>
          <w:tcPr>
            <w:tcW w:w="2977" w:type="dxa"/>
          </w:tcPr>
          <w:p w:rsidR="00A51106" w:rsidRPr="008E586D" w:rsidRDefault="00A51106" w:rsidP="00043878">
            <w:pPr>
              <w:pStyle w:val="TableParagraph"/>
              <w:spacing w:line="234" w:lineRule="exact"/>
              <w:ind w:left="441"/>
              <w:rPr>
                <w:lang w:val="sr-Latn-ME"/>
              </w:rPr>
            </w:pPr>
            <w:r w:rsidRPr="008E586D">
              <w:rPr>
                <w:lang w:val="sr-Latn-ME"/>
              </w:rPr>
              <w:t>Medijana (mjeseci)</w:t>
            </w:r>
          </w:p>
        </w:tc>
        <w:tc>
          <w:tcPr>
            <w:tcW w:w="3686" w:type="dxa"/>
          </w:tcPr>
          <w:p w:rsidR="00A51106" w:rsidRPr="008E586D" w:rsidRDefault="00A51106" w:rsidP="00043878">
            <w:pPr>
              <w:pStyle w:val="TableParagraph"/>
              <w:spacing w:line="234" w:lineRule="exact"/>
              <w:ind w:left="892" w:right="872"/>
              <w:jc w:val="center"/>
              <w:rPr>
                <w:lang w:val="sr-Latn-ME"/>
              </w:rPr>
            </w:pPr>
            <w:r w:rsidRPr="008E586D">
              <w:rPr>
                <w:lang w:val="sr-Latn-ME"/>
              </w:rPr>
              <w:t>6.2</w:t>
            </w:r>
          </w:p>
        </w:tc>
        <w:tc>
          <w:tcPr>
            <w:tcW w:w="2409" w:type="dxa"/>
          </w:tcPr>
          <w:p w:rsidR="00A51106" w:rsidRPr="008E586D" w:rsidRDefault="00A51106" w:rsidP="00043878">
            <w:pPr>
              <w:pStyle w:val="TableParagraph"/>
              <w:spacing w:line="234" w:lineRule="exact"/>
              <w:ind w:left="855" w:right="840"/>
              <w:jc w:val="center"/>
              <w:rPr>
                <w:lang w:val="sr-Latn-ME"/>
              </w:rPr>
            </w:pPr>
            <w:r w:rsidRPr="008E586D">
              <w:rPr>
                <w:lang w:val="sr-Latn-ME"/>
              </w:rPr>
              <w:t>10.6</w:t>
            </w:r>
          </w:p>
        </w:tc>
      </w:tr>
      <w:tr w:rsidR="00A51106" w:rsidRPr="008E586D" w:rsidTr="00926D14">
        <w:trPr>
          <w:trHeight w:val="253"/>
        </w:trPr>
        <w:tc>
          <w:tcPr>
            <w:tcW w:w="2977" w:type="dxa"/>
          </w:tcPr>
          <w:p w:rsidR="00A51106" w:rsidRPr="008E586D" w:rsidRDefault="00A51106" w:rsidP="00043878">
            <w:pPr>
              <w:pStyle w:val="TableParagraph"/>
              <w:spacing w:line="234" w:lineRule="exact"/>
              <w:ind w:left="446"/>
              <w:rPr>
                <w:lang w:val="sr-Latn-ME"/>
              </w:rPr>
            </w:pPr>
            <w:r w:rsidRPr="008E586D">
              <w:rPr>
                <w:lang w:val="sr-Latn-ME"/>
              </w:rPr>
              <w:t>Odnos rizika (HR)</w:t>
            </w:r>
          </w:p>
        </w:tc>
        <w:tc>
          <w:tcPr>
            <w:tcW w:w="3686" w:type="dxa"/>
          </w:tcPr>
          <w:p w:rsidR="00A51106" w:rsidRPr="008E586D" w:rsidRDefault="00A51106" w:rsidP="00043878">
            <w:pPr>
              <w:pStyle w:val="TableParagraph"/>
              <w:ind w:left="0"/>
              <w:rPr>
                <w:sz w:val="18"/>
                <w:lang w:val="sr-Latn-ME"/>
              </w:rPr>
            </w:pPr>
          </w:p>
        </w:tc>
        <w:tc>
          <w:tcPr>
            <w:tcW w:w="2409" w:type="dxa"/>
          </w:tcPr>
          <w:p w:rsidR="00A51106" w:rsidRPr="008E586D" w:rsidRDefault="00A51106" w:rsidP="00043878">
            <w:pPr>
              <w:pStyle w:val="TableParagraph"/>
              <w:spacing w:line="234" w:lineRule="exact"/>
              <w:ind w:left="855" w:right="840"/>
              <w:jc w:val="center"/>
              <w:rPr>
                <w:lang w:val="sr-Latn-ME"/>
              </w:rPr>
            </w:pPr>
            <w:r w:rsidRPr="008E586D">
              <w:rPr>
                <w:lang w:val="sr-Latn-ME"/>
              </w:rPr>
              <w:t>0.54</w:t>
            </w:r>
          </w:p>
        </w:tc>
      </w:tr>
      <w:tr w:rsidR="00A51106" w:rsidRPr="008E586D" w:rsidTr="00926D14">
        <w:trPr>
          <w:trHeight w:val="254"/>
        </w:trPr>
        <w:tc>
          <w:tcPr>
            <w:tcW w:w="2977" w:type="dxa"/>
          </w:tcPr>
          <w:p w:rsidR="00A51106" w:rsidRPr="008E586D" w:rsidRDefault="00A51106" w:rsidP="00043878">
            <w:pPr>
              <w:pStyle w:val="TableParagraph"/>
              <w:spacing w:line="234" w:lineRule="exact"/>
              <w:ind w:left="446"/>
              <w:rPr>
                <w:lang w:val="sr-Latn-ME"/>
              </w:rPr>
            </w:pPr>
            <w:r w:rsidRPr="008E586D">
              <w:rPr>
                <w:lang w:val="sr-Latn-ME"/>
              </w:rPr>
              <w:t>p-vrijednost</w:t>
            </w:r>
          </w:p>
        </w:tc>
        <w:tc>
          <w:tcPr>
            <w:tcW w:w="3686" w:type="dxa"/>
          </w:tcPr>
          <w:p w:rsidR="00A51106" w:rsidRPr="008E586D" w:rsidRDefault="00A51106" w:rsidP="00043878">
            <w:pPr>
              <w:pStyle w:val="TableParagraph"/>
              <w:ind w:left="0"/>
              <w:rPr>
                <w:sz w:val="18"/>
                <w:lang w:val="sr-Latn-ME"/>
              </w:rPr>
            </w:pPr>
          </w:p>
        </w:tc>
        <w:tc>
          <w:tcPr>
            <w:tcW w:w="2409" w:type="dxa"/>
          </w:tcPr>
          <w:p w:rsidR="00A51106" w:rsidRPr="008E586D" w:rsidRDefault="00A51106" w:rsidP="00043878">
            <w:pPr>
              <w:pStyle w:val="TableParagraph"/>
              <w:spacing w:line="234" w:lineRule="exact"/>
              <w:ind w:left="858" w:right="839"/>
              <w:jc w:val="center"/>
              <w:rPr>
                <w:lang w:val="sr-Latn-ME"/>
              </w:rPr>
            </w:pPr>
            <w:r w:rsidRPr="008E586D">
              <w:rPr>
                <w:lang w:val="sr-Latn-ME"/>
              </w:rPr>
              <w:t>&lt; 0.0001</w:t>
            </w:r>
          </w:p>
        </w:tc>
      </w:tr>
      <w:tr w:rsidR="00A51106" w:rsidRPr="008E586D" w:rsidTr="00926D14">
        <w:trPr>
          <w:trHeight w:val="249"/>
        </w:trPr>
        <w:tc>
          <w:tcPr>
            <w:tcW w:w="2977" w:type="dxa"/>
          </w:tcPr>
          <w:p w:rsidR="00A51106" w:rsidRPr="008E586D" w:rsidRDefault="00A51106" w:rsidP="00043878">
            <w:pPr>
              <w:pStyle w:val="TableParagraph"/>
              <w:spacing w:line="229" w:lineRule="exact"/>
              <w:rPr>
                <w:lang w:val="sr-Latn-ME"/>
              </w:rPr>
            </w:pPr>
            <w:r w:rsidRPr="008E586D">
              <w:rPr>
                <w:lang w:val="sr-Latn-ME"/>
              </w:rPr>
              <w:t>Ukupna stopa terapijskog odgovora</w:t>
            </w:r>
          </w:p>
        </w:tc>
        <w:tc>
          <w:tcPr>
            <w:tcW w:w="3686" w:type="dxa"/>
          </w:tcPr>
          <w:p w:rsidR="00A51106" w:rsidRPr="008E586D" w:rsidRDefault="00A51106" w:rsidP="00043878">
            <w:pPr>
              <w:pStyle w:val="TableParagraph"/>
              <w:ind w:left="0"/>
              <w:rPr>
                <w:sz w:val="18"/>
                <w:lang w:val="sr-Latn-ME"/>
              </w:rPr>
            </w:pPr>
          </w:p>
        </w:tc>
        <w:tc>
          <w:tcPr>
            <w:tcW w:w="2409" w:type="dxa"/>
          </w:tcPr>
          <w:p w:rsidR="00A51106" w:rsidRPr="008E586D" w:rsidRDefault="00A51106" w:rsidP="00043878">
            <w:pPr>
              <w:pStyle w:val="TableParagraph"/>
              <w:ind w:left="0"/>
              <w:rPr>
                <w:sz w:val="18"/>
                <w:lang w:val="sr-Latn-ME"/>
              </w:rPr>
            </w:pPr>
          </w:p>
        </w:tc>
      </w:tr>
      <w:tr w:rsidR="00A51106" w:rsidRPr="008E586D" w:rsidTr="00926D14">
        <w:trPr>
          <w:trHeight w:val="254"/>
        </w:trPr>
        <w:tc>
          <w:tcPr>
            <w:tcW w:w="2977" w:type="dxa"/>
          </w:tcPr>
          <w:p w:rsidR="00A51106" w:rsidRPr="008E586D" w:rsidRDefault="00A51106" w:rsidP="00043878">
            <w:pPr>
              <w:pStyle w:val="TableParagraph"/>
              <w:spacing w:line="234" w:lineRule="exact"/>
              <w:ind w:left="499"/>
              <w:rPr>
                <w:lang w:val="sr-Latn-ME"/>
              </w:rPr>
            </w:pPr>
            <w:r w:rsidRPr="008E586D">
              <w:rPr>
                <w:lang w:val="sr-Latn-ME"/>
              </w:rPr>
              <w:t>Stopa (%)</w:t>
            </w:r>
          </w:p>
        </w:tc>
        <w:tc>
          <w:tcPr>
            <w:tcW w:w="3686" w:type="dxa"/>
          </w:tcPr>
          <w:p w:rsidR="00A51106" w:rsidRPr="008E586D" w:rsidRDefault="00A51106" w:rsidP="00043878">
            <w:pPr>
              <w:pStyle w:val="TableParagraph"/>
              <w:spacing w:line="234" w:lineRule="exact"/>
              <w:ind w:left="888" w:right="873"/>
              <w:jc w:val="center"/>
              <w:rPr>
                <w:lang w:val="sr-Latn-ME"/>
              </w:rPr>
            </w:pPr>
            <w:r w:rsidRPr="008E586D">
              <w:rPr>
                <w:lang w:val="sr-Latn-ME"/>
              </w:rPr>
              <w:t>34.8</w:t>
            </w:r>
          </w:p>
        </w:tc>
        <w:tc>
          <w:tcPr>
            <w:tcW w:w="2409" w:type="dxa"/>
          </w:tcPr>
          <w:p w:rsidR="00A51106" w:rsidRPr="008E586D" w:rsidRDefault="00A51106" w:rsidP="00043878">
            <w:pPr>
              <w:pStyle w:val="TableParagraph"/>
              <w:spacing w:line="234" w:lineRule="exact"/>
              <w:ind w:left="855" w:right="840"/>
              <w:jc w:val="center"/>
              <w:rPr>
                <w:lang w:val="sr-Latn-ME"/>
              </w:rPr>
            </w:pPr>
            <w:r w:rsidRPr="008E586D">
              <w:rPr>
                <w:lang w:val="sr-Latn-ME"/>
              </w:rPr>
              <w:t>44.8</w:t>
            </w:r>
          </w:p>
        </w:tc>
      </w:tr>
      <w:tr w:rsidR="00A51106" w:rsidRPr="008E586D" w:rsidTr="00926D14">
        <w:trPr>
          <w:trHeight w:val="254"/>
        </w:trPr>
        <w:tc>
          <w:tcPr>
            <w:tcW w:w="2977" w:type="dxa"/>
          </w:tcPr>
          <w:p w:rsidR="00A51106" w:rsidRPr="008E586D" w:rsidRDefault="00A51106" w:rsidP="00043878">
            <w:pPr>
              <w:pStyle w:val="TableParagraph"/>
              <w:spacing w:line="234" w:lineRule="exact"/>
              <w:ind w:left="499"/>
              <w:rPr>
                <w:lang w:val="sr-Latn-ME"/>
              </w:rPr>
            </w:pPr>
            <w:r w:rsidRPr="008E586D">
              <w:rPr>
                <w:lang w:val="sr-Latn-ME"/>
              </w:rPr>
              <w:t>95% interval pouzdanosti</w:t>
            </w:r>
          </w:p>
        </w:tc>
        <w:tc>
          <w:tcPr>
            <w:tcW w:w="3686" w:type="dxa"/>
          </w:tcPr>
          <w:p w:rsidR="00A51106" w:rsidRPr="008E586D" w:rsidRDefault="00A51106" w:rsidP="00043878">
            <w:pPr>
              <w:pStyle w:val="TableParagraph"/>
              <w:spacing w:line="234" w:lineRule="exact"/>
              <w:ind w:left="888" w:right="873"/>
              <w:jc w:val="center"/>
              <w:rPr>
                <w:lang w:val="sr-Latn-ME"/>
              </w:rPr>
            </w:pPr>
            <w:r w:rsidRPr="008E586D">
              <w:rPr>
                <w:lang w:val="sr-Latn-ME"/>
              </w:rPr>
              <w:t>30.2-39.6</w:t>
            </w:r>
          </w:p>
        </w:tc>
        <w:tc>
          <w:tcPr>
            <w:tcW w:w="2409" w:type="dxa"/>
          </w:tcPr>
          <w:p w:rsidR="00A51106" w:rsidRPr="008E586D" w:rsidRDefault="00A51106" w:rsidP="00043878">
            <w:pPr>
              <w:pStyle w:val="TableParagraph"/>
              <w:spacing w:line="234" w:lineRule="exact"/>
              <w:ind w:left="855" w:right="840"/>
              <w:jc w:val="center"/>
              <w:rPr>
                <w:lang w:val="sr-Latn-ME"/>
              </w:rPr>
            </w:pPr>
            <w:r w:rsidRPr="008E586D">
              <w:rPr>
                <w:lang w:val="sr-Latn-ME"/>
              </w:rPr>
              <w:t>39.9-49.8</w:t>
            </w:r>
          </w:p>
        </w:tc>
      </w:tr>
      <w:tr w:rsidR="00A51106" w:rsidRPr="008E586D" w:rsidTr="00926D14">
        <w:trPr>
          <w:trHeight w:val="253"/>
        </w:trPr>
        <w:tc>
          <w:tcPr>
            <w:tcW w:w="2977" w:type="dxa"/>
          </w:tcPr>
          <w:p w:rsidR="00A51106" w:rsidRPr="008E586D" w:rsidRDefault="00A51106" w:rsidP="00043878">
            <w:pPr>
              <w:pStyle w:val="TableParagraph"/>
              <w:spacing w:line="234" w:lineRule="exact"/>
              <w:ind w:left="499"/>
              <w:rPr>
                <w:lang w:val="sr-Latn-ME"/>
              </w:rPr>
            </w:pPr>
            <w:r w:rsidRPr="008E586D">
              <w:rPr>
                <w:lang w:val="sr-Latn-ME"/>
              </w:rPr>
              <w:t>p-vrijednost</w:t>
            </w:r>
          </w:p>
        </w:tc>
        <w:tc>
          <w:tcPr>
            <w:tcW w:w="3686" w:type="dxa"/>
          </w:tcPr>
          <w:p w:rsidR="00A51106" w:rsidRPr="008E586D" w:rsidRDefault="00A51106" w:rsidP="00043878">
            <w:pPr>
              <w:pStyle w:val="TableParagraph"/>
              <w:ind w:left="0"/>
              <w:rPr>
                <w:sz w:val="18"/>
                <w:lang w:val="sr-Latn-ME"/>
              </w:rPr>
            </w:pPr>
          </w:p>
        </w:tc>
        <w:tc>
          <w:tcPr>
            <w:tcW w:w="2409" w:type="dxa"/>
          </w:tcPr>
          <w:p w:rsidR="00A51106" w:rsidRPr="008E586D" w:rsidRDefault="00A51106" w:rsidP="00043878">
            <w:pPr>
              <w:pStyle w:val="TableParagraph"/>
              <w:spacing w:line="234" w:lineRule="exact"/>
              <w:ind w:left="855" w:right="840"/>
              <w:jc w:val="center"/>
              <w:rPr>
                <w:lang w:val="sr-Latn-ME"/>
              </w:rPr>
            </w:pPr>
            <w:r w:rsidRPr="008E586D">
              <w:rPr>
                <w:lang w:val="sr-Latn-ME"/>
              </w:rPr>
              <w:t>0.0036</w:t>
            </w:r>
          </w:p>
        </w:tc>
      </w:tr>
      <w:tr w:rsidR="00A51106" w:rsidRPr="008E586D" w:rsidTr="00926D14">
        <w:trPr>
          <w:trHeight w:val="249"/>
        </w:trPr>
        <w:tc>
          <w:tcPr>
            <w:tcW w:w="2977" w:type="dxa"/>
          </w:tcPr>
          <w:p w:rsidR="00A51106" w:rsidRPr="008E586D" w:rsidRDefault="00A51106" w:rsidP="00043878">
            <w:pPr>
              <w:pStyle w:val="TableParagraph"/>
              <w:spacing w:line="229" w:lineRule="exact"/>
              <w:rPr>
                <w:lang w:val="sr-Latn-ME"/>
              </w:rPr>
            </w:pPr>
            <w:r w:rsidRPr="008E586D">
              <w:rPr>
                <w:lang w:val="sr-Latn-ME"/>
              </w:rPr>
              <w:t>Trajanje terapijskog odgovora</w:t>
            </w:r>
          </w:p>
        </w:tc>
        <w:tc>
          <w:tcPr>
            <w:tcW w:w="3686" w:type="dxa"/>
          </w:tcPr>
          <w:p w:rsidR="00A51106" w:rsidRPr="008E586D" w:rsidRDefault="00A51106" w:rsidP="00043878">
            <w:pPr>
              <w:pStyle w:val="TableParagraph"/>
              <w:ind w:left="0"/>
              <w:rPr>
                <w:sz w:val="18"/>
                <w:lang w:val="sr-Latn-ME"/>
              </w:rPr>
            </w:pPr>
          </w:p>
        </w:tc>
        <w:tc>
          <w:tcPr>
            <w:tcW w:w="2409" w:type="dxa"/>
          </w:tcPr>
          <w:p w:rsidR="00A51106" w:rsidRPr="008E586D" w:rsidRDefault="00A51106" w:rsidP="00043878">
            <w:pPr>
              <w:pStyle w:val="TableParagraph"/>
              <w:ind w:left="0"/>
              <w:rPr>
                <w:sz w:val="18"/>
                <w:lang w:val="sr-Latn-ME"/>
              </w:rPr>
            </w:pPr>
          </w:p>
        </w:tc>
      </w:tr>
      <w:tr w:rsidR="00A51106" w:rsidRPr="008E586D" w:rsidTr="00926D14">
        <w:trPr>
          <w:trHeight w:val="253"/>
        </w:trPr>
        <w:tc>
          <w:tcPr>
            <w:tcW w:w="2977" w:type="dxa"/>
          </w:tcPr>
          <w:p w:rsidR="00A51106" w:rsidRPr="008E586D" w:rsidRDefault="00A51106" w:rsidP="00043878">
            <w:pPr>
              <w:pStyle w:val="TableParagraph"/>
              <w:spacing w:line="234" w:lineRule="exact"/>
              <w:ind w:left="499"/>
              <w:rPr>
                <w:lang w:val="sr-Latn-ME"/>
              </w:rPr>
            </w:pPr>
            <w:r w:rsidRPr="008E586D">
              <w:rPr>
                <w:lang w:val="sr-Latn-ME"/>
              </w:rPr>
              <w:t>Medijana (mjeseci)</w:t>
            </w:r>
          </w:p>
        </w:tc>
        <w:tc>
          <w:tcPr>
            <w:tcW w:w="3686" w:type="dxa"/>
          </w:tcPr>
          <w:p w:rsidR="00A51106" w:rsidRPr="008E586D" w:rsidRDefault="00A51106" w:rsidP="00043878">
            <w:pPr>
              <w:pStyle w:val="TableParagraph"/>
              <w:spacing w:line="234" w:lineRule="exact"/>
              <w:ind w:left="892" w:right="872"/>
              <w:jc w:val="center"/>
              <w:rPr>
                <w:lang w:val="sr-Latn-ME"/>
              </w:rPr>
            </w:pPr>
            <w:r w:rsidRPr="008E586D">
              <w:rPr>
                <w:lang w:val="sr-Latn-ME"/>
              </w:rPr>
              <w:t>7.1</w:t>
            </w:r>
          </w:p>
        </w:tc>
        <w:tc>
          <w:tcPr>
            <w:tcW w:w="2409" w:type="dxa"/>
          </w:tcPr>
          <w:p w:rsidR="00A51106" w:rsidRPr="008E586D" w:rsidRDefault="00A51106" w:rsidP="00043878">
            <w:pPr>
              <w:pStyle w:val="TableParagraph"/>
              <w:spacing w:line="234" w:lineRule="exact"/>
              <w:ind w:left="855" w:right="840"/>
              <w:jc w:val="center"/>
              <w:rPr>
                <w:lang w:val="sr-Latn-ME"/>
              </w:rPr>
            </w:pPr>
            <w:r w:rsidRPr="008E586D">
              <w:rPr>
                <w:lang w:val="sr-Latn-ME"/>
              </w:rPr>
              <w:t>10.4</w:t>
            </w:r>
          </w:p>
        </w:tc>
      </w:tr>
      <w:tr w:rsidR="00A51106" w:rsidRPr="008E586D" w:rsidTr="00926D14">
        <w:trPr>
          <w:trHeight w:val="253"/>
        </w:trPr>
        <w:tc>
          <w:tcPr>
            <w:tcW w:w="2977" w:type="dxa"/>
          </w:tcPr>
          <w:p w:rsidR="00A51106" w:rsidRPr="008E586D" w:rsidRDefault="00A51106" w:rsidP="00043878">
            <w:pPr>
              <w:pStyle w:val="TableParagraph"/>
              <w:spacing w:line="234" w:lineRule="exact"/>
              <w:ind w:left="499"/>
              <w:rPr>
                <w:lang w:val="sr-Latn-ME"/>
              </w:rPr>
            </w:pPr>
            <w:r w:rsidRPr="008E586D">
              <w:rPr>
                <w:lang w:val="sr-Latn-ME"/>
              </w:rPr>
              <w:t>25-75 percentil (mjeseci)</w:t>
            </w:r>
          </w:p>
        </w:tc>
        <w:tc>
          <w:tcPr>
            <w:tcW w:w="3686" w:type="dxa"/>
          </w:tcPr>
          <w:p w:rsidR="00A51106" w:rsidRPr="008E586D" w:rsidRDefault="00A51106" w:rsidP="00043878">
            <w:pPr>
              <w:pStyle w:val="TableParagraph"/>
              <w:spacing w:line="234" w:lineRule="exact"/>
              <w:ind w:left="892" w:right="872"/>
              <w:jc w:val="center"/>
              <w:rPr>
                <w:lang w:val="sr-Latn-ME"/>
              </w:rPr>
            </w:pPr>
            <w:r w:rsidRPr="008E586D">
              <w:rPr>
                <w:lang w:val="sr-Latn-ME"/>
              </w:rPr>
              <w:t>4.7-11.8</w:t>
            </w:r>
          </w:p>
        </w:tc>
        <w:tc>
          <w:tcPr>
            <w:tcW w:w="2409" w:type="dxa"/>
          </w:tcPr>
          <w:p w:rsidR="00A51106" w:rsidRPr="008E586D" w:rsidRDefault="00A51106" w:rsidP="00043878">
            <w:pPr>
              <w:pStyle w:val="TableParagraph"/>
              <w:spacing w:line="234" w:lineRule="exact"/>
              <w:ind w:left="858" w:right="838"/>
              <w:jc w:val="center"/>
              <w:rPr>
                <w:lang w:val="sr-Latn-ME"/>
              </w:rPr>
            </w:pPr>
            <w:r w:rsidRPr="008E586D">
              <w:rPr>
                <w:lang w:val="sr-Latn-ME"/>
              </w:rPr>
              <w:t>6.7-15.0</w:t>
            </w:r>
          </w:p>
        </w:tc>
      </w:tr>
    </w:tbl>
    <w:p w:rsidR="00CE56C4" w:rsidRPr="008E586D" w:rsidRDefault="00CE56C4" w:rsidP="00926D14">
      <w:pPr>
        <w:suppressAutoHyphens/>
        <w:spacing w:line="232" w:lineRule="exact"/>
        <w:rPr>
          <w:rFonts w:eastAsia="Calibri"/>
          <w:sz w:val="20"/>
          <w:szCs w:val="20"/>
          <w:lang w:val="sr-Latn-ME" w:eastAsia="zh-CN"/>
        </w:rPr>
      </w:pPr>
      <w:r w:rsidRPr="008E586D">
        <w:rPr>
          <w:rFonts w:eastAsia="Calibri"/>
          <w:position w:val="10"/>
          <w:sz w:val="20"/>
          <w:szCs w:val="20"/>
          <w:lang w:val="sr-Latn-ME" w:eastAsia="zh-CN"/>
        </w:rPr>
        <w:t xml:space="preserve">a </w:t>
      </w:r>
      <w:r w:rsidRPr="008E586D">
        <w:rPr>
          <w:rFonts w:eastAsia="Calibri"/>
          <w:sz w:val="20"/>
          <w:szCs w:val="20"/>
          <w:lang w:val="sr-Latn-ME" w:eastAsia="zh-CN"/>
        </w:rPr>
        <w:t>5 mg/kg. svake 2 nedjelje</w:t>
      </w:r>
    </w:p>
    <w:p w:rsidR="00CE56C4" w:rsidRPr="008E586D" w:rsidRDefault="00CE56C4" w:rsidP="00926D14">
      <w:pPr>
        <w:suppressAutoHyphens/>
        <w:spacing w:line="266" w:lineRule="exact"/>
        <w:rPr>
          <w:rFonts w:eastAsia="Calibri"/>
          <w:sz w:val="20"/>
          <w:szCs w:val="20"/>
          <w:lang w:val="sr-Latn-ME" w:eastAsia="zh-CN"/>
        </w:rPr>
      </w:pPr>
      <w:r w:rsidRPr="008E586D">
        <w:rPr>
          <w:rFonts w:eastAsia="Calibri"/>
          <w:position w:val="10"/>
          <w:sz w:val="20"/>
          <w:szCs w:val="20"/>
          <w:lang w:val="sr-Latn-ME" w:eastAsia="zh-CN"/>
        </w:rPr>
        <w:t xml:space="preserve">b </w:t>
      </w:r>
      <w:r w:rsidRPr="008E586D">
        <w:rPr>
          <w:rFonts w:eastAsia="Calibri"/>
          <w:sz w:val="20"/>
          <w:szCs w:val="20"/>
          <w:lang w:val="sr-Latn-ME" w:eastAsia="zh-CN"/>
        </w:rPr>
        <w:t>U odnosu na kontrolnu grupu</w:t>
      </w:r>
    </w:p>
    <w:p w:rsidR="00BB6B8D" w:rsidRPr="008E586D" w:rsidRDefault="00BB6B8D" w:rsidP="00926D14">
      <w:pPr>
        <w:suppressAutoHyphens/>
        <w:spacing w:line="266" w:lineRule="exact"/>
        <w:rPr>
          <w:rFonts w:eastAsia="Calibri"/>
          <w:sz w:val="22"/>
          <w:szCs w:val="22"/>
          <w:lang w:val="sr-Latn-ME" w:eastAsia="zh-CN"/>
        </w:rPr>
      </w:pPr>
    </w:p>
    <w:p w:rsidR="00CE56C4" w:rsidRPr="008E586D" w:rsidRDefault="00CE56C4" w:rsidP="00926D14">
      <w:pPr>
        <w:keepNext/>
        <w:keepLines/>
        <w:jc w:val="both"/>
        <w:outlineLvl w:val="0"/>
        <w:rPr>
          <w:rFonts w:eastAsiaTheme="majorEastAsia"/>
          <w:sz w:val="22"/>
          <w:szCs w:val="22"/>
          <w:u w:val="single"/>
          <w:lang w:val="sr-Latn-ME"/>
        </w:rPr>
      </w:pPr>
      <w:r w:rsidRPr="008E586D">
        <w:rPr>
          <w:rFonts w:eastAsiaTheme="majorEastAsia"/>
          <w:sz w:val="22"/>
          <w:szCs w:val="22"/>
          <w:u w:val="single"/>
          <w:lang w:val="sr-Latn-ME"/>
        </w:rPr>
        <w:t>U kombinovanoj terapiji sa cetuksimabom</w:t>
      </w:r>
    </w:p>
    <w:p w:rsidR="00CE56C4" w:rsidRPr="008E586D" w:rsidRDefault="00CE56C4" w:rsidP="00926D14">
      <w:pPr>
        <w:suppressAutoHyphens/>
        <w:ind w:right="152"/>
        <w:jc w:val="both"/>
        <w:rPr>
          <w:rFonts w:eastAsia="Calibri"/>
          <w:sz w:val="22"/>
          <w:szCs w:val="22"/>
          <w:lang w:val="sr-Latn-ME" w:eastAsia="zh-CN"/>
        </w:rPr>
      </w:pPr>
      <w:r w:rsidRPr="008E586D">
        <w:rPr>
          <w:rFonts w:eastAsia="Calibri"/>
          <w:sz w:val="22"/>
          <w:szCs w:val="22"/>
          <w:lang w:val="sr-Latn-ME" w:eastAsia="zh-CN"/>
        </w:rPr>
        <w:t xml:space="preserve">EMR 62 202-013: U ovoj randomizovanoj studiji kod pacijenata sa metastatskim kolorektalnim karcinomom koji nisu prethodno primali terapiju za metastatsku bolest uporediva je kombinacija cetuksimaba i irinotekana plus infuzija 5-fluorouracila/folinske kiseline (5FU/FA) (599 pacijenata) sa primjenom samo hemoterapije (599 pacijenata). </w:t>
      </w:r>
      <w:r w:rsidRPr="008E586D">
        <w:rPr>
          <w:rFonts w:eastAsia="Calibri"/>
          <w:spacing w:val="-3"/>
          <w:sz w:val="22"/>
          <w:szCs w:val="22"/>
          <w:lang w:val="sr-Latn-ME" w:eastAsia="zh-CN"/>
        </w:rPr>
        <w:t xml:space="preserve">Odnos </w:t>
      </w:r>
      <w:r w:rsidRPr="008E586D">
        <w:rPr>
          <w:rFonts w:eastAsia="Calibri"/>
          <w:sz w:val="22"/>
          <w:szCs w:val="22"/>
          <w:lang w:val="sr-Latn-ME" w:eastAsia="zh-CN"/>
        </w:rPr>
        <w:t xml:space="preserve">pacijenata sa </w:t>
      </w:r>
      <w:r w:rsidRPr="008E586D">
        <w:rPr>
          <w:rFonts w:eastAsia="Calibri"/>
          <w:i/>
          <w:sz w:val="22"/>
          <w:szCs w:val="22"/>
          <w:lang w:val="sr-Latn-ME" w:eastAsia="zh-CN"/>
        </w:rPr>
        <w:t xml:space="preserve">KRAS wild </w:t>
      </w:r>
      <w:r w:rsidRPr="008E586D">
        <w:rPr>
          <w:rFonts w:eastAsia="Calibri"/>
          <w:sz w:val="22"/>
          <w:szCs w:val="22"/>
          <w:lang w:val="sr-Latn-ME" w:eastAsia="zh-CN"/>
        </w:rPr>
        <w:t xml:space="preserve">tipom tumora i </w:t>
      </w:r>
      <w:r w:rsidRPr="008E586D">
        <w:rPr>
          <w:rFonts w:eastAsia="Calibri"/>
          <w:spacing w:val="-3"/>
          <w:sz w:val="22"/>
          <w:szCs w:val="22"/>
          <w:lang w:val="sr-Latn-ME" w:eastAsia="zh-CN"/>
        </w:rPr>
        <w:t xml:space="preserve">onih </w:t>
      </w:r>
      <w:r w:rsidRPr="008E586D">
        <w:rPr>
          <w:rFonts w:eastAsia="Calibri"/>
          <w:sz w:val="22"/>
          <w:szCs w:val="22"/>
          <w:lang w:val="sr-Latn-ME" w:eastAsia="zh-CN"/>
        </w:rPr>
        <w:t xml:space="preserve">kod kojih </w:t>
      </w:r>
      <w:r w:rsidRPr="008E586D">
        <w:rPr>
          <w:rFonts w:eastAsia="Calibri"/>
          <w:spacing w:val="2"/>
          <w:sz w:val="22"/>
          <w:szCs w:val="22"/>
          <w:lang w:val="sr-Latn-ME" w:eastAsia="zh-CN"/>
        </w:rPr>
        <w:t xml:space="preserve">se </w:t>
      </w:r>
      <w:r w:rsidRPr="008E586D">
        <w:rPr>
          <w:rFonts w:eastAsia="Calibri"/>
          <w:sz w:val="22"/>
          <w:szCs w:val="22"/>
          <w:lang w:val="sr-Latn-ME" w:eastAsia="zh-CN"/>
        </w:rPr>
        <w:t xml:space="preserve">mogao procijeniti </w:t>
      </w:r>
      <w:r w:rsidRPr="008E586D">
        <w:rPr>
          <w:rFonts w:eastAsia="Calibri"/>
          <w:i/>
          <w:sz w:val="22"/>
          <w:szCs w:val="22"/>
          <w:lang w:val="sr-Latn-ME" w:eastAsia="zh-CN"/>
        </w:rPr>
        <w:t xml:space="preserve">KRAS </w:t>
      </w:r>
      <w:r w:rsidRPr="008E586D">
        <w:rPr>
          <w:rFonts w:eastAsia="Calibri"/>
          <w:sz w:val="22"/>
          <w:szCs w:val="22"/>
          <w:lang w:val="sr-Latn-ME" w:eastAsia="zh-CN"/>
        </w:rPr>
        <w:t>status je bio</w:t>
      </w:r>
      <w:r w:rsidRPr="008E586D">
        <w:rPr>
          <w:rFonts w:eastAsia="Calibri"/>
          <w:spacing w:val="-2"/>
          <w:sz w:val="22"/>
          <w:szCs w:val="22"/>
          <w:lang w:val="sr-Latn-ME" w:eastAsia="zh-CN"/>
        </w:rPr>
        <w:t xml:space="preserve"> </w:t>
      </w:r>
      <w:r w:rsidRPr="008E586D">
        <w:rPr>
          <w:rFonts w:eastAsia="Calibri"/>
          <w:sz w:val="22"/>
          <w:szCs w:val="22"/>
          <w:lang w:val="sr-Latn-ME" w:eastAsia="zh-CN"/>
        </w:rPr>
        <w:t>64%.</w:t>
      </w:r>
    </w:p>
    <w:p w:rsidR="00406863" w:rsidRPr="008E586D" w:rsidRDefault="00406863" w:rsidP="00926D14">
      <w:pPr>
        <w:suppressAutoHyphens/>
        <w:ind w:right="152"/>
        <w:jc w:val="both"/>
        <w:rPr>
          <w:rFonts w:eastAsia="Calibri"/>
          <w:sz w:val="22"/>
          <w:szCs w:val="22"/>
          <w:lang w:val="sr-Latn-ME" w:eastAsia="zh-CN"/>
        </w:rPr>
      </w:pPr>
    </w:p>
    <w:p w:rsidR="00C729E0" w:rsidRDefault="00C729E0" w:rsidP="00CE56C4">
      <w:pPr>
        <w:suppressAutoHyphens/>
        <w:spacing w:before="1" w:after="140" w:line="288" w:lineRule="auto"/>
        <w:jc w:val="both"/>
        <w:rPr>
          <w:rFonts w:eastAsia="Calibri"/>
          <w:sz w:val="22"/>
          <w:szCs w:val="22"/>
          <w:lang w:val="sr-Latn-ME" w:eastAsia="zh-CN"/>
        </w:rPr>
      </w:pPr>
    </w:p>
    <w:p w:rsidR="00C729E0" w:rsidRDefault="00C729E0" w:rsidP="00CE56C4">
      <w:pPr>
        <w:suppressAutoHyphens/>
        <w:spacing w:before="1" w:after="140" w:line="288" w:lineRule="auto"/>
        <w:jc w:val="both"/>
        <w:rPr>
          <w:rFonts w:eastAsia="Calibri"/>
          <w:sz w:val="22"/>
          <w:szCs w:val="22"/>
          <w:lang w:val="sr-Latn-ME" w:eastAsia="zh-CN"/>
        </w:rPr>
      </w:pPr>
    </w:p>
    <w:p w:rsidR="00C729E0" w:rsidRPr="008E586D" w:rsidRDefault="00CE56C4" w:rsidP="00CE56C4">
      <w:pPr>
        <w:suppressAutoHyphens/>
        <w:spacing w:before="1" w:after="140" w:line="288" w:lineRule="auto"/>
        <w:jc w:val="both"/>
        <w:rPr>
          <w:rFonts w:eastAsia="Calibri"/>
          <w:sz w:val="22"/>
          <w:szCs w:val="22"/>
          <w:lang w:val="sr-Latn-ME" w:eastAsia="zh-CN"/>
        </w:rPr>
      </w:pPr>
      <w:r w:rsidRPr="008E586D">
        <w:rPr>
          <w:rFonts w:eastAsia="Calibri"/>
          <w:sz w:val="22"/>
          <w:szCs w:val="22"/>
          <w:lang w:val="sr-Latn-ME" w:eastAsia="zh-CN"/>
        </w:rPr>
        <w:lastRenderedPageBreak/>
        <w:t xml:space="preserve">Podaci o efikasnosti iz ove studije su prikazani u </w:t>
      </w:r>
      <w:r w:rsidR="00F3602A" w:rsidRPr="008E586D">
        <w:rPr>
          <w:rFonts w:eastAsia="Calibri"/>
          <w:sz w:val="22"/>
          <w:szCs w:val="22"/>
          <w:lang w:val="sr-Latn-ME" w:eastAsia="zh-CN"/>
        </w:rPr>
        <w:t>sljede</w:t>
      </w:r>
      <w:r w:rsidRPr="008E586D">
        <w:rPr>
          <w:rFonts w:eastAsia="Calibri"/>
          <w:sz w:val="22"/>
          <w:szCs w:val="22"/>
          <w:lang w:val="sr-Latn-ME" w:eastAsia="zh-CN"/>
        </w:rPr>
        <w:t>ćoj tabeli:</w:t>
      </w:r>
    </w:p>
    <w:tbl>
      <w:tblPr>
        <w:tblW w:w="9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2"/>
        <w:gridCol w:w="1795"/>
        <w:gridCol w:w="1699"/>
        <w:gridCol w:w="1843"/>
        <w:gridCol w:w="1694"/>
      </w:tblGrid>
      <w:tr w:rsidR="00CE56C4" w:rsidRPr="008E586D" w:rsidTr="00926D14">
        <w:trPr>
          <w:trHeight w:val="249"/>
        </w:trPr>
        <w:tc>
          <w:tcPr>
            <w:tcW w:w="1992" w:type="dxa"/>
          </w:tcPr>
          <w:p w:rsidR="00CE56C4" w:rsidRPr="008E586D" w:rsidRDefault="00CE56C4" w:rsidP="00043878">
            <w:pPr>
              <w:pStyle w:val="TableParagraph"/>
              <w:ind w:left="0"/>
              <w:rPr>
                <w:sz w:val="18"/>
                <w:lang w:val="sr-Latn-ME"/>
              </w:rPr>
            </w:pPr>
          </w:p>
        </w:tc>
        <w:tc>
          <w:tcPr>
            <w:tcW w:w="3494" w:type="dxa"/>
            <w:gridSpan w:val="2"/>
          </w:tcPr>
          <w:p w:rsidR="00CE56C4" w:rsidRPr="008E586D" w:rsidRDefault="00CE56C4" w:rsidP="00043878">
            <w:pPr>
              <w:pStyle w:val="TableParagraph"/>
              <w:spacing w:line="229" w:lineRule="exact"/>
              <w:ind w:left="844"/>
              <w:rPr>
                <w:b/>
                <w:lang w:val="sr-Latn-ME"/>
              </w:rPr>
            </w:pPr>
            <w:r w:rsidRPr="008E586D">
              <w:rPr>
                <w:b/>
                <w:lang w:val="sr-Latn-ME"/>
              </w:rPr>
              <w:t>Ukupna populacija</w:t>
            </w:r>
          </w:p>
        </w:tc>
        <w:tc>
          <w:tcPr>
            <w:tcW w:w="3537" w:type="dxa"/>
            <w:gridSpan w:val="2"/>
          </w:tcPr>
          <w:p w:rsidR="00CE56C4" w:rsidRPr="008E586D" w:rsidRDefault="00CE56C4" w:rsidP="00043878">
            <w:pPr>
              <w:pStyle w:val="TableParagraph"/>
              <w:spacing w:line="229" w:lineRule="exact"/>
              <w:ind w:left="748"/>
              <w:rPr>
                <w:b/>
                <w:lang w:val="sr-Latn-ME"/>
              </w:rPr>
            </w:pPr>
            <w:r w:rsidRPr="008E586D">
              <w:rPr>
                <w:b/>
                <w:i/>
                <w:lang w:val="sr-Latn-ME"/>
              </w:rPr>
              <w:t xml:space="preserve">KRAS wild </w:t>
            </w:r>
            <w:r w:rsidRPr="008E586D">
              <w:rPr>
                <w:b/>
                <w:lang w:val="sr-Latn-ME"/>
              </w:rPr>
              <w:t>populacija</w:t>
            </w:r>
          </w:p>
        </w:tc>
      </w:tr>
      <w:tr w:rsidR="00CE56C4" w:rsidRPr="008E586D" w:rsidTr="00926D14">
        <w:trPr>
          <w:trHeight w:val="762"/>
        </w:trPr>
        <w:tc>
          <w:tcPr>
            <w:tcW w:w="1992" w:type="dxa"/>
          </w:tcPr>
          <w:p w:rsidR="00CE56C4" w:rsidRPr="008E586D" w:rsidRDefault="00CE56C4" w:rsidP="00043878">
            <w:pPr>
              <w:pStyle w:val="TableParagraph"/>
              <w:spacing w:before="127" w:line="237" w:lineRule="auto"/>
              <w:ind w:left="571" w:hanging="48"/>
              <w:rPr>
                <w:b/>
                <w:lang w:val="sr-Latn-ME"/>
              </w:rPr>
            </w:pPr>
            <w:r w:rsidRPr="008E586D">
              <w:rPr>
                <w:b/>
                <w:lang w:val="sr-Latn-ME"/>
              </w:rPr>
              <w:t>Varijable/ statistika</w:t>
            </w:r>
          </w:p>
        </w:tc>
        <w:tc>
          <w:tcPr>
            <w:tcW w:w="1795" w:type="dxa"/>
          </w:tcPr>
          <w:p w:rsidR="00CE56C4" w:rsidRPr="008E586D" w:rsidRDefault="00CE56C4" w:rsidP="00043878">
            <w:pPr>
              <w:pStyle w:val="TableParagraph"/>
              <w:spacing w:line="242" w:lineRule="auto"/>
              <w:ind w:left="215" w:right="210" w:firstLine="10"/>
              <w:jc w:val="center"/>
              <w:rPr>
                <w:b/>
                <w:lang w:val="sr-Latn-ME"/>
              </w:rPr>
            </w:pPr>
            <w:r w:rsidRPr="008E586D">
              <w:rPr>
                <w:b/>
                <w:lang w:val="sr-Latn-ME"/>
              </w:rPr>
              <w:t xml:space="preserve">Cetuksimab plus </w:t>
            </w:r>
            <w:r w:rsidRPr="008E586D">
              <w:rPr>
                <w:b/>
                <w:spacing w:val="-4"/>
                <w:lang w:val="sr-Latn-ME"/>
              </w:rPr>
              <w:t>FOLFIRI</w:t>
            </w:r>
          </w:p>
          <w:p w:rsidR="00CE56C4" w:rsidRPr="008E586D" w:rsidRDefault="00CE56C4" w:rsidP="00043878">
            <w:pPr>
              <w:pStyle w:val="TableParagraph"/>
              <w:spacing w:line="236" w:lineRule="exact"/>
              <w:ind w:left="497" w:right="487"/>
              <w:jc w:val="center"/>
              <w:rPr>
                <w:b/>
                <w:lang w:val="sr-Latn-ME"/>
              </w:rPr>
            </w:pPr>
            <w:r w:rsidRPr="008E586D">
              <w:rPr>
                <w:b/>
                <w:lang w:val="sr-Latn-ME"/>
              </w:rPr>
              <w:t>(N=599)</w:t>
            </w:r>
          </w:p>
        </w:tc>
        <w:tc>
          <w:tcPr>
            <w:tcW w:w="1699" w:type="dxa"/>
          </w:tcPr>
          <w:p w:rsidR="00CE56C4" w:rsidRPr="008E586D" w:rsidRDefault="00CE56C4" w:rsidP="00043878">
            <w:pPr>
              <w:pStyle w:val="TableParagraph"/>
              <w:spacing w:line="249" w:lineRule="exact"/>
              <w:ind w:left="388"/>
              <w:rPr>
                <w:b/>
                <w:lang w:val="sr-Latn-ME"/>
              </w:rPr>
            </w:pPr>
            <w:r w:rsidRPr="008E586D">
              <w:rPr>
                <w:b/>
                <w:lang w:val="sr-Latn-ME"/>
              </w:rPr>
              <w:t>FOLFIRI</w:t>
            </w:r>
          </w:p>
          <w:p w:rsidR="00CE56C4" w:rsidRPr="008E586D" w:rsidRDefault="00CE56C4" w:rsidP="00043878">
            <w:pPr>
              <w:pStyle w:val="TableParagraph"/>
              <w:spacing w:before="2"/>
              <w:ind w:left="0"/>
              <w:rPr>
                <w:lang w:val="sr-Latn-ME"/>
              </w:rPr>
            </w:pPr>
          </w:p>
          <w:p w:rsidR="00CE56C4" w:rsidRPr="008E586D" w:rsidRDefault="00CE56C4" w:rsidP="00043878">
            <w:pPr>
              <w:pStyle w:val="TableParagraph"/>
              <w:spacing w:before="1" w:line="238" w:lineRule="exact"/>
              <w:ind w:left="465"/>
              <w:rPr>
                <w:b/>
                <w:lang w:val="sr-Latn-ME"/>
              </w:rPr>
            </w:pPr>
            <w:r w:rsidRPr="008E586D">
              <w:rPr>
                <w:b/>
                <w:lang w:val="sr-Latn-ME"/>
              </w:rPr>
              <w:t>(N=599)</w:t>
            </w:r>
          </w:p>
        </w:tc>
        <w:tc>
          <w:tcPr>
            <w:tcW w:w="1843" w:type="dxa"/>
          </w:tcPr>
          <w:p w:rsidR="00CE56C4" w:rsidRPr="008E586D" w:rsidRDefault="00CE56C4" w:rsidP="00043878">
            <w:pPr>
              <w:pStyle w:val="TableParagraph"/>
              <w:spacing w:line="242" w:lineRule="auto"/>
              <w:ind w:left="113" w:right="96"/>
              <w:jc w:val="center"/>
              <w:rPr>
                <w:b/>
                <w:lang w:val="sr-Latn-ME"/>
              </w:rPr>
            </w:pPr>
            <w:r w:rsidRPr="008E586D">
              <w:rPr>
                <w:b/>
                <w:lang w:val="sr-Latn-ME"/>
              </w:rPr>
              <w:t>Cetuksimab plus FOLFIRI</w:t>
            </w:r>
          </w:p>
          <w:p w:rsidR="00CE56C4" w:rsidRPr="008E586D" w:rsidRDefault="00CE56C4" w:rsidP="00043878">
            <w:pPr>
              <w:pStyle w:val="TableParagraph"/>
              <w:spacing w:line="236" w:lineRule="exact"/>
              <w:ind w:left="107" w:right="96"/>
              <w:jc w:val="center"/>
              <w:rPr>
                <w:b/>
                <w:lang w:val="sr-Latn-ME"/>
              </w:rPr>
            </w:pPr>
            <w:r w:rsidRPr="008E586D">
              <w:rPr>
                <w:b/>
                <w:lang w:val="sr-Latn-ME"/>
              </w:rPr>
              <w:t>(N=172)</w:t>
            </w:r>
          </w:p>
        </w:tc>
        <w:tc>
          <w:tcPr>
            <w:tcW w:w="1694" w:type="dxa"/>
          </w:tcPr>
          <w:p w:rsidR="00CE56C4" w:rsidRPr="008E586D" w:rsidRDefault="00CE56C4" w:rsidP="00043878">
            <w:pPr>
              <w:pStyle w:val="TableParagraph"/>
              <w:spacing w:line="249" w:lineRule="exact"/>
              <w:ind w:left="389"/>
              <w:rPr>
                <w:b/>
                <w:lang w:val="sr-Latn-ME"/>
              </w:rPr>
            </w:pPr>
            <w:r w:rsidRPr="008E586D">
              <w:rPr>
                <w:b/>
                <w:lang w:val="sr-Latn-ME"/>
              </w:rPr>
              <w:t>FOLFIRI</w:t>
            </w:r>
          </w:p>
          <w:p w:rsidR="00CE56C4" w:rsidRPr="008E586D" w:rsidRDefault="00CE56C4" w:rsidP="00043878">
            <w:pPr>
              <w:pStyle w:val="TableParagraph"/>
              <w:spacing w:before="2"/>
              <w:ind w:left="0"/>
              <w:rPr>
                <w:lang w:val="sr-Latn-ME"/>
              </w:rPr>
            </w:pPr>
          </w:p>
          <w:p w:rsidR="00CE56C4" w:rsidRPr="008E586D" w:rsidRDefault="00CE56C4" w:rsidP="00043878">
            <w:pPr>
              <w:pStyle w:val="TableParagraph"/>
              <w:spacing w:before="1" w:line="238" w:lineRule="exact"/>
              <w:ind w:left="470"/>
              <w:rPr>
                <w:b/>
                <w:lang w:val="sr-Latn-ME"/>
              </w:rPr>
            </w:pPr>
            <w:r w:rsidRPr="008E586D">
              <w:rPr>
                <w:b/>
                <w:lang w:val="sr-Latn-ME"/>
              </w:rPr>
              <w:t>(N=176)</w:t>
            </w:r>
          </w:p>
        </w:tc>
      </w:tr>
      <w:tr w:rsidR="00CE56C4" w:rsidRPr="008E586D" w:rsidTr="00926D14">
        <w:trPr>
          <w:trHeight w:val="249"/>
        </w:trPr>
        <w:tc>
          <w:tcPr>
            <w:tcW w:w="1992" w:type="dxa"/>
          </w:tcPr>
          <w:p w:rsidR="00CE56C4" w:rsidRPr="008E586D" w:rsidRDefault="00CE56C4" w:rsidP="00043878">
            <w:pPr>
              <w:pStyle w:val="TableParagraph"/>
              <w:spacing w:line="229" w:lineRule="exact"/>
              <w:rPr>
                <w:b/>
                <w:lang w:val="sr-Latn-ME"/>
              </w:rPr>
            </w:pPr>
            <w:r w:rsidRPr="008E586D">
              <w:rPr>
                <w:b/>
                <w:lang w:val="sr-Latn-ME"/>
              </w:rPr>
              <w:t>ORR</w:t>
            </w:r>
          </w:p>
        </w:tc>
        <w:tc>
          <w:tcPr>
            <w:tcW w:w="1795" w:type="dxa"/>
          </w:tcPr>
          <w:p w:rsidR="00CE56C4" w:rsidRPr="008E586D" w:rsidRDefault="00CE56C4" w:rsidP="00043878">
            <w:pPr>
              <w:pStyle w:val="TableParagraph"/>
              <w:ind w:left="0"/>
              <w:rPr>
                <w:sz w:val="18"/>
                <w:lang w:val="sr-Latn-ME"/>
              </w:rPr>
            </w:pPr>
          </w:p>
        </w:tc>
        <w:tc>
          <w:tcPr>
            <w:tcW w:w="1699" w:type="dxa"/>
          </w:tcPr>
          <w:p w:rsidR="00CE56C4" w:rsidRPr="008E586D" w:rsidRDefault="00CE56C4" w:rsidP="00043878">
            <w:pPr>
              <w:pStyle w:val="TableParagraph"/>
              <w:ind w:left="0"/>
              <w:rPr>
                <w:sz w:val="18"/>
                <w:lang w:val="sr-Latn-ME"/>
              </w:rPr>
            </w:pPr>
          </w:p>
        </w:tc>
        <w:tc>
          <w:tcPr>
            <w:tcW w:w="1843" w:type="dxa"/>
          </w:tcPr>
          <w:p w:rsidR="00CE56C4" w:rsidRPr="008E586D" w:rsidRDefault="00CE56C4" w:rsidP="00043878">
            <w:pPr>
              <w:pStyle w:val="TableParagraph"/>
              <w:ind w:left="0"/>
              <w:rPr>
                <w:sz w:val="18"/>
                <w:lang w:val="sr-Latn-ME"/>
              </w:rPr>
            </w:pPr>
          </w:p>
        </w:tc>
        <w:tc>
          <w:tcPr>
            <w:tcW w:w="1694" w:type="dxa"/>
          </w:tcPr>
          <w:p w:rsidR="00CE56C4" w:rsidRPr="008E586D" w:rsidRDefault="00CE56C4" w:rsidP="00043878">
            <w:pPr>
              <w:pStyle w:val="TableParagraph"/>
              <w:ind w:left="0"/>
              <w:rPr>
                <w:sz w:val="18"/>
                <w:lang w:val="sr-Latn-ME"/>
              </w:rPr>
            </w:pPr>
          </w:p>
        </w:tc>
      </w:tr>
      <w:tr w:rsidR="00CE56C4" w:rsidRPr="008E586D" w:rsidTr="00926D14">
        <w:trPr>
          <w:trHeight w:val="253"/>
        </w:trPr>
        <w:tc>
          <w:tcPr>
            <w:tcW w:w="1992" w:type="dxa"/>
          </w:tcPr>
          <w:p w:rsidR="00CE56C4" w:rsidRPr="008E586D" w:rsidRDefault="00CE56C4" w:rsidP="00043878">
            <w:pPr>
              <w:pStyle w:val="TableParagraph"/>
              <w:spacing w:line="234" w:lineRule="exact"/>
              <w:rPr>
                <w:lang w:val="sr-Latn-ME"/>
              </w:rPr>
            </w:pPr>
            <w:r w:rsidRPr="008E586D">
              <w:rPr>
                <w:lang w:val="sr-Latn-ME"/>
              </w:rPr>
              <w:t>% (95 % CI)</w:t>
            </w:r>
          </w:p>
        </w:tc>
        <w:tc>
          <w:tcPr>
            <w:tcW w:w="1795" w:type="dxa"/>
          </w:tcPr>
          <w:p w:rsidR="00CE56C4" w:rsidRPr="008E586D" w:rsidRDefault="00CE56C4" w:rsidP="00043878">
            <w:pPr>
              <w:pStyle w:val="TableParagraph"/>
              <w:spacing w:line="234" w:lineRule="exact"/>
              <w:ind w:left="163"/>
              <w:rPr>
                <w:lang w:val="sr-Latn-ME"/>
              </w:rPr>
            </w:pPr>
            <w:r w:rsidRPr="008E586D">
              <w:rPr>
                <w:lang w:val="sr-Latn-ME"/>
              </w:rPr>
              <w:t>46.9 (42.9; 51.0)</w:t>
            </w:r>
          </w:p>
        </w:tc>
        <w:tc>
          <w:tcPr>
            <w:tcW w:w="1699" w:type="dxa"/>
          </w:tcPr>
          <w:p w:rsidR="00CE56C4" w:rsidRPr="008E586D" w:rsidRDefault="00CE56C4" w:rsidP="00043878">
            <w:pPr>
              <w:pStyle w:val="TableParagraph"/>
              <w:spacing w:line="234" w:lineRule="exact"/>
              <w:rPr>
                <w:lang w:val="sr-Latn-ME"/>
              </w:rPr>
            </w:pPr>
            <w:r w:rsidRPr="008E586D">
              <w:rPr>
                <w:lang w:val="sr-Latn-ME"/>
              </w:rPr>
              <w:t>38.7 (34.8; 42.8)</w:t>
            </w:r>
          </w:p>
        </w:tc>
        <w:tc>
          <w:tcPr>
            <w:tcW w:w="1843" w:type="dxa"/>
          </w:tcPr>
          <w:p w:rsidR="00CE56C4" w:rsidRPr="008E586D" w:rsidRDefault="00CE56C4" w:rsidP="00043878">
            <w:pPr>
              <w:pStyle w:val="TableParagraph"/>
              <w:spacing w:line="234" w:lineRule="exact"/>
              <w:ind w:left="187"/>
              <w:rPr>
                <w:lang w:val="sr-Latn-ME"/>
              </w:rPr>
            </w:pPr>
            <w:r w:rsidRPr="008E586D">
              <w:rPr>
                <w:lang w:val="sr-Latn-ME"/>
              </w:rPr>
              <w:t>59.3 (51.6; 66.7)</w:t>
            </w:r>
          </w:p>
        </w:tc>
        <w:tc>
          <w:tcPr>
            <w:tcW w:w="1694" w:type="dxa"/>
          </w:tcPr>
          <w:p w:rsidR="00CE56C4" w:rsidRPr="008E586D" w:rsidRDefault="00CE56C4" w:rsidP="00043878">
            <w:pPr>
              <w:pStyle w:val="TableParagraph"/>
              <w:spacing w:line="234" w:lineRule="exact"/>
              <w:rPr>
                <w:lang w:val="sr-Latn-ME"/>
              </w:rPr>
            </w:pPr>
            <w:r w:rsidRPr="008E586D">
              <w:rPr>
                <w:lang w:val="sr-Latn-ME"/>
              </w:rPr>
              <w:t>43.2 (35.8; 50.9)</w:t>
            </w:r>
          </w:p>
        </w:tc>
      </w:tr>
      <w:tr w:rsidR="00CE56C4" w:rsidRPr="008E586D" w:rsidTr="00926D14">
        <w:trPr>
          <w:trHeight w:val="253"/>
        </w:trPr>
        <w:tc>
          <w:tcPr>
            <w:tcW w:w="1992" w:type="dxa"/>
          </w:tcPr>
          <w:p w:rsidR="00CE56C4" w:rsidRPr="008E586D" w:rsidRDefault="00CE56C4" w:rsidP="00043878">
            <w:pPr>
              <w:pStyle w:val="TableParagraph"/>
              <w:spacing w:line="234" w:lineRule="exact"/>
              <w:rPr>
                <w:lang w:val="sr-Latn-ME"/>
              </w:rPr>
            </w:pPr>
            <w:r w:rsidRPr="008E586D">
              <w:rPr>
                <w:lang w:val="sr-Latn-ME"/>
              </w:rPr>
              <w:t>p-vr</w:t>
            </w:r>
            <w:r w:rsidR="00F3610A" w:rsidRPr="008E586D">
              <w:rPr>
                <w:lang w:val="sr-Latn-ME"/>
              </w:rPr>
              <w:t>ij</w:t>
            </w:r>
            <w:r w:rsidRPr="008E586D">
              <w:rPr>
                <w:lang w:val="sr-Latn-ME"/>
              </w:rPr>
              <w:t>ednost</w:t>
            </w:r>
          </w:p>
        </w:tc>
        <w:tc>
          <w:tcPr>
            <w:tcW w:w="3494" w:type="dxa"/>
            <w:gridSpan w:val="2"/>
          </w:tcPr>
          <w:p w:rsidR="00CE56C4" w:rsidRPr="008E586D" w:rsidRDefault="00CE56C4" w:rsidP="00043878">
            <w:pPr>
              <w:pStyle w:val="TableParagraph"/>
              <w:spacing w:line="234" w:lineRule="exact"/>
              <w:ind w:left="1427" w:right="1412"/>
              <w:jc w:val="center"/>
              <w:rPr>
                <w:lang w:val="sr-Latn-ME"/>
              </w:rPr>
            </w:pPr>
            <w:r w:rsidRPr="008E586D">
              <w:rPr>
                <w:lang w:val="sr-Latn-ME"/>
              </w:rPr>
              <w:t>0.0038</w:t>
            </w:r>
          </w:p>
        </w:tc>
        <w:tc>
          <w:tcPr>
            <w:tcW w:w="3537" w:type="dxa"/>
            <w:gridSpan w:val="2"/>
          </w:tcPr>
          <w:p w:rsidR="00CE56C4" w:rsidRPr="008E586D" w:rsidRDefault="00CE56C4" w:rsidP="00043878">
            <w:pPr>
              <w:pStyle w:val="TableParagraph"/>
              <w:spacing w:line="234" w:lineRule="exact"/>
              <w:ind w:left="1450" w:right="1430"/>
              <w:jc w:val="center"/>
              <w:rPr>
                <w:lang w:val="sr-Latn-ME"/>
              </w:rPr>
            </w:pPr>
            <w:r w:rsidRPr="008E586D">
              <w:rPr>
                <w:lang w:val="sr-Latn-ME"/>
              </w:rPr>
              <w:t>0.0025</w:t>
            </w:r>
          </w:p>
        </w:tc>
      </w:tr>
      <w:tr w:rsidR="00CE56C4" w:rsidRPr="008E586D" w:rsidTr="00926D14">
        <w:trPr>
          <w:trHeight w:val="253"/>
        </w:trPr>
        <w:tc>
          <w:tcPr>
            <w:tcW w:w="1992" w:type="dxa"/>
          </w:tcPr>
          <w:p w:rsidR="00CE56C4" w:rsidRPr="008E586D" w:rsidRDefault="00CE56C4" w:rsidP="00043878">
            <w:pPr>
              <w:pStyle w:val="TableParagraph"/>
              <w:spacing w:line="234" w:lineRule="exact"/>
              <w:rPr>
                <w:b/>
                <w:lang w:val="sr-Latn-ME"/>
              </w:rPr>
            </w:pPr>
            <w:r w:rsidRPr="008E586D">
              <w:rPr>
                <w:b/>
                <w:lang w:val="sr-Latn-ME"/>
              </w:rPr>
              <w:t>PFS</w:t>
            </w:r>
          </w:p>
        </w:tc>
        <w:tc>
          <w:tcPr>
            <w:tcW w:w="3494" w:type="dxa"/>
            <w:gridSpan w:val="2"/>
          </w:tcPr>
          <w:p w:rsidR="00CE56C4" w:rsidRPr="008E586D" w:rsidRDefault="00CE56C4" w:rsidP="00043878">
            <w:pPr>
              <w:pStyle w:val="TableParagraph"/>
              <w:ind w:left="0"/>
              <w:rPr>
                <w:sz w:val="18"/>
                <w:lang w:val="sr-Latn-ME"/>
              </w:rPr>
            </w:pPr>
          </w:p>
        </w:tc>
        <w:tc>
          <w:tcPr>
            <w:tcW w:w="3537" w:type="dxa"/>
            <w:gridSpan w:val="2"/>
          </w:tcPr>
          <w:p w:rsidR="00CE56C4" w:rsidRPr="008E586D" w:rsidRDefault="00CE56C4" w:rsidP="00043878">
            <w:pPr>
              <w:pStyle w:val="TableParagraph"/>
              <w:ind w:left="0"/>
              <w:rPr>
                <w:sz w:val="18"/>
                <w:lang w:val="sr-Latn-ME"/>
              </w:rPr>
            </w:pPr>
          </w:p>
        </w:tc>
      </w:tr>
      <w:tr w:rsidR="00CE56C4" w:rsidRPr="008E586D" w:rsidTr="00926D14">
        <w:trPr>
          <w:trHeight w:val="503"/>
        </w:trPr>
        <w:tc>
          <w:tcPr>
            <w:tcW w:w="1992" w:type="dxa"/>
          </w:tcPr>
          <w:p w:rsidR="00CE56C4" w:rsidRPr="008E586D" w:rsidRDefault="00CE56C4" w:rsidP="00043878">
            <w:pPr>
              <w:pStyle w:val="TableParagraph"/>
              <w:spacing w:line="242" w:lineRule="exact"/>
              <w:rPr>
                <w:lang w:val="sr-Latn-ME"/>
              </w:rPr>
            </w:pPr>
            <w:r w:rsidRPr="008E586D">
              <w:rPr>
                <w:lang w:val="sr-Latn-ME"/>
              </w:rPr>
              <w:t>Odnos rizika (HR)</w:t>
            </w:r>
          </w:p>
          <w:p w:rsidR="00CE56C4" w:rsidRPr="008E586D" w:rsidRDefault="00CE56C4" w:rsidP="00043878">
            <w:pPr>
              <w:pStyle w:val="TableParagraph"/>
              <w:spacing w:line="241" w:lineRule="exact"/>
              <w:rPr>
                <w:lang w:val="sr-Latn-ME"/>
              </w:rPr>
            </w:pPr>
            <w:r w:rsidRPr="008E586D">
              <w:rPr>
                <w:lang w:val="sr-Latn-ME"/>
              </w:rPr>
              <w:t>(95 % CI)</w:t>
            </w:r>
          </w:p>
        </w:tc>
        <w:tc>
          <w:tcPr>
            <w:tcW w:w="3494" w:type="dxa"/>
            <w:gridSpan w:val="2"/>
          </w:tcPr>
          <w:p w:rsidR="00CE56C4" w:rsidRPr="008E586D" w:rsidRDefault="00CE56C4" w:rsidP="00043878">
            <w:pPr>
              <w:pStyle w:val="TableParagraph"/>
              <w:spacing w:before="116"/>
              <w:ind w:left="902"/>
              <w:rPr>
                <w:lang w:val="sr-Latn-ME"/>
              </w:rPr>
            </w:pPr>
            <w:r w:rsidRPr="008E586D">
              <w:rPr>
                <w:lang w:val="sr-Latn-ME"/>
              </w:rPr>
              <w:t>0.85 (0.726; 0.998)</w:t>
            </w:r>
          </w:p>
        </w:tc>
        <w:tc>
          <w:tcPr>
            <w:tcW w:w="3537" w:type="dxa"/>
            <w:gridSpan w:val="2"/>
          </w:tcPr>
          <w:p w:rsidR="00CE56C4" w:rsidRPr="008E586D" w:rsidRDefault="00CE56C4" w:rsidP="00043878">
            <w:pPr>
              <w:pStyle w:val="TableParagraph"/>
              <w:spacing w:before="116"/>
              <w:ind w:left="921"/>
              <w:rPr>
                <w:lang w:val="sr-Latn-ME"/>
              </w:rPr>
            </w:pPr>
            <w:r w:rsidRPr="008E586D">
              <w:rPr>
                <w:lang w:val="sr-Latn-ME"/>
              </w:rPr>
              <w:t>0.68 (0.501; 0.934)</w:t>
            </w:r>
          </w:p>
        </w:tc>
      </w:tr>
      <w:tr w:rsidR="00CE56C4" w:rsidRPr="008E586D" w:rsidTr="00926D14">
        <w:trPr>
          <w:trHeight w:val="273"/>
        </w:trPr>
        <w:tc>
          <w:tcPr>
            <w:tcW w:w="1992" w:type="dxa"/>
          </w:tcPr>
          <w:p w:rsidR="00CE56C4" w:rsidRPr="008E586D" w:rsidRDefault="00CE56C4" w:rsidP="00043878">
            <w:pPr>
              <w:pStyle w:val="TableParagraph"/>
              <w:spacing w:line="244" w:lineRule="exact"/>
              <w:rPr>
                <w:lang w:val="sr-Latn-ME"/>
              </w:rPr>
            </w:pPr>
            <w:r w:rsidRPr="008E586D">
              <w:rPr>
                <w:lang w:val="sr-Latn-ME"/>
              </w:rPr>
              <w:t>p-vr</w:t>
            </w:r>
            <w:r w:rsidR="00F3610A" w:rsidRPr="008E586D">
              <w:rPr>
                <w:lang w:val="sr-Latn-ME"/>
              </w:rPr>
              <w:t>ij</w:t>
            </w:r>
            <w:r w:rsidRPr="008E586D">
              <w:rPr>
                <w:lang w:val="sr-Latn-ME"/>
              </w:rPr>
              <w:t>ednost</w:t>
            </w:r>
          </w:p>
        </w:tc>
        <w:tc>
          <w:tcPr>
            <w:tcW w:w="3494" w:type="dxa"/>
            <w:gridSpan w:val="2"/>
          </w:tcPr>
          <w:p w:rsidR="00CE56C4" w:rsidRPr="008E586D" w:rsidRDefault="00CE56C4" w:rsidP="00043878">
            <w:pPr>
              <w:pStyle w:val="TableParagraph"/>
              <w:spacing w:before="1" w:line="252" w:lineRule="exact"/>
              <w:ind w:left="1427" w:right="1412"/>
              <w:jc w:val="center"/>
              <w:rPr>
                <w:lang w:val="sr-Latn-ME"/>
              </w:rPr>
            </w:pPr>
            <w:r w:rsidRPr="008E586D">
              <w:rPr>
                <w:lang w:val="sr-Latn-ME"/>
              </w:rPr>
              <w:t>0.0479</w:t>
            </w:r>
          </w:p>
        </w:tc>
        <w:tc>
          <w:tcPr>
            <w:tcW w:w="3537" w:type="dxa"/>
            <w:gridSpan w:val="2"/>
          </w:tcPr>
          <w:p w:rsidR="00CE56C4" w:rsidRPr="008E586D" w:rsidRDefault="00CE56C4" w:rsidP="00043878">
            <w:pPr>
              <w:pStyle w:val="TableParagraph"/>
              <w:spacing w:before="1" w:line="252" w:lineRule="exact"/>
              <w:ind w:left="1451" w:right="1430"/>
              <w:jc w:val="center"/>
              <w:rPr>
                <w:lang w:val="sr-Latn-ME"/>
              </w:rPr>
            </w:pPr>
            <w:r w:rsidRPr="008E586D">
              <w:rPr>
                <w:lang w:val="sr-Latn-ME"/>
              </w:rPr>
              <w:t>0.0167</w:t>
            </w:r>
          </w:p>
        </w:tc>
      </w:tr>
    </w:tbl>
    <w:p w:rsidR="00CE56C4" w:rsidRPr="008E586D" w:rsidRDefault="00CE56C4" w:rsidP="00CE56C4">
      <w:pPr>
        <w:spacing w:before="111"/>
        <w:ind w:left="152" w:right="151"/>
        <w:jc w:val="both"/>
        <w:rPr>
          <w:sz w:val="22"/>
          <w:szCs w:val="22"/>
          <w:lang w:val="sr-Latn-ME"/>
        </w:rPr>
      </w:pPr>
      <w:r w:rsidRPr="008E586D">
        <w:rPr>
          <w:sz w:val="22"/>
          <w:szCs w:val="22"/>
          <w:lang w:val="sr-Latn-ME"/>
        </w:rPr>
        <w:t xml:space="preserve">CI – interval pouzdanosti, FOLFIRI – irinotekan plus infuzija 5FU/FA, </w:t>
      </w:r>
      <w:r w:rsidRPr="008E586D">
        <w:rPr>
          <w:spacing w:val="-3"/>
          <w:sz w:val="22"/>
          <w:szCs w:val="22"/>
          <w:lang w:val="sr-Latn-ME"/>
        </w:rPr>
        <w:t xml:space="preserve">ORR </w:t>
      </w:r>
      <w:r w:rsidRPr="008E586D">
        <w:rPr>
          <w:sz w:val="22"/>
          <w:szCs w:val="22"/>
          <w:lang w:val="sr-Latn-ME"/>
        </w:rPr>
        <w:t xml:space="preserve">– stopa objektivnog odgovora (engl. </w:t>
      </w:r>
      <w:r w:rsidRPr="008E586D">
        <w:rPr>
          <w:i/>
          <w:sz w:val="22"/>
          <w:szCs w:val="22"/>
          <w:lang w:val="sr-Latn-ME"/>
        </w:rPr>
        <w:t>objective response rate</w:t>
      </w:r>
      <w:r w:rsidRPr="008E586D">
        <w:rPr>
          <w:sz w:val="22"/>
          <w:szCs w:val="22"/>
          <w:lang w:val="sr-Latn-ME"/>
        </w:rPr>
        <w:t>) (pacijenti sa potpunim ili d</w:t>
      </w:r>
      <w:r w:rsidR="00406863" w:rsidRPr="008E586D">
        <w:rPr>
          <w:sz w:val="22"/>
          <w:szCs w:val="22"/>
          <w:lang w:val="sr-Latn-ME"/>
        </w:rPr>
        <w:t>j</w:t>
      </w:r>
      <w:r w:rsidRPr="008E586D">
        <w:rPr>
          <w:sz w:val="22"/>
          <w:szCs w:val="22"/>
          <w:lang w:val="sr-Latn-ME"/>
        </w:rPr>
        <w:t xml:space="preserve">elimičnim terapijskim odgovorom), PFS –preživljavanje </w:t>
      </w:r>
      <w:r w:rsidRPr="008E586D">
        <w:rPr>
          <w:spacing w:val="-4"/>
          <w:sz w:val="22"/>
          <w:szCs w:val="22"/>
          <w:lang w:val="sr-Latn-ME"/>
        </w:rPr>
        <w:t xml:space="preserve">bez </w:t>
      </w:r>
      <w:r w:rsidRPr="008E586D">
        <w:rPr>
          <w:sz w:val="22"/>
          <w:szCs w:val="22"/>
          <w:lang w:val="sr-Latn-ME"/>
        </w:rPr>
        <w:t xml:space="preserve">progresije bolesti (engl. </w:t>
      </w:r>
      <w:r w:rsidRPr="008E586D">
        <w:rPr>
          <w:i/>
          <w:sz w:val="22"/>
          <w:szCs w:val="22"/>
          <w:lang w:val="sr-Latn-ME"/>
        </w:rPr>
        <w:t>progression-free</w:t>
      </w:r>
      <w:r w:rsidRPr="008E586D">
        <w:rPr>
          <w:i/>
          <w:spacing w:val="-3"/>
          <w:sz w:val="22"/>
          <w:szCs w:val="22"/>
          <w:lang w:val="sr-Latn-ME"/>
        </w:rPr>
        <w:t xml:space="preserve"> </w:t>
      </w:r>
      <w:r w:rsidRPr="008E586D">
        <w:rPr>
          <w:i/>
          <w:sz w:val="22"/>
          <w:szCs w:val="22"/>
          <w:lang w:val="sr-Latn-ME"/>
        </w:rPr>
        <w:t>survival</w:t>
      </w:r>
      <w:r w:rsidRPr="008E586D">
        <w:rPr>
          <w:sz w:val="22"/>
          <w:szCs w:val="22"/>
          <w:lang w:val="sr-Latn-ME"/>
        </w:rPr>
        <w:t>)</w:t>
      </w:r>
    </w:p>
    <w:p w:rsidR="00CE56C4" w:rsidRPr="008E586D" w:rsidRDefault="00CE56C4" w:rsidP="00CE56C4">
      <w:pPr>
        <w:spacing w:before="111"/>
        <w:ind w:left="152" w:right="151"/>
        <w:jc w:val="both"/>
        <w:rPr>
          <w:sz w:val="22"/>
          <w:szCs w:val="22"/>
          <w:lang w:val="sr-Latn-ME"/>
        </w:rPr>
      </w:pPr>
    </w:p>
    <w:p w:rsidR="00CE56C4" w:rsidRPr="008E586D" w:rsidRDefault="00CE56C4" w:rsidP="00CE56C4">
      <w:pPr>
        <w:keepNext/>
        <w:keepLines/>
        <w:spacing w:before="1"/>
        <w:jc w:val="both"/>
        <w:outlineLvl w:val="0"/>
        <w:rPr>
          <w:rFonts w:eastAsiaTheme="majorEastAsia"/>
          <w:b/>
          <w:sz w:val="22"/>
          <w:szCs w:val="22"/>
          <w:lang w:val="sr-Latn-ME"/>
        </w:rPr>
      </w:pPr>
      <w:r w:rsidRPr="008E586D">
        <w:rPr>
          <w:rFonts w:eastAsiaTheme="majorEastAsia"/>
          <w:b/>
          <w:sz w:val="22"/>
          <w:szCs w:val="22"/>
          <w:lang w:val="sr-Latn-ME"/>
        </w:rPr>
        <w:t>U kombinovanoj terapiji sa</w:t>
      </w:r>
      <w:r w:rsidRPr="008E586D">
        <w:rPr>
          <w:rFonts w:eastAsiaTheme="majorEastAsia"/>
          <w:b/>
          <w:spacing w:val="-13"/>
          <w:sz w:val="22"/>
          <w:szCs w:val="22"/>
          <w:lang w:val="sr-Latn-ME"/>
        </w:rPr>
        <w:t xml:space="preserve"> </w:t>
      </w:r>
      <w:r w:rsidRPr="008E586D">
        <w:rPr>
          <w:rFonts w:eastAsiaTheme="majorEastAsia"/>
          <w:b/>
          <w:sz w:val="22"/>
          <w:szCs w:val="22"/>
          <w:lang w:val="sr-Latn-ME"/>
        </w:rPr>
        <w:t>kapecitabinom</w:t>
      </w:r>
    </w:p>
    <w:p w:rsidR="00CE56C4" w:rsidRPr="008E586D" w:rsidRDefault="00CE56C4" w:rsidP="00CE56C4">
      <w:pPr>
        <w:tabs>
          <w:tab w:val="left" w:pos="540"/>
          <w:tab w:val="left" w:pos="569"/>
        </w:tabs>
        <w:rPr>
          <w:b/>
          <w:bCs/>
          <w:color w:val="FF0000"/>
          <w:sz w:val="22"/>
          <w:szCs w:val="22"/>
          <w:lang w:val="sr-Latn-ME"/>
        </w:rPr>
      </w:pPr>
    </w:p>
    <w:p w:rsidR="00CE56C4" w:rsidRPr="008E586D" w:rsidRDefault="00CE56C4" w:rsidP="00406863">
      <w:pPr>
        <w:suppressAutoHyphens/>
        <w:spacing w:before="65" w:after="140"/>
        <w:ind w:right="153"/>
        <w:jc w:val="both"/>
        <w:rPr>
          <w:rFonts w:eastAsia="Calibri"/>
          <w:sz w:val="22"/>
          <w:szCs w:val="22"/>
          <w:lang w:val="sr-Latn-ME" w:eastAsia="zh-CN"/>
        </w:rPr>
      </w:pPr>
      <w:r w:rsidRPr="008E586D">
        <w:rPr>
          <w:rFonts w:eastAsia="Calibri"/>
          <w:sz w:val="22"/>
          <w:szCs w:val="22"/>
          <w:lang w:val="sr-Latn-ME" w:eastAsia="zh-CN"/>
        </w:rPr>
        <w:t>Podaci iz randomizovane, kontrolisane studije faze III (CAIRO) podržavaju upotebu kapecitabina u početnoj dozi od 1000 mg/m</w:t>
      </w:r>
      <w:r w:rsidRPr="008E586D">
        <w:rPr>
          <w:rFonts w:eastAsia="Calibri"/>
          <w:sz w:val="22"/>
          <w:szCs w:val="22"/>
          <w:vertAlign w:val="superscript"/>
          <w:lang w:val="sr-Latn-ME" w:eastAsia="zh-CN"/>
        </w:rPr>
        <w:t>2</w:t>
      </w:r>
      <w:r w:rsidRPr="008E586D">
        <w:rPr>
          <w:rFonts w:eastAsia="Calibri"/>
          <w:sz w:val="22"/>
          <w:szCs w:val="22"/>
          <w:lang w:val="sr-Latn-ME" w:eastAsia="zh-CN"/>
        </w:rPr>
        <w:t xml:space="preserve"> tokom 2 nedjelje, svake 3 nedjelje, u kombinaciji sa irinotekanom u prvoj liniji terapije pacijenata sa metastatskim kolonorektalnim karcinomom. Osamsto dvadeset (820) pacijenata je randomizovano tako da prima sekvencijalnu terapiju (n=410) ili kombinovanu terapiju (n=410). Sekvencijalna terapija sastojala se od prve linije terapije sa kapecitabinom (1250 mg/m</w:t>
      </w:r>
      <w:r w:rsidRPr="008E586D">
        <w:rPr>
          <w:rFonts w:eastAsia="Calibri"/>
          <w:sz w:val="22"/>
          <w:szCs w:val="22"/>
          <w:vertAlign w:val="superscript"/>
          <w:lang w:val="sr-Latn-ME" w:eastAsia="zh-CN"/>
        </w:rPr>
        <w:t>2</w:t>
      </w:r>
      <w:r w:rsidRPr="008E586D">
        <w:rPr>
          <w:rFonts w:eastAsia="Calibri"/>
          <w:sz w:val="22"/>
          <w:szCs w:val="22"/>
          <w:lang w:val="sr-Latn-ME" w:eastAsia="zh-CN"/>
        </w:rPr>
        <w:t xml:space="preserve"> dva puta dnevno tokom 14 dana), druge linije terapije sa irinotekanom (350 mg/m</w:t>
      </w:r>
      <w:r w:rsidRPr="008E586D">
        <w:rPr>
          <w:rFonts w:eastAsia="Calibri"/>
          <w:sz w:val="22"/>
          <w:szCs w:val="22"/>
          <w:vertAlign w:val="superscript"/>
          <w:lang w:val="sr-Latn-ME" w:eastAsia="zh-CN"/>
        </w:rPr>
        <w:t>2</w:t>
      </w:r>
      <w:r w:rsidRPr="008E586D">
        <w:rPr>
          <w:rFonts w:eastAsia="Calibri"/>
          <w:sz w:val="22"/>
          <w:szCs w:val="22"/>
          <w:lang w:val="sr-Latn-ME" w:eastAsia="zh-CN"/>
        </w:rPr>
        <w:t xml:space="preserve"> prvog dana) i treće linije terapije sa kombinacijom kapecitabina (1000 mg/m</w:t>
      </w:r>
      <w:r w:rsidRPr="008E586D">
        <w:rPr>
          <w:rFonts w:eastAsia="Calibri"/>
          <w:sz w:val="22"/>
          <w:szCs w:val="22"/>
          <w:vertAlign w:val="superscript"/>
          <w:lang w:val="sr-Latn-ME" w:eastAsia="zh-CN"/>
        </w:rPr>
        <w:t>2</w:t>
      </w:r>
      <w:r w:rsidRPr="008E586D">
        <w:rPr>
          <w:rFonts w:eastAsia="Calibri"/>
          <w:sz w:val="22"/>
          <w:szCs w:val="22"/>
          <w:lang w:val="sr-Latn-ME" w:eastAsia="zh-CN"/>
        </w:rPr>
        <w:t xml:space="preserve"> dva puta dnevno tokom 14 dana) i oksaliplatina (130 mg/m</w:t>
      </w:r>
      <w:r w:rsidRPr="008E586D">
        <w:rPr>
          <w:rFonts w:eastAsia="Calibri"/>
          <w:sz w:val="22"/>
          <w:szCs w:val="22"/>
          <w:vertAlign w:val="superscript"/>
          <w:lang w:val="sr-Latn-ME" w:eastAsia="zh-CN"/>
        </w:rPr>
        <w:t>2</w:t>
      </w:r>
      <w:r w:rsidRPr="008E586D">
        <w:rPr>
          <w:rFonts w:eastAsia="Calibri"/>
          <w:sz w:val="22"/>
          <w:szCs w:val="22"/>
          <w:lang w:val="sr-Latn-ME" w:eastAsia="zh-CN"/>
        </w:rPr>
        <w:t xml:space="preserve"> prvog dana). Kombinovana terapija sastojala se od prve linije terapije sa kapecitabinom (1000 mg/m</w:t>
      </w:r>
      <w:r w:rsidRPr="008E586D">
        <w:rPr>
          <w:rFonts w:eastAsia="Calibri"/>
          <w:sz w:val="22"/>
          <w:szCs w:val="22"/>
          <w:vertAlign w:val="superscript"/>
          <w:lang w:val="sr-Latn-ME" w:eastAsia="zh-CN"/>
        </w:rPr>
        <w:t>2</w:t>
      </w:r>
      <w:r w:rsidRPr="008E586D">
        <w:rPr>
          <w:rFonts w:eastAsia="Calibri"/>
          <w:sz w:val="22"/>
          <w:szCs w:val="22"/>
          <w:lang w:val="sr-Latn-ME" w:eastAsia="zh-CN"/>
        </w:rPr>
        <w:t xml:space="preserve"> dva puta dnevno tokom 14 dana) u kombinaciji sa irinotekanom (250 mg/m</w:t>
      </w:r>
      <w:r w:rsidRPr="008E586D">
        <w:rPr>
          <w:rFonts w:eastAsia="Calibri"/>
          <w:sz w:val="22"/>
          <w:szCs w:val="22"/>
          <w:vertAlign w:val="superscript"/>
          <w:lang w:val="sr-Latn-ME" w:eastAsia="zh-CN"/>
        </w:rPr>
        <w:t>2</w:t>
      </w:r>
      <w:r w:rsidRPr="008E586D">
        <w:rPr>
          <w:rFonts w:eastAsia="Calibri"/>
          <w:sz w:val="22"/>
          <w:szCs w:val="22"/>
          <w:lang w:val="sr-Latn-ME" w:eastAsia="zh-CN"/>
        </w:rPr>
        <w:t xml:space="preserve"> prvog dana) (XELIRI) i druge linije terapije sa kapecitabinom (1000 mg/m</w:t>
      </w:r>
      <w:r w:rsidRPr="008E586D">
        <w:rPr>
          <w:rFonts w:eastAsia="Calibri"/>
          <w:sz w:val="22"/>
          <w:szCs w:val="22"/>
          <w:vertAlign w:val="superscript"/>
          <w:lang w:val="sr-Latn-ME" w:eastAsia="zh-CN"/>
        </w:rPr>
        <w:t>2</w:t>
      </w:r>
      <w:r w:rsidRPr="008E586D">
        <w:rPr>
          <w:rFonts w:eastAsia="Calibri"/>
          <w:sz w:val="22"/>
          <w:szCs w:val="22"/>
          <w:lang w:val="sr-Latn-ME" w:eastAsia="zh-CN"/>
        </w:rPr>
        <w:t xml:space="preserve"> dva puta dnevno tokom 14 dana) u kombinaciji sa oksaliplatinom (130 mg/m</w:t>
      </w:r>
      <w:r w:rsidRPr="008E586D">
        <w:rPr>
          <w:rFonts w:eastAsia="Calibri"/>
          <w:sz w:val="22"/>
          <w:szCs w:val="22"/>
          <w:vertAlign w:val="superscript"/>
          <w:lang w:val="sr-Latn-ME" w:eastAsia="zh-CN"/>
        </w:rPr>
        <w:t>2</w:t>
      </w:r>
      <w:r w:rsidRPr="008E586D">
        <w:rPr>
          <w:rFonts w:eastAsia="Calibri"/>
          <w:sz w:val="22"/>
          <w:szCs w:val="22"/>
          <w:lang w:val="sr-Latn-ME" w:eastAsia="zh-CN"/>
        </w:rPr>
        <w:t xml:space="preserve"> prvog dana). Svi terapijski ciklusi primjenjivani su u intervalima od 3 nedjelje. U prvoj liniji terapije, medijana preživljavanja bez progresije bolesti u </w:t>
      </w:r>
      <w:r w:rsidRPr="008E586D">
        <w:rPr>
          <w:rFonts w:eastAsia="Calibri"/>
          <w:i/>
          <w:sz w:val="22"/>
          <w:szCs w:val="22"/>
          <w:lang w:val="sr-Latn-ME" w:eastAsia="zh-CN"/>
        </w:rPr>
        <w:t xml:space="preserve">intent-to-treat </w:t>
      </w:r>
      <w:r w:rsidRPr="008E586D">
        <w:rPr>
          <w:rFonts w:eastAsia="Calibri"/>
          <w:sz w:val="22"/>
          <w:szCs w:val="22"/>
          <w:lang w:val="sr-Latn-ME" w:eastAsia="zh-CN"/>
        </w:rPr>
        <w:t>populaciji pacijenata iznosila je 5,8 mjeseci (95% CI; 5,1 - 6,2 mjeseci) za samostalno primijenjen kapecitabin i 7,8 mjeseci (95% CI; 7,0 - 8,3 mjeseci) za XELIRI (p=0,0002).</w:t>
      </w:r>
    </w:p>
    <w:p w:rsidR="00CE56C4" w:rsidRPr="008E586D" w:rsidRDefault="00CE56C4" w:rsidP="00406863">
      <w:pPr>
        <w:suppressAutoHyphens/>
        <w:spacing w:before="1" w:after="140"/>
        <w:ind w:right="153"/>
        <w:jc w:val="both"/>
        <w:rPr>
          <w:rFonts w:eastAsia="Calibri"/>
          <w:sz w:val="22"/>
          <w:szCs w:val="22"/>
          <w:lang w:val="sr-Latn-ME" w:eastAsia="zh-CN"/>
        </w:rPr>
      </w:pPr>
      <w:r w:rsidRPr="008E586D">
        <w:rPr>
          <w:rFonts w:eastAsia="Calibri"/>
          <w:sz w:val="22"/>
          <w:szCs w:val="22"/>
          <w:lang w:val="sr-Latn-ME" w:eastAsia="zh-CN"/>
        </w:rPr>
        <w:t>Podaci iz periodične analize multicentrične, randomizovane, kontrolisane studije faze II (AIO KRK 0604) podržavaju upotrebu kapecitabina u početnoj dozi od 800 mg/m</w:t>
      </w:r>
      <w:r w:rsidRPr="008E586D">
        <w:rPr>
          <w:rFonts w:eastAsia="Calibri"/>
          <w:sz w:val="22"/>
          <w:szCs w:val="22"/>
          <w:vertAlign w:val="superscript"/>
          <w:lang w:val="sr-Latn-ME" w:eastAsia="zh-CN"/>
        </w:rPr>
        <w:t>2</w:t>
      </w:r>
      <w:r w:rsidRPr="008E586D">
        <w:rPr>
          <w:rFonts w:eastAsia="Calibri"/>
          <w:sz w:val="22"/>
          <w:szCs w:val="22"/>
          <w:lang w:val="sr-Latn-ME" w:eastAsia="zh-CN"/>
        </w:rPr>
        <w:t xml:space="preserve"> tokom dvije nedjelje, svake 3 nedjelje, u kombinaciji sa irinotekanom i bevacizumabom kao prvu liniju terapije pacijenata sa metastatskim kolorektalnim karcinomom. Sto petnaest (115) pacijenata </w:t>
      </w:r>
      <w:r w:rsidRPr="008E586D">
        <w:rPr>
          <w:rFonts w:eastAsia="Calibri"/>
          <w:spacing w:val="-3"/>
          <w:sz w:val="22"/>
          <w:szCs w:val="22"/>
          <w:lang w:val="sr-Latn-ME" w:eastAsia="zh-CN"/>
        </w:rPr>
        <w:t xml:space="preserve">je </w:t>
      </w:r>
      <w:r w:rsidRPr="008E586D">
        <w:rPr>
          <w:rFonts w:eastAsia="Calibri"/>
          <w:sz w:val="22"/>
          <w:szCs w:val="22"/>
          <w:lang w:val="sr-Latn-ME" w:eastAsia="zh-CN"/>
        </w:rPr>
        <w:t>bilo randomizovano tako da prima terapiju sa kapecitabinom u kombinaciji sa irinotekanom (XELIRI) i bevacizumabom: kapecitabin (800 mg/m</w:t>
      </w:r>
      <w:r w:rsidRPr="008E586D">
        <w:rPr>
          <w:rFonts w:eastAsia="Calibri"/>
          <w:sz w:val="22"/>
          <w:szCs w:val="22"/>
          <w:vertAlign w:val="superscript"/>
          <w:lang w:val="sr-Latn-ME" w:eastAsia="zh-CN"/>
        </w:rPr>
        <w:t>2</w:t>
      </w:r>
      <w:r w:rsidRPr="008E586D">
        <w:rPr>
          <w:rFonts w:eastAsia="Calibri"/>
          <w:sz w:val="22"/>
          <w:szCs w:val="22"/>
          <w:lang w:val="sr-Latn-ME" w:eastAsia="zh-CN"/>
        </w:rPr>
        <w:t xml:space="preserve"> dva puta dnevno tokom dvije nedjelje, praćeno periodom pauze od 7 dana), irinotekan (200 mg/m</w:t>
      </w:r>
      <w:r w:rsidRPr="008E586D">
        <w:rPr>
          <w:rFonts w:eastAsia="Calibri"/>
          <w:sz w:val="22"/>
          <w:szCs w:val="22"/>
          <w:vertAlign w:val="superscript"/>
          <w:lang w:val="sr-Latn-ME" w:eastAsia="zh-CN"/>
        </w:rPr>
        <w:t>2</w:t>
      </w:r>
      <w:r w:rsidRPr="008E586D">
        <w:rPr>
          <w:rFonts w:eastAsia="Calibri"/>
          <w:sz w:val="22"/>
          <w:szCs w:val="22"/>
          <w:lang w:val="sr-Latn-ME" w:eastAsia="zh-CN"/>
        </w:rPr>
        <w:t xml:space="preserve"> kao 30-minutna infuzija 1. dana svake tri nedjelje) i bevacizumab (7,5 mg/kg kao 30 do 90-minutna infuzija 1. dana svake tri nedjelje); ukupno 118 pacijenata je bilo randomizovano tako da prima terapiju sa kapecitabinom u kombinaciji sa oksaliplatinom i bevacizumabom: kapecitabin (1000 </w:t>
      </w:r>
      <w:r w:rsidRPr="008E586D">
        <w:rPr>
          <w:rFonts w:eastAsia="Calibri"/>
          <w:spacing w:val="-3"/>
          <w:sz w:val="22"/>
          <w:szCs w:val="22"/>
          <w:lang w:val="sr-Latn-ME" w:eastAsia="zh-CN"/>
        </w:rPr>
        <w:t>mg/m</w:t>
      </w:r>
      <w:r w:rsidRPr="008E586D">
        <w:rPr>
          <w:rFonts w:eastAsia="Calibri"/>
          <w:spacing w:val="-3"/>
          <w:sz w:val="22"/>
          <w:szCs w:val="22"/>
          <w:vertAlign w:val="superscript"/>
          <w:lang w:val="sr-Latn-ME" w:eastAsia="zh-CN"/>
        </w:rPr>
        <w:t>2</w:t>
      </w:r>
      <w:r w:rsidRPr="008E586D">
        <w:rPr>
          <w:rFonts w:eastAsia="Calibri"/>
          <w:spacing w:val="-3"/>
          <w:sz w:val="22"/>
          <w:szCs w:val="22"/>
          <w:lang w:val="sr-Latn-ME" w:eastAsia="zh-CN"/>
        </w:rPr>
        <w:t xml:space="preserve"> </w:t>
      </w:r>
      <w:r w:rsidRPr="008E586D">
        <w:rPr>
          <w:rFonts w:eastAsia="Calibri"/>
          <w:sz w:val="22"/>
          <w:szCs w:val="22"/>
          <w:lang w:val="sr-Latn-ME" w:eastAsia="zh-CN"/>
        </w:rPr>
        <w:t xml:space="preserve">dva puta </w:t>
      </w:r>
      <w:r w:rsidRPr="008E586D">
        <w:rPr>
          <w:rFonts w:eastAsia="Calibri"/>
          <w:spacing w:val="-3"/>
          <w:sz w:val="22"/>
          <w:szCs w:val="22"/>
          <w:lang w:val="sr-Latn-ME" w:eastAsia="zh-CN"/>
        </w:rPr>
        <w:t xml:space="preserve">dnevno </w:t>
      </w:r>
      <w:r w:rsidRPr="008E586D">
        <w:rPr>
          <w:rFonts w:eastAsia="Calibri"/>
          <w:sz w:val="22"/>
          <w:szCs w:val="22"/>
          <w:lang w:val="sr-Latn-ME" w:eastAsia="zh-CN"/>
        </w:rPr>
        <w:t>tokom dvije nedjelje, praćeno periodom pauze od 7 dana), oksaliplatin (130 mg/m</w:t>
      </w:r>
      <w:r w:rsidRPr="008E586D">
        <w:rPr>
          <w:rFonts w:eastAsia="Calibri"/>
          <w:sz w:val="22"/>
          <w:szCs w:val="22"/>
          <w:vertAlign w:val="superscript"/>
          <w:lang w:val="sr-Latn-ME" w:eastAsia="zh-CN"/>
        </w:rPr>
        <w:t>2</w:t>
      </w:r>
      <w:r w:rsidRPr="008E586D">
        <w:rPr>
          <w:rFonts w:eastAsia="Calibri"/>
          <w:sz w:val="22"/>
          <w:szCs w:val="22"/>
          <w:lang w:val="sr-Latn-ME" w:eastAsia="zh-CN"/>
        </w:rPr>
        <w:t xml:space="preserve"> kao dvočasovna infuzija 1. dana svake tri nedjelje) i bevacizumab (7,5 mg/kg kao 30 do 90-minutna infuzija 1. dana svake tri nedelje). Preživljavanje bez progresije bolesti nakon 6 </w:t>
      </w:r>
      <w:r w:rsidRPr="008E586D">
        <w:rPr>
          <w:rFonts w:eastAsia="Calibri"/>
          <w:spacing w:val="-3"/>
          <w:sz w:val="22"/>
          <w:szCs w:val="22"/>
          <w:lang w:val="sr-Latn-ME" w:eastAsia="zh-CN"/>
        </w:rPr>
        <w:t xml:space="preserve">mjeseci </w:t>
      </w:r>
      <w:r w:rsidRPr="008E586D">
        <w:rPr>
          <w:rFonts w:eastAsia="Calibri"/>
          <w:sz w:val="22"/>
          <w:szCs w:val="22"/>
          <w:lang w:val="sr-Latn-ME" w:eastAsia="zh-CN"/>
        </w:rPr>
        <w:t xml:space="preserve">u </w:t>
      </w:r>
      <w:r w:rsidRPr="008E586D">
        <w:rPr>
          <w:rFonts w:eastAsia="Calibri"/>
          <w:i/>
          <w:sz w:val="22"/>
          <w:szCs w:val="22"/>
          <w:lang w:val="sr-Latn-ME" w:eastAsia="zh-CN"/>
        </w:rPr>
        <w:t xml:space="preserve">intent-to-treat </w:t>
      </w:r>
      <w:r w:rsidRPr="008E586D">
        <w:rPr>
          <w:rFonts w:eastAsia="Calibri"/>
          <w:sz w:val="22"/>
          <w:szCs w:val="22"/>
          <w:lang w:val="sr-Latn-ME" w:eastAsia="zh-CN"/>
        </w:rPr>
        <w:t>populaciji pacijenata iznosilo je 80% (XELIRI plus bevacizumab), vs. 74% (XELOX plus bevacizumab). Ukupna stopa odgovora (potpuni odgovor plus parcijalni odgovor) iznosila je 45% (XELOX plus bevacizumab) vs. 47% (XELIRI plus bevacizumab).</w:t>
      </w:r>
    </w:p>
    <w:p w:rsidR="00BB6B8D" w:rsidRPr="008E586D" w:rsidRDefault="00BB6B8D" w:rsidP="007A62C0">
      <w:pPr>
        <w:keepNext/>
        <w:keepLines/>
        <w:spacing w:before="240"/>
        <w:jc w:val="both"/>
        <w:outlineLvl w:val="0"/>
        <w:rPr>
          <w:rFonts w:eastAsiaTheme="majorEastAsia"/>
          <w:b/>
          <w:sz w:val="22"/>
          <w:szCs w:val="22"/>
          <w:lang w:val="sr-Latn-ME"/>
        </w:rPr>
      </w:pPr>
      <w:r w:rsidRPr="008E586D">
        <w:rPr>
          <w:rFonts w:eastAsiaTheme="majorEastAsia"/>
          <w:b/>
          <w:sz w:val="22"/>
          <w:szCs w:val="22"/>
          <w:u w:val="single"/>
          <w:lang w:val="sr-Latn-ME"/>
        </w:rPr>
        <w:t xml:space="preserve">U monoterapiji kao druga linija terapije metastatskog kolorektalnog </w:t>
      </w:r>
      <w:r w:rsidR="007A62C0" w:rsidRPr="008E586D">
        <w:rPr>
          <w:rFonts w:eastAsiaTheme="majorEastAsia"/>
          <w:b/>
          <w:sz w:val="22"/>
          <w:szCs w:val="22"/>
          <w:u w:val="single"/>
          <w:lang w:val="sr-Latn-ME"/>
        </w:rPr>
        <w:t>carcinoma:</w:t>
      </w:r>
    </w:p>
    <w:p w:rsidR="00BB6B8D" w:rsidRDefault="00BB6B8D" w:rsidP="00926D14">
      <w:pPr>
        <w:suppressAutoHyphens/>
        <w:spacing w:before="117" w:after="140"/>
        <w:ind w:right="152"/>
        <w:jc w:val="both"/>
        <w:rPr>
          <w:rFonts w:eastAsia="Calibri"/>
          <w:sz w:val="22"/>
          <w:szCs w:val="22"/>
          <w:lang w:val="sr-Latn-ME" w:eastAsia="zh-CN"/>
        </w:rPr>
      </w:pPr>
      <w:r w:rsidRPr="008E586D">
        <w:rPr>
          <w:rFonts w:eastAsia="Calibri"/>
          <w:sz w:val="22"/>
          <w:szCs w:val="22"/>
          <w:lang w:val="sr-Latn-ME" w:eastAsia="zh-CN"/>
        </w:rPr>
        <w:t xml:space="preserve">Kliničke studije faze II/III vršene su </w:t>
      </w:r>
      <w:r w:rsidR="00D53821" w:rsidRPr="008E586D">
        <w:rPr>
          <w:rFonts w:eastAsia="Calibri"/>
          <w:sz w:val="22"/>
          <w:szCs w:val="22"/>
          <w:lang w:val="sr-Latn-ME" w:eastAsia="zh-CN"/>
        </w:rPr>
        <w:t xml:space="preserve">kod </w:t>
      </w:r>
      <w:r w:rsidRPr="008E586D">
        <w:rPr>
          <w:rFonts w:eastAsia="Calibri"/>
          <w:sz w:val="22"/>
          <w:szCs w:val="22"/>
          <w:lang w:val="sr-Latn-ME" w:eastAsia="zh-CN"/>
        </w:rPr>
        <w:t>više od 980 pacijenata sa metastatskim kolorektalnim karcinomom sa doznim režimom na svake tri nedjelje kod kojih prethodna terapija 5-fluorouracilom nije bila uspješna. Efikasnost lijeka Irinotecan Accord procenjivana je kod 765 pacijenata sa dokumentovanom progresijom bolesti pri terapiji 5-fluorouracilom u momentu ulaska u studiju.</w:t>
      </w:r>
    </w:p>
    <w:p w:rsidR="00C729E0" w:rsidRPr="008E586D" w:rsidRDefault="00C729E0" w:rsidP="00926D14">
      <w:pPr>
        <w:suppressAutoHyphens/>
        <w:spacing w:before="117" w:after="140"/>
        <w:ind w:right="152"/>
        <w:jc w:val="both"/>
        <w:rPr>
          <w:rFonts w:eastAsia="Calibri"/>
          <w:sz w:val="22"/>
          <w:szCs w:val="22"/>
          <w:lang w:val="sr-Latn-ME" w:eastAsia="zh-CN"/>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1"/>
        <w:gridCol w:w="1418"/>
        <w:gridCol w:w="1276"/>
        <w:gridCol w:w="1275"/>
        <w:gridCol w:w="1276"/>
        <w:gridCol w:w="1134"/>
        <w:gridCol w:w="1276"/>
      </w:tblGrid>
      <w:tr w:rsidR="00BB6B8D" w:rsidRPr="008E586D" w:rsidTr="00926D14">
        <w:trPr>
          <w:trHeight w:val="249"/>
        </w:trPr>
        <w:tc>
          <w:tcPr>
            <w:tcW w:w="1701" w:type="dxa"/>
            <w:vMerge w:val="restart"/>
          </w:tcPr>
          <w:p w:rsidR="00BB6B8D" w:rsidRPr="008E586D" w:rsidRDefault="00BB6B8D" w:rsidP="00043878">
            <w:pPr>
              <w:pStyle w:val="TableParagraph"/>
              <w:ind w:left="0"/>
              <w:rPr>
                <w:lang w:val="sr-Latn-ME"/>
              </w:rPr>
            </w:pPr>
          </w:p>
        </w:tc>
        <w:tc>
          <w:tcPr>
            <w:tcW w:w="7655" w:type="dxa"/>
            <w:gridSpan w:val="6"/>
          </w:tcPr>
          <w:p w:rsidR="00BB6B8D" w:rsidRPr="008E586D" w:rsidRDefault="00BB6B8D" w:rsidP="00043878">
            <w:pPr>
              <w:pStyle w:val="TableParagraph"/>
              <w:spacing w:line="229" w:lineRule="exact"/>
              <w:ind w:left="3432" w:right="3416"/>
              <w:jc w:val="center"/>
              <w:rPr>
                <w:lang w:val="sr-Latn-ME"/>
              </w:rPr>
            </w:pPr>
            <w:r w:rsidRPr="008E586D">
              <w:rPr>
                <w:lang w:val="sr-Latn-ME"/>
              </w:rPr>
              <w:t>Faza III</w:t>
            </w:r>
          </w:p>
        </w:tc>
      </w:tr>
      <w:tr w:rsidR="00BB6B8D" w:rsidRPr="008E586D" w:rsidTr="00926D14">
        <w:trPr>
          <w:trHeight w:val="455"/>
        </w:trPr>
        <w:tc>
          <w:tcPr>
            <w:tcW w:w="1701" w:type="dxa"/>
            <w:vMerge/>
            <w:tcBorders>
              <w:top w:val="nil"/>
            </w:tcBorders>
          </w:tcPr>
          <w:p w:rsidR="00BB6B8D" w:rsidRPr="008E586D" w:rsidRDefault="00BB6B8D" w:rsidP="00043878">
            <w:pPr>
              <w:rPr>
                <w:sz w:val="2"/>
                <w:szCs w:val="2"/>
                <w:lang w:val="sr-Latn-ME"/>
              </w:rPr>
            </w:pPr>
          </w:p>
        </w:tc>
        <w:tc>
          <w:tcPr>
            <w:tcW w:w="3969" w:type="dxa"/>
            <w:gridSpan w:val="3"/>
          </w:tcPr>
          <w:p w:rsidR="00BB6B8D" w:rsidRPr="008E586D" w:rsidRDefault="00BB6B8D" w:rsidP="00043878">
            <w:pPr>
              <w:pStyle w:val="TableParagraph"/>
              <w:spacing w:before="92"/>
              <w:ind w:left="681"/>
              <w:rPr>
                <w:lang w:val="sr-Latn-ME"/>
              </w:rPr>
            </w:pPr>
            <w:r w:rsidRPr="008E586D">
              <w:rPr>
                <w:lang w:val="sr-Latn-ME"/>
              </w:rPr>
              <w:t>Irinotekan vs. potporno liječenje</w:t>
            </w:r>
          </w:p>
        </w:tc>
        <w:tc>
          <w:tcPr>
            <w:tcW w:w="3686" w:type="dxa"/>
            <w:gridSpan w:val="3"/>
          </w:tcPr>
          <w:p w:rsidR="00BB6B8D" w:rsidRPr="008E586D" w:rsidRDefault="00BB6B8D" w:rsidP="00043878">
            <w:pPr>
              <w:pStyle w:val="TableParagraph"/>
              <w:spacing w:before="92"/>
              <w:ind w:left="1128"/>
              <w:rPr>
                <w:lang w:val="sr-Latn-ME"/>
              </w:rPr>
            </w:pPr>
            <w:r w:rsidRPr="008E586D">
              <w:rPr>
                <w:lang w:val="sr-Latn-ME"/>
              </w:rPr>
              <w:t>Irinotekan vs. 5FU</w:t>
            </w:r>
          </w:p>
        </w:tc>
      </w:tr>
      <w:tr w:rsidR="00BB6B8D" w:rsidRPr="008E586D" w:rsidTr="00926D14">
        <w:trPr>
          <w:trHeight w:val="757"/>
        </w:trPr>
        <w:tc>
          <w:tcPr>
            <w:tcW w:w="1701" w:type="dxa"/>
            <w:vMerge/>
            <w:tcBorders>
              <w:top w:val="nil"/>
            </w:tcBorders>
          </w:tcPr>
          <w:p w:rsidR="00BB6B8D" w:rsidRPr="008E586D" w:rsidRDefault="00BB6B8D" w:rsidP="00043878">
            <w:pPr>
              <w:rPr>
                <w:sz w:val="2"/>
                <w:szCs w:val="2"/>
                <w:lang w:val="sr-Latn-ME"/>
              </w:rPr>
            </w:pPr>
          </w:p>
        </w:tc>
        <w:tc>
          <w:tcPr>
            <w:tcW w:w="1418" w:type="dxa"/>
          </w:tcPr>
          <w:p w:rsidR="00BB6B8D" w:rsidRPr="008E586D" w:rsidRDefault="00BB6B8D" w:rsidP="00043878">
            <w:pPr>
              <w:pStyle w:val="TableParagraph"/>
              <w:spacing w:line="244" w:lineRule="exact"/>
              <w:ind w:left="302"/>
              <w:rPr>
                <w:lang w:val="sr-Latn-ME"/>
              </w:rPr>
            </w:pPr>
            <w:r w:rsidRPr="008E586D">
              <w:rPr>
                <w:lang w:val="sr-Latn-ME"/>
              </w:rPr>
              <w:t>Irinotecan Accord</w:t>
            </w:r>
          </w:p>
          <w:p w:rsidR="00BB6B8D" w:rsidRPr="008E586D" w:rsidRDefault="00BB6B8D" w:rsidP="00043878">
            <w:pPr>
              <w:pStyle w:val="TableParagraph"/>
              <w:spacing w:before="2"/>
              <w:ind w:left="0"/>
              <w:rPr>
                <w:lang w:val="sr-Latn-ME"/>
              </w:rPr>
            </w:pPr>
          </w:p>
          <w:p w:rsidR="00BB6B8D" w:rsidRPr="008E586D" w:rsidRDefault="00BB6B8D" w:rsidP="00043878">
            <w:pPr>
              <w:pStyle w:val="TableParagraph"/>
              <w:spacing w:before="1" w:line="238" w:lineRule="exact"/>
              <w:ind w:left="369"/>
              <w:rPr>
                <w:lang w:val="sr-Latn-ME"/>
              </w:rPr>
            </w:pPr>
            <w:r w:rsidRPr="008E586D">
              <w:rPr>
                <w:lang w:val="sr-Latn-ME"/>
              </w:rPr>
              <w:t>n=183</w:t>
            </w:r>
          </w:p>
        </w:tc>
        <w:tc>
          <w:tcPr>
            <w:tcW w:w="1276" w:type="dxa"/>
          </w:tcPr>
          <w:p w:rsidR="00BB6B8D" w:rsidRPr="008E586D" w:rsidRDefault="00BB6B8D" w:rsidP="00043878">
            <w:pPr>
              <w:pStyle w:val="TableParagraph"/>
              <w:spacing w:line="242" w:lineRule="auto"/>
              <w:ind w:left="153" w:right="141"/>
              <w:jc w:val="center"/>
              <w:rPr>
                <w:lang w:val="sr-Latn-ME"/>
              </w:rPr>
            </w:pPr>
            <w:r w:rsidRPr="008E586D">
              <w:rPr>
                <w:spacing w:val="-9"/>
                <w:lang w:val="sr-Latn-ME"/>
              </w:rPr>
              <w:t>Potporno lečenje</w:t>
            </w:r>
          </w:p>
          <w:p w:rsidR="00BB6B8D" w:rsidRPr="008E586D" w:rsidRDefault="00BB6B8D" w:rsidP="00043878">
            <w:pPr>
              <w:pStyle w:val="TableParagraph"/>
              <w:spacing w:line="236" w:lineRule="exact"/>
              <w:ind w:left="153" w:right="145"/>
              <w:jc w:val="center"/>
              <w:rPr>
                <w:lang w:val="sr-Latn-ME"/>
              </w:rPr>
            </w:pPr>
            <w:r w:rsidRPr="008E586D">
              <w:rPr>
                <w:lang w:val="sr-Latn-ME"/>
              </w:rPr>
              <w:t>n=90</w:t>
            </w:r>
          </w:p>
        </w:tc>
        <w:tc>
          <w:tcPr>
            <w:tcW w:w="1275" w:type="dxa"/>
          </w:tcPr>
          <w:p w:rsidR="00BB6B8D" w:rsidRPr="008E586D" w:rsidRDefault="00BB6B8D" w:rsidP="00043878">
            <w:pPr>
              <w:pStyle w:val="TableParagraph"/>
              <w:spacing w:before="4"/>
              <w:ind w:left="0"/>
              <w:rPr>
                <w:sz w:val="21"/>
                <w:lang w:val="sr-Latn-ME"/>
              </w:rPr>
            </w:pPr>
          </w:p>
          <w:p w:rsidR="00BB6B8D" w:rsidRPr="008E586D" w:rsidRDefault="00BB6B8D" w:rsidP="00043878">
            <w:pPr>
              <w:pStyle w:val="TableParagraph"/>
              <w:ind w:left="153" w:right="151"/>
              <w:jc w:val="center"/>
              <w:rPr>
                <w:lang w:val="sr-Latn-ME"/>
              </w:rPr>
            </w:pPr>
            <w:r w:rsidRPr="008E586D">
              <w:rPr>
                <w:lang w:val="sr-Latn-ME"/>
              </w:rPr>
              <w:t>p-vrijednost</w:t>
            </w:r>
          </w:p>
        </w:tc>
        <w:tc>
          <w:tcPr>
            <w:tcW w:w="1276" w:type="dxa"/>
          </w:tcPr>
          <w:p w:rsidR="00BB6B8D" w:rsidRPr="008E586D" w:rsidRDefault="00BB6B8D" w:rsidP="00043878">
            <w:pPr>
              <w:pStyle w:val="TableParagraph"/>
              <w:spacing w:line="244" w:lineRule="exact"/>
              <w:ind w:left="302"/>
              <w:rPr>
                <w:lang w:val="sr-Latn-ME"/>
              </w:rPr>
            </w:pPr>
            <w:r w:rsidRPr="008E586D">
              <w:rPr>
                <w:lang w:val="sr-Latn-ME"/>
              </w:rPr>
              <w:t>Irinotekan</w:t>
            </w:r>
          </w:p>
          <w:p w:rsidR="00BB6B8D" w:rsidRPr="008E586D" w:rsidRDefault="00BB6B8D" w:rsidP="00043878">
            <w:pPr>
              <w:pStyle w:val="TableParagraph"/>
              <w:spacing w:before="2"/>
              <w:ind w:left="0"/>
              <w:rPr>
                <w:lang w:val="sr-Latn-ME"/>
              </w:rPr>
            </w:pPr>
          </w:p>
          <w:p w:rsidR="00BB6B8D" w:rsidRPr="008E586D" w:rsidRDefault="00BB6B8D" w:rsidP="00043878">
            <w:pPr>
              <w:pStyle w:val="TableParagraph"/>
              <w:spacing w:before="1" w:line="238" w:lineRule="exact"/>
              <w:ind w:left="369"/>
              <w:rPr>
                <w:lang w:val="sr-Latn-ME"/>
              </w:rPr>
            </w:pPr>
            <w:r w:rsidRPr="008E586D">
              <w:rPr>
                <w:lang w:val="sr-Latn-ME"/>
              </w:rPr>
              <w:t>n=127</w:t>
            </w:r>
          </w:p>
        </w:tc>
        <w:tc>
          <w:tcPr>
            <w:tcW w:w="1134" w:type="dxa"/>
          </w:tcPr>
          <w:p w:rsidR="00BB6B8D" w:rsidRPr="008E586D" w:rsidRDefault="00BB6B8D" w:rsidP="00043878">
            <w:pPr>
              <w:pStyle w:val="TableParagraph"/>
              <w:spacing w:line="244" w:lineRule="exact"/>
              <w:ind w:left="153" w:right="131"/>
              <w:jc w:val="center"/>
              <w:rPr>
                <w:lang w:val="sr-Latn-ME"/>
              </w:rPr>
            </w:pPr>
            <w:r w:rsidRPr="008E586D">
              <w:rPr>
                <w:lang w:val="sr-Latn-ME"/>
              </w:rPr>
              <w:t>5FU</w:t>
            </w:r>
          </w:p>
          <w:p w:rsidR="00BB6B8D" w:rsidRPr="008E586D" w:rsidRDefault="00BB6B8D" w:rsidP="00043878">
            <w:pPr>
              <w:pStyle w:val="TableParagraph"/>
              <w:spacing w:before="2"/>
              <w:ind w:left="0"/>
              <w:rPr>
                <w:lang w:val="sr-Latn-ME"/>
              </w:rPr>
            </w:pPr>
          </w:p>
          <w:p w:rsidR="00BB6B8D" w:rsidRPr="008E586D" w:rsidRDefault="00BB6B8D" w:rsidP="00043878">
            <w:pPr>
              <w:pStyle w:val="TableParagraph"/>
              <w:spacing w:before="1" w:line="238" w:lineRule="exact"/>
              <w:ind w:left="153" w:right="139"/>
              <w:jc w:val="center"/>
              <w:rPr>
                <w:lang w:val="sr-Latn-ME"/>
              </w:rPr>
            </w:pPr>
            <w:r w:rsidRPr="008E586D">
              <w:rPr>
                <w:lang w:val="sr-Latn-ME"/>
              </w:rPr>
              <w:t>n=129</w:t>
            </w:r>
          </w:p>
        </w:tc>
        <w:tc>
          <w:tcPr>
            <w:tcW w:w="1276" w:type="dxa"/>
          </w:tcPr>
          <w:p w:rsidR="00BB6B8D" w:rsidRPr="008E586D" w:rsidRDefault="00BB6B8D" w:rsidP="00043878">
            <w:pPr>
              <w:pStyle w:val="TableParagraph"/>
              <w:spacing w:before="116"/>
              <w:ind w:left="177" w:firstLine="288"/>
              <w:rPr>
                <w:lang w:val="sr-Latn-ME"/>
              </w:rPr>
            </w:pPr>
            <w:r w:rsidRPr="008E586D">
              <w:rPr>
                <w:lang w:val="sr-Latn-ME"/>
              </w:rPr>
              <w:t>p- vrijednost</w:t>
            </w:r>
          </w:p>
        </w:tc>
      </w:tr>
      <w:tr w:rsidR="00BB6B8D" w:rsidRPr="008E586D" w:rsidTr="00926D14">
        <w:trPr>
          <w:trHeight w:val="757"/>
        </w:trPr>
        <w:tc>
          <w:tcPr>
            <w:tcW w:w="1701" w:type="dxa"/>
          </w:tcPr>
          <w:p w:rsidR="00BB6B8D" w:rsidRPr="008E586D" w:rsidRDefault="00BB6B8D" w:rsidP="00043878">
            <w:pPr>
              <w:pStyle w:val="TableParagraph"/>
              <w:spacing w:line="242" w:lineRule="auto"/>
              <w:rPr>
                <w:lang w:val="sr-Latn-ME"/>
              </w:rPr>
            </w:pPr>
            <w:r w:rsidRPr="008E586D">
              <w:rPr>
                <w:spacing w:val="-9"/>
                <w:lang w:val="sr-Latn-ME"/>
              </w:rPr>
              <w:t xml:space="preserve">Preživljavanje </w:t>
            </w:r>
            <w:r w:rsidRPr="008E586D">
              <w:rPr>
                <w:spacing w:val="-12"/>
                <w:lang w:val="sr-Latn-ME"/>
              </w:rPr>
              <w:t xml:space="preserve">bez </w:t>
            </w:r>
            <w:r w:rsidRPr="008E586D">
              <w:rPr>
                <w:spacing w:val="-9"/>
                <w:lang w:val="sr-Latn-ME"/>
              </w:rPr>
              <w:t xml:space="preserve">progresije </w:t>
            </w:r>
            <w:r w:rsidRPr="008E586D">
              <w:rPr>
                <w:spacing w:val="-10"/>
                <w:lang w:val="sr-Latn-ME"/>
              </w:rPr>
              <w:t>bolesti</w:t>
            </w:r>
          </w:p>
          <w:p w:rsidR="00BB6B8D" w:rsidRPr="008E586D" w:rsidRDefault="00873E8A" w:rsidP="00043878">
            <w:pPr>
              <w:pStyle w:val="TableParagraph"/>
              <w:spacing w:line="236" w:lineRule="exact"/>
              <w:rPr>
                <w:lang w:val="sr-Latn-ME"/>
              </w:rPr>
            </w:pPr>
            <w:r w:rsidRPr="008E586D">
              <w:rPr>
                <w:spacing w:val="-8"/>
                <w:lang w:val="sr-Latn-ME"/>
              </w:rPr>
              <w:t>poslije</w:t>
            </w:r>
            <w:r w:rsidR="00BB6B8D" w:rsidRPr="008E586D">
              <w:rPr>
                <w:spacing w:val="-8"/>
                <w:lang w:val="sr-Latn-ME"/>
              </w:rPr>
              <w:t xml:space="preserve"> </w:t>
            </w:r>
            <w:r w:rsidR="00BB6B8D" w:rsidRPr="008E586D">
              <w:rPr>
                <w:lang w:val="sr-Latn-ME"/>
              </w:rPr>
              <w:t xml:space="preserve">6 </w:t>
            </w:r>
            <w:r w:rsidR="00BB6B8D" w:rsidRPr="008E586D">
              <w:rPr>
                <w:spacing w:val="-8"/>
                <w:lang w:val="sr-Latn-ME"/>
              </w:rPr>
              <w:t>mjeseci</w:t>
            </w:r>
            <w:r w:rsidR="00BB6B8D" w:rsidRPr="008E586D">
              <w:rPr>
                <w:spacing w:val="-31"/>
                <w:lang w:val="sr-Latn-ME"/>
              </w:rPr>
              <w:t xml:space="preserve"> </w:t>
            </w:r>
            <w:r w:rsidR="00BB6B8D" w:rsidRPr="008E586D">
              <w:rPr>
                <w:spacing w:val="-9"/>
                <w:lang w:val="sr-Latn-ME"/>
              </w:rPr>
              <w:t>(%)</w:t>
            </w:r>
          </w:p>
        </w:tc>
        <w:tc>
          <w:tcPr>
            <w:tcW w:w="1418" w:type="dxa"/>
          </w:tcPr>
          <w:p w:rsidR="00BB6B8D" w:rsidRPr="008E586D" w:rsidRDefault="00BB6B8D" w:rsidP="00043878">
            <w:pPr>
              <w:pStyle w:val="TableParagraph"/>
              <w:spacing w:before="4"/>
              <w:ind w:left="0"/>
              <w:rPr>
                <w:sz w:val="21"/>
                <w:lang w:val="sr-Latn-ME"/>
              </w:rPr>
            </w:pPr>
          </w:p>
          <w:p w:rsidR="00BB6B8D" w:rsidRPr="008E586D" w:rsidRDefault="00BB6B8D" w:rsidP="00043878">
            <w:pPr>
              <w:pStyle w:val="TableParagraph"/>
              <w:ind w:left="153" w:right="143"/>
              <w:jc w:val="center"/>
              <w:rPr>
                <w:lang w:val="sr-Latn-ME"/>
              </w:rPr>
            </w:pPr>
            <w:r w:rsidRPr="008E586D">
              <w:rPr>
                <w:lang w:val="sr-Latn-ME"/>
              </w:rPr>
              <w:t>NA</w:t>
            </w:r>
          </w:p>
        </w:tc>
        <w:tc>
          <w:tcPr>
            <w:tcW w:w="1276" w:type="dxa"/>
          </w:tcPr>
          <w:p w:rsidR="00BB6B8D" w:rsidRPr="008E586D" w:rsidRDefault="00BB6B8D" w:rsidP="00043878">
            <w:pPr>
              <w:pStyle w:val="TableParagraph"/>
              <w:spacing w:before="4"/>
              <w:ind w:left="0"/>
              <w:rPr>
                <w:sz w:val="21"/>
                <w:lang w:val="sr-Latn-ME"/>
              </w:rPr>
            </w:pPr>
          </w:p>
          <w:p w:rsidR="00BB6B8D" w:rsidRPr="008E586D" w:rsidRDefault="00BB6B8D" w:rsidP="00043878">
            <w:pPr>
              <w:pStyle w:val="TableParagraph"/>
              <w:ind w:left="153" w:right="143"/>
              <w:jc w:val="center"/>
              <w:rPr>
                <w:lang w:val="sr-Latn-ME"/>
              </w:rPr>
            </w:pPr>
            <w:r w:rsidRPr="008E586D">
              <w:rPr>
                <w:lang w:val="sr-Latn-ME"/>
              </w:rPr>
              <w:t>NA</w:t>
            </w:r>
          </w:p>
        </w:tc>
        <w:tc>
          <w:tcPr>
            <w:tcW w:w="1275" w:type="dxa"/>
          </w:tcPr>
          <w:p w:rsidR="00BB6B8D" w:rsidRPr="008E586D" w:rsidRDefault="00BB6B8D" w:rsidP="00043878">
            <w:pPr>
              <w:pStyle w:val="TableParagraph"/>
              <w:ind w:left="0"/>
              <w:rPr>
                <w:lang w:val="sr-Latn-ME"/>
              </w:rPr>
            </w:pPr>
          </w:p>
        </w:tc>
        <w:tc>
          <w:tcPr>
            <w:tcW w:w="1276" w:type="dxa"/>
          </w:tcPr>
          <w:p w:rsidR="00BB6B8D" w:rsidRPr="008E586D" w:rsidRDefault="00BB6B8D" w:rsidP="00043878">
            <w:pPr>
              <w:pStyle w:val="TableParagraph"/>
              <w:spacing w:before="4"/>
              <w:ind w:left="0"/>
              <w:rPr>
                <w:sz w:val="21"/>
                <w:lang w:val="sr-Latn-ME"/>
              </w:rPr>
            </w:pPr>
          </w:p>
          <w:p w:rsidR="00BB6B8D" w:rsidRPr="008E586D" w:rsidRDefault="00BB6B8D" w:rsidP="00043878">
            <w:pPr>
              <w:pStyle w:val="TableParagraph"/>
              <w:ind w:left="153" w:right="133"/>
              <w:jc w:val="center"/>
              <w:rPr>
                <w:lang w:val="sr-Latn-ME"/>
              </w:rPr>
            </w:pPr>
            <w:r w:rsidRPr="008E586D">
              <w:rPr>
                <w:lang w:val="sr-Latn-ME"/>
              </w:rPr>
              <w:t>33.5*</w:t>
            </w:r>
          </w:p>
        </w:tc>
        <w:tc>
          <w:tcPr>
            <w:tcW w:w="1134" w:type="dxa"/>
          </w:tcPr>
          <w:p w:rsidR="00BB6B8D" w:rsidRPr="008E586D" w:rsidRDefault="00BB6B8D" w:rsidP="00043878">
            <w:pPr>
              <w:pStyle w:val="TableParagraph"/>
              <w:spacing w:before="4"/>
              <w:ind w:left="0"/>
              <w:rPr>
                <w:sz w:val="21"/>
                <w:lang w:val="sr-Latn-ME"/>
              </w:rPr>
            </w:pPr>
          </w:p>
          <w:p w:rsidR="00BB6B8D" w:rsidRPr="008E586D" w:rsidRDefault="00BB6B8D" w:rsidP="00043878">
            <w:pPr>
              <w:pStyle w:val="TableParagraph"/>
              <w:ind w:left="456"/>
              <w:rPr>
                <w:lang w:val="sr-Latn-ME"/>
              </w:rPr>
            </w:pPr>
            <w:r w:rsidRPr="008E586D">
              <w:rPr>
                <w:lang w:val="sr-Latn-ME"/>
              </w:rPr>
              <w:t>26.7</w:t>
            </w:r>
          </w:p>
        </w:tc>
        <w:tc>
          <w:tcPr>
            <w:tcW w:w="1276" w:type="dxa"/>
          </w:tcPr>
          <w:p w:rsidR="00BB6B8D" w:rsidRPr="008E586D" w:rsidRDefault="00BB6B8D" w:rsidP="00043878">
            <w:pPr>
              <w:pStyle w:val="TableParagraph"/>
              <w:spacing w:before="4"/>
              <w:ind w:left="0"/>
              <w:rPr>
                <w:sz w:val="21"/>
                <w:lang w:val="sr-Latn-ME"/>
              </w:rPr>
            </w:pPr>
          </w:p>
          <w:p w:rsidR="00BB6B8D" w:rsidRPr="008E586D" w:rsidRDefault="00BB6B8D" w:rsidP="00043878">
            <w:pPr>
              <w:pStyle w:val="TableParagraph"/>
              <w:ind w:left="117" w:right="102"/>
              <w:jc w:val="center"/>
              <w:rPr>
                <w:lang w:val="sr-Latn-ME"/>
              </w:rPr>
            </w:pPr>
            <w:r w:rsidRPr="008E586D">
              <w:rPr>
                <w:lang w:val="sr-Latn-ME"/>
              </w:rPr>
              <w:t>p=0.03</w:t>
            </w:r>
          </w:p>
        </w:tc>
      </w:tr>
      <w:tr w:rsidR="00BB6B8D" w:rsidRPr="008E586D" w:rsidTr="00926D14">
        <w:trPr>
          <w:trHeight w:val="762"/>
        </w:trPr>
        <w:tc>
          <w:tcPr>
            <w:tcW w:w="1701" w:type="dxa"/>
          </w:tcPr>
          <w:p w:rsidR="00BB6B8D" w:rsidRPr="008E586D" w:rsidRDefault="00BB6B8D" w:rsidP="00043878">
            <w:pPr>
              <w:pStyle w:val="TableParagraph"/>
              <w:spacing w:line="237" w:lineRule="auto"/>
              <w:ind w:right="63"/>
              <w:rPr>
                <w:lang w:val="sr-Latn-ME"/>
              </w:rPr>
            </w:pPr>
            <w:r w:rsidRPr="008E586D">
              <w:rPr>
                <w:lang w:val="sr-Latn-ME"/>
              </w:rPr>
              <w:t xml:space="preserve">Preživljavanje </w:t>
            </w:r>
            <w:r w:rsidR="00873E8A" w:rsidRPr="008E586D">
              <w:rPr>
                <w:lang w:val="sr-Latn-ME"/>
              </w:rPr>
              <w:t>poslije</w:t>
            </w:r>
            <w:r w:rsidRPr="008E586D">
              <w:rPr>
                <w:lang w:val="sr-Latn-ME"/>
              </w:rPr>
              <w:t xml:space="preserve"> 12 mjeseci</w:t>
            </w:r>
          </w:p>
          <w:p w:rsidR="00BB6B8D" w:rsidRPr="008E586D" w:rsidRDefault="00BB6B8D" w:rsidP="00043878">
            <w:pPr>
              <w:pStyle w:val="TableParagraph"/>
              <w:spacing w:line="243" w:lineRule="exact"/>
              <w:rPr>
                <w:lang w:val="sr-Latn-ME"/>
              </w:rPr>
            </w:pPr>
            <w:r w:rsidRPr="008E586D">
              <w:rPr>
                <w:lang w:val="sr-Latn-ME"/>
              </w:rPr>
              <w:t>(%)</w:t>
            </w:r>
          </w:p>
        </w:tc>
        <w:tc>
          <w:tcPr>
            <w:tcW w:w="1418" w:type="dxa"/>
          </w:tcPr>
          <w:p w:rsidR="00BB6B8D" w:rsidRPr="008E586D" w:rsidRDefault="00BB6B8D" w:rsidP="00043878">
            <w:pPr>
              <w:pStyle w:val="TableParagraph"/>
              <w:spacing w:before="4"/>
              <w:ind w:left="0"/>
              <w:rPr>
                <w:sz w:val="21"/>
                <w:lang w:val="sr-Latn-ME"/>
              </w:rPr>
            </w:pPr>
          </w:p>
          <w:p w:rsidR="00BB6B8D" w:rsidRPr="008E586D" w:rsidRDefault="00BB6B8D" w:rsidP="00043878">
            <w:pPr>
              <w:pStyle w:val="TableParagraph"/>
              <w:ind w:left="153" w:right="133"/>
              <w:jc w:val="center"/>
              <w:rPr>
                <w:lang w:val="sr-Latn-ME"/>
              </w:rPr>
            </w:pPr>
            <w:r w:rsidRPr="008E586D">
              <w:rPr>
                <w:lang w:val="sr-Latn-ME"/>
              </w:rPr>
              <w:t>36.2*</w:t>
            </w:r>
          </w:p>
        </w:tc>
        <w:tc>
          <w:tcPr>
            <w:tcW w:w="1276" w:type="dxa"/>
          </w:tcPr>
          <w:p w:rsidR="00BB6B8D" w:rsidRPr="008E586D" w:rsidRDefault="00BB6B8D" w:rsidP="00043878">
            <w:pPr>
              <w:pStyle w:val="TableParagraph"/>
              <w:spacing w:before="4"/>
              <w:ind w:left="0"/>
              <w:rPr>
                <w:sz w:val="21"/>
                <w:lang w:val="sr-Latn-ME"/>
              </w:rPr>
            </w:pPr>
          </w:p>
          <w:p w:rsidR="00BB6B8D" w:rsidRPr="008E586D" w:rsidRDefault="00BB6B8D" w:rsidP="00043878">
            <w:pPr>
              <w:pStyle w:val="TableParagraph"/>
              <w:ind w:left="153" w:right="137"/>
              <w:jc w:val="center"/>
              <w:rPr>
                <w:lang w:val="sr-Latn-ME"/>
              </w:rPr>
            </w:pPr>
            <w:r w:rsidRPr="008E586D">
              <w:rPr>
                <w:lang w:val="sr-Latn-ME"/>
              </w:rPr>
              <w:t>13.8</w:t>
            </w:r>
          </w:p>
        </w:tc>
        <w:tc>
          <w:tcPr>
            <w:tcW w:w="1275" w:type="dxa"/>
          </w:tcPr>
          <w:p w:rsidR="00BB6B8D" w:rsidRPr="008E586D" w:rsidRDefault="00BB6B8D" w:rsidP="00043878">
            <w:pPr>
              <w:pStyle w:val="TableParagraph"/>
              <w:spacing w:before="4"/>
              <w:ind w:left="0"/>
              <w:rPr>
                <w:sz w:val="21"/>
                <w:lang w:val="sr-Latn-ME"/>
              </w:rPr>
            </w:pPr>
          </w:p>
          <w:p w:rsidR="00BB6B8D" w:rsidRPr="008E586D" w:rsidRDefault="00BB6B8D" w:rsidP="00043878">
            <w:pPr>
              <w:pStyle w:val="TableParagraph"/>
              <w:ind w:left="153" w:right="133"/>
              <w:jc w:val="center"/>
              <w:rPr>
                <w:lang w:val="sr-Latn-ME"/>
              </w:rPr>
            </w:pPr>
            <w:r w:rsidRPr="008E586D">
              <w:rPr>
                <w:lang w:val="sr-Latn-ME"/>
              </w:rPr>
              <w:t>p=0.0001</w:t>
            </w:r>
          </w:p>
        </w:tc>
        <w:tc>
          <w:tcPr>
            <w:tcW w:w="1276" w:type="dxa"/>
          </w:tcPr>
          <w:p w:rsidR="00BB6B8D" w:rsidRPr="008E586D" w:rsidRDefault="00BB6B8D" w:rsidP="00043878">
            <w:pPr>
              <w:pStyle w:val="TableParagraph"/>
              <w:spacing w:before="4"/>
              <w:ind w:left="0"/>
              <w:rPr>
                <w:sz w:val="21"/>
                <w:lang w:val="sr-Latn-ME"/>
              </w:rPr>
            </w:pPr>
          </w:p>
          <w:p w:rsidR="00BB6B8D" w:rsidRPr="008E586D" w:rsidRDefault="00BB6B8D" w:rsidP="00043878">
            <w:pPr>
              <w:pStyle w:val="TableParagraph"/>
              <w:ind w:left="153" w:right="133"/>
              <w:jc w:val="center"/>
              <w:rPr>
                <w:lang w:val="sr-Latn-ME"/>
              </w:rPr>
            </w:pPr>
            <w:r w:rsidRPr="008E586D">
              <w:rPr>
                <w:lang w:val="sr-Latn-ME"/>
              </w:rPr>
              <w:t>44.8*</w:t>
            </w:r>
          </w:p>
        </w:tc>
        <w:tc>
          <w:tcPr>
            <w:tcW w:w="1134" w:type="dxa"/>
          </w:tcPr>
          <w:p w:rsidR="00BB6B8D" w:rsidRPr="008E586D" w:rsidRDefault="00BB6B8D" w:rsidP="00043878">
            <w:pPr>
              <w:pStyle w:val="TableParagraph"/>
              <w:spacing w:before="4"/>
              <w:ind w:left="0"/>
              <w:rPr>
                <w:sz w:val="21"/>
                <w:lang w:val="sr-Latn-ME"/>
              </w:rPr>
            </w:pPr>
          </w:p>
          <w:p w:rsidR="00BB6B8D" w:rsidRPr="008E586D" w:rsidRDefault="00BB6B8D" w:rsidP="00043878">
            <w:pPr>
              <w:pStyle w:val="TableParagraph"/>
              <w:ind w:left="456"/>
              <w:rPr>
                <w:lang w:val="sr-Latn-ME"/>
              </w:rPr>
            </w:pPr>
            <w:r w:rsidRPr="008E586D">
              <w:rPr>
                <w:lang w:val="sr-Latn-ME"/>
              </w:rPr>
              <w:t>32.4</w:t>
            </w:r>
          </w:p>
        </w:tc>
        <w:tc>
          <w:tcPr>
            <w:tcW w:w="1276" w:type="dxa"/>
          </w:tcPr>
          <w:p w:rsidR="00BB6B8D" w:rsidRPr="008E586D" w:rsidRDefault="00BB6B8D" w:rsidP="00043878">
            <w:pPr>
              <w:pStyle w:val="TableParagraph"/>
              <w:spacing w:before="4"/>
              <w:ind w:left="0"/>
              <w:rPr>
                <w:sz w:val="21"/>
                <w:lang w:val="sr-Latn-ME"/>
              </w:rPr>
            </w:pPr>
          </w:p>
          <w:p w:rsidR="00BB6B8D" w:rsidRPr="008E586D" w:rsidRDefault="00BB6B8D" w:rsidP="00043878">
            <w:pPr>
              <w:pStyle w:val="TableParagraph"/>
              <w:ind w:left="117" w:right="102"/>
              <w:jc w:val="center"/>
              <w:rPr>
                <w:lang w:val="sr-Latn-ME"/>
              </w:rPr>
            </w:pPr>
            <w:r w:rsidRPr="008E586D">
              <w:rPr>
                <w:lang w:val="sr-Latn-ME"/>
              </w:rPr>
              <w:t>p=0.0351</w:t>
            </w:r>
          </w:p>
        </w:tc>
      </w:tr>
      <w:tr w:rsidR="00BB6B8D" w:rsidRPr="008E586D" w:rsidTr="00926D14">
        <w:trPr>
          <w:trHeight w:val="757"/>
        </w:trPr>
        <w:tc>
          <w:tcPr>
            <w:tcW w:w="1701" w:type="dxa"/>
          </w:tcPr>
          <w:p w:rsidR="00BB6B8D" w:rsidRPr="008E586D" w:rsidRDefault="00BB6B8D" w:rsidP="00043878">
            <w:pPr>
              <w:pStyle w:val="TableParagraph"/>
              <w:spacing w:line="237" w:lineRule="auto"/>
              <w:rPr>
                <w:lang w:val="sr-Latn-ME"/>
              </w:rPr>
            </w:pPr>
            <w:r w:rsidRPr="008E586D">
              <w:rPr>
                <w:spacing w:val="-9"/>
                <w:lang w:val="sr-Latn-ME"/>
              </w:rPr>
              <w:t xml:space="preserve">Medijana </w:t>
            </w:r>
            <w:r w:rsidRPr="008E586D">
              <w:rPr>
                <w:spacing w:val="-10"/>
                <w:lang w:val="sr-Latn-ME"/>
              </w:rPr>
              <w:t>preživljavanja</w:t>
            </w:r>
          </w:p>
          <w:p w:rsidR="00BB6B8D" w:rsidRPr="008E586D" w:rsidRDefault="00BB6B8D" w:rsidP="00043878">
            <w:pPr>
              <w:pStyle w:val="TableParagraph"/>
              <w:spacing w:line="243" w:lineRule="exact"/>
              <w:rPr>
                <w:lang w:val="sr-Latn-ME"/>
              </w:rPr>
            </w:pPr>
            <w:r w:rsidRPr="008E586D">
              <w:rPr>
                <w:lang w:val="sr-Latn-ME"/>
              </w:rPr>
              <w:t>(mjeseci)</w:t>
            </w:r>
          </w:p>
        </w:tc>
        <w:tc>
          <w:tcPr>
            <w:tcW w:w="1418" w:type="dxa"/>
          </w:tcPr>
          <w:p w:rsidR="00BB6B8D" w:rsidRPr="008E586D" w:rsidRDefault="00BB6B8D" w:rsidP="00043878">
            <w:pPr>
              <w:pStyle w:val="TableParagraph"/>
              <w:spacing w:before="10"/>
              <w:ind w:left="0"/>
              <w:rPr>
                <w:sz w:val="20"/>
                <w:lang w:val="sr-Latn-ME"/>
              </w:rPr>
            </w:pPr>
          </w:p>
          <w:p w:rsidR="00BB6B8D" w:rsidRPr="008E586D" w:rsidRDefault="00BB6B8D" w:rsidP="00043878">
            <w:pPr>
              <w:pStyle w:val="TableParagraph"/>
              <w:spacing w:before="1"/>
              <w:ind w:left="153" w:right="137"/>
              <w:jc w:val="center"/>
              <w:rPr>
                <w:lang w:val="sr-Latn-ME"/>
              </w:rPr>
            </w:pPr>
            <w:r w:rsidRPr="008E586D">
              <w:rPr>
                <w:lang w:val="sr-Latn-ME"/>
              </w:rPr>
              <w:t>9.2*</w:t>
            </w:r>
          </w:p>
        </w:tc>
        <w:tc>
          <w:tcPr>
            <w:tcW w:w="1276" w:type="dxa"/>
          </w:tcPr>
          <w:p w:rsidR="00BB6B8D" w:rsidRPr="008E586D" w:rsidRDefault="00BB6B8D" w:rsidP="00043878">
            <w:pPr>
              <w:pStyle w:val="TableParagraph"/>
              <w:spacing w:before="10"/>
              <w:ind w:left="0"/>
              <w:rPr>
                <w:sz w:val="20"/>
                <w:lang w:val="sr-Latn-ME"/>
              </w:rPr>
            </w:pPr>
          </w:p>
          <w:p w:rsidR="00BB6B8D" w:rsidRPr="008E586D" w:rsidRDefault="00BB6B8D" w:rsidP="00043878">
            <w:pPr>
              <w:pStyle w:val="TableParagraph"/>
              <w:spacing w:before="1"/>
              <w:ind w:left="153" w:right="132"/>
              <w:jc w:val="center"/>
              <w:rPr>
                <w:lang w:val="sr-Latn-ME"/>
              </w:rPr>
            </w:pPr>
            <w:r w:rsidRPr="008E586D">
              <w:rPr>
                <w:lang w:val="sr-Latn-ME"/>
              </w:rPr>
              <w:t>6.5</w:t>
            </w:r>
          </w:p>
        </w:tc>
        <w:tc>
          <w:tcPr>
            <w:tcW w:w="1275" w:type="dxa"/>
          </w:tcPr>
          <w:p w:rsidR="00BB6B8D" w:rsidRPr="008E586D" w:rsidRDefault="00BB6B8D" w:rsidP="00043878">
            <w:pPr>
              <w:pStyle w:val="TableParagraph"/>
              <w:spacing w:before="10"/>
              <w:ind w:left="0"/>
              <w:rPr>
                <w:sz w:val="20"/>
                <w:lang w:val="sr-Latn-ME"/>
              </w:rPr>
            </w:pPr>
          </w:p>
          <w:p w:rsidR="00BB6B8D" w:rsidRPr="008E586D" w:rsidRDefault="00BB6B8D" w:rsidP="00043878">
            <w:pPr>
              <w:pStyle w:val="TableParagraph"/>
              <w:spacing w:before="1"/>
              <w:ind w:left="153" w:right="133"/>
              <w:jc w:val="center"/>
              <w:rPr>
                <w:lang w:val="sr-Latn-ME"/>
              </w:rPr>
            </w:pPr>
            <w:r w:rsidRPr="008E586D">
              <w:rPr>
                <w:lang w:val="sr-Latn-ME"/>
              </w:rPr>
              <w:t>p=0.0001</w:t>
            </w:r>
          </w:p>
        </w:tc>
        <w:tc>
          <w:tcPr>
            <w:tcW w:w="1276" w:type="dxa"/>
          </w:tcPr>
          <w:p w:rsidR="00BB6B8D" w:rsidRPr="008E586D" w:rsidRDefault="00BB6B8D" w:rsidP="00043878">
            <w:pPr>
              <w:pStyle w:val="TableParagraph"/>
              <w:spacing w:before="10"/>
              <w:ind w:left="0"/>
              <w:rPr>
                <w:sz w:val="20"/>
                <w:lang w:val="sr-Latn-ME"/>
              </w:rPr>
            </w:pPr>
          </w:p>
          <w:p w:rsidR="00BB6B8D" w:rsidRPr="008E586D" w:rsidRDefault="00BB6B8D" w:rsidP="00043878">
            <w:pPr>
              <w:pStyle w:val="TableParagraph"/>
              <w:spacing w:before="1"/>
              <w:ind w:left="153" w:right="133"/>
              <w:jc w:val="center"/>
              <w:rPr>
                <w:lang w:val="sr-Latn-ME"/>
              </w:rPr>
            </w:pPr>
            <w:r w:rsidRPr="008E586D">
              <w:rPr>
                <w:lang w:val="sr-Latn-ME"/>
              </w:rPr>
              <w:t>10.8*</w:t>
            </w:r>
          </w:p>
        </w:tc>
        <w:tc>
          <w:tcPr>
            <w:tcW w:w="1134" w:type="dxa"/>
          </w:tcPr>
          <w:p w:rsidR="00BB6B8D" w:rsidRPr="008E586D" w:rsidRDefault="00BB6B8D" w:rsidP="00043878">
            <w:pPr>
              <w:pStyle w:val="TableParagraph"/>
              <w:spacing w:before="10"/>
              <w:ind w:left="0"/>
              <w:rPr>
                <w:sz w:val="20"/>
                <w:lang w:val="sr-Latn-ME"/>
              </w:rPr>
            </w:pPr>
          </w:p>
          <w:p w:rsidR="00BB6B8D" w:rsidRPr="008E586D" w:rsidRDefault="00BB6B8D" w:rsidP="00043878">
            <w:pPr>
              <w:pStyle w:val="TableParagraph"/>
              <w:spacing w:before="1"/>
              <w:ind w:left="513"/>
              <w:rPr>
                <w:lang w:val="sr-Latn-ME"/>
              </w:rPr>
            </w:pPr>
            <w:r w:rsidRPr="008E586D">
              <w:rPr>
                <w:lang w:val="sr-Latn-ME"/>
              </w:rPr>
              <w:t>8.5</w:t>
            </w:r>
          </w:p>
        </w:tc>
        <w:tc>
          <w:tcPr>
            <w:tcW w:w="1276" w:type="dxa"/>
          </w:tcPr>
          <w:p w:rsidR="00BB6B8D" w:rsidRPr="008E586D" w:rsidRDefault="00BB6B8D" w:rsidP="00043878">
            <w:pPr>
              <w:pStyle w:val="TableParagraph"/>
              <w:spacing w:before="10"/>
              <w:ind w:left="0"/>
              <w:rPr>
                <w:sz w:val="20"/>
                <w:lang w:val="sr-Latn-ME"/>
              </w:rPr>
            </w:pPr>
          </w:p>
          <w:p w:rsidR="00BB6B8D" w:rsidRPr="008E586D" w:rsidRDefault="00BB6B8D" w:rsidP="00043878">
            <w:pPr>
              <w:pStyle w:val="TableParagraph"/>
              <w:spacing w:before="1"/>
              <w:ind w:left="117" w:right="102"/>
              <w:jc w:val="center"/>
              <w:rPr>
                <w:lang w:val="sr-Latn-ME"/>
              </w:rPr>
            </w:pPr>
            <w:r w:rsidRPr="008E586D">
              <w:rPr>
                <w:lang w:val="sr-Latn-ME"/>
              </w:rPr>
              <w:t>p=0.0351</w:t>
            </w:r>
          </w:p>
        </w:tc>
      </w:tr>
    </w:tbl>
    <w:p w:rsidR="00BB6B8D" w:rsidRPr="008E586D" w:rsidRDefault="00BB6B8D" w:rsidP="00BB6B8D">
      <w:pPr>
        <w:spacing w:before="111"/>
        <w:ind w:left="407"/>
        <w:rPr>
          <w:sz w:val="22"/>
          <w:szCs w:val="22"/>
          <w:lang w:val="sr-Latn-ME"/>
        </w:rPr>
      </w:pPr>
      <w:r w:rsidRPr="008E586D">
        <w:rPr>
          <w:sz w:val="22"/>
          <w:szCs w:val="22"/>
          <w:lang w:val="sr-Latn-ME"/>
        </w:rPr>
        <w:t>NA – nije primjenjivo; * - statistički značajna razlika</w:t>
      </w:r>
    </w:p>
    <w:p w:rsidR="007A62C0" w:rsidRPr="008E586D" w:rsidRDefault="007A62C0" w:rsidP="00BB6B8D">
      <w:pPr>
        <w:spacing w:before="111"/>
        <w:ind w:left="407"/>
        <w:rPr>
          <w:sz w:val="22"/>
          <w:szCs w:val="22"/>
          <w:lang w:val="sr-Latn-ME"/>
        </w:rPr>
      </w:pPr>
    </w:p>
    <w:p w:rsidR="00BB6B8D" w:rsidRPr="008E586D" w:rsidRDefault="00BB6B8D" w:rsidP="007A62C0">
      <w:pPr>
        <w:suppressAutoHyphens/>
        <w:spacing w:before="74" w:after="140"/>
        <w:ind w:right="152"/>
        <w:jc w:val="both"/>
        <w:rPr>
          <w:rFonts w:eastAsia="Calibri"/>
          <w:sz w:val="22"/>
          <w:szCs w:val="22"/>
          <w:lang w:val="sr-Latn-ME" w:eastAsia="zh-CN"/>
        </w:rPr>
      </w:pPr>
      <w:r w:rsidRPr="008E586D">
        <w:rPr>
          <w:rFonts w:eastAsia="Calibri"/>
          <w:sz w:val="22"/>
          <w:szCs w:val="22"/>
          <w:lang w:val="sr-Latn-ME" w:eastAsia="zh-CN"/>
        </w:rPr>
        <w:t xml:space="preserve">U studijama faze II, sprovedene </w:t>
      </w:r>
      <w:r w:rsidR="0037288D" w:rsidRPr="008E586D">
        <w:rPr>
          <w:rFonts w:eastAsia="Calibri"/>
          <w:sz w:val="22"/>
          <w:szCs w:val="22"/>
          <w:lang w:val="sr-Latn-ME" w:eastAsia="zh-CN"/>
        </w:rPr>
        <w:t xml:space="preserve">kod </w:t>
      </w:r>
      <w:r w:rsidRPr="008E586D">
        <w:rPr>
          <w:rFonts w:eastAsia="Calibri"/>
          <w:sz w:val="22"/>
          <w:szCs w:val="22"/>
          <w:lang w:val="sr-Latn-ME" w:eastAsia="zh-CN"/>
        </w:rPr>
        <w:t xml:space="preserve">455 pacijenata sa doznim režimom na svake 3 nedjelje, preživljavanje bez progresije bolesti </w:t>
      </w:r>
      <w:r w:rsidR="00873E8A" w:rsidRPr="008E586D">
        <w:rPr>
          <w:rFonts w:eastAsia="Calibri"/>
          <w:sz w:val="22"/>
          <w:szCs w:val="22"/>
          <w:lang w:val="sr-Latn-ME" w:eastAsia="zh-CN"/>
        </w:rPr>
        <w:t>poslije</w:t>
      </w:r>
      <w:r w:rsidRPr="008E586D">
        <w:rPr>
          <w:rFonts w:eastAsia="Calibri"/>
          <w:sz w:val="22"/>
          <w:szCs w:val="22"/>
          <w:lang w:val="sr-Latn-ME" w:eastAsia="zh-CN"/>
        </w:rPr>
        <w:t xml:space="preserve"> 6 mjeseci bilo je 30%, a medijana preživljavanja je bila 9 mjeseci. </w:t>
      </w:r>
      <w:r w:rsidR="0037288D" w:rsidRPr="008E586D">
        <w:rPr>
          <w:rFonts w:eastAsia="Calibri"/>
          <w:sz w:val="22"/>
          <w:szCs w:val="22"/>
          <w:lang w:val="sr-Latn-ME" w:eastAsia="zh-CN"/>
        </w:rPr>
        <w:t>Medijana vremena</w:t>
      </w:r>
      <w:r w:rsidRPr="008E586D">
        <w:rPr>
          <w:rFonts w:eastAsia="Calibri"/>
          <w:sz w:val="22"/>
          <w:szCs w:val="22"/>
          <w:lang w:val="sr-Latn-ME" w:eastAsia="zh-CN"/>
        </w:rPr>
        <w:t xml:space="preserve"> do progresije bolesti </w:t>
      </w:r>
      <w:r w:rsidR="0037288D" w:rsidRPr="008E586D">
        <w:rPr>
          <w:rFonts w:eastAsia="Calibri"/>
          <w:sz w:val="22"/>
          <w:szCs w:val="22"/>
          <w:lang w:val="sr-Latn-ME" w:eastAsia="zh-CN"/>
        </w:rPr>
        <w:t xml:space="preserve">bila </w:t>
      </w:r>
      <w:r w:rsidRPr="008E586D">
        <w:rPr>
          <w:rFonts w:eastAsia="Calibri"/>
          <w:sz w:val="22"/>
          <w:szCs w:val="22"/>
          <w:lang w:val="sr-Latn-ME" w:eastAsia="zh-CN"/>
        </w:rPr>
        <w:t>je 18 nedjelja.</w:t>
      </w:r>
    </w:p>
    <w:p w:rsidR="00BB6B8D" w:rsidRPr="008E586D" w:rsidRDefault="00BB6B8D" w:rsidP="007A62C0">
      <w:pPr>
        <w:suppressAutoHyphens/>
        <w:spacing w:before="120" w:after="140"/>
        <w:ind w:right="151"/>
        <w:jc w:val="both"/>
        <w:rPr>
          <w:rFonts w:eastAsia="Calibri"/>
          <w:sz w:val="22"/>
          <w:szCs w:val="22"/>
          <w:lang w:val="sr-Latn-ME" w:eastAsia="zh-CN"/>
        </w:rPr>
      </w:pPr>
      <w:r w:rsidRPr="008E586D">
        <w:rPr>
          <w:rFonts w:eastAsia="Calibri"/>
          <w:sz w:val="22"/>
          <w:szCs w:val="22"/>
          <w:lang w:val="sr-Latn-ME" w:eastAsia="zh-CN"/>
        </w:rPr>
        <w:t xml:space="preserve">Dodatno, nekomparativna studija faze II sprovedena je na 304 pacijenta sa </w:t>
      </w:r>
      <w:r w:rsidRPr="008E586D">
        <w:rPr>
          <w:rFonts w:eastAsia="Calibri"/>
          <w:spacing w:val="-3"/>
          <w:sz w:val="22"/>
          <w:szCs w:val="22"/>
          <w:lang w:val="sr-Latn-ME" w:eastAsia="zh-CN"/>
        </w:rPr>
        <w:t xml:space="preserve">nedeljnim </w:t>
      </w:r>
      <w:r w:rsidRPr="008E586D">
        <w:rPr>
          <w:rFonts w:eastAsia="Calibri"/>
          <w:sz w:val="22"/>
          <w:szCs w:val="22"/>
          <w:lang w:val="sr-Latn-ME" w:eastAsia="zh-CN"/>
        </w:rPr>
        <w:t xml:space="preserve">režimom doziranja u dozi od 125 </w:t>
      </w:r>
      <w:r w:rsidRPr="008E586D">
        <w:rPr>
          <w:rFonts w:eastAsia="Calibri"/>
          <w:spacing w:val="-3"/>
          <w:sz w:val="22"/>
          <w:szCs w:val="22"/>
          <w:lang w:val="sr-Latn-ME" w:eastAsia="zh-CN"/>
        </w:rPr>
        <w:t>mg/m</w:t>
      </w:r>
      <w:r w:rsidRPr="008E586D">
        <w:rPr>
          <w:rFonts w:eastAsia="Calibri"/>
          <w:spacing w:val="-3"/>
          <w:sz w:val="22"/>
          <w:szCs w:val="22"/>
          <w:vertAlign w:val="superscript"/>
          <w:lang w:val="sr-Latn-ME" w:eastAsia="zh-CN"/>
        </w:rPr>
        <w:t>2</w:t>
      </w:r>
      <w:r w:rsidRPr="008E586D">
        <w:rPr>
          <w:rFonts w:eastAsia="Calibri"/>
          <w:spacing w:val="-3"/>
          <w:sz w:val="22"/>
          <w:szCs w:val="22"/>
          <w:lang w:val="sr-Latn-ME" w:eastAsia="zh-CN"/>
        </w:rPr>
        <w:t xml:space="preserve"> </w:t>
      </w:r>
      <w:r w:rsidRPr="008E586D">
        <w:rPr>
          <w:rFonts w:eastAsia="Calibri"/>
          <w:sz w:val="22"/>
          <w:szCs w:val="22"/>
          <w:lang w:val="sr-Latn-ME" w:eastAsia="zh-CN"/>
        </w:rPr>
        <w:t xml:space="preserve">primijenjeno kao 90-minutna intravenska infuzija tokom 4 uzastopne nedjelje nakon kojih slijedi 2 nedjelje pauze. U ovim studijama medijana vremena do progresije bolesti je bila 17 nedjelja i medijana preživljavanja je bila 10 mjeseci. Sličan bezbjednosni profil je zapažen kod 193 pacijenta sa režimom doziranja na nedjelju dana sa početnom </w:t>
      </w:r>
      <w:r w:rsidRPr="008E586D">
        <w:rPr>
          <w:rFonts w:eastAsia="Calibri"/>
          <w:spacing w:val="-3"/>
          <w:sz w:val="22"/>
          <w:szCs w:val="22"/>
          <w:lang w:val="sr-Latn-ME" w:eastAsia="zh-CN"/>
        </w:rPr>
        <w:t xml:space="preserve">dozom </w:t>
      </w:r>
      <w:r w:rsidRPr="008E586D">
        <w:rPr>
          <w:rFonts w:eastAsia="Calibri"/>
          <w:sz w:val="22"/>
          <w:szCs w:val="22"/>
          <w:lang w:val="sr-Latn-ME" w:eastAsia="zh-CN"/>
        </w:rPr>
        <w:t>od 125 mg/m</w:t>
      </w:r>
      <w:r w:rsidRPr="008E586D">
        <w:rPr>
          <w:rFonts w:eastAsia="Calibri"/>
          <w:sz w:val="22"/>
          <w:szCs w:val="22"/>
          <w:vertAlign w:val="superscript"/>
          <w:lang w:val="sr-Latn-ME" w:eastAsia="zh-CN"/>
        </w:rPr>
        <w:t>2</w:t>
      </w:r>
      <w:r w:rsidRPr="008E586D">
        <w:rPr>
          <w:rFonts w:eastAsia="Calibri"/>
          <w:sz w:val="22"/>
          <w:szCs w:val="22"/>
          <w:lang w:val="sr-Latn-ME" w:eastAsia="zh-CN"/>
        </w:rPr>
        <w:t>, u poređenju sa doznim režimom na svake 3 nedjelje. Srednje vrijeme do pojave prve tečne stolice bilo je 11</w:t>
      </w:r>
      <w:r w:rsidRPr="008E586D">
        <w:rPr>
          <w:rFonts w:eastAsia="Calibri"/>
          <w:spacing w:val="-15"/>
          <w:sz w:val="22"/>
          <w:szCs w:val="22"/>
          <w:lang w:val="sr-Latn-ME" w:eastAsia="zh-CN"/>
        </w:rPr>
        <w:t xml:space="preserve"> </w:t>
      </w:r>
      <w:r w:rsidRPr="008E586D">
        <w:rPr>
          <w:rFonts w:eastAsia="Calibri"/>
          <w:sz w:val="22"/>
          <w:szCs w:val="22"/>
          <w:lang w:val="sr-Latn-ME" w:eastAsia="zh-CN"/>
        </w:rPr>
        <w:t>dana.</w:t>
      </w:r>
    </w:p>
    <w:p w:rsidR="00BB6B8D" w:rsidRPr="008E586D" w:rsidRDefault="00BB6B8D" w:rsidP="007A62C0">
      <w:pPr>
        <w:keepNext/>
        <w:keepLines/>
        <w:spacing w:before="240"/>
        <w:ind w:right="152"/>
        <w:jc w:val="both"/>
        <w:outlineLvl w:val="0"/>
        <w:rPr>
          <w:rFonts w:eastAsiaTheme="majorEastAsia"/>
          <w:b/>
          <w:sz w:val="22"/>
          <w:szCs w:val="22"/>
          <w:lang w:val="sr-Latn-ME"/>
        </w:rPr>
      </w:pPr>
      <w:r w:rsidRPr="008E586D">
        <w:rPr>
          <w:rFonts w:eastAsiaTheme="majorEastAsia"/>
          <w:b/>
          <w:sz w:val="22"/>
          <w:szCs w:val="22"/>
          <w:u w:val="single"/>
          <w:lang w:val="sr-Latn-ME"/>
        </w:rPr>
        <w:t>U kombinovanoj terapiji sa cetuksimabom nakon neuspjeha citotoksične terapije koja uključuje irinotekan</w:t>
      </w:r>
      <w:r w:rsidR="007A62C0" w:rsidRPr="008E586D">
        <w:rPr>
          <w:rFonts w:eastAsiaTheme="majorEastAsia"/>
          <w:b/>
          <w:sz w:val="22"/>
          <w:szCs w:val="22"/>
          <w:u w:val="single"/>
          <w:lang w:val="sr-Latn-ME"/>
        </w:rPr>
        <w:t>:</w:t>
      </w:r>
    </w:p>
    <w:p w:rsidR="00BB6B8D" w:rsidRPr="008E586D" w:rsidRDefault="00BB6B8D" w:rsidP="007A62C0">
      <w:pPr>
        <w:suppressAutoHyphens/>
        <w:spacing w:before="118" w:after="140"/>
        <w:ind w:right="152"/>
        <w:jc w:val="both"/>
        <w:rPr>
          <w:rFonts w:eastAsia="Calibri"/>
          <w:sz w:val="22"/>
          <w:szCs w:val="22"/>
          <w:lang w:val="sr-Latn-ME" w:eastAsia="zh-CN"/>
        </w:rPr>
      </w:pPr>
      <w:r w:rsidRPr="008E586D">
        <w:rPr>
          <w:rFonts w:eastAsia="Calibri"/>
          <w:sz w:val="22"/>
          <w:szCs w:val="22"/>
          <w:lang w:val="sr-Latn-ME" w:eastAsia="zh-CN"/>
        </w:rPr>
        <w:t xml:space="preserve">Efikasnost kombinacije cetuksimaba i irinotekana ispitana je u dvije kliničke studije. Ukupno 356 pacijenta sa metastatskim kolorektalnim karcinomom koji eksprimira receptore za EGFR i kod kojih je prethodna primjena citotoksičnog protokola sa irinotekanom bila neuspješna su primili kombinovanu terapiju. Kod ovih pacijenata </w:t>
      </w:r>
      <w:r w:rsidRPr="008E586D">
        <w:rPr>
          <w:rFonts w:eastAsia="Calibri"/>
          <w:i/>
          <w:sz w:val="22"/>
          <w:szCs w:val="22"/>
          <w:lang w:val="sr-Latn-ME" w:eastAsia="zh-CN"/>
        </w:rPr>
        <w:t xml:space="preserve">Karnofsky </w:t>
      </w:r>
      <w:r w:rsidRPr="008E586D">
        <w:rPr>
          <w:rFonts w:eastAsia="Calibri"/>
          <w:sz w:val="22"/>
          <w:szCs w:val="22"/>
          <w:lang w:val="sr-Latn-ME" w:eastAsia="zh-CN"/>
        </w:rPr>
        <w:t>performans status nije bio manji od 60, a kod većine je bio</w:t>
      </w:r>
      <w:r w:rsidRPr="008E586D">
        <w:rPr>
          <w:rFonts w:eastAsia="Calibri"/>
          <w:spacing w:val="-16"/>
          <w:sz w:val="22"/>
          <w:szCs w:val="22"/>
          <w:lang w:val="sr-Latn-ME" w:eastAsia="zh-CN"/>
        </w:rPr>
        <w:t xml:space="preserve"> </w:t>
      </w:r>
      <w:r w:rsidRPr="008E586D">
        <w:rPr>
          <w:rFonts w:eastAsia="Calibri"/>
          <w:sz w:val="22"/>
          <w:szCs w:val="22"/>
          <w:lang w:val="sr-Latn-ME" w:eastAsia="zh-CN"/>
        </w:rPr>
        <w:t>≥80.</w:t>
      </w:r>
    </w:p>
    <w:p w:rsidR="00BB6B8D" w:rsidRPr="008E586D" w:rsidRDefault="00BB6B8D" w:rsidP="007A62C0">
      <w:pPr>
        <w:suppressAutoHyphens/>
        <w:spacing w:before="119" w:after="140"/>
        <w:ind w:right="152"/>
        <w:jc w:val="both"/>
        <w:rPr>
          <w:rFonts w:eastAsia="Calibri"/>
          <w:sz w:val="22"/>
          <w:szCs w:val="22"/>
          <w:lang w:val="sr-Latn-ME" w:eastAsia="zh-CN"/>
        </w:rPr>
      </w:pPr>
      <w:r w:rsidRPr="008E586D">
        <w:rPr>
          <w:rFonts w:eastAsia="Calibri"/>
          <w:sz w:val="22"/>
          <w:szCs w:val="22"/>
          <w:lang w:val="sr-Latn-ME" w:eastAsia="zh-CN"/>
        </w:rPr>
        <w:t>EMR 62 202-007: U ovoj randomizovanoj studiji upoređena je kombinacija cetuksimaba i irinotekana (218 pacijenata) sa monoterapijom cetuksimabom (111 pacijenata).</w:t>
      </w:r>
    </w:p>
    <w:p w:rsidR="00BB6B8D" w:rsidRPr="008E586D" w:rsidRDefault="00BB6B8D" w:rsidP="007A62C0">
      <w:pPr>
        <w:suppressAutoHyphens/>
        <w:spacing w:before="118" w:after="140"/>
        <w:ind w:right="151"/>
        <w:jc w:val="both"/>
        <w:rPr>
          <w:rFonts w:eastAsia="Calibri"/>
          <w:sz w:val="22"/>
          <w:szCs w:val="22"/>
          <w:lang w:val="sr-Latn-ME" w:eastAsia="zh-CN"/>
        </w:rPr>
      </w:pPr>
      <w:r w:rsidRPr="008E586D">
        <w:rPr>
          <w:rFonts w:eastAsia="Calibri"/>
          <w:sz w:val="22"/>
          <w:szCs w:val="22"/>
          <w:lang w:val="sr-Latn-ME" w:eastAsia="zh-CN"/>
        </w:rPr>
        <w:t>IMCL CP02-9923: U ovoj otvorenoj studiji sa jednom terapijskom grupom ispitana je kombinovana terapija na 138 pacijenata.</w:t>
      </w:r>
    </w:p>
    <w:p w:rsidR="00BB6B8D" w:rsidRDefault="00BB6B8D" w:rsidP="00BB6B8D">
      <w:pPr>
        <w:suppressAutoHyphens/>
        <w:spacing w:after="140" w:line="288" w:lineRule="auto"/>
        <w:jc w:val="both"/>
        <w:rPr>
          <w:rFonts w:eastAsia="Calibri"/>
          <w:sz w:val="22"/>
          <w:szCs w:val="22"/>
          <w:lang w:val="sr-Latn-ME" w:eastAsia="zh-CN"/>
        </w:rPr>
      </w:pPr>
      <w:r w:rsidRPr="008E586D">
        <w:rPr>
          <w:rFonts w:eastAsia="Calibri"/>
          <w:sz w:val="22"/>
          <w:szCs w:val="22"/>
          <w:lang w:val="sr-Latn-ME" w:eastAsia="zh-CN"/>
        </w:rPr>
        <w:t xml:space="preserve">Podaci o efikasnosti ljekova iz ovih studija prikazani su u </w:t>
      </w:r>
      <w:r w:rsidR="00F3602A" w:rsidRPr="008E586D">
        <w:rPr>
          <w:rFonts w:eastAsia="Calibri"/>
          <w:sz w:val="22"/>
          <w:szCs w:val="22"/>
          <w:lang w:val="sr-Latn-ME" w:eastAsia="zh-CN"/>
        </w:rPr>
        <w:t>sljede</w:t>
      </w:r>
      <w:r w:rsidRPr="008E586D">
        <w:rPr>
          <w:rFonts w:eastAsia="Calibri"/>
          <w:sz w:val="22"/>
          <w:szCs w:val="22"/>
          <w:lang w:val="sr-Latn-ME" w:eastAsia="zh-CN"/>
        </w:rPr>
        <w:t>ćoj tabeli:</w:t>
      </w:r>
    </w:p>
    <w:p w:rsidR="00C35299" w:rsidRDefault="00C35299" w:rsidP="00BB6B8D">
      <w:pPr>
        <w:suppressAutoHyphens/>
        <w:spacing w:after="140" w:line="288" w:lineRule="auto"/>
        <w:jc w:val="both"/>
        <w:rPr>
          <w:rFonts w:eastAsia="Calibri"/>
          <w:sz w:val="22"/>
          <w:szCs w:val="22"/>
          <w:lang w:val="sr-Latn-ME" w:eastAsia="zh-CN"/>
        </w:rPr>
      </w:pPr>
    </w:p>
    <w:p w:rsidR="00C35299" w:rsidRDefault="00C35299" w:rsidP="00BB6B8D">
      <w:pPr>
        <w:suppressAutoHyphens/>
        <w:spacing w:after="140" w:line="288" w:lineRule="auto"/>
        <w:jc w:val="both"/>
        <w:rPr>
          <w:rFonts w:eastAsia="Calibri"/>
          <w:sz w:val="22"/>
          <w:szCs w:val="22"/>
          <w:lang w:val="sr-Latn-ME" w:eastAsia="zh-CN"/>
        </w:rPr>
      </w:pPr>
    </w:p>
    <w:p w:rsidR="00C35299" w:rsidRDefault="00C35299" w:rsidP="00BB6B8D">
      <w:pPr>
        <w:suppressAutoHyphens/>
        <w:spacing w:after="140" w:line="288" w:lineRule="auto"/>
        <w:jc w:val="both"/>
        <w:rPr>
          <w:rFonts w:eastAsia="Calibri"/>
          <w:sz w:val="22"/>
          <w:szCs w:val="22"/>
          <w:lang w:val="sr-Latn-ME" w:eastAsia="zh-CN"/>
        </w:rPr>
      </w:pPr>
    </w:p>
    <w:p w:rsidR="00C35299" w:rsidRDefault="00C35299" w:rsidP="00BB6B8D">
      <w:pPr>
        <w:suppressAutoHyphens/>
        <w:spacing w:after="140" w:line="288" w:lineRule="auto"/>
        <w:jc w:val="both"/>
        <w:rPr>
          <w:rFonts w:eastAsia="Calibri"/>
          <w:sz w:val="22"/>
          <w:szCs w:val="22"/>
          <w:lang w:val="sr-Latn-ME" w:eastAsia="zh-CN"/>
        </w:rPr>
      </w:pPr>
    </w:p>
    <w:p w:rsidR="00C35299" w:rsidRPr="008E586D" w:rsidRDefault="00C35299" w:rsidP="00BB6B8D">
      <w:pPr>
        <w:suppressAutoHyphens/>
        <w:spacing w:after="140" w:line="288" w:lineRule="auto"/>
        <w:jc w:val="both"/>
        <w:rPr>
          <w:rFonts w:eastAsia="Calibri"/>
          <w:sz w:val="22"/>
          <w:szCs w:val="22"/>
          <w:lang w:val="sr-Latn-ME" w:eastAsia="zh-CN"/>
        </w:rPr>
      </w:pPr>
    </w:p>
    <w:tbl>
      <w:tblPr>
        <w:tblW w:w="9317"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34"/>
        <w:gridCol w:w="706"/>
        <w:gridCol w:w="855"/>
        <w:gridCol w:w="140"/>
        <w:gridCol w:w="850"/>
        <w:gridCol w:w="994"/>
        <w:gridCol w:w="850"/>
        <w:gridCol w:w="994"/>
        <w:gridCol w:w="850"/>
        <w:gridCol w:w="994"/>
        <w:gridCol w:w="850"/>
      </w:tblGrid>
      <w:tr w:rsidR="00BB6B8D" w:rsidRPr="008E586D" w:rsidTr="00BB6B8D">
        <w:trPr>
          <w:trHeight w:val="374"/>
        </w:trPr>
        <w:tc>
          <w:tcPr>
            <w:tcW w:w="1234" w:type="dxa"/>
          </w:tcPr>
          <w:p w:rsidR="00BB6B8D" w:rsidRPr="008E586D" w:rsidRDefault="00BB6B8D" w:rsidP="00043878">
            <w:pPr>
              <w:pStyle w:val="TableParagraph"/>
              <w:spacing w:line="244" w:lineRule="exact"/>
              <w:ind w:left="306"/>
              <w:rPr>
                <w:lang w:val="sr-Latn-ME"/>
              </w:rPr>
            </w:pPr>
            <w:r w:rsidRPr="008E586D">
              <w:rPr>
                <w:lang w:val="sr-Latn-ME"/>
              </w:rPr>
              <w:lastRenderedPageBreak/>
              <w:t>Studija</w:t>
            </w:r>
          </w:p>
        </w:tc>
        <w:tc>
          <w:tcPr>
            <w:tcW w:w="706" w:type="dxa"/>
          </w:tcPr>
          <w:p w:rsidR="00BB6B8D" w:rsidRPr="008E586D" w:rsidRDefault="00BB6B8D" w:rsidP="00043878">
            <w:pPr>
              <w:pStyle w:val="TableParagraph"/>
              <w:spacing w:line="244" w:lineRule="exact"/>
              <w:ind w:left="9"/>
              <w:jc w:val="center"/>
              <w:rPr>
                <w:lang w:val="sr-Latn-ME"/>
              </w:rPr>
            </w:pPr>
            <w:r w:rsidRPr="008E586D">
              <w:rPr>
                <w:lang w:val="sr-Latn-ME"/>
              </w:rPr>
              <w:t>N</w:t>
            </w:r>
          </w:p>
        </w:tc>
        <w:tc>
          <w:tcPr>
            <w:tcW w:w="1845" w:type="dxa"/>
            <w:gridSpan w:val="3"/>
          </w:tcPr>
          <w:p w:rsidR="00BB6B8D" w:rsidRPr="008E586D" w:rsidRDefault="00BB6B8D" w:rsidP="00043878">
            <w:pPr>
              <w:pStyle w:val="TableParagraph"/>
              <w:spacing w:line="244" w:lineRule="exact"/>
              <w:ind w:left="675" w:right="666"/>
              <w:jc w:val="center"/>
              <w:rPr>
                <w:lang w:val="sr-Latn-ME"/>
              </w:rPr>
            </w:pPr>
            <w:r w:rsidRPr="008E586D">
              <w:rPr>
                <w:lang w:val="sr-Latn-ME"/>
              </w:rPr>
              <w:t>ORR</w:t>
            </w:r>
          </w:p>
        </w:tc>
        <w:tc>
          <w:tcPr>
            <w:tcW w:w="1844" w:type="dxa"/>
            <w:gridSpan w:val="2"/>
          </w:tcPr>
          <w:p w:rsidR="00BB6B8D" w:rsidRPr="008E586D" w:rsidRDefault="00BB6B8D" w:rsidP="00043878">
            <w:pPr>
              <w:pStyle w:val="TableParagraph"/>
              <w:spacing w:line="244" w:lineRule="exact"/>
              <w:ind w:left="673" w:right="667"/>
              <w:jc w:val="center"/>
              <w:rPr>
                <w:lang w:val="sr-Latn-ME"/>
              </w:rPr>
            </w:pPr>
            <w:r w:rsidRPr="008E586D">
              <w:rPr>
                <w:lang w:val="sr-Latn-ME"/>
              </w:rPr>
              <w:t>DCR</w:t>
            </w:r>
          </w:p>
        </w:tc>
        <w:tc>
          <w:tcPr>
            <w:tcW w:w="1844" w:type="dxa"/>
            <w:gridSpan w:val="2"/>
          </w:tcPr>
          <w:p w:rsidR="00BB6B8D" w:rsidRPr="008E586D" w:rsidRDefault="00BB6B8D" w:rsidP="00043878">
            <w:pPr>
              <w:pStyle w:val="TableParagraph"/>
              <w:spacing w:line="244" w:lineRule="exact"/>
              <w:ind w:left="327"/>
              <w:rPr>
                <w:lang w:val="sr-Latn-ME"/>
              </w:rPr>
            </w:pPr>
            <w:r w:rsidRPr="008E586D">
              <w:rPr>
                <w:lang w:val="sr-Latn-ME"/>
              </w:rPr>
              <w:t>PFS (mjeseci)</w:t>
            </w:r>
          </w:p>
        </w:tc>
        <w:tc>
          <w:tcPr>
            <w:tcW w:w="1844" w:type="dxa"/>
            <w:gridSpan w:val="2"/>
          </w:tcPr>
          <w:p w:rsidR="00BB6B8D" w:rsidRPr="008E586D" w:rsidRDefault="00BB6B8D" w:rsidP="00043878">
            <w:pPr>
              <w:pStyle w:val="TableParagraph"/>
              <w:spacing w:line="244" w:lineRule="exact"/>
              <w:ind w:left="370"/>
              <w:rPr>
                <w:lang w:val="sr-Latn-ME"/>
              </w:rPr>
            </w:pPr>
            <w:r w:rsidRPr="008E586D">
              <w:rPr>
                <w:lang w:val="sr-Latn-ME"/>
              </w:rPr>
              <w:t>OS (mjeseci)</w:t>
            </w:r>
          </w:p>
        </w:tc>
      </w:tr>
      <w:tr w:rsidR="00BB6B8D" w:rsidRPr="008E586D" w:rsidTr="00BB6B8D">
        <w:trPr>
          <w:trHeight w:val="373"/>
        </w:trPr>
        <w:tc>
          <w:tcPr>
            <w:tcW w:w="1940" w:type="dxa"/>
            <w:gridSpan w:val="2"/>
          </w:tcPr>
          <w:p w:rsidR="00BB6B8D" w:rsidRPr="008E586D" w:rsidRDefault="00BB6B8D" w:rsidP="00043878">
            <w:pPr>
              <w:pStyle w:val="TableParagraph"/>
              <w:ind w:left="0"/>
              <w:rPr>
                <w:lang w:val="sr-Latn-ME"/>
              </w:rPr>
            </w:pPr>
          </w:p>
        </w:tc>
        <w:tc>
          <w:tcPr>
            <w:tcW w:w="995" w:type="dxa"/>
            <w:gridSpan w:val="2"/>
          </w:tcPr>
          <w:p w:rsidR="00BB6B8D" w:rsidRPr="008E586D" w:rsidRDefault="00BB6B8D" w:rsidP="00043878">
            <w:pPr>
              <w:pStyle w:val="TableParagraph"/>
              <w:spacing w:line="244" w:lineRule="exact"/>
              <w:ind w:left="248"/>
              <w:rPr>
                <w:lang w:val="sr-Latn-ME"/>
              </w:rPr>
            </w:pPr>
            <w:r w:rsidRPr="008E586D">
              <w:rPr>
                <w:lang w:val="sr-Latn-ME"/>
              </w:rPr>
              <w:t>n (%)</w:t>
            </w:r>
          </w:p>
        </w:tc>
        <w:tc>
          <w:tcPr>
            <w:tcW w:w="850" w:type="dxa"/>
          </w:tcPr>
          <w:p w:rsidR="00BB6B8D" w:rsidRPr="008E586D" w:rsidRDefault="00BB6B8D" w:rsidP="00043878">
            <w:pPr>
              <w:pStyle w:val="TableParagraph"/>
              <w:spacing w:line="244" w:lineRule="exact"/>
              <w:ind w:left="136"/>
              <w:rPr>
                <w:lang w:val="sr-Latn-ME"/>
              </w:rPr>
            </w:pPr>
            <w:r w:rsidRPr="008E586D">
              <w:rPr>
                <w:lang w:val="sr-Latn-ME"/>
              </w:rPr>
              <w:t>95%CI</w:t>
            </w:r>
          </w:p>
        </w:tc>
        <w:tc>
          <w:tcPr>
            <w:tcW w:w="994" w:type="dxa"/>
          </w:tcPr>
          <w:p w:rsidR="00BB6B8D" w:rsidRPr="008E586D" w:rsidRDefault="00BB6B8D" w:rsidP="00043878">
            <w:pPr>
              <w:pStyle w:val="TableParagraph"/>
              <w:spacing w:line="244" w:lineRule="exact"/>
              <w:ind w:left="246"/>
              <w:rPr>
                <w:lang w:val="sr-Latn-ME"/>
              </w:rPr>
            </w:pPr>
            <w:r w:rsidRPr="008E586D">
              <w:rPr>
                <w:lang w:val="sr-Latn-ME"/>
              </w:rPr>
              <w:t>n (%)</w:t>
            </w:r>
          </w:p>
        </w:tc>
        <w:tc>
          <w:tcPr>
            <w:tcW w:w="850" w:type="dxa"/>
          </w:tcPr>
          <w:p w:rsidR="00BB6B8D" w:rsidRPr="008E586D" w:rsidRDefault="00BB6B8D" w:rsidP="00043878">
            <w:pPr>
              <w:pStyle w:val="TableParagraph"/>
              <w:spacing w:line="244" w:lineRule="exact"/>
              <w:ind w:left="111"/>
              <w:rPr>
                <w:lang w:val="sr-Latn-ME"/>
              </w:rPr>
            </w:pPr>
            <w:r w:rsidRPr="008E586D">
              <w:rPr>
                <w:lang w:val="sr-Latn-ME"/>
              </w:rPr>
              <w:t>95%CI</w:t>
            </w:r>
          </w:p>
        </w:tc>
        <w:tc>
          <w:tcPr>
            <w:tcW w:w="994" w:type="dxa"/>
          </w:tcPr>
          <w:p w:rsidR="00BB6B8D" w:rsidRPr="008E586D" w:rsidRDefault="00BB6B8D" w:rsidP="00043878">
            <w:pPr>
              <w:pStyle w:val="TableParagraph"/>
              <w:spacing w:line="244" w:lineRule="exact"/>
              <w:ind w:left="56" w:right="56"/>
              <w:jc w:val="center"/>
              <w:rPr>
                <w:lang w:val="sr-Latn-ME"/>
              </w:rPr>
            </w:pPr>
            <w:r w:rsidRPr="008E586D">
              <w:rPr>
                <w:lang w:val="sr-Latn-ME"/>
              </w:rPr>
              <w:t>Medijana</w:t>
            </w:r>
          </w:p>
        </w:tc>
        <w:tc>
          <w:tcPr>
            <w:tcW w:w="850" w:type="dxa"/>
          </w:tcPr>
          <w:p w:rsidR="00BB6B8D" w:rsidRPr="008E586D" w:rsidRDefault="00BB6B8D" w:rsidP="00043878">
            <w:pPr>
              <w:pStyle w:val="TableParagraph"/>
              <w:spacing w:line="244" w:lineRule="exact"/>
              <w:ind w:left="111"/>
              <w:rPr>
                <w:lang w:val="sr-Latn-ME"/>
              </w:rPr>
            </w:pPr>
            <w:r w:rsidRPr="008E586D">
              <w:rPr>
                <w:lang w:val="sr-Latn-ME"/>
              </w:rPr>
              <w:t>95%CI</w:t>
            </w:r>
          </w:p>
        </w:tc>
        <w:tc>
          <w:tcPr>
            <w:tcW w:w="994" w:type="dxa"/>
          </w:tcPr>
          <w:p w:rsidR="00BB6B8D" w:rsidRPr="008E586D" w:rsidRDefault="00BB6B8D" w:rsidP="00043878">
            <w:pPr>
              <w:pStyle w:val="TableParagraph"/>
              <w:spacing w:line="244" w:lineRule="exact"/>
              <w:ind w:left="55" w:right="56"/>
              <w:jc w:val="center"/>
              <w:rPr>
                <w:lang w:val="sr-Latn-ME"/>
              </w:rPr>
            </w:pPr>
            <w:r w:rsidRPr="008E586D">
              <w:rPr>
                <w:lang w:val="sr-Latn-ME"/>
              </w:rPr>
              <w:t>Medijana</w:t>
            </w:r>
          </w:p>
        </w:tc>
        <w:tc>
          <w:tcPr>
            <w:tcW w:w="850" w:type="dxa"/>
          </w:tcPr>
          <w:p w:rsidR="00BB6B8D" w:rsidRPr="008E586D" w:rsidRDefault="00BB6B8D" w:rsidP="00043878">
            <w:pPr>
              <w:pStyle w:val="TableParagraph"/>
              <w:spacing w:line="244" w:lineRule="exact"/>
              <w:rPr>
                <w:lang w:val="sr-Latn-ME"/>
              </w:rPr>
            </w:pPr>
            <w:r w:rsidRPr="008E586D">
              <w:rPr>
                <w:lang w:val="sr-Latn-ME"/>
              </w:rPr>
              <w:t>95%CI</w:t>
            </w:r>
          </w:p>
        </w:tc>
      </w:tr>
      <w:tr w:rsidR="00BB6B8D" w:rsidRPr="008E586D" w:rsidTr="00BB6B8D">
        <w:trPr>
          <w:trHeight w:val="373"/>
        </w:trPr>
        <w:tc>
          <w:tcPr>
            <w:tcW w:w="9317" w:type="dxa"/>
            <w:gridSpan w:val="11"/>
          </w:tcPr>
          <w:p w:rsidR="00BB6B8D" w:rsidRPr="008E586D" w:rsidRDefault="00BB6B8D" w:rsidP="00043878">
            <w:pPr>
              <w:pStyle w:val="TableParagraph"/>
              <w:spacing w:line="244" w:lineRule="exact"/>
              <w:rPr>
                <w:lang w:val="sr-Latn-ME"/>
              </w:rPr>
            </w:pPr>
            <w:r w:rsidRPr="008E586D">
              <w:rPr>
                <w:lang w:val="sr-Latn-ME"/>
              </w:rPr>
              <w:t>Cetuksimab + irinotekan</w:t>
            </w:r>
          </w:p>
        </w:tc>
      </w:tr>
      <w:tr w:rsidR="00BB6B8D" w:rsidRPr="008E586D" w:rsidTr="00BB6B8D">
        <w:trPr>
          <w:trHeight w:val="743"/>
        </w:trPr>
        <w:tc>
          <w:tcPr>
            <w:tcW w:w="1234" w:type="dxa"/>
          </w:tcPr>
          <w:p w:rsidR="00BB6B8D" w:rsidRPr="008E586D" w:rsidRDefault="00BB6B8D" w:rsidP="00043878">
            <w:pPr>
              <w:pStyle w:val="TableParagraph"/>
              <w:spacing w:line="244" w:lineRule="exact"/>
              <w:ind w:left="239"/>
              <w:rPr>
                <w:lang w:val="sr-Latn-ME"/>
              </w:rPr>
            </w:pPr>
            <w:r w:rsidRPr="008E586D">
              <w:rPr>
                <w:lang w:val="sr-Latn-ME"/>
              </w:rPr>
              <w:t>EMR</w:t>
            </w:r>
            <w:r w:rsidRPr="008E586D">
              <w:rPr>
                <w:spacing w:val="3"/>
                <w:lang w:val="sr-Latn-ME"/>
              </w:rPr>
              <w:t xml:space="preserve"> </w:t>
            </w:r>
            <w:r w:rsidRPr="008E586D">
              <w:rPr>
                <w:lang w:val="sr-Latn-ME"/>
              </w:rPr>
              <w:t>62</w:t>
            </w:r>
          </w:p>
          <w:p w:rsidR="00BB6B8D" w:rsidRPr="008E586D" w:rsidRDefault="00BB6B8D" w:rsidP="00043878">
            <w:pPr>
              <w:pStyle w:val="TableParagraph"/>
              <w:spacing w:before="116"/>
              <w:ind w:left="249"/>
              <w:rPr>
                <w:lang w:val="sr-Latn-ME"/>
              </w:rPr>
            </w:pPr>
            <w:r w:rsidRPr="008E586D">
              <w:rPr>
                <w:lang w:val="sr-Latn-ME"/>
              </w:rPr>
              <w:t>202-007</w:t>
            </w:r>
          </w:p>
        </w:tc>
        <w:tc>
          <w:tcPr>
            <w:tcW w:w="706" w:type="dxa"/>
          </w:tcPr>
          <w:p w:rsidR="00BB6B8D" w:rsidRPr="008E586D" w:rsidRDefault="00BB6B8D" w:rsidP="00043878">
            <w:pPr>
              <w:pStyle w:val="TableParagraph"/>
              <w:spacing w:before="4"/>
              <w:ind w:left="0"/>
              <w:rPr>
                <w:lang w:val="sr-Latn-ME"/>
              </w:rPr>
            </w:pPr>
          </w:p>
          <w:p w:rsidR="00BB6B8D" w:rsidRPr="008E586D" w:rsidRDefault="00BB6B8D" w:rsidP="00043878">
            <w:pPr>
              <w:pStyle w:val="TableParagraph"/>
              <w:ind w:left="167" w:right="159"/>
              <w:jc w:val="center"/>
              <w:rPr>
                <w:lang w:val="sr-Latn-ME"/>
              </w:rPr>
            </w:pPr>
            <w:r w:rsidRPr="008E586D">
              <w:rPr>
                <w:lang w:val="sr-Latn-ME"/>
              </w:rPr>
              <w:t>218</w:t>
            </w:r>
          </w:p>
        </w:tc>
        <w:tc>
          <w:tcPr>
            <w:tcW w:w="995" w:type="dxa"/>
            <w:gridSpan w:val="2"/>
          </w:tcPr>
          <w:p w:rsidR="00BB6B8D" w:rsidRPr="008E586D" w:rsidRDefault="00BB6B8D" w:rsidP="00043878">
            <w:pPr>
              <w:pStyle w:val="TableParagraph"/>
              <w:spacing w:before="49"/>
              <w:ind w:left="210" w:right="199"/>
              <w:jc w:val="center"/>
              <w:rPr>
                <w:lang w:val="sr-Latn-ME"/>
              </w:rPr>
            </w:pPr>
            <w:r w:rsidRPr="008E586D">
              <w:rPr>
                <w:lang w:val="sr-Latn-ME"/>
              </w:rPr>
              <w:t>50</w:t>
            </w:r>
          </w:p>
          <w:p w:rsidR="00BB6B8D" w:rsidRPr="008E586D" w:rsidRDefault="00BB6B8D" w:rsidP="00043878">
            <w:pPr>
              <w:pStyle w:val="TableParagraph"/>
              <w:spacing w:before="1"/>
              <w:ind w:left="210" w:right="202"/>
              <w:jc w:val="center"/>
              <w:rPr>
                <w:lang w:val="sr-Latn-ME"/>
              </w:rPr>
            </w:pPr>
            <w:r w:rsidRPr="008E586D">
              <w:rPr>
                <w:lang w:val="sr-Latn-ME"/>
              </w:rPr>
              <w:t>(22.9)</w:t>
            </w:r>
          </w:p>
        </w:tc>
        <w:tc>
          <w:tcPr>
            <w:tcW w:w="850" w:type="dxa"/>
          </w:tcPr>
          <w:p w:rsidR="00BB6B8D" w:rsidRPr="008E586D" w:rsidRDefault="00BB6B8D" w:rsidP="00043878">
            <w:pPr>
              <w:pStyle w:val="TableParagraph"/>
              <w:spacing w:before="49"/>
              <w:ind w:left="199"/>
              <w:rPr>
                <w:lang w:val="sr-Latn-ME"/>
              </w:rPr>
            </w:pPr>
            <w:r w:rsidRPr="008E586D">
              <w:rPr>
                <w:lang w:val="sr-Latn-ME"/>
              </w:rPr>
              <w:t>17.5;</w:t>
            </w:r>
          </w:p>
          <w:p w:rsidR="00BB6B8D" w:rsidRPr="008E586D" w:rsidRDefault="00BB6B8D" w:rsidP="00043878">
            <w:pPr>
              <w:pStyle w:val="TableParagraph"/>
              <w:spacing w:before="1"/>
              <w:ind w:left="232"/>
              <w:rPr>
                <w:lang w:val="sr-Latn-ME"/>
              </w:rPr>
            </w:pPr>
            <w:r w:rsidRPr="008E586D">
              <w:rPr>
                <w:lang w:val="sr-Latn-ME"/>
              </w:rPr>
              <w:t>29.1</w:t>
            </w:r>
          </w:p>
        </w:tc>
        <w:tc>
          <w:tcPr>
            <w:tcW w:w="994" w:type="dxa"/>
          </w:tcPr>
          <w:p w:rsidR="00BB6B8D" w:rsidRPr="008E586D" w:rsidRDefault="00BB6B8D" w:rsidP="00043878">
            <w:pPr>
              <w:pStyle w:val="TableParagraph"/>
              <w:spacing w:before="49"/>
              <w:ind w:left="56" w:right="52"/>
              <w:jc w:val="center"/>
              <w:rPr>
                <w:lang w:val="sr-Latn-ME"/>
              </w:rPr>
            </w:pPr>
            <w:r w:rsidRPr="008E586D">
              <w:rPr>
                <w:lang w:val="sr-Latn-ME"/>
              </w:rPr>
              <w:t>121</w:t>
            </w:r>
          </w:p>
          <w:p w:rsidR="00BB6B8D" w:rsidRPr="008E586D" w:rsidRDefault="00BB6B8D" w:rsidP="00043878">
            <w:pPr>
              <w:pStyle w:val="TableParagraph"/>
              <w:spacing w:before="1"/>
              <w:ind w:left="56" w:right="51"/>
              <w:jc w:val="center"/>
              <w:rPr>
                <w:lang w:val="sr-Latn-ME"/>
              </w:rPr>
            </w:pPr>
            <w:r w:rsidRPr="008E586D">
              <w:rPr>
                <w:lang w:val="sr-Latn-ME"/>
              </w:rPr>
              <w:t>(55.5)</w:t>
            </w:r>
          </w:p>
        </w:tc>
        <w:tc>
          <w:tcPr>
            <w:tcW w:w="850" w:type="dxa"/>
          </w:tcPr>
          <w:p w:rsidR="00BB6B8D" w:rsidRPr="008E586D" w:rsidRDefault="00BB6B8D" w:rsidP="00043878">
            <w:pPr>
              <w:pStyle w:val="TableParagraph"/>
              <w:spacing w:before="49"/>
              <w:ind w:left="198"/>
              <w:rPr>
                <w:lang w:val="sr-Latn-ME"/>
              </w:rPr>
            </w:pPr>
            <w:r w:rsidRPr="008E586D">
              <w:rPr>
                <w:lang w:val="sr-Latn-ME"/>
              </w:rPr>
              <w:t>48.6;</w:t>
            </w:r>
          </w:p>
          <w:p w:rsidR="00BB6B8D" w:rsidRPr="008E586D" w:rsidRDefault="00BB6B8D" w:rsidP="00043878">
            <w:pPr>
              <w:pStyle w:val="TableParagraph"/>
              <w:spacing w:before="1"/>
              <w:ind w:left="231"/>
              <w:rPr>
                <w:lang w:val="sr-Latn-ME"/>
              </w:rPr>
            </w:pPr>
            <w:r w:rsidRPr="008E586D">
              <w:rPr>
                <w:lang w:val="sr-Latn-ME"/>
              </w:rPr>
              <w:t>62.2</w:t>
            </w:r>
          </w:p>
        </w:tc>
        <w:tc>
          <w:tcPr>
            <w:tcW w:w="994" w:type="dxa"/>
          </w:tcPr>
          <w:p w:rsidR="00BB6B8D" w:rsidRPr="008E586D" w:rsidRDefault="00BB6B8D" w:rsidP="00043878">
            <w:pPr>
              <w:pStyle w:val="TableParagraph"/>
              <w:spacing w:before="173"/>
              <w:ind w:left="56" w:right="48"/>
              <w:jc w:val="center"/>
              <w:rPr>
                <w:lang w:val="sr-Latn-ME"/>
              </w:rPr>
            </w:pPr>
            <w:r w:rsidRPr="008E586D">
              <w:rPr>
                <w:lang w:val="sr-Latn-ME"/>
              </w:rPr>
              <w:t>4.1</w:t>
            </w:r>
          </w:p>
        </w:tc>
        <w:tc>
          <w:tcPr>
            <w:tcW w:w="850" w:type="dxa"/>
          </w:tcPr>
          <w:p w:rsidR="00BB6B8D" w:rsidRPr="008E586D" w:rsidRDefault="00BB6B8D" w:rsidP="00043878">
            <w:pPr>
              <w:pStyle w:val="TableParagraph"/>
              <w:spacing w:before="49"/>
              <w:ind w:left="255"/>
              <w:rPr>
                <w:lang w:val="sr-Latn-ME"/>
              </w:rPr>
            </w:pPr>
            <w:r w:rsidRPr="008E586D">
              <w:rPr>
                <w:lang w:val="sr-Latn-ME"/>
              </w:rPr>
              <w:t>2.8;</w:t>
            </w:r>
          </w:p>
          <w:p w:rsidR="00BB6B8D" w:rsidRPr="008E586D" w:rsidRDefault="00BB6B8D" w:rsidP="00043878">
            <w:pPr>
              <w:pStyle w:val="TableParagraph"/>
              <w:spacing w:before="1"/>
              <w:ind w:left="283"/>
              <w:rPr>
                <w:lang w:val="sr-Latn-ME"/>
              </w:rPr>
            </w:pPr>
            <w:r w:rsidRPr="008E586D">
              <w:rPr>
                <w:lang w:val="sr-Latn-ME"/>
              </w:rPr>
              <w:t>4.3</w:t>
            </w:r>
          </w:p>
        </w:tc>
        <w:tc>
          <w:tcPr>
            <w:tcW w:w="994" w:type="dxa"/>
          </w:tcPr>
          <w:p w:rsidR="00BB6B8D" w:rsidRPr="008E586D" w:rsidRDefault="00BB6B8D" w:rsidP="00043878">
            <w:pPr>
              <w:pStyle w:val="TableParagraph"/>
              <w:spacing w:before="173"/>
              <w:ind w:left="56" w:right="50"/>
              <w:jc w:val="center"/>
              <w:rPr>
                <w:lang w:val="sr-Latn-ME"/>
              </w:rPr>
            </w:pPr>
            <w:r w:rsidRPr="008E586D">
              <w:rPr>
                <w:lang w:val="sr-Latn-ME"/>
              </w:rPr>
              <w:t>8.6</w:t>
            </w:r>
          </w:p>
        </w:tc>
        <w:tc>
          <w:tcPr>
            <w:tcW w:w="850" w:type="dxa"/>
          </w:tcPr>
          <w:p w:rsidR="00BB6B8D" w:rsidRPr="008E586D" w:rsidRDefault="00BB6B8D" w:rsidP="00043878">
            <w:pPr>
              <w:pStyle w:val="TableParagraph"/>
              <w:spacing w:before="49"/>
              <w:ind w:left="254"/>
              <w:rPr>
                <w:lang w:val="sr-Latn-ME"/>
              </w:rPr>
            </w:pPr>
            <w:r w:rsidRPr="008E586D">
              <w:rPr>
                <w:lang w:val="sr-Latn-ME"/>
              </w:rPr>
              <w:t>7.6;</w:t>
            </w:r>
          </w:p>
          <w:p w:rsidR="00BB6B8D" w:rsidRPr="008E586D" w:rsidRDefault="00BB6B8D" w:rsidP="00043878">
            <w:pPr>
              <w:pStyle w:val="TableParagraph"/>
              <w:spacing w:before="1"/>
              <w:ind w:left="283"/>
              <w:rPr>
                <w:lang w:val="sr-Latn-ME"/>
              </w:rPr>
            </w:pPr>
            <w:r w:rsidRPr="008E586D">
              <w:rPr>
                <w:lang w:val="sr-Latn-ME"/>
              </w:rPr>
              <w:t>9.6</w:t>
            </w:r>
          </w:p>
        </w:tc>
      </w:tr>
      <w:tr w:rsidR="00BB6B8D" w:rsidRPr="008E586D" w:rsidTr="00BB6B8D">
        <w:trPr>
          <w:trHeight w:val="642"/>
        </w:trPr>
        <w:tc>
          <w:tcPr>
            <w:tcW w:w="1234" w:type="dxa"/>
          </w:tcPr>
          <w:p w:rsidR="00BB6B8D" w:rsidRPr="008E586D" w:rsidRDefault="00BB6B8D" w:rsidP="00043878">
            <w:pPr>
              <w:pStyle w:val="TableParagraph"/>
              <w:spacing w:before="1"/>
              <w:ind w:left="114" w:right="100" w:firstLine="225"/>
              <w:rPr>
                <w:lang w:val="sr-Latn-ME"/>
              </w:rPr>
            </w:pPr>
            <w:r w:rsidRPr="008E586D">
              <w:rPr>
                <w:lang w:val="sr-Latn-ME"/>
              </w:rPr>
              <w:t>IMCL CP02-9923</w:t>
            </w:r>
          </w:p>
        </w:tc>
        <w:tc>
          <w:tcPr>
            <w:tcW w:w="706" w:type="dxa"/>
          </w:tcPr>
          <w:p w:rsidR="00BB6B8D" w:rsidRPr="008E586D" w:rsidRDefault="00BB6B8D" w:rsidP="00043878">
            <w:pPr>
              <w:pStyle w:val="TableParagraph"/>
              <w:spacing w:before="2"/>
              <w:ind w:left="0"/>
              <w:rPr>
                <w:lang w:val="sr-Latn-ME"/>
              </w:rPr>
            </w:pPr>
          </w:p>
          <w:p w:rsidR="00BB6B8D" w:rsidRPr="008E586D" w:rsidRDefault="00BB6B8D" w:rsidP="00043878">
            <w:pPr>
              <w:pStyle w:val="TableParagraph"/>
              <w:ind w:left="167" w:right="159"/>
              <w:jc w:val="center"/>
              <w:rPr>
                <w:lang w:val="sr-Latn-ME"/>
              </w:rPr>
            </w:pPr>
            <w:r w:rsidRPr="008E586D">
              <w:rPr>
                <w:lang w:val="sr-Latn-ME"/>
              </w:rPr>
              <w:t>138</w:t>
            </w:r>
          </w:p>
        </w:tc>
        <w:tc>
          <w:tcPr>
            <w:tcW w:w="995" w:type="dxa"/>
            <w:gridSpan w:val="2"/>
          </w:tcPr>
          <w:p w:rsidR="00BB6B8D" w:rsidRPr="008E586D" w:rsidRDefault="00BB6B8D" w:rsidP="00043878">
            <w:pPr>
              <w:pStyle w:val="TableParagraph"/>
              <w:spacing w:before="1"/>
              <w:ind w:left="210" w:right="199"/>
              <w:jc w:val="center"/>
              <w:rPr>
                <w:lang w:val="sr-Latn-ME"/>
              </w:rPr>
            </w:pPr>
            <w:r w:rsidRPr="008E586D">
              <w:rPr>
                <w:lang w:val="sr-Latn-ME"/>
              </w:rPr>
              <w:t>21</w:t>
            </w:r>
          </w:p>
          <w:p w:rsidR="00BB6B8D" w:rsidRPr="008E586D" w:rsidRDefault="00BB6B8D" w:rsidP="00043878">
            <w:pPr>
              <w:pStyle w:val="TableParagraph"/>
              <w:spacing w:before="1"/>
              <w:ind w:left="210" w:right="202"/>
              <w:jc w:val="center"/>
              <w:rPr>
                <w:lang w:val="sr-Latn-ME"/>
              </w:rPr>
            </w:pPr>
            <w:r w:rsidRPr="008E586D">
              <w:rPr>
                <w:lang w:val="sr-Latn-ME"/>
              </w:rPr>
              <w:t>(15.2)</w:t>
            </w:r>
          </w:p>
        </w:tc>
        <w:tc>
          <w:tcPr>
            <w:tcW w:w="850" w:type="dxa"/>
          </w:tcPr>
          <w:p w:rsidR="00BB6B8D" w:rsidRPr="008E586D" w:rsidRDefault="00BB6B8D" w:rsidP="00043878">
            <w:pPr>
              <w:pStyle w:val="TableParagraph"/>
              <w:spacing w:before="1"/>
              <w:ind w:left="256"/>
              <w:rPr>
                <w:lang w:val="sr-Latn-ME"/>
              </w:rPr>
            </w:pPr>
            <w:r w:rsidRPr="008E586D">
              <w:rPr>
                <w:lang w:val="sr-Latn-ME"/>
              </w:rPr>
              <w:t>9.7;</w:t>
            </w:r>
          </w:p>
          <w:p w:rsidR="00BB6B8D" w:rsidRPr="008E586D" w:rsidRDefault="00BB6B8D" w:rsidP="00043878">
            <w:pPr>
              <w:pStyle w:val="TableParagraph"/>
              <w:spacing w:before="1"/>
              <w:ind w:left="232"/>
              <w:rPr>
                <w:lang w:val="sr-Latn-ME"/>
              </w:rPr>
            </w:pPr>
            <w:r w:rsidRPr="008E586D">
              <w:rPr>
                <w:lang w:val="sr-Latn-ME"/>
              </w:rPr>
              <w:t>22.3</w:t>
            </w:r>
          </w:p>
        </w:tc>
        <w:tc>
          <w:tcPr>
            <w:tcW w:w="994" w:type="dxa"/>
          </w:tcPr>
          <w:p w:rsidR="00BB6B8D" w:rsidRPr="008E586D" w:rsidRDefault="00BB6B8D" w:rsidP="00043878">
            <w:pPr>
              <w:pStyle w:val="TableParagraph"/>
              <w:spacing w:before="1"/>
              <w:ind w:left="56" w:right="48"/>
              <w:jc w:val="center"/>
              <w:rPr>
                <w:lang w:val="sr-Latn-ME"/>
              </w:rPr>
            </w:pPr>
            <w:r w:rsidRPr="008E586D">
              <w:rPr>
                <w:lang w:val="sr-Latn-ME"/>
              </w:rPr>
              <w:t>84</w:t>
            </w:r>
          </w:p>
          <w:p w:rsidR="00BB6B8D" w:rsidRPr="008E586D" w:rsidRDefault="00BB6B8D" w:rsidP="00043878">
            <w:pPr>
              <w:pStyle w:val="TableParagraph"/>
              <w:spacing w:before="1"/>
              <w:ind w:left="56" w:right="51"/>
              <w:jc w:val="center"/>
              <w:rPr>
                <w:lang w:val="sr-Latn-ME"/>
              </w:rPr>
            </w:pPr>
            <w:r w:rsidRPr="008E586D">
              <w:rPr>
                <w:lang w:val="sr-Latn-ME"/>
              </w:rPr>
              <w:t>(60.9)</w:t>
            </w:r>
          </w:p>
        </w:tc>
        <w:tc>
          <w:tcPr>
            <w:tcW w:w="850" w:type="dxa"/>
          </w:tcPr>
          <w:p w:rsidR="00BB6B8D" w:rsidRPr="008E586D" w:rsidRDefault="00BB6B8D" w:rsidP="00043878">
            <w:pPr>
              <w:pStyle w:val="TableParagraph"/>
              <w:spacing w:before="1"/>
              <w:ind w:left="198"/>
              <w:rPr>
                <w:lang w:val="sr-Latn-ME"/>
              </w:rPr>
            </w:pPr>
            <w:r w:rsidRPr="008E586D">
              <w:rPr>
                <w:lang w:val="sr-Latn-ME"/>
              </w:rPr>
              <w:t>52.2;</w:t>
            </w:r>
          </w:p>
          <w:p w:rsidR="00BB6B8D" w:rsidRPr="008E586D" w:rsidRDefault="00BB6B8D" w:rsidP="00043878">
            <w:pPr>
              <w:pStyle w:val="TableParagraph"/>
              <w:spacing w:before="1"/>
              <w:ind w:left="231"/>
              <w:rPr>
                <w:lang w:val="sr-Latn-ME"/>
              </w:rPr>
            </w:pPr>
            <w:r w:rsidRPr="008E586D">
              <w:rPr>
                <w:lang w:val="sr-Latn-ME"/>
              </w:rPr>
              <w:t>69.1</w:t>
            </w:r>
          </w:p>
        </w:tc>
        <w:tc>
          <w:tcPr>
            <w:tcW w:w="994" w:type="dxa"/>
          </w:tcPr>
          <w:p w:rsidR="00BB6B8D" w:rsidRPr="008E586D" w:rsidRDefault="00BB6B8D" w:rsidP="00043878">
            <w:pPr>
              <w:pStyle w:val="TableParagraph"/>
              <w:spacing w:before="125"/>
              <w:ind w:left="56" w:right="48"/>
              <w:jc w:val="center"/>
              <w:rPr>
                <w:lang w:val="sr-Latn-ME"/>
              </w:rPr>
            </w:pPr>
            <w:r w:rsidRPr="008E586D">
              <w:rPr>
                <w:lang w:val="sr-Latn-ME"/>
              </w:rPr>
              <w:t>2.9</w:t>
            </w:r>
          </w:p>
        </w:tc>
        <w:tc>
          <w:tcPr>
            <w:tcW w:w="850" w:type="dxa"/>
          </w:tcPr>
          <w:p w:rsidR="00BB6B8D" w:rsidRPr="008E586D" w:rsidRDefault="00BB6B8D" w:rsidP="00043878">
            <w:pPr>
              <w:pStyle w:val="TableParagraph"/>
              <w:spacing w:before="1"/>
              <w:ind w:left="255"/>
              <w:rPr>
                <w:lang w:val="sr-Latn-ME"/>
              </w:rPr>
            </w:pPr>
            <w:r w:rsidRPr="008E586D">
              <w:rPr>
                <w:lang w:val="sr-Latn-ME"/>
              </w:rPr>
              <w:t>2.6;</w:t>
            </w:r>
          </w:p>
          <w:p w:rsidR="00BB6B8D" w:rsidRPr="008E586D" w:rsidRDefault="00BB6B8D" w:rsidP="00043878">
            <w:pPr>
              <w:pStyle w:val="TableParagraph"/>
              <w:spacing w:before="1"/>
              <w:ind w:left="283"/>
              <w:rPr>
                <w:lang w:val="sr-Latn-ME"/>
              </w:rPr>
            </w:pPr>
            <w:r w:rsidRPr="008E586D">
              <w:rPr>
                <w:lang w:val="sr-Latn-ME"/>
              </w:rPr>
              <w:t>4.1</w:t>
            </w:r>
          </w:p>
        </w:tc>
        <w:tc>
          <w:tcPr>
            <w:tcW w:w="994" w:type="dxa"/>
          </w:tcPr>
          <w:p w:rsidR="00BB6B8D" w:rsidRPr="008E586D" w:rsidRDefault="00BB6B8D" w:rsidP="00043878">
            <w:pPr>
              <w:pStyle w:val="TableParagraph"/>
              <w:spacing w:before="125"/>
              <w:ind w:left="56" w:right="50"/>
              <w:jc w:val="center"/>
              <w:rPr>
                <w:lang w:val="sr-Latn-ME"/>
              </w:rPr>
            </w:pPr>
            <w:r w:rsidRPr="008E586D">
              <w:rPr>
                <w:lang w:val="sr-Latn-ME"/>
              </w:rPr>
              <w:t>8.4</w:t>
            </w:r>
          </w:p>
        </w:tc>
        <w:tc>
          <w:tcPr>
            <w:tcW w:w="850" w:type="dxa"/>
          </w:tcPr>
          <w:p w:rsidR="00BB6B8D" w:rsidRPr="008E586D" w:rsidRDefault="00BB6B8D" w:rsidP="00043878">
            <w:pPr>
              <w:pStyle w:val="TableParagraph"/>
              <w:spacing w:before="1"/>
              <w:ind w:left="254"/>
              <w:rPr>
                <w:lang w:val="sr-Latn-ME"/>
              </w:rPr>
            </w:pPr>
            <w:r w:rsidRPr="008E586D">
              <w:rPr>
                <w:lang w:val="sr-Latn-ME"/>
              </w:rPr>
              <w:t>7.2;</w:t>
            </w:r>
          </w:p>
          <w:p w:rsidR="00BB6B8D" w:rsidRPr="008E586D" w:rsidRDefault="00BB6B8D" w:rsidP="00043878">
            <w:pPr>
              <w:pStyle w:val="TableParagraph"/>
              <w:spacing w:before="1"/>
              <w:ind w:left="230"/>
              <w:rPr>
                <w:lang w:val="sr-Latn-ME"/>
              </w:rPr>
            </w:pPr>
            <w:r w:rsidRPr="008E586D">
              <w:rPr>
                <w:lang w:val="sr-Latn-ME"/>
              </w:rPr>
              <w:t>10.3</w:t>
            </w:r>
          </w:p>
        </w:tc>
      </w:tr>
      <w:tr w:rsidR="00BB6B8D" w:rsidRPr="008E586D" w:rsidTr="00BB6B8D">
        <w:trPr>
          <w:trHeight w:val="373"/>
        </w:trPr>
        <w:tc>
          <w:tcPr>
            <w:tcW w:w="9317" w:type="dxa"/>
            <w:gridSpan w:val="11"/>
          </w:tcPr>
          <w:p w:rsidR="00BB6B8D" w:rsidRPr="008E586D" w:rsidRDefault="00BB6B8D" w:rsidP="00043878">
            <w:pPr>
              <w:pStyle w:val="TableParagraph"/>
              <w:spacing w:line="244" w:lineRule="exact"/>
              <w:rPr>
                <w:lang w:val="sr-Latn-ME"/>
              </w:rPr>
            </w:pPr>
            <w:r w:rsidRPr="008E586D">
              <w:rPr>
                <w:lang w:val="sr-Latn-ME"/>
              </w:rPr>
              <w:t>Cetuksimab</w:t>
            </w:r>
          </w:p>
        </w:tc>
      </w:tr>
      <w:tr w:rsidR="00BB6B8D" w:rsidRPr="008E586D" w:rsidTr="00BB6B8D">
        <w:trPr>
          <w:trHeight w:val="623"/>
        </w:trPr>
        <w:tc>
          <w:tcPr>
            <w:tcW w:w="1234" w:type="dxa"/>
          </w:tcPr>
          <w:p w:rsidR="00BB6B8D" w:rsidRPr="008E586D" w:rsidRDefault="00BB6B8D" w:rsidP="00043878">
            <w:pPr>
              <w:pStyle w:val="TableParagraph"/>
              <w:spacing w:line="244" w:lineRule="exact"/>
              <w:ind w:left="239"/>
              <w:rPr>
                <w:lang w:val="sr-Latn-ME"/>
              </w:rPr>
            </w:pPr>
            <w:r w:rsidRPr="008E586D">
              <w:rPr>
                <w:lang w:val="sr-Latn-ME"/>
              </w:rPr>
              <w:t>EMR</w:t>
            </w:r>
            <w:r w:rsidRPr="008E586D">
              <w:rPr>
                <w:spacing w:val="-2"/>
                <w:lang w:val="sr-Latn-ME"/>
              </w:rPr>
              <w:t xml:space="preserve"> </w:t>
            </w:r>
            <w:r w:rsidRPr="008E586D">
              <w:rPr>
                <w:lang w:val="sr-Latn-ME"/>
              </w:rPr>
              <w:t>62</w:t>
            </w:r>
          </w:p>
          <w:p w:rsidR="00BB6B8D" w:rsidRPr="008E586D" w:rsidRDefault="00BB6B8D" w:rsidP="00043878">
            <w:pPr>
              <w:pStyle w:val="TableParagraph"/>
              <w:spacing w:before="1"/>
              <w:ind w:left="249"/>
              <w:rPr>
                <w:lang w:val="sr-Latn-ME"/>
              </w:rPr>
            </w:pPr>
            <w:r w:rsidRPr="008E586D">
              <w:rPr>
                <w:lang w:val="sr-Latn-ME"/>
              </w:rPr>
              <w:t>202-007</w:t>
            </w:r>
          </w:p>
        </w:tc>
        <w:tc>
          <w:tcPr>
            <w:tcW w:w="706" w:type="dxa"/>
          </w:tcPr>
          <w:p w:rsidR="00BB6B8D" w:rsidRPr="008E586D" w:rsidRDefault="00BB6B8D" w:rsidP="00043878">
            <w:pPr>
              <w:pStyle w:val="TableParagraph"/>
              <w:spacing w:before="116"/>
              <w:ind w:left="167" w:right="159"/>
              <w:jc w:val="center"/>
              <w:rPr>
                <w:lang w:val="sr-Latn-ME"/>
              </w:rPr>
            </w:pPr>
            <w:r w:rsidRPr="008E586D">
              <w:rPr>
                <w:lang w:val="sr-Latn-ME"/>
              </w:rPr>
              <w:t>111</w:t>
            </w:r>
          </w:p>
        </w:tc>
        <w:tc>
          <w:tcPr>
            <w:tcW w:w="855" w:type="dxa"/>
          </w:tcPr>
          <w:p w:rsidR="00BB6B8D" w:rsidRPr="008E586D" w:rsidRDefault="00BB6B8D" w:rsidP="00043878">
            <w:pPr>
              <w:pStyle w:val="TableParagraph"/>
              <w:spacing w:line="244" w:lineRule="exact"/>
              <w:ind w:left="138" w:right="131"/>
              <w:jc w:val="center"/>
              <w:rPr>
                <w:lang w:val="sr-Latn-ME"/>
              </w:rPr>
            </w:pPr>
            <w:r w:rsidRPr="008E586D">
              <w:rPr>
                <w:lang w:val="sr-Latn-ME"/>
              </w:rPr>
              <w:t>12</w:t>
            </w:r>
          </w:p>
          <w:p w:rsidR="00BB6B8D" w:rsidRPr="008E586D" w:rsidRDefault="00BB6B8D" w:rsidP="00043878">
            <w:pPr>
              <w:pStyle w:val="TableParagraph"/>
              <w:spacing w:before="1"/>
              <w:ind w:left="138" w:right="134"/>
              <w:jc w:val="center"/>
              <w:rPr>
                <w:lang w:val="sr-Latn-ME"/>
              </w:rPr>
            </w:pPr>
            <w:r w:rsidRPr="008E586D">
              <w:rPr>
                <w:lang w:val="sr-Latn-ME"/>
              </w:rPr>
              <w:t>(10.8)</w:t>
            </w:r>
          </w:p>
        </w:tc>
        <w:tc>
          <w:tcPr>
            <w:tcW w:w="990" w:type="dxa"/>
            <w:gridSpan w:val="2"/>
          </w:tcPr>
          <w:p w:rsidR="00BB6B8D" w:rsidRPr="008E586D" w:rsidRDefault="00BB6B8D" w:rsidP="00043878">
            <w:pPr>
              <w:pStyle w:val="TableParagraph"/>
              <w:spacing w:line="244" w:lineRule="exact"/>
              <w:ind w:left="324"/>
              <w:rPr>
                <w:lang w:val="sr-Latn-ME"/>
              </w:rPr>
            </w:pPr>
            <w:r w:rsidRPr="008E586D">
              <w:rPr>
                <w:lang w:val="sr-Latn-ME"/>
              </w:rPr>
              <w:t>5.7;</w:t>
            </w:r>
          </w:p>
          <w:p w:rsidR="00BB6B8D" w:rsidRPr="008E586D" w:rsidRDefault="00BB6B8D" w:rsidP="00043878">
            <w:pPr>
              <w:pStyle w:val="TableParagraph"/>
              <w:spacing w:before="1"/>
              <w:ind w:left="300"/>
              <w:rPr>
                <w:lang w:val="sr-Latn-ME"/>
              </w:rPr>
            </w:pPr>
            <w:r w:rsidRPr="008E586D">
              <w:rPr>
                <w:lang w:val="sr-Latn-ME"/>
              </w:rPr>
              <w:t>18.1</w:t>
            </w:r>
          </w:p>
        </w:tc>
        <w:tc>
          <w:tcPr>
            <w:tcW w:w="994" w:type="dxa"/>
          </w:tcPr>
          <w:p w:rsidR="00BB6B8D" w:rsidRPr="008E586D" w:rsidRDefault="00BB6B8D" w:rsidP="00043878">
            <w:pPr>
              <w:pStyle w:val="TableParagraph"/>
              <w:spacing w:line="244" w:lineRule="exact"/>
              <w:ind w:left="56" w:right="48"/>
              <w:jc w:val="center"/>
              <w:rPr>
                <w:lang w:val="sr-Latn-ME"/>
              </w:rPr>
            </w:pPr>
            <w:r w:rsidRPr="008E586D">
              <w:rPr>
                <w:lang w:val="sr-Latn-ME"/>
              </w:rPr>
              <w:t>36</w:t>
            </w:r>
          </w:p>
          <w:p w:rsidR="00BB6B8D" w:rsidRPr="008E586D" w:rsidRDefault="00BB6B8D" w:rsidP="00043878">
            <w:pPr>
              <w:pStyle w:val="TableParagraph"/>
              <w:spacing w:before="1"/>
              <w:ind w:left="56" w:right="51"/>
              <w:jc w:val="center"/>
              <w:rPr>
                <w:lang w:val="sr-Latn-ME"/>
              </w:rPr>
            </w:pPr>
            <w:r w:rsidRPr="008E586D">
              <w:rPr>
                <w:lang w:val="sr-Latn-ME"/>
              </w:rPr>
              <w:t>(32.4)</w:t>
            </w:r>
          </w:p>
        </w:tc>
        <w:tc>
          <w:tcPr>
            <w:tcW w:w="850" w:type="dxa"/>
          </w:tcPr>
          <w:p w:rsidR="00BB6B8D" w:rsidRPr="008E586D" w:rsidRDefault="00BB6B8D" w:rsidP="00043878">
            <w:pPr>
              <w:pStyle w:val="TableParagraph"/>
              <w:spacing w:line="244" w:lineRule="exact"/>
              <w:ind w:left="198"/>
              <w:rPr>
                <w:lang w:val="sr-Latn-ME"/>
              </w:rPr>
            </w:pPr>
            <w:r w:rsidRPr="008E586D">
              <w:rPr>
                <w:lang w:val="sr-Latn-ME"/>
              </w:rPr>
              <w:t>23.9;</w:t>
            </w:r>
          </w:p>
          <w:p w:rsidR="00BB6B8D" w:rsidRPr="008E586D" w:rsidRDefault="00BB6B8D" w:rsidP="00043878">
            <w:pPr>
              <w:pStyle w:val="TableParagraph"/>
              <w:spacing w:before="1"/>
              <w:ind w:left="231"/>
              <w:rPr>
                <w:lang w:val="sr-Latn-ME"/>
              </w:rPr>
            </w:pPr>
            <w:r w:rsidRPr="008E586D">
              <w:rPr>
                <w:lang w:val="sr-Latn-ME"/>
              </w:rPr>
              <w:t>42.0</w:t>
            </w:r>
          </w:p>
        </w:tc>
        <w:tc>
          <w:tcPr>
            <w:tcW w:w="994" w:type="dxa"/>
          </w:tcPr>
          <w:p w:rsidR="00BB6B8D" w:rsidRPr="008E586D" w:rsidRDefault="00BB6B8D" w:rsidP="00043878">
            <w:pPr>
              <w:pStyle w:val="TableParagraph"/>
              <w:spacing w:before="116"/>
              <w:ind w:left="56" w:right="48"/>
              <w:jc w:val="center"/>
              <w:rPr>
                <w:lang w:val="sr-Latn-ME"/>
              </w:rPr>
            </w:pPr>
            <w:r w:rsidRPr="008E586D">
              <w:rPr>
                <w:lang w:val="sr-Latn-ME"/>
              </w:rPr>
              <w:t>1.5</w:t>
            </w:r>
          </w:p>
        </w:tc>
        <w:tc>
          <w:tcPr>
            <w:tcW w:w="850" w:type="dxa"/>
          </w:tcPr>
          <w:p w:rsidR="00BB6B8D" w:rsidRPr="008E586D" w:rsidRDefault="00BB6B8D" w:rsidP="00043878">
            <w:pPr>
              <w:pStyle w:val="TableParagraph"/>
              <w:spacing w:line="244" w:lineRule="exact"/>
              <w:ind w:left="255"/>
              <w:rPr>
                <w:lang w:val="sr-Latn-ME"/>
              </w:rPr>
            </w:pPr>
            <w:r w:rsidRPr="008E586D">
              <w:rPr>
                <w:lang w:val="sr-Latn-ME"/>
              </w:rPr>
              <w:t>1.4;</w:t>
            </w:r>
          </w:p>
          <w:p w:rsidR="00BB6B8D" w:rsidRPr="008E586D" w:rsidRDefault="00BB6B8D" w:rsidP="00043878">
            <w:pPr>
              <w:pStyle w:val="TableParagraph"/>
              <w:spacing w:before="1"/>
              <w:ind w:left="283"/>
              <w:rPr>
                <w:lang w:val="sr-Latn-ME"/>
              </w:rPr>
            </w:pPr>
            <w:r w:rsidRPr="008E586D">
              <w:rPr>
                <w:lang w:val="sr-Latn-ME"/>
              </w:rPr>
              <w:t>2.0</w:t>
            </w:r>
          </w:p>
        </w:tc>
        <w:tc>
          <w:tcPr>
            <w:tcW w:w="994" w:type="dxa"/>
          </w:tcPr>
          <w:p w:rsidR="00BB6B8D" w:rsidRPr="008E586D" w:rsidRDefault="00BB6B8D" w:rsidP="00043878">
            <w:pPr>
              <w:pStyle w:val="TableParagraph"/>
              <w:spacing w:before="116"/>
              <w:ind w:left="56" w:right="50"/>
              <w:jc w:val="center"/>
              <w:rPr>
                <w:lang w:val="sr-Latn-ME"/>
              </w:rPr>
            </w:pPr>
            <w:r w:rsidRPr="008E586D">
              <w:rPr>
                <w:lang w:val="sr-Latn-ME"/>
              </w:rPr>
              <w:t>6.9</w:t>
            </w:r>
          </w:p>
        </w:tc>
        <w:tc>
          <w:tcPr>
            <w:tcW w:w="850" w:type="dxa"/>
          </w:tcPr>
          <w:p w:rsidR="00BB6B8D" w:rsidRPr="008E586D" w:rsidRDefault="00BB6B8D" w:rsidP="00043878">
            <w:pPr>
              <w:pStyle w:val="TableParagraph"/>
              <w:spacing w:line="244" w:lineRule="exact"/>
              <w:ind w:left="254"/>
              <w:rPr>
                <w:lang w:val="sr-Latn-ME"/>
              </w:rPr>
            </w:pPr>
            <w:r w:rsidRPr="008E586D">
              <w:rPr>
                <w:lang w:val="sr-Latn-ME"/>
              </w:rPr>
              <w:t>5.6;</w:t>
            </w:r>
          </w:p>
          <w:p w:rsidR="00BB6B8D" w:rsidRPr="008E586D" w:rsidRDefault="00BB6B8D" w:rsidP="00043878">
            <w:pPr>
              <w:pStyle w:val="TableParagraph"/>
              <w:spacing w:before="1"/>
              <w:ind w:left="283"/>
              <w:rPr>
                <w:lang w:val="sr-Latn-ME"/>
              </w:rPr>
            </w:pPr>
            <w:r w:rsidRPr="008E586D">
              <w:rPr>
                <w:lang w:val="sr-Latn-ME"/>
              </w:rPr>
              <w:t>9.1</w:t>
            </w:r>
          </w:p>
        </w:tc>
      </w:tr>
    </w:tbl>
    <w:p w:rsidR="00BB6B8D" w:rsidRPr="008E586D" w:rsidRDefault="00BB6B8D" w:rsidP="007A62C0">
      <w:pPr>
        <w:spacing w:before="111"/>
        <w:ind w:left="153" w:right="153"/>
        <w:jc w:val="both"/>
        <w:rPr>
          <w:sz w:val="20"/>
          <w:szCs w:val="20"/>
          <w:lang w:val="sr-Latn-ME"/>
        </w:rPr>
      </w:pPr>
      <w:r w:rsidRPr="008E586D">
        <w:rPr>
          <w:sz w:val="20"/>
          <w:szCs w:val="20"/>
          <w:lang w:val="sr-Latn-ME"/>
        </w:rPr>
        <w:t xml:space="preserve">CI - interval pouzdanosti; DCR - stopa kontrole bolesti (engl. </w:t>
      </w:r>
      <w:r w:rsidRPr="008E586D">
        <w:rPr>
          <w:i/>
          <w:sz w:val="20"/>
          <w:szCs w:val="20"/>
          <w:lang w:val="sr-Latn-ME"/>
        </w:rPr>
        <w:t>disease control rate</w:t>
      </w:r>
      <w:r w:rsidRPr="008E586D">
        <w:rPr>
          <w:sz w:val="20"/>
          <w:szCs w:val="20"/>
          <w:lang w:val="sr-Latn-ME"/>
        </w:rPr>
        <w:t xml:space="preserve">) (pacijenti sa potpunim terapijskim odgovorom, delimičnim odgovorom ili stabilnom formom bolesti u trajanju od bar 6 nedjelja); ORR - stopa objektivnog odgovora (engl. </w:t>
      </w:r>
      <w:r w:rsidRPr="008E586D">
        <w:rPr>
          <w:i/>
          <w:sz w:val="20"/>
          <w:szCs w:val="20"/>
          <w:lang w:val="sr-Latn-ME"/>
        </w:rPr>
        <w:t>objective response rate</w:t>
      </w:r>
      <w:r w:rsidRPr="008E586D">
        <w:rPr>
          <w:sz w:val="20"/>
          <w:szCs w:val="20"/>
          <w:lang w:val="sr-Latn-ME"/>
        </w:rPr>
        <w:t xml:space="preserve">) (pacijenti sa potpunim ili djelimičnim terapijskim odgovorom); OS - ukupno preživljavanje (engl. </w:t>
      </w:r>
      <w:r w:rsidRPr="008E586D">
        <w:rPr>
          <w:i/>
          <w:sz w:val="20"/>
          <w:szCs w:val="20"/>
          <w:lang w:val="sr-Latn-ME"/>
        </w:rPr>
        <w:t>overall survival time</w:t>
      </w:r>
      <w:r w:rsidRPr="008E586D">
        <w:rPr>
          <w:sz w:val="20"/>
          <w:szCs w:val="20"/>
          <w:lang w:val="sr-Latn-ME"/>
        </w:rPr>
        <w:t xml:space="preserve">); PFS - preživljavanje bez progresije bolesti (engl. </w:t>
      </w:r>
      <w:r w:rsidRPr="008E586D">
        <w:rPr>
          <w:i/>
          <w:sz w:val="20"/>
          <w:szCs w:val="20"/>
          <w:lang w:val="sr-Latn-ME"/>
        </w:rPr>
        <w:t>progression-free survival</w:t>
      </w:r>
      <w:r w:rsidRPr="008E586D">
        <w:rPr>
          <w:sz w:val="20"/>
          <w:szCs w:val="20"/>
          <w:lang w:val="sr-Latn-ME"/>
        </w:rPr>
        <w:t>)</w:t>
      </w:r>
    </w:p>
    <w:p w:rsidR="00BB6B8D" w:rsidRPr="008E586D" w:rsidRDefault="00BB6B8D" w:rsidP="00BB6B8D">
      <w:pPr>
        <w:spacing w:before="111"/>
        <w:ind w:left="152" w:right="151"/>
        <w:jc w:val="both"/>
        <w:rPr>
          <w:sz w:val="22"/>
          <w:szCs w:val="22"/>
          <w:lang w:val="sr-Latn-ME"/>
        </w:rPr>
      </w:pPr>
    </w:p>
    <w:p w:rsidR="00BB6B8D" w:rsidRPr="008E586D" w:rsidRDefault="00BB6B8D" w:rsidP="007A62C0">
      <w:pPr>
        <w:suppressAutoHyphens/>
        <w:spacing w:after="140"/>
        <w:ind w:right="153"/>
        <w:jc w:val="both"/>
        <w:rPr>
          <w:rFonts w:eastAsia="Calibri"/>
          <w:sz w:val="22"/>
          <w:szCs w:val="22"/>
          <w:lang w:val="sr-Latn-ME" w:eastAsia="zh-CN"/>
        </w:rPr>
      </w:pPr>
      <w:r w:rsidRPr="008E586D">
        <w:rPr>
          <w:rFonts w:eastAsia="Calibri"/>
          <w:sz w:val="22"/>
          <w:szCs w:val="22"/>
          <w:lang w:val="sr-Latn-ME" w:eastAsia="zh-CN"/>
        </w:rPr>
        <w:t>Kombinacija cetuksimaba i irinotekana bila je efikasnija od cetuksimaba u monoterapiji, u odnosu na stopu objektivnog odgovora (ORR), stopu kontrole bolesti (DCR) i period preživljavanja bez progresije bolesti (PFS). U randomizovanoj studiji, nije bilo uticaja na ukupno preživljavanje (odnos rizika 0,91; p = 0,48).</w:t>
      </w:r>
    </w:p>
    <w:p w:rsidR="00BB6B8D" w:rsidRPr="008E586D" w:rsidRDefault="00BB6B8D" w:rsidP="00BB6B8D">
      <w:pPr>
        <w:jc w:val="both"/>
        <w:rPr>
          <w:i/>
          <w:sz w:val="22"/>
          <w:szCs w:val="22"/>
          <w:lang w:val="sr-Latn-ME"/>
        </w:rPr>
      </w:pPr>
      <w:r w:rsidRPr="008E586D">
        <w:rPr>
          <w:i/>
          <w:sz w:val="22"/>
          <w:szCs w:val="22"/>
          <w:u w:val="single"/>
          <w:lang w:val="sr-Latn-ME"/>
        </w:rPr>
        <w:t>Pacijenti sa smanjenom UGT1A1 aktivnošću</w:t>
      </w:r>
    </w:p>
    <w:p w:rsidR="00BB6B8D" w:rsidRPr="008E586D" w:rsidRDefault="00BB6B8D" w:rsidP="00A077C7">
      <w:pPr>
        <w:suppressAutoHyphens/>
        <w:spacing w:before="124" w:after="140"/>
        <w:ind w:right="151"/>
        <w:jc w:val="both"/>
        <w:rPr>
          <w:rFonts w:eastAsia="Calibri"/>
          <w:sz w:val="22"/>
          <w:szCs w:val="22"/>
          <w:lang w:val="sr-Latn-ME" w:eastAsia="zh-CN"/>
        </w:rPr>
      </w:pPr>
      <w:r w:rsidRPr="008E586D">
        <w:rPr>
          <w:rFonts w:eastAsia="Calibri"/>
          <w:sz w:val="22"/>
          <w:szCs w:val="22"/>
          <w:lang w:val="sr-Latn-ME" w:eastAsia="zh-CN"/>
        </w:rPr>
        <w:t>Uridin difosfat glukuroniltransferaza 1A1 (UGT1A1) je uključena u metaboličku deaktivaciju SN-38, aktivnog oblika irinotekana do neaktivnog SN-38 glukuronida (SN-38G). Gen za UGT1A1 je izuzetno polimorfan, što rezultuje varijabilnim metaboličkim kapacitetom među individuama. Jedna specifična varijacija UGT1A1 gena uključuje polimorfizam u promotornom regionu poznatom kao UGT1A1*28</w:t>
      </w:r>
      <w:r w:rsidR="00A077C7" w:rsidRPr="008E586D">
        <w:rPr>
          <w:rFonts w:eastAsia="Calibri"/>
          <w:sz w:val="22"/>
          <w:szCs w:val="22"/>
          <w:lang w:val="sr-Latn-ME" w:eastAsia="zh-CN"/>
        </w:rPr>
        <w:t xml:space="preserve"> </w:t>
      </w:r>
      <w:r w:rsidRPr="008E586D">
        <w:rPr>
          <w:rFonts w:eastAsia="Calibri"/>
          <w:sz w:val="22"/>
          <w:szCs w:val="22"/>
          <w:lang w:val="sr-Latn-ME" w:eastAsia="zh-CN"/>
        </w:rPr>
        <w:t xml:space="preserve">varijacija. Ova varijacija i drugi kongenitalni deficiti u ekspresiji UGT1A1 (kao što je </w:t>
      </w:r>
      <w:r w:rsidRPr="008E586D">
        <w:rPr>
          <w:rFonts w:eastAsia="Calibri"/>
          <w:i/>
          <w:sz w:val="22"/>
          <w:szCs w:val="22"/>
          <w:lang w:val="sr-Latn-ME" w:eastAsia="zh-CN"/>
        </w:rPr>
        <w:t xml:space="preserve">Crigler-Najjar </w:t>
      </w:r>
      <w:r w:rsidRPr="008E586D">
        <w:rPr>
          <w:rFonts w:eastAsia="Calibri"/>
          <w:sz w:val="22"/>
          <w:szCs w:val="22"/>
          <w:lang w:val="sr-Latn-ME" w:eastAsia="zh-CN"/>
        </w:rPr>
        <w:t xml:space="preserve">sindrom i </w:t>
      </w:r>
      <w:r w:rsidRPr="008E586D">
        <w:rPr>
          <w:rFonts w:eastAsia="Calibri"/>
          <w:i/>
          <w:sz w:val="22"/>
          <w:szCs w:val="22"/>
          <w:lang w:val="sr-Latn-ME" w:eastAsia="zh-CN"/>
        </w:rPr>
        <w:t>Gilbert</w:t>
      </w:r>
      <w:r w:rsidRPr="008E586D">
        <w:rPr>
          <w:rFonts w:eastAsia="Calibri"/>
          <w:sz w:val="22"/>
          <w:szCs w:val="22"/>
          <w:lang w:val="sr-Latn-ME" w:eastAsia="zh-CN"/>
        </w:rPr>
        <w:t xml:space="preserve">-ov sindrom) su povezani sa smanjenom aktivnošću ovih enzima. Podaci iz meta analize ukazuju da pacijenti sa </w:t>
      </w:r>
      <w:r w:rsidRPr="008E586D">
        <w:rPr>
          <w:rFonts w:eastAsia="Calibri"/>
          <w:i/>
          <w:sz w:val="22"/>
          <w:szCs w:val="22"/>
          <w:lang w:val="sr-Latn-ME" w:eastAsia="zh-CN"/>
        </w:rPr>
        <w:t xml:space="preserve">Crigler-Najjar </w:t>
      </w:r>
      <w:r w:rsidRPr="008E586D">
        <w:rPr>
          <w:rFonts w:eastAsia="Calibri"/>
          <w:sz w:val="22"/>
          <w:szCs w:val="22"/>
          <w:lang w:val="sr-Latn-ME" w:eastAsia="zh-CN"/>
        </w:rPr>
        <w:t>sindromom (tip 1 i 2) ili oni koji su homozigoti za UGT1A1*28 alel (</w:t>
      </w:r>
      <w:r w:rsidRPr="008E586D">
        <w:rPr>
          <w:rFonts w:eastAsia="Calibri"/>
          <w:i/>
          <w:sz w:val="22"/>
          <w:szCs w:val="22"/>
          <w:lang w:val="sr-Latn-ME" w:eastAsia="zh-CN"/>
        </w:rPr>
        <w:t>Gilbert</w:t>
      </w:r>
      <w:r w:rsidRPr="008E586D">
        <w:rPr>
          <w:rFonts w:eastAsia="Calibri"/>
          <w:sz w:val="22"/>
          <w:szCs w:val="22"/>
          <w:lang w:val="sr-Latn-ME" w:eastAsia="zh-CN"/>
        </w:rPr>
        <w:t xml:space="preserve">-ov sindrom) imaju povećani rizik od hematološke toksičnosti (gradusa 3 i 4) nakon </w:t>
      </w:r>
      <w:r w:rsidR="00C47805" w:rsidRPr="008E586D">
        <w:rPr>
          <w:rFonts w:eastAsia="Calibri"/>
          <w:sz w:val="22"/>
          <w:szCs w:val="22"/>
          <w:lang w:val="sr-Latn-ME" w:eastAsia="zh-CN"/>
        </w:rPr>
        <w:t>primjen</w:t>
      </w:r>
      <w:r w:rsidRPr="008E586D">
        <w:rPr>
          <w:rFonts w:eastAsia="Calibri"/>
          <w:sz w:val="22"/>
          <w:szCs w:val="22"/>
          <w:lang w:val="sr-Latn-ME" w:eastAsia="zh-CN"/>
        </w:rPr>
        <w:t>e irinotekana u srednjim ili visokim dozama (&gt;150 mg/m</w:t>
      </w:r>
      <w:r w:rsidRPr="008E586D">
        <w:rPr>
          <w:rFonts w:eastAsia="Calibri"/>
          <w:sz w:val="22"/>
          <w:szCs w:val="22"/>
          <w:vertAlign w:val="superscript"/>
          <w:lang w:val="sr-Latn-ME" w:eastAsia="zh-CN"/>
        </w:rPr>
        <w:t>2</w:t>
      </w:r>
      <w:r w:rsidRPr="008E586D">
        <w:rPr>
          <w:rFonts w:eastAsia="Calibri"/>
          <w:sz w:val="22"/>
          <w:szCs w:val="22"/>
          <w:lang w:val="sr-Latn-ME" w:eastAsia="zh-CN"/>
        </w:rPr>
        <w:t>). Korelacija između UGT1A1 genotipa i pojave dijareje indukovane irinotekanom nije</w:t>
      </w:r>
      <w:r w:rsidRPr="008E586D">
        <w:rPr>
          <w:rFonts w:eastAsia="Calibri"/>
          <w:spacing w:val="-5"/>
          <w:sz w:val="22"/>
          <w:szCs w:val="22"/>
          <w:lang w:val="sr-Latn-ME" w:eastAsia="zh-CN"/>
        </w:rPr>
        <w:t xml:space="preserve"> </w:t>
      </w:r>
      <w:r w:rsidRPr="008E586D">
        <w:rPr>
          <w:rFonts w:eastAsia="Calibri"/>
          <w:sz w:val="22"/>
          <w:szCs w:val="22"/>
          <w:lang w:val="sr-Latn-ME" w:eastAsia="zh-CN"/>
        </w:rPr>
        <w:t>utvrđena.</w:t>
      </w:r>
    </w:p>
    <w:p w:rsidR="00BB6B8D" w:rsidRPr="008E586D" w:rsidRDefault="00BB6B8D" w:rsidP="00926D14">
      <w:pPr>
        <w:suppressAutoHyphens/>
        <w:ind w:right="152"/>
        <w:jc w:val="both"/>
        <w:rPr>
          <w:rFonts w:eastAsia="Calibri"/>
          <w:sz w:val="22"/>
          <w:szCs w:val="22"/>
          <w:lang w:val="sr-Latn-ME" w:eastAsia="zh-CN"/>
        </w:rPr>
      </w:pPr>
      <w:r w:rsidRPr="008E586D">
        <w:rPr>
          <w:rFonts w:eastAsia="Calibri"/>
          <w:sz w:val="22"/>
          <w:szCs w:val="22"/>
          <w:lang w:val="sr-Latn-ME" w:eastAsia="zh-CN"/>
        </w:rPr>
        <w:t>Kod pacijenata koji su homozigoti za UGT1A1*28 treba primijeniti uobičajeno indikovane početne doze irinotekana. Ipak, pacijente treba pratiti zbog moguće pojave hematološke toksičnosti. Smanjenje početne doze irinotekana treba razmotriti kod pacijenata kod kojih je uočena hematološka toksičnost pri prethodnim terapijama. Tačno smanjenje početne doze kod ovih pacijenata nije još uvijek ustanovljeno i svaku promjenu doze treba bazirati na podnošljivosti terapije za pacijenta (vidjeti djelove 4.2 i 4.4).</w:t>
      </w:r>
    </w:p>
    <w:p w:rsidR="00BB6B8D" w:rsidRPr="008E586D" w:rsidRDefault="00BB6B8D" w:rsidP="00926D14">
      <w:pPr>
        <w:suppressAutoHyphens/>
        <w:ind w:right="152"/>
        <w:jc w:val="both"/>
        <w:rPr>
          <w:rFonts w:eastAsia="Calibri"/>
          <w:sz w:val="22"/>
          <w:szCs w:val="22"/>
          <w:lang w:val="sr-Latn-ME" w:eastAsia="zh-CN"/>
        </w:rPr>
      </w:pPr>
      <w:r w:rsidRPr="008E586D">
        <w:rPr>
          <w:rFonts w:eastAsia="Calibri"/>
          <w:sz w:val="22"/>
          <w:szCs w:val="22"/>
          <w:lang w:val="sr-Latn-ME" w:eastAsia="zh-CN"/>
        </w:rPr>
        <w:t>Trenutno nema dovoljno pod</w:t>
      </w:r>
      <w:r w:rsidR="00A077C7" w:rsidRPr="008E586D">
        <w:rPr>
          <w:rFonts w:eastAsia="Calibri"/>
          <w:sz w:val="22"/>
          <w:szCs w:val="22"/>
          <w:lang w:val="sr-Latn-ME" w:eastAsia="zh-CN"/>
        </w:rPr>
        <w:t>ataka na osnovu kojih bi se doni</w:t>
      </w:r>
      <w:r w:rsidRPr="008E586D">
        <w:rPr>
          <w:rFonts w:eastAsia="Calibri"/>
          <w:sz w:val="22"/>
          <w:szCs w:val="22"/>
          <w:lang w:val="sr-Latn-ME" w:eastAsia="zh-CN"/>
        </w:rPr>
        <w:t>o zaključak o koristi UGT1A1 genotipizacije sa kliničkog aspekta.</w:t>
      </w:r>
    </w:p>
    <w:p w:rsidR="002E37A5" w:rsidRPr="008E586D" w:rsidRDefault="002E37A5" w:rsidP="00D53821">
      <w:pPr>
        <w:tabs>
          <w:tab w:val="left" w:pos="540"/>
          <w:tab w:val="left" w:pos="569"/>
        </w:tabs>
        <w:rPr>
          <w:b/>
          <w:bCs/>
          <w:sz w:val="22"/>
          <w:szCs w:val="22"/>
          <w:lang w:val="sr-Latn-ME"/>
        </w:rPr>
      </w:pPr>
    </w:p>
    <w:p w:rsidR="0072020E" w:rsidRPr="008E586D" w:rsidRDefault="0072020E" w:rsidP="00A33525">
      <w:pPr>
        <w:tabs>
          <w:tab w:val="left" w:pos="540"/>
          <w:tab w:val="left" w:pos="569"/>
        </w:tabs>
        <w:rPr>
          <w:b/>
          <w:bCs/>
          <w:sz w:val="22"/>
          <w:szCs w:val="22"/>
          <w:lang w:val="sr-Latn-ME"/>
        </w:rPr>
      </w:pPr>
      <w:r w:rsidRPr="008E586D">
        <w:rPr>
          <w:b/>
          <w:bCs/>
          <w:sz w:val="22"/>
          <w:szCs w:val="22"/>
          <w:lang w:val="sr-Latn-ME"/>
        </w:rPr>
        <w:t xml:space="preserve">5.2. </w:t>
      </w:r>
      <w:r w:rsidR="00480FB1" w:rsidRPr="008E586D">
        <w:rPr>
          <w:b/>
          <w:bCs/>
          <w:sz w:val="22"/>
          <w:szCs w:val="22"/>
          <w:lang w:val="sr-Latn-ME"/>
        </w:rPr>
        <w:tab/>
      </w:r>
      <w:r w:rsidRPr="008E586D">
        <w:rPr>
          <w:b/>
          <w:bCs/>
          <w:sz w:val="22"/>
          <w:szCs w:val="22"/>
          <w:lang w:val="sr-Latn-ME"/>
        </w:rPr>
        <w:t>Farmakokinetički podaci</w:t>
      </w:r>
      <w:r w:rsidR="003A7059" w:rsidRPr="008E586D">
        <w:rPr>
          <w:b/>
          <w:bCs/>
          <w:sz w:val="22"/>
          <w:szCs w:val="22"/>
          <w:lang w:val="sr-Latn-ME"/>
        </w:rPr>
        <w:t xml:space="preserve"> </w:t>
      </w:r>
    </w:p>
    <w:p w:rsidR="00BB6B8D" w:rsidRPr="008E586D" w:rsidRDefault="00BB6B8D">
      <w:pPr>
        <w:tabs>
          <w:tab w:val="left" w:pos="540"/>
          <w:tab w:val="left" w:pos="569"/>
        </w:tabs>
        <w:rPr>
          <w:b/>
          <w:bCs/>
          <w:sz w:val="22"/>
          <w:szCs w:val="22"/>
          <w:lang w:val="sr-Latn-ME"/>
        </w:rPr>
      </w:pPr>
    </w:p>
    <w:p w:rsidR="004B3FCC" w:rsidRPr="008E586D" w:rsidRDefault="00C47805">
      <w:pPr>
        <w:suppressAutoHyphens/>
        <w:autoSpaceDE w:val="0"/>
        <w:jc w:val="both"/>
        <w:rPr>
          <w:sz w:val="22"/>
          <w:szCs w:val="22"/>
          <w:lang w:val="sr-Latn-ME"/>
        </w:rPr>
      </w:pPr>
      <w:r w:rsidRPr="008E586D">
        <w:rPr>
          <w:sz w:val="22"/>
          <w:szCs w:val="22"/>
          <w:lang w:val="sr-Latn-ME"/>
        </w:rPr>
        <w:t xml:space="preserve">Resorpcija </w:t>
      </w:r>
    </w:p>
    <w:p w:rsidR="004B3FCC" w:rsidRPr="008E586D" w:rsidRDefault="004B3FCC">
      <w:pPr>
        <w:suppressAutoHyphens/>
        <w:autoSpaceDE w:val="0"/>
        <w:jc w:val="both"/>
        <w:rPr>
          <w:sz w:val="22"/>
          <w:szCs w:val="22"/>
          <w:lang w:val="sr-Latn-ME"/>
        </w:rPr>
      </w:pPr>
    </w:p>
    <w:p w:rsidR="004B3FCC" w:rsidRPr="008E586D" w:rsidRDefault="004B3FCC">
      <w:pPr>
        <w:suppressAutoHyphens/>
        <w:autoSpaceDE w:val="0"/>
        <w:jc w:val="both"/>
        <w:rPr>
          <w:sz w:val="22"/>
          <w:szCs w:val="22"/>
          <w:lang w:val="sr-Latn-ME"/>
        </w:rPr>
      </w:pPr>
      <w:r w:rsidRPr="008E586D">
        <w:rPr>
          <w:sz w:val="22"/>
          <w:szCs w:val="22"/>
          <w:lang w:val="sr-Latn-ME"/>
        </w:rPr>
        <w:t xml:space="preserve">Na kraju infuzije, u preporučenoj dozi od 350 mg/m2, srednja vršna koncentracija irinotekana </w:t>
      </w:r>
      <w:r w:rsidR="00C47805" w:rsidRPr="008E586D">
        <w:rPr>
          <w:sz w:val="22"/>
          <w:szCs w:val="22"/>
          <w:lang w:val="sr-Latn-ME"/>
        </w:rPr>
        <w:t>i</w:t>
      </w:r>
      <w:r w:rsidRPr="008E586D">
        <w:rPr>
          <w:sz w:val="22"/>
          <w:szCs w:val="22"/>
          <w:lang w:val="sr-Latn-ME"/>
        </w:rPr>
        <w:t xml:space="preserve"> SN-38 u plazmi bila je 7,7 mg / m</w:t>
      </w:r>
      <w:r w:rsidR="0046645A" w:rsidRPr="008E586D">
        <w:rPr>
          <w:sz w:val="22"/>
          <w:szCs w:val="22"/>
          <w:lang w:val="sr-Latn-ME"/>
        </w:rPr>
        <w:t>l</w:t>
      </w:r>
      <w:r w:rsidRPr="008E586D">
        <w:rPr>
          <w:sz w:val="22"/>
          <w:szCs w:val="22"/>
          <w:lang w:val="sr-Latn-ME"/>
        </w:rPr>
        <w:t xml:space="preserve"> i 56 ng / ml, respektivno, odnosno vrijednosti srednje površine ispod krive (AUC) su bile 34 µg.h/ml i 451 ng.h/ml, respektivno. Velika interindividualna varijabilnost u farmakokinetičkim parametrima je uglavnom uočena za SN-38.</w:t>
      </w:r>
    </w:p>
    <w:p w:rsidR="004B3FCC" w:rsidRPr="008E586D" w:rsidRDefault="004B3FCC">
      <w:pPr>
        <w:suppressAutoHyphens/>
        <w:autoSpaceDE w:val="0"/>
        <w:jc w:val="both"/>
        <w:rPr>
          <w:sz w:val="22"/>
          <w:szCs w:val="22"/>
          <w:lang w:val="sr-Latn-ME"/>
        </w:rPr>
      </w:pPr>
    </w:p>
    <w:p w:rsidR="00C35299" w:rsidRDefault="00C35299">
      <w:pPr>
        <w:suppressAutoHyphens/>
        <w:autoSpaceDE w:val="0"/>
        <w:jc w:val="both"/>
        <w:rPr>
          <w:sz w:val="22"/>
          <w:szCs w:val="22"/>
          <w:lang w:val="sr-Latn-ME"/>
        </w:rPr>
      </w:pPr>
    </w:p>
    <w:p w:rsidR="00C35299" w:rsidRDefault="00C35299">
      <w:pPr>
        <w:suppressAutoHyphens/>
        <w:autoSpaceDE w:val="0"/>
        <w:jc w:val="both"/>
        <w:rPr>
          <w:sz w:val="22"/>
          <w:szCs w:val="22"/>
          <w:lang w:val="sr-Latn-ME"/>
        </w:rPr>
      </w:pPr>
    </w:p>
    <w:p w:rsidR="004B3FCC" w:rsidRPr="008E586D" w:rsidRDefault="004B3FCC">
      <w:pPr>
        <w:suppressAutoHyphens/>
        <w:autoSpaceDE w:val="0"/>
        <w:jc w:val="both"/>
        <w:rPr>
          <w:sz w:val="22"/>
          <w:szCs w:val="22"/>
          <w:lang w:val="sr-Latn-ME"/>
        </w:rPr>
      </w:pPr>
      <w:r w:rsidRPr="008E586D">
        <w:rPr>
          <w:sz w:val="22"/>
          <w:szCs w:val="22"/>
          <w:lang w:val="sr-Latn-ME"/>
        </w:rPr>
        <w:lastRenderedPageBreak/>
        <w:t xml:space="preserve">Distribucija </w:t>
      </w:r>
    </w:p>
    <w:p w:rsidR="004B3FCC" w:rsidRPr="008E586D" w:rsidRDefault="004B3FCC">
      <w:pPr>
        <w:suppressAutoHyphens/>
        <w:autoSpaceDE w:val="0"/>
        <w:jc w:val="both"/>
        <w:rPr>
          <w:sz w:val="22"/>
          <w:szCs w:val="22"/>
          <w:lang w:val="sr-Latn-ME"/>
        </w:rPr>
      </w:pPr>
    </w:p>
    <w:p w:rsidR="00BB6B8D" w:rsidRPr="008E586D" w:rsidRDefault="004B3FCC">
      <w:pPr>
        <w:suppressAutoHyphens/>
        <w:autoSpaceDE w:val="0"/>
        <w:jc w:val="both"/>
        <w:rPr>
          <w:sz w:val="22"/>
          <w:szCs w:val="22"/>
          <w:lang w:val="sr-Latn-ME"/>
        </w:rPr>
      </w:pPr>
      <w:r w:rsidRPr="008E586D">
        <w:rPr>
          <w:sz w:val="22"/>
          <w:szCs w:val="22"/>
          <w:lang w:val="sr-Latn-ME"/>
        </w:rPr>
        <w:t>U ispitivanju faze I na 60 pacijenata koji su dobijali 100-750 mg/m²irinotekana u obliku intravenske infuzije u trajanju od 30 minuta svake 3 nedjelje, volumen distribucije u stanju ravnoteže (Vss) bio je 157 l/m².</w:t>
      </w:r>
    </w:p>
    <w:p w:rsidR="004B3FCC" w:rsidRPr="008E586D" w:rsidRDefault="004B3FCC">
      <w:pPr>
        <w:suppressAutoHyphens/>
        <w:autoSpaceDE w:val="0"/>
        <w:jc w:val="both"/>
        <w:rPr>
          <w:sz w:val="22"/>
          <w:szCs w:val="22"/>
          <w:lang w:val="sr-Latn-ME"/>
        </w:rPr>
      </w:pPr>
    </w:p>
    <w:p w:rsidR="004B3FCC" w:rsidRPr="008E586D" w:rsidRDefault="00BB6B8D">
      <w:pPr>
        <w:suppressAutoHyphens/>
        <w:autoSpaceDE w:val="0"/>
        <w:jc w:val="both"/>
        <w:rPr>
          <w:sz w:val="22"/>
          <w:szCs w:val="22"/>
          <w:lang w:val="sr-Latn-ME"/>
        </w:rPr>
      </w:pPr>
      <w:r w:rsidRPr="008E586D">
        <w:rPr>
          <w:i/>
          <w:sz w:val="22"/>
          <w:szCs w:val="22"/>
          <w:lang w:val="sr-Latn-ME"/>
        </w:rPr>
        <w:t>In vitro</w:t>
      </w:r>
      <w:r w:rsidRPr="008E586D">
        <w:rPr>
          <w:sz w:val="22"/>
          <w:szCs w:val="22"/>
          <w:lang w:val="sr-Latn-ME"/>
        </w:rPr>
        <w:t>, vezivanje za proteine plazme bilo je za irinotekan 65%, a za SN-38 95%.</w:t>
      </w:r>
    </w:p>
    <w:p w:rsidR="00BB6B8D" w:rsidRPr="008E586D" w:rsidRDefault="00BB6B8D">
      <w:pPr>
        <w:suppressAutoHyphens/>
        <w:autoSpaceDE w:val="0"/>
        <w:jc w:val="both"/>
        <w:rPr>
          <w:sz w:val="22"/>
          <w:szCs w:val="22"/>
          <w:lang w:val="sr-Latn-ME"/>
        </w:rPr>
      </w:pPr>
    </w:p>
    <w:p w:rsidR="00A32DB2" w:rsidRPr="008E586D" w:rsidRDefault="00A32DB2">
      <w:pPr>
        <w:suppressAutoHyphens/>
        <w:autoSpaceDE w:val="0"/>
        <w:jc w:val="both"/>
        <w:rPr>
          <w:sz w:val="22"/>
          <w:szCs w:val="22"/>
          <w:u w:val="single"/>
          <w:lang w:val="sr-Latn-ME"/>
        </w:rPr>
      </w:pPr>
      <w:r w:rsidRPr="008E586D">
        <w:rPr>
          <w:sz w:val="22"/>
          <w:szCs w:val="22"/>
          <w:u w:val="single"/>
          <w:lang w:val="sr-Latn-ME"/>
        </w:rPr>
        <w:t>Biotransformacija</w:t>
      </w:r>
    </w:p>
    <w:p w:rsidR="00A32DB2" w:rsidRPr="008E586D" w:rsidRDefault="00A32DB2">
      <w:pPr>
        <w:suppressAutoHyphens/>
        <w:autoSpaceDE w:val="0"/>
        <w:jc w:val="both"/>
        <w:rPr>
          <w:sz w:val="22"/>
          <w:szCs w:val="22"/>
          <w:u w:val="single"/>
          <w:lang w:val="sr-Latn-ME"/>
        </w:rPr>
      </w:pPr>
    </w:p>
    <w:p w:rsidR="00BB6B8D" w:rsidRPr="008E586D" w:rsidRDefault="00BB6B8D">
      <w:pPr>
        <w:suppressAutoHyphens/>
        <w:autoSpaceDE w:val="0"/>
        <w:jc w:val="both"/>
        <w:rPr>
          <w:sz w:val="22"/>
          <w:szCs w:val="22"/>
          <w:lang w:val="sr-Latn-ME"/>
        </w:rPr>
      </w:pPr>
      <w:r w:rsidRPr="008E586D">
        <w:rPr>
          <w:sz w:val="22"/>
          <w:szCs w:val="22"/>
          <w:lang w:val="sr-Latn-ME"/>
        </w:rPr>
        <w:t>Studije balansa mase i metaboličke studije sa 14C-obilježenim lijekom pokazale su da se više od 50% doze irinotekana primijenjenog intravenskim putem izlučuje u nepromijenjenom obliku, od čega 33% u fecesu, pretežno preko žuči, a 22% u urinu.</w:t>
      </w:r>
    </w:p>
    <w:p w:rsidR="00BB6B8D" w:rsidRPr="008E586D" w:rsidRDefault="00BB6B8D">
      <w:pPr>
        <w:suppressAutoHyphens/>
        <w:autoSpaceDE w:val="0"/>
        <w:jc w:val="both"/>
        <w:rPr>
          <w:sz w:val="22"/>
          <w:szCs w:val="22"/>
          <w:lang w:val="sr-Latn-ME"/>
        </w:rPr>
      </w:pPr>
    </w:p>
    <w:p w:rsidR="00BB6B8D" w:rsidRPr="008E586D" w:rsidRDefault="00BB6B8D">
      <w:pPr>
        <w:suppressAutoHyphens/>
        <w:autoSpaceDE w:val="0"/>
        <w:jc w:val="both"/>
        <w:rPr>
          <w:sz w:val="22"/>
          <w:szCs w:val="22"/>
          <w:lang w:val="sr-Latn-ME"/>
        </w:rPr>
      </w:pPr>
      <w:r w:rsidRPr="008E586D">
        <w:rPr>
          <w:sz w:val="22"/>
          <w:szCs w:val="22"/>
          <w:lang w:val="sr-Latn-ME"/>
        </w:rPr>
        <w:t>Najmanje po 12% unijete doze metaboliše se preko dva metabolička puta:</w:t>
      </w:r>
    </w:p>
    <w:p w:rsidR="00A32DB2" w:rsidRPr="008E586D" w:rsidRDefault="00A32DB2">
      <w:pPr>
        <w:suppressAutoHyphens/>
        <w:autoSpaceDE w:val="0"/>
        <w:jc w:val="both"/>
        <w:rPr>
          <w:sz w:val="22"/>
          <w:szCs w:val="22"/>
          <w:lang w:val="sr-Latn-ME"/>
        </w:rPr>
      </w:pPr>
    </w:p>
    <w:p w:rsidR="00BB6B8D" w:rsidRPr="008E586D" w:rsidRDefault="00BB6B8D">
      <w:pPr>
        <w:pStyle w:val="ListParagraph"/>
        <w:numPr>
          <w:ilvl w:val="0"/>
          <w:numId w:val="17"/>
        </w:numPr>
        <w:suppressAutoHyphens/>
        <w:autoSpaceDE w:val="0"/>
        <w:jc w:val="both"/>
        <w:rPr>
          <w:sz w:val="22"/>
          <w:szCs w:val="22"/>
          <w:lang w:val="sr-Latn-ME"/>
        </w:rPr>
      </w:pPr>
      <w:r w:rsidRPr="008E586D">
        <w:rPr>
          <w:sz w:val="22"/>
          <w:szCs w:val="22"/>
          <w:lang w:val="sr-Latn-ME"/>
        </w:rPr>
        <w:t>Hidroliza pod uticajem karboksilesteraze do aktivnog metabolita SN-38. SN-38 se pretežno eliminiše glukuronidacijom, a zatim bilijarnom i renalnom ekskrecijom (manje od 0,5% doze irinotekana). SN-38 glukuronid se vjerovatno zatim hidrolizuje u cr</w:t>
      </w:r>
      <w:r w:rsidR="00A32DB2" w:rsidRPr="008E586D">
        <w:rPr>
          <w:sz w:val="22"/>
          <w:szCs w:val="22"/>
          <w:lang w:val="sr-Latn-ME"/>
        </w:rPr>
        <w:t>ij</w:t>
      </w:r>
      <w:r w:rsidRPr="008E586D">
        <w:rPr>
          <w:sz w:val="22"/>
          <w:szCs w:val="22"/>
          <w:lang w:val="sr-Latn-ME"/>
        </w:rPr>
        <w:t>evima.</w:t>
      </w:r>
    </w:p>
    <w:p w:rsidR="00A32DB2" w:rsidRPr="008E586D" w:rsidRDefault="00A32DB2">
      <w:pPr>
        <w:pStyle w:val="ListParagraph"/>
        <w:suppressAutoHyphens/>
        <w:autoSpaceDE w:val="0"/>
        <w:jc w:val="both"/>
        <w:rPr>
          <w:sz w:val="22"/>
          <w:szCs w:val="22"/>
          <w:lang w:val="sr-Latn-ME"/>
        </w:rPr>
      </w:pPr>
    </w:p>
    <w:p w:rsidR="00BB6B8D" w:rsidRPr="008E586D" w:rsidRDefault="00BB6B8D">
      <w:pPr>
        <w:pStyle w:val="ListParagraph"/>
        <w:numPr>
          <w:ilvl w:val="0"/>
          <w:numId w:val="17"/>
        </w:numPr>
        <w:suppressAutoHyphens/>
        <w:autoSpaceDE w:val="0"/>
        <w:jc w:val="both"/>
        <w:rPr>
          <w:sz w:val="22"/>
          <w:szCs w:val="22"/>
          <w:lang w:val="sr-Latn-ME"/>
        </w:rPr>
      </w:pPr>
      <w:r w:rsidRPr="008E586D">
        <w:rPr>
          <w:sz w:val="22"/>
          <w:szCs w:val="22"/>
          <w:lang w:val="sr-Latn-ME"/>
        </w:rPr>
        <w:t>Citohrom P450 3A-zavisna oksidacija koja dovodi do otvaranja spoljašnjeg piperidinskog prstena, pri čemu nastaje APC (derivat aminopentanske kiseline) i NPC (derivat primarnog amina) (vidjeti dio 4.5).</w:t>
      </w:r>
    </w:p>
    <w:p w:rsidR="00A32DB2" w:rsidRPr="008E586D" w:rsidRDefault="00A32DB2">
      <w:pPr>
        <w:pStyle w:val="ListParagraph"/>
        <w:rPr>
          <w:sz w:val="22"/>
          <w:szCs w:val="22"/>
          <w:lang w:val="sr-Latn-ME"/>
        </w:rPr>
      </w:pPr>
    </w:p>
    <w:p w:rsidR="00BB6B8D" w:rsidRPr="008E586D" w:rsidRDefault="00BB6B8D">
      <w:pPr>
        <w:suppressAutoHyphens/>
        <w:autoSpaceDE w:val="0"/>
        <w:jc w:val="both"/>
        <w:rPr>
          <w:sz w:val="22"/>
          <w:szCs w:val="22"/>
          <w:lang w:val="sr-Latn-ME"/>
        </w:rPr>
      </w:pPr>
      <w:r w:rsidRPr="008E586D">
        <w:rPr>
          <w:sz w:val="22"/>
          <w:szCs w:val="22"/>
          <w:lang w:val="sr-Latn-ME"/>
        </w:rPr>
        <w:t xml:space="preserve">Neizmijenjeni irinotekan je glavna forma lijeka u plazmi, a zatim slijede metaboliti APC, SN-38 glukuronid </w:t>
      </w:r>
      <w:r w:rsidR="00A74024" w:rsidRPr="008E586D">
        <w:rPr>
          <w:sz w:val="22"/>
          <w:szCs w:val="22"/>
          <w:lang w:val="sr-Latn-ME"/>
        </w:rPr>
        <w:t>i</w:t>
      </w:r>
      <w:r w:rsidRPr="008E586D">
        <w:rPr>
          <w:sz w:val="22"/>
          <w:szCs w:val="22"/>
          <w:lang w:val="sr-Latn-ME"/>
        </w:rPr>
        <w:t xml:space="preserve"> SN-38. Samo SN-38 ispoljava značajnu citotoksičnu aktivnost.</w:t>
      </w:r>
    </w:p>
    <w:p w:rsidR="00736C90" w:rsidRPr="008E586D" w:rsidRDefault="00736C90">
      <w:pPr>
        <w:suppressAutoHyphens/>
        <w:autoSpaceDE w:val="0"/>
        <w:jc w:val="both"/>
        <w:rPr>
          <w:sz w:val="22"/>
          <w:szCs w:val="22"/>
          <w:lang w:val="sr-Latn-ME"/>
        </w:rPr>
      </w:pPr>
    </w:p>
    <w:p w:rsidR="00736C90" w:rsidRPr="008E586D" w:rsidRDefault="00736C90">
      <w:pPr>
        <w:suppressAutoHyphens/>
        <w:autoSpaceDE w:val="0"/>
        <w:jc w:val="both"/>
        <w:rPr>
          <w:sz w:val="22"/>
          <w:szCs w:val="22"/>
          <w:lang w:val="sr-Latn-ME"/>
        </w:rPr>
      </w:pPr>
      <w:r w:rsidRPr="008E586D">
        <w:rPr>
          <w:sz w:val="22"/>
          <w:szCs w:val="22"/>
          <w:lang w:val="sr-Latn-ME"/>
        </w:rPr>
        <w:t>Eliminacija</w:t>
      </w:r>
    </w:p>
    <w:p w:rsidR="00736C90" w:rsidRPr="008E586D" w:rsidRDefault="00736C90">
      <w:pPr>
        <w:suppressAutoHyphens/>
        <w:autoSpaceDE w:val="0"/>
        <w:jc w:val="both"/>
        <w:rPr>
          <w:sz w:val="22"/>
          <w:szCs w:val="22"/>
          <w:lang w:val="sr-Latn-ME"/>
        </w:rPr>
      </w:pPr>
    </w:p>
    <w:p w:rsidR="00736C90" w:rsidRPr="008E586D" w:rsidRDefault="00736C90">
      <w:pPr>
        <w:suppressAutoHyphens/>
        <w:autoSpaceDE w:val="0"/>
        <w:jc w:val="both"/>
        <w:rPr>
          <w:sz w:val="22"/>
          <w:szCs w:val="22"/>
          <w:lang w:val="sr-Latn-ME"/>
        </w:rPr>
      </w:pPr>
      <w:r w:rsidRPr="008E586D">
        <w:rPr>
          <w:sz w:val="22"/>
          <w:szCs w:val="22"/>
          <w:lang w:val="sr-Latn-ME"/>
        </w:rPr>
        <w:t>U ispitivanju faze I na 60 pacijenata koji su dobijali 100-750 mg/m²irinotekana u obliku intravenske infuzije u trajanju od 30 minuta svake 3 nedjelje, irinotekan je pokazao dvofazni ili trofazni profil eliminacije. Srednja vrijednost kliren</w:t>
      </w:r>
      <w:r w:rsidR="005725DC" w:rsidRPr="008E586D">
        <w:rPr>
          <w:sz w:val="22"/>
          <w:szCs w:val="22"/>
          <w:lang w:val="sr-Latn-ME"/>
        </w:rPr>
        <w:t xml:space="preserve">sa iz plazme bila je 15 l/h/m². </w:t>
      </w:r>
      <w:r w:rsidRPr="008E586D">
        <w:rPr>
          <w:sz w:val="22"/>
          <w:szCs w:val="22"/>
          <w:lang w:val="sr-Latn-ME"/>
        </w:rPr>
        <w:t>Srednje poluvrijeme eliminacije u prvoj fazi trofaznog modela bilo je 12 minuta, u drugoj fazi 2,5 sata, a u terminalnoj fazi 14,2 sati. SN-38 je pokazao dvofazni profil eliminacije sa prosječnim terminalnim poluvremenom eliminacije od 13,8 sati.</w:t>
      </w:r>
    </w:p>
    <w:p w:rsidR="00BB6B8D" w:rsidRPr="008E586D" w:rsidRDefault="00BB6B8D" w:rsidP="00BB6B8D">
      <w:pPr>
        <w:suppressAutoHyphens/>
        <w:autoSpaceDE w:val="0"/>
        <w:jc w:val="both"/>
        <w:rPr>
          <w:rFonts w:eastAsia="TimesNewRoman"/>
          <w:bCs/>
          <w:color w:val="FF0000"/>
          <w:sz w:val="22"/>
          <w:szCs w:val="22"/>
          <w:u w:val="single"/>
          <w:lang w:val="sr-Latn-ME" w:eastAsia="hr-HR"/>
        </w:rPr>
      </w:pPr>
    </w:p>
    <w:p w:rsidR="00BB6B8D" w:rsidRPr="008E586D" w:rsidRDefault="00BB6B8D" w:rsidP="00BB6B8D">
      <w:pPr>
        <w:suppressAutoHyphens/>
        <w:autoSpaceDE w:val="0"/>
        <w:jc w:val="both"/>
        <w:rPr>
          <w:sz w:val="22"/>
          <w:szCs w:val="22"/>
          <w:lang w:val="sr-Latn-ME"/>
        </w:rPr>
      </w:pPr>
      <w:r w:rsidRPr="008E586D">
        <w:rPr>
          <w:sz w:val="22"/>
          <w:szCs w:val="22"/>
          <w:lang w:val="sr-Latn-ME"/>
        </w:rPr>
        <w:t>Klirens irinotekana smanjen je za oko 40% kod pacijenata sa bilirubinemijom koja je između 1,5 i 3 puta veća od gornje granice normalnih vrijednosti. Kod ovih pacijenata, doza irinotekana od 200 mg/m</w:t>
      </w:r>
      <w:r w:rsidRPr="008E586D">
        <w:rPr>
          <w:sz w:val="22"/>
          <w:szCs w:val="22"/>
          <w:vertAlign w:val="superscript"/>
          <w:lang w:val="sr-Latn-ME"/>
        </w:rPr>
        <w:t>2</w:t>
      </w:r>
      <w:r w:rsidRPr="008E586D">
        <w:rPr>
          <w:sz w:val="22"/>
          <w:szCs w:val="22"/>
          <w:lang w:val="sr-Latn-ME"/>
        </w:rPr>
        <w:t xml:space="preserve"> dovodi do ekspozicije u plazmi koja odgovara dozi od 350 mg/m</w:t>
      </w:r>
      <w:r w:rsidRPr="008E586D">
        <w:rPr>
          <w:sz w:val="22"/>
          <w:szCs w:val="22"/>
          <w:vertAlign w:val="superscript"/>
          <w:lang w:val="sr-Latn-ME"/>
        </w:rPr>
        <w:t>2</w:t>
      </w:r>
      <w:r w:rsidRPr="008E586D">
        <w:rPr>
          <w:sz w:val="22"/>
          <w:szCs w:val="22"/>
          <w:lang w:val="sr-Latn-ME"/>
        </w:rPr>
        <w:t xml:space="preserve"> kod pacijenata sa malignitetom i očuvanom funkcijom jetre.</w:t>
      </w:r>
    </w:p>
    <w:p w:rsidR="005725DC" w:rsidRPr="008E586D" w:rsidRDefault="005725DC" w:rsidP="00BB6B8D">
      <w:pPr>
        <w:suppressAutoHyphens/>
        <w:autoSpaceDE w:val="0"/>
        <w:jc w:val="both"/>
        <w:rPr>
          <w:sz w:val="22"/>
          <w:szCs w:val="22"/>
          <w:lang w:val="sr-Latn-ME"/>
        </w:rPr>
      </w:pPr>
    </w:p>
    <w:p w:rsidR="005725DC" w:rsidRPr="008E586D" w:rsidRDefault="005725DC" w:rsidP="00BB6B8D">
      <w:pPr>
        <w:suppressAutoHyphens/>
        <w:autoSpaceDE w:val="0"/>
        <w:jc w:val="both"/>
        <w:rPr>
          <w:sz w:val="22"/>
          <w:szCs w:val="22"/>
          <w:lang w:val="sr-Latn-ME"/>
        </w:rPr>
      </w:pPr>
      <w:r w:rsidRPr="008E586D">
        <w:rPr>
          <w:sz w:val="22"/>
          <w:szCs w:val="22"/>
          <w:lang w:val="sr-Latn-ME"/>
        </w:rPr>
        <w:t>Linearnost/nelinearnost</w:t>
      </w:r>
    </w:p>
    <w:p w:rsidR="005725DC" w:rsidRPr="008E586D" w:rsidRDefault="005725DC" w:rsidP="00BB6B8D">
      <w:pPr>
        <w:suppressAutoHyphens/>
        <w:autoSpaceDE w:val="0"/>
        <w:jc w:val="both"/>
        <w:rPr>
          <w:sz w:val="22"/>
          <w:szCs w:val="22"/>
          <w:lang w:val="sr-Latn-ME"/>
        </w:rPr>
      </w:pPr>
    </w:p>
    <w:p w:rsidR="005725DC" w:rsidRPr="008E586D" w:rsidRDefault="005725DC" w:rsidP="005725DC">
      <w:pPr>
        <w:suppressAutoHyphens/>
        <w:autoSpaceDE w:val="0"/>
        <w:jc w:val="both"/>
        <w:rPr>
          <w:sz w:val="22"/>
          <w:szCs w:val="22"/>
          <w:lang w:val="sr-Latn-ME"/>
        </w:rPr>
      </w:pPr>
      <w:r w:rsidRPr="008E586D">
        <w:rPr>
          <w:sz w:val="22"/>
          <w:szCs w:val="22"/>
          <w:lang w:val="sr-Latn-ME"/>
        </w:rPr>
        <w:t>Populaciona farmakokinetička analiza irinotekana sprovedena je na 148 pacijenata sa metastatskim karcinomom kolona, liječenih različitim dozama i doznim režimima, u studijama II faze. Farmakokinetički parametri izračunavani su prema troprostornom modelu i imali su slične vrijednosti kao i u studijama I faze. Sve studije pokazale su da ekspozicija irinotekanu (CPT-11) i SN-38 raste srazmjerno dozi CPT-11; farmakokinetika irinotekana i SN-38 bila je nezavisna od broja prethodnih ciklusa i doznog režima.</w:t>
      </w:r>
    </w:p>
    <w:p w:rsidR="005725DC" w:rsidRPr="008E586D" w:rsidRDefault="005725DC" w:rsidP="005725DC">
      <w:pPr>
        <w:suppressAutoHyphens/>
        <w:autoSpaceDE w:val="0"/>
        <w:jc w:val="both"/>
        <w:rPr>
          <w:sz w:val="22"/>
          <w:szCs w:val="22"/>
          <w:lang w:val="sr-Latn-ME"/>
        </w:rPr>
      </w:pPr>
    </w:p>
    <w:p w:rsidR="005725DC" w:rsidRPr="008E586D" w:rsidRDefault="005725DC" w:rsidP="005725DC">
      <w:pPr>
        <w:suppressAutoHyphens/>
        <w:autoSpaceDE w:val="0"/>
        <w:jc w:val="both"/>
        <w:rPr>
          <w:sz w:val="22"/>
          <w:szCs w:val="22"/>
          <w:lang w:val="sr-Latn-ME"/>
        </w:rPr>
      </w:pPr>
      <w:r w:rsidRPr="008E586D">
        <w:rPr>
          <w:sz w:val="22"/>
          <w:szCs w:val="22"/>
          <w:lang w:val="sr-Latn-ME"/>
        </w:rPr>
        <w:t>Veza između farmakokinetičkih/farmakodinamskih podataka</w:t>
      </w:r>
    </w:p>
    <w:p w:rsidR="005725DC" w:rsidRPr="008E586D" w:rsidRDefault="005725DC" w:rsidP="005725DC">
      <w:pPr>
        <w:suppressAutoHyphens/>
        <w:autoSpaceDE w:val="0"/>
        <w:jc w:val="both"/>
        <w:rPr>
          <w:sz w:val="22"/>
          <w:szCs w:val="22"/>
          <w:lang w:val="sr-Latn-ME"/>
        </w:rPr>
      </w:pPr>
    </w:p>
    <w:p w:rsidR="005725DC" w:rsidRPr="008E586D" w:rsidRDefault="005725DC" w:rsidP="005725DC">
      <w:pPr>
        <w:suppressAutoHyphens/>
        <w:autoSpaceDE w:val="0"/>
        <w:jc w:val="both"/>
        <w:rPr>
          <w:b/>
          <w:sz w:val="22"/>
          <w:szCs w:val="22"/>
          <w:lang w:val="sr-Latn-ME"/>
        </w:rPr>
      </w:pPr>
      <w:r w:rsidRPr="008E586D">
        <w:rPr>
          <w:sz w:val="22"/>
          <w:szCs w:val="22"/>
          <w:lang w:val="sr-Latn-ME"/>
        </w:rPr>
        <w:t>Intenzitet najvećih toksičnosti s irinotekanom (npr. leukoneutropenija i dijareja) povezan je sa izloženošću (AUC) lijeku i metabolitu SN-38. Uočene su značajne korelacije između hematološke toksičnosti (smanjenje bijelih krvnih ćelija i najniži broj neutrofila) ili intenziteta dijareje i AUC vrijednosti irinotekana i metabolita SN-38 u monoterapiji.</w:t>
      </w:r>
    </w:p>
    <w:p w:rsidR="0072020E" w:rsidRPr="008E586D" w:rsidRDefault="0072020E" w:rsidP="00480FB1">
      <w:pPr>
        <w:tabs>
          <w:tab w:val="left" w:pos="540"/>
          <w:tab w:val="left" w:pos="569"/>
        </w:tabs>
        <w:rPr>
          <w:bCs/>
          <w:sz w:val="22"/>
          <w:szCs w:val="22"/>
          <w:lang w:val="sr-Latn-ME"/>
        </w:rPr>
      </w:pPr>
    </w:p>
    <w:p w:rsidR="0072020E" w:rsidRPr="008E586D" w:rsidRDefault="0072020E" w:rsidP="00480FB1">
      <w:pPr>
        <w:tabs>
          <w:tab w:val="left" w:pos="540"/>
          <w:tab w:val="left" w:pos="569"/>
        </w:tabs>
        <w:rPr>
          <w:b/>
          <w:bCs/>
          <w:sz w:val="22"/>
          <w:szCs w:val="22"/>
          <w:lang w:val="sr-Latn-ME"/>
        </w:rPr>
      </w:pPr>
      <w:r w:rsidRPr="008E586D">
        <w:rPr>
          <w:b/>
          <w:bCs/>
          <w:sz w:val="22"/>
          <w:szCs w:val="22"/>
          <w:lang w:val="sr-Latn-ME"/>
        </w:rPr>
        <w:lastRenderedPageBreak/>
        <w:t xml:space="preserve">5.3. </w:t>
      </w:r>
      <w:r w:rsidR="00480FB1" w:rsidRPr="008E586D">
        <w:rPr>
          <w:b/>
          <w:bCs/>
          <w:sz w:val="22"/>
          <w:szCs w:val="22"/>
          <w:lang w:val="sr-Latn-ME"/>
        </w:rPr>
        <w:tab/>
      </w:r>
      <w:r w:rsidRPr="008E586D">
        <w:rPr>
          <w:b/>
          <w:bCs/>
          <w:sz w:val="22"/>
          <w:szCs w:val="22"/>
          <w:lang w:val="sr-Latn-ME"/>
        </w:rPr>
        <w:t xml:space="preserve">Pretklinički podaci o bezbjednosti </w:t>
      </w:r>
    </w:p>
    <w:p w:rsidR="00BB6B8D" w:rsidRPr="008E586D" w:rsidRDefault="00BB6B8D" w:rsidP="00480FB1">
      <w:pPr>
        <w:tabs>
          <w:tab w:val="left" w:pos="540"/>
          <w:tab w:val="left" w:pos="569"/>
        </w:tabs>
        <w:rPr>
          <w:b/>
          <w:bCs/>
          <w:sz w:val="22"/>
          <w:szCs w:val="22"/>
          <w:lang w:val="sr-Latn-ME"/>
        </w:rPr>
      </w:pPr>
    </w:p>
    <w:p w:rsidR="00BB6B8D" w:rsidRPr="008E586D" w:rsidRDefault="00BB6B8D" w:rsidP="00BB6B8D">
      <w:pPr>
        <w:suppressAutoHyphens/>
        <w:autoSpaceDE w:val="0"/>
        <w:jc w:val="both"/>
        <w:rPr>
          <w:sz w:val="22"/>
          <w:szCs w:val="22"/>
          <w:lang w:val="sr-Latn-ME"/>
        </w:rPr>
      </w:pPr>
      <w:r w:rsidRPr="008E586D">
        <w:rPr>
          <w:sz w:val="22"/>
          <w:szCs w:val="22"/>
          <w:lang w:val="sr-Latn-ME"/>
        </w:rPr>
        <w:t xml:space="preserve">Irinotekan i SN-38 su dokazani mutageni u </w:t>
      </w:r>
      <w:r w:rsidRPr="008E586D">
        <w:rPr>
          <w:i/>
          <w:sz w:val="22"/>
          <w:szCs w:val="22"/>
          <w:lang w:val="sr-Latn-ME"/>
        </w:rPr>
        <w:t>in vitro</w:t>
      </w:r>
      <w:r w:rsidRPr="008E586D">
        <w:rPr>
          <w:sz w:val="22"/>
          <w:szCs w:val="22"/>
          <w:lang w:val="sr-Latn-ME"/>
        </w:rPr>
        <w:t xml:space="preserve"> testu hromozomskih aberacija na CHO-ćelijama, kao i u </w:t>
      </w:r>
      <w:r w:rsidRPr="008E586D">
        <w:rPr>
          <w:i/>
          <w:sz w:val="22"/>
          <w:szCs w:val="22"/>
          <w:lang w:val="sr-Latn-ME"/>
        </w:rPr>
        <w:t>in vivo</w:t>
      </w:r>
      <w:r w:rsidRPr="008E586D">
        <w:rPr>
          <w:sz w:val="22"/>
          <w:szCs w:val="22"/>
          <w:lang w:val="sr-Latn-ME"/>
        </w:rPr>
        <w:t xml:space="preserve"> mikronukleusnom testu na miševima.</w:t>
      </w:r>
    </w:p>
    <w:p w:rsidR="005725DC" w:rsidRPr="008E586D" w:rsidRDefault="005725DC" w:rsidP="00BB6B8D">
      <w:pPr>
        <w:suppressAutoHyphens/>
        <w:autoSpaceDE w:val="0"/>
        <w:jc w:val="both"/>
        <w:rPr>
          <w:sz w:val="22"/>
          <w:szCs w:val="22"/>
          <w:lang w:val="sr-Latn-ME"/>
        </w:rPr>
      </w:pPr>
    </w:p>
    <w:p w:rsidR="00BB6B8D" w:rsidRPr="008E586D" w:rsidRDefault="00BB6B8D" w:rsidP="00BB6B8D">
      <w:pPr>
        <w:suppressAutoHyphens/>
        <w:autoSpaceDE w:val="0"/>
        <w:jc w:val="both"/>
        <w:rPr>
          <w:sz w:val="22"/>
          <w:szCs w:val="22"/>
          <w:lang w:val="sr-Latn-ME"/>
        </w:rPr>
      </w:pPr>
      <w:r w:rsidRPr="008E586D">
        <w:rPr>
          <w:sz w:val="22"/>
          <w:szCs w:val="22"/>
          <w:lang w:val="sr-Latn-ME"/>
        </w:rPr>
        <w:t xml:space="preserve">Međutim, oni nisu ispoljili bilo kakav mutageni potencijal u </w:t>
      </w:r>
      <w:r w:rsidRPr="008E586D">
        <w:rPr>
          <w:i/>
          <w:sz w:val="22"/>
          <w:szCs w:val="22"/>
          <w:lang w:val="sr-Latn-ME"/>
        </w:rPr>
        <w:t>Ames</w:t>
      </w:r>
      <w:r w:rsidRPr="008E586D">
        <w:rPr>
          <w:sz w:val="22"/>
          <w:szCs w:val="22"/>
          <w:lang w:val="sr-Latn-ME"/>
        </w:rPr>
        <w:t>-ovom testu.</w:t>
      </w:r>
    </w:p>
    <w:p w:rsidR="00BB6B8D" w:rsidRPr="008E586D" w:rsidRDefault="00BB6B8D" w:rsidP="00BB6B8D">
      <w:pPr>
        <w:suppressAutoHyphens/>
        <w:autoSpaceDE w:val="0"/>
        <w:jc w:val="both"/>
        <w:rPr>
          <w:sz w:val="22"/>
          <w:szCs w:val="22"/>
          <w:lang w:val="sr-Latn-ME"/>
        </w:rPr>
      </w:pPr>
      <w:r w:rsidRPr="008E586D">
        <w:rPr>
          <w:sz w:val="22"/>
          <w:szCs w:val="22"/>
          <w:lang w:val="sr-Latn-ME"/>
        </w:rPr>
        <w:t>Kod pacova koji su jednom nedjeljno tokom 13 nedjelja dobijali irinotekan u maksimalnoj dozi od 150 mg/m</w:t>
      </w:r>
      <w:r w:rsidRPr="008E586D">
        <w:rPr>
          <w:sz w:val="22"/>
          <w:szCs w:val="22"/>
          <w:vertAlign w:val="superscript"/>
          <w:lang w:val="sr-Latn-ME"/>
        </w:rPr>
        <w:t xml:space="preserve">2 </w:t>
      </w:r>
      <w:r w:rsidRPr="008E586D">
        <w:rPr>
          <w:sz w:val="22"/>
          <w:szCs w:val="22"/>
          <w:lang w:val="sr-Latn-ME"/>
        </w:rPr>
        <w:t>(što je manje od polovine preporučene doze kod čovjeka), nije bilo tumora izazvanih lijekom 91 nedjelju po završetku terapije.</w:t>
      </w:r>
    </w:p>
    <w:p w:rsidR="005725DC" w:rsidRPr="008E586D" w:rsidRDefault="005725DC" w:rsidP="00BB6B8D">
      <w:pPr>
        <w:suppressAutoHyphens/>
        <w:autoSpaceDE w:val="0"/>
        <w:jc w:val="both"/>
        <w:rPr>
          <w:sz w:val="22"/>
          <w:szCs w:val="22"/>
          <w:lang w:val="sr-Latn-ME"/>
        </w:rPr>
      </w:pPr>
    </w:p>
    <w:p w:rsidR="00BB6B8D" w:rsidRPr="008E586D" w:rsidRDefault="00BB6B8D" w:rsidP="00BB6B8D">
      <w:pPr>
        <w:suppressAutoHyphens/>
        <w:autoSpaceDE w:val="0"/>
        <w:jc w:val="both"/>
        <w:rPr>
          <w:sz w:val="22"/>
          <w:szCs w:val="22"/>
          <w:lang w:val="sr-Latn-ME"/>
        </w:rPr>
      </w:pPr>
      <w:r w:rsidRPr="008E586D">
        <w:rPr>
          <w:sz w:val="22"/>
          <w:szCs w:val="22"/>
          <w:lang w:val="sr-Latn-ME"/>
        </w:rPr>
        <w:t>Toksikološke studije sa jednom ili više doza lijeka Irinotecan Accord sprovedene su na miševima, pacovima i psima. Glavni toksični efekti zapaženi su u hematopoetskom i limfnom sistemu. Kod pasa, opisana je odložena dijareja udružena sa atrofijom i fokalnom nekrozom intestinalne mukoze. Alopecija je takođe opisana kod pasa.</w:t>
      </w:r>
    </w:p>
    <w:p w:rsidR="005725DC" w:rsidRPr="008E586D" w:rsidRDefault="005725DC" w:rsidP="00BB6B8D">
      <w:pPr>
        <w:suppressAutoHyphens/>
        <w:autoSpaceDE w:val="0"/>
        <w:jc w:val="both"/>
        <w:rPr>
          <w:sz w:val="22"/>
          <w:szCs w:val="22"/>
          <w:lang w:val="sr-Latn-ME"/>
        </w:rPr>
      </w:pPr>
    </w:p>
    <w:p w:rsidR="00BB6B8D" w:rsidRPr="008E586D" w:rsidRDefault="00BB6B8D" w:rsidP="00BB6B8D">
      <w:pPr>
        <w:suppressAutoHyphens/>
        <w:autoSpaceDE w:val="0"/>
        <w:jc w:val="both"/>
        <w:rPr>
          <w:sz w:val="22"/>
          <w:szCs w:val="22"/>
          <w:lang w:val="sr-Latn-ME"/>
        </w:rPr>
      </w:pPr>
      <w:r w:rsidRPr="008E586D">
        <w:rPr>
          <w:sz w:val="22"/>
          <w:szCs w:val="22"/>
          <w:lang w:val="sr-Latn-ME"/>
        </w:rPr>
        <w:t>Intenzitet ovih efekata zavisio je od primijenjene doze i bio je reverzibilan.</w:t>
      </w:r>
    </w:p>
    <w:p w:rsidR="005725DC" w:rsidRPr="008E586D" w:rsidRDefault="005725DC" w:rsidP="00BB6B8D">
      <w:pPr>
        <w:suppressAutoHyphens/>
        <w:autoSpaceDE w:val="0"/>
        <w:jc w:val="both"/>
        <w:rPr>
          <w:sz w:val="22"/>
          <w:szCs w:val="22"/>
          <w:lang w:val="sr-Latn-ME"/>
        </w:rPr>
      </w:pPr>
    </w:p>
    <w:p w:rsidR="00BB6B8D" w:rsidRPr="008E586D" w:rsidRDefault="00BB6B8D" w:rsidP="00BB6B8D">
      <w:pPr>
        <w:suppressAutoHyphens/>
        <w:autoSpaceDE w:val="0"/>
        <w:jc w:val="both"/>
        <w:rPr>
          <w:sz w:val="22"/>
          <w:szCs w:val="22"/>
          <w:u w:val="single"/>
          <w:lang w:val="sr-Latn-ME"/>
        </w:rPr>
      </w:pPr>
      <w:r w:rsidRPr="008E586D">
        <w:rPr>
          <w:sz w:val="22"/>
          <w:szCs w:val="22"/>
          <w:u w:val="single"/>
          <w:lang w:val="sr-Latn-ME"/>
        </w:rPr>
        <w:t>Reprodukcija</w:t>
      </w:r>
    </w:p>
    <w:p w:rsidR="005725DC" w:rsidRPr="008E586D" w:rsidRDefault="005725DC" w:rsidP="00BB6B8D">
      <w:pPr>
        <w:suppressAutoHyphens/>
        <w:autoSpaceDE w:val="0"/>
        <w:jc w:val="both"/>
        <w:rPr>
          <w:sz w:val="22"/>
          <w:szCs w:val="22"/>
          <w:u w:val="single"/>
          <w:lang w:val="sr-Latn-ME"/>
        </w:rPr>
      </w:pPr>
    </w:p>
    <w:p w:rsidR="00BB6B8D" w:rsidRPr="008E586D" w:rsidRDefault="00BB6B8D" w:rsidP="00BB6B8D">
      <w:pPr>
        <w:suppressAutoHyphens/>
        <w:autoSpaceDE w:val="0"/>
        <w:jc w:val="both"/>
        <w:rPr>
          <w:sz w:val="22"/>
          <w:szCs w:val="22"/>
          <w:lang w:val="sr-Latn-ME"/>
        </w:rPr>
      </w:pPr>
      <w:r w:rsidRPr="008E586D">
        <w:rPr>
          <w:sz w:val="22"/>
          <w:szCs w:val="22"/>
          <w:lang w:val="sr-Latn-ME"/>
        </w:rPr>
        <w:t>Irinotekan je pokazao teratogenost kod pacova i kunića u dozama koje su ispod terapijskih doza kod čovjeka. Kod pacova, mladunci tretiranih životinja sa spoljašnjim deformitetima pokazali su smanjenje fertiliteta. Ovo nije zapaženo kod morfološki normalnih mladunaca. Kod skotnih pacova uočeno je smanjenje u težini placente, a kod tek rođenih mladunaca smanjenje fetalnog preživljavanja i učestalija pojava poremećaja ponašanja.</w:t>
      </w:r>
    </w:p>
    <w:p w:rsidR="00836B35" w:rsidRPr="008E586D" w:rsidRDefault="00836B35" w:rsidP="00480FB1">
      <w:pPr>
        <w:tabs>
          <w:tab w:val="left" w:pos="540"/>
          <w:tab w:val="left" w:pos="569"/>
        </w:tabs>
        <w:rPr>
          <w:bCs/>
          <w:sz w:val="22"/>
          <w:szCs w:val="22"/>
          <w:lang w:val="sr-Latn-ME"/>
        </w:rPr>
      </w:pPr>
    </w:p>
    <w:p w:rsidR="00396DFD" w:rsidRPr="008E586D" w:rsidRDefault="00396DFD" w:rsidP="00480FB1">
      <w:pPr>
        <w:tabs>
          <w:tab w:val="left" w:pos="540"/>
          <w:tab w:val="left" w:pos="569"/>
        </w:tabs>
        <w:rPr>
          <w:b/>
          <w:bCs/>
          <w:sz w:val="22"/>
          <w:szCs w:val="22"/>
          <w:lang w:val="sr-Latn-ME"/>
        </w:rPr>
      </w:pPr>
    </w:p>
    <w:p w:rsidR="0072020E" w:rsidRPr="008E586D" w:rsidRDefault="0072020E" w:rsidP="00480FB1">
      <w:pPr>
        <w:tabs>
          <w:tab w:val="left" w:pos="540"/>
          <w:tab w:val="left" w:pos="569"/>
        </w:tabs>
        <w:rPr>
          <w:b/>
          <w:bCs/>
          <w:sz w:val="22"/>
          <w:szCs w:val="22"/>
          <w:lang w:val="sr-Latn-ME"/>
        </w:rPr>
      </w:pPr>
      <w:r w:rsidRPr="008E586D">
        <w:rPr>
          <w:b/>
          <w:bCs/>
          <w:sz w:val="22"/>
          <w:szCs w:val="22"/>
          <w:lang w:val="sr-Latn-ME"/>
        </w:rPr>
        <w:t xml:space="preserve">6. </w:t>
      </w:r>
      <w:r w:rsidR="00480FB1" w:rsidRPr="008E586D">
        <w:rPr>
          <w:b/>
          <w:bCs/>
          <w:sz w:val="22"/>
          <w:szCs w:val="22"/>
          <w:lang w:val="sr-Latn-ME"/>
        </w:rPr>
        <w:tab/>
      </w:r>
      <w:r w:rsidRPr="008E586D">
        <w:rPr>
          <w:b/>
          <w:bCs/>
          <w:sz w:val="22"/>
          <w:szCs w:val="22"/>
          <w:lang w:val="sr-Latn-ME"/>
        </w:rPr>
        <w:t>FARMACEUTSKI PODACI</w:t>
      </w:r>
    </w:p>
    <w:p w:rsidR="00836B35" w:rsidRPr="008E586D" w:rsidRDefault="00836B35" w:rsidP="00480FB1">
      <w:pPr>
        <w:tabs>
          <w:tab w:val="left" w:pos="540"/>
          <w:tab w:val="left" w:pos="569"/>
        </w:tabs>
        <w:rPr>
          <w:bCs/>
          <w:sz w:val="22"/>
          <w:szCs w:val="22"/>
          <w:lang w:val="sr-Latn-ME"/>
        </w:rPr>
      </w:pPr>
    </w:p>
    <w:p w:rsidR="0072020E" w:rsidRPr="008E586D" w:rsidRDefault="0072020E" w:rsidP="00480FB1">
      <w:pPr>
        <w:tabs>
          <w:tab w:val="left" w:pos="540"/>
          <w:tab w:val="left" w:pos="569"/>
        </w:tabs>
        <w:rPr>
          <w:b/>
          <w:bCs/>
          <w:sz w:val="22"/>
          <w:szCs w:val="22"/>
          <w:lang w:val="sr-Latn-ME"/>
        </w:rPr>
      </w:pPr>
      <w:r w:rsidRPr="008E586D">
        <w:rPr>
          <w:b/>
          <w:bCs/>
          <w:sz w:val="22"/>
          <w:szCs w:val="22"/>
          <w:lang w:val="sr-Latn-ME"/>
        </w:rPr>
        <w:t xml:space="preserve">6.1. </w:t>
      </w:r>
      <w:r w:rsidR="00480FB1" w:rsidRPr="008E586D">
        <w:rPr>
          <w:b/>
          <w:bCs/>
          <w:sz w:val="22"/>
          <w:szCs w:val="22"/>
          <w:lang w:val="sr-Latn-ME"/>
        </w:rPr>
        <w:tab/>
      </w:r>
      <w:r w:rsidRPr="008E586D">
        <w:rPr>
          <w:b/>
          <w:bCs/>
          <w:sz w:val="22"/>
          <w:szCs w:val="22"/>
          <w:lang w:val="sr-Latn-ME"/>
        </w:rPr>
        <w:t>Lista pomoćnih supstanci</w:t>
      </w:r>
      <w:r w:rsidR="002E0135" w:rsidRPr="008E586D">
        <w:rPr>
          <w:b/>
          <w:bCs/>
          <w:sz w:val="22"/>
          <w:szCs w:val="22"/>
          <w:lang w:val="sr-Latn-ME"/>
        </w:rPr>
        <w:t xml:space="preserve"> (ekscipijenasa)</w:t>
      </w:r>
    </w:p>
    <w:p w:rsidR="00F0340F" w:rsidRPr="008E586D" w:rsidRDefault="00F0340F" w:rsidP="00480FB1">
      <w:pPr>
        <w:tabs>
          <w:tab w:val="left" w:pos="540"/>
          <w:tab w:val="left" w:pos="569"/>
        </w:tabs>
        <w:rPr>
          <w:b/>
          <w:bCs/>
          <w:sz w:val="22"/>
          <w:szCs w:val="22"/>
          <w:lang w:val="sr-Latn-ME"/>
        </w:rPr>
      </w:pPr>
    </w:p>
    <w:p w:rsidR="00F0340F" w:rsidRPr="008E586D" w:rsidRDefault="00F0340F" w:rsidP="00F0340F">
      <w:pPr>
        <w:suppressAutoHyphens/>
        <w:autoSpaceDE w:val="0"/>
        <w:rPr>
          <w:sz w:val="22"/>
          <w:szCs w:val="22"/>
          <w:lang w:val="sr-Latn-ME"/>
        </w:rPr>
      </w:pPr>
      <w:r w:rsidRPr="008E586D">
        <w:rPr>
          <w:sz w:val="22"/>
          <w:szCs w:val="22"/>
          <w:lang w:val="sr-Latn-ME"/>
        </w:rPr>
        <w:t>Sorbitol (E420)</w:t>
      </w:r>
    </w:p>
    <w:p w:rsidR="00F0340F" w:rsidRPr="008E586D" w:rsidRDefault="00F0340F" w:rsidP="00F0340F">
      <w:pPr>
        <w:suppressAutoHyphens/>
        <w:autoSpaceDE w:val="0"/>
        <w:rPr>
          <w:sz w:val="22"/>
          <w:szCs w:val="22"/>
          <w:lang w:val="sr-Latn-ME"/>
        </w:rPr>
      </w:pPr>
      <w:r w:rsidRPr="008E586D">
        <w:rPr>
          <w:sz w:val="22"/>
          <w:szCs w:val="22"/>
          <w:lang w:val="sr-Latn-ME"/>
        </w:rPr>
        <w:t>Mliječna kiselina</w:t>
      </w:r>
    </w:p>
    <w:p w:rsidR="00F0340F" w:rsidRPr="008E586D" w:rsidRDefault="00F0340F" w:rsidP="00F0340F">
      <w:pPr>
        <w:suppressAutoHyphens/>
        <w:autoSpaceDE w:val="0"/>
        <w:rPr>
          <w:sz w:val="22"/>
          <w:szCs w:val="22"/>
          <w:lang w:val="sr-Latn-ME"/>
        </w:rPr>
      </w:pPr>
      <w:r w:rsidRPr="008E586D">
        <w:rPr>
          <w:sz w:val="22"/>
          <w:szCs w:val="22"/>
          <w:lang w:val="sr-Latn-ME"/>
        </w:rPr>
        <w:t>Natrijum hidroksid (za podešavanje pH)</w:t>
      </w:r>
    </w:p>
    <w:p w:rsidR="00F0340F" w:rsidRPr="008E586D" w:rsidRDefault="00F0340F" w:rsidP="00F0340F">
      <w:pPr>
        <w:suppressAutoHyphens/>
        <w:autoSpaceDE w:val="0"/>
        <w:rPr>
          <w:sz w:val="22"/>
          <w:szCs w:val="22"/>
          <w:lang w:val="sr-Latn-ME"/>
        </w:rPr>
      </w:pPr>
      <w:r w:rsidRPr="008E586D">
        <w:rPr>
          <w:sz w:val="22"/>
          <w:szCs w:val="22"/>
          <w:lang w:val="sr-Latn-ME"/>
        </w:rPr>
        <w:t>Hlorovodonična kiselina (za podešavanje pH)</w:t>
      </w:r>
    </w:p>
    <w:p w:rsidR="00F0340F" w:rsidRPr="008E586D" w:rsidRDefault="00F0340F" w:rsidP="00F0340F">
      <w:pPr>
        <w:tabs>
          <w:tab w:val="left" w:pos="540"/>
          <w:tab w:val="left" w:pos="569"/>
        </w:tabs>
        <w:rPr>
          <w:b/>
          <w:bCs/>
          <w:sz w:val="22"/>
          <w:szCs w:val="22"/>
          <w:lang w:val="sr-Latn-ME"/>
        </w:rPr>
      </w:pPr>
      <w:r w:rsidRPr="008E586D">
        <w:rPr>
          <w:sz w:val="22"/>
          <w:szCs w:val="22"/>
          <w:lang w:val="sr-Latn-ME"/>
        </w:rPr>
        <w:t>Voda za injekcije</w:t>
      </w:r>
    </w:p>
    <w:p w:rsidR="0072020E" w:rsidRPr="008E586D" w:rsidRDefault="0072020E" w:rsidP="00480FB1">
      <w:pPr>
        <w:tabs>
          <w:tab w:val="left" w:pos="540"/>
          <w:tab w:val="left" w:pos="569"/>
        </w:tabs>
        <w:rPr>
          <w:bCs/>
          <w:sz w:val="22"/>
          <w:szCs w:val="22"/>
          <w:lang w:val="sr-Latn-ME"/>
        </w:rPr>
      </w:pPr>
    </w:p>
    <w:p w:rsidR="0072020E" w:rsidRPr="008E586D" w:rsidRDefault="0072020E" w:rsidP="00480FB1">
      <w:pPr>
        <w:tabs>
          <w:tab w:val="left" w:pos="540"/>
          <w:tab w:val="left" w:pos="569"/>
        </w:tabs>
        <w:rPr>
          <w:b/>
          <w:bCs/>
          <w:sz w:val="22"/>
          <w:szCs w:val="22"/>
          <w:lang w:val="sr-Latn-ME"/>
        </w:rPr>
      </w:pPr>
      <w:r w:rsidRPr="008E586D">
        <w:rPr>
          <w:b/>
          <w:bCs/>
          <w:sz w:val="22"/>
          <w:szCs w:val="22"/>
          <w:lang w:val="sr-Latn-ME"/>
        </w:rPr>
        <w:t xml:space="preserve">6.2. </w:t>
      </w:r>
      <w:r w:rsidR="00480FB1" w:rsidRPr="008E586D">
        <w:rPr>
          <w:b/>
          <w:bCs/>
          <w:sz w:val="22"/>
          <w:szCs w:val="22"/>
          <w:lang w:val="sr-Latn-ME"/>
        </w:rPr>
        <w:tab/>
      </w:r>
      <w:r w:rsidRPr="008E586D">
        <w:rPr>
          <w:b/>
          <w:bCs/>
          <w:sz w:val="22"/>
          <w:szCs w:val="22"/>
          <w:lang w:val="sr-Latn-ME"/>
        </w:rPr>
        <w:t>Inkompatibilnost</w:t>
      </w:r>
      <w:r w:rsidR="002846DB" w:rsidRPr="008E586D">
        <w:rPr>
          <w:b/>
          <w:bCs/>
          <w:sz w:val="22"/>
          <w:szCs w:val="22"/>
          <w:lang w:val="sr-Latn-ME"/>
        </w:rPr>
        <w:t>i</w:t>
      </w:r>
    </w:p>
    <w:p w:rsidR="00F0340F" w:rsidRPr="008E586D" w:rsidRDefault="00F0340F" w:rsidP="00480FB1">
      <w:pPr>
        <w:tabs>
          <w:tab w:val="left" w:pos="540"/>
          <w:tab w:val="left" w:pos="569"/>
        </w:tabs>
        <w:rPr>
          <w:b/>
          <w:bCs/>
          <w:sz w:val="22"/>
          <w:szCs w:val="22"/>
          <w:lang w:val="sr-Latn-ME"/>
        </w:rPr>
      </w:pPr>
    </w:p>
    <w:p w:rsidR="00F0340F" w:rsidRPr="008E586D" w:rsidRDefault="00F0340F" w:rsidP="00F0340F">
      <w:pPr>
        <w:tabs>
          <w:tab w:val="left" w:pos="540"/>
          <w:tab w:val="left" w:pos="569"/>
        </w:tabs>
        <w:rPr>
          <w:sz w:val="22"/>
          <w:szCs w:val="22"/>
          <w:lang w:val="sr-Latn-ME"/>
        </w:rPr>
      </w:pPr>
      <w:r w:rsidRPr="008E586D">
        <w:rPr>
          <w:sz w:val="22"/>
          <w:szCs w:val="22"/>
          <w:lang w:val="sr-Latn-ME"/>
        </w:rPr>
        <w:t xml:space="preserve">Lijek se ne smije miješati sa drugim ljekovima osim onih </w:t>
      </w:r>
      <w:r w:rsidR="00023A5B" w:rsidRPr="008E586D">
        <w:rPr>
          <w:sz w:val="22"/>
          <w:szCs w:val="22"/>
          <w:lang w:val="sr-Latn-ME"/>
        </w:rPr>
        <w:t>koji su navedeni</w:t>
      </w:r>
      <w:r w:rsidRPr="008E586D">
        <w:rPr>
          <w:sz w:val="22"/>
          <w:szCs w:val="22"/>
          <w:lang w:val="sr-Latn-ME"/>
        </w:rPr>
        <w:t xml:space="preserve"> u dijelu 6.6 (takođe vidjeti dio 4.2). </w:t>
      </w:r>
    </w:p>
    <w:p w:rsidR="0072020E" w:rsidRPr="008E586D" w:rsidRDefault="0072020E" w:rsidP="00480FB1">
      <w:pPr>
        <w:tabs>
          <w:tab w:val="left" w:pos="540"/>
          <w:tab w:val="left" w:pos="569"/>
        </w:tabs>
        <w:rPr>
          <w:bCs/>
          <w:sz w:val="22"/>
          <w:szCs w:val="22"/>
          <w:lang w:val="sr-Latn-ME"/>
        </w:rPr>
      </w:pPr>
    </w:p>
    <w:p w:rsidR="0072020E" w:rsidRPr="008E586D" w:rsidRDefault="0072020E" w:rsidP="00480FB1">
      <w:pPr>
        <w:tabs>
          <w:tab w:val="left" w:pos="540"/>
          <w:tab w:val="left" w:pos="569"/>
        </w:tabs>
        <w:rPr>
          <w:b/>
          <w:bCs/>
          <w:sz w:val="22"/>
          <w:szCs w:val="22"/>
          <w:lang w:val="sr-Latn-ME"/>
        </w:rPr>
      </w:pPr>
      <w:r w:rsidRPr="008E586D">
        <w:rPr>
          <w:b/>
          <w:bCs/>
          <w:sz w:val="22"/>
          <w:szCs w:val="22"/>
          <w:lang w:val="sr-Latn-ME"/>
        </w:rPr>
        <w:t>6.3.</w:t>
      </w:r>
      <w:r w:rsidR="00C05DF8" w:rsidRPr="008E586D">
        <w:rPr>
          <w:b/>
          <w:bCs/>
          <w:sz w:val="22"/>
          <w:szCs w:val="22"/>
          <w:lang w:val="sr-Latn-ME"/>
        </w:rPr>
        <w:t xml:space="preserve"> </w:t>
      </w:r>
      <w:r w:rsidR="00480FB1" w:rsidRPr="008E586D">
        <w:rPr>
          <w:b/>
          <w:bCs/>
          <w:sz w:val="22"/>
          <w:szCs w:val="22"/>
          <w:lang w:val="sr-Latn-ME"/>
        </w:rPr>
        <w:tab/>
      </w:r>
      <w:r w:rsidRPr="008E586D">
        <w:rPr>
          <w:b/>
          <w:bCs/>
          <w:sz w:val="22"/>
          <w:szCs w:val="22"/>
          <w:lang w:val="sr-Latn-ME"/>
        </w:rPr>
        <w:t>Rok upotrebe</w:t>
      </w:r>
    </w:p>
    <w:p w:rsidR="00F0340F" w:rsidRPr="008E586D" w:rsidRDefault="00F0340F" w:rsidP="00480FB1">
      <w:pPr>
        <w:tabs>
          <w:tab w:val="left" w:pos="540"/>
          <w:tab w:val="left" w:pos="569"/>
        </w:tabs>
        <w:rPr>
          <w:b/>
          <w:bCs/>
          <w:sz w:val="22"/>
          <w:szCs w:val="22"/>
          <w:lang w:val="sr-Latn-ME"/>
        </w:rPr>
      </w:pPr>
    </w:p>
    <w:p w:rsidR="00F0340F" w:rsidRPr="008E586D" w:rsidRDefault="00F0340F" w:rsidP="00F0340F">
      <w:pPr>
        <w:suppressAutoHyphens/>
        <w:autoSpaceDE w:val="0"/>
        <w:jc w:val="both"/>
        <w:rPr>
          <w:rFonts w:eastAsia="TimesNewRoman"/>
          <w:bCs/>
          <w:sz w:val="22"/>
          <w:szCs w:val="22"/>
          <w:lang w:val="sr-Latn-ME" w:eastAsia="hr-HR"/>
        </w:rPr>
      </w:pPr>
      <w:r w:rsidRPr="008E586D">
        <w:rPr>
          <w:rFonts w:eastAsia="TimesNewRoman"/>
          <w:bCs/>
          <w:sz w:val="22"/>
          <w:szCs w:val="22"/>
          <w:lang w:val="sr-Latn-ME" w:eastAsia="hr-HR"/>
        </w:rPr>
        <w:t>Neotvorene bočice: 3 godine</w:t>
      </w:r>
    </w:p>
    <w:p w:rsidR="00F0340F" w:rsidRPr="008E586D" w:rsidRDefault="00F0340F" w:rsidP="00F0340F">
      <w:pPr>
        <w:suppressAutoHyphens/>
        <w:autoSpaceDE w:val="0"/>
        <w:jc w:val="both"/>
        <w:rPr>
          <w:rFonts w:eastAsia="TimesNewRoman"/>
          <w:bCs/>
          <w:color w:val="FF0000"/>
          <w:sz w:val="22"/>
          <w:szCs w:val="22"/>
          <w:highlight w:val="yellow"/>
          <w:lang w:val="sr-Latn-ME" w:eastAsia="hr-HR"/>
        </w:rPr>
      </w:pPr>
    </w:p>
    <w:p w:rsidR="00F0340F" w:rsidRPr="008E586D" w:rsidRDefault="00F0340F" w:rsidP="00F0340F">
      <w:pPr>
        <w:pStyle w:val="Default"/>
        <w:jc w:val="both"/>
        <w:rPr>
          <w:sz w:val="22"/>
          <w:szCs w:val="22"/>
          <w:lang w:val="sr-Latn-ME"/>
        </w:rPr>
      </w:pPr>
      <w:r w:rsidRPr="008E586D">
        <w:rPr>
          <w:sz w:val="22"/>
          <w:szCs w:val="22"/>
          <w:lang w:val="sr-Latn-ME"/>
        </w:rPr>
        <w:t xml:space="preserve">Rastvor irinotekana je fizički i hemijski stabilan sa infuzionim rastvorima (0,9 % (w/v) rastvorom natrijum hlorida i 5 % (w/v) rastvorom glukoze) najviše 28 dana ako se čuva u LDPE i PVC kontejnerima na temperaturi od 5 °C ili 25 °C i zaštićen od svjetlosti. Kada je izložen svjetlosti, fizičko-hemijska stabilnost je dokazana najviše 3 dana. </w:t>
      </w:r>
    </w:p>
    <w:p w:rsidR="005725DC" w:rsidRPr="008E586D" w:rsidRDefault="005725DC" w:rsidP="00F0340F">
      <w:pPr>
        <w:pStyle w:val="Default"/>
        <w:jc w:val="both"/>
        <w:rPr>
          <w:sz w:val="22"/>
          <w:szCs w:val="22"/>
          <w:lang w:val="sr-Latn-ME"/>
        </w:rPr>
      </w:pPr>
    </w:p>
    <w:p w:rsidR="00F0340F" w:rsidRPr="008E586D" w:rsidRDefault="00F0340F" w:rsidP="00F0340F">
      <w:pPr>
        <w:suppressAutoHyphens/>
        <w:autoSpaceDE w:val="0"/>
        <w:jc w:val="both"/>
        <w:rPr>
          <w:rFonts w:eastAsia="TimesNewRoman"/>
          <w:bCs/>
          <w:color w:val="FF0000"/>
          <w:sz w:val="22"/>
          <w:szCs w:val="22"/>
          <w:highlight w:val="yellow"/>
          <w:lang w:val="sr-Latn-ME" w:eastAsia="hr-HR"/>
        </w:rPr>
      </w:pPr>
      <w:r w:rsidRPr="008E586D">
        <w:rPr>
          <w:sz w:val="22"/>
          <w:szCs w:val="22"/>
          <w:lang w:val="sr-Latn-ME"/>
        </w:rPr>
        <w:t>Sa mikrobiološke tačke gledišta, razblažen rastvor treba iskoristiti odmah nakon pripreme. Ako se ne iskoristi odmah, vrijeme i uslovi čuvanja prije primjene su odgovornost korisnika i ne bi trebalo da budu duži od 24 sata na temperaturi od 2 °C do 8 °C, osim ako rekonstitucija/razblaženje nije obavljeno u strogo kontrolisanim i validiranim aseptičnim uslovima.</w:t>
      </w:r>
    </w:p>
    <w:p w:rsidR="0072020E" w:rsidRDefault="0072020E" w:rsidP="00480FB1">
      <w:pPr>
        <w:tabs>
          <w:tab w:val="left" w:pos="540"/>
          <w:tab w:val="left" w:pos="569"/>
        </w:tabs>
        <w:rPr>
          <w:bCs/>
          <w:sz w:val="22"/>
          <w:szCs w:val="22"/>
          <w:lang w:val="sr-Latn-ME"/>
        </w:rPr>
      </w:pPr>
    </w:p>
    <w:p w:rsidR="00C35299" w:rsidRDefault="00C35299" w:rsidP="00480FB1">
      <w:pPr>
        <w:tabs>
          <w:tab w:val="left" w:pos="540"/>
          <w:tab w:val="left" w:pos="569"/>
        </w:tabs>
        <w:rPr>
          <w:bCs/>
          <w:sz w:val="22"/>
          <w:szCs w:val="22"/>
          <w:lang w:val="sr-Latn-ME"/>
        </w:rPr>
      </w:pPr>
    </w:p>
    <w:p w:rsidR="00C35299" w:rsidRPr="008E586D" w:rsidRDefault="00C35299" w:rsidP="00480FB1">
      <w:pPr>
        <w:tabs>
          <w:tab w:val="left" w:pos="540"/>
          <w:tab w:val="left" w:pos="569"/>
        </w:tabs>
        <w:rPr>
          <w:bCs/>
          <w:sz w:val="22"/>
          <w:szCs w:val="22"/>
          <w:lang w:val="sr-Latn-ME"/>
        </w:rPr>
      </w:pPr>
    </w:p>
    <w:p w:rsidR="0072020E" w:rsidRPr="008E586D" w:rsidRDefault="0072020E" w:rsidP="00480FB1">
      <w:pPr>
        <w:tabs>
          <w:tab w:val="left" w:pos="540"/>
          <w:tab w:val="left" w:pos="569"/>
        </w:tabs>
        <w:rPr>
          <w:b/>
          <w:bCs/>
          <w:sz w:val="22"/>
          <w:szCs w:val="22"/>
          <w:lang w:val="sr-Latn-ME"/>
        </w:rPr>
      </w:pPr>
      <w:r w:rsidRPr="008E586D">
        <w:rPr>
          <w:b/>
          <w:bCs/>
          <w:sz w:val="22"/>
          <w:szCs w:val="22"/>
          <w:lang w:val="sr-Latn-ME"/>
        </w:rPr>
        <w:lastRenderedPageBreak/>
        <w:t xml:space="preserve">6.4. </w:t>
      </w:r>
      <w:r w:rsidR="00480FB1" w:rsidRPr="008E586D">
        <w:rPr>
          <w:b/>
          <w:bCs/>
          <w:sz w:val="22"/>
          <w:szCs w:val="22"/>
          <w:lang w:val="sr-Latn-ME"/>
        </w:rPr>
        <w:tab/>
      </w:r>
      <w:r w:rsidRPr="008E586D">
        <w:rPr>
          <w:b/>
          <w:bCs/>
          <w:sz w:val="22"/>
          <w:szCs w:val="22"/>
          <w:lang w:val="sr-Latn-ME"/>
        </w:rPr>
        <w:t>Posebne mjere upozorenja pri čuvanju</w:t>
      </w:r>
      <w:r w:rsidR="00F8570A" w:rsidRPr="008E586D">
        <w:rPr>
          <w:b/>
          <w:bCs/>
          <w:sz w:val="22"/>
          <w:szCs w:val="22"/>
          <w:lang w:val="sr-Latn-ME"/>
        </w:rPr>
        <w:t xml:space="preserve"> lijeka</w:t>
      </w:r>
    </w:p>
    <w:p w:rsidR="00F0340F" w:rsidRPr="008E586D" w:rsidRDefault="00F0340F" w:rsidP="00480FB1">
      <w:pPr>
        <w:tabs>
          <w:tab w:val="left" w:pos="540"/>
          <w:tab w:val="left" w:pos="569"/>
        </w:tabs>
        <w:rPr>
          <w:b/>
          <w:bCs/>
          <w:sz w:val="22"/>
          <w:szCs w:val="22"/>
          <w:lang w:val="sr-Latn-ME"/>
        </w:rPr>
      </w:pPr>
    </w:p>
    <w:p w:rsidR="00F0340F" w:rsidRPr="008E586D" w:rsidRDefault="00F0340F" w:rsidP="00F0340F">
      <w:pPr>
        <w:pStyle w:val="Default"/>
        <w:jc w:val="both"/>
        <w:rPr>
          <w:sz w:val="22"/>
          <w:szCs w:val="22"/>
          <w:lang w:val="sr-Latn-ME"/>
        </w:rPr>
      </w:pPr>
      <w:r w:rsidRPr="008E586D">
        <w:rPr>
          <w:sz w:val="22"/>
          <w:szCs w:val="22"/>
          <w:lang w:val="sr-Latn-ME"/>
        </w:rPr>
        <w:t xml:space="preserve">Lijek ne zahtijeva čuvanje na određenoj temperaturi. Čuvati u originalnom pakovanju radi zaštite od svjetlosti. </w:t>
      </w:r>
    </w:p>
    <w:p w:rsidR="00F0340F" w:rsidRPr="008E586D" w:rsidRDefault="00F0340F" w:rsidP="00F0340F">
      <w:pPr>
        <w:pStyle w:val="Default"/>
        <w:jc w:val="both"/>
        <w:rPr>
          <w:sz w:val="22"/>
          <w:szCs w:val="22"/>
          <w:lang w:val="sr-Latn-ME"/>
        </w:rPr>
      </w:pPr>
      <w:r w:rsidRPr="008E586D">
        <w:rPr>
          <w:sz w:val="22"/>
          <w:szCs w:val="22"/>
          <w:lang w:val="sr-Latn-ME"/>
        </w:rPr>
        <w:t xml:space="preserve">Ne zamrzavati. </w:t>
      </w:r>
    </w:p>
    <w:p w:rsidR="00F0340F" w:rsidRPr="008E586D" w:rsidRDefault="00F0340F" w:rsidP="00F0340F">
      <w:pPr>
        <w:tabs>
          <w:tab w:val="left" w:pos="540"/>
          <w:tab w:val="left" w:pos="569"/>
        </w:tabs>
        <w:jc w:val="both"/>
        <w:rPr>
          <w:sz w:val="22"/>
          <w:szCs w:val="22"/>
          <w:lang w:val="sr-Latn-ME"/>
        </w:rPr>
      </w:pPr>
      <w:r w:rsidRPr="008E586D">
        <w:rPr>
          <w:sz w:val="22"/>
          <w:szCs w:val="22"/>
          <w:lang w:val="sr-Latn-ME"/>
        </w:rPr>
        <w:t>Uslove čuvanja nakon razblaženja vidjeti u dijelu 6.3.</w:t>
      </w:r>
    </w:p>
    <w:p w:rsidR="00EC2532" w:rsidRPr="008E586D" w:rsidRDefault="00EC2532" w:rsidP="00480FB1">
      <w:pPr>
        <w:tabs>
          <w:tab w:val="left" w:pos="540"/>
          <w:tab w:val="left" w:pos="569"/>
        </w:tabs>
        <w:rPr>
          <w:bCs/>
          <w:sz w:val="22"/>
          <w:szCs w:val="22"/>
          <w:lang w:val="sr-Latn-ME"/>
        </w:rPr>
      </w:pPr>
    </w:p>
    <w:p w:rsidR="0072020E" w:rsidRPr="008E586D" w:rsidRDefault="0072020E" w:rsidP="00480FB1">
      <w:pPr>
        <w:tabs>
          <w:tab w:val="left" w:pos="540"/>
          <w:tab w:val="left" w:pos="569"/>
        </w:tabs>
        <w:rPr>
          <w:b/>
          <w:bCs/>
          <w:sz w:val="22"/>
          <w:szCs w:val="22"/>
          <w:lang w:val="sr-Latn-ME"/>
        </w:rPr>
      </w:pPr>
      <w:r w:rsidRPr="008E586D">
        <w:rPr>
          <w:b/>
          <w:bCs/>
          <w:sz w:val="22"/>
          <w:szCs w:val="22"/>
          <w:lang w:val="sr-Latn-ME"/>
        </w:rPr>
        <w:t xml:space="preserve">6.5. </w:t>
      </w:r>
      <w:r w:rsidR="00480FB1" w:rsidRPr="008E586D">
        <w:rPr>
          <w:b/>
          <w:bCs/>
          <w:sz w:val="22"/>
          <w:szCs w:val="22"/>
          <w:lang w:val="sr-Latn-ME"/>
        </w:rPr>
        <w:tab/>
      </w:r>
      <w:r w:rsidR="002846DB" w:rsidRPr="008E586D">
        <w:rPr>
          <w:b/>
          <w:bCs/>
          <w:sz w:val="22"/>
          <w:szCs w:val="22"/>
          <w:lang w:val="sr-Latn-ME"/>
        </w:rPr>
        <w:t xml:space="preserve">Vrsta i sadržaj </w:t>
      </w:r>
      <w:r w:rsidR="00F8570A" w:rsidRPr="008E586D">
        <w:rPr>
          <w:b/>
          <w:bCs/>
          <w:sz w:val="22"/>
          <w:szCs w:val="22"/>
          <w:lang w:val="sr-Latn-ME"/>
        </w:rPr>
        <w:t>pakovanja</w:t>
      </w:r>
      <w:r w:rsidR="00C06864" w:rsidRPr="008E586D">
        <w:rPr>
          <w:b/>
          <w:bCs/>
          <w:sz w:val="22"/>
          <w:szCs w:val="22"/>
          <w:lang w:val="sr-Latn-ME"/>
        </w:rPr>
        <w:t xml:space="preserve"> </w:t>
      </w:r>
    </w:p>
    <w:p w:rsidR="00F0340F" w:rsidRPr="008E586D" w:rsidRDefault="00F0340F" w:rsidP="00480FB1">
      <w:pPr>
        <w:tabs>
          <w:tab w:val="left" w:pos="540"/>
          <w:tab w:val="left" w:pos="569"/>
        </w:tabs>
        <w:rPr>
          <w:b/>
          <w:bCs/>
          <w:sz w:val="22"/>
          <w:szCs w:val="22"/>
          <w:lang w:val="sr-Latn-ME"/>
        </w:rPr>
      </w:pPr>
    </w:p>
    <w:p w:rsidR="00F0340F" w:rsidRPr="008E586D" w:rsidRDefault="00F0340F" w:rsidP="00F0340F">
      <w:pPr>
        <w:pStyle w:val="Default"/>
        <w:jc w:val="both"/>
        <w:rPr>
          <w:sz w:val="22"/>
          <w:szCs w:val="22"/>
          <w:lang w:val="sr-Latn-ME"/>
        </w:rPr>
      </w:pPr>
      <w:r w:rsidRPr="008E586D">
        <w:rPr>
          <w:sz w:val="22"/>
          <w:szCs w:val="22"/>
          <w:lang w:val="sr-Latn-ME"/>
        </w:rPr>
        <w:t xml:space="preserve">2 ml: </w:t>
      </w:r>
    </w:p>
    <w:p w:rsidR="00F0340F" w:rsidRPr="008E586D" w:rsidRDefault="00F0340F" w:rsidP="00F0340F">
      <w:pPr>
        <w:pStyle w:val="Default"/>
        <w:jc w:val="both"/>
        <w:rPr>
          <w:sz w:val="22"/>
          <w:szCs w:val="22"/>
          <w:lang w:val="sr-Latn-ME"/>
        </w:rPr>
      </w:pPr>
      <w:r w:rsidRPr="008E586D">
        <w:rPr>
          <w:sz w:val="22"/>
          <w:szCs w:val="22"/>
          <w:lang w:val="sr-Latn-ME"/>
        </w:rPr>
        <w:t>Koncentrat za rastvor za infuziju se nalazi u staklenoj bočici tip I</w:t>
      </w:r>
      <w:r w:rsidR="00023A5B" w:rsidRPr="008E586D">
        <w:rPr>
          <w:sz w:val="22"/>
          <w:szCs w:val="22"/>
          <w:lang w:val="sr-Latn-ME"/>
        </w:rPr>
        <w:t>,</w:t>
      </w:r>
      <w:r w:rsidRPr="008E586D">
        <w:rPr>
          <w:sz w:val="22"/>
          <w:szCs w:val="22"/>
          <w:lang w:val="sr-Latn-ME"/>
        </w:rPr>
        <w:t xml:space="preserve"> boje ćilibara</w:t>
      </w:r>
      <w:r w:rsidR="00023A5B" w:rsidRPr="008E586D">
        <w:rPr>
          <w:sz w:val="22"/>
          <w:szCs w:val="22"/>
          <w:lang w:val="sr-Latn-ME"/>
        </w:rPr>
        <w:t>, zapremine 5 ml, koja je zatvorena</w:t>
      </w:r>
      <w:r w:rsidRPr="008E586D">
        <w:rPr>
          <w:sz w:val="22"/>
          <w:szCs w:val="22"/>
          <w:lang w:val="sr-Latn-ME"/>
        </w:rPr>
        <w:t xml:space="preserve"> sivim gumenim čepom od hlorbutila i aluminijskim naranžastim „flip off “ zaštitnim poklopcem. </w:t>
      </w:r>
    </w:p>
    <w:p w:rsidR="00F0340F" w:rsidRPr="008E586D" w:rsidRDefault="00F0340F" w:rsidP="00F0340F">
      <w:pPr>
        <w:pStyle w:val="Default"/>
        <w:jc w:val="both"/>
        <w:rPr>
          <w:sz w:val="22"/>
          <w:szCs w:val="22"/>
          <w:lang w:val="sr-Latn-ME"/>
        </w:rPr>
      </w:pPr>
      <w:r w:rsidRPr="008E586D">
        <w:rPr>
          <w:sz w:val="22"/>
          <w:szCs w:val="22"/>
          <w:lang w:val="sr-Latn-ME"/>
        </w:rPr>
        <w:t xml:space="preserve">5 ml: </w:t>
      </w:r>
    </w:p>
    <w:p w:rsidR="00F0340F" w:rsidRPr="008E586D" w:rsidRDefault="00F0340F" w:rsidP="00F0340F">
      <w:pPr>
        <w:tabs>
          <w:tab w:val="left" w:pos="540"/>
          <w:tab w:val="left" w:pos="569"/>
        </w:tabs>
        <w:jc w:val="both"/>
        <w:rPr>
          <w:sz w:val="22"/>
          <w:szCs w:val="22"/>
          <w:lang w:val="sr-Latn-ME"/>
        </w:rPr>
      </w:pPr>
      <w:r w:rsidRPr="008E586D">
        <w:rPr>
          <w:sz w:val="22"/>
          <w:szCs w:val="22"/>
          <w:lang w:val="sr-Latn-ME"/>
        </w:rPr>
        <w:t>Koncentrat za rastvor za infuziju se nalazi u staklenoj bočici tip I</w:t>
      </w:r>
      <w:r w:rsidR="00066236" w:rsidRPr="008E586D">
        <w:rPr>
          <w:sz w:val="22"/>
          <w:szCs w:val="22"/>
          <w:lang w:val="sr-Latn-ME"/>
        </w:rPr>
        <w:t xml:space="preserve">, boje ćilibara, zapremine </w:t>
      </w:r>
      <w:r w:rsidRPr="008E586D">
        <w:rPr>
          <w:sz w:val="22"/>
          <w:szCs w:val="22"/>
          <w:lang w:val="sr-Latn-ME"/>
        </w:rPr>
        <w:t>5 ml</w:t>
      </w:r>
      <w:r w:rsidR="00066236" w:rsidRPr="008E586D">
        <w:rPr>
          <w:sz w:val="22"/>
          <w:szCs w:val="22"/>
          <w:lang w:val="sr-Latn-ME"/>
        </w:rPr>
        <w:t xml:space="preserve">, koja je </w:t>
      </w:r>
      <w:r w:rsidRPr="008E586D">
        <w:rPr>
          <w:sz w:val="22"/>
          <w:szCs w:val="22"/>
          <w:lang w:val="sr-Latn-ME"/>
        </w:rPr>
        <w:t xml:space="preserve"> zatvoren</w:t>
      </w:r>
      <w:r w:rsidR="00066236" w:rsidRPr="008E586D">
        <w:rPr>
          <w:sz w:val="22"/>
          <w:szCs w:val="22"/>
          <w:lang w:val="sr-Latn-ME"/>
        </w:rPr>
        <w:t>a</w:t>
      </w:r>
      <w:r w:rsidRPr="008E586D">
        <w:rPr>
          <w:sz w:val="22"/>
          <w:szCs w:val="22"/>
          <w:lang w:val="sr-Latn-ME"/>
        </w:rPr>
        <w:t xml:space="preserve"> sivim gumenim čepom od hlorbutila i aluminijskim crvenim „flip off “ zaštitnim poklopcem.</w:t>
      </w:r>
    </w:p>
    <w:p w:rsidR="00066236" w:rsidRPr="008E586D" w:rsidRDefault="00066236" w:rsidP="00F0340F">
      <w:pPr>
        <w:tabs>
          <w:tab w:val="left" w:pos="540"/>
          <w:tab w:val="left" w:pos="569"/>
        </w:tabs>
        <w:jc w:val="both"/>
        <w:rPr>
          <w:sz w:val="22"/>
          <w:szCs w:val="22"/>
          <w:lang w:val="sr-Latn-ME"/>
        </w:rPr>
      </w:pPr>
    </w:p>
    <w:p w:rsidR="00066236" w:rsidRPr="008E586D" w:rsidRDefault="00066236" w:rsidP="00F0340F">
      <w:pPr>
        <w:tabs>
          <w:tab w:val="left" w:pos="540"/>
          <w:tab w:val="left" w:pos="569"/>
        </w:tabs>
        <w:jc w:val="both"/>
        <w:rPr>
          <w:sz w:val="22"/>
          <w:szCs w:val="22"/>
          <w:lang w:val="sr-Latn-ME"/>
        </w:rPr>
      </w:pPr>
      <w:r w:rsidRPr="008E586D">
        <w:rPr>
          <w:sz w:val="22"/>
          <w:szCs w:val="22"/>
          <w:lang w:val="sr-Latn-ME"/>
        </w:rPr>
        <w:t>Spoljnje pakovanje je složiva kartonska kutija koja sadrži jednu bočicu i Uputstvo za lijek.</w:t>
      </w:r>
    </w:p>
    <w:p w:rsidR="0072020E" w:rsidRPr="008E586D" w:rsidRDefault="0072020E" w:rsidP="00480FB1">
      <w:pPr>
        <w:tabs>
          <w:tab w:val="left" w:pos="540"/>
          <w:tab w:val="left" w:pos="569"/>
        </w:tabs>
        <w:rPr>
          <w:bCs/>
          <w:sz w:val="22"/>
          <w:szCs w:val="22"/>
          <w:lang w:val="sr-Latn-ME"/>
        </w:rPr>
      </w:pPr>
    </w:p>
    <w:p w:rsidR="002846DB" w:rsidRPr="008E586D" w:rsidRDefault="0072020E" w:rsidP="00480FB1">
      <w:pPr>
        <w:tabs>
          <w:tab w:val="left" w:pos="540"/>
          <w:tab w:val="left" w:pos="569"/>
        </w:tabs>
        <w:rPr>
          <w:b/>
          <w:bCs/>
          <w:sz w:val="22"/>
          <w:szCs w:val="22"/>
          <w:lang w:val="sr-Latn-ME"/>
        </w:rPr>
      </w:pPr>
      <w:r w:rsidRPr="008E586D">
        <w:rPr>
          <w:b/>
          <w:bCs/>
          <w:sz w:val="22"/>
          <w:szCs w:val="22"/>
          <w:lang w:val="sr-Latn-ME"/>
        </w:rPr>
        <w:t xml:space="preserve">6.6. </w:t>
      </w:r>
      <w:r w:rsidR="00480FB1" w:rsidRPr="008E586D">
        <w:rPr>
          <w:b/>
          <w:bCs/>
          <w:sz w:val="22"/>
          <w:szCs w:val="22"/>
          <w:lang w:val="sr-Latn-ME"/>
        </w:rPr>
        <w:tab/>
      </w:r>
      <w:r w:rsidRPr="008E586D">
        <w:rPr>
          <w:b/>
          <w:bCs/>
          <w:color w:val="000000"/>
          <w:sz w:val="22"/>
          <w:szCs w:val="22"/>
          <w:lang w:val="sr-Latn-ME"/>
        </w:rPr>
        <w:t>Posebne mjere opreza pri odlaganju materijala koji treba odbaciti nakon primjene lijeka</w:t>
      </w:r>
      <w:r w:rsidRPr="008E586D">
        <w:rPr>
          <w:b/>
          <w:bCs/>
          <w:sz w:val="22"/>
          <w:szCs w:val="22"/>
          <w:lang w:val="sr-Latn-ME"/>
        </w:rPr>
        <w:t xml:space="preserve"> </w:t>
      </w:r>
      <w:r w:rsidR="00310F03" w:rsidRPr="008E586D">
        <w:rPr>
          <w:b/>
          <w:bCs/>
          <w:sz w:val="22"/>
          <w:szCs w:val="22"/>
          <w:lang w:val="sr-Latn-ME"/>
        </w:rPr>
        <w:t>(i druga uputs</w:t>
      </w:r>
      <w:r w:rsidR="004109FA" w:rsidRPr="008E586D">
        <w:rPr>
          <w:b/>
          <w:bCs/>
          <w:sz w:val="22"/>
          <w:szCs w:val="22"/>
          <w:lang w:val="sr-Latn-ME"/>
        </w:rPr>
        <w:t>t</w:t>
      </w:r>
      <w:r w:rsidR="00310F03" w:rsidRPr="008E586D">
        <w:rPr>
          <w:b/>
          <w:bCs/>
          <w:sz w:val="22"/>
          <w:szCs w:val="22"/>
          <w:lang w:val="sr-Latn-ME"/>
        </w:rPr>
        <w:t xml:space="preserve">va za rukovanje lijekom) </w:t>
      </w:r>
    </w:p>
    <w:p w:rsidR="00F0340F" w:rsidRPr="008E586D" w:rsidRDefault="00F0340F" w:rsidP="00480FB1">
      <w:pPr>
        <w:tabs>
          <w:tab w:val="left" w:pos="540"/>
          <w:tab w:val="left" w:pos="569"/>
        </w:tabs>
        <w:rPr>
          <w:b/>
          <w:bCs/>
          <w:sz w:val="22"/>
          <w:szCs w:val="22"/>
          <w:lang w:val="sr-Latn-ME"/>
        </w:rPr>
      </w:pPr>
    </w:p>
    <w:p w:rsidR="00F0340F" w:rsidRPr="008E586D" w:rsidRDefault="00F0340F" w:rsidP="00F0340F">
      <w:pPr>
        <w:tabs>
          <w:tab w:val="left" w:pos="540"/>
          <w:tab w:val="left" w:pos="569"/>
        </w:tabs>
        <w:jc w:val="both"/>
        <w:rPr>
          <w:sz w:val="22"/>
          <w:szCs w:val="22"/>
          <w:lang w:val="sr-Latn-ME"/>
        </w:rPr>
      </w:pPr>
      <w:r w:rsidRPr="008E586D">
        <w:rPr>
          <w:sz w:val="22"/>
          <w:szCs w:val="22"/>
          <w:lang w:val="sr-Latn-ME"/>
        </w:rPr>
        <w:t xml:space="preserve">Obavezna je pažljiva priprema i rukovanje lijekom Irinotecan Accord, kao </w:t>
      </w:r>
      <w:r w:rsidR="00066236" w:rsidRPr="008E586D">
        <w:rPr>
          <w:sz w:val="22"/>
          <w:szCs w:val="22"/>
          <w:lang w:val="sr-Latn-ME"/>
        </w:rPr>
        <w:t xml:space="preserve">i </w:t>
      </w:r>
      <w:r w:rsidRPr="008E586D">
        <w:rPr>
          <w:sz w:val="22"/>
          <w:szCs w:val="22"/>
          <w:lang w:val="sr-Latn-ME"/>
        </w:rPr>
        <w:t>sa drugim antineoplastičnim ljekovima.</w:t>
      </w:r>
      <w:r w:rsidR="005725DC" w:rsidRPr="008E586D">
        <w:rPr>
          <w:sz w:val="22"/>
          <w:szCs w:val="22"/>
          <w:lang w:val="sr-Latn-ME"/>
        </w:rPr>
        <w:t xml:space="preserve"> </w:t>
      </w:r>
      <w:r w:rsidRPr="008E586D">
        <w:rPr>
          <w:sz w:val="22"/>
          <w:szCs w:val="22"/>
          <w:lang w:val="sr-Latn-ME"/>
        </w:rPr>
        <w:t xml:space="preserve">Obavezno je korištenje zaštitne komore, kao i nošenje zaštitnih rukavica i </w:t>
      </w:r>
      <w:r w:rsidR="00575844" w:rsidRPr="008E586D">
        <w:rPr>
          <w:sz w:val="22"/>
          <w:szCs w:val="22"/>
          <w:lang w:val="sr-Latn-ME"/>
        </w:rPr>
        <w:t xml:space="preserve">zaštitne </w:t>
      </w:r>
      <w:r w:rsidRPr="008E586D">
        <w:rPr>
          <w:sz w:val="22"/>
          <w:szCs w:val="22"/>
          <w:lang w:val="sr-Latn-ME"/>
        </w:rPr>
        <w:t>o</w:t>
      </w:r>
      <w:r w:rsidR="00AF0E34" w:rsidRPr="008E586D">
        <w:rPr>
          <w:sz w:val="22"/>
          <w:szCs w:val="22"/>
          <w:lang w:val="sr-Latn-ME"/>
        </w:rPr>
        <w:t>djeće</w:t>
      </w:r>
      <w:r w:rsidRPr="008E586D">
        <w:rPr>
          <w:sz w:val="22"/>
          <w:szCs w:val="22"/>
          <w:lang w:val="sr-Latn-ME"/>
        </w:rPr>
        <w:t>.</w:t>
      </w:r>
      <w:r w:rsidR="005725DC" w:rsidRPr="008E586D">
        <w:rPr>
          <w:rFonts w:ascii="Helvetica" w:hAnsi="Helvetica" w:cs="Helvetica"/>
          <w:color w:val="5F6368"/>
          <w:sz w:val="23"/>
          <w:szCs w:val="23"/>
          <w:shd w:val="clear" w:color="auto" w:fill="F5F5F5"/>
          <w:lang w:val="sr-Latn-ME"/>
        </w:rPr>
        <w:t xml:space="preserve"> </w:t>
      </w:r>
      <w:r w:rsidR="005725DC" w:rsidRPr="008E586D">
        <w:rPr>
          <w:sz w:val="22"/>
          <w:szCs w:val="22"/>
          <w:lang w:val="sr-Latn-ME"/>
        </w:rPr>
        <w:t>Ako ne postoji zaštitna komora, treba prekriti usta i koristiti zaštitne naočare.</w:t>
      </w:r>
    </w:p>
    <w:p w:rsidR="005725DC" w:rsidRPr="008E586D" w:rsidRDefault="005725DC" w:rsidP="00F0340F">
      <w:pPr>
        <w:tabs>
          <w:tab w:val="left" w:pos="540"/>
          <w:tab w:val="left" w:pos="569"/>
        </w:tabs>
        <w:jc w:val="both"/>
        <w:rPr>
          <w:sz w:val="22"/>
          <w:szCs w:val="22"/>
          <w:lang w:val="sr-Latn-ME"/>
        </w:rPr>
      </w:pPr>
    </w:p>
    <w:p w:rsidR="00F0340F" w:rsidRPr="008E586D" w:rsidRDefault="00F0340F" w:rsidP="00F0340F">
      <w:pPr>
        <w:tabs>
          <w:tab w:val="left" w:pos="540"/>
          <w:tab w:val="left" w:pos="569"/>
        </w:tabs>
        <w:jc w:val="both"/>
        <w:rPr>
          <w:sz w:val="22"/>
          <w:szCs w:val="22"/>
          <w:lang w:val="sr-Latn-ME"/>
        </w:rPr>
      </w:pPr>
      <w:r w:rsidRPr="008E586D">
        <w:rPr>
          <w:sz w:val="22"/>
          <w:szCs w:val="22"/>
          <w:lang w:val="sr-Latn-ME"/>
        </w:rPr>
        <w:t>U slučaju da koncentrat ili rastvor za infuziju dođe u kontakt sa kožom, zahvaćenu površinu treba</w:t>
      </w:r>
      <w:r w:rsidR="00066236" w:rsidRPr="008E586D">
        <w:rPr>
          <w:sz w:val="22"/>
          <w:szCs w:val="22"/>
          <w:lang w:val="sr-Latn-ME"/>
        </w:rPr>
        <w:t xml:space="preserve"> </w:t>
      </w:r>
      <w:r w:rsidRPr="008E586D">
        <w:rPr>
          <w:sz w:val="22"/>
          <w:szCs w:val="22"/>
          <w:lang w:val="sr-Latn-ME"/>
        </w:rPr>
        <w:t>smjesta temeljno oprati sapunom i vodom. U slučaju da dođe u kontakt sa sluzokožom, zahvaćenu površinu treba smjesta temeljno isprati vodom.</w:t>
      </w:r>
    </w:p>
    <w:p w:rsidR="00F10DB9" w:rsidRPr="008E586D" w:rsidRDefault="00F10DB9" w:rsidP="00F0340F">
      <w:pPr>
        <w:tabs>
          <w:tab w:val="left" w:pos="540"/>
          <w:tab w:val="left" w:pos="569"/>
        </w:tabs>
        <w:jc w:val="both"/>
        <w:rPr>
          <w:sz w:val="22"/>
          <w:szCs w:val="22"/>
          <w:lang w:val="sr-Latn-ME"/>
        </w:rPr>
      </w:pPr>
    </w:p>
    <w:p w:rsidR="00F10DB9" w:rsidRPr="008E586D" w:rsidRDefault="00F10DB9" w:rsidP="00F10DB9">
      <w:pPr>
        <w:tabs>
          <w:tab w:val="left" w:pos="540"/>
          <w:tab w:val="left" w:pos="569"/>
        </w:tabs>
        <w:jc w:val="both"/>
        <w:rPr>
          <w:b/>
          <w:sz w:val="22"/>
          <w:szCs w:val="22"/>
          <w:lang w:val="sr-Latn-ME"/>
        </w:rPr>
      </w:pPr>
      <w:r w:rsidRPr="008E586D">
        <w:rPr>
          <w:b/>
          <w:sz w:val="22"/>
          <w:szCs w:val="22"/>
          <w:lang w:val="sr-Latn-ME"/>
        </w:rPr>
        <w:t>Priprema za davanje intravenske infuzije:</w:t>
      </w:r>
    </w:p>
    <w:p w:rsidR="00F10DB9" w:rsidRPr="008E586D" w:rsidRDefault="005725DC" w:rsidP="00F10DB9">
      <w:pPr>
        <w:tabs>
          <w:tab w:val="left" w:pos="540"/>
          <w:tab w:val="left" w:pos="569"/>
        </w:tabs>
        <w:jc w:val="both"/>
        <w:rPr>
          <w:sz w:val="22"/>
          <w:szCs w:val="22"/>
          <w:lang w:val="sr-Latn-ME"/>
        </w:rPr>
      </w:pPr>
      <w:r w:rsidRPr="008E586D">
        <w:rPr>
          <w:sz w:val="22"/>
          <w:szCs w:val="22"/>
          <w:lang w:val="sr-Latn-ME"/>
        </w:rPr>
        <w:t xml:space="preserve">Kao i druge </w:t>
      </w:r>
      <w:r w:rsidR="00F10DB9" w:rsidRPr="008E586D">
        <w:rPr>
          <w:sz w:val="22"/>
          <w:szCs w:val="22"/>
          <w:lang w:val="sr-Latn-ME"/>
        </w:rPr>
        <w:t>lj</w:t>
      </w:r>
      <w:r w:rsidRPr="008E586D">
        <w:rPr>
          <w:sz w:val="22"/>
          <w:szCs w:val="22"/>
          <w:lang w:val="sr-Latn-ME"/>
        </w:rPr>
        <w:t>ekove</w:t>
      </w:r>
      <w:r w:rsidR="00F10DB9" w:rsidRPr="008E586D">
        <w:rPr>
          <w:sz w:val="22"/>
          <w:szCs w:val="22"/>
          <w:lang w:val="sr-Latn-ME"/>
        </w:rPr>
        <w:t xml:space="preserve"> za injekcionu primjenu,</w:t>
      </w:r>
      <w:r w:rsidRPr="008E586D">
        <w:rPr>
          <w:sz w:val="22"/>
          <w:szCs w:val="22"/>
          <w:lang w:val="sr-Latn-ME"/>
        </w:rPr>
        <w:t xml:space="preserve"> lijek Irinotecan Accord rastvor treba pripremiti pod aseptičnim uslovima (vidjeti dio 6.3).</w:t>
      </w:r>
    </w:p>
    <w:p w:rsidR="005725DC" w:rsidRPr="008E586D" w:rsidRDefault="005725DC" w:rsidP="00F10DB9">
      <w:pPr>
        <w:tabs>
          <w:tab w:val="left" w:pos="540"/>
          <w:tab w:val="left" w:pos="569"/>
        </w:tabs>
        <w:jc w:val="both"/>
        <w:rPr>
          <w:sz w:val="22"/>
          <w:szCs w:val="22"/>
          <w:lang w:val="sr-Latn-ME"/>
        </w:rPr>
      </w:pPr>
    </w:p>
    <w:p w:rsidR="005725DC" w:rsidRPr="008E586D" w:rsidRDefault="00F10DB9" w:rsidP="00F10DB9">
      <w:pPr>
        <w:tabs>
          <w:tab w:val="left" w:pos="540"/>
          <w:tab w:val="left" w:pos="569"/>
        </w:tabs>
        <w:jc w:val="both"/>
        <w:rPr>
          <w:sz w:val="22"/>
          <w:szCs w:val="22"/>
          <w:lang w:val="sr-Latn-ME"/>
        </w:rPr>
      </w:pPr>
      <w:r w:rsidRPr="008E586D">
        <w:rPr>
          <w:sz w:val="22"/>
          <w:szCs w:val="22"/>
          <w:lang w:val="sr-Latn-ME"/>
        </w:rPr>
        <w:t xml:space="preserve">Ukoliko se primijeti bilo kakav precipitat (talog) u bočici </w:t>
      </w:r>
      <w:r w:rsidR="00873E8A" w:rsidRPr="008E586D">
        <w:rPr>
          <w:sz w:val="22"/>
          <w:szCs w:val="22"/>
          <w:lang w:val="sr-Latn-ME"/>
        </w:rPr>
        <w:t>poslije</w:t>
      </w:r>
      <w:r w:rsidRPr="008E586D">
        <w:rPr>
          <w:sz w:val="22"/>
          <w:szCs w:val="22"/>
          <w:lang w:val="sr-Latn-ME"/>
        </w:rPr>
        <w:t xml:space="preserve"> razblaživanja, proizvod treba ukloniti u skladu sa standardnim postupcima za citotoksična sredstva. </w:t>
      </w:r>
    </w:p>
    <w:p w:rsidR="005725DC" w:rsidRPr="008E586D" w:rsidRDefault="005725DC" w:rsidP="00F10DB9">
      <w:pPr>
        <w:tabs>
          <w:tab w:val="left" w:pos="540"/>
          <w:tab w:val="left" w:pos="569"/>
        </w:tabs>
        <w:jc w:val="both"/>
        <w:rPr>
          <w:sz w:val="22"/>
          <w:szCs w:val="22"/>
          <w:lang w:val="sr-Latn-ME"/>
        </w:rPr>
      </w:pPr>
    </w:p>
    <w:p w:rsidR="00F10DB9" w:rsidRPr="008E586D" w:rsidRDefault="00F10DB9" w:rsidP="00F10DB9">
      <w:pPr>
        <w:tabs>
          <w:tab w:val="left" w:pos="540"/>
          <w:tab w:val="left" w:pos="569"/>
        </w:tabs>
        <w:jc w:val="both"/>
        <w:rPr>
          <w:sz w:val="22"/>
          <w:szCs w:val="22"/>
          <w:lang w:val="sr-Latn-ME"/>
        </w:rPr>
      </w:pPr>
      <w:r w:rsidRPr="008E586D">
        <w:rPr>
          <w:sz w:val="22"/>
          <w:szCs w:val="22"/>
          <w:lang w:val="sr-Latn-ME"/>
        </w:rPr>
        <w:t xml:space="preserve">Potrebnu količinu </w:t>
      </w:r>
      <w:r w:rsidR="00B52CE1" w:rsidRPr="008E586D">
        <w:rPr>
          <w:sz w:val="22"/>
          <w:szCs w:val="22"/>
          <w:lang w:val="sr-Latn-ME"/>
        </w:rPr>
        <w:t>koncentrata</w:t>
      </w:r>
      <w:r w:rsidR="00166AF8" w:rsidRPr="008E586D">
        <w:rPr>
          <w:sz w:val="22"/>
          <w:szCs w:val="22"/>
          <w:lang w:val="sr-Latn-ME"/>
        </w:rPr>
        <w:t xml:space="preserve"> irinotekana</w:t>
      </w:r>
      <w:r w:rsidRPr="008E586D">
        <w:rPr>
          <w:sz w:val="22"/>
          <w:szCs w:val="22"/>
          <w:lang w:val="sr-Latn-ME"/>
        </w:rPr>
        <w:t xml:space="preserve"> treba uzeti iz bočice pod aseptičnim uslovima, koristeći graduisani špric, a zatim je ubrizgati u infuzionu kesu ili bocu od 250 ml koja sadrži 0,9% rastvor natrijum hlorida ili 5% rastvor glukoze. Infuzionu tečnost treba zatim dobro promućkati okrećući kesu ili bocu u rukama.</w:t>
      </w:r>
    </w:p>
    <w:p w:rsidR="00F10DB9" w:rsidRPr="008E586D" w:rsidRDefault="00F10DB9" w:rsidP="00F10DB9">
      <w:pPr>
        <w:tabs>
          <w:tab w:val="left" w:pos="540"/>
          <w:tab w:val="left" w:pos="569"/>
        </w:tabs>
        <w:jc w:val="both"/>
        <w:rPr>
          <w:sz w:val="22"/>
          <w:szCs w:val="22"/>
          <w:lang w:val="sr-Latn-ME"/>
        </w:rPr>
      </w:pPr>
    </w:p>
    <w:p w:rsidR="00F10DB9" w:rsidRPr="008E586D" w:rsidRDefault="005725DC" w:rsidP="00F10DB9">
      <w:pPr>
        <w:tabs>
          <w:tab w:val="left" w:pos="540"/>
          <w:tab w:val="left" w:pos="569"/>
        </w:tabs>
        <w:jc w:val="both"/>
        <w:rPr>
          <w:b/>
          <w:sz w:val="22"/>
          <w:szCs w:val="22"/>
          <w:lang w:val="sr-Latn-ME"/>
        </w:rPr>
      </w:pPr>
      <w:r w:rsidRPr="008E586D">
        <w:rPr>
          <w:b/>
          <w:sz w:val="22"/>
          <w:szCs w:val="22"/>
          <w:lang w:val="sr-Latn-ME"/>
        </w:rPr>
        <w:t>Odlaganje</w:t>
      </w:r>
      <w:r w:rsidR="00F10DB9" w:rsidRPr="008E586D">
        <w:rPr>
          <w:b/>
          <w:sz w:val="22"/>
          <w:szCs w:val="22"/>
          <w:lang w:val="sr-Latn-ME"/>
        </w:rPr>
        <w:t>:</w:t>
      </w:r>
    </w:p>
    <w:p w:rsidR="005725DC" w:rsidRPr="008E586D" w:rsidRDefault="005725DC" w:rsidP="00F10DB9">
      <w:pPr>
        <w:tabs>
          <w:tab w:val="left" w:pos="540"/>
          <w:tab w:val="left" w:pos="569"/>
        </w:tabs>
        <w:jc w:val="both"/>
        <w:rPr>
          <w:b/>
          <w:sz w:val="22"/>
          <w:szCs w:val="22"/>
          <w:lang w:val="sr-Latn-ME"/>
        </w:rPr>
      </w:pPr>
    </w:p>
    <w:p w:rsidR="00F10DB9" w:rsidRPr="008E586D" w:rsidRDefault="00F10DB9" w:rsidP="00F10DB9">
      <w:pPr>
        <w:tabs>
          <w:tab w:val="left" w:pos="540"/>
          <w:tab w:val="left" w:pos="569"/>
        </w:tabs>
        <w:jc w:val="both"/>
        <w:rPr>
          <w:sz w:val="22"/>
          <w:szCs w:val="22"/>
          <w:lang w:val="sr-Latn-ME"/>
        </w:rPr>
      </w:pPr>
      <w:r w:rsidRPr="008E586D">
        <w:rPr>
          <w:sz w:val="22"/>
          <w:szCs w:val="22"/>
          <w:lang w:val="sr-Latn-ME"/>
        </w:rPr>
        <w:t>Samo za jednokratnu upotrebu.</w:t>
      </w:r>
    </w:p>
    <w:p w:rsidR="005725DC" w:rsidRPr="008E586D" w:rsidRDefault="005725DC" w:rsidP="00F10DB9">
      <w:pPr>
        <w:tabs>
          <w:tab w:val="left" w:pos="540"/>
          <w:tab w:val="left" w:pos="569"/>
        </w:tabs>
        <w:jc w:val="both"/>
        <w:rPr>
          <w:sz w:val="22"/>
          <w:szCs w:val="22"/>
          <w:lang w:val="sr-Latn-ME"/>
        </w:rPr>
      </w:pPr>
    </w:p>
    <w:p w:rsidR="00F10DB9" w:rsidRPr="008E586D" w:rsidRDefault="00F10DB9" w:rsidP="00F10DB9">
      <w:pPr>
        <w:tabs>
          <w:tab w:val="left" w:pos="540"/>
          <w:tab w:val="left" w:pos="569"/>
        </w:tabs>
        <w:jc w:val="both"/>
        <w:rPr>
          <w:sz w:val="22"/>
          <w:szCs w:val="22"/>
          <w:lang w:val="sr-Latn-ME"/>
        </w:rPr>
      </w:pPr>
      <w:r w:rsidRPr="008E586D">
        <w:rPr>
          <w:sz w:val="22"/>
          <w:szCs w:val="22"/>
          <w:lang w:val="sr-Latn-ME"/>
        </w:rPr>
        <w:t>Svi predmeti korišćeni za rastvaranje i ubrizgavanje moraju se ukloniti u skladu sa bolničkim standardnim postupcima (važećim uputstvima) za rukovanje citotoksičnim sredstvima.</w:t>
      </w:r>
    </w:p>
    <w:p w:rsidR="00F10DB9" w:rsidRPr="008E586D" w:rsidRDefault="00F10DB9" w:rsidP="00F10DB9">
      <w:pPr>
        <w:tabs>
          <w:tab w:val="left" w:pos="540"/>
          <w:tab w:val="left" w:pos="569"/>
        </w:tabs>
        <w:jc w:val="both"/>
        <w:rPr>
          <w:b/>
          <w:bCs/>
          <w:color w:val="FF0000"/>
          <w:sz w:val="22"/>
          <w:szCs w:val="22"/>
          <w:highlight w:val="yellow"/>
          <w:lang w:val="sr-Latn-ME"/>
        </w:rPr>
      </w:pPr>
    </w:p>
    <w:p w:rsidR="00F10DB9" w:rsidRPr="008E586D" w:rsidRDefault="00F10DB9" w:rsidP="00F10DB9">
      <w:pPr>
        <w:suppressAutoHyphens/>
        <w:autoSpaceDE w:val="0"/>
        <w:jc w:val="both"/>
        <w:rPr>
          <w:rFonts w:eastAsia="Microsoft YaHei"/>
          <w:bCs/>
          <w:sz w:val="22"/>
          <w:szCs w:val="22"/>
          <w:lang w:val="sr-Latn-ME" w:eastAsia="hr-HR"/>
        </w:rPr>
      </w:pPr>
      <w:r w:rsidRPr="008E586D">
        <w:rPr>
          <w:rFonts w:eastAsia="TimesNewRoman"/>
          <w:bCs/>
          <w:sz w:val="22"/>
          <w:szCs w:val="22"/>
          <w:lang w:val="sr-Latn-ME" w:eastAsia="hr-HR"/>
        </w:rPr>
        <w:t>Svu neiskorištenu količinu lijeka ili otpadnog materijala</w:t>
      </w:r>
      <w:r w:rsidRPr="008E586D">
        <w:rPr>
          <w:rFonts w:eastAsia="Microsoft YaHei"/>
          <w:bCs/>
          <w:sz w:val="22"/>
          <w:szCs w:val="22"/>
          <w:lang w:val="sr-Latn-ME" w:eastAsia="hr-HR"/>
        </w:rPr>
        <w:t xml:space="preserve"> treba ukloniti u skladu sa lokalnim propisima.</w:t>
      </w:r>
    </w:p>
    <w:p w:rsidR="00F10DB9" w:rsidRPr="008E586D" w:rsidRDefault="00F10DB9" w:rsidP="00F0340F">
      <w:pPr>
        <w:tabs>
          <w:tab w:val="left" w:pos="540"/>
          <w:tab w:val="left" w:pos="569"/>
        </w:tabs>
        <w:jc w:val="both"/>
        <w:rPr>
          <w:b/>
          <w:bCs/>
          <w:sz w:val="22"/>
          <w:szCs w:val="22"/>
          <w:lang w:val="sr-Latn-ME"/>
        </w:rPr>
      </w:pPr>
    </w:p>
    <w:p w:rsidR="0072020E" w:rsidRPr="008E586D" w:rsidRDefault="0072020E" w:rsidP="00480FB1">
      <w:pPr>
        <w:tabs>
          <w:tab w:val="left" w:pos="540"/>
          <w:tab w:val="left" w:pos="569"/>
        </w:tabs>
        <w:rPr>
          <w:bCs/>
          <w:sz w:val="22"/>
          <w:szCs w:val="22"/>
          <w:lang w:val="sr-Latn-ME"/>
        </w:rPr>
      </w:pPr>
    </w:p>
    <w:p w:rsidR="00F8570A" w:rsidRPr="008E586D" w:rsidRDefault="0072020E" w:rsidP="00480FB1">
      <w:pPr>
        <w:tabs>
          <w:tab w:val="left" w:pos="540"/>
          <w:tab w:val="left" w:pos="569"/>
        </w:tabs>
        <w:rPr>
          <w:b/>
          <w:bCs/>
          <w:sz w:val="22"/>
          <w:szCs w:val="22"/>
          <w:lang w:val="sr-Latn-ME"/>
        </w:rPr>
      </w:pPr>
      <w:r w:rsidRPr="008E586D">
        <w:rPr>
          <w:b/>
          <w:bCs/>
          <w:sz w:val="22"/>
          <w:szCs w:val="22"/>
          <w:lang w:val="sr-Latn-ME"/>
        </w:rPr>
        <w:t xml:space="preserve">7. </w:t>
      </w:r>
      <w:r w:rsidR="00480FB1" w:rsidRPr="008E586D">
        <w:rPr>
          <w:b/>
          <w:bCs/>
          <w:sz w:val="22"/>
          <w:szCs w:val="22"/>
          <w:lang w:val="sr-Latn-ME"/>
        </w:rPr>
        <w:tab/>
      </w:r>
      <w:r w:rsidRPr="008E586D">
        <w:rPr>
          <w:b/>
          <w:bCs/>
          <w:sz w:val="22"/>
          <w:szCs w:val="22"/>
          <w:lang w:val="sr-Latn-ME"/>
        </w:rPr>
        <w:t>NOSILAC DOZVOLE</w:t>
      </w:r>
      <w:r w:rsidR="00483928" w:rsidRPr="008E586D">
        <w:rPr>
          <w:b/>
          <w:bCs/>
          <w:sz w:val="22"/>
          <w:szCs w:val="22"/>
          <w:lang w:val="sr-Latn-ME"/>
        </w:rPr>
        <w:t xml:space="preserve"> </w:t>
      </w:r>
    </w:p>
    <w:p w:rsidR="00094FA7" w:rsidRPr="008E586D" w:rsidRDefault="00094FA7" w:rsidP="00480FB1">
      <w:pPr>
        <w:tabs>
          <w:tab w:val="left" w:pos="540"/>
          <w:tab w:val="left" w:pos="569"/>
        </w:tabs>
        <w:rPr>
          <w:b/>
          <w:bCs/>
          <w:sz w:val="22"/>
          <w:szCs w:val="22"/>
          <w:lang w:val="sr-Latn-ME"/>
        </w:rPr>
      </w:pPr>
    </w:p>
    <w:p w:rsidR="00094FA7" w:rsidRPr="008E586D" w:rsidRDefault="00094FA7" w:rsidP="00094FA7">
      <w:pPr>
        <w:tabs>
          <w:tab w:val="left" w:pos="540"/>
          <w:tab w:val="left" w:pos="569"/>
        </w:tabs>
        <w:rPr>
          <w:bCs/>
          <w:sz w:val="22"/>
          <w:szCs w:val="22"/>
          <w:lang w:val="sr-Latn-ME"/>
        </w:rPr>
      </w:pPr>
      <w:r w:rsidRPr="008E586D">
        <w:rPr>
          <w:bCs/>
          <w:sz w:val="22"/>
          <w:szCs w:val="22"/>
          <w:lang w:val="sr-Latn-ME"/>
        </w:rPr>
        <w:t>Evropa Lek Pharma d.o.o. Podgorica</w:t>
      </w:r>
    </w:p>
    <w:p w:rsidR="00094FA7" w:rsidRPr="008E586D" w:rsidRDefault="00094FA7" w:rsidP="00480FB1">
      <w:pPr>
        <w:tabs>
          <w:tab w:val="left" w:pos="540"/>
          <w:tab w:val="left" w:pos="569"/>
        </w:tabs>
        <w:rPr>
          <w:bCs/>
          <w:sz w:val="22"/>
          <w:szCs w:val="22"/>
          <w:lang w:val="sr-Latn-ME"/>
        </w:rPr>
      </w:pPr>
      <w:r w:rsidRPr="008E586D">
        <w:rPr>
          <w:bCs/>
          <w:sz w:val="22"/>
          <w:szCs w:val="22"/>
          <w:lang w:val="sr-Latn-ME"/>
        </w:rPr>
        <w:t>Kritskog odreda 4/1</w:t>
      </w:r>
      <w:r w:rsidR="006B46AD">
        <w:rPr>
          <w:bCs/>
          <w:sz w:val="22"/>
          <w:szCs w:val="22"/>
          <w:lang w:val="sr-Latn-ME"/>
        </w:rPr>
        <w:t>,</w:t>
      </w:r>
      <w:r w:rsidRPr="008E586D">
        <w:rPr>
          <w:bCs/>
          <w:sz w:val="22"/>
          <w:szCs w:val="22"/>
          <w:lang w:val="sr-Latn-ME"/>
        </w:rPr>
        <w:t xml:space="preserve"> 81000 Podgorica</w:t>
      </w:r>
      <w:r w:rsidR="009946B8">
        <w:rPr>
          <w:bCs/>
          <w:sz w:val="22"/>
          <w:szCs w:val="22"/>
          <w:lang w:val="sr-Latn-ME"/>
        </w:rPr>
        <w:t>,</w:t>
      </w:r>
      <w:r w:rsidRPr="008E586D">
        <w:rPr>
          <w:bCs/>
          <w:sz w:val="22"/>
          <w:szCs w:val="22"/>
          <w:lang w:val="sr-Latn-ME"/>
        </w:rPr>
        <w:t xml:space="preserve"> Crna Gora</w:t>
      </w:r>
    </w:p>
    <w:p w:rsidR="00C61BE0" w:rsidRPr="008E586D" w:rsidRDefault="00C61BE0" w:rsidP="00480FB1">
      <w:pPr>
        <w:tabs>
          <w:tab w:val="left" w:pos="540"/>
          <w:tab w:val="left" w:pos="569"/>
        </w:tabs>
        <w:rPr>
          <w:bCs/>
          <w:sz w:val="22"/>
          <w:szCs w:val="22"/>
          <w:lang w:val="sr-Latn-ME"/>
        </w:rPr>
      </w:pPr>
    </w:p>
    <w:p w:rsidR="00C37FD7" w:rsidRPr="008E586D" w:rsidRDefault="00C37FD7" w:rsidP="00480FB1">
      <w:pPr>
        <w:tabs>
          <w:tab w:val="left" w:pos="540"/>
          <w:tab w:val="left" w:pos="569"/>
        </w:tabs>
        <w:rPr>
          <w:bCs/>
          <w:sz w:val="22"/>
          <w:szCs w:val="22"/>
          <w:lang w:val="sr-Latn-ME"/>
        </w:rPr>
      </w:pPr>
    </w:p>
    <w:p w:rsidR="0072020E" w:rsidRPr="008E586D" w:rsidRDefault="0072020E" w:rsidP="00480FB1">
      <w:pPr>
        <w:tabs>
          <w:tab w:val="left" w:pos="540"/>
          <w:tab w:val="left" w:pos="569"/>
        </w:tabs>
        <w:rPr>
          <w:b/>
          <w:bCs/>
          <w:sz w:val="22"/>
          <w:szCs w:val="22"/>
          <w:lang w:val="sr-Latn-ME"/>
        </w:rPr>
      </w:pPr>
      <w:r w:rsidRPr="008E586D">
        <w:rPr>
          <w:b/>
          <w:bCs/>
          <w:sz w:val="22"/>
          <w:szCs w:val="22"/>
          <w:lang w:val="sr-Latn-ME"/>
        </w:rPr>
        <w:t xml:space="preserve">8. </w:t>
      </w:r>
      <w:r w:rsidR="00480FB1" w:rsidRPr="008E586D">
        <w:rPr>
          <w:b/>
          <w:bCs/>
          <w:sz w:val="22"/>
          <w:szCs w:val="22"/>
          <w:lang w:val="sr-Latn-ME"/>
        </w:rPr>
        <w:tab/>
      </w:r>
      <w:r w:rsidRPr="008E586D">
        <w:rPr>
          <w:b/>
          <w:bCs/>
          <w:sz w:val="22"/>
          <w:szCs w:val="22"/>
          <w:lang w:val="sr-Latn-ME"/>
        </w:rPr>
        <w:t>BROJ DOZVOLE</w:t>
      </w:r>
      <w:r w:rsidR="008A6D43" w:rsidRPr="008E586D">
        <w:rPr>
          <w:b/>
          <w:bCs/>
          <w:sz w:val="22"/>
          <w:szCs w:val="22"/>
          <w:lang w:val="sr-Latn-ME"/>
        </w:rPr>
        <w:t xml:space="preserve"> ZA STAVLJANJE LIJEKA U PROMET</w:t>
      </w:r>
    </w:p>
    <w:p w:rsidR="0072020E" w:rsidRPr="008E586D" w:rsidRDefault="0072020E" w:rsidP="00480FB1">
      <w:pPr>
        <w:tabs>
          <w:tab w:val="left" w:pos="540"/>
          <w:tab w:val="left" w:pos="569"/>
        </w:tabs>
        <w:rPr>
          <w:bCs/>
          <w:sz w:val="22"/>
          <w:szCs w:val="22"/>
          <w:lang w:val="sr-Latn-ME"/>
        </w:rPr>
      </w:pPr>
    </w:p>
    <w:p w:rsidR="00A76933" w:rsidRPr="00C61CB1" w:rsidRDefault="00A76933" w:rsidP="00A76933">
      <w:pPr>
        <w:rPr>
          <w:iCs/>
          <w:sz w:val="22"/>
          <w:szCs w:val="22"/>
          <w:lang w:val="sr-Latn-ME"/>
        </w:rPr>
      </w:pPr>
      <w:r w:rsidRPr="00C61CB1">
        <w:rPr>
          <w:iCs/>
          <w:sz w:val="22"/>
          <w:szCs w:val="22"/>
          <w:lang w:val="sr-Latn-ME"/>
        </w:rPr>
        <w:t>Irinotecan Accord, koncentrat za rastvor za infuziju, 20 mg/ml, bočica, 1 x 2 ml:</w:t>
      </w:r>
      <w:r w:rsidR="006A0B48" w:rsidRPr="00C61CB1">
        <w:rPr>
          <w:iCs/>
          <w:sz w:val="22"/>
          <w:szCs w:val="22"/>
          <w:lang w:val="sr-Latn-ME"/>
        </w:rPr>
        <w:t xml:space="preserve"> </w:t>
      </w:r>
      <w:r w:rsidR="006A0B48" w:rsidRPr="00C61CB1">
        <w:rPr>
          <w:sz w:val="22"/>
          <w:szCs w:val="22"/>
          <w:lang w:val="sr-Latn-ME" w:eastAsia="sr-Latn-ME"/>
        </w:rPr>
        <w:t>2030/23/257 - 4619</w:t>
      </w:r>
    </w:p>
    <w:p w:rsidR="00A76933" w:rsidRPr="00C61CB1" w:rsidRDefault="00A76933" w:rsidP="00A76933">
      <w:pPr>
        <w:rPr>
          <w:iCs/>
          <w:sz w:val="22"/>
          <w:szCs w:val="22"/>
          <w:lang w:val="sr-Latn-ME"/>
        </w:rPr>
      </w:pPr>
      <w:r w:rsidRPr="00C61CB1">
        <w:rPr>
          <w:iCs/>
          <w:sz w:val="22"/>
          <w:szCs w:val="22"/>
          <w:lang w:val="sr-Latn-ME"/>
        </w:rPr>
        <w:t>Irinotecan Accord, koncentrat za rastvor za infuziju, 20 mg/ml, bočica, 1 x 5 ml:</w:t>
      </w:r>
      <w:r w:rsidR="006A0B48" w:rsidRPr="00C61CB1">
        <w:rPr>
          <w:iCs/>
          <w:sz w:val="22"/>
          <w:szCs w:val="22"/>
          <w:lang w:val="sr-Latn-ME"/>
        </w:rPr>
        <w:t xml:space="preserve"> </w:t>
      </w:r>
      <w:r w:rsidR="006A0B48" w:rsidRPr="00C61CB1">
        <w:rPr>
          <w:sz w:val="22"/>
          <w:szCs w:val="22"/>
          <w:lang w:val="sr-Latn-ME" w:eastAsia="sr-Latn-ME"/>
        </w:rPr>
        <w:t>2030/23/255 - 4620</w:t>
      </w:r>
    </w:p>
    <w:p w:rsidR="00A76933" w:rsidRPr="008E586D" w:rsidRDefault="00A76933" w:rsidP="00A76933">
      <w:pPr>
        <w:rPr>
          <w:iCs/>
          <w:sz w:val="22"/>
          <w:szCs w:val="22"/>
          <w:lang w:val="sr-Latn-ME"/>
        </w:rPr>
      </w:pPr>
    </w:p>
    <w:p w:rsidR="00F45F77" w:rsidRPr="008E586D" w:rsidRDefault="00F45F77" w:rsidP="00480FB1">
      <w:pPr>
        <w:tabs>
          <w:tab w:val="left" w:pos="540"/>
          <w:tab w:val="left" w:pos="569"/>
        </w:tabs>
        <w:rPr>
          <w:bCs/>
          <w:sz w:val="22"/>
          <w:szCs w:val="22"/>
          <w:lang w:val="sr-Latn-ME"/>
        </w:rPr>
      </w:pPr>
    </w:p>
    <w:p w:rsidR="0072020E" w:rsidRPr="008E586D" w:rsidRDefault="0072020E" w:rsidP="00480FB1">
      <w:pPr>
        <w:tabs>
          <w:tab w:val="left" w:pos="540"/>
          <w:tab w:val="left" w:pos="569"/>
        </w:tabs>
        <w:rPr>
          <w:b/>
          <w:bCs/>
          <w:sz w:val="22"/>
          <w:szCs w:val="22"/>
          <w:lang w:val="sr-Latn-ME"/>
        </w:rPr>
      </w:pPr>
      <w:r w:rsidRPr="008E586D">
        <w:rPr>
          <w:b/>
          <w:bCs/>
          <w:sz w:val="22"/>
          <w:szCs w:val="22"/>
          <w:lang w:val="sr-Latn-ME"/>
        </w:rPr>
        <w:t xml:space="preserve">9. </w:t>
      </w:r>
      <w:r w:rsidR="00480FB1" w:rsidRPr="008E586D">
        <w:rPr>
          <w:b/>
          <w:bCs/>
          <w:sz w:val="22"/>
          <w:szCs w:val="22"/>
          <w:lang w:val="sr-Latn-ME"/>
        </w:rPr>
        <w:tab/>
      </w:r>
      <w:r w:rsidRPr="008E586D">
        <w:rPr>
          <w:b/>
          <w:bCs/>
          <w:sz w:val="22"/>
          <w:szCs w:val="22"/>
          <w:lang w:val="sr-Latn-ME"/>
        </w:rPr>
        <w:t xml:space="preserve">DATUM </w:t>
      </w:r>
      <w:r w:rsidR="00C05DF8" w:rsidRPr="008E586D">
        <w:rPr>
          <w:b/>
          <w:bCs/>
          <w:sz w:val="22"/>
          <w:szCs w:val="22"/>
          <w:lang w:val="sr-Latn-ME"/>
        </w:rPr>
        <w:t xml:space="preserve">PRVE </w:t>
      </w:r>
      <w:r w:rsidR="008A6D43" w:rsidRPr="008E586D">
        <w:rPr>
          <w:b/>
          <w:bCs/>
          <w:sz w:val="22"/>
          <w:szCs w:val="22"/>
          <w:lang w:val="sr-Latn-ME"/>
        </w:rPr>
        <w:t>DOZVOLE</w:t>
      </w:r>
      <w:r w:rsidR="00C05DF8" w:rsidRPr="008E586D">
        <w:rPr>
          <w:b/>
          <w:bCs/>
          <w:sz w:val="22"/>
          <w:szCs w:val="22"/>
          <w:lang w:val="sr-Latn-ME"/>
        </w:rPr>
        <w:t>/OBNOVE DOZVOLE</w:t>
      </w:r>
      <w:r w:rsidR="008A6D43" w:rsidRPr="008E586D">
        <w:rPr>
          <w:b/>
          <w:bCs/>
          <w:sz w:val="22"/>
          <w:szCs w:val="22"/>
          <w:lang w:val="sr-Latn-ME"/>
        </w:rPr>
        <w:t xml:space="preserve"> ZA STAVLJANJE LIJEKA U PROMET</w:t>
      </w:r>
    </w:p>
    <w:p w:rsidR="0072020E" w:rsidRPr="008E586D" w:rsidRDefault="0072020E" w:rsidP="00480FB1">
      <w:pPr>
        <w:tabs>
          <w:tab w:val="left" w:pos="540"/>
          <w:tab w:val="left" w:pos="569"/>
        </w:tabs>
        <w:rPr>
          <w:bCs/>
          <w:sz w:val="22"/>
          <w:szCs w:val="22"/>
          <w:lang w:val="sr-Latn-ME"/>
        </w:rPr>
      </w:pPr>
    </w:p>
    <w:p w:rsidR="00836B35" w:rsidRPr="008E586D" w:rsidRDefault="00C61CB1" w:rsidP="00480FB1">
      <w:pPr>
        <w:tabs>
          <w:tab w:val="left" w:pos="540"/>
          <w:tab w:val="left" w:pos="569"/>
        </w:tabs>
        <w:rPr>
          <w:bCs/>
          <w:sz w:val="22"/>
          <w:szCs w:val="22"/>
          <w:lang w:val="sr-Latn-ME"/>
        </w:rPr>
      </w:pPr>
      <w:r>
        <w:rPr>
          <w:iCs/>
          <w:sz w:val="22"/>
          <w:szCs w:val="22"/>
          <w:lang w:val="sr-Latn-ME"/>
        </w:rPr>
        <w:t>21</w:t>
      </w:r>
      <w:r w:rsidR="006A0B48" w:rsidRPr="008E586D">
        <w:rPr>
          <w:iCs/>
          <w:sz w:val="22"/>
          <w:szCs w:val="22"/>
          <w:lang w:val="sr-Latn-ME"/>
        </w:rPr>
        <w:t>.07.2023. godine</w:t>
      </w:r>
    </w:p>
    <w:p w:rsidR="00A76933" w:rsidRDefault="00A76933" w:rsidP="00480FB1">
      <w:pPr>
        <w:tabs>
          <w:tab w:val="left" w:pos="540"/>
          <w:tab w:val="left" w:pos="569"/>
        </w:tabs>
        <w:rPr>
          <w:bCs/>
          <w:sz w:val="22"/>
          <w:szCs w:val="22"/>
          <w:lang w:val="sr-Latn-ME"/>
        </w:rPr>
      </w:pPr>
    </w:p>
    <w:p w:rsidR="00C35299" w:rsidRPr="008E586D" w:rsidRDefault="00C35299" w:rsidP="00480FB1">
      <w:pPr>
        <w:tabs>
          <w:tab w:val="left" w:pos="540"/>
          <w:tab w:val="left" w:pos="569"/>
        </w:tabs>
        <w:rPr>
          <w:bCs/>
          <w:sz w:val="22"/>
          <w:szCs w:val="22"/>
          <w:lang w:val="sr-Latn-ME"/>
        </w:rPr>
      </w:pPr>
    </w:p>
    <w:p w:rsidR="003F6A59" w:rsidRPr="008E586D" w:rsidRDefault="0072020E" w:rsidP="005725DC">
      <w:pPr>
        <w:tabs>
          <w:tab w:val="left" w:pos="540"/>
          <w:tab w:val="left" w:pos="569"/>
        </w:tabs>
        <w:ind w:left="540" w:hanging="540"/>
        <w:rPr>
          <w:b/>
          <w:bCs/>
          <w:sz w:val="22"/>
          <w:szCs w:val="22"/>
          <w:lang w:val="sr-Latn-ME"/>
        </w:rPr>
      </w:pPr>
      <w:r w:rsidRPr="008E586D">
        <w:rPr>
          <w:b/>
          <w:bCs/>
          <w:sz w:val="22"/>
          <w:szCs w:val="22"/>
          <w:lang w:val="sr-Latn-ME"/>
        </w:rPr>
        <w:t xml:space="preserve">10. </w:t>
      </w:r>
      <w:r w:rsidR="00480FB1" w:rsidRPr="008E586D">
        <w:rPr>
          <w:b/>
          <w:bCs/>
          <w:sz w:val="22"/>
          <w:szCs w:val="22"/>
          <w:lang w:val="sr-Latn-ME"/>
        </w:rPr>
        <w:tab/>
      </w:r>
      <w:r w:rsidR="002846DB" w:rsidRPr="008E586D">
        <w:rPr>
          <w:b/>
          <w:bCs/>
          <w:sz w:val="22"/>
          <w:szCs w:val="22"/>
          <w:lang w:val="sr-Latn-ME"/>
        </w:rPr>
        <w:t>D</w:t>
      </w:r>
      <w:r w:rsidR="00EC2532" w:rsidRPr="008E586D">
        <w:rPr>
          <w:b/>
          <w:bCs/>
          <w:sz w:val="22"/>
          <w:szCs w:val="22"/>
          <w:lang w:val="sr-Latn-ME"/>
        </w:rPr>
        <w:t xml:space="preserve">ATUM REVIZIJE TEKSTA </w:t>
      </w:r>
    </w:p>
    <w:p w:rsidR="00A76933" w:rsidRPr="008E586D" w:rsidRDefault="00A76933" w:rsidP="00926D14">
      <w:pPr>
        <w:tabs>
          <w:tab w:val="left" w:pos="540"/>
          <w:tab w:val="left" w:pos="569"/>
        </w:tabs>
        <w:rPr>
          <w:b/>
          <w:bCs/>
          <w:sz w:val="22"/>
          <w:szCs w:val="22"/>
          <w:lang w:val="sr-Latn-ME"/>
        </w:rPr>
      </w:pPr>
    </w:p>
    <w:p w:rsidR="006A0B48" w:rsidRPr="008E586D" w:rsidRDefault="006A0B48" w:rsidP="00926D14">
      <w:pPr>
        <w:tabs>
          <w:tab w:val="left" w:pos="540"/>
          <w:tab w:val="left" w:pos="569"/>
        </w:tabs>
        <w:rPr>
          <w:bCs/>
          <w:sz w:val="22"/>
          <w:szCs w:val="22"/>
          <w:lang w:val="sr-Latn-ME"/>
        </w:rPr>
      </w:pPr>
      <w:r w:rsidRPr="008E586D">
        <w:rPr>
          <w:bCs/>
          <w:sz w:val="22"/>
          <w:szCs w:val="22"/>
          <w:lang w:val="sr-Latn-ME"/>
        </w:rPr>
        <w:t>Jul, 2023. godine</w:t>
      </w:r>
    </w:p>
    <w:p w:rsidR="00A76933" w:rsidRPr="008E586D" w:rsidRDefault="00A76933" w:rsidP="00926D14">
      <w:pPr>
        <w:tabs>
          <w:tab w:val="left" w:pos="540"/>
          <w:tab w:val="left" w:pos="569"/>
        </w:tabs>
        <w:rPr>
          <w:bCs/>
          <w:sz w:val="22"/>
          <w:szCs w:val="22"/>
          <w:lang w:val="sr-Latn-ME"/>
        </w:rPr>
      </w:pPr>
    </w:p>
    <w:sectPr w:rsidR="00A76933" w:rsidRPr="008E586D" w:rsidSect="006B5404">
      <w:footerReference w:type="default" r:id="rId12"/>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222B" w:rsidRDefault="0022222B">
      <w:r>
        <w:separator/>
      </w:r>
    </w:p>
  </w:endnote>
  <w:endnote w:type="continuationSeparator" w:id="0">
    <w:p w:rsidR="0022222B" w:rsidRDefault="00222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EE"/>
    <w:family w:val="swiss"/>
    <w:pitch w:val="variable"/>
  </w:font>
  <w:font w:name="TimesNewRoman">
    <w:altName w:val="MS Gothic"/>
    <w:panose1 w:val="00000000000000000000"/>
    <w:charset w:val="00"/>
    <w:family w:val="roman"/>
    <w:notTrueType/>
    <w:pitch w:val="default"/>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TimesNewRoman,Bold">
    <w:altName w:val="Times New Roman"/>
    <w:panose1 w:val="00000000000000000000"/>
    <w:charset w:val="80"/>
    <w:family w:val="auto"/>
    <w:notTrueType/>
    <w:pitch w:val="default"/>
    <w:sig w:usb0="00000005" w:usb1="08070000" w:usb2="00000010" w:usb3="00000000" w:csb0="00020002"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9E0" w:rsidRPr="00926D14" w:rsidRDefault="00C729E0" w:rsidP="00B23F69">
    <w:pPr>
      <w:pStyle w:val="Footer"/>
      <w:jc w:val="center"/>
      <w:rPr>
        <w:sz w:val="20"/>
        <w:szCs w:val="20"/>
      </w:rPr>
    </w:pPr>
    <w:r w:rsidRPr="00926D14">
      <w:rPr>
        <w:sz w:val="20"/>
        <w:szCs w:val="20"/>
      </w:rPr>
      <w:fldChar w:fldCharType="begin"/>
    </w:r>
    <w:r w:rsidRPr="00926D14">
      <w:rPr>
        <w:sz w:val="20"/>
        <w:szCs w:val="20"/>
      </w:rPr>
      <w:instrText xml:space="preserve"> PAGE </w:instrText>
    </w:r>
    <w:r w:rsidRPr="00926D14">
      <w:rPr>
        <w:sz w:val="20"/>
        <w:szCs w:val="20"/>
      </w:rPr>
      <w:fldChar w:fldCharType="separate"/>
    </w:r>
    <w:r w:rsidR="00306D4F">
      <w:rPr>
        <w:noProof/>
        <w:sz w:val="20"/>
        <w:szCs w:val="20"/>
      </w:rPr>
      <w:t>23</w:t>
    </w:r>
    <w:r w:rsidRPr="00926D14">
      <w:rPr>
        <w:sz w:val="20"/>
        <w:szCs w:val="20"/>
      </w:rPr>
      <w:fldChar w:fldCharType="end"/>
    </w:r>
    <w:r w:rsidRPr="00926D14">
      <w:rPr>
        <w:sz w:val="20"/>
        <w:szCs w:val="20"/>
      </w:rPr>
      <w:t xml:space="preserve"> / </w:t>
    </w:r>
    <w:r w:rsidRPr="00926D14">
      <w:rPr>
        <w:sz w:val="20"/>
        <w:szCs w:val="20"/>
      </w:rPr>
      <w:fldChar w:fldCharType="begin"/>
    </w:r>
    <w:r w:rsidRPr="00926D14">
      <w:rPr>
        <w:sz w:val="20"/>
        <w:szCs w:val="20"/>
      </w:rPr>
      <w:instrText xml:space="preserve"> NUMPAGES </w:instrText>
    </w:r>
    <w:r w:rsidRPr="00926D14">
      <w:rPr>
        <w:sz w:val="20"/>
        <w:szCs w:val="20"/>
      </w:rPr>
      <w:fldChar w:fldCharType="separate"/>
    </w:r>
    <w:r w:rsidR="00306D4F">
      <w:rPr>
        <w:noProof/>
        <w:sz w:val="20"/>
        <w:szCs w:val="20"/>
      </w:rPr>
      <w:t>25</w:t>
    </w:r>
    <w:r w:rsidRPr="00926D14">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222B" w:rsidRDefault="0022222B">
      <w:r>
        <w:separator/>
      </w:r>
    </w:p>
  </w:footnote>
  <w:footnote w:type="continuationSeparator" w:id="0">
    <w:p w:rsidR="0022222B" w:rsidRDefault="002222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5.65pt;height:13.7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538456A"/>
    <w:multiLevelType w:val="hybridMultilevel"/>
    <w:tmpl w:val="7832BA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2140E25"/>
    <w:multiLevelType w:val="hybridMultilevel"/>
    <w:tmpl w:val="C0C022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1F0C7E"/>
    <w:multiLevelType w:val="hybridMultilevel"/>
    <w:tmpl w:val="F6F6F3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39E4110E"/>
    <w:multiLevelType w:val="hybridMultilevel"/>
    <w:tmpl w:val="10FE5C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51A14795"/>
    <w:multiLevelType w:val="hybridMultilevel"/>
    <w:tmpl w:val="B0E48B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659B4269"/>
    <w:multiLevelType w:val="hybridMultilevel"/>
    <w:tmpl w:val="0B8A2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5"/>
  </w:num>
  <w:num w:numId="3">
    <w:abstractNumId w:val="0"/>
  </w:num>
  <w:num w:numId="4">
    <w:abstractNumId w:val="13"/>
  </w:num>
  <w:num w:numId="5">
    <w:abstractNumId w:val="6"/>
  </w:num>
  <w:num w:numId="6">
    <w:abstractNumId w:val="1"/>
  </w:num>
  <w:num w:numId="7">
    <w:abstractNumId w:val="11"/>
  </w:num>
  <w:num w:numId="8">
    <w:abstractNumId w:val="5"/>
  </w:num>
  <w:num w:numId="9">
    <w:abstractNumId w:val="9"/>
  </w:num>
  <w:num w:numId="10">
    <w:abstractNumId w:val="16"/>
  </w:num>
  <w:num w:numId="11">
    <w:abstractNumId w:val="7"/>
  </w:num>
  <w:num w:numId="12">
    <w:abstractNumId w:val="12"/>
  </w:num>
  <w:num w:numId="13">
    <w:abstractNumId w:val="10"/>
  </w:num>
  <w:num w:numId="14">
    <w:abstractNumId w:val="3"/>
  </w:num>
  <w:num w:numId="15">
    <w:abstractNumId w:val="14"/>
  </w:num>
  <w:num w:numId="16">
    <w:abstractNumId w:val="2"/>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01771"/>
    <w:rsid w:val="00016BCA"/>
    <w:rsid w:val="000176CA"/>
    <w:rsid w:val="00023A5B"/>
    <w:rsid w:val="00036FA0"/>
    <w:rsid w:val="0003793F"/>
    <w:rsid w:val="00043878"/>
    <w:rsid w:val="00057E35"/>
    <w:rsid w:val="00066236"/>
    <w:rsid w:val="00076726"/>
    <w:rsid w:val="00080303"/>
    <w:rsid w:val="00085CA6"/>
    <w:rsid w:val="00091C62"/>
    <w:rsid w:val="00094FA7"/>
    <w:rsid w:val="000A3F58"/>
    <w:rsid w:val="000D2343"/>
    <w:rsid w:val="000D3449"/>
    <w:rsid w:val="000D425A"/>
    <w:rsid w:val="000D60CC"/>
    <w:rsid w:val="000E2084"/>
    <w:rsid w:val="000E6F55"/>
    <w:rsid w:val="000F009F"/>
    <w:rsid w:val="000F1999"/>
    <w:rsid w:val="000F77FA"/>
    <w:rsid w:val="00107BF7"/>
    <w:rsid w:val="00126F53"/>
    <w:rsid w:val="0014766D"/>
    <w:rsid w:val="001536CC"/>
    <w:rsid w:val="00166AF8"/>
    <w:rsid w:val="001949DA"/>
    <w:rsid w:val="001A3FBA"/>
    <w:rsid w:val="001A4C90"/>
    <w:rsid w:val="001A5518"/>
    <w:rsid w:val="001B1C6A"/>
    <w:rsid w:val="001B2C4E"/>
    <w:rsid w:val="001C1263"/>
    <w:rsid w:val="001C1417"/>
    <w:rsid w:val="001E390B"/>
    <w:rsid w:val="001F42FB"/>
    <w:rsid w:val="001F719A"/>
    <w:rsid w:val="002031B3"/>
    <w:rsid w:val="00215931"/>
    <w:rsid w:val="0022222B"/>
    <w:rsid w:val="00224C91"/>
    <w:rsid w:val="00227BDB"/>
    <w:rsid w:val="00234CB1"/>
    <w:rsid w:val="002352F8"/>
    <w:rsid w:val="002510A5"/>
    <w:rsid w:val="00254A0A"/>
    <w:rsid w:val="00261E1A"/>
    <w:rsid w:val="00266046"/>
    <w:rsid w:val="002846DB"/>
    <w:rsid w:val="00284CCD"/>
    <w:rsid w:val="002C6637"/>
    <w:rsid w:val="002E0135"/>
    <w:rsid w:val="002E37A5"/>
    <w:rsid w:val="00306D4F"/>
    <w:rsid w:val="00310F03"/>
    <w:rsid w:val="00320C4D"/>
    <w:rsid w:val="003247D2"/>
    <w:rsid w:val="003445C1"/>
    <w:rsid w:val="00355B61"/>
    <w:rsid w:val="00362686"/>
    <w:rsid w:val="00371510"/>
    <w:rsid w:val="0037288D"/>
    <w:rsid w:val="0038443C"/>
    <w:rsid w:val="00396DFD"/>
    <w:rsid w:val="003A7059"/>
    <w:rsid w:val="003B207E"/>
    <w:rsid w:val="003B7A36"/>
    <w:rsid w:val="003C17AB"/>
    <w:rsid w:val="003C7823"/>
    <w:rsid w:val="003E1DCC"/>
    <w:rsid w:val="003F11A1"/>
    <w:rsid w:val="003F6A59"/>
    <w:rsid w:val="00400334"/>
    <w:rsid w:val="004065C8"/>
    <w:rsid w:val="00406863"/>
    <w:rsid w:val="004109FA"/>
    <w:rsid w:val="00411B4B"/>
    <w:rsid w:val="00415BEE"/>
    <w:rsid w:val="00427F85"/>
    <w:rsid w:val="00433B82"/>
    <w:rsid w:val="0043477D"/>
    <w:rsid w:val="00436F42"/>
    <w:rsid w:val="004378B4"/>
    <w:rsid w:val="00451314"/>
    <w:rsid w:val="00452E9D"/>
    <w:rsid w:val="004534C7"/>
    <w:rsid w:val="004536E8"/>
    <w:rsid w:val="0046645A"/>
    <w:rsid w:val="004671AA"/>
    <w:rsid w:val="00480FB1"/>
    <w:rsid w:val="00483928"/>
    <w:rsid w:val="00485ABF"/>
    <w:rsid w:val="00492F2E"/>
    <w:rsid w:val="004B3FCC"/>
    <w:rsid w:val="004C331F"/>
    <w:rsid w:val="004C53DC"/>
    <w:rsid w:val="004D0A2C"/>
    <w:rsid w:val="004D6103"/>
    <w:rsid w:val="004E3BCE"/>
    <w:rsid w:val="004E4FEE"/>
    <w:rsid w:val="004E70AD"/>
    <w:rsid w:val="004F0E97"/>
    <w:rsid w:val="004F25FF"/>
    <w:rsid w:val="00501DD1"/>
    <w:rsid w:val="00515C21"/>
    <w:rsid w:val="00527D76"/>
    <w:rsid w:val="00530BD7"/>
    <w:rsid w:val="00545CD2"/>
    <w:rsid w:val="005476F3"/>
    <w:rsid w:val="00572527"/>
    <w:rsid w:val="005725DC"/>
    <w:rsid w:val="00573E40"/>
    <w:rsid w:val="00575844"/>
    <w:rsid w:val="00576348"/>
    <w:rsid w:val="005A0B2E"/>
    <w:rsid w:val="005A23D2"/>
    <w:rsid w:val="005A31E5"/>
    <w:rsid w:val="005A36CB"/>
    <w:rsid w:val="005A6D2F"/>
    <w:rsid w:val="005B49B8"/>
    <w:rsid w:val="005C0741"/>
    <w:rsid w:val="005C5EF4"/>
    <w:rsid w:val="005D5439"/>
    <w:rsid w:val="005E2E0B"/>
    <w:rsid w:val="005E7A7D"/>
    <w:rsid w:val="006017D2"/>
    <w:rsid w:val="00602457"/>
    <w:rsid w:val="00606AA4"/>
    <w:rsid w:val="00620520"/>
    <w:rsid w:val="00644FC3"/>
    <w:rsid w:val="00646BD1"/>
    <w:rsid w:val="006561C2"/>
    <w:rsid w:val="00671CB3"/>
    <w:rsid w:val="00674BAF"/>
    <w:rsid w:val="00682200"/>
    <w:rsid w:val="00692BF6"/>
    <w:rsid w:val="00694A42"/>
    <w:rsid w:val="006A0B48"/>
    <w:rsid w:val="006A1497"/>
    <w:rsid w:val="006B0BD1"/>
    <w:rsid w:val="006B0F21"/>
    <w:rsid w:val="006B46AD"/>
    <w:rsid w:val="006B5404"/>
    <w:rsid w:val="006D20A5"/>
    <w:rsid w:val="006D37BF"/>
    <w:rsid w:val="006F3993"/>
    <w:rsid w:val="00702E22"/>
    <w:rsid w:val="0071770C"/>
    <w:rsid w:val="0072020E"/>
    <w:rsid w:val="00736C90"/>
    <w:rsid w:val="0074610D"/>
    <w:rsid w:val="007501FA"/>
    <w:rsid w:val="0075351E"/>
    <w:rsid w:val="007757DC"/>
    <w:rsid w:val="00786071"/>
    <w:rsid w:val="007A3ECB"/>
    <w:rsid w:val="007A62C0"/>
    <w:rsid w:val="007B3157"/>
    <w:rsid w:val="007D7BB3"/>
    <w:rsid w:val="00822EE5"/>
    <w:rsid w:val="00824AB9"/>
    <w:rsid w:val="00827A93"/>
    <w:rsid w:val="00836B35"/>
    <w:rsid w:val="00843BDE"/>
    <w:rsid w:val="00873AA6"/>
    <w:rsid w:val="00873E8A"/>
    <w:rsid w:val="0087588C"/>
    <w:rsid w:val="00880E9A"/>
    <w:rsid w:val="00892E2E"/>
    <w:rsid w:val="008946F3"/>
    <w:rsid w:val="0089705C"/>
    <w:rsid w:val="008A6D43"/>
    <w:rsid w:val="008A7413"/>
    <w:rsid w:val="008B491E"/>
    <w:rsid w:val="008B6023"/>
    <w:rsid w:val="008C1A28"/>
    <w:rsid w:val="008C2E98"/>
    <w:rsid w:val="008D0175"/>
    <w:rsid w:val="008E1D79"/>
    <w:rsid w:val="008E49BD"/>
    <w:rsid w:val="008E53E9"/>
    <w:rsid w:val="008E5771"/>
    <w:rsid w:val="008E586D"/>
    <w:rsid w:val="008F4ACF"/>
    <w:rsid w:val="00922060"/>
    <w:rsid w:val="00924166"/>
    <w:rsid w:val="00926D14"/>
    <w:rsid w:val="00933F9C"/>
    <w:rsid w:val="00940B9B"/>
    <w:rsid w:val="009521F9"/>
    <w:rsid w:val="00955D90"/>
    <w:rsid w:val="0095676E"/>
    <w:rsid w:val="00956983"/>
    <w:rsid w:val="00963CF0"/>
    <w:rsid w:val="00964372"/>
    <w:rsid w:val="00964BB1"/>
    <w:rsid w:val="00971342"/>
    <w:rsid w:val="00974852"/>
    <w:rsid w:val="009775D9"/>
    <w:rsid w:val="0099133B"/>
    <w:rsid w:val="009939A6"/>
    <w:rsid w:val="00994144"/>
    <w:rsid w:val="009946B8"/>
    <w:rsid w:val="00997175"/>
    <w:rsid w:val="009A1847"/>
    <w:rsid w:val="009B062A"/>
    <w:rsid w:val="009E7C6F"/>
    <w:rsid w:val="009F1793"/>
    <w:rsid w:val="009F2D23"/>
    <w:rsid w:val="00A01D69"/>
    <w:rsid w:val="00A02335"/>
    <w:rsid w:val="00A03713"/>
    <w:rsid w:val="00A06FB4"/>
    <w:rsid w:val="00A077C7"/>
    <w:rsid w:val="00A25ABF"/>
    <w:rsid w:val="00A32DB2"/>
    <w:rsid w:val="00A33525"/>
    <w:rsid w:val="00A4449F"/>
    <w:rsid w:val="00A46C9A"/>
    <w:rsid w:val="00A51106"/>
    <w:rsid w:val="00A619F3"/>
    <w:rsid w:val="00A61B8E"/>
    <w:rsid w:val="00A62A73"/>
    <w:rsid w:val="00A74024"/>
    <w:rsid w:val="00A76933"/>
    <w:rsid w:val="00A87FF6"/>
    <w:rsid w:val="00AA0A3B"/>
    <w:rsid w:val="00AA2763"/>
    <w:rsid w:val="00AA33B6"/>
    <w:rsid w:val="00AB50CA"/>
    <w:rsid w:val="00AB6D64"/>
    <w:rsid w:val="00AC53CE"/>
    <w:rsid w:val="00AC55F0"/>
    <w:rsid w:val="00AD2193"/>
    <w:rsid w:val="00AD242A"/>
    <w:rsid w:val="00AE00B7"/>
    <w:rsid w:val="00AE1135"/>
    <w:rsid w:val="00AF0E34"/>
    <w:rsid w:val="00AF2AC7"/>
    <w:rsid w:val="00AF74CE"/>
    <w:rsid w:val="00B00F99"/>
    <w:rsid w:val="00B20862"/>
    <w:rsid w:val="00B208DB"/>
    <w:rsid w:val="00B23F69"/>
    <w:rsid w:val="00B24A2D"/>
    <w:rsid w:val="00B52CE1"/>
    <w:rsid w:val="00B60619"/>
    <w:rsid w:val="00B66A70"/>
    <w:rsid w:val="00B67366"/>
    <w:rsid w:val="00B80EE1"/>
    <w:rsid w:val="00B84135"/>
    <w:rsid w:val="00BA2E7D"/>
    <w:rsid w:val="00BB6B8D"/>
    <w:rsid w:val="00BF6FBC"/>
    <w:rsid w:val="00C04D34"/>
    <w:rsid w:val="00C05CEF"/>
    <w:rsid w:val="00C05DF8"/>
    <w:rsid w:val="00C06864"/>
    <w:rsid w:val="00C10F54"/>
    <w:rsid w:val="00C23D8D"/>
    <w:rsid w:val="00C35299"/>
    <w:rsid w:val="00C36A9E"/>
    <w:rsid w:val="00C37AA3"/>
    <w:rsid w:val="00C37FD7"/>
    <w:rsid w:val="00C43419"/>
    <w:rsid w:val="00C44CF3"/>
    <w:rsid w:val="00C47805"/>
    <w:rsid w:val="00C61BE0"/>
    <w:rsid w:val="00C61CB1"/>
    <w:rsid w:val="00C6707E"/>
    <w:rsid w:val="00C70B0E"/>
    <w:rsid w:val="00C729E0"/>
    <w:rsid w:val="00C773CA"/>
    <w:rsid w:val="00C83785"/>
    <w:rsid w:val="00C856F7"/>
    <w:rsid w:val="00C94C0D"/>
    <w:rsid w:val="00CA1AFB"/>
    <w:rsid w:val="00CA1FEB"/>
    <w:rsid w:val="00CA2F70"/>
    <w:rsid w:val="00CD4F85"/>
    <w:rsid w:val="00CD67F1"/>
    <w:rsid w:val="00CD6F02"/>
    <w:rsid w:val="00CE246D"/>
    <w:rsid w:val="00CE4B9C"/>
    <w:rsid w:val="00CE56C4"/>
    <w:rsid w:val="00CF07A0"/>
    <w:rsid w:val="00CF3E03"/>
    <w:rsid w:val="00D0082A"/>
    <w:rsid w:val="00D019E6"/>
    <w:rsid w:val="00D04381"/>
    <w:rsid w:val="00D10246"/>
    <w:rsid w:val="00D17292"/>
    <w:rsid w:val="00D21455"/>
    <w:rsid w:val="00D353D5"/>
    <w:rsid w:val="00D47634"/>
    <w:rsid w:val="00D47FE8"/>
    <w:rsid w:val="00D53821"/>
    <w:rsid w:val="00D709B3"/>
    <w:rsid w:val="00D879B2"/>
    <w:rsid w:val="00D908EE"/>
    <w:rsid w:val="00DA2ED6"/>
    <w:rsid w:val="00DB76B8"/>
    <w:rsid w:val="00DC2EA1"/>
    <w:rsid w:val="00DD6AAF"/>
    <w:rsid w:val="00DE071F"/>
    <w:rsid w:val="00DE3F5C"/>
    <w:rsid w:val="00DF1D20"/>
    <w:rsid w:val="00E026C6"/>
    <w:rsid w:val="00E077A4"/>
    <w:rsid w:val="00E126E5"/>
    <w:rsid w:val="00E21324"/>
    <w:rsid w:val="00E246B9"/>
    <w:rsid w:val="00E31FEA"/>
    <w:rsid w:val="00E325FC"/>
    <w:rsid w:val="00E45169"/>
    <w:rsid w:val="00E47787"/>
    <w:rsid w:val="00E51C30"/>
    <w:rsid w:val="00E52D4C"/>
    <w:rsid w:val="00E64180"/>
    <w:rsid w:val="00E74AEE"/>
    <w:rsid w:val="00E76851"/>
    <w:rsid w:val="00E868E5"/>
    <w:rsid w:val="00E9237A"/>
    <w:rsid w:val="00E939FA"/>
    <w:rsid w:val="00EA5765"/>
    <w:rsid w:val="00EC2532"/>
    <w:rsid w:val="00ED7812"/>
    <w:rsid w:val="00EF3B86"/>
    <w:rsid w:val="00F0340F"/>
    <w:rsid w:val="00F10DB9"/>
    <w:rsid w:val="00F2263E"/>
    <w:rsid w:val="00F317E9"/>
    <w:rsid w:val="00F34554"/>
    <w:rsid w:val="00F3602A"/>
    <w:rsid w:val="00F3610A"/>
    <w:rsid w:val="00F45F77"/>
    <w:rsid w:val="00F5167F"/>
    <w:rsid w:val="00F52258"/>
    <w:rsid w:val="00F805D1"/>
    <w:rsid w:val="00F8570A"/>
    <w:rsid w:val="00F91C7B"/>
    <w:rsid w:val="00F94694"/>
    <w:rsid w:val="00FC1FD7"/>
    <w:rsid w:val="00FE4CA3"/>
    <w:rsid w:val="00FF3233"/>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9862A0"/>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paragraph" w:styleId="ListParagraph">
    <w:name w:val="List Paragraph"/>
    <w:basedOn w:val="Normal"/>
    <w:uiPriority w:val="34"/>
    <w:qFormat/>
    <w:rsid w:val="00D04381"/>
    <w:pPr>
      <w:ind w:left="720"/>
      <w:contextualSpacing/>
    </w:pPr>
  </w:style>
  <w:style w:type="paragraph" w:customStyle="1" w:styleId="Default">
    <w:name w:val="Default"/>
    <w:rsid w:val="001949DA"/>
    <w:pPr>
      <w:autoSpaceDE w:val="0"/>
      <w:autoSpaceDN w:val="0"/>
      <w:adjustRightInd w:val="0"/>
    </w:pPr>
    <w:rPr>
      <w:color w:val="000000"/>
      <w:sz w:val="24"/>
      <w:szCs w:val="24"/>
      <w:lang w:val="en-US"/>
    </w:rPr>
  </w:style>
  <w:style w:type="table" w:styleId="TableGrid">
    <w:name w:val="Table Grid"/>
    <w:basedOn w:val="TableNormal"/>
    <w:uiPriority w:val="59"/>
    <w:rsid w:val="0038443C"/>
    <w:rPr>
      <w:rFonts w:ascii="Liberation Sans" w:eastAsia="Liberation Sans" w:hAnsi="Liberation Sans" w:cs="Liberation Sans"/>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51106"/>
    <w:pPr>
      <w:widowControl w:val="0"/>
      <w:autoSpaceDE w:val="0"/>
      <w:autoSpaceDN w:val="0"/>
      <w:ind w:left="11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D126D1-200F-47D5-9E57-42F296F1C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25</Pages>
  <Words>9789</Words>
  <Characters>55802</Characters>
  <Application>Microsoft Office Word</Application>
  <DocSecurity>0</DocSecurity>
  <Lines>465</Lines>
  <Paragraphs>130</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65461</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Tatjana Banković</cp:lastModifiedBy>
  <cp:revision>11</cp:revision>
  <dcterms:created xsi:type="dcterms:W3CDTF">2023-06-14T05:49:00Z</dcterms:created>
  <dcterms:modified xsi:type="dcterms:W3CDTF">2023-07-21T07:16:00Z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