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B9379" w14:textId="77777777" w:rsidR="001A5518" w:rsidRPr="00EF6E21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1B937A" w14:textId="77777777" w:rsidR="00F91C7B" w:rsidRPr="00EF6E21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1B937B" w14:textId="77777777" w:rsidR="002510A5" w:rsidRPr="00EF6E2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F6E2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91B937C" w14:textId="77777777" w:rsidR="002510A5" w:rsidRPr="00EF6E21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1B937D" w14:textId="77777777" w:rsidR="003C17AB" w:rsidRPr="00EF6E21" w:rsidRDefault="003C17AB" w:rsidP="00CA1FEB">
      <w:pPr>
        <w:rPr>
          <w:sz w:val="22"/>
          <w:szCs w:val="22"/>
          <w:lang w:val="sr-Latn-ME"/>
        </w:rPr>
      </w:pPr>
    </w:p>
    <w:p w14:paraId="791B937E" w14:textId="77777777" w:rsidR="00C37FD7" w:rsidRPr="00EF6E21" w:rsidRDefault="005C5EF4" w:rsidP="00947E1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EF6E21">
        <w:rPr>
          <w:noProof/>
          <w:sz w:val="22"/>
          <w:szCs w:val="22"/>
        </w:rPr>
        <w:drawing>
          <wp:inline distT="0" distB="0" distL="0" distR="0" wp14:anchorId="791B9678" wp14:editId="791B9679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EF6E21">
        <w:rPr>
          <w:noProof/>
          <w:sz w:val="22"/>
          <w:szCs w:val="22"/>
          <w:lang w:val="sr-Latn-ME"/>
        </w:rPr>
        <w:t xml:space="preserve"> Ovaj lijek je pod dodatnim praćenjem.</w:t>
      </w:r>
      <w:r w:rsidR="003C17AB" w:rsidRPr="00EF6E21">
        <w:rPr>
          <w:sz w:val="22"/>
          <w:szCs w:val="22"/>
          <w:lang w:val="sr-Latn-ME"/>
        </w:rPr>
        <w:t xml:space="preserve"> </w:t>
      </w:r>
      <w:r w:rsidR="003C17AB" w:rsidRPr="00EF6E21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C17AB" w:rsidRPr="00EF6E21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EF6E21">
        <w:rPr>
          <w:sz w:val="22"/>
          <w:szCs w:val="22"/>
          <w:lang w:val="sr-Latn-ME"/>
        </w:rPr>
        <w:t xml:space="preserve">dio </w:t>
      </w:r>
      <w:r w:rsidR="003C17AB" w:rsidRPr="00EF6E21">
        <w:rPr>
          <w:sz w:val="22"/>
          <w:szCs w:val="22"/>
          <w:lang w:val="sr-Latn-ME"/>
        </w:rPr>
        <w:t>4.8</w:t>
      </w:r>
      <w:r w:rsidR="003C17AB" w:rsidRPr="00EF6E21">
        <w:rPr>
          <w:noProof/>
          <w:sz w:val="22"/>
          <w:szCs w:val="22"/>
          <w:lang w:val="sr-Latn-ME"/>
        </w:rPr>
        <w:t>.</w:t>
      </w:r>
      <w:r w:rsidR="00107BF7" w:rsidRPr="00EF6E21">
        <w:rPr>
          <w:noProof/>
          <w:sz w:val="22"/>
          <w:szCs w:val="22"/>
          <w:lang w:val="sr-Latn-ME"/>
        </w:rPr>
        <w:t xml:space="preserve"> </w:t>
      </w:r>
    </w:p>
    <w:p w14:paraId="791B937F" w14:textId="77777777" w:rsidR="003C17AB" w:rsidRPr="00EF6E21" w:rsidRDefault="003C17AB" w:rsidP="0017386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791B9380" w14:textId="77777777" w:rsidR="00C37FD7" w:rsidRPr="00EF6E21" w:rsidRDefault="00C37FD7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381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>1.</w:t>
      </w:r>
      <w:r w:rsidR="00F5167F" w:rsidRPr="00EF6E21">
        <w:rPr>
          <w:b/>
          <w:bCs/>
          <w:sz w:val="22"/>
          <w:szCs w:val="22"/>
          <w:lang w:val="sr-Latn-ME"/>
        </w:rPr>
        <w:tab/>
      </w:r>
      <w:r w:rsidR="002846DB" w:rsidRPr="00EF6E21">
        <w:rPr>
          <w:b/>
          <w:bCs/>
          <w:sz w:val="22"/>
          <w:szCs w:val="22"/>
          <w:lang w:val="sr-Latn-ME"/>
        </w:rPr>
        <w:t xml:space="preserve">NAZIV </w:t>
      </w:r>
      <w:r w:rsidRPr="00EF6E21">
        <w:rPr>
          <w:b/>
          <w:bCs/>
          <w:sz w:val="22"/>
          <w:szCs w:val="22"/>
          <w:lang w:val="sr-Latn-ME"/>
        </w:rPr>
        <w:t>LIJEKA</w:t>
      </w:r>
    </w:p>
    <w:p w14:paraId="791B9382" w14:textId="77777777" w:rsidR="00EC2532" w:rsidRPr="00EF6E21" w:rsidRDefault="00EC2532" w:rsidP="0017386F">
      <w:pPr>
        <w:jc w:val="both"/>
        <w:rPr>
          <w:sz w:val="22"/>
          <w:szCs w:val="22"/>
          <w:lang w:val="sr-Latn-ME"/>
        </w:rPr>
      </w:pPr>
    </w:p>
    <w:p w14:paraId="791B9383" w14:textId="30A00C3B" w:rsidR="00390639" w:rsidRPr="00EF6E21" w:rsidRDefault="00390639" w:rsidP="0017386F">
      <w:pPr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Tabrecta, 150 mg, film tablet</w:t>
      </w:r>
      <w:r w:rsidR="00EF6E21">
        <w:rPr>
          <w:bCs/>
          <w:sz w:val="22"/>
          <w:szCs w:val="22"/>
          <w:lang w:val="sr-Latn-ME"/>
        </w:rPr>
        <w:t>a</w:t>
      </w:r>
    </w:p>
    <w:p w14:paraId="791B9384" w14:textId="0701F5D3" w:rsidR="00390639" w:rsidRPr="00EF6E21" w:rsidRDefault="00390639" w:rsidP="0017386F">
      <w:pPr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Tabrecta, 200 mg, film tablet</w:t>
      </w:r>
      <w:r w:rsidR="00EF6E21">
        <w:rPr>
          <w:bCs/>
          <w:sz w:val="22"/>
          <w:szCs w:val="22"/>
          <w:lang w:val="sr-Latn-ME"/>
        </w:rPr>
        <w:t>a</w:t>
      </w:r>
    </w:p>
    <w:p w14:paraId="791B9385" w14:textId="77777777" w:rsidR="000D425A" w:rsidRPr="00EF6E21" w:rsidRDefault="000D425A" w:rsidP="0017386F">
      <w:pPr>
        <w:jc w:val="both"/>
        <w:rPr>
          <w:bCs/>
          <w:sz w:val="22"/>
          <w:szCs w:val="22"/>
          <w:lang w:val="sr-Latn-ME"/>
        </w:rPr>
      </w:pPr>
    </w:p>
    <w:p w14:paraId="791B9386" w14:textId="77777777" w:rsidR="00390639" w:rsidRPr="00EF6E21" w:rsidRDefault="006D20A5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INN:</w:t>
      </w:r>
      <w:r w:rsidR="00390639" w:rsidRPr="00EF6E21">
        <w:rPr>
          <w:sz w:val="22"/>
          <w:szCs w:val="22"/>
          <w:lang w:val="sr-Latn-ME"/>
        </w:rPr>
        <w:t xml:space="preserve"> kapmatinib</w:t>
      </w:r>
    </w:p>
    <w:p w14:paraId="791B9387" w14:textId="77777777" w:rsidR="006D20A5" w:rsidRPr="00EF6E21" w:rsidRDefault="006D20A5" w:rsidP="0017386F">
      <w:pPr>
        <w:jc w:val="both"/>
        <w:rPr>
          <w:bCs/>
          <w:sz w:val="22"/>
          <w:szCs w:val="22"/>
          <w:lang w:val="sr-Latn-ME"/>
        </w:rPr>
      </w:pPr>
    </w:p>
    <w:p w14:paraId="791B9388" w14:textId="77777777" w:rsidR="00530BD7" w:rsidRPr="00EF6E21" w:rsidRDefault="00530BD7" w:rsidP="0017386F">
      <w:pPr>
        <w:jc w:val="both"/>
        <w:rPr>
          <w:bCs/>
          <w:sz w:val="22"/>
          <w:szCs w:val="22"/>
          <w:lang w:val="sr-Latn-ME"/>
        </w:rPr>
      </w:pPr>
    </w:p>
    <w:p w14:paraId="791B9389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2. </w:t>
      </w:r>
      <w:r w:rsidR="00F5167F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KVALITATIVNI I KVANTITATIVNI SASTAV</w:t>
      </w:r>
    </w:p>
    <w:p w14:paraId="791B938A" w14:textId="77777777" w:rsidR="00390639" w:rsidRPr="00EF6E21" w:rsidRDefault="00390639" w:rsidP="0017386F">
      <w:pPr>
        <w:jc w:val="both"/>
        <w:rPr>
          <w:i/>
          <w:sz w:val="22"/>
          <w:szCs w:val="22"/>
          <w:lang w:val="sr-Latn-ME"/>
        </w:rPr>
      </w:pPr>
    </w:p>
    <w:p w14:paraId="791B938B" w14:textId="77777777" w:rsidR="00390639" w:rsidRPr="00EF6E21" w:rsidRDefault="00390639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Tabrecta 150 mg film tablete</w:t>
      </w:r>
    </w:p>
    <w:p w14:paraId="791B938C" w14:textId="77777777" w:rsidR="00390639" w:rsidRPr="00EF6E21" w:rsidRDefault="00390639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Jedna film tableta sadrži 150 mg kapmatiniba u obliku kapmatinib dihidrohlorid monohidrata.</w:t>
      </w:r>
    </w:p>
    <w:p w14:paraId="791B938D" w14:textId="77777777" w:rsidR="00390639" w:rsidRPr="00EF6E21" w:rsidRDefault="00390639" w:rsidP="0017386F">
      <w:pPr>
        <w:jc w:val="both"/>
        <w:rPr>
          <w:sz w:val="22"/>
          <w:szCs w:val="22"/>
          <w:lang w:val="sr-Latn-ME"/>
        </w:rPr>
      </w:pPr>
    </w:p>
    <w:p w14:paraId="791B938E" w14:textId="77777777" w:rsidR="00390639" w:rsidRPr="00EF6E21" w:rsidRDefault="00390639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Tabrecta 200 mg film tablete</w:t>
      </w:r>
    </w:p>
    <w:p w14:paraId="791B938F" w14:textId="77777777" w:rsidR="00390639" w:rsidRPr="00EF6E21" w:rsidRDefault="00390639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Jedna film tableta sadrži 200 mg kapmatiniba u obliku kapmatinib dihidrohlorid monohidrata.</w:t>
      </w:r>
    </w:p>
    <w:p w14:paraId="791B9390" w14:textId="77777777" w:rsidR="005A0B2E" w:rsidRPr="00EF6E21" w:rsidRDefault="005A0B2E" w:rsidP="0017386F">
      <w:pPr>
        <w:jc w:val="both"/>
        <w:rPr>
          <w:sz w:val="22"/>
          <w:szCs w:val="22"/>
          <w:lang w:val="sr-Latn-ME"/>
        </w:rPr>
      </w:pPr>
    </w:p>
    <w:p w14:paraId="791B9391" w14:textId="77777777" w:rsidR="0003793F" w:rsidRPr="00EF6E21" w:rsidRDefault="0003793F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Za spisak svih ekscipijenasa, pogledati dio 6.1.</w:t>
      </w:r>
    </w:p>
    <w:p w14:paraId="791B9392" w14:textId="77777777" w:rsidR="0003793F" w:rsidRPr="00EF6E21" w:rsidRDefault="0003793F" w:rsidP="0017386F">
      <w:pPr>
        <w:jc w:val="both"/>
        <w:rPr>
          <w:sz w:val="22"/>
          <w:szCs w:val="22"/>
          <w:lang w:val="sr-Latn-ME"/>
        </w:rPr>
      </w:pPr>
    </w:p>
    <w:p w14:paraId="791B9393" w14:textId="77777777" w:rsidR="00C37FD7" w:rsidRPr="00EF6E21" w:rsidRDefault="00C37FD7" w:rsidP="0017386F">
      <w:pPr>
        <w:jc w:val="both"/>
        <w:rPr>
          <w:sz w:val="22"/>
          <w:szCs w:val="22"/>
          <w:lang w:val="sr-Latn-ME"/>
        </w:rPr>
      </w:pPr>
    </w:p>
    <w:p w14:paraId="791B9394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3. </w:t>
      </w:r>
      <w:r w:rsidR="00F5167F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FARMACEUTSKI OBLIK</w:t>
      </w:r>
      <w:r w:rsidR="009F2D23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395" w14:textId="77777777" w:rsidR="00411B4B" w:rsidRPr="00EF6E21" w:rsidRDefault="00411B4B" w:rsidP="0017386F">
      <w:pPr>
        <w:jc w:val="both"/>
        <w:rPr>
          <w:bCs/>
          <w:sz w:val="22"/>
          <w:szCs w:val="22"/>
          <w:lang w:val="sr-Latn-ME"/>
        </w:rPr>
      </w:pPr>
    </w:p>
    <w:p w14:paraId="791B9396" w14:textId="77777777" w:rsidR="00390639" w:rsidRPr="00EF6E21" w:rsidRDefault="00390639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Film tableta (tableta).</w:t>
      </w:r>
    </w:p>
    <w:p w14:paraId="791B9397" w14:textId="77777777" w:rsidR="00390639" w:rsidRPr="00EF6E21" w:rsidRDefault="00390639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98" w14:textId="77777777" w:rsidR="00390639" w:rsidRPr="00EF6E21" w:rsidRDefault="00390639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Tabrecta 150 mg film tablete</w:t>
      </w:r>
    </w:p>
    <w:p w14:paraId="791B9399" w14:textId="0DB552D7" w:rsidR="00390639" w:rsidRPr="00EF6E21" w:rsidRDefault="00390639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Sv</w:t>
      </w:r>
      <w:r w:rsid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etl</w:t>
      </w:r>
      <w:r w:rsidR="00885A2D" w:rsidRPr="00EF6E21">
        <w:rPr>
          <w:sz w:val="22"/>
          <w:szCs w:val="22"/>
          <w:lang w:val="sr-Latn-ME"/>
        </w:rPr>
        <w:t>o</w:t>
      </w:r>
      <w:r w:rsidRPr="00EF6E21">
        <w:rPr>
          <w:sz w:val="22"/>
          <w:szCs w:val="22"/>
          <w:lang w:val="sr-Latn-ME"/>
        </w:rPr>
        <w:t xml:space="preserve"> narandžastosmeđa, duguljasta, zaobljena film tableta zakošenih ivica, bez </w:t>
      </w:r>
      <w:r w:rsidR="00121A30" w:rsidRPr="00EF6E21">
        <w:rPr>
          <w:sz w:val="22"/>
          <w:szCs w:val="22"/>
          <w:lang w:val="sr-Latn-ME"/>
        </w:rPr>
        <w:t xml:space="preserve">podione </w:t>
      </w:r>
      <w:r w:rsidRPr="00EF6E21">
        <w:rPr>
          <w:sz w:val="22"/>
          <w:szCs w:val="22"/>
          <w:lang w:val="sr-Latn-ME"/>
        </w:rPr>
        <w:t>crte, sa utisnutom oznakom „DU“ sa jedne strane i „NVR“ sa druge strane. Približna veličina: 18,3 mm (dužina); 7,3 mm (širina).</w:t>
      </w:r>
    </w:p>
    <w:p w14:paraId="791B939A" w14:textId="77777777" w:rsidR="00390639" w:rsidRPr="00EF6E21" w:rsidRDefault="00390639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9B" w14:textId="77777777" w:rsidR="00390639" w:rsidRPr="00EF6E21" w:rsidRDefault="00390639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Tabrecta 200 mg film tablete</w:t>
      </w:r>
    </w:p>
    <w:p w14:paraId="791B939C" w14:textId="77777777" w:rsidR="00390639" w:rsidRPr="00EF6E21" w:rsidRDefault="00390639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Žuta, duguljasta, zaobljena film tableta zakošenih ivica, bez </w:t>
      </w:r>
      <w:r w:rsidR="00121A30" w:rsidRPr="00EF6E21">
        <w:rPr>
          <w:sz w:val="22"/>
          <w:szCs w:val="22"/>
          <w:lang w:val="sr-Latn-ME"/>
        </w:rPr>
        <w:t xml:space="preserve">podione </w:t>
      </w:r>
      <w:r w:rsidRPr="00EF6E21">
        <w:rPr>
          <w:sz w:val="22"/>
          <w:szCs w:val="22"/>
          <w:lang w:val="sr-Latn-ME"/>
        </w:rPr>
        <w:t>crte, sa utisnutom oznakom „LO“ sa jedne strane i „NVR“ sa druge strane. Približna veličina: 20,3 mm (dužina); 8,1 mm (širina).</w:t>
      </w:r>
    </w:p>
    <w:p w14:paraId="791B939D" w14:textId="77777777" w:rsidR="00390639" w:rsidRPr="00EF6E21" w:rsidRDefault="00390639" w:rsidP="0017386F">
      <w:pPr>
        <w:jc w:val="both"/>
        <w:rPr>
          <w:sz w:val="22"/>
          <w:szCs w:val="22"/>
          <w:lang w:val="sr-Latn-ME"/>
        </w:rPr>
      </w:pPr>
    </w:p>
    <w:p w14:paraId="791B939E" w14:textId="77777777" w:rsidR="00EC2532" w:rsidRPr="00EF6E21" w:rsidRDefault="00EC2532" w:rsidP="0017386F">
      <w:pPr>
        <w:jc w:val="both"/>
        <w:rPr>
          <w:bCs/>
          <w:sz w:val="22"/>
          <w:szCs w:val="22"/>
          <w:lang w:val="sr-Latn-ME"/>
        </w:rPr>
      </w:pPr>
    </w:p>
    <w:p w14:paraId="791B939F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KLINIČKI PODACI</w:t>
      </w:r>
    </w:p>
    <w:p w14:paraId="791B93A0" w14:textId="77777777" w:rsidR="00CD6F02" w:rsidRPr="00EF6E21" w:rsidRDefault="00CD6F02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3A1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4.1.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Terapijske indikacije</w:t>
      </w:r>
    </w:p>
    <w:p w14:paraId="791B93A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A3" w14:textId="14F2B62B" w:rsidR="00F95A54" w:rsidRPr="00EF6E21" w:rsidRDefault="00F95A54" w:rsidP="00A11D7B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</w:t>
      </w:r>
      <w:r w:rsidR="006A28CC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ek Tabrecta je indikovan kao monoterapija za liječenje odraslih pacijenata sa uznapredovalim nemikrocelularnim karcinom pluća (engl. </w:t>
      </w:r>
      <w:r w:rsidRPr="00EF6E21">
        <w:rPr>
          <w:i/>
          <w:sz w:val="22"/>
          <w:szCs w:val="22"/>
          <w:lang w:val="sr-Latn-ME"/>
        </w:rPr>
        <w:t>non-small cell lung cancer</w:t>
      </w:r>
      <w:r w:rsidRPr="00EF6E21">
        <w:rPr>
          <w:sz w:val="22"/>
          <w:szCs w:val="22"/>
          <w:lang w:val="sr-Latn-ME"/>
        </w:rPr>
        <w:t xml:space="preserve">, NSCLC) koji sadrži promjene koje dovode do preskoka egzona 14  u genu mezenhimsko-epitelnog </w:t>
      </w:r>
      <w:r w:rsidR="00885A2D" w:rsidRPr="00EF6E21">
        <w:rPr>
          <w:sz w:val="22"/>
          <w:szCs w:val="22"/>
          <w:lang w:val="sr-Latn-ME"/>
        </w:rPr>
        <w:t>tranzicionog</w:t>
      </w:r>
      <w:r w:rsidRPr="00EF6E21">
        <w:rPr>
          <w:sz w:val="22"/>
          <w:szCs w:val="22"/>
          <w:lang w:val="sr-Latn-ME"/>
        </w:rPr>
        <w:t xml:space="preserve"> faktora </w:t>
      </w:r>
      <w:r w:rsidR="00A11D7B" w:rsidRPr="00EF6E21">
        <w:rPr>
          <w:sz w:val="22"/>
          <w:szCs w:val="22"/>
          <w:lang w:val="sr-Latn-ME"/>
        </w:rPr>
        <w:t xml:space="preserve">(engl. </w:t>
      </w:r>
      <w:r w:rsidR="00A11D7B" w:rsidRPr="00EF6E21">
        <w:rPr>
          <w:i/>
          <w:sz w:val="22"/>
          <w:szCs w:val="22"/>
          <w:lang w:val="sr-Latn-ME"/>
        </w:rPr>
        <w:t>mesenchymal-epithelial transition factor gene exon 14</w:t>
      </w:r>
      <w:r w:rsidR="00A11D7B" w:rsidRPr="00EF6E21">
        <w:rPr>
          <w:sz w:val="22"/>
          <w:szCs w:val="22"/>
          <w:lang w:val="sr-Latn-ME"/>
        </w:rPr>
        <w:t xml:space="preserve">, METex14) </w:t>
      </w:r>
      <w:r w:rsidRPr="00EF6E21">
        <w:rPr>
          <w:sz w:val="22"/>
          <w:szCs w:val="22"/>
          <w:lang w:val="sr-Latn-ME"/>
        </w:rPr>
        <w:t>koji</w:t>
      </w:r>
      <w:r w:rsidR="00A11D7B" w:rsidRPr="00EF6E21">
        <w:rPr>
          <w:sz w:val="22"/>
          <w:szCs w:val="22"/>
          <w:lang w:val="sr-Latn-ME"/>
        </w:rPr>
        <w:t>ma je</w:t>
      </w:r>
      <w:r w:rsidR="00F74D94">
        <w:rPr>
          <w:sz w:val="22"/>
          <w:szCs w:val="22"/>
          <w:lang w:val="sr-Latn-ME"/>
        </w:rPr>
        <w:t xml:space="preserve"> </w:t>
      </w:r>
      <w:r w:rsidR="00A11D7B" w:rsidRPr="00EF6E21">
        <w:rPr>
          <w:sz w:val="22"/>
          <w:szCs w:val="22"/>
          <w:lang w:val="sr-Latn-ME"/>
        </w:rPr>
        <w:t>potrebna</w:t>
      </w:r>
      <w:r w:rsidRPr="00EF6E21">
        <w:rPr>
          <w:sz w:val="22"/>
          <w:szCs w:val="22"/>
          <w:lang w:val="sr-Latn-ME"/>
        </w:rPr>
        <w:t xml:space="preserve"> sistemsk</w:t>
      </w:r>
      <w:r w:rsidR="00A11D7B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 terapij</w:t>
      </w:r>
      <w:r w:rsidR="00A11D7B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 nakon prethodnog liječenja imunoterapijom i/ili hemoterapijom na bazi platine.</w:t>
      </w:r>
    </w:p>
    <w:p w14:paraId="791B93A4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3A5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4.2.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Doziranje i način primjene</w:t>
      </w:r>
    </w:p>
    <w:p w14:paraId="791B93A6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3A7" w14:textId="21DE88BD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ečenje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ekom Tabrecta mora da započne l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ekar sa iskustvom u prim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eni terapije </w:t>
      </w:r>
      <w:r w:rsidR="00A11D7B" w:rsidRPr="00EF6E21">
        <w:rPr>
          <w:sz w:val="22"/>
          <w:szCs w:val="22"/>
          <w:lang w:val="sr-Latn-ME"/>
        </w:rPr>
        <w:t xml:space="preserve">za liječenje </w:t>
      </w:r>
      <w:r w:rsidR="00EC7B5F" w:rsidRPr="00EF6E21">
        <w:rPr>
          <w:sz w:val="22"/>
          <w:szCs w:val="22"/>
          <w:lang w:val="sr-Latn-ME"/>
        </w:rPr>
        <w:t>maligniteta</w:t>
      </w:r>
      <w:r w:rsidRPr="00EF6E21">
        <w:rPr>
          <w:sz w:val="22"/>
          <w:szCs w:val="22"/>
          <w:lang w:val="sr-Latn-ME"/>
        </w:rPr>
        <w:t>.</w:t>
      </w:r>
    </w:p>
    <w:p w14:paraId="791B93A9" w14:textId="4D8FA09E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lastRenderedPageBreak/>
        <w:t xml:space="preserve">Pacijenti moraju </w:t>
      </w:r>
      <w:r w:rsidR="00A11D7B" w:rsidRPr="00EF6E21">
        <w:rPr>
          <w:sz w:val="22"/>
          <w:szCs w:val="22"/>
          <w:lang w:val="sr-Latn-ME"/>
        </w:rPr>
        <w:t>da budu</w:t>
      </w:r>
      <w:r w:rsidRPr="00EF6E21">
        <w:rPr>
          <w:sz w:val="22"/>
          <w:szCs w:val="22"/>
          <w:lang w:val="sr-Latn-ME"/>
        </w:rPr>
        <w:t xml:space="preserve"> odabrani za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ečenje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ekom Tabrecta na osnovu prisustva genetskih prom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ena koje dovode do mutacije preskoka METex14 u uzorcima tumorskog tkiva ili plazme korišćenjem validiranog testa. Ako se genetska prom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ena ne otkrije u uzorku plazme, potrebno je testirati tumorsko tkivo (vid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eti </w:t>
      </w:r>
      <w:r w:rsidR="004220FE" w:rsidRPr="00EF6E21">
        <w:rPr>
          <w:sz w:val="22"/>
          <w:szCs w:val="22"/>
          <w:lang w:val="sr-Latn-ME"/>
        </w:rPr>
        <w:t>djelove</w:t>
      </w:r>
      <w:r w:rsidRPr="00EF6E21">
        <w:rPr>
          <w:sz w:val="22"/>
          <w:szCs w:val="22"/>
          <w:lang w:val="sr-Latn-ME"/>
        </w:rPr>
        <w:t xml:space="preserve"> 4.4 i 5.1).</w:t>
      </w:r>
    </w:p>
    <w:p w14:paraId="791B93A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AB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Doziranje</w:t>
      </w:r>
    </w:p>
    <w:p w14:paraId="791B93AC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AD" w14:textId="337D32FF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Preporučena doza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eka Tabrecta je 400 mg </w:t>
      </w:r>
      <w:r w:rsidR="00A11D7B" w:rsidRPr="00EF6E21">
        <w:rPr>
          <w:sz w:val="22"/>
          <w:szCs w:val="22"/>
          <w:lang w:val="sr-Latn-ME"/>
        </w:rPr>
        <w:t>primijenjeno</w:t>
      </w:r>
      <w:r w:rsidRPr="00EF6E21">
        <w:rPr>
          <w:sz w:val="22"/>
          <w:szCs w:val="22"/>
          <w:lang w:val="sr-Latn-ME"/>
        </w:rPr>
        <w:t xml:space="preserve"> oralno dva puta na dan sa </w:t>
      </w:r>
      <w:r w:rsidR="00A11D7B" w:rsidRPr="00EF6E21">
        <w:rPr>
          <w:sz w:val="22"/>
          <w:szCs w:val="22"/>
          <w:lang w:val="sr-Latn-ME"/>
        </w:rPr>
        <w:t xml:space="preserve">hranom </w:t>
      </w:r>
      <w:r w:rsidRPr="00EF6E21">
        <w:rPr>
          <w:sz w:val="22"/>
          <w:szCs w:val="22"/>
          <w:lang w:val="sr-Latn-ME"/>
        </w:rPr>
        <w:t>ili bez hrane.</w:t>
      </w:r>
    </w:p>
    <w:p w14:paraId="791B93AE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AF" w14:textId="651A2711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ečenje je potrebno nastaviti na osnovu individualne bezb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ednosti i podnošljivosti i dokle god </w:t>
      </w:r>
      <w:r w:rsidR="00A11D7B" w:rsidRPr="00EF6E21">
        <w:rPr>
          <w:sz w:val="22"/>
          <w:szCs w:val="22"/>
          <w:lang w:val="sr-Latn-ME"/>
        </w:rPr>
        <w:t>pacijent ima</w:t>
      </w:r>
      <w:r w:rsidRPr="00EF6E21">
        <w:rPr>
          <w:sz w:val="22"/>
          <w:szCs w:val="22"/>
          <w:lang w:val="sr-Latn-ME"/>
        </w:rPr>
        <w:t xml:space="preserve"> kliničku korist</w:t>
      </w:r>
      <w:r w:rsidR="00A11D7B" w:rsidRPr="00EF6E21">
        <w:rPr>
          <w:sz w:val="22"/>
          <w:szCs w:val="22"/>
          <w:lang w:val="sr-Latn-ME"/>
        </w:rPr>
        <w:t xml:space="preserve"> od liječenja</w:t>
      </w:r>
      <w:r w:rsidRPr="00EF6E21">
        <w:rPr>
          <w:sz w:val="22"/>
          <w:szCs w:val="22"/>
          <w:lang w:val="sr-Latn-ME"/>
        </w:rPr>
        <w:t>.</w:t>
      </w:r>
    </w:p>
    <w:p w14:paraId="791B93B0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B1" w14:textId="3759AD7D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Ako se propusti doza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eka Tabrecta ili je došlo do povraćanja</w:t>
      </w:r>
      <w:r w:rsidR="00A11D7B" w:rsidRPr="00EF6E21">
        <w:rPr>
          <w:sz w:val="22"/>
          <w:szCs w:val="22"/>
          <w:lang w:val="sr-Latn-ME"/>
        </w:rPr>
        <w:t xml:space="preserve"> nakon uzimanja doze</w:t>
      </w:r>
      <w:r w:rsidRPr="00EF6E21">
        <w:rPr>
          <w:sz w:val="22"/>
          <w:szCs w:val="22"/>
          <w:lang w:val="sr-Latn-ME"/>
        </w:rPr>
        <w:t xml:space="preserve">, pacijent ne </w:t>
      </w:r>
      <w:r w:rsidR="00A11D7B" w:rsidRPr="00EF6E21">
        <w:rPr>
          <w:sz w:val="22"/>
          <w:szCs w:val="22"/>
          <w:lang w:val="sr-Latn-ME"/>
        </w:rPr>
        <w:t>smije</w:t>
      </w:r>
      <w:r w:rsidRPr="00EF6E21">
        <w:rPr>
          <w:sz w:val="22"/>
          <w:szCs w:val="22"/>
          <w:lang w:val="sr-Latn-ME"/>
        </w:rPr>
        <w:t xml:space="preserve"> da nadoknađuje ovu dozu, već uzima sl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edeću dozu u vr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eme prema rasporedu.</w:t>
      </w:r>
    </w:p>
    <w:p w14:paraId="791B93B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B3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Prilagođavanje doze</w:t>
      </w:r>
    </w:p>
    <w:p w14:paraId="791B93B4" w14:textId="066166FC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Preporučeno smanjenje doze zbog neželjenih reakcija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eka prema individualnoj bezb</w:t>
      </w:r>
      <w:r w:rsidR="00121A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ednosti i podnošljivosti </w:t>
      </w:r>
      <w:r w:rsidR="00A11D7B" w:rsidRPr="00EF6E21">
        <w:rPr>
          <w:sz w:val="22"/>
          <w:szCs w:val="22"/>
          <w:lang w:val="sr-Latn-ME"/>
        </w:rPr>
        <w:t xml:space="preserve">kod pojedinačnih pacijenata </w:t>
      </w:r>
      <w:r w:rsidRPr="00EF6E21">
        <w:rPr>
          <w:sz w:val="22"/>
          <w:szCs w:val="22"/>
          <w:lang w:val="sr-Latn-ME"/>
        </w:rPr>
        <w:t>naveden</w:t>
      </w:r>
      <w:r w:rsidR="00B876D5" w:rsidRPr="00EF6E21">
        <w:rPr>
          <w:sz w:val="22"/>
          <w:szCs w:val="22"/>
          <w:lang w:val="sr-Latn-ME"/>
        </w:rPr>
        <w:t>o</w:t>
      </w:r>
      <w:r w:rsidRPr="00EF6E21">
        <w:rPr>
          <w:sz w:val="22"/>
          <w:szCs w:val="22"/>
          <w:lang w:val="sr-Latn-ME"/>
        </w:rPr>
        <w:t xml:space="preserve"> je u Tabeli 1. </w:t>
      </w:r>
    </w:p>
    <w:p w14:paraId="791B93B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B6" w14:textId="77777777" w:rsidR="00F95A54" w:rsidRPr="00EF6E21" w:rsidRDefault="00F95A54" w:rsidP="0017386F">
      <w:pPr>
        <w:keepNext/>
        <w:keepLines/>
        <w:shd w:val="clear" w:color="auto" w:fill="FFFFFF" w:themeFill="background1"/>
        <w:ind w:left="1134" w:hanging="1134"/>
        <w:jc w:val="both"/>
        <w:rPr>
          <w:sz w:val="22"/>
          <w:szCs w:val="22"/>
          <w:lang w:val="sr-Latn-ME"/>
        </w:rPr>
      </w:pPr>
      <w:r w:rsidRPr="00EF6E21">
        <w:rPr>
          <w:b/>
          <w:sz w:val="22"/>
          <w:szCs w:val="22"/>
          <w:lang w:val="sr-Latn-ME"/>
        </w:rPr>
        <w:t>Tabela 1</w:t>
      </w:r>
      <w:r w:rsidRPr="00EF6E21">
        <w:rPr>
          <w:b/>
          <w:sz w:val="22"/>
          <w:szCs w:val="22"/>
          <w:lang w:val="sr-Latn-ME"/>
        </w:rPr>
        <w:tab/>
        <w:t>Preporučeno smanjenje doze l</w:t>
      </w:r>
      <w:r w:rsidR="00121A30" w:rsidRPr="00EF6E21">
        <w:rPr>
          <w:b/>
          <w:sz w:val="22"/>
          <w:szCs w:val="22"/>
          <w:lang w:val="sr-Latn-ME"/>
        </w:rPr>
        <w:t>ij</w:t>
      </w:r>
      <w:r w:rsidRPr="00EF6E21">
        <w:rPr>
          <w:b/>
          <w:sz w:val="22"/>
          <w:szCs w:val="22"/>
          <w:lang w:val="sr-Latn-ME"/>
        </w:rPr>
        <w:t>eka Tabrecta</w:t>
      </w:r>
    </w:p>
    <w:p w14:paraId="791B93B7" w14:textId="77777777" w:rsidR="00F95A54" w:rsidRPr="00EF6E21" w:rsidRDefault="00F95A54" w:rsidP="0017386F">
      <w:pPr>
        <w:keepNext/>
        <w:keepLines/>
        <w:shd w:val="clear" w:color="auto" w:fill="FFFFFF" w:themeFill="background1"/>
        <w:ind w:left="1170" w:hanging="1170"/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755"/>
        <w:gridCol w:w="3823"/>
      </w:tblGrid>
      <w:tr w:rsidR="00F95A54" w:rsidRPr="00EF6E21" w14:paraId="791B93BB" w14:textId="77777777" w:rsidTr="00F95A54">
        <w:trPr>
          <w:cantSplit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8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 xml:space="preserve">Nivo doze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9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Doza i raspored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A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Broj i jačina tableta</w:t>
            </w:r>
          </w:p>
        </w:tc>
      </w:tr>
      <w:tr w:rsidR="00F95A54" w:rsidRPr="00EF6E21" w14:paraId="791B93BF" w14:textId="77777777" w:rsidTr="00F95A54">
        <w:trPr>
          <w:cantSplit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C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Početna doza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D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400 mg dva puta na dan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BE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 tablete od 200 mg/ dva puta na dan</w:t>
            </w:r>
          </w:p>
        </w:tc>
      </w:tr>
      <w:tr w:rsidR="00F95A54" w:rsidRPr="00EF6E21" w14:paraId="791B93C3" w14:textId="77777777" w:rsidTr="00F95A54">
        <w:trPr>
          <w:cantSplit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0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Prvo smanjenje doze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1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300 mg dva puta na dan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2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 tablete od 150 mg/ dva puta na dan</w:t>
            </w:r>
          </w:p>
        </w:tc>
      </w:tr>
      <w:tr w:rsidR="00F95A54" w:rsidRPr="00EF6E21" w14:paraId="791B93C7" w14:textId="77777777" w:rsidTr="00F95A54">
        <w:trPr>
          <w:cantSplit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4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Drugo smanjenje doze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5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200 mg dva puta na dan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6" w14:textId="77777777" w:rsidR="00F95A54" w:rsidRPr="00EF6E21" w:rsidRDefault="00F95A54" w:rsidP="0017386F">
            <w:pPr>
              <w:keepNext/>
              <w:keepLines/>
              <w:shd w:val="clear" w:color="auto" w:fill="FFFFFF" w:themeFill="background1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 tableta od 200 mg/ dva puta na dan</w:t>
            </w:r>
          </w:p>
        </w:tc>
      </w:tr>
    </w:tbl>
    <w:p w14:paraId="791B93C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C9" w14:textId="32D2865C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Doze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eka Tabrecta ispod 200</w:t>
      </w:r>
      <w:r w:rsidR="00B876D5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mg dva puta na dan ni</w:t>
      </w:r>
      <w:r w:rsidR="00A11D7B" w:rsidRPr="00EF6E21">
        <w:rPr>
          <w:sz w:val="22"/>
          <w:szCs w:val="22"/>
          <w:lang w:val="sr-Latn-ME"/>
        </w:rPr>
        <w:t>je</w:t>
      </w:r>
      <w:r w:rsidRPr="00EF6E21">
        <w:rPr>
          <w:sz w:val="22"/>
          <w:szCs w:val="22"/>
          <w:lang w:val="sr-Latn-ME"/>
        </w:rPr>
        <w:t>su ispitivane u kliničkim studijama.</w:t>
      </w:r>
    </w:p>
    <w:p w14:paraId="791B93C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C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Preporuke za prilagođavanje doze l</w:t>
      </w:r>
      <w:r w:rsidR="00121A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eka Tabrecta zbog neželjenih reakcija navedene su u Tabeli 2.</w:t>
      </w:r>
    </w:p>
    <w:p w14:paraId="791B93C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3CD" w14:textId="7FCB3DBA" w:rsidR="00F95A54" w:rsidRPr="00EF6E21" w:rsidRDefault="00F95A54" w:rsidP="0017386F">
      <w:pPr>
        <w:shd w:val="clear" w:color="auto" w:fill="FFFFFF" w:themeFill="background1"/>
        <w:jc w:val="both"/>
        <w:rPr>
          <w:b/>
          <w:sz w:val="22"/>
          <w:szCs w:val="22"/>
          <w:lang w:val="sr-Latn-ME"/>
        </w:rPr>
      </w:pPr>
      <w:r w:rsidRPr="00EF6E21">
        <w:rPr>
          <w:b/>
          <w:sz w:val="22"/>
          <w:szCs w:val="22"/>
          <w:lang w:val="sr-Latn-ME"/>
        </w:rPr>
        <w:t>Tabela 2</w:t>
      </w:r>
      <w:r w:rsidRPr="00EF6E21">
        <w:rPr>
          <w:b/>
          <w:sz w:val="22"/>
          <w:szCs w:val="22"/>
          <w:lang w:val="sr-Latn-ME"/>
        </w:rPr>
        <w:tab/>
        <w:t>Prilagođavanje doze l</w:t>
      </w:r>
      <w:r w:rsidR="00121A30" w:rsidRPr="00EF6E21">
        <w:rPr>
          <w:b/>
          <w:sz w:val="22"/>
          <w:szCs w:val="22"/>
          <w:lang w:val="sr-Latn-ME"/>
        </w:rPr>
        <w:t>ij</w:t>
      </w:r>
      <w:r w:rsidRPr="00EF6E21">
        <w:rPr>
          <w:b/>
          <w:sz w:val="22"/>
          <w:szCs w:val="22"/>
          <w:lang w:val="sr-Latn-ME"/>
        </w:rPr>
        <w:t xml:space="preserve">eka Tabrecta </w:t>
      </w:r>
      <w:r w:rsidR="00B876D5" w:rsidRPr="00EF6E21">
        <w:rPr>
          <w:b/>
          <w:sz w:val="22"/>
          <w:szCs w:val="22"/>
          <w:lang w:val="sr-Latn-ME"/>
        </w:rPr>
        <w:t>radi</w:t>
      </w:r>
      <w:r w:rsidRPr="00EF6E21">
        <w:rPr>
          <w:b/>
          <w:sz w:val="22"/>
          <w:szCs w:val="22"/>
          <w:lang w:val="sr-Latn-ME"/>
        </w:rPr>
        <w:t xml:space="preserve"> zbrinjavanj</w:t>
      </w:r>
      <w:r w:rsidR="00B876D5" w:rsidRPr="00EF6E21">
        <w:rPr>
          <w:b/>
          <w:sz w:val="22"/>
          <w:szCs w:val="22"/>
          <w:lang w:val="sr-Latn-ME"/>
        </w:rPr>
        <w:t>a</w:t>
      </w:r>
      <w:r w:rsidRPr="00EF6E21">
        <w:rPr>
          <w:b/>
          <w:sz w:val="22"/>
          <w:szCs w:val="22"/>
          <w:lang w:val="sr-Latn-ME"/>
        </w:rPr>
        <w:t xml:space="preserve"> neželjenih reakcija</w:t>
      </w:r>
    </w:p>
    <w:p w14:paraId="7C910B90" w14:textId="77777777" w:rsidR="00B876D5" w:rsidRPr="00EF6E21" w:rsidRDefault="00B876D5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51"/>
        <w:gridCol w:w="2990"/>
        <w:gridCol w:w="3022"/>
      </w:tblGrid>
      <w:tr w:rsidR="00F95A54" w:rsidRPr="00EF6E21" w14:paraId="791B93D1" w14:textId="77777777" w:rsidTr="00F95A5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E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Neželjena reakcija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CF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Težina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0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Prilagođavanje doze</w:t>
            </w:r>
          </w:p>
        </w:tc>
      </w:tr>
      <w:tr w:rsidR="00F95A54" w:rsidRPr="00EF6E21" w14:paraId="791B93D5" w14:textId="77777777" w:rsidTr="00F95A5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2" w14:textId="3CDA3282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Intersticijumska bolest pluća (engl.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i/>
                <w:sz w:val="22"/>
                <w:szCs w:val="22"/>
                <w:lang w:val="sr-Latn-ME"/>
              </w:rPr>
              <w:t>interstitial lung disease,</w:t>
            </w:r>
            <w:r w:rsidRPr="00EF6E21">
              <w:rPr>
                <w:sz w:val="22"/>
                <w:szCs w:val="22"/>
                <w:lang w:val="sr-Latn-ME"/>
              </w:rPr>
              <w:t xml:space="preserve"> ILD)</w:t>
            </w:r>
            <w:r w:rsidR="00A11D7B" w:rsidRPr="00EF6E21">
              <w:rPr>
                <w:sz w:val="22"/>
                <w:szCs w:val="22"/>
                <w:lang w:val="sr-Latn-ME"/>
              </w:rPr>
              <w:t>/pneumonitis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3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Bilo koji stepen povezan sa l</w:t>
            </w:r>
            <w:r w:rsidR="00121A30" w:rsidRPr="00EF6E21">
              <w:rPr>
                <w:sz w:val="22"/>
                <w:szCs w:val="22"/>
                <w:lang w:val="sr-Latn-ME"/>
              </w:rPr>
              <w:t>ij</w:t>
            </w:r>
            <w:r w:rsidRPr="00EF6E21">
              <w:rPr>
                <w:sz w:val="22"/>
                <w:szCs w:val="22"/>
                <w:lang w:val="sr-Latn-ME"/>
              </w:rPr>
              <w:t>ečenjem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4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Trajno obustaviti prim</w:t>
            </w:r>
            <w:r w:rsidR="00121A30" w:rsidRPr="00EF6E21">
              <w:rPr>
                <w:sz w:val="22"/>
                <w:szCs w:val="22"/>
                <w:lang w:val="sr-Latn-ME"/>
              </w:rPr>
              <w:t>j</w:t>
            </w:r>
            <w:r w:rsidRPr="00EF6E21">
              <w:rPr>
                <w:sz w:val="22"/>
                <w:szCs w:val="22"/>
                <w:lang w:val="sr-Latn-ME"/>
              </w:rPr>
              <w:t>enu l</w:t>
            </w:r>
            <w:r w:rsidR="00121A30" w:rsidRPr="00EF6E21">
              <w:rPr>
                <w:sz w:val="22"/>
                <w:szCs w:val="22"/>
                <w:lang w:val="sr-Latn-ME"/>
              </w:rPr>
              <w:t>ij</w:t>
            </w:r>
            <w:r w:rsidRPr="00EF6E21">
              <w:rPr>
                <w:sz w:val="22"/>
                <w:szCs w:val="22"/>
                <w:lang w:val="sr-Latn-ME"/>
              </w:rPr>
              <w:t xml:space="preserve">eka Tabrecta. </w:t>
            </w:r>
          </w:p>
        </w:tc>
      </w:tr>
      <w:tr w:rsidR="00F95A54" w:rsidRPr="00EF6E21" w14:paraId="791B93DA" w14:textId="77777777" w:rsidTr="00F95A54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6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Izolovano povećane ALT i/ili AST u odnosu na početne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osti, bez istovremeno povećanog ukupnog bilirubina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7" w14:textId="0BF21B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3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5,0 do ≤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20,0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8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 do povratka vr</w:t>
            </w:r>
            <w:r w:rsidR="00AE0F7F" w:rsidRPr="00EF6E21">
              <w:rPr>
                <w:sz w:val="22"/>
                <w:szCs w:val="22"/>
                <w:lang w:val="sr-Latn-ME"/>
              </w:rPr>
              <w:t>ij</w:t>
            </w:r>
            <w:r w:rsidRPr="00EF6E21">
              <w:rPr>
                <w:sz w:val="22"/>
                <w:szCs w:val="22"/>
                <w:lang w:val="sr-Latn-ME"/>
              </w:rPr>
              <w:t>ednosti ALT/AST na početne.</w:t>
            </w:r>
          </w:p>
          <w:p w14:paraId="791B93D9" w14:textId="0B2A376A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početne u roku od 7 dana,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om Tabrecta u istoj dozi, 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 xml:space="preserve">a u ostalim slučajevima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3DE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3DB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C" w14:textId="5CC500BE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Gradus 4 (&gt;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20,0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D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Trajno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3E2" w14:textId="77777777" w:rsidTr="00F95A5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DF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Kombinovano povećane ALT i/ili AST sa istovremeno povećanim ukupnim bilirubinom, uz odsustvo holestaze ili hemolize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0" w14:textId="72EA353F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Ako je povećana ALT i/ili AST 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3 x GGN zajedno sa povećanim ukupnim bilirubinom 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 xml:space="preserve">2 x GGN, bez obzira na početne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1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Trajno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3E9" w14:textId="77777777" w:rsidTr="00F95A54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3E3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Izolovano povećan ukupni bilirubin u odnosu na početne </w:t>
            </w:r>
            <w:r w:rsidR="00AE0F7F" w:rsidRPr="00EF6E21">
              <w:rPr>
                <w:sz w:val="22"/>
                <w:szCs w:val="22"/>
                <w:lang w:val="sr-Latn-ME"/>
              </w:rPr>
              <w:lastRenderedPageBreak/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osti, bez istovremeno povećane ALT i/ili AST </w:t>
            </w:r>
          </w:p>
          <w:p w14:paraId="791B93E4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  <w:p w14:paraId="791B93E5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6" w14:textId="77823E52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lastRenderedPageBreak/>
              <w:t>Gradus 2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1,5 do ≤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3,0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7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povratka </w:t>
            </w:r>
            <w:r w:rsidR="00AE0F7F" w:rsidRPr="00EF6E21">
              <w:rPr>
                <w:sz w:val="22"/>
                <w:szCs w:val="22"/>
                <w:lang w:val="sr-Latn-ME"/>
              </w:rPr>
              <w:lastRenderedPageBreak/>
              <w:t>vrijedn</w:t>
            </w:r>
            <w:r w:rsidRPr="00EF6E21">
              <w:rPr>
                <w:sz w:val="22"/>
                <w:szCs w:val="22"/>
                <w:lang w:val="sr-Latn-ME"/>
              </w:rPr>
              <w:t>osti ukupnog bilirubina na početne.</w:t>
            </w:r>
          </w:p>
          <w:p w14:paraId="791B93E8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početne u roku od 7 dana,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om Tabrecta u istoj dozi, a u ostalim slučajevima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3EE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3EA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B" w14:textId="183A4A12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3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3,0 do ≤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10,0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EC" w14:textId="56081AFC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 do povrat</w:t>
            </w:r>
            <w:r w:rsidR="00B876D5" w:rsidRPr="00EF6E21">
              <w:rPr>
                <w:sz w:val="22"/>
                <w:szCs w:val="22"/>
                <w:lang w:val="sr-Latn-ME"/>
              </w:rPr>
              <w:t>k</w:t>
            </w:r>
            <w:r w:rsidRPr="00EF6E21">
              <w:rPr>
                <w:sz w:val="22"/>
                <w:szCs w:val="22"/>
                <w:lang w:val="sr-Latn-ME"/>
              </w:rPr>
              <w:t xml:space="preserve">a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 ukupnog bilirubina na početne.</w:t>
            </w:r>
          </w:p>
          <w:p w14:paraId="791B93ED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početne u roku od 7 dana,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om Tabrecta dozom smanjenom prema Tabeli 1, a u ostalim slučajevima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3F2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3EF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0" w14:textId="2192DEAC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4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10,0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1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Trajno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3F7" w14:textId="77777777" w:rsidTr="00F95A54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3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Povećan serumski kreatinin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4" w14:textId="4CA94223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2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1,5 do ≤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3,0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5" w14:textId="4A04311F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 do povrat</w:t>
            </w:r>
            <w:r w:rsidR="00B876D5" w:rsidRPr="00EF6E21">
              <w:rPr>
                <w:sz w:val="22"/>
                <w:szCs w:val="22"/>
                <w:lang w:val="sr-Latn-ME"/>
              </w:rPr>
              <w:t>k</w:t>
            </w:r>
            <w:r w:rsidRPr="00EF6E21">
              <w:rPr>
                <w:sz w:val="22"/>
                <w:szCs w:val="22"/>
                <w:lang w:val="sr-Latn-ME"/>
              </w:rPr>
              <w:t xml:space="preserve">a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 serumskog kreatinina na početne.</w:t>
            </w:r>
          </w:p>
          <w:p w14:paraId="791B93F6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početne u roku od 7 dana,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u istoj dozi.</w:t>
            </w:r>
          </w:p>
        </w:tc>
      </w:tr>
      <w:tr w:rsidR="00F95A54" w:rsidRPr="00EF6E21" w14:paraId="791B93FC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3F8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9" w14:textId="2191B876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3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3,0 do ≤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6,0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A" w14:textId="0798AF36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 do povrat</w:t>
            </w:r>
            <w:r w:rsidR="00B876D5" w:rsidRPr="00EF6E21">
              <w:rPr>
                <w:sz w:val="22"/>
                <w:szCs w:val="22"/>
                <w:lang w:val="sr-Latn-ME"/>
              </w:rPr>
              <w:t>k</w:t>
            </w:r>
            <w:r w:rsidRPr="00EF6E21">
              <w:rPr>
                <w:sz w:val="22"/>
                <w:szCs w:val="22"/>
                <w:lang w:val="sr-Latn-ME"/>
              </w:rPr>
              <w:t xml:space="preserve">a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 serumskog kreatinina na početne.</w:t>
            </w:r>
          </w:p>
          <w:p w14:paraId="791B93FB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početne u roku od 7 dana,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400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3FD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E" w14:textId="3CC3EDA4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4 (&gt;</w:t>
            </w:r>
            <w:r w:rsidR="00B876D5" w:rsidRPr="00EF6E21">
              <w:rPr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sz w:val="22"/>
                <w:szCs w:val="22"/>
                <w:lang w:val="sr-Latn-ME"/>
              </w:rPr>
              <w:t>6,0 x GGN)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3FF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Trajno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405" w14:textId="77777777" w:rsidTr="00F95A54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1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2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3" w14:textId="68C45F8A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povrata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1.</w:t>
            </w:r>
          </w:p>
          <w:p w14:paraId="791B9404" w14:textId="09A4066B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1</w:t>
            </w:r>
            <w:r w:rsidRPr="00EF6E21">
              <w:rPr>
                <w:sz w:val="22"/>
                <w:szCs w:val="22"/>
                <w:lang w:val="sr-Latn-ME"/>
              </w:rPr>
              <w:t xml:space="preserve">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u istoj dozi.</w:t>
            </w:r>
          </w:p>
        </w:tc>
      </w:tr>
      <w:tr w:rsidR="00F95A54" w:rsidRPr="00EF6E21" w14:paraId="791B940A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406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7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8" w14:textId="5F103381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povrata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2.</w:t>
            </w:r>
          </w:p>
          <w:p w14:paraId="791B9409" w14:textId="685F4C06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2</w:t>
            </w:r>
            <w:r w:rsidRPr="00EF6E21">
              <w:rPr>
                <w:sz w:val="22"/>
                <w:szCs w:val="22"/>
                <w:lang w:val="sr-Latn-ME"/>
              </w:rPr>
              <w:t xml:space="preserve">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40F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40B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C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Gradus 4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0D" w14:textId="6B2FB27D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povratka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2.</w:t>
            </w:r>
          </w:p>
          <w:p w14:paraId="791B940E" w14:textId="0B5AE01A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lastRenderedPageBreak/>
              <w:t xml:space="preserve">Ako se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 xml:space="preserve">osti vrate na gradus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≤</w:t>
            </w:r>
            <w:r w:rsidR="00B876D5"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 xml:space="preserve"> </w:t>
            </w:r>
            <w:r w:rsidRPr="00EF6E21">
              <w:rPr>
                <w:rFonts w:ascii="TimesNewRomanPSMT" w:hAnsi="TimesNewRomanPSMT" w:cs="TimesNewRomanPSMT"/>
                <w:sz w:val="22"/>
                <w:szCs w:val="22"/>
                <w:lang w:val="sr-Latn-ME"/>
              </w:rPr>
              <w:t>2</w:t>
            </w:r>
            <w:r w:rsidRPr="00EF6E21">
              <w:rPr>
                <w:sz w:val="22"/>
                <w:szCs w:val="22"/>
                <w:lang w:val="sr-Latn-ME"/>
              </w:rPr>
              <w:t xml:space="preserve">,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413" w14:textId="77777777" w:rsidTr="00F95A54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0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lastRenderedPageBreak/>
              <w:t>Druge neželjene reakcije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1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2" w14:textId="5C89B218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Održavati dozu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a. Ako nije podnošljivo, razmotriti privremeni prekid </w:t>
            </w:r>
            <w:r w:rsidR="00CE71C4" w:rsidRPr="00EF6E21">
              <w:rPr>
                <w:sz w:val="22"/>
                <w:szCs w:val="22"/>
                <w:lang w:val="sr-Latn-ME"/>
              </w:rPr>
              <w:t xml:space="preserve">primjene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prestanka neželjene reakcije, a zatim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417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414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5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Gradus 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6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Privremeno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 xml:space="preserve">a Tabrecta do prestanka neželjene reakcije, a zatim nastaviti terapiju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om Tabrecta dozom smanjenom prema Tabeli 1.</w:t>
            </w:r>
          </w:p>
        </w:tc>
      </w:tr>
      <w:tr w:rsidR="00F95A54" w:rsidRPr="00EF6E21" w14:paraId="791B941B" w14:textId="77777777" w:rsidTr="00F95A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418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9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Gradus 4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A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Trajno obustaviti </w:t>
            </w:r>
            <w:r w:rsidR="00AE0F7F" w:rsidRPr="00EF6E21">
              <w:rPr>
                <w:sz w:val="22"/>
                <w:szCs w:val="22"/>
                <w:lang w:val="sr-Latn-ME"/>
              </w:rPr>
              <w:t>primjen</w:t>
            </w:r>
            <w:r w:rsidRPr="00EF6E21">
              <w:rPr>
                <w:sz w:val="22"/>
                <w:szCs w:val="22"/>
                <w:lang w:val="sr-Latn-ME"/>
              </w:rPr>
              <w:t xml:space="preserve">u </w:t>
            </w:r>
            <w:r w:rsidR="00121A30" w:rsidRPr="00EF6E21">
              <w:rPr>
                <w:sz w:val="22"/>
                <w:szCs w:val="22"/>
                <w:lang w:val="sr-Latn-ME"/>
              </w:rPr>
              <w:t>lijek</w:t>
            </w:r>
            <w:r w:rsidRPr="00EF6E21">
              <w:rPr>
                <w:sz w:val="22"/>
                <w:szCs w:val="22"/>
                <w:lang w:val="sr-Latn-ME"/>
              </w:rPr>
              <w:t>a Tabrecta.</w:t>
            </w:r>
          </w:p>
        </w:tc>
      </w:tr>
      <w:tr w:rsidR="00F95A54" w:rsidRPr="00EF6E21" w14:paraId="791B941F" w14:textId="77777777" w:rsidTr="00F95A5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1C" w14:textId="330BFF2F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Skraćenice: ALT, alanin aminotransferaza; AST, aspartat aminotransferaza</w:t>
            </w:r>
            <w:r w:rsidR="00B876D5" w:rsidRPr="00EF6E21">
              <w:rPr>
                <w:sz w:val="22"/>
                <w:szCs w:val="22"/>
                <w:lang w:val="sr-Latn-ME"/>
              </w:rPr>
              <w:t>;</w:t>
            </w:r>
            <w:r w:rsidRPr="00EF6E21">
              <w:rPr>
                <w:sz w:val="22"/>
                <w:szCs w:val="22"/>
                <w:lang w:val="sr-Latn-ME"/>
              </w:rPr>
              <w:t xml:space="preserve"> GGN, gornja granica normalnih </w:t>
            </w:r>
            <w:r w:rsidR="00AE0F7F" w:rsidRPr="00EF6E21">
              <w:rPr>
                <w:sz w:val="22"/>
                <w:szCs w:val="22"/>
                <w:lang w:val="sr-Latn-ME"/>
              </w:rPr>
              <w:t>vrijedn</w:t>
            </w:r>
            <w:r w:rsidRPr="00EF6E21">
              <w:rPr>
                <w:sz w:val="22"/>
                <w:szCs w:val="22"/>
                <w:lang w:val="sr-Latn-ME"/>
              </w:rPr>
              <w:t>osti.</w:t>
            </w:r>
          </w:p>
          <w:p w14:paraId="791B941D" w14:textId="77777777" w:rsidR="00F95A54" w:rsidRPr="00EF6E21" w:rsidRDefault="00F95A54" w:rsidP="0017386F">
            <w:pPr>
              <w:pStyle w:val="Table"/>
              <w:keepNext/>
              <w:widowControl w:val="0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6E21">
              <w:rPr>
                <w:rFonts w:ascii="Times New Roman" w:hAnsi="Times New Roman"/>
                <w:sz w:val="22"/>
                <w:szCs w:val="22"/>
              </w:rPr>
              <w:t>Određivanje stepena prema CTCAE</w:t>
            </w:r>
            <w:r w:rsidRPr="00EF6E21">
              <w:rPr>
                <w:rFonts w:ascii="Times New Roman" w:hAnsi="Times New Roman"/>
                <w:sz w:val="22"/>
                <w:szCs w:val="22"/>
              </w:rPr>
              <w:noBreakHyphen/>
              <w:t xml:space="preserve">u verzija 4.03 (engl. </w:t>
            </w:r>
            <w:r w:rsidRPr="00EF6E21">
              <w:rPr>
                <w:rFonts w:ascii="Times New Roman" w:hAnsi="Times New Roman"/>
                <w:i/>
                <w:sz w:val="22"/>
                <w:szCs w:val="22"/>
              </w:rPr>
              <w:t>Common Terminology Criteria</w:t>
            </w:r>
            <w:r w:rsidRPr="00EF6E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6E21">
              <w:rPr>
                <w:rFonts w:ascii="Times New Roman" w:hAnsi="Times New Roman"/>
                <w:i/>
                <w:sz w:val="22"/>
                <w:szCs w:val="22"/>
              </w:rPr>
              <w:t>for Adverse Events</w:t>
            </w:r>
            <w:r w:rsidRPr="00EF6E21">
              <w:rPr>
                <w:rFonts w:ascii="Times New Roman" w:hAnsi="Times New Roman"/>
                <w:sz w:val="22"/>
                <w:szCs w:val="22"/>
              </w:rPr>
              <w:t>, CTCAE = Zajednički terminološki kriterijumi za neželjene događaje)</w:t>
            </w:r>
          </w:p>
          <w:p w14:paraId="791B941E" w14:textId="77777777" w:rsidR="00F95A54" w:rsidRPr="00EF6E21" w:rsidRDefault="00F95A54" w:rsidP="0017386F">
            <w:pPr>
              <w:pStyle w:val="Table"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6E21">
              <w:rPr>
                <w:rFonts w:ascii="Times New Roman" w:hAnsi="Times New Roman"/>
                <w:sz w:val="22"/>
                <w:szCs w:val="22"/>
              </w:rPr>
              <w:t xml:space="preserve">Početna </w:t>
            </w:r>
            <w:r w:rsidR="00AE0F7F" w:rsidRPr="00EF6E21">
              <w:rPr>
                <w:rFonts w:ascii="Times New Roman" w:hAnsi="Times New Roman"/>
                <w:sz w:val="22"/>
                <w:szCs w:val="22"/>
              </w:rPr>
              <w:t>vrijedn</w:t>
            </w:r>
            <w:r w:rsidRPr="00EF6E21">
              <w:rPr>
                <w:rFonts w:ascii="Times New Roman" w:hAnsi="Times New Roman"/>
                <w:sz w:val="22"/>
                <w:szCs w:val="22"/>
              </w:rPr>
              <w:t>ost = pr</w:t>
            </w:r>
            <w:r w:rsidR="00AE0F7F" w:rsidRPr="00EF6E21">
              <w:rPr>
                <w:rFonts w:ascii="Times New Roman" w:hAnsi="Times New Roman"/>
                <w:sz w:val="22"/>
                <w:szCs w:val="22"/>
              </w:rPr>
              <w:t>ij</w:t>
            </w:r>
            <w:r w:rsidRPr="00EF6E21">
              <w:rPr>
                <w:rFonts w:ascii="Times New Roman" w:hAnsi="Times New Roman"/>
                <w:sz w:val="22"/>
                <w:szCs w:val="22"/>
              </w:rPr>
              <w:t xml:space="preserve">e početka </w:t>
            </w:r>
            <w:r w:rsidR="00356A1F" w:rsidRPr="00EF6E21">
              <w:rPr>
                <w:rFonts w:ascii="Times New Roman" w:hAnsi="Times New Roman"/>
                <w:sz w:val="22"/>
                <w:szCs w:val="22"/>
              </w:rPr>
              <w:t>liječ</w:t>
            </w:r>
            <w:r w:rsidRPr="00EF6E21">
              <w:rPr>
                <w:rFonts w:ascii="Times New Roman" w:hAnsi="Times New Roman"/>
                <w:sz w:val="22"/>
                <w:szCs w:val="22"/>
              </w:rPr>
              <w:t>enja</w:t>
            </w:r>
          </w:p>
        </w:tc>
      </w:tr>
    </w:tbl>
    <w:p w14:paraId="791B9420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21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Posebne populacije</w:t>
      </w:r>
    </w:p>
    <w:p w14:paraId="791B9422" w14:textId="77777777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Starije osobe</w:t>
      </w:r>
    </w:p>
    <w:p w14:paraId="791B9423" w14:textId="685144F1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Nije potrebno prilagođavanje režima doziranja kod pacijenata starosti od 65 i više godina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 5.2). </w:t>
      </w:r>
    </w:p>
    <w:p w14:paraId="791B9424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2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Oštećenje funkcije bubrega</w:t>
      </w:r>
    </w:p>
    <w:p w14:paraId="791B9426" w14:textId="5BE2C993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Potreban je oprez kod pacijenata sa teškim oštećenjem funkcije bubrega, jer nema iskustva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u toj populaciji. Nije potrebno prilagođavati doze kod pacijenata sa blagim ili </w:t>
      </w:r>
      <w:r w:rsidR="00FF18A1" w:rsidRPr="00EF6E21">
        <w:rPr>
          <w:sz w:val="22"/>
          <w:szCs w:val="22"/>
          <w:lang w:val="sr-Latn-ME"/>
        </w:rPr>
        <w:t>umjer</w:t>
      </w:r>
      <w:r w:rsidRPr="00EF6E21">
        <w:rPr>
          <w:sz w:val="22"/>
          <w:szCs w:val="22"/>
          <w:lang w:val="sr-Latn-ME"/>
        </w:rPr>
        <w:t>enim oštećenjem funkcije bubrega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5.2).</w:t>
      </w:r>
    </w:p>
    <w:p w14:paraId="791B9427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2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Oštećenje funkcije jetre</w:t>
      </w:r>
    </w:p>
    <w:p w14:paraId="791B9429" w14:textId="2F8E1F55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Nije potrebno prilagođavanje doze kod pacijenata sa blagim, um</w:t>
      </w:r>
      <w:r w:rsidR="00FF18A1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erenim ili teškim oštećenjem funkcije jetre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5.2).</w:t>
      </w:r>
    </w:p>
    <w:p w14:paraId="791B942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2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Pedijatrijska populacija</w:t>
      </w:r>
    </w:p>
    <w:p w14:paraId="791B942C" w14:textId="7133FD49" w:rsidR="00F95A54" w:rsidRPr="00EF6E21" w:rsidRDefault="008F6830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Bezbjed</w:t>
      </w:r>
      <w:r w:rsidR="00F95A54" w:rsidRPr="00EF6E21">
        <w:rPr>
          <w:sz w:val="22"/>
          <w:szCs w:val="22"/>
          <w:lang w:val="sr-Latn-ME"/>
        </w:rPr>
        <w:t xml:space="preserve">nost i efikasnost </w:t>
      </w:r>
      <w:r w:rsidR="00121A30"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>a Tabrecta kod d</w:t>
      </w:r>
      <w:r w:rsidR="00CE71C4" w:rsidRPr="00EF6E21">
        <w:rPr>
          <w:sz w:val="22"/>
          <w:szCs w:val="22"/>
          <w:lang w:val="sr-Latn-ME"/>
        </w:rPr>
        <w:t>j</w:t>
      </w:r>
      <w:r w:rsidR="00F95A54" w:rsidRPr="00EF6E21">
        <w:rPr>
          <w:sz w:val="22"/>
          <w:szCs w:val="22"/>
          <w:lang w:val="sr-Latn-ME"/>
        </w:rPr>
        <w:t>ece uzrasta od</w:t>
      </w:r>
      <w:r w:rsidR="00F95A54" w:rsidRPr="00EF6E21">
        <w:rPr>
          <w:iCs/>
          <w:sz w:val="22"/>
          <w:szCs w:val="22"/>
          <w:lang w:val="sr-Latn-ME"/>
        </w:rPr>
        <w:t xml:space="preserve"> 0 do 18 godina ni</w:t>
      </w:r>
      <w:r w:rsidR="00CE71C4" w:rsidRPr="00EF6E21">
        <w:rPr>
          <w:iCs/>
          <w:sz w:val="22"/>
          <w:szCs w:val="22"/>
          <w:lang w:val="sr-Latn-ME"/>
        </w:rPr>
        <w:t>je</w:t>
      </w:r>
      <w:r w:rsidR="00F95A54" w:rsidRPr="00EF6E21">
        <w:rPr>
          <w:iCs/>
          <w:sz w:val="22"/>
          <w:szCs w:val="22"/>
          <w:lang w:val="sr-Latn-ME"/>
        </w:rPr>
        <w:t>su ustanovljene</w:t>
      </w:r>
      <w:r w:rsidR="00F95A54" w:rsidRPr="00EF6E21">
        <w:rPr>
          <w:sz w:val="22"/>
          <w:szCs w:val="22"/>
          <w:lang w:val="sr-Latn-ME"/>
        </w:rPr>
        <w:t xml:space="preserve">. </w:t>
      </w:r>
      <w:r w:rsidR="00F95A54" w:rsidRPr="00EF6E21">
        <w:rPr>
          <w:rFonts w:eastAsia="SimSun"/>
          <w:sz w:val="22"/>
          <w:szCs w:val="22"/>
          <w:lang w:val="sr-Latn-ME"/>
        </w:rPr>
        <w:t>Nema dostupnih podataka.</w:t>
      </w:r>
    </w:p>
    <w:p w14:paraId="791B942D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2E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Način primjene</w:t>
      </w:r>
    </w:p>
    <w:p w14:paraId="791B942F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30" w14:textId="53AE4955" w:rsidR="00F95A54" w:rsidRPr="00EF6E21" w:rsidRDefault="00121A30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 xml:space="preserve"> Tabrecta je nam</w:t>
      </w:r>
      <w:r w:rsidR="00CE71C4" w:rsidRPr="00EF6E21">
        <w:rPr>
          <w:sz w:val="22"/>
          <w:szCs w:val="22"/>
          <w:lang w:val="sr-Latn-ME"/>
        </w:rPr>
        <w:t>ij</w:t>
      </w:r>
      <w:r w:rsidR="00F95A54" w:rsidRPr="00EF6E21">
        <w:rPr>
          <w:sz w:val="22"/>
          <w:szCs w:val="22"/>
          <w:lang w:val="sr-Latn-ME"/>
        </w:rPr>
        <w:t>enjen za oralnu upotrebu dva puta na dan sa</w:t>
      </w:r>
      <w:r w:rsidR="00CE71C4" w:rsidRPr="00EF6E21">
        <w:rPr>
          <w:sz w:val="22"/>
          <w:szCs w:val="22"/>
          <w:lang w:val="sr-Latn-ME"/>
        </w:rPr>
        <w:t xml:space="preserve"> hranom</w:t>
      </w:r>
      <w:r w:rsidR="00F95A54" w:rsidRPr="00EF6E21">
        <w:rPr>
          <w:sz w:val="22"/>
          <w:szCs w:val="22"/>
          <w:lang w:val="sr-Latn-ME"/>
        </w:rPr>
        <w:t xml:space="preserve"> ili bez hrane. Preporuka za pacijente koji imaju probleme sa gutanjem je da uzmu </w:t>
      </w:r>
      <w:r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 xml:space="preserve"> Tabrecta sa hranom. Tablete treba progutati c</w:t>
      </w:r>
      <w:r w:rsidR="00CE71C4" w:rsidRPr="00EF6E21">
        <w:rPr>
          <w:sz w:val="22"/>
          <w:szCs w:val="22"/>
          <w:lang w:val="sr-Latn-ME"/>
        </w:rPr>
        <w:t>ij</w:t>
      </w:r>
      <w:r w:rsidR="00F95A54" w:rsidRPr="00EF6E21">
        <w:rPr>
          <w:sz w:val="22"/>
          <w:szCs w:val="22"/>
          <w:lang w:val="sr-Latn-ME"/>
        </w:rPr>
        <w:t>ele kako bi se o</w:t>
      </w:r>
      <w:r w:rsidR="008F6830" w:rsidRPr="00EF6E21">
        <w:rPr>
          <w:sz w:val="22"/>
          <w:szCs w:val="22"/>
          <w:lang w:val="sr-Latn-ME"/>
        </w:rPr>
        <w:t>bezb</w:t>
      </w:r>
      <w:r w:rsidR="00CE71C4" w:rsidRPr="00EF6E21">
        <w:rPr>
          <w:sz w:val="22"/>
          <w:szCs w:val="22"/>
          <w:lang w:val="sr-Latn-ME"/>
        </w:rPr>
        <w:t>i</w:t>
      </w:r>
      <w:r w:rsidR="008F6830" w:rsidRPr="00EF6E21">
        <w:rPr>
          <w:sz w:val="22"/>
          <w:szCs w:val="22"/>
          <w:lang w:val="sr-Latn-ME"/>
        </w:rPr>
        <w:t>jed</w:t>
      </w:r>
      <w:r w:rsidR="00F95A54" w:rsidRPr="00EF6E21">
        <w:rPr>
          <w:sz w:val="22"/>
          <w:szCs w:val="22"/>
          <w:lang w:val="sr-Latn-ME"/>
        </w:rPr>
        <w:t xml:space="preserve">ila </w:t>
      </w:r>
      <w:r w:rsidR="00AE0F7F" w:rsidRPr="00EF6E21">
        <w:rPr>
          <w:sz w:val="22"/>
          <w:szCs w:val="22"/>
          <w:lang w:val="sr-Latn-ME"/>
        </w:rPr>
        <w:t>primjen</w:t>
      </w:r>
      <w:r w:rsidR="00F95A54" w:rsidRPr="00EF6E21">
        <w:rPr>
          <w:sz w:val="22"/>
          <w:szCs w:val="22"/>
          <w:lang w:val="sr-Latn-ME"/>
        </w:rPr>
        <w:t>a c</w:t>
      </w:r>
      <w:r w:rsidR="00A11D7B" w:rsidRPr="00EF6E21">
        <w:rPr>
          <w:sz w:val="22"/>
          <w:szCs w:val="22"/>
          <w:lang w:val="sr-Latn-ME"/>
        </w:rPr>
        <w:t>j</w:t>
      </w:r>
      <w:r w:rsidR="00F95A54" w:rsidRPr="00EF6E21">
        <w:rPr>
          <w:sz w:val="22"/>
          <w:szCs w:val="22"/>
          <w:lang w:val="sr-Latn-ME"/>
        </w:rPr>
        <w:t xml:space="preserve">elokupne doze </w:t>
      </w:r>
      <w:r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 xml:space="preserve">a. </w:t>
      </w:r>
    </w:p>
    <w:p w14:paraId="791B9431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32" w14:textId="6B125460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4.3.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Kontraindikacije</w:t>
      </w:r>
    </w:p>
    <w:p w14:paraId="393BCD9A" w14:textId="77777777" w:rsidR="00CE71C4" w:rsidRPr="00EF6E21" w:rsidRDefault="00CE71C4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433" w14:textId="7A5505FF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Preosetljivost na aktivnu supstancu ili </w:t>
      </w:r>
      <w:r w:rsidR="00CE71C4" w:rsidRPr="00EF6E21">
        <w:rPr>
          <w:sz w:val="22"/>
          <w:szCs w:val="22"/>
          <w:lang w:val="sr-Latn-ME"/>
        </w:rPr>
        <w:t xml:space="preserve">na </w:t>
      </w:r>
      <w:r w:rsidRPr="00EF6E21">
        <w:rPr>
          <w:sz w:val="22"/>
          <w:szCs w:val="22"/>
          <w:lang w:val="sr-Latn-ME"/>
        </w:rPr>
        <w:t xml:space="preserve">neku od pomoćnih supstanci navedenih u </w:t>
      </w:r>
      <w:r w:rsidR="004220FE" w:rsidRPr="00EF6E21">
        <w:rPr>
          <w:sz w:val="22"/>
          <w:szCs w:val="22"/>
          <w:lang w:val="sr-Latn-ME"/>
        </w:rPr>
        <w:t>dijelu</w:t>
      </w:r>
      <w:r w:rsidRPr="00EF6E21">
        <w:rPr>
          <w:sz w:val="22"/>
          <w:szCs w:val="22"/>
          <w:lang w:val="sr-Latn-ME"/>
        </w:rPr>
        <w:t> 6.1.</w:t>
      </w:r>
    </w:p>
    <w:p w14:paraId="791B9434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435" w14:textId="77777777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4.4.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91B9436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437" w14:textId="77777777" w:rsidR="00F95A54" w:rsidRPr="00EF6E21" w:rsidRDefault="001B251E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Procjen</w:t>
      </w:r>
      <w:r w:rsidR="00F95A54" w:rsidRPr="00EF6E21">
        <w:rPr>
          <w:sz w:val="22"/>
          <w:szCs w:val="22"/>
          <w:u w:val="single"/>
          <w:lang w:val="sr-Latn-ME"/>
        </w:rPr>
        <w:t xml:space="preserve">a statusa </w:t>
      </w:r>
      <w:r w:rsidR="00121A30" w:rsidRPr="00EF6E21">
        <w:rPr>
          <w:sz w:val="22"/>
          <w:szCs w:val="22"/>
          <w:u w:val="single"/>
          <w:lang w:val="sr-Latn-ME"/>
        </w:rPr>
        <w:t>promjen</w:t>
      </w:r>
      <w:r w:rsidR="00F95A54" w:rsidRPr="00EF6E21">
        <w:rPr>
          <w:sz w:val="22"/>
          <w:szCs w:val="22"/>
          <w:u w:val="single"/>
          <w:lang w:val="sr-Latn-ME"/>
        </w:rPr>
        <w:t>e preskoka METex14</w:t>
      </w:r>
    </w:p>
    <w:p w14:paraId="791B9438" w14:textId="77777777" w:rsidR="00F95A54" w:rsidRPr="00EF6E21" w:rsidRDefault="00F95A54" w:rsidP="0017386F">
      <w:pPr>
        <w:shd w:val="clear" w:color="auto" w:fill="FFFFFF" w:themeFill="background1"/>
        <w:jc w:val="both"/>
        <w:rPr>
          <w:noProof/>
          <w:sz w:val="22"/>
          <w:szCs w:val="22"/>
          <w:lang w:val="sr-Latn-ME"/>
        </w:rPr>
      </w:pPr>
    </w:p>
    <w:p w14:paraId="791B9439" w14:textId="479D9B45" w:rsidR="00F95A54" w:rsidRPr="00EF6E21" w:rsidRDefault="00F95A54" w:rsidP="0017386F">
      <w:pPr>
        <w:jc w:val="both"/>
        <w:rPr>
          <w:noProof/>
          <w:sz w:val="22"/>
          <w:szCs w:val="22"/>
          <w:lang w:val="sr-Latn-ME"/>
        </w:rPr>
      </w:pPr>
      <w:r w:rsidRPr="00EF6E21">
        <w:rPr>
          <w:noProof/>
          <w:sz w:val="22"/>
          <w:szCs w:val="22"/>
          <w:lang w:val="sr-Latn-ME"/>
        </w:rPr>
        <w:t xml:space="preserve">Kada se utvrđuje prisustvo </w:t>
      </w:r>
      <w:r w:rsidR="00121A30" w:rsidRPr="00EF6E21">
        <w:rPr>
          <w:noProof/>
          <w:sz w:val="22"/>
          <w:szCs w:val="22"/>
          <w:lang w:val="sr-Latn-ME"/>
        </w:rPr>
        <w:t>promjen</w:t>
      </w:r>
      <w:r w:rsidRPr="00EF6E21">
        <w:rPr>
          <w:noProof/>
          <w:sz w:val="22"/>
          <w:szCs w:val="22"/>
          <w:lang w:val="sr-Latn-ME"/>
        </w:rPr>
        <w:t xml:space="preserve">a koje dovode do mutacije preskoka METex14 iz uzoraka tkiva ili plazme, važno je da se izaberu dobro validirani i robusni testovi, kako </w:t>
      </w:r>
      <w:r w:rsidR="001E2B04" w:rsidRPr="00EF6E21">
        <w:rPr>
          <w:noProof/>
          <w:sz w:val="22"/>
          <w:szCs w:val="22"/>
          <w:lang w:val="sr-Latn-ME"/>
        </w:rPr>
        <w:t>b</w:t>
      </w:r>
      <w:r w:rsidRPr="00EF6E21">
        <w:rPr>
          <w:noProof/>
          <w:sz w:val="22"/>
          <w:szCs w:val="22"/>
          <w:lang w:val="sr-Latn-ME"/>
        </w:rPr>
        <w:t>i se izb</w:t>
      </w:r>
      <w:r w:rsidR="00A11D7B" w:rsidRPr="00EF6E21">
        <w:rPr>
          <w:noProof/>
          <w:sz w:val="22"/>
          <w:szCs w:val="22"/>
          <w:lang w:val="sr-Latn-ME"/>
        </w:rPr>
        <w:t>j</w:t>
      </w:r>
      <w:r w:rsidRPr="00EF6E21">
        <w:rPr>
          <w:noProof/>
          <w:sz w:val="22"/>
          <w:szCs w:val="22"/>
          <w:lang w:val="sr-Latn-ME"/>
        </w:rPr>
        <w:t xml:space="preserve">egli lažno negativni i lažno pozitivni rezultati. Za karakteristike testova korišćenih u kliničkim studijama </w:t>
      </w:r>
      <w:r w:rsidR="00AE0F7F" w:rsidRPr="00EF6E21">
        <w:rPr>
          <w:noProof/>
          <w:sz w:val="22"/>
          <w:szCs w:val="22"/>
          <w:lang w:val="sr-Latn-ME"/>
        </w:rPr>
        <w:t>vidjet</w:t>
      </w:r>
      <w:r w:rsidRPr="00EF6E21">
        <w:rPr>
          <w:noProof/>
          <w:sz w:val="22"/>
          <w:szCs w:val="22"/>
          <w:lang w:val="sr-Latn-ME"/>
        </w:rPr>
        <w:t xml:space="preserve">i </w:t>
      </w:r>
      <w:r w:rsidR="004220FE" w:rsidRPr="00EF6E21">
        <w:rPr>
          <w:noProof/>
          <w:sz w:val="22"/>
          <w:szCs w:val="22"/>
          <w:lang w:val="sr-Latn-ME"/>
        </w:rPr>
        <w:t>dio</w:t>
      </w:r>
      <w:r w:rsidR="00812C63" w:rsidRPr="00EF6E21">
        <w:rPr>
          <w:noProof/>
          <w:sz w:val="22"/>
          <w:szCs w:val="22"/>
          <w:lang w:val="sr-Latn-ME"/>
        </w:rPr>
        <w:t xml:space="preserve"> </w:t>
      </w:r>
      <w:r w:rsidRPr="00EF6E21">
        <w:rPr>
          <w:noProof/>
          <w:sz w:val="22"/>
          <w:szCs w:val="22"/>
          <w:lang w:val="sr-Latn-ME"/>
        </w:rPr>
        <w:t>5.1.</w:t>
      </w:r>
    </w:p>
    <w:p w14:paraId="791B943A" w14:textId="77777777" w:rsidR="00F95A54" w:rsidRPr="00EF6E21" w:rsidRDefault="00F95A54" w:rsidP="0017386F">
      <w:pPr>
        <w:jc w:val="both"/>
        <w:rPr>
          <w:noProof/>
          <w:sz w:val="22"/>
          <w:szCs w:val="22"/>
          <w:lang w:val="sr-Latn-ME"/>
        </w:rPr>
      </w:pPr>
    </w:p>
    <w:p w14:paraId="791B943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Intersticijumska bolest pluća (ILD)/pneumonitis</w:t>
      </w:r>
    </w:p>
    <w:p w14:paraId="791B943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3D" w14:textId="4ED0B06C" w:rsidR="00F95A54" w:rsidRPr="00EF6E21" w:rsidRDefault="00F95A54" w:rsidP="0017386F">
      <w:pPr>
        <w:jc w:val="both"/>
        <w:rPr>
          <w:noProof/>
          <w:sz w:val="22"/>
          <w:szCs w:val="22"/>
          <w:lang w:val="sr-Latn-ME"/>
        </w:rPr>
      </w:pPr>
      <w:r w:rsidRPr="00EF6E21">
        <w:rPr>
          <w:noProof/>
          <w:sz w:val="22"/>
          <w:szCs w:val="22"/>
          <w:lang w:val="sr-Latn-ME"/>
        </w:rPr>
        <w:t xml:space="preserve">ILD/pneumonitis, koji se može završiti smrtnim ishodom, javio se kod pacijenata </w:t>
      </w:r>
      <w:r w:rsidR="00356A1F" w:rsidRPr="00EF6E21">
        <w:rPr>
          <w:noProof/>
          <w:sz w:val="22"/>
          <w:szCs w:val="22"/>
          <w:lang w:val="sr-Latn-ME"/>
        </w:rPr>
        <w:t>liječ</w:t>
      </w:r>
      <w:r w:rsidRPr="00EF6E21">
        <w:rPr>
          <w:noProof/>
          <w:sz w:val="22"/>
          <w:szCs w:val="22"/>
          <w:lang w:val="sr-Latn-ME"/>
        </w:rPr>
        <w:t xml:space="preserve">enih </w:t>
      </w:r>
      <w:r w:rsidR="00121A30" w:rsidRPr="00EF6E21">
        <w:rPr>
          <w:noProof/>
          <w:sz w:val="22"/>
          <w:szCs w:val="22"/>
          <w:lang w:val="sr-Latn-ME"/>
        </w:rPr>
        <w:t>lijek</w:t>
      </w:r>
      <w:r w:rsidRPr="00EF6E21">
        <w:rPr>
          <w:noProof/>
          <w:sz w:val="22"/>
          <w:szCs w:val="22"/>
          <w:lang w:val="sr-Latn-ME"/>
        </w:rPr>
        <w:t>om Tabrecta (</w:t>
      </w:r>
      <w:r w:rsidR="00AE0F7F" w:rsidRPr="00EF6E21">
        <w:rPr>
          <w:noProof/>
          <w:sz w:val="22"/>
          <w:szCs w:val="22"/>
          <w:lang w:val="sr-Latn-ME"/>
        </w:rPr>
        <w:t>vidjet</w:t>
      </w:r>
      <w:r w:rsidRPr="00EF6E21">
        <w:rPr>
          <w:noProof/>
          <w:sz w:val="22"/>
          <w:szCs w:val="22"/>
          <w:lang w:val="sr-Latn-ME"/>
        </w:rPr>
        <w:t xml:space="preserve">i </w:t>
      </w:r>
      <w:r w:rsidR="004220FE" w:rsidRPr="00EF6E21">
        <w:rPr>
          <w:noProof/>
          <w:sz w:val="22"/>
          <w:szCs w:val="22"/>
          <w:lang w:val="sr-Latn-ME"/>
        </w:rPr>
        <w:t>dio</w:t>
      </w:r>
      <w:r w:rsidRPr="00EF6E21">
        <w:rPr>
          <w:noProof/>
          <w:sz w:val="22"/>
          <w:szCs w:val="22"/>
          <w:lang w:val="sr-Latn-ME"/>
        </w:rPr>
        <w:t xml:space="preserve"> 4.8). Potrebno je sprovesti hitno ispitivanje svakog pacijenta sa novim ili pogoršanim simptomima na plućima koji ukazuju na ILD/pneumonitis (npr. dispneja, kašalj, povišena t</w:t>
      </w:r>
      <w:r w:rsidR="00426D81" w:rsidRPr="00EF6E21">
        <w:rPr>
          <w:noProof/>
          <w:sz w:val="22"/>
          <w:szCs w:val="22"/>
          <w:lang w:val="sr-Latn-ME"/>
        </w:rPr>
        <w:t>j</w:t>
      </w:r>
      <w:r w:rsidRPr="00EF6E21">
        <w:rPr>
          <w:noProof/>
          <w:sz w:val="22"/>
          <w:szCs w:val="22"/>
          <w:lang w:val="sr-Latn-ME"/>
        </w:rPr>
        <w:t xml:space="preserve">elesna temperatura). </w:t>
      </w:r>
      <w:r w:rsidR="00121A30" w:rsidRPr="00EF6E21">
        <w:rPr>
          <w:noProof/>
          <w:sz w:val="22"/>
          <w:szCs w:val="22"/>
          <w:lang w:val="sr-Latn-ME"/>
        </w:rPr>
        <w:t>Lijek</w:t>
      </w:r>
      <w:r w:rsidRPr="00EF6E21">
        <w:rPr>
          <w:noProof/>
          <w:sz w:val="22"/>
          <w:szCs w:val="22"/>
          <w:lang w:val="sr-Latn-ME"/>
        </w:rPr>
        <w:t xml:space="preserve"> Tabrecta treba odmah obustaviti kod pacijenata sa sumnjom na ILD/pneumonitis i trajno prekinuti ako ni</w:t>
      </w:r>
      <w:r w:rsidR="00CE71C4" w:rsidRPr="00EF6E21">
        <w:rPr>
          <w:noProof/>
          <w:sz w:val="22"/>
          <w:szCs w:val="22"/>
          <w:lang w:val="sr-Latn-ME"/>
        </w:rPr>
        <w:t>je</w:t>
      </w:r>
      <w:r w:rsidRPr="00EF6E21">
        <w:rPr>
          <w:noProof/>
          <w:sz w:val="22"/>
          <w:szCs w:val="22"/>
          <w:lang w:val="sr-Latn-ME"/>
        </w:rPr>
        <w:t>su identifikovani drugi potencijalni uzroci ILD/pneumonitisa (</w:t>
      </w:r>
      <w:r w:rsidR="00AE0F7F" w:rsidRPr="00EF6E21">
        <w:rPr>
          <w:noProof/>
          <w:sz w:val="22"/>
          <w:szCs w:val="22"/>
          <w:lang w:val="sr-Latn-ME"/>
        </w:rPr>
        <w:t>vidjet</w:t>
      </w:r>
      <w:r w:rsidRPr="00EF6E21">
        <w:rPr>
          <w:noProof/>
          <w:sz w:val="22"/>
          <w:szCs w:val="22"/>
          <w:lang w:val="sr-Latn-ME"/>
        </w:rPr>
        <w:t xml:space="preserve">i </w:t>
      </w:r>
      <w:r w:rsidR="004220FE" w:rsidRPr="00EF6E21">
        <w:rPr>
          <w:noProof/>
          <w:sz w:val="22"/>
          <w:szCs w:val="22"/>
          <w:lang w:val="sr-Latn-ME"/>
        </w:rPr>
        <w:t>dio</w:t>
      </w:r>
      <w:r w:rsidRPr="00EF6E21">
        <w:rPr>
          <w:noProof/>
          <w:sz w:val="22"/>
          <w:szCs w:val="22"/>
          <w:lang w:val="sr-Latn-ME"/>
        </w:rPr>
        <w:t xml:space="preserve"> 4.2).</w:t>
      </w:r>
    </w:p>
    <w:p w14:paraId="791B943E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3F" w14:textId="1FBDFD32" w:rsidR="00F95A54" w:rsidRPr="00EF6E21" w:rsidRDefault="001E2B0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Dejstva na</w:t>
      </w:r>
      <w:r w:rsidR="00F95A54" w:rsidRPr="00EF6E21">
        <w:rPr>
          <w:sz w:val="22"/>
          <w:szCs w:val="22"/>
          <w:u w:val="single"/>
          <w:lang w:val="sr-Latn-ME"/>
        </w:rPr>
        <w:t xml:space="preserve"> jetr</w:t>
      </w:r>
      <w:r w:rsidRPr="00EF6E21">
        <w:rPr>
          <w:sz w:val="22"/>
          <w:szCs w:val="22"/>
          <w:u w:val="single"/>
          <w:lang w:val="sr-Latn-ME"/>
        </w:rPr>
        <w:t>u</w:t>
      </w:r>
    </w:p>
    <w:p w14:paraId="791B9440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41" w14:textId="0794678F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Povećane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transaminaza su se javile kod pacijenata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641ACF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4.8). Funkcionalne testove jetre (uključujući ALT, AST i ukupan bilirubin) potrebno je uraditi pr</w:t>
      </w:r>
      <w:r w:rsidR="00A11D7B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 početka </w:t>
      </w:r>
      <w:r w:rsidR="008F6830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enja, svake 2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e tokom prva 3 </w:t>
      </w:r>
      <w:r w:rsidR="008F6830" w:rsidRPr="00EF6E21">
        <w:rPr>
          <w:sz w:val="22"/>
          <w:szCs w:val="22"/>
          <w:lang w:val="sr-Latn-ME"/>
        </w:rPr>
        <w:t>mjesec</w:t>
      </w:r>
      <w:r w:rsidRPr="00EF6E21">
        <w:rPr>
          <w:sz w:val="22"/>
          <w:szCs w:val="22"/>
          <w:lang w:val="sr-Latn-ME"/>
        </w:rPr>
        <w:t xml:space="preserve">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enja, zatim jednom 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esečno ili kako je klinički indikovano, sa češćim testiranjem kod pacijenata kod kojih dođe do povećanja transaminaza ili bilirubina. Prema težini neželjene reakcije </w:t>
      </w:r>
      <w:r w:rsidR="00CE71C4" w:rsidRPr="00EF6E21">
        <w:rPr>
          <w:sz w:val="22"/>
          <w:szCs w:val="22"/>
          <w:lang w:val="sr-Latn-ME"/>
        </w:rPr>
        <w:t xml:space="preserve">potrebno je </w:t>
      </w:r>
      <w:r w:rsidRPr="00EF6E21">
        <w:rPr>
          <w:sz w:val="22"/>
          <w:szCs w:val="22"/>
          <w:lang w:val="sr-Latn-ME"/>
        </w:rPr>
        <w:t>privremeno prekin</w:t>
      </w:r>
      <w:r w:rsidR="00CE71C4" w:rsidRPr="00EF6E21">
        <w:rPr>
          <w:sz w:val="22"/>
          <w:szCs w:val="22"/>
          <w:lang w:val="sr-Latn-ME"/>
        </w:rPr>
        <w:t>uti</w:t>
      </w:r>
      <w:r w:rsidRPr="00EF6E21">
        <w:rPr>
          <w:sz w:val="22"/>
          <w:szCs w:val="22"/>
          <w:lang w:val="sr-Latn-ME"/>
        </w:rPr>
        <w:t>, smanjit</w:t>
      </w:r>
      <w:r w:rsidR="00CE71C4" w:rsidRPr="00EF6E21">
        <w:rPr>
          <w:sz w:val="22"/>
          <w:szCs w:val="22"/>
          <w:lang w:val="sr-Latn-ME"/>
        </w:rPr>
        <w:t>i</w:t>
      </w:r>
      <w:r w:rsidRPr="00EF6E21">
        <w:rPr>
          <w:sz w:val="22"/>
          <w:szCs w:val="22"/>
          <w:lang w:val="sr-Latn-ME"/>
        </w:rPr>
        <w:t xml:space="preserve"> dozu ili trajno obustavit</w:t>
      </w:r>
      <w:r w:rsidR="00CE71C4" w:rsidRPr="00EF6E21">
        <w:rPr>
          <w:sz w:val="22"/>
          <w:szCs w:val="22"/>
          <w:lang w:val="sr-Latn-ME"/>
        </w:rPr>
        <w:t>i</w:t>
      </w:r>
      <w:r w:rsidRPr="00EF6E21">
        <w:rPr>
          <w:sz w:val="22"/>
          <w:szCs w:val="22"/>
          <w:lang w:val="sr-Latn-ME"/>
        </w:rPr>
        <w:t xml:space="preserve">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4.2).</w:t>
      </w:r>
    </w:p>
    <w:p w14:paraId="791B944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43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Povećane </w:t>
      </w:r>
      <w:r w:rsidR="00AE0F7F" w:rsidRPr="00EF6E21">
        <w:rPr>
          <w:sz w:val="22"/>
          <w:szCs w:val="22"/>
          <w:u w:val="single"/>
          <w:lang w:val="sr-Latn-ME"/>
        </w:rPr>
        <w:t>vrijedn</w:t>
      </w:r>
      <w:r w:rsidRPr="00EF6E21">
        <w:rPr>
          <w:sz w:val="22"/>
          <w:szCs w:val="22"/>
          <w:u w:val="single"/>
          <w:lang w:val="sr-Latn-ME"/>
        </w:rPr>
        <w:t>osti enzima pankreasa</w:t>
      </w:r>
    </w:p>
    <w:p w14:paraId="791B9444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45" w14:textId="0A9D9320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Povećane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amilaze i lipaze su se javile kod pacijenata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4.8). Amilazu i lipazu treba pratiti na početku i redovno tokom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Tabecta. Prema težini neželjene reakcije </w:t>
      </w:r>
      <w:r w:rsidR="00CE71C4" w:rsidRPr="00EF6E21">
        <w:rPr>
          <w:sz w:val="22"/>
          <w:szCs w:val="22"/>
          <w:lang w:val="sr-Latn-ME"/>
        </w:rPr>
        <w:t xml:space="preserve">potrebno je </w:t>
      </w:r>
      <w:r w:rsidRPr="00EF6E21">
        <w:rPr>
          <w:sz w:val="22"/>
          <w:szCs w:val="22"/>
          <w:lang w:val="sr-Latn-ME"/>
        </w:rPr>
        <w:t>privremeno prekin</w:t>
      </w:r>
      <w:r w:rsidR="00CE71C4" w:rsidRPr="00EF6E21">
        <w:rPr>
          <w:sz w:val="22"/>
          <w:szCs w:val="22"/>
          <w:lang w:val="sr-Latn-ME"/>
        </w:rPr>
        <w:t>uti</w:t>
      </w:r>
      <w:r w:rsidRPr="00EF6E21">
        <w:rPr>
          <w:sz w:val="22"/>
          <w:szCs w:val="22"/>
          <w:lang w:val="sr-Latn-ME"/>
        </w:rPr>
        <w:t>, smanjit</w:t>
      </w:r>
      <w:r w:rsidR="00CE71C4" w:rsidRPr="00EF6E21">
        <w:rPr>
          <w:sz w:val="22"/>
          <w:szCs w:val="22"/>
          <w:lang w:val="sr-Latn-ME"/>
        </w:rPr>
        <w:t>i</w:t>
      </w:r>
      <w:r w:rsidRPr="00EF6E21">
        <w:rPr>
          <w:sz w:val="22"/>
          <w:szCs w:val="22"/>
          <w:lang w:val="sr-Latn-ME"/>
        </w:rPr>
        <w:t xml:space="preserve"> dozu ili trajno obustavit</w:t>
      </w:r>
      <w:r w:rsidR="00CE71C4" w:rsidRPr="00EF6E21">
        <w:rPr>
          <w:sz w:val="22"/>
          <w:szCs w:val="22"/>
          <w:lang w:val="sr-Latn-ME"/>
        </w:rPr>
        <w:t>i</w:t>
      </w:r>
      <w:r w:rsidRPr="00EF6E21">
        <w:rPr>
          <w:sz w:val="22"/>
          <w:szCs w:val="22"/>
          <w:lang w:val="sr-Latn-ME"/>
        </w:rPr>
        <w:t xml:space="preserve">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4.2).</w:t>
      </w:r>
    </w:p>
    <w:p w14:paraId="791B9446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47" w14:textId="69885413" w:rsidR="00F95A54" w:rsidRPr="00F74D94" w:rsidRDefault="00F95A54" w:rsidP="0017386F">
      <w:pPr>
        <w:shd w:val="clear" w:color="auto" w:fill="FFFFFF" w:themeFill="background1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F74D94">
        <w:rPr>
          <w:color w:val="000000" w:themeColor="text1"/>
          <w:sz w:val="22"/>
          <w:szCs w:val="22"/>
          <w:u w:val="single"/>
          <w:lang w:val="sr-Latn-ME"/>
        </w:rPr>
        <w:t>Embriofetalna toksičnost</w:t>
      </w:r>
    </w:p>
    <w:p w14:paraId="2E0E54CA" w14:textId="77777777" w:rsidR="00CE71C4" w:rsidRPr="00EF6E21" w:rsidRDefault="00CE71C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48" w14:textId="5A21F862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Na osnovu podataka dobijenih </w:t>
      </w:r>
      <w:r w:rsidR="009F4E01" w:rsidRPr="00EF6E21">
        <w:rPr>
          <w:sz w:val="22"/>
          <w:szCs w:val="22"/>
          <w:lang w:val="sr-Latn-ME"/>
        </w:rPr>
        <w:t xml:space="preserve">iz ispitivanja </w:t>
      </w:r>
      <w:r w:rsidRPr="00EF6E21">
        <w:rPr>
          <w:sz w:val="22"/>
          <w:szCs w:val="22"/>
          <w:lang w:val="sr-Latn-ME"/>
        </w:rPr>
        <w:t>na životinjama i mehanizma d</w:t>
      </w:r>
      <w:r w:rsidR="009F4E01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elovanja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a,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zbog svoje fetotoksičnosti i teratogenosti može da naškodi fetusu kada se daje trudnicama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4.6). Trudnice i žene u reproduktivnom periodu treba sav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etovati o potencijalnom riziku za fetus ako se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koristi tokom trudnoće ili ukoliko pacijentkinja zatrudni dok uzima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Tabrecta. Seksualno aktivne žene u reproduktivnom periodu treba da koriste efektivnu kontracepciju tokom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 i najmanje 7 dana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e posl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ednje doze. Potrebno je utvrditi status trudnoće kod žena u reproduktivnom periodu</w:t>
      </w:r>
      <w:r w:rsidR="00A11D7B" w:rsidRPr="00EF6E21">
        <w:rPr>
          <w:sz w:val="22"/>
          <w:szCs w:val="22"/>
          <w:lang w:val="sr-Latn-ME"/>
        </w:rPr>
        <w:t xml:space="preserve">prije </w:t>
      </w:r>
      <w:r w:rsidRPr="00EF6E21">
        <w:rPr>
          <w:sz w:val="22"/>
          <w:szCs w:val="22"/>
          <w:lang w:val="sr-Latn-ME"/>
        </w:rPr>
        <w:t xml:space="preserve">početka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Tabrecta.</w:t>
      </w:r>
    </w:p>
    <w:p w14:paraId="791B9449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4A" w14:textId="6BD6569B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Pacijenti muškog pola čije su partnerke sa kojima imaju odnose trudne, mogle bi biti trudne ili bi mogle da zatrudne moraju da koriste </w:t>
      </w:r>
      <w:r w:rsidR="00A11D7B" w:rsidRPr="00EF6E21">
        <w:rPr>
          <w:sz w:val="22"/>
          <w:szCs w:val="22"/>
          <w:lang w:val="sr-Latn-ME"/>
        </w:rPr>
        <w:t>prezervativ</w:t>
      </w:r>
      <w:r w:rsidRPr="00EF6E21">
        <w:rPr>
          <w:sz w:val="22"/>
          <w:szCs w:val="22"/>
          <w:lang w:val="sr-Latn-ME"/>
        </w:rPr>
        <w:t xml:space="preserve"> dok uzimaju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i još najmanje 7 dana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8F6830" w:rsidRPr="00EF6E21">
        <w:rPr>
          <w:sz w:val="22"/>
          <w:szCs w:val="22"/>
          <w:lang w:val="sr-Latn-ME"/>
        </w:rPr>
        <w:t>posljed</w:t>
      </w:r>
      <w:r w:rsidRPr="00EF6E21">
        <w:rPr>
          <w:sz w:val="22"/>
          <w:szCs w:val="22"/>
          <w:lang w:val="sr-Latn-ME"/>
        </w:rPr>
        <w:t>nje doze.</w:t>
      </w:r>
    </w:p>
    <w:p w14:paraId="791B944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4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Rizik od fotosenzitivnosti</w:t>
      </w:r>
    </w:p>
    <w:p w14:paraId="791B944D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4E" w14:textId="6B22E5F5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Na osnovu podataka dobijenih na životinjama postoji potencijalni rizik od reakcija fotosenzitivnosti sa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5.3). U kliničkom ispitivanju GEOMETRY mono-1, preporučeno je da se pacijentima ograniči direktno izlaganje ultraljubičastom zračenju tokom ter</w:t>
      </w:r>
      <w:r w:rsidR="00AE2446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pije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i sprovode sl</w:t>
      </w:r>
      <w:r w:rsidR="00AE2446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edeće zaštitne 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ere: upotreba kreme za </w:t>
      </w:r>
      <w:r w:rsidR="00771E8F" w:rsidRPr="00EF6E21">
        <w:rPr>
          <w:sz w:val="22"/>
          <w:szCs w:val="22"/>
          <w:lang w:val="sr-Latn-ME"/>
        </w:rPr>
        <w:t>zaštitu od sunca</w:t>
      </w:r>
      <w:r w:rsidRPr="00EF6E21">
        <w:rPr>
          <w:sz w:val="22"/>
          <w:szCs w:val="22"/>
          <w:lang w:val="sr-Latn-ME"/>
        </w:rPr>
        <w:t xml:space="preserve"> na izloženim d</w:t>
      </w:r>
      <w:r w:rsidR="00AE2446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elovima t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ela, nošenje zaštitne od</w:t>
      </w:r>
      <w:r w:rsidR="00AE2446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eće i naočara za sunce. Ove 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 treba nastaviti najmanje 7 dana nakon prim</w:t>
      </w:r>
      <w:r w:rsidR="00AE0F7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ene </w:t>
      </w:r>
      <w:r w:rsidR="008F6830" w:rsidRPr="00EF6E21">
        <w:rPr>
          <w:sz w:val="22"/>
          <w:szCs w:val="22"/>
          <w:lang w:val="sr-Latn-ME"/>
        </w:rPr>
        <w:t>posljed</w:t>
      </w:r>
      <w:r w:rsidRPr="00EF6E21">
        <w:rPr>
          <w:sz w:val="22"/>
          <w:szCs w:val="22"/>
          <w:lang w:val="sr-Latn-ME"/>
        </w:rPr>
        <w:t>nje doze.</w:t>
      </w:r>
    </w:p>
    <w:p w14:paraId="0679946B" w14:textId="77777777" w:rsidR="00ED0DC6" w:rsidRDefault="00ED0DC6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50" w14:textId="317F94BB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Interakcije sa drugim </w:t>
      </w:r>
      <w:r w:rsidR="00121A30" w:rsidRPr="00EF6E21">
        <w:rPr>
          <w:sz w:val="22"/>
          <w:szCs w:val="22"/>
          <w:u w:val="single"/>
          <w:lang w:val="sr-Latn-ME"/>
        </w:rPr>
        <w:t>ljek</w:t>
      </w:r>
      <w:r w:rsidRPr="00EF6E21">
        <w:rPr>
          <w:sz w:val="22"/>
          <w:szCs w:val="22"/>
          <w:u w:val="single"/>
          <w:lang w:val="sr-Latn-ME"/>
        </w:rPr>
        <w:t>ovima</w:t>
      </w:r>
    </w:p>
    <w:p w14:paraId="791B9451" w14:textId="5D972DF1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Postoji potencijal za interakcije između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>ova gd</w:t>
      </w:r>
      <w:r w:rsidR="008B4CD9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 je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</w:t>
      </w:r>
      <w:r w:rsidR="00121A30" w:rsidRPr="00EF6E21">
        <w:rPr>
          <w:sz w:val="22"/>
          <w:szCs w:val="22"/>
          <w:lang w:val="sr-Latn-ME"/>
        </w:rPr>
        <w:t>lijek</w:t>
      </w:r>
      <w:r w:rsidR="00625BD7" w:rsidRPr="00EF6E21">
        <w:rPr>
          <w:sz w:val="22"/>
          <w:szCs w:val="22"/>
          <w:lang w:val="sr-Latn-ME"/>
        </w:rPr>
        <w:t xml:space="preserve"> na koji utiče interakcija ili koji je sam induktor ili inhibitor </w:t>
      </w:r>
      <w:r w:rsidRPr="00EF6E21">
        <w:rPr>
          <w:sz w:val="22"/>
          <w:szCs w:val="22"/>
          <w:lang w:val="sr-Latn-ME"/>
        </w:rPr>
        <w:t>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4.5).</w:t>
      </w:r>
    </w:p>
    <w:p w14:paraId="791B945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453" w14:textId="3236F013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lastRenderedPageBreak/>
        <w:t>Ekscipijensi</w:t>
      </w:r>
    </w:p>
    <w:p w14:paraId="791B9455" w14:textId="77777777" w:rsidR="00057E35" w:rsidRPr="00EF6E21" w:rsidRDefault="00F95A54" w:rsidP="0017386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Ovaj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sadrži manje od 1 mmol (23 mg) natrijuma po jednoj film tableti, tj. suštinski je „bez natrijuma”</w:t>
      </w:r>
    </w:p>
    <w:p w14:paraId="791B9456" w14:textId="77777777" w:rsidR="00F95A54" w:rsidRPr="00EF6E21" w:rsidRDefault="00F95A54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457" w14:textId="53623552" w:rsidR="00411B4B" w:rsidRPr="00EF6E21" w:rsidRDefault="00411B4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>4.5.</w:t>
      </w:r>
      <w:r w:rsidR="000D60CC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9A46FA4" w14:textId="77777777" w:rsidR="00771E8F" w:rsidRPr="00EF6E21" w:rsidRDefault="00771E8F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458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se metaboliše putem CYP3A4 enzima i aldehid oksidaze. Rizik od interakcija sa drugim l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ekovima putem aldehid oksidaze nije proc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enjivana jer ne postoje potvrđeni klinički relevantni inhibitori.</w:t>
      </w:r>
    </w:p>
    <w:p w14:paraId="791B9459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5A" w14:textId="77777777" w:rsidR="00F95A54" w:rsidRPr="00EF6E21" w:rsidRDefault="00F95A54" w:rsidP="0017386F">
      <w:pPr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Dejstvo drugih l</w:t>
      </w:r>
      <w:r w:rsidR="008F6830" w:rsidRPr="00EF6E21">
        <w:rPr>
          <w:sz w:val="22"/>
          <w:szCs w:val="22"/>
          <w:u w:val="single"/>
          <w:lang w:val="sr-Latn-ME"/>
        </w:rPr>
        <w:t>j</w:t>
      </w:r>
      <w:r w:rsidRPr="00EF6E21">
        <w:rPr>
          <w:sz w:val="22"/>
          <w:szCs w:val="22"/>
          <w:u w:val="single"/>
          <w:lang w:val="sr-Latn-ME"/>
        </w:rPr>
        <w:t xml:space="preserve">ekova na </w:t>
      </w:r>
      <w:r w:rsidR="00121A30" w:rsidRPr="00EF6E21">
        <w:rPr>
          <w:sz w:val="22"/>
          <w:szCs w:val="22"/>
          <w:u w:val="single"/>
          <w:lang w:val="sr-Latn-ME"/>
        </w:rPr>
        <w:t>lijek</w:t>
      </w:r>
      <w:r w:rsidRPr="00EF6E21">
        <w:rPr>
          <w:sz w:val="22"/>
          <w:szCs w:val="22"/>
          <w:u w:val="single"/>
          <w:lang w:val="sr-Latn-ME"/>
        </w:rPr>
        <w:t xml:space="preserve"> Tabrecta</w:t>
      </w:r>
    </w:p>
    <w:p w14:paraId="791B945B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5C" w14:textId="77777777" w:rsidR="00F95A54" w:rsidRPr="00EF6E21" w:rsidRDefault="00F95A54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Jaki inhibitori CYP3A</w:t>
      </w:r>
    </w:p>
    <w:p w14:paraId="791B945D" w14:textId="34DCD83F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Kod zdravih ispitanika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jedne doze kapmatiniba od 200 mg sa jakim CYP3A inhibitorom itrakonazolom (200 mg jednom dnevno tokom 10 dana) je dovela do povećanja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kapmatiniba za 42% bez </w:t>
      </w:r>
      <w:r w:rsidR="00121A30" w:rsidRPr="00EF6E21">
        <w:rPr>
          <w:sz w:val="22"/>
          <w:szCs w:val="22"/>
          <w:lang w:val="sr-Latn-ME"/>
        </w:rPr>
        <w:t>promjen</w:t>
      </w:r>
      <w:r w:rsidRPr="00EF6E21">
        <w:rPr>
          <w:sz w:val="22"/>
          <w:szCs w:val="22"/>
          <w:lang w:val="sr-Latn-ME"/>
        </w:rPr>
        <w:t>a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kapmatiniba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</w:t>
      </w:r>
      <w:r w:rsidR="00771E8F" w:rsidRPr="00EF6E21">
        <w:rPr>
          <w:sz w:val="22"/>
          <w:szCs w:val="22"/>
          <w:lang w:val="sr-Latn-ME"/>
        </w:rPr>
        <w:t xml:space="preserve">samo </w:t>
      </w:r>
      <w:r w:rsidRPr="00EF6E21">
        <w:rPr>
          <w:sz w:val="22"/>
          <w:szCs w:val="22"/>
          <w:lang w:val="sr-Latn-ME"/>
        </w:rPr>
        <w:t xml:space="preserve">kapmatiniba. Pacijenti treba da budu pažljivo praćeni </w:t>
      </w:r>
      <w:r w:rsidR="00641ACF" w:rsidRPr="00EF6E21">
        <w:rPr>
          <w:sz w:val="22"/>
          <w:szCs w:val="22"/>
          <w:lang w:val="sr-Latn-ME"/>
        </w:rPr>
        <w:t>zbog</w:t>
      </w:r>
      <w:r w:rsidRPr="00EF6E21">
        <w:rPr>
          <w:sz w:val="22"/>
          <w:szCs w:val="22"/>
          <w:lang w:val="sr-Latn-ME"/>
        </w:rPr>
        <w:t xml:space="preserve"> neželjen</w:t>
      </w:r>
      <w:r w:rsidR="00641ACF" w:rsidRPr="00EF6E21">
        <w:rPr>
          <w:sz w:val="22"/>
          <w:szCs w:val="22"/>
          <w:lang w:val="sr-Latn-ME"/>
        </w:rPr>
        <w:t>ih</w:t>
      </w:r>
      <w:r w:rsidRPr="00EF6E21">
        <w:rPr>
          <w:sz w:val="22"/>
          <w:szCs w:val="22"/>
          <w:lang w:val="sr-Latn-ME"/>
        </w:rPr>
        <w:t xml:space="preserve"> reakcij</w:t>
      </w:r>
      <w:r w:rsidR="00641ACF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 tokom istovremene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sa jakim inhibitorima CYP3A, uključujući, </w:t>
      </w:r>
      <w:r w:rsidR="00A11D7B" w:rsidRPr="00EF6E21">
        <w:rPr>
          <w:sz w:val="22"/>
          <w:szCs w:val="22"/>
          <w:lang w:val="sr-Latn-ME"/>
        </w:rPr>
        <w:t>između ostalih</w:t>
      </w:r>
      <w:r w:rsidRPr="00EF6E21">
        <w:rPr>
          <w:sz w:val="22"/>
          <w:szCs w:val="22"/>
          <w:lang w:val="sr-Latn-ME"/>
        </w:rPr>
        <w:t xml:space="preserve"> klaritromicin, indinavir, itrakonazol, ketokonazol, lopinavir/ritonavir, nefazodon, nelfinavir, posakonazol, ritonavir, sakvinavir, telaprevir, telitromicin, verapamil i vorikonazol.</w:t>
      </w:r>
    </w:p>
    <w:p w14:paraId="791B945E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5F" w14:textId="77777777" w:rsidR="00F95A54" w:rsidRPr="00EF6E21" w:rsidRDefault="00F95A54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Jaki induktori CYP3A</w:t>
      </w:r>
    </w:p>
    <w:p w14:paraId="791B9460" w14:textId="1760C6A0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Kod zdravih ispitanika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jedne doze kapmatiniba od 400 mg sa jakim CYP3A induktorom rifampicinom (600 mg jednom dnevno tokom 9 dana) je dovela do smanjenja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kapmatiniba za 67% sa smanjenjem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za 56%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samo kapmatiniba. Smanjenje izloženosti kapmatinibu može smanjiti antitumorsku aktivnost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Tabrecta. Treba izb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egavati istovremenu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sa jakim induktorima CYP3A, uključujući, </w:t>
      </w:r>
      <w:r w:rsidR="00A11D7B" w:rsidRPr="00EF6E21">
        <w:rPr>
          <w:sz w:val="22"/>
          <w:szCs w:val="22"/>
          <w:lang w:val="sr-Latn-ME"/>
        </w:rPr>
        <w:t>između ostalih</w:t>
      </w:r>
      <w:r w:rsidRPr="00EF6E21">
        <w:rPr>
          <w:sz w:val="22"/>
          <w:szCs w:val="22"/>
          <w:lang w:val="sr-Latn-ME"/>
        </w:rPr>
        <w:t>karbamazepin, fenobarbital, fenitoin, rifampicin i kantarion (</w:t>
      </w:r>
      <w:r w:rsidRPr="00EF6E21">
        <w:rPr>
          <w:i/>
          <w:sz w:val="22"/>
          <w:szCs w:val="22"/>
          <w:lang w:val="sr-Latn-ME"/>
        </w:rPr>
        <w:t>Hypericum perforatum</w:t>
      </w:r>
      <w:r w:rsidRPr="00EF6E21">
        <w:rPr>
          <w:sz w:val="22"/>
          <w:szCs w:val="22"/>
          <w:lang w:val="sr-Latn-ME"/>
        </w:rPr>
        <w:t xml:space="preserve">). Potrebno je razmotriti i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u alternativnih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>ova koji nemaju ili imaju mali potencijal indukovanja CYP3A.</w:t>
      </w:r>
    </w:p>
    <w:p w14:paraId="791B9461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2" w14:textId="77777777" w:rsidR="00F95A54" w:rsidRPr="00EF6E21" w:rsidRDefault="00FF18A1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Umjer</w:t>
      </w:r>
      <w:r w:rsidR="00F95A54" w:rsidRPr="00EF6E21">
        <w:rPr>
          <w:i/>
          <w:sz w:val="22"/>
          <w:szCs w:val="22"/>
          <w:u w:val="single"/>
          <w:lang w:val="sr-Latn-ME"/>
        </w:rPr>
        <w:t>eni induktori CYP3A</w:t>
      </w:r>
    </w:p>
    <w:p w14:paraId="791B9463" w14:textId="55C8589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Simulacije fiziološki zasnovanih farmakokinetičkih (PBPK) modela su predvid</w:t>
      </w:r>
      <w:r w:rsidR="00771E8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ele da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a doze od 400 mg kapmatiniba sa </w:t>
      </w:r>
      <w:r w:rsidR="00FF18A1" w:rsidRPr="00EF6E21">
        <w:rPr>
          <w:sz w:val="22"/>
          <w:szCs w:val="22"/>
          <w:lang w:val="sr-Latn-ME"/>
        </w:rPr>
        <w:t>umjer</w:t>
      </w:r>
      <w:r w:rsidRPr="00EF6E21">
        <w:rPr>
          <w:sz w:val="22"/>
          <w:szCs w:val="22"/>
          <w:lang w:val="sr-Latn-ME"/>
        </w:rPr>
        <w:t>enim CYP3A induktorom efavirenzom (600 mg dnevno tokom 20 dana)  dovodi do smanjenja PIK</w:t>
      </w:r>
      <w:r w:rsidRPr="00EF6E21">
        <w:rPr>
          <w:sz w:val="22"/>
          <w:szCs w:val="22"/>
          <w:vertAlign w:val="subscript"/>
          <w:lang w:val="sr-Latn-ME"/>
        </w:rPr>
        <w:t>0-12h</w:t>
      </w:r>
      <w:r w:rsidRPr="00EF6E21">
        <w:rPr>
          <w:sz w:val="22"/>
          <w:szCs w:val="22"/>
          <w:lang w:val="sr-Latn-ME"/>
        </w:rPr>
        <w:t xml:space="preserve"> kapmatiniba za 44% i smanjenja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za 34% u stanju ravnoteže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samo kapmatiniba. Smanjenje izloženosti kapmatinibu može smanjiti antitumorsku aktivnost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Tabrecta. Potreban je oprez tokom istovremene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sa </w:t>
      </w:r>
      <w:r w:rsidR="00FF18A1" w:rsidRPr="00EF6E21">
        <w:rPr>
          <w:sz w:val="22"/>
          <w:szCs w:val="22"/>
          <w:lang w:val="sr-Latn-ME"/>
        </w:rPr>
        <w:t>umjer</w:t>
      </w:r>
      <w:r w:rsidRPr="00EF6E21">
        <w:rPr>
          <w:sz w:val="22"/>
          <w:szCs w:val="22"/>
          <w:lang w:val="sr-Latn-ME"/>
        </w:rPr>
        <w:t>enim induktorima CYP3A.</w:t>
      </w:r>
    </w:p>
    <w:p w14:paraId="791B9464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5" w14:textId="6820EFCA" w:rsidR="00F95A54" w:rsidRPr="00EF6E21" w:rsidRDefault="00641ACF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Ljekovi</w:t>
      </w:r>
      <w:r w:rsidR="00F95A54" w:rsidRPr="00EF6E21">
        <w:rPr>
          <w:i/>
          <w:sz w:val="22"/>
          <w:szCs w:val="22"/>
          <w:u w:val="single"/>
          <w:lang w:val="sr-Latn-ME"/>
        </w:rPr>
        <w:t xml:space="preserve"> koj</w:t>
      </w:r>
      <w:r w:rsidRPr="00EF6E21">
        <w:rPr>
          <w:i/>
          <w:sz w:val="22"/>
          <w:szCs w:val="22"/>
          <w:u w:val="single"/>
          <w:lang w:val="sr-Latn-ME"/>
        </w:rPr>
        <w:t>i</w:t>
      </w:r>
      <w:r w:rsidR="00F95A54" w:rsidRPr="00EF6E21">
        <w:rPr>
          <w:i/>
          <w:sz w:val="22"/>
          <w:szCs w:val="22"/>
          <w:u w:val="single"/>
          <w:lang w:val="sr-Latn-ME"/>
        </w:rPr>
        <w:t xml:space="preserve"> </w:t>
      </w:r>
      <w:r w:rsidRPr="00EF6E21">
        <w:rPr>
          <w:i/>
          <w:sz w:val="22"/>
          <w:szCs w:val="22"/>
          <w:u w:val="single"/>
          <w:lang w:val="sr-Latn-ME"/>
        </w:rPr>
        <w:t>povećavaju</w:t>
      </w:r>
      <w:r w:rsidR="00F95A54" w:rsidRPr="00EF6E21">
        <w:rPr>
          <w:i/>
          <w:sz w:val="22"/>
          <w:szCs w:val="22"/>
          <w:u w:val="single"/>
          <w:lang w:val="sr-Latn-ME"/>
        </w:rPr>
        <w:t xml:space="preserve"> pH želuca</w:t>
      </w:r>
    </w:p>
    <w:p w14:paraId="791B9466" w14:textId="76B0A484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Kapmatinib pokazuje rastvorljivost zavisnu od pH i sa porastom pH postaje slabo rastvorljiv u </w:t>
      </w:r>
      <w:r w:rsidRPr="00EF6E21">
        <w:rPr>
          <w:i/>
          <w:sz w:val="22"/>
          <w:szCs w:val="22"/>
          <w:lang w:val="sr-Latn-ME"/>
        </w:rPr>
        <w:t xml:space="preserve">in vitro </w:t>
      </w:r>
      <w:r w:rsidRPr="00EF6E21">
        <w:rPr>
          <w:sz w:val="22"/>
          <w:szCs w:val="22"/>
          <w:lang w:val="sr-Latn-ME"/>
        </w:rPr>
        <w:t xml:space="preserve">uslovima. Kod zdravih ispitanika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jedne doze kapmatiniba od 600 mg sa inhibitorom protonske pumpe rabeprazolom (20 mg jednom dnevno tokom 4 dana) je smanjila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kapmatiniba za 25% i smanjila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za 38%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om samo kapmatiniba. Malo je v</w:t>
      </w:r>
      <w:r w:rsidR="00771E8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erovatno da će doći do klinički relevantne interakcije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 xml:space="preserve">ova između kapmatiniba i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 xml:space="preserve">ova za smanjenje lučenja želudačne kiseline jer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rabeprazola nije imala klinički značajan efekat na izloženost kapmatinib</w:t>
      </w:r>
      <w:r w:rsidR="00771E8F" w:rsidRPr="00EF6E21">
        <w:rPr>
          <w:sz w:val="22"/>
          <w:szCs w:val="22"/>
          <w:lang w:val="sr-Latn-ME"/>
        </w:rPr>
        <w:t>u</w:t>
      </w:r>
      <w:r w:rsidRPr="00EF6E21">
        <w:rPr>
          <w:sz w:val="22"/>
          <w:szCs w:val="22"/>
          <w:lang w:val="sr-Latn-ME"/>
        </w:rPr>
        <w:t>.</w:t>
      </w:r>
    </w:p>
    <w:p w14:paraId="791B9467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8" w14:textId="77777777" w:rsidR="00F95A54" w:rsidRPr="00EF6E21" w:rsidRDefault="00F95A54" w:rsidP="0017386F">
      <w:pPr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Dejstvo </w:t>
      </w:r>
      <w:r w:rsidR="00121A30" w:rsidRPr="00EF6E21">
        <w:rPr>
          <w:sz w:val="22"/>
          <w:szCs w:val="22"/>
          <w:u w:val="single"/>
          <w:lang w:val="sr-Latn-ME"/>
        </w:rPr>
        <w:t>lijek</w:t>
      </w:r>
      <w:r w:rsidRPr="00EF6E21">
        <w:rPr>
          <w:sz w:val="22"/>
          <w:szCs w:val="22"/>
          <w:u w:val="single"/>
          <w:lang w:val="sr-Latn-ME"/>
        </w:rPr>
        <w:t xml:space="preserve">a Tabrecta na druge </w:t>
      </w:r>
      <w:r w:rsidR="00121A30" w:rsidRPr="00EF6E21">
        <w:rPr>
          <w:sz w:val="22"/>
          <w:szCs w:val="22"/>
          <w:u w:val="single"/>
          <w:lang w:val="sr-Latn-ME"/>
        </w:rPr>
        <w:t>ljek</w:t>
      </w:r>
      <w:r w:rsidRPr="00EF6E21">
        <w:rPr>
          <w:sz w:val="22"/>
          <w:szCs w:val="22"/>
          <w:u w:val="single"/>
          <w:lang w:val="sr-Latn-ME"/>
        </w:rPr>
        <w:t>ove</w:t>
      </w:r>
    </w:p>
    <w:p w14:paraId="791B9469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A" w14:textId="529BF4FE" w:rsidR="00F95A54" w:rsidRPr="00EF6E21" w:rsidRDefault="00F95A54" w:rsidP="0017386F">
      <w:pPr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Supstrati CYP en</w:t>
      </w:r>
      <w:r w:rsidR="00641ACF" w:rsidRPr="00EF6E21">
        <w:rPr>
          <w:i/>
          <w:sz w:val="22"/>
          <w:szCs w:val="22"/>
          <w:u w:val="single"/>
          <w:lang w:val="sr-Latn-ME"/>
        </w:rPr>
        <w:t>zima</w:t>
      </w:r>
    </w:p>
    <w:p w14:paraId="791B946B" w14:textId="3F543015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Um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erena inhibicija CYP1A2 prim</w:t>
      </w:r>
      <w:r w:rsidR="00771E8F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ećena je prilikom istovremene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e kapmatiniba sa CYP1A2 os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etljivim supstratom kofeinom.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kapmatiniba (400 mg dva puta na dan) sa kofeinom dovela je do povećanja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kofeina za 134%. Ako se kapmatinib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juje istovremeno sa supstratima CYP1A2 sa uskim terapijskim indeksom kao što su teofilin i tizanidin, može biti potrebno smanjenje doze istovremeno </w:t>
      </w:r>
      <w:r w:rsidR="00AE0F7F" w:rsidRPr="00EF6E21">
        <w:rPr>
          <w:sz w:val="22"/>
          <w:szCs w:val="22"/>
          <w:lang w:val="sr-Latn-ME"/>
        </w:rPr>
        <w:t>primijen</w:t>
      </w:r>
      <w:r w:rsidRPr="00EF6E21">
        <w:rPr>
          <w:sz w:val="22"/>
          <w:szCs w:val="22"/>
          <w:lang w:val="sr-Latn-ME"/>
        </w:rPr>
        <w:t xml:space="preserve">jenih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>ova.</w:t>
      </w:r>
    </w:p>
    <w:p w14:paraId="791B946C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D" w14:textId="71A4453A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lastRenderedPageBreak/>
        <w:t>Malo je v</w:t>
      </w:r>
      <w:r w:rsidR="00771E8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erovatno da će doći do klinički relevantne interakcije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 xml:space="preserve">ova između kapmatiniba i CYP3A supstrata, jer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kapmatiniba nije imala klinički značajan efekat na izloženost midazolam</w:t>
      </w:r>
      <w:r w:rsidR="00771E8F" w:rsidRPr="00EF6E21">
        <w:rPr>
          <w:sz w:val="22"/>
          <w:szCs w:val="22"/>
          <w:lang w:val="sr-Latn-ME"/>
        </w:rPr>
        <w:t>u</w:t>
      </w:r>
      <w:r w:rsidRPr="00EF6E21">
        <w:rPr>
          <w:sz w:val="22"/>
          <w:szCs w:val="22"/>
          <w:lang w:val="sr-Latn-ME"/>
        </w:rPr>
        <w:t xml:space="preserve"> (supstrat CYP3A).</w:t>
      </w:r>
    </w:p>
    <w:p w14:paraId="791B946E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6F" w14:textId="4600A3DA" w:rsidR="00F95A54" w:rsidRPr="00EF6E21" w:rsidRDefault="00771E8F" w:rsidP="00771E8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Supstrati p</w:t>
      </w:r>
      <w:r w:rsidR="00F95A54" w:rsidRPr="00EF6E21">
        <w:rPr>
          <w:i/>
          <w:sz w:val="22"/>
          <w:szCs w:val="22"/>
          <w:u w:val="single"/>
          <w:lang w:val="sr-Latn-ME"/>
        </w:rPr>
        <w:t>-glikoprotein</w:t>
      </w:r>
      <w:r w:rsidRPr="00EF6E21">
        <w:rPr>
          <w:i/>
          <w:sz w:val="22"/>
          <w:szCs w:val="22"/>
          <w:u w:val="single"/>
          <w:lang w:val="sr-Latn-ME"/>
        </w:rPr>
        <w:t>a</w:t>
      </w:r>
      <w:r w:rsidR="00F95A54" w:rsidRPr="00EF6E21">
        <w:rPr>
          <w:i/>
          <w:sz w:val="22"/>
          <w:szCs w:val="22"/>
          <w:u w:val="single"/>
          <w:lang w:val="sr-Latn-ME"/>
        </w:rPr>
        <w:t xml:space="preserve"> (P-gp) i supstrati proteina za rezistenciju tumora dojke (</w:t>
      </w:r>
      <w:r w:rsidRPr="00EF6E21">
        <w:rPr>
          <w:i/>
          <w:sz w:val="22"/>
          <w:szCs w:val="22"/>
          <w:u w:val="single"/>
          <w:lang w:val="sr-Latn-ME"/>
        </w:rPr>
        <w:t xml:space="preserve">engl. Breast Cancer Resistance Protein, </w:t>
      </w:r>
      <w:r w:rsidR="00F95A54" w:rsidRPr="00EF6E21">
        <w:rPr>
          <w:i/>
          <w:sz w:val="22"/>
          <w:szCs w:val="22"/>
          <w:u w:val="single"/>
          <w:lang w:val="sr-Latn-ME"/>
        </w:rPr>
        <w:t>BCRP)</w:t>
      </w:r>
    </w:p>
    <w:p w14:paraId="791B9470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Kod pacijenata sa karcinomom,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digoksina (P-gp supstrata) sa višestrukim dozama kapmatiniba (400 mg dva puta na dan) dovodi do povećanja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digoksina za 47% i povećanja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za 74%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samo digoksina. Kod pacijenata sa kancerom,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a rosuvastatina (BCRP supstrata) sa višestrukim dozama kapmatiniba (400 mg dva puta na dan) dovodi do povećanja 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rosuvastatina za 108% i povećanja 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za 204% u poređenju sa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om samo rosuvastatina. Istovremena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sa P-gp ili BCRP supstratom može povećati učestalost i težinu neželjenih reakcija ovih supstrata. Potreban je oprez tokom istovremene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sa P-gp (digoksin, dabigatran eteksilat, kolhicin, sitagliptin, saksagliptin i posakonazol) ili BCRP supstratima (metotreksat, rosuvastatin, pravastatin, mitoksantron i sulfasalazin). Ako je kapmatinib istovremeno </w:t>
      </w:r>
      <w:r w:rsidR="00AE0F7F" w:rsidRPr="00EF6E21">
        <w:rPr>
          <w:sz w:val="22"/>
          <w:szCs w:val="22"/>
          <w:lang w:val="sr-Latn-ME"/>
        </w:rPr>
        <w:t>primijen</w:t>
      </w:r>
      <w:r w:rsidRPr="00EF6E21">
        <w:rPr>
          <w:sz w:val="22"/>
          <w:szCs w:val="22"/>
          <w:lang w:val="sr-Latn-ME"/>
        </w:rPr>
        <w:t>jen sa P-gp ili BCRP supstratima uskog terapijskog indeksa, može biti potrebno smanjenje doze istovremeno prim</w:t>
      </w:r>
      <w:r w:rsidR="00AE0F7F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enjenog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a.</w:t>
      </w:r>
    </w:p>
    <w:p w14:paraId="791B9471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472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4.6.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="006D20A5" w:rsidRPr="00EF6E21">
        <w:rPr>
          <w:b/>
          <w:sz w:val="22"/>
          <w:szCs w:val="22"/>
          <w:lang w:val="sr-Latn-ME"/>
        </w:rPr>
        <w:t>Plodnost, trudnoća i dojenje</w:t>
      </w:r>
    </w:p>
    <w:p w14:paraId="791B9473" w14:textId="77777777" w:rsidR="002031B3" w:rsidRPr="00EF6E21" w:rsidRDefault="002031B3" w:rsidP="0017386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91B9474" w14:textId="77777777" w:rsidR="00F95A54" w:rsidRPr="00EF6E21" w:rsidRDefault="00F95A54" w:rsidP="0017386F">
      <w:pPr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Žene u reproduktivnom periodu/Kontracepcija kod muškaraca i žena</w:t>
      </w:r>
    </w:p>
    <w:p w14:paraId="791B9476" w14:textId="77777777" w:rsidR="00F95A54" w:rsidRPr="00EF6E21" w:rsidRDefault="00F95A54" w:rsidP="0017386F">
      <w:pPr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Seksualno aktivne žene u reproduktivnom periodu treba da koriste efektivnu kontracepciju (metode koje imaju stopu manju od 1% trudnoće) dok uzimaju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i još najmanje 7 dana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8F6830" w:rsidRPr="00EF6E21">
        <w:rPr>
          <w:sz w:val="22"/>
          <w:szCs w:val="22"/>
          <w:lang w:val="sr-Latn-ME"/>
        </w:rPr>
        <w:t>posljed</w:t>
      </w:r>
      <w:r w:rsidRPr="00EF6E21">
        <w:rPr>
          <w:sz w:val="22"/>
          <w:szCs w:val="22"/>
          <w:lang w:val="sr-Latn-ME"/>
        </w:rPr>
        <w:t>nje doze.</w:t>
      </w:r>
    </w:p>
    <w:p w14:paraId="791B9477" w14:textId="77777777" w:rsidR="00F95A54" w:rsidRPr="00EF6E21" w:rsidRDefault="00F95A54" w:rsidP="0017386F">
      <w:pPr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91B9478" w14:textId="219ABDAF" w:rsidR="00F95A54" w:rsidRPr="00EF6E21" w:rsidRDefault="00F95A54" w:rsidP="0017386F">
      <w:pPr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Pacijenti muškog pola čije su partnerke sa kojima imaju odnose trudne, mogle </w:t>
      </w:r>
      <w:r w:rsidR="00E34924" w:rsidRPr="00EF6E21">
        <w:rPr>
          <w:sz w:val="22"/>
          <w:szCs w:val="22"/>
          <w:lang w:val="sr-Latn-ME"/>
        </w:rPr>
        <w:t>da budu</w:t>
      </w:r>
      <w:r w:rsidRPr="00EF6E21">
        <w:rPr>
          <w:sz w:val="22"/>
          <w:szCs w:val="22"/>
          <w:lang w:val="sr-Latn-ME"/>
        </w:rPr>
        <w:t xml:space="preserve"> trudne ili bi mogle da zatrudne treba da koriste </w:t>
      </w:r>
      <w:r w:rsidR="00A11D7B" w:rsidRPr="00EF6E21">
        <w:rPr>
          <w:sz w:val="22"/>
          <w:szCs w:val="22"/>
          <w:lang w:val="sr-Latn-ME"/>
        </w:rPr>
        <w:t>prezervativ</w:t>
      </w:r>
      <w:r w:rsidRPr="00EF6E21">
        <w:rPr>
          <w:sz w:val="22"/>
          <w:szCs w:val="22"/>
          <w:lang w:val="sr-Latn-ME"/>
        </w:rPr>
        <w:t xml:space="preserve"> dok uzimaju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i još najmanje 7 dana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8F6830" w:rsidRPr="00EF6E21">
        <w:rPr>
          <w:sz w:val="22"/>
          <w:szCs w:val="22"/>
          <w:lang w:val="sr-Latn-ME"/>
        </w:rPr>
        <w:t>posljed</w:t>
      </w:r>
      <w:r w:rsidRPr="00EF6E21">
        <w:rPr>
          <w:sz w:val="22"/>
          <w:szCs w:val="22"/>
          <w:lang w:val="sr-Latn-ME"/>
        </w:rPr>
        <w:t>nje doze.</w:t>
      </w:r>
    </w:p>
    <w:p w14:paraId="791B9479" w14:textId="77777777" w:rsidR="00F95A54" w:rsidRPr="00EF6E21" w:rsidRDefault="00F95A54" w:rsidP="0017386F">
      <w:pPr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91B947A" w14:textId="77777777" w:rsidR="00F95A54" w:rsidRPr="00EF6E21" w:rsidRDefault="00F95A54" w:rsidP="0017386F">
      <w:pPr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Trudnoća</w:t>
      </w:r>
    </w:p>
    <w:p w14:paraId="791B947C" w14:textId="13781638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Nema podataka o </w:t>
      </w:r>
      <w:r w:rsidR="00AE0F7F" w:rsidRPr="00EF6E21">
        <w:rPr>
          <w:sz w:val="22"/>
          <w:szCs w:val="22"/>
          <w:lang w:val="sr-Latn-ME"/>
        </w:rPr>
        <w:t>primijen</w:t>
      </w:r>
      <w:r w:rsidRPr="00EF6E21">
        <w:rPr>
          <w:sz w:val="22"/>
          <w:szCs w:val="22"/>
          <w:lang w:val="sr-Latn-ME"/>
        </w:rPr>
        <w:t>i kapmatiniba kod trudnica. Ispitivanja na životinjama pokazala su reproduktivnu toksičnost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5.3). Na osnovu podataka dobijenih na životinjama i mehanizma delovanja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sumnja se da kapmatinib može da izazove kongenitalne malformacije kada se prim</w:t>
      </w:r>
      <w:r w:rsidR="00AE0F7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enjuje tokom trudnoće.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se ne sm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 koristiti tokom trudnoće osim ako kliničko stanje žene ne zaht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eva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enje kapmatinibom. </w:t>
      </w:r>
    </w:p>
    <w:p w14:paraId="791B947D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7E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 početka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potrebno je da se proveri status trudnoće kod žena u reproduktivnom periodu.</w:t>
      </w:r>
    </w:p>
    <w:p w14:paraId="791B947F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80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Dojenje</w:t>
      </w:r>
    </w:p>
    <w:p w14:paraId="791B948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Nije poznato da li se kapmatinib ili njegovi metaboliti izlučuju u majčino m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Tabrecta.</w:t>
      </w:r>
    </w:p>
    <w:p w14:paraId="791B9483" w14:textId="6B9A654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Nema dovoljno podataka o izlučivanju kapmatiniba ili njegovih metabolita u m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 životinja. Rizik po dojenče se ne može isključiti. Zbog mogućnosti </w:t>
      </w:r>
      <w:r w:rsidR="00771E8F" w:rsidRPr="00EF6E21">
        <w:rPr>
          <w:sz w:val="22"/>
          <w:szCs w:val="22"/>
          <w:lang w:val="sr-Latn-ME"/>
        </w:rPr>
        <w:t>pojave</w:t>
      </w:r>
      <w:r w:rsidRPr="00EF6E21">
        <w:rPr>
          <w:sz w:val="22"/>
          <w:szCs w:val="22"/>
          <w:lang w:val="sr-Latn-ME"/>
        </w:rPr>
        <w:t xml:space="preserve"> ozbiljn</w:t>
      </w:r>
      <w:r w:rsidR="00771E8F" w:rsidRPr="00EF6E21">
        <w:rPr>
          <w:sz w:val="22"/>
          <w:szCs w:val="22"/>
          <w:lang w:val="sr-Latn-ME"/>
        </w:rPr>
        <w:t>ih</w:t>
      </w:r>
      <w:r w:rsidRPr="00EF6E21">
        <w:rPr>
          <w:sz w:val="22"/>
          <w:szCs w:val="22"/>
          <w:lang w:val="sr-Latn-ME"/>
        </w:rPr>
        <w:t xml:space="preserve"> neželjen</w:t>
      </w:r>
      <w:r w:rsidR="00771E8F" w:rsidRPr="00EF6E21">
        <w:rPr>
          <w:sz w:val="22"/>
          <w:szCs w:val="22"/>
          <w:lang w:val="sr-Latn-ME"/>
        </w:rPr>
        <w:t>ih</w:t>
      </w:r>
      <w:r w:rsidRPr="00EF6E21">
        <w:rPr>
          <w:sz w:val="22"/>
          <w:szCs w:val="22"/>
          <w:lang w:val="sr-Latn-ME"/>
        </w:rPr>
        <w:t xml:space="preserve"> reakcij</w:t>
      </w:r>
      <w:r w:rsidR="00771E8F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 kod dojenč</w:t>
      </w:r>
      <w:r w:rsidR="00771E8F" w:rsidRPr="00EF6E21">
        <w:rPr>
          <w:sz w:val="22"/>
          <w:szCs w:val="22"/>
          <w:lang w:val="sr-Latn-ME"/>
        </w:rPr>
        <w:t>eta</w:t>
      </w:r>
      <w:r w:rsidRPr="00EF6E21">
        <w:rPr>
          <w:sz w:val="22"/>
          <w:szCs w:val="22"/>
          <w:lang w:val="sr-Latn-ME"/>
        </w:rPr>
        <w:t xml:space="preserve">, preporučuje se da žene prekinu sa dojenjem tokom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 i najmanje 7 dana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8F6830" w:rsidRPr="00EF6E21">
        <w:rPr>
          <w:sz w:val="22"/>
          <w:szCs w:val="22"/>
          <w:lang w:val="sr-Latn-ME"/>
        </w:rPr>
        <w:t>posljed</w:t>
      </w:r>
      <w:r w:rsidRPr="00EF6E21">
        <w:rPr>
          <w:sz w:val="22"/>
          <w:szCs w:val="22"/>
          <w:lang w:val="sr-Latn-ME"/>
        </w:rPr>
        <w:t xml:space="preserve">nje doze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a.</w:t>
      </w:r>
    </w:p>
    <w:p w14:paraId="791B9484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85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Plodnost</w:t>
      </w:r>
    </w:p>
    <w:p w14:paraId="791B9487" w14:textId="11ECDA55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Nema podataka o efektima kapmatiniba na plodnost. Studije fertiliteta ni</w:t>
      </w:r>
      <w:r w:rsidR="00A11D7B" w:rsidRPr="00EF6E21">
        <w:rPr>
          <w:sz w:val="22"/>
          <w:szCs w:val="22"/>
          <w:lang w:val="sr-Latn-ME"/>
        </w:rPr>
        <w:t>je</w:t>
      </w:r>
      <w:r w:rsidRPr="00EF6E21">
        <w:rPr>
          <w:sz w:val="22"/>
          <w:szCs w:val="22"/>
          <w:lang w:val="sr-Latn-ME"/>
        </w:rPr>
        <w:t>su sprovedene na životinjama za kapmatinib.</w:t>
      </w:r>
    </w:p>
    <w:p w14:paraId="791B948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89" w14:textId="77777777" w:rsidR="0072020E" w:rsidRPr="00EF6E21" w:rsidRDefault="0072020E" w:rsidP="0017386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4.7.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 xml:space="preserve">Uticaj na </w:t>
      </w:r>
      <w:r w:rsidR="002031B3" w:rsidRPr="00EF6E2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EF6E21">
        <w:rPr>
          <w:b/>
          <w:bCs/>
          <w:sz w:val="22"/>
          <w:szCs w:val="22"/>
          <w:lang w:val="sr-Latn-ME"/>
        </w:rPr>
        <w:t>upravljanja vozili</w:t>
      </w:r>
      <w:r w:rsidRPr="00EF6E21">
        <w:rPr>
          <w:b/>
          <w:bCs/>
          <w:sz w:val="22"/>
          <w:szCs w:val="22"/>
          <w:lang w:val="sr-Latn-ME"/>
        </w:rPr>
        <w:t>m</w:t>
      </w:r>
      <w:r w:rsidR="00F34554" w:rsidRPr="00EF6E21">
        <w:rPr>
          <w:b/>
          <w:bCs/>
          <w:sz w:val="22"/>
          <w:szCs w:val="22"/>
          <w:lang w:val="sr-Latn-ME"/>
        </w:rPr>
        <w:t>a</w:t>
      </w:r>
      <w:r w:rsidRPr="00EF6E21">
        <w:rPr>
          <w:b/>
          <w:bCs/>
          <w:sz w:val="22"/>
          <w:szCs w:val="22"/>
          <w:lang w:val="sr-Latn-ME"/>
        </w:rPr>
        <w:t xml:space="preserve"> i </w:t>
      </w:r>
      <w:r w:rsidR="000D3449" w:rsidRPr="00EF6E21">
        <w:rPr>
          <w:b/>
          <w:bCs/>
          <w:sz w:val="22"/>
          <w:szCs w:val="22"/>
          <w:lang w:val="sr-Latn-ME"/>
        </w:rPr>
        <w:t xml:space="preserve">rukovanje </w:t>
      </w:r>
      <w:r w:rsidRPr="00EF6E21">
        <w:rPr>
          <w:b/>
          <w:bCs/>
          <w:sz w:val="22"/>
          <w:szCs w:val="22"/>
          <w:lang w:val="sr-Latn-ME"/>
        </w:rPr>
        <w:t>mašinama</w:t>
      </w:r>
    </w:p>
    <w:p w14:paraId="791B948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48B" w14:textId="77777777" w:rsidR="00F95A54" w:rsidRPr="00EF6E21" w:rsidRDefault="00121A30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 xml:space="preserve"> </w:t>
      </w:r>
      <w:r w:rsidR="008F6830" w:rsidRPr="00EF6E21">
        <w:rPr>
          <w:sz w:val="22"/>
          <w:szCs w:val="22"/>
          <w:lang w:val="sr-Latn-ME"/>
        </w:rPr>
        <w:t xml:space="preserve">Tabrecta </w:t>
      </w:r>
      <w:r w:rsidR="00F95A54" w:rsidRPr="00EF6E21">
        <w:rPr>
          <w:sz w:val="22"/>
          <w:szCs w:val="22"/>
          <w:lang w:val="sr-Latn-ME"/>
        </w:rPr>
        <w:t xml:space="preserve">nema ili ima neznatan uticaj na sposobnost upravljanja vozilima i rukovanja mašinama. </w:t>
      </w:r>
    </w:p>
    <w:p w14:paraId="6C697CF0" w14:textId="77777777" w:rsidR="00ED0DC6" w:rsidRDefault="00ED0DC6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E92A57" w14:textId="77777777" w:rsidR="00ED0DC6" w:rsidRDefault="00ED0DC6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F904C1" w14:textId="77777777" w:rsidR="00ED0DC6" w:rsidRDefault="00ED0DC6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48D" w14:textId="112120EE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Neželjena dejstva</w:t>
      </w:r>
    </w:p>
    <w:p w14:paraId="791B948E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791B948F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Sažetak bezb</w:t>
      </w:r>
      <w:r w:rsidR="008F6830" w:rsidRPr="00EF6E21">
        <w:rPr>
          <w:sz w:val="22"/>
          <w:szCs w:val="22"/>
          <w:u w:val="single"/>
          <w:lang w:val="sr-Latn-ME"/>
        </w:rPr>
        <w:t>j</w:t>
      </w:r>
      <w:r w:rsidRPr="00EF6E21">
        <w:rPr>
          <w:sz w:val="22"/>
          <w:szCs w:val="22"/>
          <w:u w:val="single"/>
          <w:lang w:val="sr-Latn-ME"/>
        </w:rPr>
        <w:t>ednosnog profila</w:t>
      </w:r>
    </w:p>
    <w:p w14:paraId="791B9490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1" w14:textId="00F91EE4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Najčešće neželjene reakcije su periferni edem (67,5%), mučnina (44,4%), umor (34,4%), povećanje kreatinina u krvi (33,8%), povraćanje (25,0%), dispneja (22,5%), smanjen apetit (21,3%) i bol u leđima (20,6%). Najčešće neželjene reakcije gradusa 3 ili 4 su periferni edem (14,4%), povećanje lipaze (9,4%), povećanje ALT (8,1%), umor (8,1%), dispneja (6,9%) i povećanje amilaze (5,6%).</w:t>
      </w:r>
    </w:p>
    <w:p w14:paraId="791B9492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3" w14:textId="7807F18C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Ozbiljne neželjene reakcije su prijavljene kod 35 od 160 pacijenata (21,9%) koji su primali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Tabrecta. Ozbiljne neželjene reakcije kod &gt;</w:t>
      </w:r>
      <w:r w:rsidR="00077F32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2% pacijenata uključivale su dispneju (5,6%), ILD/pneumonitis (5,0%), celulitis (3,1%) i periferni edem (2,5%).</w:t>
      </w:r>
    </w:p>
    <w:p w14:paraId="791B9494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5" w14:textId="7022BB4F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Prekidi </w:t>
      </w:r>
      <w:r w:rsidR="004220FE" w:rsidRPr="00EF6E21">
        <w:rPr>
          <w:sz w:val="22"/>
          <w:szCs w:val="22"/>
          <w:lang w:val="sr-Latn-ME"/>
        </w:rPr>
        <w:t>doziranja</w:t>
      </w:r>
      <w:r w:rsidRPr="00EF6E21">
        <w:rPr>
          <w:sz w:val="22"/>
          <w:szCs w:val="22"/>
          <w:lang w:val="sr-Latn-ME"/>
        </w:rPr>
        <w:t xml:space="preserve"> su prijavljeni kod 81 od 160  pacijenata (50,6%). Neželjene reakcije koje zaht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evaju prekid doziranja su uključivale periferni edem (15,0%), povećanje kreatinina u krvi (11,3%), povećanje lipaze (8,1%), mučninu (8,1%), povećanje ALT (6,3%), umor (5,6%), povećanje amilaze (5,0%), povraćanje (5,0%), dispneju (3,8%), povećanje bilirubina u krvi (3,1%) i povećanje AST (3,1%).</w:t>
      </w:r>
    </w:p>
    <w:p w14:paraId="791B9496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7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Smanjenje doze je prijavljeno kod 49 od 160 pacijenata (30,6%). Neželjene reakcije koje zaht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evaju smanjenje doze uključivale su periferni edem (16,3%), povećanje ALT (5,0%), povećanje kreatinina u krvi (3,8%), umor (3,1%) i mučnina (2,5%).</w:t>
      </w:r>
    </w:p>
    <w:p w14:paraId="791B9498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9" w14:textId="7F78C586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Trajna obustava terapije je prijavljena kod 19 od 160 pacijenata (11,9%). Najčešće neželjene reakcije koje su dovele do trajnog prekida uzimanja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Tabrecta bili su ILD/pneumonitis (3,8%), periferni edem (2,5%), povećanje ALT (1,3%), povećanje AST (1,3%), povećanje bilirubina u krvi (1,3%), povećanje kreatinina u krvi (1,3%), povećanje lipaze (1,3%), povećanje amilaze (0,6%), umor (0,6%) i urtikarija (0,6%).</w:t>
      </w:r>
    </w:p>
    <w:p w14:paraId="791B949A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49B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Tabelarni prikaz neželjenih reakcija</w:t>
      </w:r>
    </w:p>
    <w:p w14:paraId="791B949C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49D" w14:textId="2D223D82" w:rsidR="00F95A54" w:rsidRPr="00EF6E21" w:rsidRDefault="008F6830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Bezbjed</w:t>
      </w:r>
      <w:r w:rsidR="00F95A54" w:rsidRPr="00EF6E21">
        <w:rPr>
          <w:sz w:val="22"/>
          <w:szCs w:val="22"/>
          <w:lang w:val="sr-Latn-ME"/>
        </w:rPr>
        <w:t xml:space="preserve">nost </w:t>
      </w:r>
      <w:r w:rsidR="00121A30"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>a Tabrecta je proc</w:t>
      </w:r>
      <w:r w:rsidRPr="00EF6E21">
        <w:rPr>
          <w:sz w:val="22"/>
          <w:szCs w:val="22"/>
          <w:lang w:val="sr-Latn-ME"/>
        </w:rPr>
        <w:t>j</w:t>
      </w:r>
      <w:r w:rsidR="00F95A54" w:rsidRPr="00EF6E21">
        <w:rPr>
          <w:sz w:val="22"/>
          <w:szCs w:val="22"/>
          <w:lang w:val="sr-Latn-ME"/>
        </w:rPr>
        <w:t xml:space="preserve">enjivana kod pacijenata sa lokalno uznapredovalim ili metastatskim NSCLC u pivot, globalnom, prospektivnom, višekohortnom, nerandomizovanom, otvorenom kliničkom ispitivanju faze II (GEOMETRY mono-1) kroz sve kohorte (N=373), bez obzira na prethodnu terapiju ili status MET disregulacije (mutacija i/ili </w:t>
      </w:r>
      <w:r w:rsidR="00077F32" w:rsidRPr="00EF6E21">
        <w:rPr>
          <w:sz w:val="22"/>
          <w:szCs w:val="22"/>
          <w:lang w:val="sr-Latn-ME"/>
        </w:rPr>
        <w:t>amplifikacija</w:t>
      </w:r>
      <w:r w:rsidR="00F95A54" w:rsidRPr="00EF6E21">
        <w:rPr>
          <w:sz w:val="22"/>
          <w:szCs w:val="22"/>
          <w:lang w:val="sr-Latn-ME"/>
        </w:rPr>
        <w:t xml:space="preserve">). Učestalost neželjenih reakcija je zasnovana na učestalosti neželjenih događaja svih uzroka identifikovanih kod 160 pacijenata sa METex14 mutacijom preskoka izloženih kapmatinibu u preporučenoj dozi, </w:t>
      </w:r>
      <w:r w:rsidR="008A0A9B" w:rsidRPr="00EF6E21">
        <w:rPr>
          <w:sz w:val="22"/>
          <w:szCs w:val="22"/>
          <w:lang w:val="sr-Latn-ME"/>
        </w:rPr>
        <w:t>gdje</w:t>
      </w:r>
      <w:r w:rsidR="00F95A54" w:rsidRPr="00EF6E21">
        <w:rPr>
          <w:sz w:val="22"/>
          <w:szCs w:val="22"/>
          <w:lang w:val="sr-Latn-ME"/>
        </w:rPr>
        <w:t xml:space="preserve"> je učestalost </w:t>
      </w:r>
      <w:r w:rsidR="00121A30" w:rsidRPr="00EF6E21">
        <w:rPr>
          <w:sz w:val="22"/>
          <w:szCs w:val="22"/>
          <w:lang w:val="sr-Latn-ME"/>
        </w:rPr>
        <w:t>promjen</w:t>
      </w:r>
      <w:r w:rsidR="00F95A54" w:rsidRPr="00EF6E21">
        <w:rPr>
          <w:sz w:val="22"/>
          <w:szCs w:val="22"/>
          <w:lang w:val="sr-Latn-ME"/>
        </w:rPr>
        <w:t xml:space="preserve">a u laboratorijskim </w:t>
      </w:r>
      <w:r w:rsidR="00AE0F7F" w:rsidRPr="00EF6E21">
        <w:rPr>
          <w:sz w:val="22"/>
          <w:szCs w:val="22"/>
          <w:lang w:val="sr-Latn-ME"/>
        </w:rPr>
        <w:t>vrijedn</w:t>
      </w:r>
      <w:r w:rsidR="00F95A54" w:rsidRPr="00EF6E21">
        <w:rPr>
          <w:sz w:val="22"/>
          <w:szCs w:val="22"/>
          <w:lang w:val="sr-Latn-ME"/>
        </w:rPr>
        <w:t xml:space="preserve">ostima zasnovana na pogoršanju početnih </w:t>
      </w:r>
      <w:r w:rsidR="00AE0F7F" w:rsidRPr="00EF6E21">
        <w:rPr>
          <w:sz w:val="22"/>
          <w:szCs w:val="22"/>
          <w:lang w:val="sr-Latn-ME"/>
        </w:rPr>
        <w:t>vrijedn</w:t>
      </w:r>
      <w:r w:rsidR="00F95A54" w:rsidRPr="00EF6E21">
        <w:rPr>
          <w:sz w:val="22"/>
          <w:szCs w:val="22"/>
          <w:lang w:val="sr-Latn-ME"/>
        </w:rPr>
        <w:t>osti bar za 1 stepen (određivanje stepena prema CTCAE</w:t>
      </w:r>
      <w:r w:rsidR="00F95A54" w:rsidRPr="00EF6E21">
        <w:rPr>
          <w:sz w:val="22"/>
          <w:szCs w:val="22"/>
          <w:lang w:val="sr-Latn-ME"/>
        </w:rPr>
        <w:noBreakHyphen/>
        <w:t>u verzija 4.03). Bezb</w:t>
      </w:r>
      <w:r w:rsidRPr="00EF6E21">
        <w:rPr>
          <w:sz w:val="22"/>
          <w:szCs w:val="22"/>
          <w:lang w:val="sr-Latn-ME"/>
        </w:rPr>
        <w:t>j</w:t>
      </w:r>
      <w:r w:rsidR="00F95A54" w:rsidRPr="00EF6E21">
        <w:rPr>
          <w:sz w:val="22"/>
          <w:szCs w:val="22"/>
          <w:lang w:val="sr-Latn-ME"/>
        </w:rPr>
        <w:t xml:space="preserve">ednosni profil svih GEOMETRY mono-1 pacijenata (N=373) i pacijenata sa METex14 mutacijom preskoka (N=160) je uporediv. Medijana trajanja izloženosti </w:t>
      </w:r>
      <w:r w:rsidR="00077F32" w:rsidRPr="00EF6E21">
        <w:rPr>
          <w:sz w:val="22"/>
          <w:szCs w:val="22"/>
          <w:lang w:val="sr-Latn-ME"/>
        </w:rPr>
        <w:t>kapmatinibu</w:t>
      </w:r>
      <w:r w:rsidR="00F95A54" w:rsidRPr="00EF6E21">
        <w:rPr>
          <w:sz w:val="22"/>
          <w:szCs w:val="22"/>
          <w:lang w:val="sr-Latn-ME"/>
        </w:rPr>
        <w:t xml:space="preserve"> u svim kohortama sa MET mutacijom je bila 34,9 </w:t>
      </w:r>
      <w:r w:rsidRPr="00EF6E21">
        <w:rPr>
          <w:sz w:val="22"/>
          <w:szCs w:val="22"/>
          <w:lang w:val="sr-Latn-ME"/>
        </w:rPr>
        <w:t>nedjelj</w:t>
      </w:r>
      <w:r w:rsidR="00F95A54" w:rsidRPr="00EF6E21">
        <w:rPr>
          <w:sz w:val="22"/>
          <w:szCs w:val="22"/>
          <w:lang w:val="sr-Latn-ME"/>
        </w:rPr>
        <w:t xml:space="preserve">a (opseg: 0,4 do 195,7 </w:t>
      </w:r>
      <w:r w:rsidRPr="00EF6E21">
        <w:rPr>
          <w:sz w:val="22"/>
          <w:szCs w:val="22"/>
          <w:lang w:val="sr-Latn-ME"/>
        </w:rPr>
        <w:t>nedjelj</w:t>
      </w:r>
      <w:r w:rsidR="00F95A54" w:rsidRPr="00EF6E21">
        <w:rPr>
          <w:sz w:val="22"/>
          <w:szCs w:val="22"/>
          <w:lang w:val="sr-Latn-ME"/>
        </w:rPr>
        <w:t>a). Među pacijentima koji su primali kapmatinib, 55,0% je bilo izloženo najmanje 6 m</w:t>
      </w:r>
      <w:r w:rsidRPr="00EF6E21">
        <w:rPr>
          <w:sz w:val="22"/>
          <w:szCs w:val="22"/>
          <w:lang w:val="sr-Latn-ME"/>
        </w:rPr>
        <w:t>j</w:t>
      </w:r>
      <w:r w:rsidR="00F95A54" w:rsidRPr="00EF6E21">
        <w:rPr>
          <w:sz w:val="22"/>
          <w:szCs w:val="22"/>
          <w:lang w:val="sr-Latn-ME"/>
        </w:rPr>
        <w:t>eseci, a 36,3% je bilo izloženo najmanje godinu dana.</w:t>
      </w:r>
    </w:p>
    <w:p w14:paraId="791B949E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6CC5A20A" w14:textId="7BA4EBDD" w:rsidR="00077F32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Neželjene reakcije na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iz kliničkih ispitivanja (Tabela 3) navedene su prema MedDRA klasifikaciji sistema organa. U</w:t>
      </w:r>
      <w:r w:rsidR="00077F32" w:rsidRPr="00EF6E21">
        <w:rPr>
          <w:sz w:val="22"/>
          <w:szCs w:val="22"/>
          <w:lang w:val="sr-Latn-ME"/>
        </w:rPr>
        <w:t xml:space="preserve"> okviru</w:t>
      </w:r>
      <w:r w:rsidRPr="00EF6E21">
        <w:rPr>
          <w:sz w:val="22"/>
          <w:szCs w:val="22"/>
          <w:lang w:val="sr-Latn-ME"/>
        </w:rPr>
        <w:t xml:space="preserve"> svakog sistema organa neželjene reakcije su poređane po učestalosti, počevši od najučestalijih. Uz to, odgovarajuća kategorija učestalosti za svaku neželjenu reakciju na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zasniva se na sl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edećoj konvenciji: veoma često (≥1/10); često (≥1/100 i &lt;1/10); povremeno (≥1/1000 i &lt;1/100); r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etko (≥1/10000 i &lt;1/1000); veoma r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etko (&lt;1/10000). U</w:t>
      </w:r>
      <w:r w:rsidR="00077F32" w:rsidRPr="00EF6E21">
        <w:rPr>
          <w:sz w:val="22"/>
          <w:szCs w:val="22"/>
          <w:lang w:val="sr-Latn-ME"/>
        </w:rPr>
        <w:t xml:space="preserve"> okviru</w:t>
      </w:r>
      <w:r w:rsidRPr="00EF6E21">
        <w:rPr>
          <w:sz w:val="22"/>
          <w:szCs w:val="22"/>
          <w:lang w:val="sr-Latn-ME"/>
        </w:rPr>
        <w:t xml:space="preserve"> svake grupe učestalosti neželjene reakcije su prikazane u opadajućem nizu prema ozbiljnosti</w:t>
      </w:r>
      <w:r w:rsidR="00077F32" w:rsidRPr="00EF6E21">
        <w:rPr>
          <w:sz w:val="22"/>
          <w:szCs w:val="22"/>
          <w:lang w:val="sr-Latn-ME"/>
        </w:rPr>
        <w:t>.</w:t>
      </w:r>
    </w:p>
    <w:p w14:paraId="791B94A2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4A3" w14:textId="425D24B0" w:rsidR="00F95A54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A553907" w14:textId="3618B064" w:rsidR="00963C5C" w:rsidRDefault="00963C5C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C33B7DA" w14:textId="130743AF" w:rsidR="00963C5C" w:rsidRDefault="00963C5C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8BC4148" w14:textId="165E911F" w:rsidR="00963C5C" w:rsidRDefault="00963C5C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4F2146C" w14:textId="77777777" w:rsidR="00963C5C" w:rsidRPr="00EF6E21" w:rsidRDefault="00963C5C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4A4" w14:textId="77777777" w:rsidR="00F95A54" w:rsidRPr="00EF6E21" w:rsidRDefault="00F95A54" w:rsidP="0017386F">
      <w:pPr>
        <w:keepNext/>
        <w:keepLines/>
        <w:shd w:val="clear" w:color="auto" w:fill="FFFFFF" w:themeFill="background1"/>
        <w:ind w:left="1440" w:hanging="1440"/>
        <w:jc w:val="both"/>
        <w:rPr>
          <w:sz w:val="22"/>
          <w:szCs w:val="22"/>
          <w:lang w:val="sr-Latn-ME"/>
        </w:rPr>
      </w:pPr>
      <w:r w:rsidRPr="00EF6E21">
        <w:rPr>
          <w:b/>
          <w:sz w:val="22"/>
          <w:szCs w:val="22"/>
          <w:lang w:val="sr-Latn-ME"/>
        </w:rPr>
        <w:lastRenderedPageBreak/>
        <w:t>Tabela 3</w:t>
      </w:r>
      <w:r w:rsidRPr="00EF6E21">
        <w:rPr>
          <w:b/>
          <w:sz w:val="22"/>
          <w:szCs w:val="22"/>
          <w:lang w:val="sr-Latn-ME"/>
        </w:rPr>
        <w:tab/>
        <w:t>Neželjene reakcije kod pacijenata (N=160) sa METex14 mutacijom preskoka u kliničkom ispitivanju GEOMETRY mono-1 (datum pres</w:t>
      </w:r>
      <w:r w:rsidR="008F6830" w:rsidRPr="00EF6E21">
        <w:rPr>
          <w:b/>
          <w:sz w:val="22"/>
          <w:szCs w:val="22"/>
          <w:lang w:val="sr-Latn-ME"/>
        </w:rPr>
        <w:t>j</w:t>
      </w:r>
      <w:r w:rsidRPr="00EF6E21">
        <w:rPr>
          <w:b/>
          <w:sz w:val="22"/>
          <w:szCs w:val="22"/>
          <w:lang w:val="sr-Latn-ME"/>
        </w:rPr>
        <w:t>eka 30.08.2021)</w:t>
      </w:r>
    </w:p>
    <w:p w14:paraId="791B94A5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9629" w:type="dxa"/>
        <w:tblInd w:w="0" w:type="dxa"/>
        <w:tblLook w:val="04A0" w:firstRow="1" w:lastRow="0" w:firstColumn="1" w:lastColumn="0" w:noHBand="0" w:noVBand="1"/>
      </w:tblPr>
      <w:tblGrid>
        <w:gridCol w:w="3100"/>
        <w:gridCol w:w="2148"/>
        <w:gridCol w:w="1993"/>
        <w:gridCol w:w="2388"/>
      </w:tblGrid>
      <w:tr w:rsidR="00F95A54" w:rsidRPr="00EF6E21" w14:paraId="791B94AD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A6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bCs/>
                <w:sz w:val="22"/>
                <w:szCs w:val="22"/>
                <w:lang w:val="sr-Latn-ME"/>
              </w:rPr>
              <w:t>Neželjena reakcija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A7" w14:textId="77777777" w:rsidR="00F95A54" w:rsidRPr="00EF6E21" w:rsidRDefault="00F95A54" w:rsidP="0017386F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Svi stepeni</w:t>
            </w:r>
          </w:p>
          <w:p w14:paraId="791B94A8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Kategorija učestalosti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A9" w14:textId="77777777" w:rsidR="00F95A54" w:rsidRPr="00EF6E21" w:rsidRDefault="00F95A54" w:rsidP="0017386F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Svi stepeni</w:t>
            </w:r>
          </w:p>
          <w:p w14:paraId="791B94AA" w14:textId="77777777" w:rsidR="00F95A54" w:rsidRPr="00EF6E21" w:rsidRDefault="00F95A54" w:rsidP="0017386F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4AB" w14:textId="77777777" w:rsidR="00F95A54" w:rsidRPr="00EF6E21" w:rsidRDefault="00F95A54" w:rsidP="0017386F">
            <w:pPr>
              <w:keepNext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Gradus 3 ili 4</w:t>
            </w:r>
          </w:p>
          <w:p w14:paraId="791B94AC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F95A54" w:rsidRPr="00EF6E21" w14:paraId="791B94AF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AE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bCs/>
                <w:sz w:val="22"/>
                <w:szCs w:val="22"/>
                <w:lang w:val="sr-Latn-ME"/>
              </w:rPr>
              <w:t>Infekcije i infestacije</w:t>
            </w:r>
          </w:p>
        </w:tc>
      </w:tr>
      <w:tr w:rsidR="00F95A54" w:rsidRPr="00EF6E21" w14:paraId="791B94B4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0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Celulitis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1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2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3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vertAlign w:val="superscript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2,5*</w:t>
            </w:r>
          </w:p>
        </w:tc>
      </w:tr>
      <w:tr w:rsidR="00F95A54" w:rsidRPr="00EF6E21" w14:paraId="791B94B6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5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F95A54" w:rsidRPr="00EF6E21" w14:paraId="791B94BB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7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Smanjeni apetit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8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9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21,3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A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1,3*</w:t>
            </w:r>
          </w:p>
        </w:tc>
      </w:tr>
      <w:tr w:rsidR="00F95A54" w:rsidRPr="00EF6E21" w14:paraId="791B94BD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C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Respiratorni, torakalni i medijastinalni poremećaji</w:t>
            </w:r>
          </w:p>
        </w:tc>
      </w:tr>
      <w:tr w:rsidR="00F95A54" w:rsidRPr="00EF6E21" w14:paraId="791B94C2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E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Dispneja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BF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0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22,5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1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6,9*</w:t>
            </w:r>
          </w:p>
        </w:tc>
      </w:tr>
      <w:tr w:rsidR="00F95A54" w:rsidRPr="00EF6E21" w14:paraId="791B94C7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3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Kašalj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4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5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17,5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6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F95A54" w:rsidRPr="00EF6E21" w14:paraId="791B94CC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8" w14:textId="77777777" w:rsidR="00F95A54" w:rsidRPr="00EF6E21" w:rsidRDefault="00F95A5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ILD/pneumonitis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9" w14:textId="77777777" w:rsidR="00F95A54" w:rsidRPr="00EF6E21" w:rsidRDefault="00F95A5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A" w14:textId="77777777" w:rsidR="00F95A54" w:rsidRPr="00EF6E21" w:rsidRDefault="00F95A5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7,5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B" w14:textId="77777777" w:rsidR="00F95A54" w:rsidRPr="00EF6E21" w:rsidRDefault="00F95A5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4,4*</w:t>
            </w:r>
          </w:p>
        </w:tc>
      </w:tr>
      <w:tr w:rsidR="00F95A54" w:rsidRPr="00EF6E21" w14:paraId="791B94CE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D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</w:tr>
      <w:tr w:rsidR="00F95A54" w:rsidRPr="00EF6E21" w14:paraId="791B94D3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CF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0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1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25,0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2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F95A54" w:rsidRPr="00EF6E21" w14:paraId="791B94D8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4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5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6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44,4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7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F95A54" w:rsidRPr="00EF6E21" w14:paraId="791B94DD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9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A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B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15,6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C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-</w:t>
            </w:r>
          </w:p>
        </w:tc>
      </w:tr>
      <w:tr w:rsidR="00F95A54" w:rsidRPr="00EF6E21" w14:paraId="791B94E2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E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Konstipacija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DF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0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13,1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1" w14:textId="77777777" w:rsidR="00F95A54" w:rsidRPr="00EF6E21" w:rsidRDefault="00F95A5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1,3*</w:t>
            </w:r>
          </w:p>
        </w:tc>
      </w:tr>
      <w:tr w:rsidR="00430BB4" w:rsidRPr="00EF6E21" w14:paraId="086BE49A" w14:textId="77777777" w:rsidTr="00A11D7B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C3F" w14:textId="7C4A8D6F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b/>
                <w:bCs/>
                <w:sz w:val="22"/>
                <w:szCs w:val="22"/>
                <w:lang w:val="sr-Latn-ME"/>
              </w:rPr>
              <w:t>Poremećaji imunog sistema</w:t>
            </w:r>
          </w:p>
        </w:tc>
      </w:tr>
      <w:tr w:rsidR="00430BB4" w:rsidRPr="00EF6E21" w14:paraId="10B2B9F2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E70" w14:textId="7A73B981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Preos</w:t>
            </w:r>
            <w:r w:rsidR="00812C63" w:rsidRPr="00EF6E21">
              <w:rPr>
                <w:sz w:val="22"/>
                <w:szCs w:val="22"/>
                <w:lang w:val="sr-Latn-ME"/>
              </w:rPr>
              <w:t>j</w:t>
            </w:r>
            <w:r w:rsidRPr="00EF6E21">
              <w:rPr>
                <w:sz w:val="22"/>
                <w:szCs w:val="22"/>
                <w:lang w:val="sr-Latn-ME"/>
              </w:rPr>
              <w:t>etljivost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B1E" w14:textId="7591B466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BDD" w14:textId="42055876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F71" w14:textId="621F7D68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0,3</w:t>
            </w:r>
          </w:p>
        </w:tc>
      </w:tr>
      <w:tr w:rsidR="00430BB4" w:rsidRPr="00EF6E21" w14:paraId="791B94E4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3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</w:tr>
      <w:tr w:rsidR="00430BB4" w:rsidRPr="00EF6E21" w14:paraId="791B94E9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5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Svrab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6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7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10,6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8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430BB4" w:rsidRPr="00EF6E21" w14:paraId="791B94EE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A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Osip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B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C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9,4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D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-</w:t>
            </w:r>
          </w:p>
        </w:tc>
      </w:tr>
      <w:tr w:rsidR="00430BB4" w:rsidRPr="00EF6E21" w14:paraId="791B94F3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EF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Urtikarija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0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1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2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430BB4" w:rsidRPr="00EF6E21" w14:paraId="791B94F5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4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Opšti poremećaji i reakcije na mestu primjene</w:t>
            </w:r>
          </w:p>
        </w:tc>
      </w:tr>
      <w:tr w:rsidR="00430BB4" w:rsidRPr="00EF6E21" w14:paraId="791B94FA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6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Periferni edem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7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8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67,5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9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14,4*</w:t>
            </w:r>
          </w:p>
        </w:tc>
      </w:tr>
      <w:tr w:rsidR="00430BB4" w:rsidRPr="00EF6E21" w14:paraId="791B94FF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B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Pireksija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C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D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10,6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4FE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1,3*</w:t>
            </w:r>
          </w:p>
        </w:tc>
      </w:tr>
      <w:tr w:rsidR="00430BB4" w:rsidRPr="00EF6E21" w14:paraId="791B9504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0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Umor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1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2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34,4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3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8,1*</w:t>
            </w:r>
          </w:p>
        </w:tc>
      </w:tr>
      <w:tr w:rsidR="00430BB4" w:rsidRPr="00EF6E21" w14:paraId="791B9509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5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Bol u leđima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6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7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20,6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8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1,3*</w:t>
            </w:r>
          </w:p>
        </w:tc>
      </w:tr>
      <w:tr w:rsidR="00430BB4" w:rsidRPr="00EF6E21" w14:paraId="791B950E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A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Smanjenje tjelesne mase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B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C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12,5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D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-</w:t>
            </w:r>
          </w:p>
        </w:tc>
      </w:tr>
      <w:tr w:rsidR="00430BB4" w:rsidRPr="00EF6E21" w14:paraId="791B9513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0F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Nesrčani bol u grudima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0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1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9,4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2" w14:textId="77777777" w:rsidR="00430BB4" w:rsidRPr="00EF6E21" w:rsidRDefault="00430BB4" w:rsidP="0017386F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1,3*</w:t>
            </w:r>
          </w:p>
        </w:tc>
      </w:tr>
      <w:tr w:rsidR="00430BB4" w:rsidRPr="00EF6E21" w14:paraId="791B9518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4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b/>
                <w:sz w:val="22"/>
                <w:szCs w:val="22"/>
                <w:lang w:val="sr-Latn-ME"/>
              </w:rPr>
              <w:t>Ispitivanja</w:t>
            </w:r>
            <w:r w:rsidRPr="00EF6E21">
              <w:rPr>
                <w:b/>
                <w:sz w:val="22"/>
                <w:szCs w:val="22"/>
                <w:vertAlign w:val="superscript"/>
                <w:lang w:val="sr-Latn-ME"/>
              </w:rPr>
              <w:t xml:space="preserve"> 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515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516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517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430BB4" w:rsidRPr="00EF6E21" w14:paraId="791B951D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9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Smanjenje albumina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A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B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78,3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C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1,9*</w:t>
            </w:r>
          </w:p>
        </w:tc>
      </w:tr>
      <w:tr w:rsidR="00430BB4" w:rsidRPr="00EF6E21" w14:paraId="791B9522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E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Povećanje  kreatinina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1F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0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74,5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1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430BB4" w:rsidRPr="00EF6E21" w14:paraId="791B9527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3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color w:val="000000"/>
                <w:sz w:val="22"/>
                <w:szCs w:val="22"/>
                <w:lang w:val="sr-Latn-ME"/>
              </w:rPr>
              <w:t>Po</w:t>
            </w:r>
            <w:r w:rsidRPr="00EF6E21">
              <w:rPr>
                <w:sz w:val="22"/>
                <w:szCs w:val="22"/>
                <w:lang w:val="sr-Latn-ME"/>
              </w:rPr>
              <w:t>većanje</w:t>
            </w:r>
            <w:r w:rsidRPr="00EF6E21">
              <w:rPr>
                <w:color w:val="000000"/>
                <w:sz w:val="22"/>
                <w:szCs w:val="22"/>
                <w:lang w:val="sr-Latn-ME"/>
              </w:rPr>
              <w:t xml:space="preserve"> alanin aminotransferaze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4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5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45,9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6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11,5</w:t>
            </w:r>
          </w:p>
        </w:tc>
      </w:tr>
      <w:tr w:rsidR="00430BB4" w:rsidRPr="00EF6E21" w14:paraId="791B952C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8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color w:val="000000"/>
                <w:sz w:val="22"/>
                <w:szCs w:val="22"/>
                <w:lang w:val="sr-Latn-ME"/>
              </w:rPr>
              <w:t>Po</w:t>
            </w:r>
            <w:r w:rsidRPr="00EF6E21">
              <w:rPr>
                <w:sz w:val="22"/>
                <w:szCs w:val="22"/>
                <w:lang w:val="sr-Latn-ME"/>
              </w:rPr>
              <w:t>većanje</w:t>
            </w:r>
            <w:r w:rsidRPr="00EF6E21">
              <w:rPr>
                <w:color w:val="000000"/>
                <w:sz w:val="22"/>
                <w:szCs w:val="22"/>
                <w:lang w:val="sr-Latn-ME"/>
              </w:rPr>
              <w:t xml:space="preserve"> amilaze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9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A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37,2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B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7,1</w:t>
            </w:r>
          </w:p>
        </w:tc>
      </w:tr>
      <w:tr w:rsidR="00430BB4" w:rsidRPr="00EF6E21" w14:paraId="791B9531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D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color w:val="000000"/>
                <w:sz w:val="22"/>
                <w:szCs w:val="22"/>
                <w:lang w:val="sr-Latn-ME"/>
              </w:rPr>
              <w:t>Po</w:t>
            </w:r>
            <w:r w:rsidRPr="00EF6E21">
              <w:rPr>
                <w:sz w:val="22"/>
                <w:szCs w:val="22"/>
                <w:lang w:val="sr-Latn-ME"/>
              </w:rPr>
              <w:t>većanje</w:t>
            </w:r>
            <w:r w:rsidRPr="00EF6E21">
              <w:rPr>
                <w:color w:val="000000"/>
                <w:sz w:val="22"/>
                <w:szCs w:val="22"/>
                <w:lang w:val="sr-Latn-ME"/>
              </w:rPr>
              <w:t xml:space="preserve"> l</w:t>
            </w:r>
            <w:r w:rsidRPr="00EF6E21">
              <w:rPr>
                <w:sz w:val="22"/>
                <w:szCs w:val="22"/>
                <w:lang w:val="sr-Latn-ME"/>
              </w:rPr>
              <w:t>ipaze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E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2F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33,3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0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11,5</w:t>
            </w:r>
          </w:p>
        </w:tc>
      </w:tr>
      <w:tr w:rsidR="00430BB4" w:rsidRPr="00EF6E21" w14:paraId="791B9536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2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color w:val="000000"/>
                <w:sz w:val="22"/>
                <w:szCs w:val="22"/>
                <w:lang w:val="sr-Latn-ME"/>
              </w:rPr>
              <w:t>Povećanje a</w:t>
            </w:r>
            <w:r w:rsidRPr="00EF6E21">
              <w:rPr>
                <w:sz w:val="22"/>
                <w:szCs w:val="22"/>
                <w:lang w:val="sr-Latn-ME"/>
              </w:rPr>
              <w:t>spartat</w:t>
            </w:r>
            <w:r w:rsidRPr="00EF6E21">
              <w:rPr>
                <w:color w:val="000000"/>
                <w:sz w:val="22"/>
                <w:szCs w:val="22"/>
                <w:lang w:val="sr-Latn-ME"/>
              </w:rPr>
              <w:t xml:space="preserve"> aminotransferaze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3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4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33,8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5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5,7</w:t>
            </w:r>
          </w:p>
        </w:tc>
      </w:tr>
      <w:tr w:rsidR="00430BB4" w:rsidRPr="00EF6E21" w14:paraId="791B953B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7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Smanjenje fosfata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8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9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30,1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A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4,5</w:t>
            </w:r>
          </w:p>
        </w:tc>
      </w:tr>
      <w:tr w:rsidR="00430BB4" w:rsidRPr="00EF6E21" w14:paraId="791B9540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C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Smanjenje natrijuma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D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E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22,3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3F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4,5</w:t>
            </w:r>
          </w:p>
        </w:tc>
      </w:tr>
      <w:tr w:rsidR="00430BB4" w:rsidRPr="00EF6E21" w14:paraId="791B9545" w14:textId="77777777" w:rsidTr="00F95A54">
        <w:trPr>
          <w:cantSplit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41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Povećanje  bilirubina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42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43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8,3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44" w14:textId="77777777" w:rsidR="00430BB4" w:rsidRPr="00EF6E21" w:rsidRDefault="00430BB4" w:rsidP="0017386F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0,6*</w:t>
            </w:r>
          </w:p>
        </w:tc>
      </w:tr>
      <w:tr w:rsidR="00430BB4" w:rsidRPr="00EF6E21" w14:paraId="791B954E" w14:textId="77777777" w:rsidTr="00F95A54">
        <w:trPr>
          <w:cantSplit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546" w14:textId="77777777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lastRenderedPageBreak/>
              <w:t>1</w:t>
            </w:r>
            <w:r w:rsidRPr="00EF6E21">
              <w:rPr>
                <w:noProof/>
                <w:sz w:val="22"/>
                <w:szCs w:val="22"/>
                <w:lang w:val="sr-Latn-ME"/>
              </w:rPr>
              <w:tab/>
              <w:t xml:space="preserve">ILD/pneumonitis uključuje uključuje preferirane termine (PT) ILD, pneumonitis i organizovana pneumonija </w:t>
            </w:r>
          </w:p>
          <w:p w14:paraId="791B9547" w14:textId="01CE3FC9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t>2</w:t>
            </w:r>
            <w:r w:rsidRPr="00EF6E21">
              <w:rPr>
                <w:noProof/>
                <w:sz w:val="22"/>
                <w:szCs w:val="22"/>
                <w:lang w:val="sr-Latn-ME"/>
              </w:rPr>
              <w:tab/>
              <w:t>Osip uključuje PT osip, makulopapulozn</w:t>
            </w:r>
            <w:r w:rsidR="00077F32" w:rsidRPr="00EF6E21">
              <w:rPr>
                <w:noProof/>
                <w:sz w:val="22"/>
                <w:szCs w:val="22"/>
                <w:lang w:val="sr-Latn-ME"/>
              </w:rPr>
              <w:t>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osip i vezikularn</w:t>
            </w:r>
            <w:r w:rsidR="00077F32" w:rsidRPr="00EF6E21">
              <w:rPr>
                <w:noProof/>
                <w:sz w:val="22"/>
                <w:szCs w:val="22"/>
                <w:lang w:val="sr-Latn-ME"/>
              </w:rPr>
              <w:t>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osip.</w:t>
            </w:r>
          </w:p>
          <w:p w14:paraId="791B9548" w14:textId="30EF1FEF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t>3</w:t>
            </w:r>
            <w:r w:rsidRPr="00EF6E21">
              <w:rPr>
                <w:noProof/>
                <w:sz w:val="22"/>
                <w:szCs w:val="22"/>
                <w:lang w:val="sr-Latn-ME"/>
              </w:rPr>
              <w:tab/>
              <w:t>Periferni edem uključuje PT perifern</w:t>
            </w:r>
            <w:r w:rsidR="00077F32" w:rsidRPr="00EF6E21">
              <w:rPr>
                <w:noProof/>
                <w:sz w:val="22"/>
                <w:szCs w:val="22"/>
                <w:lang w:val="sr-Latn-ME"/>
              </w:rPr>
              <w:t>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edem i perifern</w:t>
            </w:r>
            <w:r w:rsidR="00077F32" w:rsidRPr="00EF6E21">
              <w:rPr>
                <w:noProof/>
                <w:sz w:val="22"/>
                <w:szCs w:val="22"/>
                <w:lang w:val="sr-Latn-ME"/>
              </w:rPr>
              <w:t>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otok.</w:t>
            </w:r>
          </w:p>
          <w:p w14:paraId="791B9549" w14:textId="47A4B31E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t>4</w:t>
            </w:r>
            <w:r w:rsidRPr="00EF6E21">
              <w:rPr>
                <w:noProof/>
                <w:sz w:val="22"/>
                <w:szCs w:val="22"/>
                <w:lang w:val="sr-Latn-ME"/>
              </w:rPr>
              <w:tab/>
              <w:t>Umor uključuje PT umor i astenij</w:t>
            </w:r>
            <w:r w:rsidR="008C55DD" w:rsidRPr="00EF6E21">
              <w:rPr>
                <w:noProof/>
                <w:sz w:val="22"/>
                <w:szCs w:val="22"/>
                <w:lang w:val="sr-Latn-ME"/>
              </w:rPr>
              <w:t>a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. </w:t>
            </w:r>
          </w:p>
          <w:p w14:paraId="791B954A" w14:textId="3E7B6617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t>5  Nesrčani bol u grudima uključuje PT nelagodnost u grudima, mišićno-skeletn</w:t>
            </w:r>
            <w:r w:rsidR="008C55DD" w:rsidRPr="00EF6E21">
              <w:rPr>
                <w:noProof/>
                <w:sz w:val="22"/>
                <w:szCs w:val="22"/>
                <w:lang w:val="sr-Latn-ME"/>
              </w:rPr>
              <w:t>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bol u grudima, i nesrča</w:t>
            </w:r>
            <w:r w:rsidR="008C55DD" w:rsidRPr="00EF6E21">
              <w:rPr>
                <w:noProof/>
                <w:sz w:val="22"/>
                <w:szCs w:val="22"/>
                <w:lang w:val="sr-Latn-ME"/>
              </w:rPr>
              <w:t>ni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bol u grudima.</w:t>
            </w:r>
          </w:p>
          <w:p w14:paraId="791B954B" w14:textId="77777777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sz w:val="22"/>
                <w:szCs w:val="22"/>
                <w:lang w:val="sr-Latn-ME"/>
              </w:rPr>
              <w:t>*</w:t>
            </w:r>
            <w:r w:rsidRPr="00EF6E21">
              <w:rPr>
                <w:noProof/>
                <w:sz w:val="22"/>
                <w:szCs w:val="22"/>
                <w:lang w:val="sr-Latn-ME"/>
              </w:rPr>
              <w:tab/>
              <w:t xml:space="preserve">Nema neželjenih reakcija gradusa 4, koje su prijavljene u kliničkom ispitivanju GEOMETRY mono-1 kod pacijenata </w:t>
            </w:r>
            <w:r w:rsidRPr="00EF6E21">
              <w:rPr>
                <w:sz w:val="22"/>
                <w:szCs w:val="22"/>
                <w:lang w:val="sr-Latn-ME"/>
              </w:rPr>
              <w:t>sa METex14 mutacijom preskoka</w:t>
            </w:r>
            <w:r w:rsidRPr="00EF6E21">
              <w:rPr>
                <w:noProof/>
                <w:sz w:val="22"/>
                <w:szCs w:val="22"/>
                <w:lang w:val="sr-Latn-ME"/>
              </w:rPr>
              <w:t>.</w:t>
            </w:r>
          </w:p>
          <w:p w14:paraId="644B24C6" w14:textId="12F08595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ind w:left="573" w:hanging="573"/>
              <w:jc w:val="both"/>
              <w:rPr>
                <w:noProof/>
                <w:szCs w:val="22"/>
                <w:lang w:val="sr-Latn-ME"/>
              </w:rPr>
            </w:pPr>
            <w:r w:rsidRPr="00EF6E21">
              <w:rPr>
                <w:vertAlign w:val="superscript"/>
                <w:lang w:val="sr-Latn-ME"/>
              </w:rPr>
              <w:t xml:space="preserve">†    </w:t>
            </w:r>
            <w:r w:rsidRPr="00EF6E21">
              <w:rPr>
                <w:noProof/>
                <w:sz w:val="22"/>
                <w:szCs w:val="22"/>
                <w:lang w:val="sr-Latn-ME"/>
              </w:rPr>
              <w:t>Preos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j</w:t>
            </w:r>
            <w:r w:rsidRPr="00EF6E21">
              <w:rPr>
                <w:noProof/>
                <w:sz w:val="22"/>
                <w:szCs w:val="22"/>
                <w:lang w:val="sr-Latn-ME"/>
              </w:rPr>
              <w:t>etljivost je prim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ij</w:t>
            </w:r>
            <w:r w:rsidRPr="00EF6E21">
              <w:rPr>
                <w:noProof/>
                <w:sz w:val="22"/>
                <w:szCs w:val="22"/>
                <w:lang w:val="sr-Latn-ME"/>
              </w:rPr>
              <w:t>ećena kod pacijenata sa solidnim tumorima koji su primali l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ij</w:t>
            </w:r>
            <w:r w:rsidRPr="00EF6E21">
              <w:rPr>
                <w:noProof/>
                <w:sz w:val="22"/>
                <w:szCs w:val="22"/>
                <w:lang w:val="sr-Latn-ME"/>
              </w:rPr>
              <w:t>ek Tabrecta kao monoterapiju (N=580).</w:t>
            </w:r>
            <w:r w:rsidRPr="00EF6E21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EF6E21">
              <w:rPr>
                <w:noProof/>
                <w:sz w:val="22"/>
                <w:szCs w:val="22"/>
                <w:lang w:val="sr-Latn-ME"/>
              </w:rPr>
              <w:t>Preos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j</w:t>
            </w:r>
            <w:r w:rsidRPr="00EF6E21">
              <w:rPr>
                <w:noProof/>
                <w:sz w:val="22"/>
                <w:szCs w:val="22"/>
                <w:lang w:val="sr-Latn-ME"/>
              </w:rPr>
              <w:t>etljivost je takođe prim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ij</w:t>
            </w:r>
            <w:r w:rsidRPr="00EF6E21">
              <w:rPr>
                <w:noProof/>
                <w:sz w:val="22"/>
                <w:szCs w:val="22"/>
                <w:lang w:val="sr-Latn-ME"/>
              </w:rPr>
              <w:t>ećena u postmarketinškom iskustvu i u programu proširenog pristupa l</w:t>
            </w:r>
            <w:r w:rsidR="0082419A" w:rsidRPr="00EF6E21">
              <w:rPr>
                <w:noProof/>
                <w:sz w:val="22"/>
                <w:szCs w:val="22"/>
                <w:lang w:val="sr-Latn-ME"/>
              </w:rPr>
              <w:t>ij</w:t>
            </w:r>
            <w:r w:rsidRPr="00EF6E21">
              <w:rPr>
                <w:noProof/>
                <w:sz w:val="22"/>
                <w:szCs w:val="22"/>
                <w:lang w:val="sr-Latn-ME"/>
              </w:rPr>
              <w:t>eku Tabrecta.</w:t>
            </w:r>
          </w:p>
          <w:p w14:paraId="791B954C" w14:textId="77777777" w:rsidR="00430BB4" w:rsidRPr="00EF6E21" w:rsidRDefault="00430BB4" w:rsidP="0017386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  <w:p w14:paraId="791B954D" w14:textId="1BE99F53" w:rsidR="00430BB4" w:rsidRPr="00EF6E21" w:rsidRDefault="00430BB4" w:rsidP="008C55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EF6E21">
              <w:rPr>
                <w:noProof/>
                <w:sz w:val="22"/>
                <w:szCs w:val="22"/>
                <w:lang w:val="sr-Latn-ME"/>
              </w:rPr>
              <w:t>Slučajevi akutnog oštećenja bubrega (n=1), bubrežna insuficijencija (n=4) i akutni pankreatitis (n=1) prijavljeni su ko</w:t>
            </w:r>
            <w:r w:rsidR="008C55DD" w:rsidRPr="00EF6E21">
              <w:rPr>
                <w:noProof/>
                <w:sz w:val="22"/>
                <w:szCs w:val="22"/>
                <w:lang w:val="sr-Latn-ME"/>
              </w:rPr>
              <w:t>d</w:t>
            </w:r>
            <w:r w:rsidRPr="00EF6E21">
              <w:rPr>
                <w:noProof/>
                <w:sz w:val="22"/>
                <w:szCs w:val="22"/>
                <w:lang w:val="sr-Latn-ME"/>
              </w:rPr>
              <w:t xml:space="preserve"> GEOMETRY mono-1</w:t>
            </w:r>
            <w:r w:rsidR="008C55DD" w:rsidRPr="00EF6E21">
              <w:rPr>
                <w:noProof/>
                <w:sz w:val="22"/>
                <w:szCs w:val="22"/>
                <w:lang w:val="sr-Latn-ME"/>
              </w:rPr>
              <w:t xml:space="preserve"> pacijenata sa MET amplifikacijom</w:t>
            </w:r>
            <w:r w:rsidRPr="00EF6E21">
              <w:rPr>
                <w:noProof/>
                <w:sz w:val="22"/>
                <w:szCs w:val="22"/>
                <w:lang w:val="sr-Latn-ME"/>
              </w:rPr>
              <w:t>.</w:t>
            </w:r>
          </w:p>
        </w:tc>
      </w:tr>
    </w:tbl>
    <w:p w14:paraId="791B9550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51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Opis odabranih neželjenih reakcjia</w:t>
      </w:r>
    </w:p>
    <w:p w14:paraId="791B9552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53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(ILD)/pneumonitis</w:t>
      </w:r>
    </w:p>
    <w:p w14:paraId="791B9554" w14:textId="72DB420E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ILD/pneumonitis, bilo kog gradusa, prijavljen je kod 12 od 160 pacijenta (7,5%). ILD/pneumonitis gradusa 3 je prijavljen kod 7 pacijenata (4,4%), sa jednim </w:t>
      </w:r>
      <w:r w:rsidR="00A11D7B" w:rsidRPr="00EF6E21">
        <w:rPr>
          <w:sz w:val="22"/>
          <w:szCs w:val="22"/>
          <w:lang w:val="sr-Latn-ME"/>
        </w:rPr>
        <w:t xml:space="preserve">prijavljenim </w:t>
      </w:r>
      <w:r w:rsidRPr="00EF6E21">
        <w:rPr>
          <w:sz w:val="22"/>
          <w:szCs w:val="22"/>
          <w:lang w:val="sr-Latn-ME"/>
        </w:rPr>
        <w:t xml:space="preserve">događajem pneumonitisa sa smrtnim ishodom povezanim sa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enjem (0,6%) i jednim događajem organizovane pneumonije sa smrtnim ishodom (0,6%).  ILD/pneumonitis se javio kod 6 od 63 pacijenata (9,5%) sa prethodnom radioterapijom u anamnezi i kod 6 od 97 pacijenata (6,2%) koji ni</w:t>
      </w:r>
      <w:r w:rsidR="00A11D7B" w:rsidRPr="00EF6E21">
        <w:rPr>
          <w:sz w:val="22"/>
          <w:szCs w:val="22"/>
          <w:lang w:val="sr-Latn-ME"/>
        </w:rPr>
        <w:t>je</w:t>
      </w:r>
      <w:r w:rsidRPr="00EF6E21">
        <w:rPr>
          <w:sz w:val="22"/>
          <w:szCs w:val="22"/>
          <w:lang w:val="sr-Latn-ME"/>
        </w:rPr>
        <w:t xml:space="preserve">su prethodno primali radioterapiju. Šest pacijenata (3,8%) je prekinulo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om Tabrecta zbog ILD/pneumonitisa. ILD/pneumonitis se uglavnom javio u toku prva 3 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eseca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enja. Medijana vremena do početka ILD/pneumonitis gradusa 3 ili više je bila 7,0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a (opseg: 0,7 do 88,4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>e).</w:t>
      </w:r>
    </w:p>
    <w:p w14:paraId="791B955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56" w14:textId="77777777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Efekti na nivou jetre</w:t>
      </w:r>
    </w:p>
    <w:p w14:paraId="791B9557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Povećana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 ALT/AST, bilo kog stepena, prijavljena je kod 24 od 160 pacijenta (15,0%). Povećana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>ost ALT/AST gradusa 3 ili 4 prim</w:t>
      </w:r>
      <w:r w:rsidR="008F6830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ećena je kod 13 od 160 pacijenata (8,1%)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Tabrecta. Dva pacijenta (1,3%) su prekinula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 zbog povećane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ALT/AST. Povećane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ALT/AST uglavnom su se javljale u toku prva 3 </w:t>
      </w:r>
      <w:r w:rsidR="008F6830" w:rsidRPr="00EF6E21">
        <w:rPr>
          <w:sz w:val="22"/>
          <w:szCs w:val="22"/>
          <w:lang w:val="sr-Latn-ME"/>
        </w:rPr>
        <w:t>mjesec</w:t>
      </w:r>
      <w:r w:rsidRPr="00EF6E21">
        <w:rPr>
          <w:sz w:val="22"/>
          <w:szCs w:val="22"/>
          <w:lang w:val="sr-Latn-ME"/>
        </w:rPr>
        <w:t xml:space="preserve">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enja.</w:t>
      </w:r>
    </w:p>
    <w:p w14:paraId="791B955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Medijana vremena do početka povećanja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ALT/AST gradusa 3 ili više bila je 6,4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a (opseg: 2,1 do 17,9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>a).</w:t>
      </w:r>
    </w:p>
    <w:p w14:paraId="791B9559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5A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  <w:r w:rsidRPr="00EF6E21">
        <w:rPr>
          <w:bCs/>
          <w:i/>
          <w:sz w:val="22"/>
          <w:szCs w:val="22"/>
          <w:u w:val="single"/>
          <w:lang w:val="sr-Latn-ME"/>
        </w:rPr>
        <w:t xml:space="preserve">Povećane </w:t>
      </w:r>
      <w:r w:rsidR="00AE0F7F" w:rsidRPr="00EF6E21">
        <w:rPr>
          <w:bCs/>
          <w:i/>
          <w:sz w:val="22"/>
          <w:szCs w:val="22"/>
          <w:u w:val="single"/>
          <w:lang w:val="sr-Latn-ME"/>
        </w:rPr>
        <w:t>vrijedn</w:t>
      </w:r>
      <w:r w:rsidRPr="00EF6E21">
        <w:rPr>
          <w:bCs/>
          <w:i/>
          <w:sz w:val="22"/>
          <w:szCs w:val="22"/>
          <w:u w:val="single"/>
          <w:lang w:val="sr-Latn-ME"/>
        </w:rPr>
        <w:t>osti enzima pankreasa</w:t>
      </w:r>
    </w:p>
    <w:p w14:paraId="791B955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Povećana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 amilaze/lipaze, bilo kog gradusa, prijavljena je kod 27 od 160 pacijenta (16,9%). Povećana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 amilaze/lipaze gradusa 3 ili 4 prijavljena je kod 18 od 160 pacijenta (11,3%)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Tabrecta. Tri pacijenta (1,9%) su prekinula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 zbog povećane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amilaze/lipaze. Medijana vremena do početka povećanja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 xml:space="preserve">osti amilaze/lipaze gradusa 3 ili više bila je 10,1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a (opseg: 2,3 do 68,0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>a).</w:t>
      </w:r>
    </w:p>
    <w:p w14:paraId="791B955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5D" w14:textId="77777777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Periferni edem</w:t>
      </w:r>
    </w:p>
    <w:p w14:paraId="791B955F" w14:textId="7A703F62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Periferni edem, bilo kog gradusa, prijavljen je kod 108 od 160 pacijenta (67,5%). Ova neželjena reakcija uključuje PT perifern</w:t>
      </w:r>
      <w:r w:rsidR="008C55DD" w:rsidRPr="00EF6E21">
        <w:rPr>
          <w:sz w:val="22"/>
          <w:szCs w:val="22"/>
          <w:lang w:val="sr-Latn-ME"/>
        </w:rPr>
        <w:t>i</w:t>
      </w:r>
      <w:r w:rsidRPr="00EF6E21">
        <w:rPr>
          <w:sz w:val="22"/>
          <w:szCs w:val="22"/>
          <w:lang w:val="sr-Latn-ME"/>
        </w:rPr>
        <w:t xml:space="preserve"> edem, koji je bio najčešći kod 65,0% pacijenata i periferni otok koji se javio kod 4,4% pacijenata. Periferni edem gradusa 3 ili 4 prijavljen je kod 23 od 160 pacijenata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 xml:space="preserve">(14,4%)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Tabrecta. Četiri pacijenata (2,5%) je prekinulo terapiju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 zbog perifernog edema. Medijana vremena do pojave perifernog edema gradusa 3 ili višeg bila je 24,3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a (opseg: 1,4 do 86,9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>a).</w:t>
      </w:r>
    </w:p>
    <w:p w14:paraId="791B9560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61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Posebne populacije</w:t>
      </w:r>
    </w:p>
    <w:p w14:paraId="791B9562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</w:p>
    <w:p w14:paraId="791B9563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Starije osobe</w:t>
      </w:r>
    </w:p>
    <w:p w14:paraId="791B9564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65" w14:textId="572A210F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lastRenderedPageBreak/>
        <w:t>Od 160 pacijenata sa METex14 mutacijom preskoka u kliničkom ispitivanju GEOMETRY mono-1 koji su primali 400 mg kapmatiniba dva puta na dan 85% je imalo 65 godina ili više, a 4,4% je imalo 85 godina ili više. Pojava događaja stepena ≥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 xml:space="preserve">3 povećavala se sa godinama. Ozbiljni događaji povezani sa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enjem bili su češći kod pacijenata starosti ≥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65 do &lt;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75 godina (22%) i onih starih ≥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85 godina (28,6%) u poređenju sa pacijentima starosti ≥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75 do &lt;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85 godina (8,5%) i pacijentima mlađim od 65 godina (8,3%), iako je ovo poređenje ograničeno malom veličinom uzorka kod pacijenata starosti ≥</w:t>
      </w:r>
      <w:r w:rsidR="008C55D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85 godina.</w:t>
      </w:r>
    </w:p>
    <w:p w14:paraId="791B9566" w14:textId="77777777" w:rsidR="004E70AD" w:rsidRPr="00EF6E21" w:rsidRDefault="004E70AD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67" w14:textId="77777777" w:rsidR="005A23D2" w:rsidRPr="00EF6E21" w:rsidRDefault="005A23D2" w:rsidP="0017386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EF6E2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91B9568" w14:textId="77777777" w:rsidR="005A23D2" w:rsidRPr="00EF6E21" w:rsidRDefault="005A23D2" w:rsidP="00947E1F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EF6E21">
        <w:rPr>
          <w:rFonts w:eastAsia="Calibri"/>
          <w:sz w:val="22"/>
          <w:szCs w:val="22"/>
          <w:lang w:val="sr-Latn-ME"/>
        </w:rPr>
        <w:t>inuirano praćenje odnosa korist</w:t>
      </w:r>
      <w:r w:rsidRPr="00EF6E21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EF6E21">
        <w:rPr>
          <w:rFonts w:eastAsia="Calibri"/>
          <w:sz w:val="22"/>
          <w:szCs w:val="22"/>
          <w:lang w:val="sr-Latn-ME"/>
        </w:rPr>
        <w:t xml:space="preserve"> </w:t>
      </w:r>
      <w:r w:rsidRPr="00EF6E21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EF6E21">
        <w:rPr>
          <w:rFonts w:eastAsia="Calibri"/>
          <w:sz w:val="22"/>
          <w:szCs w:val="22"/>
          <w:lang w:val="sr-Latn-ME"/>
        </w:rPr>
        <w:t>Institutu</w:t>
      </w:r>
      <w:r w:rsidRPr="00EF6E21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EF6E21">
        <w:rPr>
          <w:rFonts w:eastAsia="Calibri"/>
          <w:sz w:val="22"/>
          <w:szCs w:val="22"/>
          <w:lang w:val="sr-Latn-ME"/>
        </w:rPr>
        <w:t xml:space="preserve"> </w:t>
      </w:r>
      <w:r w:rsidRPr="00EF6E21">
        <w:rPr>
          <w:rFonts w:eastAsia="Calibri"/>
          <w:sz w:val="22"/>
          <w:szCs w:val="22"/>
          <w:lang w:val="sr-Latn-ME"/>
        </w:rPr>
        <w:t>(</w:t>
      </w:r>
      <w:r w:rsidR="004E70AD" w:rsidRPr="00EF6E21">
        <w:rPr>
          <w:rFonts w:eastAsia="Calibri"/>
          <w:sz w:val="22"/>
          <w:szCs w:val="22"/>
          <w:lang w:val="sr-Latn-ME"/>
        </w:rPr>
        <w:t>CInMED</w:t>
      </w:r>
      <w:r w:rsidRPr="00EF6E21">
        <w:rPr>
          <w:rFonts w:eastAsia="Calibri"/>
          <w:sz w:val="22"/>
          <w:szCs w:val="22"/>
          <w:lang w:val="sr-Latn-ME"/>
        </w:rPr>
        <w:t>):</w:t>
      </w:r>
    </w:p>
    <w:p w14:paraId="791B9569" w14:textId="77777777" w:rsidR="005A23D2" w:rsidRPr="00EF6E21" w:rsidRDefault="004E70AD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EF6E21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91B956A" w14:textId="77777777" w:rsidR="005A23D2" w:rsidRPr="00EF6E21" w:rsidRDefault="005A23D2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Odjeljenje za farmakovigilancu</w:t>
      </w:r>
    </w:p>
    <w:p w14:paraId="791B956B" w14:textId="77777777" w:rsidR="00EA5765" w:rsidRPr="00EF6E21" w:rsidRDefault="005A23D2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91B956C" w14:textId="77777777" w:rsidR="00EA5765" w:rsidRPr="00EF6E21" w:rsidRDefault="00EA5765" w:rsidP="0017386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91B956D" w14:textId="77777777" w:rsidR="005A23D2" w:rsidRPr="00EF6E21" w:rsidRDefault="005A23D2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tel: +382 (0) 20 310 280</w:t>
      </w:r>
    </w:p>
    <w:p w14:paraId="791B956E" w14:textId="77777777" w:rsidR="00EA5765" w:rsidRPr="00EF6E21" w:rsidRDefault="005A23D2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fax:</w:t>
      </w:r>
      <w:r w:rsidR="00EA5765" w:rsidRPr="00EF6E21">
        <w:rPr>
          <w:rFonts w:eastAsia="Calibri"/>
          <w:sz w:val="22"/>
          <w:szCs w:val="22"/>
          <w:lang w:val="sr-Latn-ME"/>
        </w:rPr>
        <w:t xml:space="preserve"> </w:t>
      </w:r>
      <w:r w:rsidRPr="00EF6E21">
        <w:rPr>
          <w:rFonts w:eastAsia="Calibri"/>
          <w:sz w:val="22"/>
          <w:szCs w:val="22"/>
          <w:lang w:val="sr-Latn-ME"/>
        </w:rPr>
        <w:t>+382 (0) 20 310 581</w:t>
      </w:r>
    </w:p>
    <w:p w14:paraId="791B956F" w14:textId="77777777" w:rsidR="005A23D2" w:rsidRPr="00EF6E21" w:rsidRDefault="005125EC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EF6E2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91B9570" w14:textId="77777777" w:rsidR="00EA5765" w:rsidRPr="00EF6E21" w:rsidRDefault="005125EC" w:rsidP="00947E1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EF6E2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91B9571" w14:textId="77777777" w:rsidR="005A23D2" w:rsidRPr="00EF6E21" w:rsidRDefault="005A23D2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putem IS zdravstvene zaštite</w:t>
      </w:r>
    </w:p>
    <w:p w14:paraId="4460D5B6" w14:textId="7610BE3D" w:rsidR="00947E1F" w:rsidRPr="00EF6E21" w:rsidRDefault="00947E1F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2F6968" w14:textId="77777777" w:rsidR="00947E1F" w:rsidRPr="00EF6E21" w:rsidRDefault="00947E1F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4CEB5BD3" w14:textId="77777777" w:rsidR="00947E1F" w:rsidRPr="00EF6E21" w:rsidRDefault="00947E1F" w:rsidP="00947E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C2E8B76" w14:textId="77777777" w:rsidR="00947E1F" w:rsidRPr="00EF6E21" w:rsidRDefault="00947E1F" w:rsidP="0017386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6E21">
        <w:rPr>
          <w:noProof/>
        </w:rPr>
        <w:drawing>
          <wp:inline distT="0" distB="0" distL="0" distR="0" wp14:anchorId="20A92E99" wp14:editId="156D597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2244" w14:textId="77777777" w:rsidR="00947E1F" w:rsidRPr="00EF6E21" w:rsidRDefault="00947E1F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73" w14:textId="77777777" w:rsidR="00CD6F02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4.9.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Predoziranje</w:t>
      </w:r>
      <w:r w:rsidR="002846DB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574" w14:textId="77777777" w:rsidR="00CD6F02" w:rsidRPr="00EF6E21" w:rsidRDefault="00CD6F02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75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Iskustvo sa predoziranjem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u kliničkim ispitivanjima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Tabrecta je ograničeno. Pacijente je potrebno pažljivo pratiti na znake ili simptome neželjenih reakcija, i opšte suportivne m</w:t>
      </w:r>
      <w:r w:rsidR="008F6830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ere i simptomatsko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 treba započeti u slučajevima sumnje na predoziranje.</w:t>
      </w:r>
    </w:p>
    <w:p w14:paraId="791B9576" w14:textId="5672CF94" w:rsidR="00227BDB" w:rsidRDefault="00227BDB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923B22" w14:textId="77777777" w:rsidR="00963C5C" w:rsidRPr="00EF6E21" w:rsidRDefault="00963C5C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77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5.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FARMAKOLOŠK</w:t>
      </w:r>
      <w:r w:rsidR="000D425A" w:rsidRPr="00EF6E21">
        <w:rPr>
          <w:b/>
          <w:bCs/>
          <w:sz w:val="22"/>
          <w:szCs w:val="22"/>
          <w:lang w:val="sr-Latn-ME"/>
        </w:rPr>
        <w:t>I</w:t>
      </w:r>
      <w:r w:rsidRPr="00EF6E21">
        <w:rPr>
          <w:b/>
          <w:bCs/>
          <w:sz w:val="22"/>
          <w:szCs w:val="22"/>
          <w:lang w:val="sr-Latn-ME"/>
        </w:rPr>
        <w:t xml:space="preserve"> PODACI</w:t>
      </w:r>
    </w:p>
    <w:p w14:paraId="791B9578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79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5.1.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Farmakodinamski podaci</w:t>
      </w:r>
      <w:r w:rsidR="003A7059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57A" w14:textId="77777777" w:rsidR="00F45F77" w:rsidRPr="00EF6E21" w:rsidRDefault="00F45F77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7B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Farmakoterapijska grupa:</w:t>
      </w:r>
      <w:r w:rsidR="00F95A54" w:rsidRPr="00EF6E21">
        <w:rPr>
          <w:sz w:val="22"/>
          <w:szCs w:val="22"/>
          <w:lang w:val="sr-Latn-ME"/>
        </w:rPr>
        <w:t xml:space="preserve"> antineoplastici; inhibitori protein kinaze</w:t>
      </w:r>
    </w:p>
    <w:p w14:paraId="791B957C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57D" w14:textId="1530F53D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ATC kod:</w:t>
      </w:r>
      <w:r w:rsidR="00F95A54" w:rsidRPr="00EF6E21">
        <w:rPr>
          <w:bCs/>
          <w:sz w:val="22"/>
          <w:szCs w:val="22"/>
          <w:lang w:val="sr-Latn-ME"/>
        </w:rPr>
        <w:t xml:space="preserve"> </w:t>
      </w:r>
      <w:r w:rsidR="00F95A54" w:rsidRPr="00EF6E21">
        <w:rPr>
          <w:sz w:val="22"/>
          <w:szCs w:val="22"/>
          <w:lang w:val="sr-Latn-ME"/>
        </w:rPr>
        <w:t>L01EX17</w:t>
      </w:r>
    </w:p>
    <w:p w14:paraId="123CD724" w14:textId="77777777" w:rsidR="00947E1F" w:rsidRPr="00EF6E21" w:rsidRDefault="00947E1F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57E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Mehanizam dejstva</w:t>
      </w:r>
    </w:p>
    <w:p w14:paraId="791B9580" w14:textId="05E276D1" w:rsidR="00F95A54" w:rsidRPr="00EF6E21" w:rsidRDefault="00F95A54" w:rsidP="0017386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je inhibitor tirozin kinaze MET receptora. Kapmatinib inhibira MET fosforilaciju (ob</w:t>
      </w:r>
      <w:r w:rsidR="008C55DD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e, i autofosforilaciju i fosforilaciju koju pokreće ligand faktor rasta hepatocita [engl. </w:t>
      </w: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>ligand hepatocyte</w:t>
      </w:r>
    </w:p>
    <w:p w14:paraId="791B9581" w14:textId="77777777" w:rsidR="00F95A54" w:rsidRPr="00EF6E21" w:rsidRDefault="00F95A54" w:rsidP="008C55DD">
      <w:pPr>
        <w:shd w:val="clear" w:color="auto" w:fill="FFFFFF" w:themeFill="background1"/>
        <w:tabs>
          <w:tab w:val="left" w:pos="8080"/>
        </w:tabs>
        <w:jc w:val="both"/>
        <w:rPr>
          <w:sz w:val="22"/>
          <w:szCs w:val="22"/>
          <w:lang w:val="sr-Latn-ME"/>
        </w:rPr>
      </w:pP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>growth factor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 xml:space="preserve">, </w:t>
      </w:r>
      <w:r w:rsidRPr="00EF6E21">
        <w:rPr>
          <w:sz w:val="22"/>
          <w:szCs w:val="22"/>
          <w:lang w:val="sr-Latn-ME"/>
        </w:rPr>
        <w:t>HGF]), MET posredovanu fosforilaciju proteina nishodnih signalnih puteva, kao i</w:t>
      </w:r>
    </w:p>
    <w:p w14:paraId="791B9582" w14:textId="77777777" w:rsidR="00F95A54" w:rsidRPr="00EF6E21" w:rsidRDefault="00F95A54" w:rsidP="0017386F">
      <w:pPr>
        <w:shd w:val="clear" w:color="auto" w:fill="FFFFFF" w:themeFill="background1"/>
        <w:jc w:val="both"/>
        <w:rPr>
          <w:color w:val="000000"/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proliferaciju i preživljavanje malignih ćelija zavisnih od MET.</w:t>
      </w:r>
    </w:p>
    <w:p w14:paraId="791B9583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84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Farmakodinamski efekti</w:t>
      </w:r>
    </w:p>
    <w:p w14:paraId="791B958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EFF820F" w14:textId="77777777" w:rsidR="00ED0DC6" w:rsidRDefault="00ED0DC6" w:rsidP="0017386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</w:p>
    <w:p w14:paraId="791B9586" w14:textId="088C0744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lastRenderedPageBreak/>
        <w:t>Elektrofiziologija srca</w:t>
      </w:r>
    </w:p>
    <w:p w14:paraId="791B9587" w14:textId="235F292C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nije produžio QT interval u bilo kojoj klinički značajnoj m</w:t>
      </w:r>
      <w:r w:rsidR="000B1303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eri nakon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Tabrecta u preporučenoj dozi.</w:t>
      </w:r>
    </w:p>
    <w:p w14:paraId="791B958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89" w14:textId="77777777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Detekcija statusa METex14 preskoka</w:t>
      </w:r>
    </w:p>
    <w:p w14:paraId="791B958A" w14:textId="4D9F0E02" w:rsidR="00F95A54" w:rsidRPr="00EF6E21" w:rsidRDefault="00F95A54" w:rsidP="000B1303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U</w:t>
      </w:r>
      <w:r w:rsidR="000B1303" w:rsidRPr="00EF6E21">
        <w:rPr>
          <w:sz w:val="22"/>
          <w:szCs w:val="22"/>
          <w:lang w:val="sr-Latn-ME"/>
        </w:rPr>
        <w:t xml:space="preserve"> ispitivanju</w:t>
      </w:r>
      <w:r w:rsidRPr="00EF6E21">
        <w:rPr>
          <w:sz w:val="22"/>
          <w:szCs w:val="22"/>
          <w:lang w:val="sr-Latn-ME"/>
        </w:rPr>
        <w:t xml:space="preserve"> GEOMETRI mono-1, MET mutacije preskoka egzona 14 određene su korišćenjem kvalitativnog PCR testa u realnom vremenu (</w:t>
      </w:r>
      <w:r w:rsidR="000B1303" w:rsidRPr="00EF6E21">
        <w:rPr>
          <w:sz w:val="22"/>
          <w:szCs w:val="22"/>
          <w:lang w:val="sr-Latn-ME"/>
        </w:rPr>
        <w:t xml:space="preserve">engl. </w:t>
      </w:r>
      <w:r w:rsidR="000B1303" w:rsidRPr="00F74D94">
        <w:rPr>
          <w:i/>
          <w:sz w:val="22"/>
          <w:szCs w:val="22"/>
          <w:lang w:val="sr-Latn-ME"/>
        </w:rPr>
        <w:t>real-time polymerase chain reaction</w:t>
      </w:r>
      <w:r w:rsidR="000B1303" w:rsidRPr="00EF6E21">
        <w:rPr>
          <w:sz w:val="22"/>
          <w:szCs w:val="22"/>
          <w:lang w:val="sr-Latn-ME"/>
        </w:rPr>
        <w:t xml:space="preserve">, </w:t>
      </w:r>
      <w:r w:rsidRPr="00EF6E21">
        <w:rPr>
          <w:sz w:val="22"/>
          <w:szCs w:val="22"/>
          <w:lang w:val="sr-Latn-ME"/>
        </w:rPr>
        <w:t xml:space="preserve">RT-PCR) dizajniranog da detektuje MET mRNA bez egzona 14 izolovanu iz humanog tkiva fiksiranog formalinom i zalivenom u parafin. Test je indikovan kao pomoć u odabiru pacijenata sa nemikrocelularnim karcinomom pluća (NSCLC) čiji tumori nose MET mutaciju koja uzrokuje </w:t>
      </w:r>
      <w:r w:rsidR="000B1303" w:rsidRPr="00EF6E21">
        <w:rPr>
          <w:sz w:val="22"/>
          <w:szCs w:val="22"/>
          <w:lang w:val="sr-Latn-ME"/>
        </w:rPr>
        <w:t>„</w:t>
      </w:r>
      <w:r w:rsidR="000B1303" w:rsidRPr="00F74D94">
        <w:rPr>
          <w:i/>
          <w:sz w:val="22"/>
          <w:szCs w:val="22"/>
          <w:lang w:val="sr-Latn-ME"/>
        </w:rPr>
        <w:t>in-frame</w:t>
      </w:r>
      <w:r w:rsidR="000B1303" w:rsidRPr="00EF6E21">
        <w:rPr>
          <w:sz w:val="22"/>
          <w:szCs w:val="22"/>
          <w:lang w:val="sr-Latn-ME"/>
        </w:rPr>
        <w:t xml:space="preserve">“ deleciju (unutar okvira čitanja) </w:t>
      </w:r>
      <w:r w:rsidRPr="00EF6E21">
        <w:rPr>
          <w:sz w:val="22"/>
          <w:szCs w:val="22"/>
          <w:lang w:val="sr-Latn-ME"/>
        </w:rPr>
        <w:t xml:space="preserve">deleciju celog egzona 14 (141 baza) u mRNK za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 kapmatinibom.</w:t>
      </w:r>
    </w:p>
    <w:p w14:paraId="791B958B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791B958C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Klinička efikasnost i </w:t>
      </w:r>
      <w:r w:rsidR="008F6830" w:rsidRPr="00EF6E21">
        <w:rPr>
          <w:sz w:val="22"/>
          <w:szCs w:val="22"/>
          <w:u w:val="single"/>
          <w:lang w:val="sr-Latn-ME"/>
        </w:rPr>
        <w:t>bezbjed</w:t>
      </w:r>
      <w:r w:rsidRPr="00EF6E21">
        <w:rPr>
          <w:sz w:val="22"/>
          <w:szCs w:val="22"/>
          <w:u w:val="single"/>
          <w:lang w:val="sr-Latn-ME"/>
        </w:rPr>
        <w:t>nost</w:t>
      </w:r>
    </w:p>
    <w:p w14:paraId="791B958D" w14:textId="77777777" w:rsidR="00F95A54" w:rsidRPr="00EF6E21" w:rsidRDefault="00F95A54" w:rsidP="0017386F">
      <w:pPr>
        <w:keepNext/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8E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bookmarkStart w:id="0" w:name="_Toc266784438"/>
      <w:bookmarkStart w:id="1" w:name="_Toc260745247"/>
      <w:bookmarkStart w:id="2" w:name="_Toc259713132"/>
      <w:bookmarkStart w:id="3" w:name="_Toc259707186"/>
      <w:bookmarkStart w:id="4" w:name="_Toc259707123"/>
      <w:bookmarkStart w:id="5" w:name="_Toc259706951"/>
      <w:r w:rsidRPr="00EF6E21">
        <w:rPr>
          <w:sz w:val="22"/>
          <w:szCs w:val="22"/>
          <w:lang w:val="sr-Latn-ME"/>
        </w:rPr>
        <w:t xml:space="preserve">Efikasnost kapmatiniba u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enju pacijenata sa lokalno uznapredovalim ili metastatskim NSCLC</w:t>
      </w:r>
    </w:p>
    <w:p w14:paraId="791B958F" w14:textId="3F3C96A0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sa mutacijom preskoka MET egzona 14 (METex14)</w:t>
      </w:r>
      <w:r w:rsidRPr="00EF6E21">
        <w:rPr>
          <w:spacing w:val="-2"/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 xml:space="preserve">proučavana je u prospektivnom, višekohortnom, nerandomizovanom, otvorenom kliničkom ispitivanju faze II GEOMETRY mono-1. Pacijenti (N=373) su uključeni u kohorte prema njihovoj prethodnoj terapiji i statusu MET disregulacije (mutacije i/ili </w:t>
      </w:r>
      <w:r w:rsidR="000B1303" w:rsidRPr="00EF6E21">
        <w:rPr>
          <w:sz w:val="22"/>
          <w:szCs w:val="22"/>
          <w:lang w:val="sr-Latn-ME"/>
        </w:rPr>
        <w:t>ampifikacija</w:t>
      </w:r>
      <w:r w:rsidRPr="00EF6E21">
        <w:rPr>
          <w:sz w:val="22"/>
          <w:szCs w:val="22"/>
          <w:lang w:val="sr-Latn-ME"/>
        </w:rPr>
        <w:t xml:space="preserve">). Pacijenti sa METex14 mutacijom preskoka (N=160) su uključeni u kohorte MET-mutacija kohorte bez obzira na MET pojačanje. Prikazana efikasnost kapmatiniba je zasnovana na kohortama 4 i 6 koje uključuju 100 ranije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enih pacijenata.</w:t>
      </w:r>
    </w:p>
    <w:p w14:paraId="791B9590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1" w14:textId="3B45C942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U kohortama MET-mutacija, pacijenti sa NSCLC koji ispunjavaju uslove su morali da imaju epidermalni faktor rasta receptor (engl. </w:t>
      </w:r>
      <w:r w:rsidRPr="00EF6E21">
        <w:rPr>
          <w:i/>
          <w:sz w:val="22"/>
          <w:szCs w:val="22"/>
          <w:lang w:val="sr-Latn-ME"/>
        </w:rPr>
        <w:t>Epidermal Growth Factor Receptor</w:t>
      </w:r>
      <w:r w:rsidRPr="00EF6E21">
        <w:rPr>
          <w:sz w:val="22"/>
          <w:szCs w:val="22"/>
          <w:lang w:val="sr-Latn-ME"/>
        </w:rPr>
        <w:t xml:space="preserve">, EGFR) divljeg tipa (za delecije egzona 19 i supstitucije egzona 21 L858R) i negativan status </w:t>
      </w:r>
      <w:r w:rsidR="001D48BA" w:rsidRPr="00EF6E21">
        <w:rPr>
          <w:sz w:val="22"/>
          <w:szCs w:val="22"/>
          <w:lang w:val="sr-Latn-ME"/>
        </w:rPr>
        <w:t xml:space="preserve">kinaze </w:t>
      </w:r>
      <w:r w:rsidRPr="00EF6E21">
        <w:rPr>
          <w:sz w:val="22"/>
          <w:szCs w:val="22"/>
          <w:lang w:val="sr-Latn-ME"/>
        </w:rPr>
        <w:t>anaplastičn</w:t>
      </w:r>
      <w:r w:rsidR="001D48BA" w:rsidRPr="00EF6E21">
        <w:rPr>
          <w:sz w:val="22"/>
          <w:szCs w:val="22"/>
          <w:lang w:val="sr-Latn-ME"/>
        </w:rPr>
        <w:t>og</w:t>
      </w:r>
      <w:r w:rsidRPr="00EF6E21">
        <w:rPr>
          <w:sz w:val="22"/>
          <w:szCs w:val="22"/>
          <w:lang w:val="sr-Latn-ME"/>
        </w:rPr>
        <w:t xml:space="preserve"> limfom</w:t>
      </w:r>
      <w:r w:rsidR="001D48BA" w:rsidRPr="00EF6E21">
        <w:rPr>
          <w:sz w:val="22"/>
          <w:szCs w:val="22"/>
          <w:lang w:val="sr-Latn-ME"/>
        </w:rPr>
        <w:t>a</w:t>
      </w:r>
      <w:r w:rsidRPr="00EF6E21">
        <w:rPr>
          <w:sz w:val="22"/>
          <w:szCs w:val="22"/>
          <w:lang w:val="sr-Latn-ME"/>
        </w:rPr>
        <w:t xml:space="preserve"> (engl. </w:t>
      </w:r>
      <w:r w:rsidRPr="00EF6E21">
        <w:rPr>
          <w:i/>
          <w:sz w:val="22"/>
          <w:szCs w:val="22"/>
          <w:lang w:val="sr-Latn-ME"/>
        </w:rPr>
        <w:t>Anaplastic Lymphoma Kinase</w:t>
      </w:r>
      <w:r w:rsidRPr="00EF6E21">
        <w:rPr>
          <w:sz w:val="22"/>
          <w:szCs w:val="22"/>
          <w:lang w:val="sr-Latn-ME"/>
        </w:rPr>
        <w:t>, ALK) i sa METex14 mutacijom preskoka  sa najmanje jed</w:t>
      </w:r>
      <w:r w:rsidR="00D7784E" w:rsidRPr="00EF6E21">
        <w:rPr>
          <w:sz w:val="22"/>
          <w:szCs w:val="22"/>
          <w:lang w:val="sr-Latn-ME"/>
        </w:rPr>
        <w:t>n</w:t>
      </w:r>
      <w:r w:rsidRPr="00EF6E21">
        <w:rPr>
          <w:sz w:val="22"/>
          <w:szCs w:val="22"/>
          <w:lang w:val="sr-Latn-ME"/>
        </w:rPr>
        <w:t>om m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erljivom lezijom kao što je definisano Kriterijumima za proc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enu odgovora kod solidnih tumora (engl. </w:t>
      </w: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>Response Evaluation Criteria in Solid Tumours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 xml:space="preserve">, </w:t>
      </w:r>
      <w:r w:rsidRPr="00EF6E21">
        <w:rPr>
          <w:sz w:val="22"/>
          <w:szCs w:val="22"/>
          <w:lang w:val="sr-Latn-ME"/>
        </w:rPr>
        <w:t xml:space="preserve">RECIST) verzija 1.1, zajedno sa statusom performansi (PS) 0 do 1 Istočne kooperativne onkološke grupe (engl. </w:t>
      </w: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 xml:space="preserve">Eastern Cooperative Oncology Group, </w:t>
      </w:r>
      <w:r w:rsidRPr="00EF6E21">
        <w:rPr>
          <w:sz w:val="22"/>
          <w:szCs w:val="22"/>
          <w:lang w:val="sr-Latn-ME"/>
        </w:rPr>
        <w:t xml:space="preserve">ECOG). Pacijenti sa simptomatskim metastazama centralnog nervnog sistema (CNS) koji su bili neurološki nestabilni ili su </w:t>
      </w:r>
      <w:r w:rsidR="001D48BA" w:rsidRPr="00EF6E21">
        <w:rPr>
          <w:sz w:val="22"/>
          <w:szCs w:val="22"/>
          <w:lang w:val="sr-Latn-ME"/>
        </w:rPr>
        <w:t>im bila potrebna</w:t>
      </w:r>
      <w:r w:rsidRPr="00EF6E21">
        <w:rPr>
          <w:sz w:val="22"/>
          <w:szCs w:val="22"/>
          <w:lang w:val="sr-Latn-ME"/>
        </w:rPr>
        <w:t xml:space="preserve"> poveća</w:t>
      </w:r>
      <w:r w:rsidR="001D48BA" w:rsidRPr="00EF6E21">
        <w:rPr>
          <w:sz w:val="22"/>
          <w:szCs w:val="22"/>
          <w:lang w:val="sr-Latn-ME"/>
        </w:rPr>
        <w:t>nja</w:t>
      </w:r>
      <w:r w:rsidRPr="00EF6E21">
        <w:rPr>
          <w:sz w:val="22"/>
          <w:szCs w:val="22"/>
          <w:lang w:val="sr-Latn-ME"/>
        </w:rPr>
        <w:t xml:space="preserve"> doza steroida u prethodne 2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e za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enje simptoma CNS-a, pacijenti sa klinički značajnim nekontrolisanim oboljenjem srca ili pacijenti koji su prethodno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eni bilo kojim MET ili HGF inhibitorom ni</w:t>
      </w:r>
      <w:r w:rsidR="00A11D7B" w:rsidRPr="00EF6E21">
        <w:rPr>
          <w:sz w:val="22"/>
          <w:szCs w:val="22"/>
          <w:lang w:val="sr-Latn-ME"/>
        </w:rPr>
        <w:t>je</w:t>
      </w:r>
      <w:r w:rsidRPr="00EF6E21">
        <w:rPr>
          <w:sz w:val="22"/>
          <w:szCs w:val="22"/>
          <w:lang w:val="sr-Latn-ME"/>
        </w:rPr>
        <w:t>su bili podesni za kliničko ispitivanje.</w:t>
      </w:r>
    </w:p>
    <w:p w14:paraId="791B9592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3" w14:textId="573EACC6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U kohorte sa MET-mutacijama je uključeno ukupno 100 ranije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odraslih pacijenata sa lokalno uznapredovalim ili metastatskim NSCLC sa METex14 mutacijom preskoka koji su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om Tabrecta.  Pacijenti su bili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 sa 1 ili 2 prethodne linije sistemske terapije za uznapredovalu bolest, izuzev 3 pacijenta (3,0%) koji su primili 3 prethodne linije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enja pr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kapmatiniba. Medijana trajanja izloženosti kapmatinibu bila je 27,9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>a.</w:t>
      </w:r>
    </w:p>
    <w:p w14:paraId="791B9594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5" w14:textId="68644F20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Pacijenti su nastavili sa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enjem do dokumentovanja progresije bolesti, netolerancije na terapiju ili kada je istraživač  utvrdio da pacijent više nema kliničku korist</w:t>
      </w:r>
      <w:r w:rsidR="00A11D7B" w:rsidRPr="00EF6E21">
        <w:rPr>
          <w:sz w:val="22"/>
          <w:szCs w:val="22"/>
          <w:lang w:val="sr-Latn-ME"/>
        </w:rPr>
        <w:t xml:space="preserve"> od terapije</w:t>
      </w:r>
      <w:r w:rsidRPr="00EF6E21">
        <w:rPr>
          <w:sz w:val="22"/>
          <w:szCs w:val="22"/>
          <w:lang w:val="sr-Latn-ME"/>
        </w:rPr>
        <w:t>.</w:t>
      </w:r>
    </w:p>
    <w:p w14:paraId="791B9596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7" w14:textId="7F46AEE2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Demografske karakteristike ispitivane populacije ranije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enih pacijenat bile su</w:t>
      </w:r>
      <w:r w:rsidR="001D48BA" w:rsidRPr="00EF6E21">
        <w:rPr>
          <w:sz w:val="22"/>
          <w:szCs w:val="22"/>
          <w:lang w:val="sr-Latn-ME"/>
        </w:rPr>
        <w:t>:</w:t>
      </w:r>
      <w:r w:rsidRPr="00EF6E21">
        <w:rPr>
          <w:sz w:val="22"/>
          <w:szCs w:val="22"/>
          <w:lang w:val="sr-Latn-ME"/>
        </w:rPr>
        <w:t xml:space="preserve"> 56% žene, medijane starosti 70 godina (opseg: 49 do 90 godina), 29% starosti 75 godina ili više, 73% b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ele rase, 24% Azijati, 1,0% crne rase, 59% nikada nije pušilo, 37% su bili bivši pušači, 78% je imalo adenokarcinom, 26% je imalo ECOG PS 0, 73% je imalo ECOG PS 1, a 17% je imalo metastaze u CNS-u. Većina pacijenata (62%) je imalo IV stadijum bolesti. Devedeset jedan procenat pacijenata je prethodno primalo hemioterapiju, 86% je prethodno primalo hemioterapiju zasnovanu na platini, 32% je prethodno primalo imunoterapiju, a 16% je prethodno primalo 2 sistemske terapije.</w:t>
      </w:r>
    </w:p>
    <w:p w14:paraId="791B9598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9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Primarni parametar praćenja kliničkog ispitivanja bila je ukupna stopa odgovora (engl.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 xml:space="preserve"> </w:t>
      </w: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>overall response rate,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 xml:space="preserve"> ORR</w:t>
      </w:r>
      <w:r w:rsidRPr="00EF6E21">
        <w:rPr>
          <w:sz w:val="22"/>
          <w:szCs w:val="22"/>
          <w:lang w:val="sr-Latn-ME"/>
        </w:rPr>
        <w:t>) kako je određeno komitetom za nezavisni sl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epi pregled (engl. </w:t>
      </w:r>
      <w:r w:rsidRPr="00EF6E21">
        <w:rPr>
          <w:i/>
          <w:sz w:val="22"/>
          <w:szCs w:val="22"/>
          <w:lang w:val="sr-Latn-ME"/>
        </w:rPr>
        <w:t xml:space="preserve">Blinded Independent Review Committee, </w:t>
      </w:r>
      <w:r w:rsidRPr="00EF6E21">
        <w:rPr>
          <w:sz w:val="22"/>
          <w:szCs w:val="22"/>
          <w:lang w:val="sr-Latn-ME"/>
        </w:rPr>
        <w:t xml:space="preserve">BIRC) prema RECIST 1.1. Ključni sekundarni parametar praćenja bila je dužina trajanja odgovora (engl. </w:t>
      </w:r>
      <w:r w:rsidRPr="00EF6E21">
        <w:rPr>
          <w:rFonts w:ascii="TimesNewRomanPSMT" w:hAnsi="TimesNewRomanPSMT" w:cs="TimesNewRomanPSMT"/>
          <w:i/>
          <w:sz w:val="22"/>
          <w:szCs w:val="22"/>
          <w:lang w:val="sr-Latn-ME"/>
        </w:rPr>
        <w:t>duration of response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>, DOR)</w:t>
      </w:r>
      <w:r w:rsidRPr="00EF6E21">
        <w:rPr>
          <w:sz w:val="22"/>
          <w:szCs w:val="22"/>
          <w:lang w:val="sr-Latn-ME"/>
        </w:rPr>
        <w:t xml:space="preserve"> po BIRC. </w:t>
      </w:r>
    </w:p>
    <w:p w14:paraId="791B959A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B" w14:textId="09F01663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lastRenderedPageBreak/>
        <w:t xml:space="preserve">Rezultati efikasnosti iz studije GEOMETRY mono-1 i za prethodno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ene pacijente sa NSCLC</w:t>
      </w:r>
      <w:r w:rsidR="0075611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sa METex14 mutacijom preskoka  sažeti su u tabeli 4.</w:t>
      </w:r>
    </w:p>
    <w:p w14:paraId="791B959C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9D" w14:textId="77777777" w:rsidR="00F95A54" w:rsidRPr="00EF6E21" w:rsidRDefault="00F95A54" w:rsidP="0017386F">
      <w:pPr>
        <w:keepNext/>
        <w:keepLines/>
        <w:shd w:val="clear" w:color="auto" w:fill="FFFFFF" w:themeFill="background1"/>
        <w:ind w:left="1440" w:hanging="1440"/>
        <w:jc w:val="both"/>
        <w:rPr>
          <w:sz w:val="22"/>
          <w:szCs w:val="22"/>
          <w:lang w:val="sr-Latn-ME"/>
        </w:rPr>
      </w:pPr>
      <w:r w:rsidRPr="00EF6E21">
        <w:rPr>
          <w:b/>
          <w:sz w:val="22"/>
          <w:szCs w:val="22"/>
          <w:lang w:val="sr-Latn-ME"/>
        </w:rPr>
        <w:t xml:space="preserve">Tabela 4 </w:t>
      </w:r>
      <w:r w:rsidRPr="00EF6E21">
        <w:rPr>
          <w:b/>
          <w:sz w:val="22"/>
          <w:szCs w:val="22"/>
          <w:lang w:val="sr-Latn-ME"/>
        </w:rPr>
        <w:tab/>
        <w:t xml:space="preserve">Rezultati efikasnosti prema BIRC kod ranije </w:t>
      </w:r>
      <w:r w:rsidR="00356A1F" w:rsidRPr="00EF6E21">
        <w:rPr>
          <w:b/>
          <w:sz w:val="22"/>
          <w:szCs w:val="22"/>
          <w:lang w:val="sr-Latn-ME"/>
        </w:rPr>
        <w:t>liječ</w:t>
      </w:r>
      <w:r w:rsidRPr="00EF6E21">
        <w:rPr>
          <w:b/>
          <w:sz w:val="22"/>
          <w:szCs w:val="22"/>
          <w:lang w:val="sr-Latn-ME"/>
        </w:rPr>
        <w:t>enih NSCLC pacijenata sa METex14 mutacijom preskoka</w:t>
      </w:r>
      <w:r w:rsidRPr="00EF6E21">
        <w:rPr>
          <w:sz w:val="22"/>
          <w:szCs w:val="22"/>
          <w:lang w:val="sr-Latn-ME"/>
        </w:rPr>
        <w:t xml:space="preserve"> </w:t>
      </w:r>
      <w:r w:rsidR="00356A1F" w:rsidRPr="00EF6E21">
        <w:rPr>
          <w:b/>
          <w:sz w:val="22"/>
          <w:szCs w:val="22"/>
          <w:lang w:val="sr-Latn-ME"/>
        </w:rPr>
        <w:t>liječ</w:t>
      </w:r>
      <w:r w:rsidRPr="00EF6E21">
        <w:rPr>
          <w:b/>
          <w:sz w:val="22"/>
          <w:szCs w:val="22"/>
          <w:lang w:val="sr-Latn-ME"/>
        </w:rPr>
        <w:t xml:space="preserve">enih </w:t>
      </w:r>
      <w:r w:rsidR="00121A30" w:rsidRPr="00EF6E21">
        <w:rPr>
          <w:b/>
          <w:sz w:val="22"/>
          <w:szCs w:val="22"/>
          <w:lang w:val="sr-Latn-ME"/>
        </w:rPr>
        <w:t>lijek</w:t>
      </w:r>
      <w:r w:rsidRPr="00EF6E21">
        <w:rPr>
          <w:b/>
          <w:sz w:val="22"/>
          <w:szCs w:val="22"/>
          <w:lang w:val="sr-Latn-ME"/>
        </w:rPr>
        <w:t>om Tabrecta u GEOMETRY mono-1 (datum preseka 30.08.2021)</w:t>
      </w:r>
    </w:p>
    <w:p w14:paraId="791B959E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tbl>
      <w:tblPr>
        <w:tblW w:w="0" w:type="dxa"/>
        <w:tblInd w:w="-1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751"/>
        <w:gridCol w:w="1876"/>
        <w:gridCol w:w="1890"/>
      </w:tblGrid>
      <w:tr w:rsidR="00F95A54" w:rsidRPr="00EF6E21" w14:paraId="791B95A5" w14:textId="77777777" w:rsidTr="00F95A54">
        <w:trPr>
          <w:cantSplit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59F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Parametar efikasnosti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A0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 xml:space="preserve">Ukupna populacija prethodno </w:t>
            </w:r>
            <w:r w:rsidR="00356A1F"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liječ</w:t>
            </w: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 xml:space="preserve">enih (N=100)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A1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Kohorta 4 (2/3L)</w:t>
            </w:r>
          </w:p>
          <w:p w14:paraId="791B95A2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N=69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A3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Kohorta 6 (2L)</w:t>
            </w:r>
          </w:p>
          <w:p w14:paraId="791B95A4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>N=31</w:t>
            </w:r>
          </w:p>
        </w:tc>
      </w:tr>
      <w:tr w:rsidR="00F95A54" w:rsidRPr="00EF6E21" w14:paraId="791B95AF" w14:textId="77777777" w:rsidTr="00F95A54">
        <w:trPr>
          <w:cantSplit/>
        </w:trPr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A6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 xml:space="preserve"> Ukupna stopa odgovora</w:t>
            </w:r>
            <w:r w:rsidRPr="00EF6E21"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  <w:t>a</w:t>
            </w: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 xml:space="preserve"> (95% CI)</w:t>
            </w:r>
            <w:r w:rsidRPr="00EF6E21"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  <w:t>b</w:t>
            </w:r>
          </w:p>
        </w:tc>
        <w:tc>
          <w:tcPr>
            <w:tcW w:w="3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B95A7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  <w:p w14:paraId="791B95A8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  <w:t>44,0% (34,1; 54,3)</w:t>
            </w:r>
          </w:p>
          <w:p w14:paraId="791B95A9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  <w:p w14:paraId="791B95AA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  <w:t>1 (1,0)</w:t>
            </w:r>
          </w:p>
          <w:p w14:paraId="791B95AB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  <w:p w14:paraId="791B95AC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  <w:t>43 (43,0)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AD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40,6% (28,9; 53,1)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AE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51,6% (33,1; 69,8)</w:t>
            </w:r>
          </w:p>
        </w:tc>
      </w:tr>
      <w:tr w:rsidR="00F95A54" w:rsidRPr="00EF6E21" w14:paraId="791B95B4" w14:textId="77777777" w:rsidTr="00F95A54">
        <w:trPr>
          <w:cantSplit/>
        </w:trPr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0" w14:textId="77777777" w:rsidR="00F95A54" w:rsidRPr="00EF6E21" w:rsidRDefault="00F95A54" w:rsidP="0017386F">
            <w:pPr>
              <w:keepNext/>
              <w:ind w:left="156"/>
              <w:jc w:val="both"/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Potpuni odgovor (PO), n (%)</w:t>
            </w:r>
          </w:p>
        </w:tc>
        <w:tc>
          <w:tcPr>
            <w:tcW w:w="3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B95B1" w14:textId="77777777" w:rsidR="00F95A54" w:rsidRPr="00EF6E21" w:rsidRDefault="00F95A54" w:rsidP="00F74D94">
            <w:pPr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2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1 (1,4)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3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0 (0,0)</w:t>
            </w:r>
          </w:p>
        </w:tc>
      </w:tr>
      <w:tr w:rsidR="00F95A54" w:rsidRPr="00EF6E21" w14:paraId="791B95B9" w14:textId="77777777" w:rsidTr="00F95A54">
        <w:trPr>
          <w:cantSplit/>
        </w:trPr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5" w14:textId="77777777" w:rsidR="00F95A54" w:rsidRPr="00EF6E21" w:rsidRDefault="00F95A54" w:rsidP="0017386F">
            <w:pPr>
              <w:keepNext/>
              <w:ind w:left="152" w:firstLine="4"/>
              <w:jc w:val="both"/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D</w:t>
            </w:r>
            <w:r w:rsidR="001B251E" w:rsidRPr="00EF6E21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elimičan odgovor (DO), n (%)</w:t>
            </w:r>
          </w:p>
        </w:tc>
        <w:tc>
          <w:tcPr>
            <w:tcW w:w="3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B95B6" w14:textId="77777777" w:rsidR="00F95A54" w:rsidRPr="00EF6E21" w:rsidRDefault="00F95A54" w:rsidP="00F74D94">
            <w:pPr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7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27 (39,1)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8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16 (51,6)</w:t>
            </w:r>
          </w:p>
        </w:tc>
      </w:tr>
      <w:tr w:rsidR="00F95A54" w:rsidRPr="00EF6E21" w14:paraId="791B95C0" w14:textId="77777777" w:rsidTr="00F95A54">
        <w:trPr>
          <w:cantSplit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BA" w14:textId="77777777" w:rsidR="00F95A54" w:rsidRPr="00EF6E21" w:rsidRDefault="00F95A54" w:rsidP="0017386F">
            <w:pPr>
              <w:keepNext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b/>
                <w:sz w:val="22"/>
                <w:szCs w:val="22"/>
                <w:lang w:val="sr-Latn-ME" w:eastAsia="zh-CN"/>
              </w:rPr>
              <w:t xml:space="preserve">Dužina trajanja odgovora </w:t>
            </w:r>
            <w:r w:rsidRPr="00EF6E21">
              <w:rPr>
                <w:rFonts w:eastAsia="MS Mincho"/>
                <w:b/>
                <w:sz w:val="22"/>
                <w:szCs w:val="22"/>
                <w:vertAlign w:val="superscript"/>
                <w:lang w:val="sr-Latn-ME" w:eastAsia="zh-CN"/>
              </w:rPr>
              <w:t>a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B95BB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  <w:p w14:paraId="791B95BC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  <w:t>44</w:t>
            </w:r>
          </w:p>
          <w:p w14:paraId="791B95BD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  <w:t>9,72 (5,62; 12,98)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B95BE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B95BF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</w:tr>
      <w:tr w:rsidR="00F95A54" w:rsidRPr="00EF6E21" w14:paraId="791B95C5" w14:textId="77777777" w:rsidTr="00F95A54">
        <w:trPr>
          <w:cantSplit/>
        </w:trPr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1" w14:textId="77777777" w:rsidR="00F95A54" w:rsidRPr="00EF6E21" w:rsidRDefault="00F95A54" w:rsidP="0017386F">
            <w:pPr>
              <w:keepNext/>
              <w:ind w:left="164"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Broj pacijenata sa odgovorom, n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B95C2" w14:textId="77777777" w:rsidR="00F95A54" w:rsidRPr="00EF6E21" w:rsidRDefault="00F95A54" w:rsidP="00F74D94">
            <w:pPr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3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4" w14:textId="55AFFFFF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1</w:t>
            </w:r>
            <w:r w:rsidR="00A11D7B" w:rsidRPr="00EF6E21">
              <w:rPr>
                <w:sz w:val="22"/>
                <w:szCs w:val="22"/>
                <w:lang w:val="sr-Latn-ME"/>
              </w:rPr>
              <w:t>6</w:t>
            </w:r>
          </w:p>
        </w:tc>
      </w:tr>
      <w:tr w:rsidR="00F95A54" w:rsidRPr="00EF6E21" w14:paraId="791B95CA" w14:textId="77777777" w:rsidTr="00F95A54">
        <w:trPr>
          <w:cantSplit/>
        </w:trPr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6" w14:textId="77777777" w:rsidR="00F95A54" w:rsidRPr="00EF6E21" w:rsidRDefault="00F95A54" w:rsidP="0017386F">
            <w:pPr>
              <w:keepNext/>
              <w:ind w:left="164"/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 xml:space="preserve">Medijana, </w:t>
            </w:r>
            <w:r w:rsidR="008F6830" w:rsidRPr="00EF6E21">
              <w:rPr>
                <w:rFonts w:eastAsia="MS Mincho"/>
                <w:sz w:val="22"/>
                <w:szCs w:val="22"/>
                <w:lang w:val="sr-Latn-ME" w:eastAsia="zh-CN"/>
              </w:rPr>
              <w:t>mjesec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i (95% CI)</w:t>
            </w:r>
            <w:r w:rsidRPr="00EF6E21">
              <w:rPr>
                <w:rFonts w:eastAsia="MS Mincho"/>
                <w:sz w:val="22"/>
                <w:szCs w:val="22"/>
                <w:vertAlign w:val="superscript"/>
                <w:lang w:val="sr-Latn-ME" w:eastAsia="zh-CN"/>
              </w:rPr>
              <w:t>c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B95C7" w14:textId="77777777" w:rsidR="00F95A54" w:rsidRPr="00EF6E21" w:rsidRDefault="00F95A54" w:rsidP="00F74D94">
            <w:pPr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8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>9,72 (5,55; 12,98)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B95C9" w14:textId="77777777" w:rsidR="00F95A54" w:rsidRPr="00EF6E21" w:rsidRDefault="00F95A54" w:rsidP="00F74D94">
            <w:pPr>
              <w:keepNext/>
              <w:jc w:val="center"/>
              <w:rPr>
                <w:rFonts w:eastAsia="MS Mincho"/>
                <w:color w:val="000000"/>
                <w:sz w:val="22"/>
                <w:szCs w:val="22"/>
                <w:lang w:val="sr-Latn-ME" w:eastAsia="zh-CN"/>
              </w:rPr>
            </w:pPr>
            <w:r w:rsidRPr="00EF6E21">
              <w:rPr>
                <w:sz w:val="22"/>
                <w:szCs w:val="22"/>
                <w:lang w:val="sr-Latn-ME"/>
              </w:rPr>
              <w:t xml:space="preserve">9,05 (4,17; 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NO</w:t>
            </w:r>
            <w:r w:rsidRPr="00EF6E21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F95A54" w:rsidRPr="00EF6E21" w14:paraId="791B95CF" w14:textId="77777777" w:rsidTr="00F95A54">
        <w:trPr>
          <w:cantSplit/>
        </w:trPr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5CB" w14:textId="77777777" w:rsidR="00F95A54" w:rsidRPr="00EF6E21" w:rsidRDefault="00F95A54" w:rsidP="0017386F">
            <w:pPr>
              <w:jc w:val="both"/>
              <w:rPr>
                <w:sz w:val="22"/>
                <w:szCs w:val="22"/>
                <w:lang w:val="sr-Latn-ME"/>
              </w:rPr>
            </w:pP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Skraćenice: CI, interval pouzdanosti; NO, nije oc</w:t>
            </w:r>
            <w:r w:rsidR="001B251E" w:rsidRPr="00EF6E21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 xml:space="preserve">enjivo. ORR (engl. </w:t>
            </w:r>
            <w:r w:rsidRPr="00EF6E21">
              <w:rPr>
                <w:rFonts w:eastAsia="MS Mincho"/>
                <w:i/>
                <w:sz w:val="22"/>
                <w:szCs w:val="22"/>
                <w:lang w:val="sr-Latn-ME" w:eastAsia="zh-CN"/>
              </w:rPr>
              <w:t>overall response rate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>): PO+DO.</w:t>
            </w:r>
          </w:p>
          <w:p w14:paraId="791B95CC" w14:textId="77777777" w:rsidR="00F95A54" w:rsidRPr="00EF6E21" w:rsidRDefault="00F95A54" w:rsidP="0017386F">
            <w:pPr>
              <w:tabs>
                <w:tab w:val="left" w:pos="0"/>
              </w:tabs>
              <w:ind w:left="562" w:hanging="562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vertAlign w:val="superscript"/>
                <w:lang w:val="sr-Latn-ME" w:eastAsia="zh-CN"/>
              </w:rPr>
              <w:t>a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ab/>
              <w:t>Određeno prema RECIST v1.1.</w:t>
            </w:r>
          </w:p>
          <w:p w14:paraId="791B95CD" w14:textId="77777777" w:rsidR="00F95A54" w:rsidRPr="00EF6E21" w:rsidRDefault="00F95A54" w:rsidP="0017386F">
            <w:pPr>
              <w:tabs>
                <w:tab w:val="left" w:pos="0"/>
              </w:tabs>
              <w:ind w:left="562" w:hanging="562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vertAlign w:val="superscript"/>
                <w:lang w:val="sr-Latn-ME" w:eastAsia="zh-CN"/>
              </w:rPr>
              <w:t>b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ab/>
            </w:r>
            <w:r w:rsidRPr="00EF6E21">
              <w:rPr>
                <w:rFonts w:eastAsia="MS Mincho"/>
                <w:i/>
                <w:sz w:val="22"/>
                <w:szCs w:val="22"/>
                <w:lang w:val="sr-Latn-ME" w:eastAsia="zh-CN"/>
              </w:rPr>
              <w:t>Clopper i Pearson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 xml:space="preserve"> tačan binom 95% CI.</w:t>
            </w:r>
          </w:p>
          <w:p w14:paraId="791B95CE" w14:textId="77777777" w:rsidR="00F95A54" w:rsidRPr="00EF6E21" w:rsidRDefault="00F95A54" w:rsidP="0017386F">
            <w:pPr>
              <w:tabs>
                <w:tab w:val="left" w:pos="0"/>
              </w:tabs>
              <w:ind w:left="562" w:hanging="562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EF6E21">
              <w:rPr>
                <w:rFonts w:eastAsia="MS Mincho"/>
                <w:sz w:val="22"/>
                <w:szCs w:val="22"/>
                <w:vertAlign w:val="superscript"/>
                <w:lang w:val="sr-Latn-ME" w:eastAsia="zh-CN"/>
              </w:rPr>
              <w:t>c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ab/>
              <w:t xml:space="preserve">Prema </w:t>
            </w:r>
            <w:r w:rsidRPr="00EF6E21">
              <w:rPr>
                <w:rFonts w:eastAsia="MS Mincho"/>
                <w:i/>
                <w:sz w:val="22"/>
                <w:szCs w:val="22"/>
                <w:lang w:val="sr-Latn-ME" w:eastAsia="zh-CN"/>
              </w:rPr>
              <w:t>Kaplan</w:t>
            </w:r>
            <w:r w:rsidRPr="00EF6E21">
              <w:rPr>
                <w:rFonts w:eastAsia="MS Mincho"/>
                <w:i/>
                <w:sz w:val="22"/>
                <w:szCs w:val="22"/>
                <w:lang w:val="sr-Latn-ME" w:eastAsia="zh-CN"/>
              </w:rPr>
              <w:noBreakHyphen/>
              <w:t>Meier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 xml:space="preserve">-ovoj </w:t>
            </w:r>
            <w:r w:rsidR="001B251E" w:rsidRPr="00EF6E21">
              <w:rPr>
                <w:rFonts w:eastAsia="MS Mincho"/>
                <w:sz w:val="22"/>
                <w:szCs w:val="22"/>
                <w:lang w:val="sr-Latn-ME" w:eastAsia="zh-CN"/>
              </w:rPr>
              <w:t>procjen</w:t>
            </w:r>
            <w:r w:rsidRPr="00EF6E21">
              <w:rPr>
                <w:rFonts w:eastAsia="MS Mincho"/>
                <w:sz w:val="22"/>
                <w:szCs w:val="22"/>
                <w:lang w:val="sr-Latn-ME" w:eastAsia="zh-CN"/>
              </w:rPr>
              <w:t xml:space="preserve">i </w:t>
            </w:r>
          </w:p>
        </w:tc>
      </w:tr>
    </w:tbl>
    <w:p w14:paraId="791B95D2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791B95D3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Pedijatrijska populacija</w:t>
      </w:r>
    </w:p>
    <w:p w14:paraId="791B95D4" w14:textId="77777777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1B95D5" w14:textId="656B9321" w:rsidR="00F95A54" w:rsidRPr="00EF6E21" w:rsidRDefault="00F95A54" w:rsidP="0017386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Evropska agencija za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 xml:space="preserve">ove izuzela je od obaveze podnošenje rezultata ispitivanja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Tabrecta u svim podgrupama pedijatrijske populacije za </w:t>
      </w:r>
      <w:r w:rsidR="00356A1F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>enje malignih neoplazmi pluća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4.2 za informacije o upotrebi u pedijatrijskoj populaciji). </w:t>
      </w:r>
    </w:p>
    <w:bookmarkEnd w:id="0"/>
    <w:bookmarkEnd w:id="1"/>
    <w:bookmarkEnd w:id="2"/>
    <w:bookmarkEnd w:id="3"/>
    <w:bookmarkEnd w:id="4"/>
    <w:bookmarkEnd w:id="5"/>
    <w:p w14:paraId="791B95D7" w14:textId="77777777" w:rsidR="002E37A5" w:rsidRPr="00EF6E21" w:rsidRDefault="002E37A5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5D8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5.2.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Farmakokinetički podaci</w:t>
      </w:r>
      <w:r w:rsidR="003A7059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5D9" w14:textId="77777777" w:rsidR="00F95A54" w:rsidRPr="00EF6E21" w:rsidRDefault="00F95A54" w:rsidP="0017386F">
      <w:pPr>
        <w:shd w:val="clear" w:color="auto" w:fill="FFFFFF" w:themeFill="background1"/>
        <w:jc w:val="both"/>
        <w:rPr>
          <w:bCs/>
          <w:sz w:val="22"/>
          <w:szCs w:val="22"/>
          <w:lang w:val="sr-Latn-ME"/>
        </w:rPr>
      </w:pPr>
    </w:p>
    <w:p w14:paraId="791B95D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Kapmatinib je pokazao dozno proporcionalno povećanje sistemske izloženosti (</w:t>
      </w:r>
      <w:r w:rsidRPr="00EF6E21">
        <w:rPr>
          <w:sz w:val="22"/>
          <w:szCs w:val="22"/>
          <w:lang w:val="sr-Latn-ME"/>
        </w:rPr>
        <w:t>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 </w:t>
      </w:r>
      <w:r w:rsidRPr="00EF6E21">
        <w:rPr>
          <w:bCs/>
          <w:sz w:val="22"/>
          <w:szCs w:val="22"/>
          <w:lang w:val="sr-Latn-ME"/>
        </w:rPr>
        <w:t xml:space="preserve">i </w:t>
      </w:r>
      <w:r w:rsidRPr="00EF6E21">
        <w:rPr>
          <w:sz w:val="22"/>
          <w:szCs w:val="22"/>
          <w:lang w:val="sr-Latn-ME"/>
        </w:rPr>
        <w:t>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bCs/>
          <w:sz w:val="22"/>
          <w:szCs w:val="22"/>
          <w:lang w:val="sr-Latn-ME"/>
        </w:rPr>
        <w:t xml:space="preserve">) u okviru ispitivanog doznog opsega (200 do 400 mg dva puta na dan). Očekuje se postizanje stanja ravnoteže nakon približno 3 dana od uzimanja oralne doze kapmatiniba 400 mg dva puta na dan, sa geometrijskom sredinom </w:t>
      </w:r>
      <w:r w:rsidRPr="00EF6E21">
        <w:rPr>
          <w:sz w:val="22"/>
          <w:szCs w:val="22"/>
          <w:lang w:val="sr-Latn-ME"/>
        </w:rPr>
        <w:t>koeficijenta akumulacije od 1,39 (koeficijent varijacije (CV): 42,9%). Interindividualna varijabilnost C</w:t>
      </w:r>
      <w:r w:rsidRPr="00EF6E21">
        <w:rPr>
          <w:sz w:val="22"/>
          <w:szCs w:val="22"/>
          <w:vertAlign w:val="subscript"/>
          <w:lang w:val="sr-Latn-ME"/>
        </w:rPr>
        <w:t xml:space="preserve">max </w:t>
      </w:r>
      <w:r w:rsidRPr="00EF6E21">
        <w:rPr>
          <w:sz w:val="22"/>
          <w:szCs w:val="22"/>
          <w:lang w:val="sr-Latn-ME"/>
        </w:rPr>
        <w:t>i PIK</w:t>
      </w:r>
      <w:r w:rsidRPr="00EF6E21">
        <w:rPr>
          <w:sz w:val="22"/>
          <w:szCs w:val="22"/>
          <w:vertAlign w:val="subscript"/>
          <w:lang w:val="sr-Latn-ME"/>
        </w:rPr>
        <w:t>tau</w:t>
      </w:r>
      <w:r w:rsidRPr="00EF6E21">
        <w:rPr>
          <w:sz w:val="22"/>
          <w:szCs w:val="22"/>
          <w:lang w:val="sr-Latn-ME"/>
        </w:rPr>
        <w:t xml:space="preserve"> je proc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enjena na 38% tj. 40%.</w:t>
      </w:r>
    </w:p>
    <w:p w14:paraId="791B95D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DC" w14:textId="7777777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Resorpcija</w:t>
      </w:r>
    </w:p>
    <w:p w14:paraId="791B95DD" w14:textId="7777777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791B95DE" w14:textId="61FE2C6E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Kod ljudi, resorpcija je brza nakon oralne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 xml:space="preserve">e kapmatiniba. U uslovima gladovanja, </w:t>
      </w:r>
      <w:r w:rsidR="00D7784E" w:rsidRPr="00EF6E21">
        <w:rPr>
          <w:sz w:val="22"/>
          <w:szCs w:val="22"/>
          <w:lang w:val="sr-Latn-ME"/>
        </w:rPr>
        <w:t>vrh</w:t>
      </w:r>
      <w:r w:rsidRPr="00EF6E21">
        <w:rPr>
          <w:sz w:val="22"/>
          <w:szCs w:val="22"/>
          <w:lang w:val="sr-Latn-ME"/>
        </w:rPr>
        <w:t xml:space="preserve"> </w:t>
      </w:r>
      <w:r w:rsidR="00AE0F7F" w:rsidRPr="00EF6E21">
        <w:rPr>
          <w:sz w:val="22"/>
          <w:szCs w:val="22"/>
          <w:lang w:val="sr-Latn-ME"/>
        </w:rPr>
        <w:t>vrijedn</w:t>
      </w:r>
      <w:r w:rsidRPr="00EF6E21">
        <w:rPr>
          <w:sz w:val="22"/>
          <w:szCs w:val="22"/>
          <w:lang w:val="sr-Latn-ME"/>
        </w:rPr>
        <w:t>osti kapmatiniba (C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>) u plazmi je dostignut za oko 1 do 2 sata (T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) nakon oralne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e doze od 400 mg tableta kapmatiniba kod pacijenata sa kancerom. U uslovima sa obrokom, T</w:t>
      </w:r>
      <w:r w:rsidRPr="00EF6E21">
        <w:rPr>
          <w:sz w:val="22"/>
          <w:szCs w:val="22"/>
          <w:vertAlign w:val="subscript"/>
          <w:lang w:val="sr-Latn-ME"/>
        </w:rPr>
        <w:t>max</w:t>
      </w:r>
      <w:r w:rsidRPr="00EF6E21">
        <w:rPr>
          <w:sz w:val="22"/>
          <w:szCs w:val="22"/>
          <w:lang w:val="sr-Latn-ME"/>
        </w:rPr>
        <w:t xml:space="preserve"> je oko 4-6 sati. </w:t>
      </w:r>
      <w:r w:rsidR="001B251E" w:rsidRPr="00EF6E21">
        <w:rPr>
          <w:sz w:val="22"/>
          <w:szCs w:val="22"/>
          <w:lang w:val="sr-Latn-ME"/>
        </w:rPr>
        <w:t>Procjen</w:t>
      </w:r>
      <w:r w:rsidRPr="00EF6E21">
        <w:rPr>
          <w:sz w:val="22"/>
          <w:szCs w:val="22"/>
          <w:lang w:val="sr-Latn-ME"/>
        </w:rPr>
        <w:t xml:space="preserve">juje se da je resorpcija tableta kapmatiniba posle oralne </w:t>
      </w:r>
      <w:r w:rsidR="00AE0F7F" w:rsidRPr="00EF6E21">
        <w:rPr>
          <w:sz w:val="22"/>
          <w:szCs w:val="22"/>
          <w:lang w:val="sr-Latn-ME"/>
        </w:rPr>
        <w:t>primjen</w:t>
      </w:r>
      <w:r w:rsidRPr="00EF6E21">
        <w:rPr>
          <w:sz w:val="22"/>
          <w:szCs w:val="22"/>
          <w:lang w:val="sr-Latn-ME"/>
        </w:rPr>
        <w:t>e veća od 70%.</w:t>
      </w:r>
    </w:p>
    <w:p w14:paraId="791B95DF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E0" w14:textId="7777777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ind w:right="-2"/>
        <w:jc w:val="both"/>
        <w:rPr>
          <w:i/>
          <w:sz w:val="22"/>
          <w:szCs w:val="22"/>
          <w:u w:val="single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Efekat hrane</w:t>
      </w:r>
    </w:p>
    <w:p w14:paraId="791B95E1" w14:textId="7777777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ind w:right="-2"/>
        <w:jc w:val="both"/>
        <w:rPr>
          <w:i/>
          <w:sz w:val="22"/>
          <w:szCs w:val="22"/>
          <w:u w:val="single"/>
          <w:lang w:val="sr-Latn-ME"/>
        </w:rPr>
      </w:pPr>
    </w:p>
    <w:p w14:paraId="791B95E2" w14:textId="25156B03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Hrana ne m</w:t>
      </w:r>
      <w:r w:rsidR="001B251E" w:rsidRPr="00EF6E21">
        <w:rPr>
          <w:bCs/>
          <w:sz w:val="22"/>
          <w:szCs w:val="22"/>
          <w:lang w:val="sr-Latn-ME"/>
        </w:rPr>
        <w:t>ij</w:t>
      </w:r>
      <w:r w:rsidRPr="00EF6E21">
        <w:rPr>
          <w:bCs/>
          <w:sz w:val="22"/>
          <w:szCs w:val="22"/>
          <w:lang w:val="sr-Latn-ME"/>
        </w:rPr>
        <w:t>enja bioraspoloživost kapmatiniba u klinički značajnoj m</w:t>
      </w:r>
      <w:r w:rsidR="001B251E" w:rsidRPr="00EF6E21">
        <w:rPr>
          <w:bCs/>
          <w:sz w:val="22"/>
          <w:szCs w:val="22"/>
          <w:lang w:val="sr-Latn-ME"/>
        </w:rPr>
        <w:t>j</w:t>
      </w:r>
      <w:r w:rsidRPr="00EF6E21">
        <w:rPr>
          <w:bCs/>
          <w:sz w:val="22"/>
          <w:szCs w:val="22"/>
          <w:lang w:val="sr-Latn-ME"/>
        </w:rPr>
        <w:t xml:space="preserve">eri. </w:t>
      </w:r>
      <w:r w:rsidR="00121A30" w:rsidRPr="00EF6E21">
        <w:rPr>
          <w:bCs/>
          <w:sz w:val="22"/>
          <w:szCs w:val="22"/>
          <w:lang w:val="sr-Latn-ME"/>
        </w:rPr>
        <w:t>Lijek</w:t>
      </w:r>
      <w:r w:rsidRPr="00EF6E21">
        <w:rPr>
          <w:bCs/>
          <w:sz w:val="22"/>
          <w:szCs w:val="22"/>
          <w:lang w:val="sr-Latn-ME"/>
        </w:rPr>
        <w:t xml:space="preserve"> Tabrecta može se prim</w:t>
      </w:r>
      <w:r w:rsidR="00AE0F7F" w:rsidRPr="00EF6E21">
        <w:rPr>
          <w:bCs/>
          <w:sz w:val="22"/>
          <w:szCs w:val="22"/>
          <w:lang w:val="sr-Latn-ME"/>
        </w:rPr>
        <w:t>j</w:t>
      </w:r>
      <w:r w:rsidRPr="00EF6E21">
        <w:rPr>
          <w:bCs/>
          <w:sz w:val="22"/>
          <w:szCs w:val="22"/>
          <w:lang w:val="sr-Latn-ME"/>
        </w:rPr>
        <w:t xml:space="preserve">enjivati sa </w:t>
      </w:r>
      <w:r w:rsidR="0075611D" w:rsidRPr="00EF6E21">
        <w:rPr>
          <w:bCs/>
          <w:sz w:val="22"/>
          <w:szCs w:val="22"/>
          <w:lang w:val="sr-Latn-ME"/>
        </w:rPr>
        <w:t xml:space="preserve">hranom </w:t>
      </w:r>
      <w:r w:rsidRPr="00EF6E21">
        <w:rPr>
          <w:bCs/>
          <w:sz w:val="22"/>
          <w:szCs w:val="22"/>
          <w:lang w:val="sr-Latn-ME"/>
        </w:rPr>
        <w:t>ili bez hrane (</w:t>
      </w:r>
      <w:r w:rsidR="00AE0F7F" w:rsidRPr="00EF6E21">
        <w:rPr>
          <w:bCs/>
          <w:sz w:val="22"/>
          <w:szCs w:val="22"/>
          <w:lang w:val="sr-Latn-ME"/>
        </w:rPr>
        <w:t>vidjet</w:t>
      </w:r>
      <w:r w:rsidRPr="00EF6E21">
        <w:rPr>
          <w:bCs/>
          <w:sz w:val="22"/>
          <w:szCs w:val="22"/>
          <w:lang w:val="sr-Latn-ME"/>
        </w:rPr>
        <w:t xml:space="preserve">i </w:t>
      </w:r>
      <w:r w:rsidR="004220FE" w:rsidRPr="00EF6E21">
        <w:rPr>
          <w:bCs/>
          <w:sz w:val="22"/>
          <w:szCs w:val="22"/>
          <w:lang w:val="sr-Latn-ME"/>
        </w:rPr>
        <w:t>dio</w:t>
      </w:r>
      <w:r w:rsidRPr="00EF6E21">
        <w:rPr>
          <w:bCs/>
          <w:sz w:val="22"/>
          <w:szCs w:val="22"/>
          <w:lang w:val="sr-Latn-ME"/>
        </w:rPr>
        <w:t xml:space="preserve"> 4.2).</w:t>
      </w:r>
    </w:p>
    <w:p w14:paraId="791B95E3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bCs/>
          <w:sz w:val="22"/>
          <w:szCs w:val="22"/>
          <w:lang w:val="sr-Latn-ME"/>
        </w:rPr>
      </w:pPr>
    </w:p>
    <w:p w14:paraId="791B95E4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Kada je kapmatinib prim</w:t>
      </w:r>
      <w:r w:rsidR="00AE0F7F" w:rsidRPr="00EF6E21">
        <w:rPr>
          <w:bCs/>
          <w:sz w:val="22"/>
          <w:szCs w:val="22"/>
          <w:lang w:val="sr-Latn-ME"/>
        </w:rPr>
        <w:t>ij</w:t>
      </w:r>
      <w:r w:rsidRPr="00EF6E21">
        <w:rPr>
          <w:bCs/>
          <w:sz w:val="22"/>
          <w:szCs w:val="22"/>
          <w:lang w:val="sr-Latn-ME"/>
        </w:rPr>
        <w:t xml:space="preserve">enjen sa hranom kod zdravih osoba, oralna </w:t>
      </w:r>
      <w:r w:rsidR="00AE0F7F" w:rsidRPr="00EF6E21">
        <w:rPr>
          <w:bCs/>
          <w:sz w:val="22"/>
          <w:szCs w:val="22"/>
          <w:lang w:val="sr-Latn-ME"/>
        </w:rPr>
        <w:t>primjen</w:t>
      </w:r>
      <w:r w:rsidRPr="00EF6E21">
        <w:rPr>
          <w:bCs/>
          <w:sz w:val="22"/>
          <w:szCs w:val="22"/>
          <w:lang w:val="sr-Latn-ME"/>
        </w:rPr>
        <w:t xml:space="preserve">a jedne doze od 600 mg sa obrokom bogatim mastima povećala je </w:t>
      </w:r>
      <w:r w:rsidRPr="00EF6E21">
        <w:rPr>
          <w:sz w:val="22"/>
          <w:szCs w:val="22"/>
          <w:lang w:val="sr-Latn-ME"/>
        </w:rPr>
        <w:t>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bCs/>
          <w:sz w:val="22"/>
          <w:szCs w:val="22"/>
          <w:lang w:val="sr-Latn-ME"/>
        </w:rPr>
        <w:t xml:space="preserve"> kapmatiniba za 46% i nije bilo </w:t>
      </w:r>
      <w:r w:rsidR="00121A30" w:rsidRPr="00EF6E21">
        <w:rPr>
          <w:bCs/>
          <w:sz w:val="22"/>
          <w:szCs w:val="22"/>
          <w:lang w:val="sr-Latn-ME"/>
        </w:rPr>
        <w:t>promjen</w:t>
      </w:r>
      <w:r w:rsidRPr="00EF6E21">
        <w:rPr>
          <w:bCs/>
          <w:sz w:val="22"/>
          <w:szCs w:val="22"/>
          <w:lang w:val="sr-Latn-ME"/>
        </w:rPr>
        <w:t>e C</w:t>
      </w:r>
      <w:r w:rsidRPr="00EF6E21">
        <w:rPr>
          <w:bCs/>
          <w:sz w:val="22"/>
          <w:szCs w:val="22"/>
          <w:vertAlign w:val="subscript"/>
          <w:lang w:val="sr-Latn-ME"/>
        </w:rPr>
        <w:t>max</w:t>
      </w:r>
      <w:r w:rsidRPr="00EF6E21">
        <w:rPr>
          <w:bCs/>
          <w:sz w:val="22"/>
          <w:szCs w:val="22"/>
          <w:lang w:val="sr-Latn-ME"/>
        </w:rPr>
        <w:t xml:space="preserve"> u poređenju </w:t>
      </w:r>
      <w:r w:rsidRPr="00EF6E21">
        <w:rPr>
          <w:bCs/>
          <w:sz w:val="22"/>
          <w:szCs w:val="22"/>
          <w:lang w:val="sr-Latn-ME"/>
        </w:rPr>
        <w:lastRenderedPageBreak/>
        <w:t>sa prim</w:t>
      </w:r>
      <w:r w:rsidR="00AE0F7F" w:rsidRPr="00EF6E21">
        <w:rPr>
          <w:bCs/>
          <w:sz w:val="22"/>
          <w:szCs w:val="22"/>
          <w:lang w:val="sr-Latn-ME"/>
        </w:rPr>
        <w:t>j</w:t>
      </w:r>
      <w:r w:rsidRPr="00EF6E21">
        <w:rPr>
          <w:bCs/>
          <w:sz w:val="22"/>
          <w:szCs w:val="22"/>
          <w:lang w:val="sr-Latn-ME"/>
        </w:rPr>
        <w:t>enom kapmatiniba u uslovima gladovanja. Obrok sa malo masti kod zdravih osoba nije imao klinički značajan efekat na izloženost kapmatinibu.</w:t>
      </w:r>
    </w:p>
    <w:p w14:paraId="791B95E5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bCs/>
          <w:sz w:val="22"/>
          <w:szCs w:val="22"/>
          <w:lang w:val="sr-Latn-ME"/>
        </w:rPr>
      </w:pPr>
    </w:p>
    <w:p w14:paraId="791B95E6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Kada se kapmatinib prim</w:t>
      </w:r>
      <w:r w:rsidR="00AE0F7F" w:rsidRPr="00EF6E21">
        <w:rPr>
          <w:bCs/>
          <w:sz w:val="22"/>
          <w:szCs w:val="22"/>
          <w:lang w:val="sr-Latn-ME"/>
        </w:rPr>
        <w:t>j</w:t>
      </w:r>
      <w:r w:rsidRPr="00EF6E21">
        <w:rPr>
          <w:bCs/>
          <w:sz w:val="22"/>
          <w:szCs w:val="22"/>
          <w:lang w:val="sr-Latn-ME"/>
        </w:rPr>
        <w:t>enjuje u dozi od 400 mg dva puta na dan kod pacijenata sa kancerom, izloženost (PIK</w:t>
      </w:r>
      <w:r w:rsidRPr="00EF6E21">
        <w:rPr>
          <w:bCs/>
          <w:sz w:val="22"/>
          <w:szCs w:val="22"/>
          <w:vertAlign w:val="subscript"/>
          <w:lang w:val="sr-Latn-ME"/>
        </w:rPr>
        <w:t>0-12h</w:t>
      </w:r>
      <w:r w:rsidRPr="00EF6E21">
        <w:rPr>
          <w:bCs/>
          <w:sz w:val="22"/>
          <w:szCs w:val="22"/>
          <w:lang w:val="sr-Latn-ME"/>
        </w:rPr>
        <w:t>) je bila slična nakon prim</w:t>
      </w:r>
      <w:r w:rsidR="00AE0F7F" w:rsidRPr="00EF6E21">
        <w:rPr>
          <w:bCs/>
          <w:sz w:val="22"/>
          <w:szCs w:val="22"/>
          <w:lang w:val="sr-Latn-ME"/>
        </w:rPr>
        <w:t>j</w:t>
      </w:r>
      <w:r w:rsidRPr="00EF6E21">
        <w:rPr>
          <w:bCs/>
          <w:sz w:val="22"/>
          <w:szCs w:val="22"/>
          <w:lang w:val="sr-Latn-ME"/>
        </w:rPr>
        <w:t xml:space="preserve">ene kapmatiniba sa hranom i natašte. </w:t>
      </w:r>
    </w:p>
    <w:p w14:paraId="791B95E7" w14:textId="77777777" w:rsidR="00F95A54" w:rsidRPr="00EF6E21" w:rsidRDefault="00F95A54" w:rsidP="0017386F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791B95E8" w14:textId="3E35165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Raspod</w:t>
      </w:r>
      <w:r w:rsidR="0075611D" w:rsidRPr="00EF6E21">
        <w:rPr>
          <w:sz w:val="22"/>
          <w:szCs w:val="22"/>
          <w:u w:val="single"/>
          <w:lang w:val="sr-Latn-ME"/>
        </w:rPr>
        <w:t>j</w:t>
      </w:r>
      <w:r w:rsidRPr="00EF6E21">
        <w:rPr>
          <w:sz w:val="22"/>
          <w:szCs w:val="22"/>
          <w:u w:val="single"/>
          <w:lang w:val="sr-Latn-ME"/>
        </w:rPr>
        <w:t>ela</w:t>
      </w:r>
    </w:p>
    <w:p w14:paraId="791B95E9" w14:textId="77777777" w:rsidR="00F95A54" w:rsidRPr="00EF6E21" w:rsidRDefault="00F95A54" w:rsidP="0017386F">
      <w:pPr>
        <w:keepNext/>
        <w:numPr>
          <w:ilvl w:val="12"/>
          <w:numId w:val="0"/>
        </w:num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E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se 96% vezuje za proteine ljudske plazme, nezavisno od koncentracije. Srednji volumen distribucije u stanju dinamičke ravnoteže (Vss/F) je na 164 litra kod pacijenata sa kancerom.</w:t>
      </w:r>
    </w:p>
    <w:p w14:paraId="791B95EB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E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Odnos krv-plazma bio je 1,5 (opseg koncentracije od 10 do 1000 ng/ml), ali se smanjivao pri višim koncentracijma do 0,9 (koncentracija 10000 ng/ml), što ukazuje na zasićenje distribucije u crvenim krvnim ćelijama. </w:t>
      </w:r>
    </w:p>
    <w:p w14:paraId="791B95ED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EE" w14:textId="634AA392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prolazi krvno-moždanu barijeru 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 xml:space="preserve"> 5.3). </w:t>
      </w:r>
    </w:p>
    <w:p w14:paraId="791B95EF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5F0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Biotransformacija</w:t>
      </w:r>
    </w:p>
    <w:p w14:paraId="791B95F1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F2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iCs/>
          <w:sz w:val="22"/>
          <w:szCs w:val="22"/>
          <w:lang w:val="sr-Latn-ME"/>
        </w:rPr>
        <w:t>In vit</w:t>
      </w:r>
      <w:r w:rsidRPr="00EF6E21">
        <w:rPr>
          <w:sz w:val="22"/>
          <w:szCs w:val="22"/>
          <w:lang w:val="sr-Latn-ME"/>
        </w:rPr>
        <w:t xml:space="preserve">ro i </w:t>
      </w:r>
      <w:r w:rsidRPr="00EF6E21">
        <w:rPr>
          <w:i/>
          <w:sz w:val="22"/>
          <w:szCs w:val="22"/>
          <w:lang w:val="sr-Latn-ME"/>
        </w:rPr>
        <w:t>in vivo</w:t>
      </w:r>
      <w:r w:rsidRPr="00EF6E21">
        <w:rPr>
          <w:sz w:val="22"/>
          <w:szCs w:val="22"/>
          <w:lang w:val="sr-Latn-ME"/>
        </w:rPr>
        <w:t xml:space="preserve"> studije su pokazale da se kapmatinib uklanja uglavnom metabolizmom putem citohrom P450 (CYP) 3A4 (40-50%) i aldehid oksidaze (40%). Biotransformacija kapmatiniba se javlja primarno u metaboličkim reakcijama faze I uključujući C-hidroksilaciju, formiranje laktama, N-oksidaciju, N-dealkilaciju, formiranje karboksilne kiseline i njihove kombinacije. Reakcije faze II uključuju glukuronidaciju oksigenovanih metabolita. Najzastupljenija radioaktivna komponenta u plazmi je ne</w:t>
      </w:r>
      <w:r w:rsidR="00121A30" w:rsidRPr="00EF6E21">
        <w:rPr>
          <w:sz w:val="22"/>
          <w:szCs w:val="22"/>
          <w:lang w:val="sr-Latn-ME"/>
        </w:rPr>
        <w:t>promijen</w:t>
      </w:r>
      <w:r w:rsidRPr="00EF6E21">
        <w:rPr>
          <w:sz w:val="22"/>
          <w:szCs w:val="22"/>
          <w:lang w:val="sr-Latn-ME"/>
        </w:rPr>
        <w:t>jen kapmatinib (42,9% radioaktivnosti PIK</w:t>
      </w:r>
      <w:r w:rsidRPr="00EF6E21">
        <w:rPr>
          <w:sz w:val="22"/>
          <w:szCs w:val="22"/>
          <w:vertAlign w:val="subscript"/>
          <w:lang w:val="sr-Latn-ME"/>
        </w:rPr>
        <w:t>0-12h</w:t>
      </w:r>
      <w:r w:rsidRPr="00EF6E21">
        <w:rPr>
          <w:sz w:val="22"/>
          <w:szCs w:val="22"/>
          <w:lang w:val="sr-Latn-ME"/>
        </w:rPr>
        <w:t>). Glavni cirkulišući metabolit, M16 (CMN288), je farmakološki neaktivan i čini 21,5% radioaktivnost u plazmi PIK</w:t>
      </w:r>
      <w:r w:rsidRPr="00EF6E21">
        <w:rPr>
          <w:sz w:val="22"/>
          <w:szCs w:val="22"/>
          <w:vertAlign w:val="subscript"/>
          <w:lang w:val="sr-Latn-ME"/>
        </w:rPr>
        <w:t>0-12h</w:t>
      </w:r>
      <w:r w:rsidRPr="00EF6E21">
        <w:rPr>
          <w:sz w:val="22"/>
          <w:szCs w:val="22"/>
          <w:lang w:val="sr-Latn-ME"/>
        </w:rPr>
        <w:t>.</w:t>
      </w:r>
    </w:p>
    <w:p w14:paraId="791B95F3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F4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Eliminacija</w:t>
      </w:r>
    </w:p>
    <w:p w14:paraId="791B95F5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F6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Efektivno poluvr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eme eliminacije (izračunato na osnovu </w:t>
      </w:r>
      <w:r w:rsidRPr="00EF6E21">
        <w:rPr>
          <w:bCs/>
          <w:sz w:val="22"/>
          <w:szCs w:val="22"/>
          <w:lang w:val="sr-Latn-ME"/>
        </w:rPr>
        <w:t xml:space="preserve">geometrijske sredine </w:t>
      </w:r>
      <w:r w:rsidRPr="00EF6E21">
        <w:rPr>
          <w:sz w:val="22"/>
          <w:szCs w:val="22"/>
          <w:lang w:val="sr-Latn-ME"/>
        </w:rPr>
        <w:t xml:space="preserve">akumulacije) kapmatiniba je 6,54 sata. Geometrijska sredina  oralni klirens u stanju dinamičke ravnoteže (CLss/F) kapmatiniba je bila 19,8 litara/sat. </w:t>
      </w:r>
    </w:p>
    <w:p w14:paraId="791B95F7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5F8" w14:textId="69BC4761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se eliminiše uglavnom putem metabolizma i naknadnog izlučivanja fecesom. Prateći jednokratnu oralnu prim</w:t>
      </w:r>
      <w:r w:rsidR="00AE0F7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enu [</w:t>
      </w:r>
      <w:r w:rsidRPr="00F74D94">
        <w:rPr>
          <w:sz w:val="22"/>
          <w:szCs w:val="22"/>
          <w:vertAlign w:val="superscript"/>
          <w:lang w:val="sr-Latn-ME"/>
        </w:rPr>
        <w:t>14</w:t>
      </w:r>
      <w:r w:rsidRPr="00EF6E21">
        <w:rPr>
          <w:sz w:val="22"/>
          <w:szCs w:val="22"/>
          <w:lang w:val="sr-Latn-ME"/>
        </w:rPr>
        <w:t>C]-kapmatinib kapsule kod zdravi</w:t>
      </w:r>
      <w:r w:rsidR="0075611D" w:rsidRPr="00EF6E21">
        <w:rPr>
          <w:sz w:val="22"/>
          <w:szCs w:val="22"/>
          <w:lang w:val="sr-Latn-ME"/>
        </w:rPr>
        <w:t>h ispitanika</w:t>
      </w:r>
      <w:r w:rsidRPr="00EF6E21">
        <w:rPr>
          <w:sz w:val="22"/>
          <w:szCs w:val="22"/>
          <w:lang w:val="sr-Latn-ME"/>
        </w:rPr>
        <w:t>, 78% od ukupne radioaktivnosti je nađeno u fecesu i 22% u urinu. Izlučivanje ne</w:t>
      </w:r>
      <w:r w:rsidR="00121A30" w:rsidRPr="00EF6E21">
        <w:rPr>
          <w:sz w:val="22"/>
          <w:szCs w:val="22"/>
          <w:lang w:val="sr-Latn-ME"/>
        </w:rPr>
        <w:t>promijen</w:t>
      </w:r>
      <w:r w:rsidRPr="00EF6E21">
        <w:rPr>
          <w:sz w:val="22"/>
          <w:szCs w:val="22"/>
          <w:lang w:val="sr-Latn-ME"/>
        </w:rPr>
        <w:t xml:space="preserve">jenog kapmatiniba u urinu je zanemarljivo. </w:t>
      </w:r>
    </w:p>
    <w:p w14:paraId="791B95F9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iCs/>
          <w:sz w:val="22"/>
          <w:szCs w:val="22"/>
          <w:u w:val="single"/>
          <w:lang w:val="sr-Latn-ME"/>
        </w:rPr>
      </w:pPr>
    </w:p>
    <w:p w14:paraId="791B95FA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  <w:r w:rsidRPr="00EF6E21">
        <w:rPr>
          <w:iCs/>
          <w:sz w:val="22"/>
          <w:szCs w:val="22"/>
          <w:u w:val="single"/>
          <w:lang w:val="sr-Latn-ME"/>
        </w:rPr>
        <w:t>Posebne populacije</w:t>
      </w:r>
    </w:p>
    <w:p w14:paraId="791B95FB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i/>
          <w:iCs/>
          <w:sz w:val="22"/>
          <w:szCs w:val="22"/>
          <w:u w:val="single"/>
          <w:lang w:val="sr-Latn-ME"/>
        </w:rPr>
      </w:pPr>
    </w:p>
    <w:p w14:paraId="791B95FC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  <w:r w:rsidRPr="00EF6E21">
        <w:rPr>
          <w:i/>
          <w:iCs/>
          <w:sz w:val="22"/>
          <w:szCs w:val="22"/>
          <w:u w:val="single"/>
          <w:lang w:val="sr-Latn-ME"/>
        </w:rPr>
        <w:t>Starije osobe</w:t>
      </w:r>
    </w:p>
    <w:p w14:paraId="791B95FD" w14:textId="39DBA4B4" w:rsidR="00F95A54" w:rsidRPr="00EF6E21" w:rsidRDefault="00F95A54" w:rsidP="0017386F">
      <w:pPr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  <w:r w:rsidRPr="00EF6E21">
        <w:rPr>
          <w:iCs/>
          <w:sz w:val="22"/>
          <w:szCs w:val="22"/>
          <w:lang w:val="sr-Latn-ME"/>
        </w:rPr>
        <w:t>Ni</w:t>
      </w:r>
      <w:r w:rsidR="00DA5330" w:rsidRPr="00EF6E21">
        <w:rPr>
          <w:iCs/>
          <w:sz w:val="22"/>
          <w:szCs w:val="22"/>
          <w:lang w:val="sr-Latn-ME"/>
        </w:rPr>
        <w:t>je</w:t>
      </w:r>
      <w:r w:rsidRPr="00EF6E21">
        <w:rPr>
          <w:iCs/>
          <w:sz w:val="22"/>
          <w:szCs w:val="22"/>
          <w:lang w:val="sr-Latn-ME"/>
        </w:rPr>
        <w:t xml:space="preserve">su uočene sveukupne razlike u </w:t>
      </w:r>
      <w:r w:rsidR="008F6830" w:rsidRPr="00EF6E21">
        <w:rPr>
          <w:iCs/>
          <w:sz w:val="22"/>
          <w:szCs w:val="22"/>
          <w:lang w:val="sr-Latn-ME"/>
        </w:rPr>
        <w:t>bezbjed</w:t>
      </w:r>
      <w:r w:rsidRPr="00EF6E21">
        <w:rPr>
          <w:iCs/>
          <w:sz w:val="22"/>
          <w:szCs w:val="22"/>
          <w:lang w:val="sr-Latn-ME"/>
        </w:rPr>
        <w:t>nosti ili efikasnosti</w:t>
      </w:r>
      <w:r w:rsidRPr="00EF6E21">
        <w:rPr>
          <w:sz w:val="22"/>
          <w:szCs w:val="22"/>
          <w:lang w:val="sr-Latn-ME"/>
        </w:rPr>
        <w:t xml:space="preserve"> između pacijenata starosti 65 i 75 godina ili starijih i mlađih pacijenata</w:t>
      </w:r>
      <w:r w:rsidRPr="00EF6E21">
        <w:rPr>
          <w:iCs/>
          <w:sz w:val="22"/>
          <w:szCs w:val="22"/>
          <w:lang w:val="sr-Latn-ME"/>
        </w:rPr>
        <w:t>.</w:t>
      </w:r>
    </w:p>
    <w:p w14:paraId="4204D80A" w14:textId="77777777" w:rsidR="00947E1F" w:rsidRPr="00EF6E21" w:rsidRDefault="00947E1F" w:rsidP="0017386F">
      <w:pPr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</w:p>
    <w:p w14:paraId="791B95FE" w14:textId="41720536" w:rsidR="00F95A54" w:rsidRPr="00EF6E21" w:rsidRDefault="00F95A54" w:rsidP="0017386F">
      <w:pPr>
        <w:keepNext/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  <w:r w:rsidRPr="00EF6E21">
        <w:rPr>
          <w:i/>
          <w:iCs/>
          <w:sz w:val="22"/>
          <w:szCs w:val="22"/>
          <w:u w:val="single"/>
          <w:lang w:val="sr-Latn-ME"/>
        </w:rPr>
        <w:t xml:space="preserve">Uticaj </w:t>
      </w:r>
      <w:r w:rsidR="00D7784E" w:rsidRPr="00EF6E21">
        <w:rPr>
          <w:i/>
          <w:iCs/>
          <w:sz w:val="22"/>
          <w:szCs w:val="22"/>
          <w:u w:val="single"/>
          <w:lang w:val="sr-Latn-ME"/>
        </w:rPr>
        <w:t>uzrasta</w:t>
      </w:r>
      <w:r w:rsidRPr="00EF6E21">
        <w:rPr>
          <w:i/>
          <w:iCs/>
          <w:sz w:val="22"/>
          <w:szCs w:val="22"/>
          <w:u w:val="single"/>
          <w:lang w:val="sr-Latn-ME"/>
        </w:rPr>
        <w:t xml:space="preserve">, pola, rase i telesne mase </w:t>
      </w:r>
    </w:p>
    <w:p w14:paraId="791B95FF" w14:textId="4E3EB50B" w:rsidR="00F95A54" w:rsidRPr="00EF6E21" w:rsidRDefault="00F95A54" w:rsidP="0017386F">
      <w:pPr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  <w:r w:rsidRPr="00EF6E21">
        <w:rPr>
          <w:iCs/>
          <w:sz w:val="22"/>
          <w:szCs w:val="22"/>
          <w:lang w:val="sr-Latn-ME"/>
        </w:rPr>
        <w:t xml:space="preserve">Populaciona farmakokinetička analiza je pokazala da nema klinički relevantnih efekata </w:t>
      </w:r>
      <w:r w:rsidR="00D7784E" w:rsidRPr="00EF6E21">
        <w:rPr>
          <w:iCs/>
          <w:sz w:val="22"/>
          <w:szCs w:val="22"/>
          <w:lang w:val="sr-Latn-ME"/>
        </w:rPr>
        <w:t>uzrasta</w:t>
      </w:r>
      <w:r w:rsidRPr="00EF6E21">
        <w:rPr>
          <w:iCs/>
          <w:sz w:val="22"/>
          <w:szCs w:val="22"/>
          <w:lang w:val="sr-Latn-ME"/>
        </w:rPr>
        <w:t>, pola, rase ili t</w:t>
      </w:r>
      <w:r w:rsidR="001B251E" w:rsidRPr="00EF6E21">
        <w:rPr>
          <w:iCs/>
          <w:sz w:val="22"/>
          <w:szCs w:val="22"/>
          <w:lang w:val="sr-Latn-ME"/>
        </w:rPr>
        <w:t>j</w:t>
      </w:r>
      <w:r w:rsidRPr="00EF6E21">
        <w:rPr>
          <w:iCs/>
          <w:sz w:val="22"/>
          <w:szCs w:val="22"/>
          <w:lang w:val="sr-Latn-ME"/>
        </w:rPr>
        <w:t>elesne mase na sistemsku izloženost kapmatinibu.</w:t>
      </w:r>
    </w:p>
    <w:p w14:paraId="791B9600" w14:textId="77777777" w:rsidR="00F95A54" w:rsidRPr="00EF6E21" w:rsidRDefault="00F95A54" w:rsidP="0017386F">
      <w:pPr>
        <w:shd w:val="clear" w:color="auto" w:fill="FFFFFF" w:themeFill="background1"/>
        <w:jc w:val="both"/>
        <w:rPr>
          <w:iCs/>
          <w:sz w:val="22"/>
          <w:szCs w:val="22"/>
          <w:lang w:val="sr-Latn-ME"/>
        </w:rPr>
      </w:pPr>
    </w:p>
    <w:p w14:paraId="791B9601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Oštećenje funkcije bubrega</w:t>
      </w:r>
    </w:p>
    <w:p w14:paraId="791B9602" w14:textId="19B5D603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Na osnovu populacione farmakokinetičke analize koja je uključivala 207 pacijenata sa normalnom funkcijom bubrega (klirens kreatinina, CLcr ≥90 m</w:t>
      </w:r>
      <w:r w:rsidR="00DA5330" w:rsidRPr="00EF6E21">
        <w:rPr>
          <w:sz w:val="22"/>
          <w:szCs w:val="22"/>
          <w:lang w:val="sr-Latn-ME"/>
        </w:rPr>
        <w:t>l</w:t>
      </w:r>
      <w:r w:rsidRPr="00EF6E21">
        <w:rPr>
          <w:sz w:val="22"/>
          <w:szCs w:val="22"/>
          <w:lang w:val="sr-Latn-ME"/>
        </w:rPr>
        <w:t>/min), 200 pacijenata sa blagim oštećenjem funkcije bubrega  (CLcr 60 do 89 m</w:t>
      </w:r>
      <w:r w:rsidR="00DA5330" w:rsidRPr="00EF6E21">
        <w:rPr>
          <w:sz w:val="22"/>
          <w:szCs w:val="22"/>
          <w:lang w:val="sr-Latn-ME"/>
        </w:rPr>
        <w:t>l</w:t>
      </w:r>
      <w:r w:rsidRPr="00EF6E21">
        <w:rPr>
          <w:sz w:val="22"/>
          <w:szCs w:val="22"/>
          <w:lang w:val="sr-Latn-ME"/>
        </w:rPr>
        <w:t>/min) i 94 pacijenata sa um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erenim oštećenjem funkcije bubrega (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>CLcr 30 do 59 m</w:t>
      </w:r>
      <w:r w:rsidR="00DA5330" w:rsidRPr="00EF6E21">
        <w:rPr>
          <w:rFonts w:ascii="TimesNewRomanPSMT" w:hAnsi="TimesNewRomanPSMT" w:cs="TimesNewRomanPSMT"/>
          <w:sz w:val="22"/>
          <w:szCs w:val="22"/>
          <w:lang w:val="sr-Latn-ME"/>
        </w:rPr>
        <w:t>l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>/min)</w:t>
      </w:r>
      <w:r w:rsidRPr="00EF6E21">
        <w:rPr>
          <w:sz w:val="22"/>
          <w:szCs w:val="22"/>
          <w:lang w:val="sr-Latn-ME"/>
        </w:rPr>
        <w:t>, blago i um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 xml:space="preserve">ereno oštećenje funkcije bubrega nije imalo klinički značajan efekat na izloženost kapmatinibu.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 Tabrecta nije ispitivan kod pacijenata sa teškim </w:t>
      </w:r>
      <w:r w:rsidR="00D7784E" w:rsidRPr="00EF6E21">
        <w:rPr>
          <w:sz w:val="22"/>
          <w:szCs w:val="22"/>
          <w:lang w:val="sr-Latn-ME"/>
        </w:rPr>
        <w:t>oštećenjem</w:t>
      </w:r>
      <w:r w:rsidRPr="00EF6E21">
        <w:rPr>
          <w:sz w:val="22"/>
          <w:szCs w:val="22"/>
          <w:lang w:val="sr-Latn-ME"/>
        </w:rPr>
        <w:t xml:space="preserve"> funkcije bubrega 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>(CLcr 15 do 29 m</w:t>
      </w:r>
      <w:r w:rsidR="00DA5330" w:rsidRPr="00EF6E21">
        <w:rPr>
          <w:rFonts w:ascii="TimesNewRomanPSMT" w:hAnsi="TimesNewRomanPSMT" w:cs="TimesNewRomanPSMT"/>
          <w:sz w:val="22"/>
          <w:szCs w:val="22"/>
          <w:lang w:val="sr-Latn-ME"/>
        </w:rPr>
        <w:t>l</w:t>
      </w:r>
      <w:r w:rsidRPr="00EF6E21">
        <w:rPr>
          <w:rFonts w:ascii="TimesNewRomanPSMT" w:hAnsi="TimesNewRomanPSMT" w:cs="TimesNewRomanPSMT"/>
          <w:sz w:val="22"/>
          <w:szCs w:val="22"/>
          <w:lang w:val="sr-Latn-ME"/>
        </w:rPr>
        <w:t>/min)</w:t>
      </w:r>
      <w:r w:rsidRPr="00EF6E21">
        <w:rPr>
          <w:color w:val="0000FF"/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(</w:t>
      </w:r>
      <w:r w:rsidR="00AE0F7F" w:rsidRPr="00EF6E21">
        <w:rPr>
          <w:sz w:val="22"/>
          <w:szCs w:val="22"/>
          <w:lang w:val="sr-Latn-ME"/>
        </w:rPr>
        <w:t>vidjet</w:t>
      </w:r>
      <w:r w:rsidRPr="00EF6E21">
        <w:rPr>
          <w:sz w:val="22"/>
          <w:szCs w:val="22"/>
          <w:lang w:val="sr-Latn-ME"/>
        </w:rPr>
        <w:t xml:space="preserve">i </w:t>
      </w:r>
      <w:r w:rsidR="004220FE" w:rsidRPr="00EF6E21">
        <w:rPr>
          <w:sz w:val="22"/>
          <w:szCs w:val="22"/>
          <w:lang w:val="sr-Latn-ME"/>
        </w:rPr>
        <w:t>dio</w:t>
      </w:r>
      <w:r w:rsidRPr="00EF6E21">
        <w:rPr>
          <w:sz w:val="22"/>
          <w:szCs w:val="22"/>
          <w:lang w:val="sr-Latn-ME"/>
        </w:rPr>
        <w:t> 4.2).</w:t>
      </w:r>
    </w:p>
    <w:p w14:paraId="791B9603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04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lastRenderedPageBreak/>
        <w:t>Oštećenje funkcije jetre</w:t>
      </w:r>
    </w:p>
    <w:p w14:paraId="791B960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Studija je sprovedena na ispitanicima bez kancera sa različitim stepenom oštećenja jetre prema </w:t>
      </w:r>
      <w:r w:rsidRPr="00EF6E21">
        <w:rPr>
          <w:i/>
          <w:sz w:val="22"/>
          <w:szCs w:val="22"/>
          <w:lang w:val="sr-Latn-ME"/>
        </w:rPr>
        <w:t>Child-Pugh</w:t>
      </w:r>
      <w:r w:rsidRPr="00EF6E21">
        <w:rPr>
          <w:sz w:val="22"/>
          <w:szCs w:val="22"/>
          <w:lang w:val="sr-Latn-ME"/>
        </w:rPr>
        <w:t xml:space="preserve"> klasifikaciji uz prim</w:t>
      </w:r>
      <w:r w:rsidR="00AE0F7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enu pojedinačne doze kapmatiniba od 200 mg. Geometrijska sredina sistemske izloženosti (PIK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>) kapmatinibu smanjena je za približno 23% i 9% kod ispitanika sa blagim (N=6) i um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erenim (N=8) oštećenjem funkcije jetre i povećana za približno 24% kod ispitanika sa teškim (N=6) oštećenjem funkcije jetre u poređenju sa osobama sa normalnom (N=9) funkcijom jetre. Blago, um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ereno ili teško oštećenje funkcije jetre nije imalo klinički značajan uticaj na izloženost kapmatinibu.</w:t>
      </w:r>
    </w:p>
    <w:p w14:paraId="791B9606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07" w14:textId="77777777" w:rsidR="00F95A54" w:rsidRPr="00EF6E21" w:rsidRDefault="00F95A54" w:rsidP="0017386F">
      <w:pPr>
        <w:keepNext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Odnos farmakokinetike/farmakodinamike </w:t>
      </w:r>
    </w:p>
    <w:p w14:paraId="791B9608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09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Odnosi između izloženosti i odgovora kapmatinibu i vremenski tok farmakodinamičkog odgovora su nepoznati.</w:t>
      </w:r>
    </w:p>
    <w:p w14:paraId="791B960A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0B" w14:textId="67E1EE9F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>In vitro</w:t>
      </w:r>
      <w:r w:rsidRPr="00EF6E21">
        <w:rPr>
          <w:sz w:val="22"/>
          <w:szCs w:val="22"/>
          <w:u w:val="single"/>
          <w:lang w:val="sr-Latn-ME"/>
        </w:rPr>
        <w:t xml:space="preserve"> evaluacija potencijala </w:t>
      </w:r>
      <w:r w:rsidR="00DA5330" w:rsidRPr="00EF6E21">
        <w:rPr>
          <w:sz w:val="22"/>
          <w:szCs w:val="22"/>
          <w:u w:val="single"/>
          <w:lang w:val="sr-Latn-ME"/>
        </w:rPr>
        <w:t xml:space="preserve">za </w:t>
      </w:r>
      <w:r w:rsidRPr="00EF6E21">
        <w:rPr>
          <w:sz w:val="22"/>
          <w:szCs w:val="22"/>
          <w:u w:val="single"/>
          <w:lang w:val="sr-Latn-ME"/>
        </w:rPr>
        <w:t xml:space="preserve">interakcije sa </w:t>
      </w:r>
      <w:r w:rsidR="00121A30" w:rsidRPr="00EF6E21">
        <w:rPr>
          <w:sz w:val="22"/>
          <w:szCs w:val="22"/>
          <w:u w:val="single"/>
          <w:lang w:val="sr-Latn-ME"/>
        </w:rPr>
        <w:t>ljek</w:t>
      </w:r>
      <w:r w:rsidRPr="00EF6E21">
        <w:rPr>
          <w:sz w:val="22"/>
          <w:szCs w:val="22"/>
          <w:u w:val="single"/>
          <w:lang w:val="sr-Latn-ME"/>
        </w:rPr>
        <w:t>ovima</w:t>
      </w:r>
    </w:p>
    <w:p w14:paraId="791B960C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0D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 xml:space="preserve">Interakcije između enzima i </w:t>
      </w:r>
      <w:r w:rsidR="00121A30" w:rsidRPr="00EF6E21">
        <w:rPr>
          <w:i/>
          <w:sz w:val="22"/>
          <w:szCs w:val="22"/>
          <w:u w:val="single"/>
          <w:lang w:val="sr-Latn-ME"/>
        </w:rPr>
        <w:t>lijek</w:t>
      </w:r>
      <w:r w:rsidRPr="00EF6E21">
        <w:rPr>
          <w:i/>
          <w:sz w:val="22"/>
          <w:szCs w:val="22"/>
          <w:u w:val="single"/>
          <w:lang w:val="sr-Latn-ME"/>
        </w:rPr>
        <w:t xml:space="preserve">a Tabrecta </w:t>
      </w:r>
    </w:p>
    <w:p w14:paraId="791B960E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In vitro</w:t>
      </w:r>
      <w:r w:rsidRPr="00EF6E21">
        <w:rPr>
          <w:sz w:val="22"/>
          <w:szCs w:val="22"/>
          <w:lang w:val="sr-Latn-ME"/>
        </w:rPr>
        <w:t xml:space="preserve"> studije su pokazale da je kapmatinib inhibitor CYP2C8, CYP2C9 i CYP2C19. Kapmatinib je takođe pokazao slabu indukciju CYP2B6 i CYP2C9 u kulturama humanih hepatocita. Simulacije koje koriste PBPK modele predviđaju da je malo v</w:t>
      </w:r>
      <w:r w:rsidR="001B251E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erovatno da će kapmatinib prim</w:t>
      </w:r>
      <w:r w:rsidR="00AE0F7F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enjen u dozi od 400 mg dva puta na dan da izazove klinički značajnu interakciju preko CYP2B6, CYP2C8, CYP2C9 ili CYP2C19.</w:t>
      </w:r>
    </w:p>
    <w:p w14:paraId="791B960F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10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u w:val="single"/>
          <w:lang w:val="sr-Latn-ME"/>
        </w:rPr>
        <w:t xml:space="preserve">Interakcije između transportera i </w:t>
      </w:r>
      <w:r w:rsidR="00121A30" w:rsidRPr="00EF6E21">
        <w:rPr>
          <w:i/>
          <w:sz w:val="22"/>
          <w:szCs w:val="22"/>
          <w:u w:val="single"/>
          <w:lang w:val="sr-Latn-ME"/>
        </w:rPr>
        <w:t>lijek</w:t>
      </w:r>
      <w:r w:rsidRPr="00EF6E21">
        <w:rPr>
          <w:i/>
          <w:sz w:val="22"/>
          <w:szCs w:val="22"/>
          <w:u w:val="single"/>
          <w:lang w:val="sr-Latn-ME"/>
        </w:rPr>
        <w:t>a Tabrecta</w:t>
      </w:r>
      <w:r w:rsidRPr="00EF6E21">
        <w:rPr>
          <w:sz w:val="22"/>
          <w:szCs w:val="22"/>
          <w:lang w:val="sr-Latn-ME"/>
        </w:rPr>
        <w:t xml:space="preserve"> </w:t>
      </w:r>
    </w:p>
    <w:p w14:paraId="791B9611" w14:textId="73992C70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Na osnovu </w:t>
      </w:r>
      <w:r w:rsidRPr="00EF6E21">
        <w:rPr>
          <w:i/>
          <w:sz w:val="22"/>
          <w:szCs w:val="22"/>
          <w:lang w:val="sr-Latn-ME"/>
        </w:rPr>
        <w:t>in vitro</w:t>
      </w:r>
      <w:r w:rsidRPr="00EF6E21">
        <w:rPr>
          <w:sz w:val="22"/>
          <w:szCs w:val="22"/>
          <w:lang w:val="sr-Latn-ME"/>
        </w:rPr>
        <w:t xml:space="preserve"> podataka, kapmatinib je supstrat P-gp, ali nije BCRP ili supstrat </w:t>
      </w:r>
      <w:r w:rsidR="00DA5330" w:rsidRPr="00EF6E21">
        <w:rPr>
          <w:sz w:val="22"/>
          <w:szCs w:val="22"/>
          <w:lang w:val="sr-Latn-ME"/>
        </w:rPr>
        <w:t xml:space="preserve">proteina </w:t>
      </w:r>
      <w:r w:rsidRPr="00EF6E21">
        <w:rPr>
          <w:sz w:val="22"/>
          <w:szCs w:val="22"/>
          <w:lang w:val="sr-Latn-ME"/>
        </w:rPr>
        <w:t>povezan</w:t>
      </w:r>
      <w:r w:rsidR="00DA5330" w:rsidRPr="00EF6E21">
        <w:rPr>
          <w:sz w:val="22"/>
          <w:szCs w:val="22"/>
          <w:lang w:val="sr-Latn-ME"/>
        </w:rPr>
        <w:t>og</w:t>
      </w:r>
      <w:r w:rsidRPr="00EF6E21">
        <w:rPr>
          <w:sz w:val="22"/>
          <w:szCs w:val="22"/>
          <w:lang w:val="sr-Latn-ME"/>
        </w:rPr>
        <w:t xml:space="preserve"> sa rezistencijom </w:t>
      </w:r>
      <w:r w:rsidR="00DA5330" w:rsidRPr="00EF6E21">
        <w:rPr>
          <w:sz w:val="22"/>
          <w:szCs w:val="22"/>
          <w:lang w:val="sr-Latn-ME"/>
        </w:rPr>
        <w:t xml:space="preserve">na </w:t>
      </w:r>
      <w:r w:rsidRPr="00EF6E21">
        <w:rPr>
          <w:sz w:val="22"/>
          <w:szCs w:val="22"/>
          <w:lang w:val="sr-Latn-ME"/>
        </w:rPr>
        <w:t xml:space="preserve">više </w:t>
      </w:r>
      <w:r w:rsidR="00121A30" w:rsidRPr="00EF6E21">
        <w:rPr>
          <w:sz w:val="22"/>
          <w:szCs w:val="22"/>
          <w:lang w:val="sr-Latn-ME"/>
        </w:rPr>
        <w:t>ljek</w:t>
      </w:r>
      <w:r w:rsidRPr="00EF6E21">
        <w:rPr>
          <w:sz w:val="22"/>
          <w:szCs w:val="22"/>
          <w:lang w:val="sr-Latn-ME"/>
        </w:rPr>
        <w:t xml:space="preserve">ova (MRP2). Kapmatinib nije supstrat transportera uključenih u aktivno hepatičko preuzimanje u primarnim humanim hepatocitima. </w:t>
      </w:r>
    </w:p>
    <w:p w14:paraId="791B9612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13" w14:textId="631B8661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Na osnovu </w:t>
      </w:r>
      <w:r w:rsidRPr="00EF6E21">
        <w:rPr>
          <w:i/>
          <w:sz w:val="22"/>
          <w:szCs w:val="22"/>
          <w:lang w:val="sr-Latn-ME"/>
        </w:rPr>
        <w:t xml:space="preserve">in vitro </w:t>
      </w:r>
      <w:r w:rsidRPr="00EF6E21">
        <w:rPr>
          <w:sz w:val="22"/>
          <w:szCs w:val="22"/>
          <w:lang w:val="sr-Latn-ME"/>
        </w:rPr>
        <w:t xml:space="preserve">podataka, kapmatinib i njegov glavni metabolit CMN288 su pokazali reverzibilnu inhibiciju bubrežnih transportera MATE1 i MATE2K. Kapmatinib može da inhibira MATE1 i MATE2K </w:t>
      </w:r>
      <w:r w:rsidR="00DA5330" w:rsidRPr="00EF6E21">
        <w:rPr>
          <w:sz w:val="22"/>
          <w:szCs w:val="22"/>
          <w:lang w:val="sr-Latn-ME"/>
        </w:rPr>
        <w:t>pri</w:t>
      </w:r>
      <w:r w:rsidRPr="00EF6E21">
        <w:rPr>
          <w:sz w:val="22"/>
          <w:szCs w:val="22"/>
          <w:lang w:val="sr-Latn-ME"/>
        </w:rPr>
        <w:t xml:space="preserve"> klinički značajn</w:t>
      </w:r>
      <w:r w:rsidR="00DA5330" w:rsidRPr="00EF6E21">
        <w:rPr>
          <w:sz w:val="22"/>
          <w:szCs w:val="22"/>
          <w:lang w:val="sr-Latn-ME"/>
        </w:rPr>
        <w:t>im</w:t>
      </w:r>
      <w:r w:rsidRPr="00EF6E21">
        <w:rPr>
          <w:sz w:val="22"/>
          <w:szCs w:val="22"/>
          <w:lang w:val="sr-Latn-ME"/>
        </w:rPr>
        <w:t xml:space="preserve"> koncentracij</w:t>
      </w:r>
      <w:r w:rsidR="00DA5330" w:rsidRPr="00EF6E21">
        <w:rPr>
          <w:sz w:val="22"/>
          <w:szCs w:val="22"/>
          <w:lang w:val="sr-Latn-ME"/>
        </w:rPr>
        <w:t>ama</w:t>
      </w:r>
      <w:r w:rsidRPr="00EF6E21">
        <w:rPr>
          <w:sz w:val="22"/>
          <w:szCs w:val="22"/>
          <w:lang w:val="sr-Latn-ME"/>
        </w:rPr>
        <w:t xml:space="preserve">. </w:t>
      </w:r>
    </w:p>
    <w:p w14:paraId="791B9614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</w:p>
    <w:p w14:paraId="791B9615" w14:textId="77777777" w:rsidR="00F95A54" w:rsidRPr="00EF6E21" w:rsidRDefault="00F95A54" w:rsidP="0017386F">
      <w:pPr>
        <w:keepNext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Na osnovu </w:t>
      </w:r>
      <w:r w:rsidRPr="00EF6E21">
        <w:rPr>
          <w:i/>
          <w:sz w:val="22"/>
          <w:szCs w:val="22"/>
          <w:lang w:val="sr-Latn-ME"/>
        </w:rPr>
        <w:t>in vitro</w:t>
      </w:r>
      <w:r w:rsidRPr="00EF6E21">
        <w:rPr>
          <w:sz w:val="22"/>
          <w:szCs w:val="22"/>
          <w:lang w:val="sr-Latn-ME"/>
        </w:rPr>
        <w:t xml:space="preserve"> podataka, kapmatinib je pokazao reverzibilnu inhibiciju transportera hepatičkog preuzimanja OATP1B1, OATP1B3 i OCT1. Međutim, ne očekuje se da će kapmatinib izazvati klinički značajnu inhibiciju transportera preuzimanja OATP1B1, OATP1B3 i OCT1 na osnovu koncentracije postignute u terapijskoj dozi. Kapmatinib nije inhibitor bubrežnih transportera OAT1 ili OAT3. Kapmatinib nije inhibitor MRP2 i</w:t>
      </w:r>
      <w:r w:rsidRPr="00EF6E21">
        <w:rPr>
          <w:i/>
          <w:sz w:val="22"/>
          <w:szCs w:val="22"/>
          <w:lang w:val="sr-Latn-ME"/>
        </w:rPr>
        <w:t>n vitro</w:t>
      </w:r>
      <w:r w:rsidRPr="00EF6E21">
        <w:rPr>
          <w:sz w:val="22"/>
          <w:szCs w:val="22"/>
          <w:lang w:val="sr-Latn-ME"/>
        </w:rPr>
        <w:t xml:space="preserve">. </w:t>
      </w:r>
    </w:p>
    <w:p w14:paraId="791B9617" w14:textId="77777777" w:rsidR="00F95A54" w:rsidRPr="00EF6E21" w:rsidRDefault="00F95A54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18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5.3.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P</w:t>
      </w:r>
      <w:r w:rsidR="001B251E" w:rsidRPr="00EF6E21">
        <w:rPr>
          <w:b/>
          <w:bCs/>
          <w:sz w:val="22"/>
          <w:szCs w:val="22"/>
          <w:lang w:val="sr-Latn-ME"/>
        </w:rPr>
        <w:t>retk</w:t>
      </w:r>
      <w:r w:rsidRPr="00EF6E21">
        <w:rPr>
          <w:b/>
          <w:bCs/>
          <w:sz w:val="22"/>
          <w:szCs w:val="22"/>
          <w:lang w:val="sr-Latn-ME"/>
        </w:rPr>
        <w:t xml:space="preserve">linički podaci o bezbjednosti </w:t>
      </w:r>
    </w:p>
    <w:p w14:paraId="791B9619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61A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Toksičnost ponovljenih doza</w:t>
      </w:r>
    </w:p>
    <w:p w14:paraId="791B961B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1C" w14:textId="265DC2F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Znaci koji ukazuju na toksičnost za CNS (kao što su tremor i/ili konvulzije), i histopatološki nalazi vakuolizacije b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ele mase u regijama talamus/kauda/putamen u srednjem mozgu prim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ećene su kod pacova pri dozama ≥</w:t>
      </w:r>
      <w:r w:rsidR="00DA5330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2,9 puta većim od očekivane kliničke izloženosti kod ljudi na osnovu PIK-a pri dozi od 400 mg dva puta na dan. U studij</w:t>
      </w:r>
      <w:r w:rsidR="00DA5330" w:rsidRPr="00EF6E21">
        <w:rPr>
          <w:sz w:val="22"/>
          <w:szCs w:val="22"/>
          <w:lang w:val="sr-Latn-ME"/>
        </w:rPr>
        <w:t>ama</w:t>
      </w:r>
      <w:r w:rsidRPr="00EF6E21">
        <w:rPr>
          <w:sz w:val="22"/>
          <w:szCs w:val="22"/>
          <w:lang w:val="sr-Latn-ME"/>
        </w:rPr>
        <w:t xml:space="preserve"> na </w:t>
      </w:r>
      <w:r w:rsidRPr="00F74D94">
        <w:rPr>
          <w:i/>
          <w:sz w:val="22"/>
          <w:szCs w:val="22"/>
          <w:lang w:val="sr-Latn-ME"/>
        </w:rPr>
        <w:t>c</w:t>
      </w:r>
      <w:r w:rsidR="00DA5330" w:rsidRPr="00F74D94">
        <w:rPr>
          <w:i/>
          <w:sz w:val="22"/>
          <w:szCs w:val="22"/>
          <w:lang w:val="sr-Latn-ME"/>
        </w:rPr>
        <w:t>ynomolgus</w:t>
      </w:r>
      <w:r w:rsidR="00DA5330" w:rsidRPr="00EF6E21">
        <w:rPr>
          <w:sz w:val="22"/>
          <w:szCs w:val="22"/>
          <w:lang w:val="sr-Latn-ME"/>
        </w:rPr>
        <w:t xml:space="preserve"> (makaki)</w:t>
      </w:r>
      <w:r w:rsidRPr="00EF6E21">
        <w:rPr>
          <w:sz w:val="22"/>
          <w:szCs w:val="22"/>
          <w:lang w:val="sr-Latn-ME"/>
        </w:rPr>
        <w:t xml:space="preserve"> majmunima ni</w:t>
      </w:r>
      <w:r w:rsidR="00DA5330" w:rsidRPr="00EF6E21">
        <w:rPr>
          <w:sz w:val="22"/>
          <w:szCs w:val="22"/>
          <w:lang w:val="sr-Latn-ME"/>
        </w:rPr>
        <w:t>je</w:t>
      </w:r>
      <w:r w:rsidRPr="00EF6E21">
        <w:rPr>
          <w:sz w:val="22"/>
          <w:szCs w:val="22"/>
          <w:lang w:val="sr-Latn-ME"/>
        </w:rPr>
        <w:t xml:space="preserve">su </w:t>
      </w:r>
      <w:r w:rsidR="001B251E" w:rsidRPr="00EF6E21">
        <w:rPr>
          <w:sz w:val="22"/>
          <w:szCs w:val="22"/>
          <w:lang w:val="sr-Latn-ME"/>
        </w:rPr>
        <w:t xml:space="preserve">zabilježeni </w:t>
      </w:r>
      <w:r w:rsidRPr="00EF6E21">
        <w:rPr>
          <w:sz w:val="22"/>
          <w:szCs w:val="22"/>
          <w:lang w:val="sr-Latn-ME"/>
        </w:rPr>
        <w:t>znaci toksičnosti za CNS ili abnormalnosti mozga. Relevantnost nalaza na CNS-u prim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ećenih kod pacova, za ljude nije poznata. </w:t>
      </w:r>
    </w:p>
    <w:p w14:paraId="791B961D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1E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Kapmatinib prolazi krvno-moždanu barijeru kod pacova sa odnosom izloženosti mozak-krvi (PIK</w:t>
      </w:r>
      <w:r w:rsidRPr="00EF6E21">
        <w:rPr>
          <w:sz w:val="22"/>
          <w:szCs w:val="22"/>
          <w:vertAlign w:val="subscript"/>
          <w:lang w:val="sr-Latn-ME"/>
        </w:rPr>
        <w:t>inf</w:t>
      </w:r>
      <w:r w:rsidRPr="00EF6E21">
        <w:rPr>
          <w:sz w:val="22"/>
          <w:szCs w:val="22"/>
          <w:lang w:val="sr-Latn-ME"/>
        </w:rPr>
        <w:t xml:space="preserve">) od približno 9%. </w:t>
      </w:r>
    </w:p>
    <w:p w14:paraId="791B961F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20" w14:textId="760D57B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Reverzibilna, minimalna do blaga subkapsularna neutrofilna infiltracija povezana sa nekrozom jedne ćelije prim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 xml:space="preserve">ećena je u jetri mužjaka majmuna </w:t>
      </w:r>
      <w:r w:rsidR="008F6830" w:rsidRPr="00EF6E21">
        <w:rPr>
          <w:sz w:val="22"/>
          <w:szCs w:val="22"/>
          <w:lang w:val="sr-Latn-ME"/>
        </w:rPr>
        <w:t>liječ</w:t>
      </w:r>
      <w:r w:rsidRPr="00EF6E21">
        <w:rPr>
          <w:sz w:val="22"/>
          <w:szCs w:val="22"/>
          <w:lang w:val="sr-Latn-ME"/>
        </w:rPr>
        <w:t xml:space="preserve">enih 13 </w:t>
      </w:r>
      <w:r w:rsidR="008F6830" w:rsidRPr="00EF6E21">
        <w:rPr>
          <w:sz w:val="22"/>
          <w:szCs w:val="22"/>
          <w:lang w:val="sr-Latn-ME"/>
        </w:rPr>
        <w:t>nedjelj</w:t>
      </w:r>
      <w:r w:rsidRPr="00EF6E21">
        <w:rPr>
          <w:sz w:val="22"/>
          <w:szCs w:val="22"/>
          <w:lang w:val="sr-Latn-ME"/>
        </w:rPr>
        <w:t xml:space="preserve">a pri nivoima doze </w:t>
      </w:r>
      <w:r w:rsidR="00DA5330" w:rsidRPr="00EF6E21">
        <w:rPr>
          <w:sz w:val="22"/>
          <w:szCs w:val="22"/>
          <w:lang w:val="sr-Latn-ME"/>
        </w:rPr>
        <w:t xml:space="preserve">koje predstavljaju </w:t>
      </w:r>
      <w:r w:rsidRPr="00EF6E21">
        <w:rPr>
          <w:sz w:val="22"/>
          <w:szCs w:val="22"/>
          <w:lang w:val="sr-Latn-ME"/>
        </w:rPr>
        <w:t>od ≥</w:t>
      </w:r>
      <w:r w:rsidR="00DA5330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4,7 puta već</w:t>
      </w:r>
      <w:r w:rsidR="00DA5330" w:rsidRPr="00EF6E21">
        <w:rPr>
          <w:sz w:val="22"/>
          <w:szCs w:val="22"/>
          <w:lang w:val="sr-Latn-ME"/>
        </w:rPr>
        <w:t>u izloženost</w:t>
      </w:r>
      <w:r w:rsidRPr="00EF6E21">
        <w:rPr>
          <w:sz w:val="22"/>
          <w:szCs w:val="22"/>
          <w:lang w:val="sr-Latn-ME"/>
        </w:rPr>
        <w:t xml:space="preserve"> od očekivane kliničke izloženosti kod ljudi na osnovu PIK-a i dozi od 400 mg dva puta na dan.</w:t>
      </w:r>
    </w:p>
    <w:p w14:paraId="791B9621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2F4DA6BB" w14:textId="77777777" w:rsidR="00963C5C" w:rsidRDefault="00963C5C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622" w14:textId="0E38ACE6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lastRenderedPageBreak/>
        <w:t xml:space="preserve">Genotoksičnost </w:t>
      </w:r>
    </w:p>
    <w:p w14:paraId="791B9623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24" w14:textId="78EB0D73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Kapmatinib nije genotoksičan na osnovu standardne </w:t>
      </w:r>
      <w:r w:rsidR="00DA5330" w:rsidRPr="00EF6E21">
        <w:rPr>
          <w:sz w:val="22"/>
          <w:szCs w:val="22"/>
          <w:lang w:val="sr-Latn-ME"/>
        </w:rPr>
        <w:t>grupe</w:t>
      </w:r>
      <w:r w:rsidRPr="00EF6E21">
        <w:rPr>
          <w:sz w:val="22"/>
          <w:szCs w:val="22"/>
          <w:lang w:val="sr-Latn-ME"/>
        </w:rPr>
        <w:t xml:space="preserve"> </w:t>
      </w:r>
      <w:r w:rsidRPr="00EF6E21">
        <w:rPr>
          <w:i/>
          <w:sz w:val="22"/>
          <w:szCs w:val="22"/>
          <w:lang w:val="sr-Latn-ME"/>
        </w:rPr>
        <w:t>in vitro</w:t>
      </w:r>
      <w:r w:rsidRPr="00EF6E21">
        <w:rPr>
          <w:sz w:val="22"/>
          <w:szCs w:val="22"/>
          <w:lang w:val="sr-Latn-ME"/>
        </w:rPr>
        <w:t xml:space="preserve"> i </w:t>
      </w:r>
      <w:r w:rsidRPr="00EF6E21">
        <w:rPr>
          <w:i/>
          <w:sz w:val="22"/>
          <w:szCs w:val="22"/>
          <w:lang w:val="sr-Latn-ME"/>
        </w:rPr>
        <w:t>in vivo</w:t>
      </w:r>
      <w:r w:rsidRPr="00EF6E21">
        <w:rPr>
          <w:sz w:val="22"/>
          <w:szCs w:val="22"/>
          <w:lang w:val="sr-Latn-ME"/>
        </w:rPr>
        <w:t xml:space="preserve"> testova. </w:t>
      </w:r>
    </w:p>
    <w:p w14:paraId="791B962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26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Reproduktivna toksičnost</w:t>
      </w:r>
    </w:p>
    <w:p w14:paraId="791B9627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28" w14:textId="6C6FEC49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Ispitivanja embriofetalnog razvoja </w:t>
      </w:r>
      <w:r w:rsidR="00DA5330" w:rsidRPr="00EF6E21">
        <w:rPr>
          <w:sz w:val="22"/>
          <w:szCs w:val="22"/>
          <w:lang w:val="sr-Latn-ME"/>
        </w:rPr>
        <w:t xml:space="preserve">sprovedena </w:t>
      </w:r>
      <w:r w:rsidRPr="00EF6E21">
        <w:rPr>
          <w:sz w:val="22"/>
          <w:szCs w:val="22"/>
          <w:lang w:val="sr-Latn-ME"/>
        </w:rPr>
        <w:t xml:space="preserve">kod pacova i kunića pokazala su da je kapmatinib bio teratogen i fetotoksičan pri nivoima doza koje ne izazivaju toksičnost za majku. Kod pacova, smanjena težina fetusa i povećana incidenca </w:t>
      </w:r>
      <w:r w:rsidR="00DA5330" w:rsidRPr="00EF6E21">
        <w:rPr>
          <w:sz w:val="22"/>
          <w:szCs w:val="22"/>
          <w:lang w:val="sr-Latn-ME"/>
        </w:rPr>
        <w:t>okota</w:t>
      </w:r>
      <w:r w:rsidRPr="00EF6E21">
        <w:rPr>
          <w:sz w:val="22"/>
          <w:szCs w:val="22"/>
          <w:lang w:val="sr-Latn-ME"/>
        </w:rPr>
        <w:t xml:space="preserve"> i fetusa sa malformacijama ekstremiteta prim</w:t>
      </w:r>
      <w:r w:rsidR="001B251E" w:rsidRPr="00EF6E21">
        <w:rPr>
          <w:sz w:val="22"/>
          <w:szCs w:val="22"/>
          <w:lang w:val="sr-Latn-ME"/>
        </w:rPr>
        <w:t>ij</w:t>
      </w:r>
      <w:r w:rsidRPr="00EF6E21">
        <w:rPr>
          <w:sz w:val="22"/>
          <w:szCs w:val="22"/>
          <w:lang w:val="sr-Latn-ME"/>
        </w:rPr>
        <w:t>ećeni su pri izloženosti majke ≥</w:t>
      </w:r>
      <w:r w:rsidR="00DA5330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0,89 puta većim od očekivane kliničke izloženosti kod ljudi (na osnovu PIK-a). Kod kunića, malformacije ekstremiteta, pluća i jezika su uočene pri izloženosti majke od ≥</w:t>
      </w:r>
      <w:r w:rsidR="00DA5330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 xml:space="preserve">0,025 puta većim od očekivane kliničke izloženosti kod ljudi. </w:t>
      </w:r>
    </w:p>
    <w:p w14:paraId="791B9629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2A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 xml:space="preserve">Fotosenzitivnost </w:t>
      </w:r>
    </w:p>
    <w:p w14:paraId="791B962B" w14:textId="77777777" w:rsidR="00F95A54" w:rsidRPr="00EF6E21" w:rsidRDefault="00F95A54" w:rsidP="0017386F">
      <w:pPr>
        <w:shd w:val="clear" w:color="auto" w:fill="FFFFFF" w:themeFill="background1"/>
        <w:jc w:val="both"/>
        <w:rPr>
          <w:i/>
          <w:sz w:val="22"/>
          <w:szCs w:val="22"/>
          <w:lang w:val="sr-Latn-ME"/>
        </w:rPr>
      </w:pPr>
    </w:p>
    <w:p w14:paraId="791B962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In vitro</w:t>
      </w:r>
      <w:r w:rsidRPr="00EF6E21">
        <w:rPr>
          <w:sz w:val="22"/>
          <w:szCs w:val="22"/>
          <w:lang w:val="sr-Latn-ME"/>
        </w:rPr>
        <w:t xml:space="preserve"> i </w:t>
      </w:r>
      <w:r w:rsidRPr="00EF6E21">
        <w:rPr>
          <w:i/>
          <w:sz w:val="22"/>
          <w:szCs w:val="22"/>
          <w:lang w:val="sr-Latn-ME"/>
        </w:rPr>
        <w:t>in vivo</w:t>
      </w:r>
      <w:r w:rsidRPr="00EF6E21">
        <w:rPr>
          <w:sz w:val="22"/>
          <w:szCs w:val="22"/>
          <w:lang w:val="sr-Latn-ME"/>
        </w:rPr>
        <w:t xml:space="preserve"> testovi fotosenzibilizacije sa kapmatinibom ukazuju da kapmatinib ima potencijal za fotosenzibilizaciju.</w:t>
      </w:r>
    </w:p>
    <w:p w14:paraId="791B962E" w14:textId="77777777" w:rsidR="00836B35" w:rsidRPr="00EF6E21" w:rsidRDefault="00836B35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2F" w14:textId="77777777" w:rsidR="00396DFD" w:rsidRPr="00EF6E21" w:rsidRDefault="00396DFD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630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6.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FARMACEUTSKI PODACI</w:t>
      </w:r>
    </w:p>
    <w:p w14:paraId="791B9631" w14:textId="77777777" w:rsidR="00836B35" w:rsidRPr="00EF6E21" w:rsidRDefault="00836B35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32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6.1.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Lista pomoćnih supstanci</w:t>
      </w:r>
      <w:r w:rsidR="002E0135" w:rsidRPr="00EF6E21">
        <w:rPr>
          <w:b/>
          <w:bCs/>
          <w:sz w:val="22"/>
          <w:szCs w:val="22"/>
          <w:lang w:val="sr-Latn-ME"/>
        </w:rPr>
        <w:t xml:space="preserve"> (ekscipijenasa)</w:t>
      </w:r>
    </w:p>
    <w:p w14:paraId="791B9633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</w:p>
    <w:p w14:paraId="791B9634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Jezgro tablete</w:t>
      </w:r>
    </w:p>
    <w:p w14:paraId="791B9635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celuloza, mikrokristalna;</w:t>
      </w:r>
    </w:p>
    <w:p w14:paraId="791B9636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manitol;</w:t>
      </w:r>
    </w:p>
    <w:p w14:paraId="791B9637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krospovidon;</w:t>
      </w:r>
    </w:p>
    <w:p w14:paraId="791B9638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povidon;</w:t>
      </w:r>
    </w:p>
    <w:p w14:paraId="791B9639" w14:textId="1EA252C5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magnezijum</w:t>
      </w:r>
      <w:r w:rsidR="00885A2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stearat;</w:t>
      </w:r>
    </w:p>
    <w:p w14:paraId="791B963A" w14:textId="544E1A32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silicijum</w:t>
      </w:r>
      <w:r w:rsidR="00885A2D" w:rsidRPr="00EF6E21">
        <w:rPr>
          <w:sz w:val="22"/>
          <w:szCs w:val="22"/>
          <w:lang w:val="sr-Latn-ME"/>
        </w:rPr>
        <w:t xml:space="preserve"> dioksid</w:t>
      </w:r>
      <w:r w:rsidRPr="00EF6E21">
        <w:rPr>
          <w:sz w:val="22"/>
          <w:szCs w:val="22"/>
          <w:lang w:val="sr-Latn-ME"/>
        </w:rPr>
        <w:t xml:space="preserve"> koloidni, </w:t>
      </w:r>
      <w:r w:rsidR="00885A2D" w:rsidRPr="00EF6E21">
        <w:rPr>
          <w:sz w:val="22"/>
          <w:szCs w:val="22"/>
          <w:lang w:val="sr-Latn-ME"/>
        </w:rPr>
        <w:t>bezvodni</w:t>
      </w:r>
      <w:r w:rsidRPr="00EF6E21">
        <w:rPr>
          <w:sz w:val="22"/>
          <w:szCs w:val="22"/>
          <w:lang w:val="sr-Latn-ME"/>
        </w:rPr>
        <w:t>;</w:t>
      </w:r>
    </w:p>
    <w:p w14:paraId="791B963B" w14:textId="534FD235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natrijum</w:t>
      </w:r>
      <w:r w:rsidR="00885A2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laurilsulfat.</w:t>
      </w:r>
    </w:p>
    <w:p w14:paraId="791B963C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3D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u w:val="single"/>
          <w:lang w:val="sr-Latn-ME"/>
        </w:rPr>
      </w:pPr>
      <w:r w:rsidRPr="00EF6E21">
        <w:rPr>
          <w:sz w:val="22"/>
          <w:szCs w:val="22"/>
          <w:u w:val="single"/>
          <w:lang w:val="sr-Latn-ME"/>
        </w:rPr>
        <w:t>Film tablete</w:t>
      </w:r>
    </w:p>
    <w:p w14:paraId="791B963E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3F" w14:textId="77777777" w:rsidR="00F95A54" w:rsidRPr="00EF6E21" w:rsidRDefault="00F95A54" w:rsidP="0017386F">
      <w:pPr>
        <w:jc w:val="both"/>
        <w:rPr>
          <w:i/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Tabrecta 150 mg film tablete</w:t>
      </w:r>
    </w:p>
    <w:p w14:paraId="791B9640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hipromeloza;</w:t>
      </w:r>
    </w:p>
    <w:p w14:paraId="791B9641" w14:textId="38401BEA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titan</w:t>
      </w:r>
      <w:r w:rsidR="00885A2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dioksid (E171);</w:t>
      </w:r>
    </w:p>
    <w:p w14:paraId="791B9642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makrogol;</w:t>
      </w:r>
    </w:p>
    <w:p w14:paraId="791B9643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talk;</w:t>
      </w:r>
    </w:p>
    <w:p w14:paraId="791B9644" w14:textId="473709FF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gvožđe</w:t>
      </w:r>
      <w:r w:rsidR="00361763">
        <w:rPr>
          <w:sz w:val="22"/>
          <w:szCs w:val="22"/>
          <w:lang w:val="sr-Latn-ME"/>
        </w:rPr>
        <w:t xml:space="preserve"> </w:t>
      </w:r>
      <w:r w:rsidR="00885A2D" w:rsidRPr="00EF6E21">
        <w:rPr>
          <w:sz w:val="22"/>
          <w:szCs w:val="22"/>
          <w:lang w:val="sr-Latn-ME"/>
        </w:rPr>
        <w:t xml:space="preserve">(III) </w:t>
      </w:r>
      <w:r w:rsidRPr="00EF6E21">
        <w:rPr>
          <w:sz w:val="22"/>
          <w:szCs w:val="22"/>
          <w:lang w:val="sr-Latn-ME"/>
        </w:rPr>
        <w:t>oksid, žuti (E172);</w:t>
      </w:r>
    </w:p>
    <w:p w14:paraId="791B9645" w14:textId="55D8015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gvožđe</w:t>
      </w:r>
      <w:r w:rsidR="00361763">
        <w:rPr>
          <w:sz w:val="22"/>
          <w:szCs w:val="22"/>
          <w:lang w:val="sr-Latn-ME"/>
        </w:rPr>
        <w:t xml:space="preserve"> </w:t>
      </w:r>
      <w:r w:rsidR="00885A2D" w:rsidRPr="00EF6E21">
        <w:rPr>
          <w:sz w:val="22"/>
          <w:szCs w:val="22"/>
          <w:lang w:val="sr-Latn-ME"/>
        </w:rPr>
        <w:t xml:space="preserve">(III) </w:t>
      </w:r>
      <w:r w:rsidRPr="00EF6E21">
        <w:rPr>
          <w:sz w:val="22"/>
          <w:szCs w:val="22"/>
          <w:lang w:val="sr-Latn-ME"/>
        </w:rPr>
        <w:t>oksid, crveni (E172);</w:t>
      </w:r>
    </w:p>
    <w:p w14:paraId="791B9646" w14:textId="0C22DAE6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gvožđe</w:t>
      </w:r>
      <w:r w:rsidR="00361763">
        <w:rPr>
          <w:sz w:val="22"/>
          <w:szCs w:val="22"/>
          <w:lang w:val="sr-Latn-ME"/>
        </w:rPr>
        <w:t xml:space="preserve"> </w:t>
      </w:r>
      <w:r w:rsidR="00885A2D" w:rsidRPr="00EF6E21">
        <w:rPr>
          <w:sz w:val="22"/>
          <w:szCs w:val="22"/>
          <w:lang w:val="sr-Latn-ME"/>
        </w:rPr>
        <w:t xml:space="preserve">(III) </w:t>
      </w:r>
      <w:r w:rsidRPr="00EF6E21">
        <w:rPr>
          <w:sz w:val="22"/>
          <w:szCs w:val="22"/>
          <w:lang w:val="sr-Latn-ME"/>
        </w:rPr>
        <w:t>oksid, crni (E172).</w:t>
      </w:r>
    </w:p>
    <w:p w14:paraId="791B9647" w14:textId="77777777" w:rsidR="00F95A54" w:rsidRPr="00EF6E21" w:rsidRDefault="00F95A54" w:rsidP="0017386F">
      <w:pPr>
        <w:jc w:val="both"/>
        <w:rPr>
          <w:i/>
          <w:sz w:val="22"/>
          <w:szCs w:val="22"/>
          <w:lang w:val="sr-Latn-ME"/>
        </w:rPr>
      </w:pPr>
    </w:p>
    <w:p w14:paraId="791B9648" w14:textId="77777777" w:rsidR="00F95A54" w:rsidRPr="00EF6E21" w:rsidRDefault="00F95A54" w:rsidP="0017386F">
      <w:pPr>
        <w:jc w:val="both"/>
        <w:rPr>
          <w:i/>
          <w:sz w:val="22"/>
          <w:szCs w:val="22"/>
          <w:lang w:val="sr-Latn-ME"/>
        </w:rPr>
      </w:pPr>
      <w:r w:rsidRPr="00EF6E21">
        <w:rPr>
          <w:i/>
          <w:sz w:val="22"/>
          <w:szCs w:val="22"/>
          <w:lang w:val="sr-Latn-ME"/>
        </w:rPr>
        <w:t>Tabrecta 200 mg film tablete</w:t>
      </w:r>
    </w:p>
    <w:p w14:paraId="791B9649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hipromeloza;</w:t>
      </w:r>
    </w:p>
    <w:p w14:paraId="791B964A" w14:textId="1F4EBDDF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titan</w:t>
      </w:r>
      <w:r w:rsidR="00885A2D" w:rsidRPr="00EF6E21">
        <w:rPr>
          <w:sz w:val="22"/>
          <w:szCs w:val="22"/>
          <w:lang w:val="sr-Latn-ME"/>
        </w:rPr>
        <w:t xml:space="preserve"> </w:t>
      </w:r>
      <w:r w:rsidRPr="00EF6E21">
        <w:rPr>
          <w:sz w:val="22"/>
          <w:szCs w:val="22"/>
          <w:lang w:val="sr-Latn-ME"/>
        </w:rPr>
        <w:t>dioksid (E171);</w:t>
      </w:r>
    </w:p>
    <w:p w14:paraId="791B964B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makrogol;</w:t>
      </w:r>
    </w:p>
    <w:p w14:paraId="791B964C" w14:textId="77777777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talk;</w:t>
      </w:r>
    </w:p>
    <w:p w14:paraId="791B964D" w14:textId="20CB8C36" w:rsidR="00F95A54" w:rsidRPr="00EF6E21" w:rsidRDefault="00F95A54" w:rsidP="0017386F">
      <w:pPr>
        <w:keepNext/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gvožđe</w:t>
      </w:r>
      <w:r w:rsidR="00361763">
        <w:rPr>
          <w:sz w:val="22"/>
          <w:szCs w:val="22"/>
          <w:lang w:val="sr-Latn-ME"/>
        </w:rPr>
        <w:t xml:space="preserve"> </w:t>
      </w:r>
      <w:r w:rsidR="00885A2D" w:rsidRPr="00EF6E21">
        <w:rPr>
          <w:sz w:val="22"/>
          <w:szCs w:val="22"/>
          <w:lang w:val="sr-Latn-ME"/>
        </w:rPr>
        <w:t xml:space="preserve">(III) </w:t>
      </w:r>
      <w:r w:rsidRPr="00EF6E21">
        <w:rPr>
          <w:sz w:val="22"/>
          <w:szCs w:val="22"/>
          <w:lang w:val="sr-Latn-ME"/>
        </w:rPr>
        <w:t>oksid, žuti (E172).</w:t>
      </w:r>
    </w:p>
    <w:p w14:paraId="791B964E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4F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6.2.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Inkompatibilnost</w:t>
      </w:r>
      <w:r w:rsidR="002846DB" w:rsidRPr="00EF6E21">
        <w:rPr>
          <w:b/>
          <w:bCs/>
          <w:sz w:val="22"/>
          <w:szCs w:val="22"/>
          <w:lang w:val="sr-Latn-ME"/>
        </w:rPr>
        <w:t>i</w:t>
      </w:r>
    </w:p>
    <w:p w14:paraId="791B9650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51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Nije prim</w:t>
      </w:r>
      <w:r w:rsidR="00AE0F7F" w:rsidRPr="00EF6E21">
        <w:rPr>
          <w:sz w:val="22"/>
          <w:szCs w:val="22"/>
          <w:lang w:val="sr-Latn-ME"/>
        </w:rPr>
        <w:t>j</w:t>
      </w:r>
      <w:r w:rsidRPr="00EF6E21">
        <w:rPr>
          <w:sz w:val="22"/>
          <w:szCs w:val="22"/>
          <w:lang w:val="sr-Latn-ME"/>
        </w:rPr>
        <w:t>enjivo.</w:t>
      </w:r>
    </w:p>
    <w:p w14:paraId="791B9652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53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>6.3.</w:t>
      </w:r>
      <w:r w:rsidR="00C05DF8" w:rsidRPr="00EF6E21">
        <w:rPr>
          <w:b/>
          <w:bCs/>
          <w:sz w:val="22"/>
          <w:szCs w:val="22"/>
          <w:lang w:val="sr-Latn-ME"/>
        </w:rPr>
        <w:t xml:space="preserve">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Rok upotrebe</w:t>
      </w:r>
    </w:p>
    <w:p w14:paraId="791B9654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655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3 godine.</w:t>
      </w:r>
    </w:p>
    <w:p w14:paraId="791B9657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lastRenderedPageBreak/>
        <w:t xml:space="preserve">6.4.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EF6E21">
        <w:rPr>
          <w:b/>
          <w:bCs/>
          <w:sz w:val="22"/>
          <w:szCs w:val="22"/>
          <w:lang w:val="sr-Latn-ME"/>
        </w:rPr>
        <w:t xml:space="preserve"> lijeka</w:t>
      </w:r>
    </w:p>
    <w:p w14:paraId="791B9658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791B9659" w14:textId="0638EFBB" w:rsidR="00F95A54" w:rsidRPr="00EF6E21" w:rsidRDefault="00121A30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Lijek</w:t>
      </w:r>
      <w:r w:rsidR="00F95A54" w:rsidRPr="00EF6E21">
        <w:rPr>
          <w:sz w:val="22"/>
          <w:szCs w:val="22"/>
          <w:lang w:val="sr-Latn-ME"/>
        </w:rPr>
        <w:t xml:space="preserve"> ne zaht</w:t>
      </w:r>
      <w:r w:rsidR="001B251E" w:rsidRPr="00EF6E21">
        <w:rPr>
          <w:sz w:val="22"/>
          <w:szCs w:val="22"/>
          <w:lang w:val="sr-Latn-ME"/>
        </w:rPr>
        <w:t>ij</w:t>
      </w:r>
      <w:r w:rsidR="00F95A54" w:rsidRPr="00EF6E21">
        <w:rPr>
          <w:sz w:val="22"/>
          <w:szCs w:val="22"/>
          <w:lang w:val="sr-Latn-ME"/>
        </w:rPr>
        <w:t xml:space="preserve">eva posebne </w:t>
      </w:r>
      <w:r w:rsidR="00885A2D" w:rsidRPr="00EF6E21">
        <w:rPr>
          <w:sz w:val="22"/>
          <w:szCs w:val="22"/>
          <w:lang w:val="sr-Latn-ME"/>
        </w:rPr>
        <w:t xml:space="preserve">temperaturne </w:t>
      </w:r>
      <w:r w:rsidR="00F95A54" w:rsidRPr="00EF6E21">
        <w:rPr>
          <w:sz w:val="22"/>
          <w:szCs w:val="22"/>
          <w:lang w:val="sr-Latn-ME"/>
        </w:rPr>
        <w:t>uslove čuvanja.</w:t>
      </w:r>
    </w:p>
    <w:p w14:paraId="791B965A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>Čuvati u originalnom pakovanju radi zaštite od vlage.</w:t>
      </w:r>
    </w:p>
    <w:p w14:paraId="791B965B" w14:textId="77777777" w:rsidR="00EC2532" w:rsidRPr="00EF6E21" w:rsidRDefault="00EC2532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5C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6.5.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="002846DB" w:rsidRPr="00EF6E2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EF6E21">
        <w:rPr>
          <w:b/>
          <w:bCs/>
          <w:sz w:val="22"/>
          <w:szCs w:val="22"/>
          <w:lang w:val="sr-Latn-ME"/>
        </w:rPr>
        <w:t>pakovanja</w:t>
      </w:r>
      <w:r w:rsidR="00C06864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65D" w14:textId="77777777" w:rsidR="00F95A54" w:rsidRPr="00EF6E21" w:rsidRDefault="00F95A54" w:rsidP="0017386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791B965E" w14:textId="0A570EBF" w:rsidR="00F95A54" w:rsidRPr="00EF6E21" w:rsidRDefault="00F95A54" w:rsidP="0017386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EF6E21">
        <w:rPr>
          <w:rFonts w:eastAsia="MS Mincho"/>
          <w:sz w:val="22"/>
          <w:szCs w:val="22"/>
          <w:lang w:val="sr-Latn-ME" w:eastAsia="zh-CN"/>
        </w:rPr>
        <w:t>Unutrašnje pakovanje je PCTFE/PVC</w:t>
      </w:r>
      <w:r w:rsidR="00361763">
        <w:rPr>
          <w:rFonts w:eastAsia="MS Mincho"/>
          <w:sz w:val="22"/>
          <w:szCs w:val="22"/>
          <w:lang w:val="sr-Latn-ME" w:eastAsia="zh-CN"/>
        </w:rPr>
        <w:t xml:space="preserve"> </w:t>
      </w:r>
      <w:r w:rsidR="00361763" w:rsidRPr="00361763">
        <w:rPr>
          <w:rFonts w:eastAsia="MS Mincho"/>
          <w:sz w:val="22"/>
          <w:szCs w:val="22"/>
          <w:lang w:val="sr-Latn-ME" w:eastAsia="zh-CN"/>
        </w:rPr>
        <w:t>(poli</w:t>
      </w:r>
      <w:r w:rsidR="00361763">
        <w:rPr>
          <w:rFonts w:eastAsia="MS Mincho"/>
          <w:sz w:val="22"/>
          <w:szCs w:val="22"/>
          <w:lang w:val="sr-Latn-ME" w:eastAsia="zh-CN"/>
        </w:rPr>
        <w:t>h</w:t>
      </w:r>
      <w:r w:rsidR="00361763" w:rsidRPr="00361763">
        <w:rPr>
          <w:rFonts w:eastAsia="MS Mincho"/>
          <w:sz w:val="22"/>
          <w:szCs w:val="22"/>
          <w:lang w:val="sr-Latn-ME" w:eastAsia="zh-CN"/>
        </w:rPr>
        <w:t>lorotrifluoroetilen/polivinil</w:t>
      </w:r>
      <w:r w:rsidR="00361763">
        <w:rPr>
          <w:rFonts w:eastAsia="MS Mincho"/>
          <w:sz w:val="22"/>
          <w:szCs w:val="22"/>
          <w:lang w:val="sr-Latn-ME" w:eastAsia="zh-CN"/>
        </w:rPr>
        <w:t>h</w:t>
      </w:r>
      <w:r w:rsidR="00361763" w:rsidRPr="00361763">
        <w:rPr>
          <w:rFonts w:eastAsia="MS Mincho"/>
          <w:sz w:val="22"/>
          <w:szCs w:val="22"/>
          <w:lang w:val="sr-Latn-ME" w:eastAsia="zh-CN"/>
        </w:rPr>
        <w:t>lorid)</w:t>
      </w:r>
      <w:r w:rsidR="00361763">
        <w:rPr>
          <w:rFonts w:eastAsia="MS Mincho"/>
          <w:sz w:val="22"/>
          <w:szCs w:val="22"/>
          <w:lang w:val="sr-Latn-ME" w:eastAsia="zh-CN"/>
        </w:rPr>
        <w:t xml:space="preserve"> </w:t>
      </w:r>
      <w:r w:rsidR="00361763" w:rsidRPr="00EF6E21">
        <w:rPr>
          <w:rFonts w:eastAsia="MS Mincho"/>
          <w:sz w:val="22"/>
          <w:szCs w:val="22"/>
          <w:lang w:val="sr-Latn-ME" w:eastAsia="zh-CN"/>
        </w:rPr>
        <w:t xml:space="preserve">blister </w:t>
      </w:r>
      <w:r w:rsidR="00361763">
        <w:rPr>
          <w:rFonts w:eastAsia="MS Mincho"/>
          <w:sz w:val="22"/>
          <w:szCs w:val="22"/>
          <w:lang w:val="sr-Latn-ME" w:eastAsia="zh-CN"/>
        </w:rPr>
        <w:t xml:space="preserve">zatvoren </w:t>
      </w:r>
      <w:r w:rsidRPr="00EF6E21">
        <w:rPr>
          <w:rFonts w:eastAsia="MS Mincho"/>
          <w:sz w:val="22"/>
          <w:szCs w:val="22"/>
          <w:lang w:val="sr-Latn-ME" w:eastAsia="zh-CN"/>
        </w:rPr>
        <w:t>aluminijumsk</w:t>
      </w:r>
      <w:r w:rsidR="00361763">
        <w:rPr>
          <w:rFonts w:eastAsia="MS Mincho"/>
          <w:sz w:val="22"/>
          <w:szCs w:val="22"/>
          <w:lang w:val="sr-Latn-ME" w:eastAsia="zh-CN"/>
        </w:rPr>
        <w:t xml:space="preserve">om </w:t>
      </w:r>
      <w:r w:rsidR="00361763" w:rsidRPr="00361763">
        <w:rPr>
          <w:rFonts w:eastAsia="MS Mincho"/>
          <w:sz w:val="22"/>
          <w:szCs w:val="22"/>
          <w:lang w:val="sr-Latn-ME" w:eastAsia="zh-CN"/>
        </w:rPr>
        <w:t>pokrovnom</w:t>
      </w:r>
      <w:r w:rsidR="00361763">
        <w:rPr>
          <w:rFonts w:eastAsia="MS Mincho"/>
          <w:sz w:val="22"/>
          <w:szCs w:val="22"/>
          <w:lang w:val="sr-Latn-ME" w:eastAsia="zh-CN"/>
        </w:rPr>
        <w:t xml:space="preserve"> folijom,</w:t>
      </w:r>
      <w:r w:rsidRPr="00EF6E21">
        <w:rPr>
          <w:rFonts w:eastAsia="MS Mincho"/>
          <w:sz w:val="22"/>
          <w:szCs w:val="22"/>
          <w:lang w:val="sr-Latn-ME" w:eastAsia="zh-CN"/>
        </w:rPr>
        <w:t xml:space="preserve"> sa 12 film tableta. </w:t>
      </w:r>
    </w:p>
    <w:p w14:paraId="791B965F" w14:textId="77777777" w:rsidR="00F95A54" w:rsidRPr="00EF6E21" w:rsidRDefault="00F95A54" w:rsidP="0017386F">
      <w:pPr>
        <w:keepNext/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91B9660" w14:textId="1110E5A6" w:rsidR="00F95A54" w:rsidRPr="00EF6E21" w:rsidRDefault="00F95A54" w:rsidP="0017386F">
      <w:pPr>
        <w:keepNext/>
        <w:shd w:val="clear" w:color="auto" w:fill="FFFFFF" w:themeFill="background1"/>
        <w:tabs>
          <w:tab w:val="left" w:pos="720"/>
        </w:tabs>
        <w:jc w:val="both"/>
        <w:rPr>
          <w:sz w:val="22"/>
          <w:szCs w:val="22"/>
          <w:highlight w:val="yellow"/>
          <w:lang w:val="sr-Latn-ME"/>
        </w:rPr>
      </w:pPr>
      <w:r w:rsidRPr="00EF6E21">
        <w:rPr>
          <w:sz w:val="22"/>
          <w:szCs w:val="22"/>
          <w:lang w:val="sr-Latn-ME"/>
        </w:rPr>
        <w:t>Spolj</w:t>
      </w:r>
      <w:r w:rsidR="00885A2D" w:rsidRPr="00EF6E21">
        <w:rPr>
          <w:sz w:val="22"/>
          <w:szCs w:val="22"/>
          <w:lang w:val="sr-Latn-ME"/>
        </w:rPr>
        <w:t>ašnje</w:t>
      </w:r>
      <w:r w:rsidRPr="00EF6E21">
        <w:rPr>
          <w:sz w:val="22"/>
          <w:szCs w:val="22"/>
          <w:lang w:val="sr-Latn-ME"/>
        </w:rPr>
        <w:t xml:space="preserve"> pakovanje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 xml:space="preserve">a je složiva kartonska kutija u kojoj se nalazi 10 blistera i Uputstvo za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.</w:t>
      </w:r>
    </w:p>
    <w:p w14:paraId="791B9661" w14:textId="77777777" w:rsidR="00F95A54" w:rsidRPr="00EF6E21" w:rsidRDefault="00F95A54" w:rsidP="0017386F">
      <w:pPr>
        <w:jc w:val="both"/>
        <w:rPr>
          <w:sz w:val="22"/>
          <w:szCs w:val="22"/>
          <w:lang w:val="sr-Latn-ME"/>
        </w:rPr>
      </w:pPr>
    </w:p>
    <w:p w14:paraId="791B9663" w14:textId="77777777" w:rsidR="002846DB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6.6.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F6E21">
        <w:rPr>
          <w:b/>
          <w:bCs/>
          <w:sz w:val="22"/>
          <w:szCs w:val="22"/>
          <w:lang w:val="sr-Latn-ME"/>
        </w:rPr>
        <w:t xml:space="preserve"> </w:t>
      </w:r>
      <w:r w:rsidR="00310F03" w:rsidRPr="00EF6E21">
        <w:rPr>
          <w:b/>
          <w:bCs/>
          <w:sz w:val="22"/>
          <w:szCs w:val="22"/>
          <w:lang w:val="sr-Latn-ME"/>
        </w:rPr>
        <w:t>(i druga uputs</w:t>
      </w:r>
      <w:r w:rsidR="004109FA" w:rsidRPr="00EF6E21">
        <w:rPr>
          <w:b/>
          <w:bCs/>
          <w:sz w:val="22"/>
          <w:szCs w:val="22"/>
          <w:lang w:val="sr-Latn-ME"/>
        </w:rPr>
        <w:t>t</w:t>
      </w:r>
      <w:r w:rsidR="00310F03" w:rsidRPr="00EF6E2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91B9664" w14:textId="77777777" w:rsidR="00F95A54" w:rsidRPr="00EF6E21" w:rsidRDefault="00F95A54" w:rsidP="0017386F">
      <w:pPr>
        <w:shd w:val="clear" w:color="auto" w:fill="FFFFFF" w:themeFill="background1"/>
        <w:jc w:val="both"/>
        <w:rPr>
          <w:lang w:val="sr-Latn-ME"/>
        </w:rPr>
      </w:pPr>
    </w:p>
    <w:p w14:paraId="791B9665" w14:textId="77777777" w:rsidR="00F95A54" w:rsidRPr="00EF6E21" w:rsidRDefault="00F95A54" w:rsidP="0017386F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EF6E21">
        <w:rPr>
          <w:sz w:val="22"/>
          <w:szCs w:val="22"/>
          <w:lang w:val="sr-Latn-ME"/>
        </w:rPr>
        <w:t xml:space="preserve">Svu neiskorišćenu količinu </w:t>
      </w:r>
      <w:r w:rsidR="00121A30" w:rsidRPr="00EF6E21">
        <w:rPr>
          <w:sz w:val="22"/>
          <w:szCs w:val="22"/>
          <w:lang w:val="sr-Latn-ME"/>
        </w:rPr>
        <w:t>lijek</w:t>
      </w:r>
      <w:r w:rsidRPr="00EF6E21">
        <w:rPr>
          <w:sz w:val="22"/>
          <w:szCs w:val="22"/>
          <w:lang w:val="sr-Latn-ME"/>
        </w:rPr>
        <w:t>a ili otpadnog materijala nakon njegove upotrebe treba ukloniti, u skladu sa važećim propisima.</w:t>
      </w:r>
    </w:p>
    <w:p w14:paraId="791B9666" w14:textId="357E02A1" w:rsidR="00B66A70" w:rsidRDefault="00B66A70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37B839" w14:textId="77777777" w:rsidR="00963C5C" w:rsidRPr="00EF6E21" w:rsidRDefault="00963C5C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1B9667" w14:textId="77777777" w:rsidR="00F8570A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7.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NOSILAC DOZVOLE</w:t>
      </w:r>
      <w:r w:rsidR="00483928" w:rsidRPr="00EF6E21">
        <w:rPr>
          <w:b/>
          <w:bCs/>
          <w:sz w:val="22"/>
          <w:szCs w:val="22"/>
          <w:lang w:val="sr-Latn-ME"/>
        </w:rPr>
        <w:t xml:space="preserve"> </w:t>
      </w:r>
    </w:p>
    <w:p w14:paraId="791B9668" w14:textId="77777777" w:rsidR="00C61BE0" w:rsidRPr="00EF6E21" w:rsidRDefault="00C61BE0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69" w14:textId="77777777" w:rsidR="00F95A54" w:rsidRPr="00EF6E21" w:rsidRDefault="00F95A54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“Novartis Pharma Services AG” dio stranog društva Podgorica</w:t>
      </w:r>
    </w:p>
    <w:p w14:paraId="791B966A" w14:textId="77777777" w:rsidR="00F95A54" w:rsidRPr="00EF6E21" w:rsidRDefault="00F95A54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F6E21">
        <w:rPr>
          <w:bCs/>
          <w:sz w:val="22"/>
          <w:szCs w:val="22"/>
          <w:lang w:val="sr-Latn-ME"/>
        </w:rPr>
        <w:t>Ul. Svetlane Kane Radević br. 3, Podgorica, Crna Gora</w:t>
      </w:r>
    </w:p>
    <w:p w14:paraId="791B966B" w14:textId="0F6E59DE" w:rsidR="00C37FD7" w:rsidRDefault="00C37FD7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7A4E8D" w14:textId="77777777" w:rsidR="00963C5C" w:rsidRPr="00EF6E21" w:rsidRDefault="00963C5C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6C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8.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>BROJ DOZVOLE</w:t>
      </w:r>
      <w:r w:rsidR="008A6D43" w:rsidRPr="00EF6E2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91B966D" w14:textId="77777777" w:rsidR="00F95A54" w:rsidRPr="00EF6E21" w:rsidRDefault="00F95A54" w:rsidP="0017386F">
      <w:pPr>
        <w:jc w:val="both"/>
        <w:rPr>
          <w:i/>
          <w:sz w:val="22"/>
          <w:szCs w:val="22"/>
          <w:lang w:val="sr-Latn-ME"/>
        </w:rPr>
      </w:pPr>
    </w:p>
    <w:p w14:paraId="791B966E" w14:textId="0920A24F" w:rsidR="00F95A54" w:rsidRPr="00ED0DC6" w:rsidRDefault="00F95A54" w:rsidP="0017386F">
      <w:pPr>
        <w:jc w:val="both"/>
        <w:rPr>
          <w:sz w:val="22"/>
          <w:szCs w:val="22"/>
          <w:lang w:val="sr-Latn-ME"/>
        </w:rPr>
      </w:pPr>
      <w:bookmarkStart w:id="6" w:name="_GoBack"/>
      <w:r w:rsidRPr="00ED0DC6">
        <w:rPr>
          <w:sz w:val="22"/>
          <w:szCs w:val="22"/>
          <w:lang w:val="sr-Latn-ME"/>
        </w:rPr>
        <w:t>Tabrecta</w:t>
      </w:r>
      <w:r w:rsidR="00FB6318" w:rsidRPr="00ED0DC6">
        <w:rPr>
          <w:sz w:val="22"/>
          <w:szCs w:val="22"/>
          <w:lang w:val="sr-Latn-ME"/>
        </w:rPr>
        <w:t>,</w:t>
      </w:r>
      <w:r w:rsidRPr="00ED0DC6">
        <w:rPr>
          <w:sz w:val="22"/>
          <w:szCs w:val="22"/>
          <w:lang w:val="sr-Latn-ME"/>
        </w:rPr>
        <w:t xml:space="preserve"> film tableta, 150 mg</w:t>
      </w:r>
      <w:r w:rsidR="00435416" w:rsidRPr="00ED0DC6">
        <w:rPr>
          <w:sz w:val="22"/>
          <w:szCs w:val="22"/>
          <w:lang w:val="sr-Latn-ME"/>
        </w:rPr>
        <w:t>,</w:t>
      </w:r>
      <w:r w:rsidR="009E0801" w:rsidRPr="00ED0DC6">
        <w:rPr>
          <w:sz w:val="22"/>
          <w:szCs w:val="22"/>
          <w:lang w:val="sr-Latn-ME"/>
        </w:rPr>
        <w:t xml:space="preserve"> blister, </w:t>
      </w:r>
      <w:r w:rsidR="00435416" w:rsidRPr="00ED0DC6">
        <w:rPr>
          <w:sz w:val="22"/>
          <w:szCs w:val="22"/>
          <w:lang w:val="sr-Latn-ME"/>
        </w:rPr>
        <w:t>120 film tableta</w:t>
      </w:r>
      <w:r w:rsidRPr="00ED0DC6">
        <w:rPr>
          <w:sz w:val="22"/>
          <w:szCs w:val="22"/>
          <w:lang w:val="sr-Latn-ME"/>
        </w:rPr>
        <w:t>:</w:t>
      </w:r>
      <w:r w:rsidR="001358CF" w:rsidRPr="00ED0DC6">
        <w:rPr>
          <w:sz w:val="22"/>
          <w:szCs w:val="22"/>
          <w:lang w:val="sr-Latn-ME"/>
        </w:rPr>
        <w:t xml:space="preserve"> </w:t>
      </w:r>
      <w:r w:rsidR="001358CF" w:rsidRPr="00ED0DC6">
        <w:rPr>
          <w:sz w:val="22"/>
          <w:szCs w:val="22"/>
          <w:lang w:eastAsia="sr-Latn-ME"/>
        </w:rPr>
        <w:t>2030/23/2920 - 4904</w:t>
      </w:r>
    </w:p>
    <w:p w14:paraId="791B966F" w14:textId="0B375660" w:rsidR="00F95A54" w:rsidRPr="00ED0DC6" w:rsidRDefault="00F95A54" w:rsidP="0017386F">
      <w:pPr>
        <w:jc w:val="both"/>
        <w:rPr>
          <w:sz w:val="22"/>
          <w:szCs w:val="22"/>
          <w:lang w:val="sr-Latn-ME"/>
        </w:rPr>
      </w:pPr>
      <w:r w:rsidRPr="00ED0DC6">
        <w:rPr>
          <w:sz w:val="22"/>
          <w:szCs w:val="22"/>
          <w:lang w:val="sr-Latn-ME"/>
        </w:rPr>
        <w:t>Tabrecta</w:t>
      </w:r>
      <w:r w:rsidR="00FB6318" w:rsidRPr="00ED0DC6">
        <w:rPr>
          <w:sz w:val="22"/>
          <w:szCs w:val="22"/>
          <w:lang w:val="sr-Latn-ME"/>
        </w:rPr>
        <w:t>,</w:t>
      </w:r>
      <w:r w:rsidRPr="00ED0DC6">
        <w:rPr>
          <w:sz w:val="22"/>
          <w:szCs w:val="22"/>
          <w:lang w:val="sr-Latn-ME"/>
        </w:rPr>
        <w:t xml:space="preserve"> film tableta, 200 mg</w:t>
      </w:r>
      <w:r w:rsidR="00435416" w:rsidRPr="00ED0DC6">
        <w:rPr>
          <w:sz w:val="22"/>
          <w:szCs w:val="22"/>
          <w:lang w:val="sr-Latn-ME"/>
        </w:rPr>
        <w:t xml:space="preserve">, </w:t>
      </w:r>
      <w:r w:rsidR="009E0801" w:rsidRPr="00ED0DC6">
        <w:rPr>
          <w:sz w:val="22"/>
          <w:szCs w:val="22"/>
          <w:lang w:val="sr-Latn-ME"/>
        </w:rPr>
        <w:t xml:space="preserve">blister, </w:t>
      </w:r>
      <w:r w:rsidR="00435416" w:rsidRPr="00ED0DC6">
        <w:rPr>
          <w:sz w:val="22"/>
          <w:szCs w:val="22"/>
          <w:lang w:val="sr-Latn-ME"/>
        </w:rPr>
        <w:t>120 film tableta:</w:t>
      </w:r>
      <w:r w:rsidR="009E0801" w:rsidRPr="00ED0DC6">
        <w:rPr>
          <w:sz w:val="22"/>
          <w:szCs w:val="22"/>
          <w:lang w:val="sr-Latn-ME"/>
        </w:rPr>
        <w:t xml:space="preserve"> 2030/23/2921 - 4902</w:t>
      </w:r>
    </w:p>
    <w:bookmarkEnd w:id="6"/>
    <w:p w14:paraId="791B9670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71" w14:textId="77777777" w:rsidR="00F45F77" w:rsidRPr="00EF6E21" w:rsidRDefault="00F45F77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72" w14:textId="77777777" w:rsidR="0072020E" w:rsidRPr="00EF6E21" w:rsidRDefault="0072020E" w:rsidP="001738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9.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Pr="00EF6E21">
        <w:rPr>
          <w:b/>
          <w:bCs/>
          <w:sz w:val="22"/>
          <w:szCs w:val="22"/>
          <w:lang w:val="sr-Latn-ME"/>
        </w:rPr>
        <w:t xml:space="preserve">DATUM </w:t>
      </w:r>
      <w:r w:rsidR="00C05DF8" w:rsidRPr="00EF6E21">
        <w:rPr>
          <w:b/>
          <w:bCs/>
          <w:sz w:val="22"/>
          <w:szCs w:val="22"/>
          <w:lang w:val="sr-Latn-ME"/>
        </w:rPr>
        <w:t xml:space="preserve">PRVE </w:t>
      </w:r>
      <w:r w:rsidR="008A6D43" w:rsidRPr="00EF6E21">
        <w:rPr>
          <w:b/>
          <w:bCs/>
          <w:sz w:val="22"/>
          <w:szCs w:val="22"/>
          <w:lang w:val="sr-Latn-ME"/>
        </w:rPr>
        <w:t>DOZVOLE</w:t>
      </w:r>
      <w:r w:rsidR="00C05DF8" w:rsidRPr="00EF6E21">
        <w:rPr>
          <w:b/>
          <w:bCs/>
          <w:sz w:val="22"/>
          <w:szCs w:val="22"/>
          <w:lang w:val="sr-Latn-ME"/>
        </w:rPr>
        <w:t>/OBNOVE DOZVOLE</w:t>
      </w:r>
      <w:r w:rsidR="008A6D43" w:rsidRPr="00EF6E2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91B9673" w14:textId="6C635C66" w:rsidR="0072020E" w:rsidRDefault="0072020E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DCA18D" w14:textId="75D3F937" w:rsidR="001358CF" w:rsidRDefault="001358CF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58CF">
        <w:rPr>
          <w:bCs/>
          <w:sz w:val="22"/>
          <w:szCs w:val="22"/>
          <w:lang w:val="sr-Latn-ME"/>
        </w:rPr>
        <w:t>09.08.2023. godine</w:t>
      </w:r>
    </w:p>
    <w:p w14:paraId="600CA6D1" w14:textId="77777777" w:rsidR="001358CF" w:rsidRPr="00EF6E21" w:rsidRDefault="001358CF" w:rsidP="001738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B9674" w14:textId="77777777" w:rsidR="00F95A54" w:rsidRPr="00EF6E21" w:rsidRDefault="00F95A54" w:rsidP="0017386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91B9675" w14:textId="77777777" w:rsidR="003F6A59" w:rsidRPr="00EF6E21" w:rsidRDefault="0072020E" w:rsidP="0017386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EF6E21">
        <w:rPr>
          <w:b/>
          <w:bCs/>
          <w:sz w:val="22"/>
          <w:szCs w:val="22"/>
          <w:lang w:val="sr-Latn-ME"/>
        </w:rPr>
        <w:t xml:space="preserve">10. </w:t>
      </w:r>
      <w:r w:rsidR="00480FB1" w:rsidRPr="00EF6E21">
        <w:rPr>
          <w:b/>
          <w:bCs/>
          <w:sz w:val="22"/>
          <w:szCs w:val="22"/>
          <w:lang w:val="sr-Latn-ME"/>
        </w:rPr>
        <w:tab/>
      </w:r>
      <w:r w:rsidR="002846DB" w:rsidRPr="00EF6E21">
        <w:rPr>
          <w:b/>
          <w:bCs/>
          <w:sz w:val="22"/>
          <w:szCs w:val="22"/>
          <w:lang w:val="sr-Latn-ME"/>
        </w:rPr>
        <w:t>D</w:t>
      </w:r>
      <w:r w:rsidR="00EC2532" w:rsidRPr="00EF6E21">
        <w:rPr>
          <w:b/>
          <w:bCs/>
          <w:sz w:val="22"/>
          <w:szCs w:val="22"/>
          <w:lang w:val="sr-Latn-ME"/>
        </w:rPr>
        <w:t xml:space="preserve">ATUM REVIZIJE TEKSTA </w:t>
      </w:r>
    </w:p>
    <w:p w14:paraId="791B9676" w14:textId="77777777" w:rsidR="003F6A59" w:rsidRPr="00EF6E21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1B9677" w14:textId="60C38BFE" w:rsidR="008A6D43" w:rsidRPr="00EF6E21" w:rsidRDefault="001358C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Avgust, </w:t>
      </w:r>
      <w:r w:rsidRPr="001358CF">
        <w:rPr>
          <w:bCs/>
          <w:sz w:val="22"/>
          <w:szCs w:val="22"/>
          <w:lang w:val="sr-Latn-ME"/>
        </w:rPr>
        <w:t>2023. godine</w:t>
      </w:r>
    </w:p>
    <w:sectPr w:rsidR="008A6D43" w:rsidRPr="00EF6E21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CEB78" w14:textId="77777777" w:rsidR="005125EC" w:rsidRDefault="005125EC">
      <w:r>
        <w:separator/>
      </w:r>
    </w:p>
  </w:endnote>
  <w:endnote w:type="continuationSeparator" w:id="0">
    <w:p w14:paraId="03AA13A9" w14:textId="77777777" w:rsidR="005125EC" w:rsidRDefault="005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B967E" w14:textId="05DA40A5" w:rsidR="00EF6E21" w:rsidRPr="00B23F69" w:rsidRDefault="00EF6E21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D0DC6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D0DC6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5B9A" w14:textId="77777777" w:rsidR="005125EC" w:rsidRDefault="005125EC">
      <w:r>
        <w:separator/>
      </w:r>
    </w:p>
  </w:footnote>
  <w:footnote w:type="continuationSeparator" w:id="0">
    <w:p w14:paraId="04C5C338" w14:textId="77777777" w:rsidR="005125EC" w:rsidRDefault="0051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6pt;height:13.6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769D8"/>
    <w:rsid w:val="00077F32"/>
    <w:rsid w:val="00080303"/>
    <w:rsid w:val="000A3F58"/>
    <w:rsid w:val="000B1303"/>
    <w:rsid w:val="000D2343"/>
    <w:rsid w:val="000D3449"/>
    <w:rsid w:val="000D425A"/>
    <w:rsid w:val="000D60CC"/>
    <w:rsid w:val="000E2084"/>
    <w:rsid w:val="000E6F55"/>
    <w:rsid w:val="000F77FA"/>
    <w:rsid w:val="00107BF7"/>
    <w:rsid w:val="001142EA"/>
    <w:rsid w:val="00121A30"/>
    <w:rsid w:val="00126F53"/>
    <w:rsid w:val="00130F46"/>
    <w:rsid w:val="001358CF"/>
    <w:rsid w:val="0014766D"/>
    <w:rsid w:val="001536CC"/>
    <w:rsid w:val="0016792F"/>
    <w:rsid w:val="0017386F"/>
    <w:rsid w:val="001A3FBA"/>
    <w:rsid w:val="001A5518"/>
    <w:rsid w:val="001B1C6A"/>
    <w:rsid w:val="001B251E"/>
    <w:rsid w:val="001C1263"/>
    <w:rsid w:val="001C1417"/>
    <w:rsid w:val="001D48BA"/>
    <w:rsid w:val="001E2B04"/>
    <w:rsid w:val="001E390B"/>
    <w:rsid w:val="001F42FB"/>
    <w:rsid w:val="001F481C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3160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56A1F"/>
    <w:rsid w:val="00361763"/>
    <w:rsid w:val="00362686"/>
    <w:rsid w:val="00371510"/>
    <w:rsid w:val="00390639"/>
    <w:rsid w:val="00396DFD"/>
    <w:rsid w:val="003A7059"/>
    <w:rsid w:val="003B7A36"/>
    <w:rsid w:val="003C17AB"/>
    <w:rsid w:val="003C7823"/>
    <w:rsid w:val="003E1DCC"/>
    <w:rsid w:val="003F11A1"/>
    <w:rsid w:val="003F6A59"/>
    <w:rsid w:val="00405893"/>
    <w:rsid w:val="004065C8"/>
    <w:rsid w:val="004109FA"/>
    <w:rsid w:val="00411B4B"/>
    <w:rsid w:val="00415BEE"/>
    <w:rsid w:val="004220FE"/>
    <w:rsid w:val="00426D81"/>
    <w:rsid w:val="00427F85"/>
    <w:rsid w:val="00430BB4"/>
    <w:rsid w:val="00435416"/>
    <w:rsid w:val="00436F42"/>
    <w:rsid w:val="004378B4"/>
    <w:rsid w:val="00451314"/>
    <w:rsid w:val="00452E9D"/>
    <w:rsid w:val="004534C7"/>
    <w:rsid w:val="004671AA"/>
    <w:rsid w:val="00480FB1"/>
    <w:rsid w:val="00483928"/>
    <w:rsid w:val="004938B0"/>
    <w:rsid w:val="004C331F"/>
    <w:rsid w:val="004D6103"/>
    <w:rsid w:val="004E3BCE"/>
    <w:rsid w:val="004E70AD"/>
    <w:rsid w:val="004F0E97"/>
    <w:rsid w:val="00501DD1"/>
    <w:rsid w:val="005125EC"/>
    <w:rsid w:val="00515C21"/>
    <w:rsid w:val="00530BD7"/>
    <w:rsid w:val="00544382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25BD7"/>
    <w:rsid w:val="00641ACF"/>
    <w:rsid w:val="00644FC3"/>
    <w:rsid w:val="00646BD1"/>
    <w:rsid w:val="006561C2"/>
    <w:rsid w:val="00671CB3"/>
    <w:rsid w:val="00674BAF"/>
    <w:rsid w:val="00682200"/>
    <w:rsid w:val="00692BF6"/>
    <w:rsid w:val="006A1497"/>
    <w:rsid w:val="006A28CC"/>
    <w:rsid w:val="006B0BD1"/>
    <w:rsid w:val="006B5404"/>
    <w:rsid w:val="006C5E89"/>
    <w:rsid w:val="006D20A5"/>
    <w:rsid w:val="006D37BF"/>
    <w:rsid w:val="00702E22"/>
    <w:rsid w:val="0072020E"/>
    <w:rsid w:val="0075611D"/>
    <w:rsid w:val="00771E8F"/>
    <w:rsid w:val="00786071"/>
    <w:rsid w:val="007A3ECB"/>
    <w:rsid w:val="007D7BB3"/>
    <w:rsid w:val="00812C63"/>
    <w:rsid w:val="0082419A"/>
    <w:rsid w:val="00824AB9"/>
    <w:rsid w:val="00836B35"/>
    <w:rsid w:val="00843BDE"/>
    <w:rsid w:val="0087588C"/>
    <w:rsid w:val="00885A2D"/>
    <w:rsid w:val="0089705C"/>
    <w:rsid w:val="008A0A9B"/>
    <w:rsid w:val="008A6D43"/>
    <w:rsid w:val="008B491E"/>
    <w:rsid w:val="008B4CD9"/>
    <w:rsid w:val="008C1A28"/>
    <w:rsid w:val="008C2E98"/>
    <w:rsid w:val="008C55DD"/>
    <w:rsid w:val="008E49BD"/>
    <w:rsid w:val="008E53E9"/>
    <w:rsid w:val="008E5771"/>
    <w:rsid w:val="008F29ED"/>
    <w:rsid w:val="008F4ACF"/>
    <w:rsid w:val="008F6830"/>
    <w:rsid w:val="00924166"/>
    <w:rsid w:val="00940B9B"/>
    <w:rsid w:val="00947E1F"/>
    <w:rsid w:val="0095676E"/>
    <w:rsid w:val="00956983"/>
    <w:rsid w:val="00963C5C"/>
    <w:rsid w:val="00963CF0"/>
    <w:rsid w:val="00964BB1"/>
    <w:rsid w:val="009775D9"/>
    <w:rsid w:val="00997175"/>
    <w:rsid w:val="009A1847"/>
    <w:rsid w:val="009B062A"/>
    <w:rsid w:val="009B0D88"/>
    <w:rsid w:val="009E0801"/>
    <w:rsid w:val="009E7C6F"/>
    <w:rsid w:val="009F1793"/>
    <w:rsid w:val="009F2D23"/>
    <w:rsid w:val="009F4E01"/>
    <w:rsid w:val="00A01D69"/>
    <w:rsid w:val="00A02335"/>
    <w:rsid w:val="00A11D7B"/>
    <w:rsid w:val="00A46C9A"/>
    <w:rsid w:val="00A619F3"/>
    <w:rsid w:val="00A62A73"/>
    <w:rsid w:val="00A701B5"/>
    <w:rsid w:val="00A87FF6"/>
    <w:rsid w:val="00AA0A3B"/>
    <w:rsid w:val="00AA2763"/>
    <w:rsid w:val="00AA33B6"/>
    <w:rsid w:val="00AA615B"/>
    <w:rsid w:val="00AA7438"/>
    <w:rsid w:val="00AB50CA"/>
    <w:rsid w:val="00AB6D64"/>
    <w:rsid w:val="00AC53CE"/>
    <w:rsid w:val="00AD2193"/>
    <w:rsid w:val="00AE0F7F"/>
    <w:rsid w:val="00AE2446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876D5"/>
    <w:rsid w:val="00BD60D1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2422"/>
    <w:rsid w:val="00C773CA"/>
    <w:rsid w:val="00C83785"/>
    <w:rsid w:val="00C94C0D"/>
    <w:rsid w:val="00CA1FEB"/>
    <w:rsid w:val="00CD4F85"/>
    <w:rsid w:val="00CD6F02"/>
    <w:rsid w:val="00CE246D"/>
    <w:rsid w:val="00CE71C4"/>
    <w:rsid w:val="00CF07A0"/>
    <w:rsid w:val="00CF3E03"/>
    <w:rsid w:val="00D0082A"/>
    <w:rsid w:val="00D10FDC"/>
    <w:rsid w:val="00D11199"/>
    <w:rsid w:val="00D21455"/>
    <w:rsid w:val="00D47634"/>
    <w:rsid w:val="00D709B3"/>
    <w:rsid w:val="00D7784E"/>
    <w:rsid w:val="00DA2ED6"/>
    <w:rsid w:val="00DA5330"/>
    <w:rsid w:val="00DB76B8"/>
    <w:rsid w:val="00DC2EA1"/>
    <w:rsid w:val="00DD6AAF"/>
    <w:rsid w:val="00DE3F5C"/>
    <w:rsid w:val="00DF1D20"/>
    <w:rsid w:val="00E21324"/>
    <w:rsid w:val="00E246B9"/>
    <w:rsid w:val="00E31FEA"/>
    <w:rsid w:val="00E34924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C7B5F"/>
    <w:rsid w:val="00ED0DC6"/>
    <w:rsid w:val="00ED7812"/>
    <w:rsid w:val="00EF3B86"/>
    <w:rsid w:val="00EF6E21"/>
    <w:rsid w:val="00F317E9"/>
    <w:rsid w:val="00F34554"/>
    <w:rsid w:val="00F45F77"/>
    <w:rsid w:val="00F5167F"/>
    <w:rsid w:val="00F52258"/>
    <w:rsid w:val="00F74D94"/>
    <w:rsid w:val="00F8570A"/>
    <w:rsid w:val="00F91C7B"/>
    <w:rsid w:val="00F95A54"/>
    <w:rsid w:val="00FB6318"/>
    <w:rsid w:val="00FF18A1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B937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TableChar">
    <w:name w:val="Table Char"/>
    <w:aliases w:val="10 pt  Bold Char,9 pt Char,10 pt Char,Normal + Courier New Char,Italic Char,Justified Char,Left:  0&quot; Char,Hanging:  0.67&quot; Char,Be... Char,Table pt Char,table text 10 pt + Arial Char,Bold Char,Normal + (Latin) Arial Char,9 Char,8 pt Char"/>
    <w:link w:val="Table"/>
    <w:locked/>
    <w:rsid w:val="00F95A54"/>
    <w:rPr>
      <w:rFonts w:ascii="Arial" w:eastAsia="MS Mincho" w:hAnsi="Arial" w:cs="Arial"/>
      <w:szCs w:val="24"/>
      <w:lang w:eastAsia="zh-CN"/>
    </w:rPr>
  </w:style>
  <w:style w:type="paragraph" w:customStyle="1" w:styleId="Table">
    <w:name w:val="Table"/>
    <w:aliases w:val="10 pt  Bold,9 pt,10 pt,9pt,Table + (Latin) Courier New,Before:  0 pt,After:  0 pt,Comment + (Latin) Courier New,Not Italic,Auto,Table pt,table text 10 pt + Arial,Bold,Normal + (Latin) Arial,(Complex) Arial,legendpt,Normal + Courier New,Courier New"/>
    <w:basedOn w:val="Normal"/>
    <w:link w:val="TableChar"/>
    <w:qFormat/>
    <w:rsid w:val="00F95A54"/>
    <w:pPr>
      <w:keepLines/>
      <w:tabs>
        <w:tab w:val="left" w:pos="284"/>
      </w:tabs>
      <w:spacing w:before="40" w:after="20"/>
    </w:pPr>
    <w:rPr>
      <w:rFonts w:ascii="Arial" w:eastAsia="MS Mincho" w:hAnsi="Arial" w:cs="Arial"/>
      <w:sz w:val="20"/>
      <w:lang w:val="sr-Latn-ME" w:eastAsia="zh-CN"/>
    </w:rPr>
  </w:style>
  <w:style w:type="table" w:styleId="TableGrid">
    <w:name w:val="Table Grid"/>
    <w:basedOn w:val="TableNormal"/>
    <w:rsid w:val="00F95A54"/>
    <w:rPr>
      <w:rFonts w:eastAsia="SimSu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0B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E3D7-2BEF-4F25-A01C-1E061411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45014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5</cp:revision>
  <dcterms:created xsi:type="dcterms:W3CDTF">2023-08-08T14:05:00Z</dcterms:created>
  <dcterms:modified xsi:type="dcterms:W3CDTF">2023-08-09T10:31:00Z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2021-04-01T07:18:03Z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1d1ccceb-26fc-472d-8165-f4298d84bef5</vt:lpwstr>
  </property>
  <property fmtid="{D5CDD505-2E9C-101B-9397-08002B2CF9AE}" pid="9" name="MSIP_Label_4929bff8-5b33-42aa-95d2-28f72e792cb0_ContentBits">
    <vt:lpwstr>0</vt:lpwstr>
  </property>
</Properties>
</file>