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F3C0F" w14:textId="77777777" w:rsidR="00DD2A82" w:rsidRPr="00026B48" w:rsidRDefault="00DD2A82" w:rsidP="00923865">
      <w:pPr>
        <w:rPr>
          <w:color w:val="000000" w:themeColor="text1"/>
          <w:szCs w:val="22"/>
          <w:lang w:val="sr-Latn-ME"/>
        </w:rPr>
      </w:pPr>
    </w:p>
    <w:p w14:paraId="166F3C10" w14:textId="77777777" w:rsidR="00CE09F3" w:rsidRPr="00026B48" w:rsidRDefault="008C4083" w:rsidP="00923865">
      <w:pPr>
        <w:jc w:val="center"/>
        <w:rPr>
          <w:b/>
          <w:bCs/>
          <w:iCs/>
          <w:color w:val="000000" w:themeColor="text1"/>
          <w:szCs w:val="22"/>
          <w:u w:val="single"/>
          <w:lang w:val="sr-Latn-ME"/>
        </w:rPr>
      </w:pPr>
      <w:r w:rsidRPr="00026B48">
        <w:rPr>
          <w:b/>
          <w:bCs/>
          <w:color w:val="000000" w:themeColor="text1"/>
          <w:szCs w:val="22"/>
          <w:u w:val="single"/>
          <w:lang w:val="sr-Latn-ME"/>
        </w:rPr>
        <w:t>SAŽETAK KARAKTERISTIKA LIJEKA</w:t>
      </w:r>
    </w:p>
    <w:p w14:paraId="166F3C11" w14:textId="77777777" w:rsidR="00383195" w:rsidRPr="00026B48" w:rsidRDefault="008C4083" w:rsidP="00923865">
      <w:pPr>
        <w:rPr>
          <w:color w:val="000000" w:themeColor="text1"/>
          <w:szCs w:val="22"/>
          <w:lang w:val="sr-Latn-ME"/>
        </w:rPr>
      </w:pPr>
      <w:r w:rsidRPr="00026B48">
        <w:rPr>
          <w:color w:val="000000" w:themeColor="text1"/>
          <w:szCs w:val="22"/>
          <w:lang w:val="sr-Latn-ME"/>
        </w:rPr>
        <w:t xml:space="preserve"> </w:t>
      </w:r>
    </w:p>
    <w:p w14:paraId="166F3C12" w14:textId="77777777" w:rsidR="00383195" w:rsidRPr="00026B48" w:rsidRDefault="00383195" w:rsidP="00923865">
      <w:pPr>
        <w:rPr>
          <w:color w:val="000000" w:themeColor="text1"/>
          <w:szCs w:val="22"/>
          <w:lang w:val="sr-Latn-ME"/>
        </w:rPr>
      </w:pPr>
    </w:p>
    <w:p w14:paraId="166F3C13" w14:textId="363D5706" w:rsidR="00CE09F3" w:rsidRPr="00026B48" w:rsidRDefault="00FB58A5" w:rsidP="00FB58A5">
      <w:pPr>
        <w:tabs>
          <w:tab w:val="left" w:pos="540"/>
          <w:tab w:val="left" w:pos="569"/>
        </w:tabs>
        <w:rPr>
          <w:b/>
          <w:bCs/>
          <w:szCs w:val="22"/>
          <w:lang w:val="sr-Latn-ME"/>
        </w:rPr>
      </w:pPr>
      <w:r w:rsidRPr="00026B48">
        <w:rPr>
          <w:b/>
          <w:bCs/>
          <w:szCs w:val="22"/>
          <w:lang w:val="sr-Latn-ME"/>
        </w:rPr>
        <w:t>1.</w:t>
      </w:r>
      <w:r w:rsidRPr="00026B48">
        <w:rPr>
          <w:b/>
          <w:bCs/>
          <w:szCs w:val="22"/>
          <w:lang w:val="sr-Latn-ME"/>
        </w:rPr>
        <w:tab/>
        <w:t>NAZIV LIJEKA</w:t>
      </w:r>
    </w:p>
    <w:p w14:paraId="6A4056BF" w14:textId="77777777" w:rsidR="00FB58A5" w:rsidRPr="00026B48" w:rsidRDefault="00FB58A5" w:rsidP="000A0198">
      <w:pPr>
        <w:tabs>
          <w:tab w:val="left" w:pos="540"/>
          <w:tab w:val="left" w:pos="569"/>
        </w:tabs>
        <w:rPr>
          <w:bCs/>
          <w:szCs w:val="22"/>
          <w:lang w:val="sr-Latn-ME"/>
        </w:rPr>
      </w:pPr>
    </w:p>
    <w:p w14:paraId="166F3C14" w14:textId="233D2408" w:rsidR="00CE09F3" w:rsidRPr="00026B48" w:rsidRDefault="008C4083" w:rsidP="00923865">
      <w:pPr>
        <w:rPr>
          <w:bCs/>
          <w:color w:val="000000" w:themeColor="text1"/>
          <w:szCs w:val="22"/>
          <w:lang w:val="sr-Latn-ME"/>
        </w:rPr>
      </w:pPr>
      <w:r w:rsidRPr="00026B48">
        <w:rPr>
          <w:color w:val="000000" w:themeColor="text1"/>
          <w:szCs w:val="22"/>
          <w:lang w:val="sr-Latn-ME"/>
        </w:rPr>
        <w:t>Androcur,</w:t>
      </w:r>
      <w:r w:rsidRPr="00026B48">
        <w:rPr>
          <w:color w:val="000000" w:themeColor="text1"/>
          <w:szCs w:val="22"/>
          <w:vertAlign w:val="superscript"/>
          <w:lang w:val="sr-Latn-ME"/>
        </w:rPr>
        <w:t xml:space="preserve"> </w:t>
      </w:r>
      <w:r w:rsidRPr="00026B48">
        <w:rPr>
          <w:color w:val="000000" w:themeColor="text1"/>
          <w:szCs w:val="22"/>
          <w:lang w:val="sr-Latn-ME"/>
        </w:rPr>
        <w:t>50 mg, tablet</w:t>
      </w:r>
      <w:r w:rsidR="00D511A5" w:rsidRPr="00026B48">
        <w:rPr>
          <w:color w:val="000000" w:themeColor="text1"/>
          <w:szCs w:val="22"/>
          <w:lang w:val="sr-Latn-ME"/>
        </w:rPr>
        <w:t>a</w:t>
      </w:r>
    </w:p>
    <w:p w14:paraId="166F3C15" w14:textId="77777777" w:rsidR="008D5B24" w:rsidRPr="00026B48" w:rsidRDefault="008D5B24" w:rsidP="00923865">
      <w:pPr>
        <w:rPr>
          <w:bCs/>
          <w:color w:val="000000" w:themeColor="text1"/>
          <w:szCs w:val="22"/>
          <w:lang w:val="sr-Latn-ME"/>
        </w:rPr>
      </w:pPr>
    </w:p>
    <w:p w14:paraId="166F3C16" w14:textId="7DFD59EA" w:rsidR="00CE09F3" w:rsidRPr="00026B48" w:rsidRDefault="008C4083" w:rsidP="00923865">
      <w:pPr>
        <w:rPr>
          <w:color w:val="000000" w:themeColor="text1"/>
          <w:szCs w:val="22"/>
          <w:lang w:val="sr-Latn-ME"/>
        </w:rPr>
      </w:pPr>
      <w:r w:rsidRPr="00026B48">
        <w:rPr>
          <w:color w:val="000000" w:themeColor="text1"/>
          <w:szCs w:val="22"/>
          <w:lang w:val="sr-Latn-ME"/>
        </w:rPr>
        <w:t>INN: ciproteron</w:t>
      </w:r>
    </w:p>
    <w:p w14:paraId="7B6F6D8D" w14:textId="77777777" w:rsidR="00D511A5" w:rsidRPr="00026B48" w:rsidRDefault="00D511A5" w:rsidP="00923865">
      <w:pPr>
        <w:rPr>
          <w:color w:val="000000" w:themeColor="text1"/>
          <w:szCs w:val="22"/>
          <w:lang w:val="sr-Latn-ME"/>
        </w:rPr>
      </w:pPr>
    </w:p>
    <w:p w14:paraId="166F3C17" w14:textId="77777777" w:rsidR="00CE09F3" w:rsidRPr="00026B48" w:rsidRDefault="008C4083" w:rsidP="00923865">
      <w:pPr>
        <w:pStyle w:val="NASLOV123"/>
        <w:rPr>
          <w:color w:val="000000" w:themeColor="text1"/>
          <w:lang w:val="sr-Latn-ME"/>
        </w:rPr>
      </w:pPr>
      <w:r w:rsidRPr="00026B48">
        <w:rPr>
          <w:bCs/>
          <w:color w:val="000000" w:themeColor="text1"/>
          <w:lang w:val="sr-Latn-ME"/>
        </w:rPr>
        <w:t>2. KVALITATIVNI I KVANTITATIVNI SASTAV</w:t>
      </w:r>
    </w:p>
    <w:p w14:paraId="166F3C18" w14:textId="31177DB6" w:rsidR="00C00EF1" w:rsidRPr="00026B48" w:rsidRDefault="008C4083" w:rsidP="00C00EF1">
      <w:pPr>
        <w:pStyle w:val="Header"/>
        <w:tabs>
          <w:tab w:val="clear" w:pos="4536"/>
          <w:tab w:val="clear" w:pos="9072"/>
          <w:tab w:val="left" w:pos="284"/>
        </w:tabs>
        <w:jc w:val="left"/>
        <w:rPr>
          <w:color w:val="000000" w:themeColor="text1"/>
          <w:szCs w:val="22"/>
          <w:lang w:val="sr-Latn-ME"/>
        </w:rPr>
      </w:pPr>
      <w:r w:rsidRPr="00026B48">
        <w:rPr>
          <w:color w:val="000000" w:themeColor="text1"/>
          <w:szCs w:val="22"/>
          <w:lang w:val="sr-Latn-ME"/>
        </w:rPr>
        <w:t>Jedna tableta sadrži 50 mg ciproteron</w:t>
      </w:r>
      <w:r w:rsidR="00D511A5" w:rsidRPr="00026B48">
        <w:rPr>
          <w:color w:val="000000" w:themeColor="text1"/>
          <w:szCs w:val="22"/>
          <w:lang w:val="sr-Latn-ME"/>
        </w:rPr>
        <w:t xml:space="preserve"> </w:t>
      </w:r>
      <w:r w:rsidRPr="00026B48">
        <w:rPr>
          <w:color w:val="000000" w:themeColor="text1"/>
          <w:szCs w:val="22"/>
          <w:lang w:val="sr-Latn-ME"/>
        </w:rPr>
        <w:t>acetata.</w:t>
      </w:r>
    </w:p>
    <w:p w14:paraId="166F3C1A" w14:textId="77777777" w:rsidR="00C00EF1" w:rsidRPr="00026B48" w:rsidRDefault="00C00EF1" w:rsidP="00C00EF1">
      <w:pPr>
        <w:pStyle w:val="Header"/>
        <w:tabs>
          <w:tab w:val="clear" w:pos="4536"/>
          <w:tab w:val="clear" w:pos="9072"/>
          <w:tab w:val="left" w:pos="284"/>
        </w:tabs>
        <w:jc w:val="left"/>
        <w:rPr>
          <w:color w:val="000000" w:themeColor="text1"/>
          <w:szCs w:val="22"/>
          <w:lang w:val="sr-Latn-ME"/>
        </w:rPr>
      </w:pPr>
    </w:p>
    <w:p w14:paraId="166F3C1B" w14:textId="77777777" w:rsidR="00CE09F3" w:rsidRPr="00026B48" w:rsidRDefault="008C4083" w:rsidP="00C00EF1">
      <w:pPr>
        <w:rPr>
          <w:color w:val="000000" w:themeColor="text1"/>
          <w:szCs w:val="22"/>
          <w:lang w:val="sr-Latn-ME"/>
        </w:rPr>
      </w:pPr>
      <w:r w:rsidRPr="00026B48">
        <w:rPr>
          <w:color w:val="000000" w:themeColor="text1"/>
          <w:szCs w:val="22"/>
          <w:u w:val="single"/>
          <w:lang w:val="sr-Latn-ME"/>
        </w:rPr>
        <w:t>Pomoćne supstance sa potvrđenim dejstvom</w:t>
      </w:r>
      <w:r w:rsidRPr="00026B48">
        <w:rPr>
          <w:color w:val="000000" w:themeColor="text1"/>
          <w:szCs w:val="22"/>
          <w:lang w:val="sr-Latn-ME"/>
        </w:rPr>
        <w:t>: laktoza, monohidrat.</w:t>
      </w:r>
    </w:p>
    <w:p w14:paraId="166F3C1C" w14:textId="77777777" w:rsidR="00462C9A" w:rsidRPr="00026B48" w:rsidRDefault="00462C9A" w:rsidP="00C00EF1">
      <w:pPr>
        <w:rPr>
          <w:color w:val="000000" w:themeColor="text1"/>
          <w:szCs w:val="22"/>
          <w:lang w:val="sr-Latn-ME"/>
        </w:rPr>
      </w:pPr>
    </w:p>
    <w:p w14:paraId="166F3C1D" w14:textId="02F3B48C" w:rsidR="00462C9A" w:rsidRPr="00026B48" w:rsidRDefault="008C4083" w:rsidP="00462C9A">
      <w:pPr>
        <w:jc w:val="left"/>
        <w:rPr>
          <w:color w:val="000000" w:themeColor="text1"/>
          <w:szCs w:val="22"/>
          <w:lang w:val="sr-Latn-ME"/>
        </w:rPr>
      </w:pPr>
      <w:r w:rsidRPr="00026B48">
        <w:rPr>
          <w:color w:val="000000" w:themeColor="text1"/>
          <w:szCs w:val="22"/>
          <w:lang w:val="sr-Latn-ME"/>
        </w:rPr>
        <w:t xml:space="preserve">Za </w:t>
      </w:r>
      <w:r w:rsidR="00D938EE" w:rsidRPr="00026B48">
        <w:rPr>
          <w:color w:val="000000" w:themeColor="text1"/>
          <w:szCs w:val="22"/>
          <w:lang w:val="sr-Latn-ME"/>
        </w:rPr>
        <w:t xml:space="preserve">spisak </w:t>
      </w:r>
      <w:r w:rsidRPr="00026B48">
        <w:rPr>
          <w:color w:val="000000" w:themeColor="text1"/>
          <w:szCs w:val="22"/>
          <w:lang w:val="sr-Latn-ME"/>
        </w:rPr>
        <w:t xml:space="preserve">svih </w:t>
      </w:r>
      <w:r w:rsidR="0002455B" w:rsidRPr="00026B48">
        <w:rPr>
          <w:color w:val="000000" w:themeColor="text1"/>
          <w:szCs w:val="22"/>
          <w:lang w:val="sr-Latn-ME"/>
        </w:rPr>
        <w:t>ekscipijenasa, pogledati dio</w:t>
      </w:r>
      <w:r w:rsidRPr="00026B48">
        <w:rPr>
          <w:color w:val="000000" w:themeColor="text1"/>
          <w:szCs w:val="22"/>
          <w:lang w:val="sr-Latn-ME"/>
        </w:rPr>
        <w:t xml:space="preserve"> 6.1.</w:t>
      </w:r>
    </w:p>
    <w:p w14:paraId="166F3C1E" w14:textId="77777777" w:rsidR="00462C9A" w:rsidRPr="00026B48" w:rsidRDefault="00462C9A" w:rsidP="00C00EF1">
      <w:pPr>
        <w:rPr>
          <w:color w:val="000000" w:themeColor="text1"/>
          <w:szCs w:val="22"/>
          <w:lang w:val="sr-Latn-ME"/>
        </w:rPr>
      </w:pPr>
    </w:p>
    <w:p w14:paraId="166F3C1F" w14:textId="77777777" w:rsidR="00CE09F3" w:rsidRPr="00026B48" w:rsidRDefault="008C4083" w:rsidP="00923865">
      <w:pPr>
        <w:pStyle w:val="NASLOV123"/>
        <w:rPr>
          <w:color w:val="000000" w:themeColor="text1"/>
          <w:lang w:val="sr-Latn-ME"/>
        </w:rPr>
      </w:pPr>
      <w:r w:rsidRPr="00026B48">
        <w:rPr>
          <w:bCs/>
          <w:color w:val="000000" w:themeColor="text1"/>
          <w:lang w:val="sr-Latn-ME"/>
        </w:rPr>
        <w:t>3. FARMACEUTSKI OBLIK</w:t>
      </w:r>
    </w:p>
    <w:p w14:paraId="166F3C20" w14:textId="77777777" w:rsidR="00C00EF1" w:rsidRPr="00026B48" w:rsidRDefault="008C4083" w:rsidP="00C00EF1">
      <w:pPr>
        <w:pStyle w:val="Header"/>
        <w:tabs>
          <w:tab w:val="clear" w:pos="4536"/>
          <w:tab w:val="clear" w:pos="9072"/>
          <w:tab w:val="left" w:pos="284"/>
        </w:tabs>
        <w:jc w:val="left"/>
        <w:rPr>
          <w:color w:val="000000" w:themeColor="text1"/>
          <w:szCs w:val="22"/>
          <w:lang w:val="sr-Latn-ME"/>
        </w:rPr>
      </w:pPr>
      <w:r w:rsidRPr="00026B48">
        <w:rPr>
          <w:color w:val="000000" w:themeColor="text1"/>
          <w:szCs w:val="22"/>
          <w:lang w:val="sr-Latn-ME"/>
        </w:rPr>
        <w:t xml:space="preserve">Tableta. </w:t>
      </w:r>
    </w:p>
    <w:p w14:paraId="166F3C21" w14:textId="7D2478E8" w:rsidR="00C00EF1" w:rsidRPr="00026B48" w:rsidRDefault="008C4083" w:rsidP="00C00EF1">
      <w:pPr>
        <w:pStyle w:val="Header"/>
        <w:tabs>
          <w:tab w:val="clear" w:pos="4536"/>
          <w:tab w:val="clear" w:pos="9072"/>
          <w:tab w:val="left" w:pos="284"/>
        </w:tabs>
        <w:jc w:val="left"/>
        <w:rPr>
          <w:color w:val="000000" w:themeColor="text1"/>
          <w:szCs w:val="22"/>
          <w:lang w:val="sr-Latn-ME"/>
        </w:rPr>
      </w:pPr>
      <w:r w:rsidRPr="00026B48">
        <w:rPr>
          <w:color w:val="000000" w:themeColor="text1"/>
          <w:szCs w:val="22"/>
          <w:lang w:val="sr-Latn-ME"/>
        </w:rPr>
        <w:t>Tablete bijele do slabo žućkaste boje, sa utisnutom pod</w:t>
      </w:r>
      <w:r w:rsidR="00D511A5" w:rsidRPr="00026B48">
        <w:rPr>
          <w:color w:val="000000" w:themeColor="text1"/>
          <w:szCs w:val="22"/>
          <w:lang w:val="sr-Latn-ME"/>
        </w:rPr>
        <w:t>ionom crtom</w:t>
      </w:r>
      <w:r w:rsidRPr="00026B48">
        <w:rPr>
          <w:color w:val="000000" w:themeColor="text1"/>
          <w:szCs w:val="22"/>
          <w:lang w:val="sr-Latn-ME"/>
        </w:rPr>
        <w:t xml:space="preserve"> na jednoj i šestougaonikom sa oznakom „BV” na drugoj strani.</w:t>
      </w:r>
    </w:p>
    <w:p w14:paraId="166F3C22" w14:textId="77777777" w:rsidR="00CE09F3" w:rsidRPr="00026B48" w:rsidRDefault="008C4083" w:rsidP="00C00EF1">
      <w:pPr>
        <w:rPr>
          <w:color w:val="000000" w:themeColor="text1"/>
          <w:szCs w:val="22"/>
          <w:lang w:val="sr-Latn-ME"/>
        </w:rPr>
      </w:pPr>
      <w:r w:rsidRPr="00026B48">
        <w:rPr>
          <w:color w:val="000000" w:themeColor="text1"/>
          <w:szCs w:val="22"/>
          <w:lang w:val="sr-Latn-ME"/>
        </w:rPr>
        <w:t>Tableta se može podijeliti na jednake doze.</w:t>
      </w:r>
    </w:p>
    <w:p w14:paraId="166F3C23" w14:textId="77777777" w:rsidR="00CE09F3" w:rsidRPr="00026B48" w:rsidRDefault="00CE09F3" w:rsidP="00923865">
      <w:pPr>
        <w:rPr>
          <w:color w:val="000000" w:themeColor="text1"/>
          <w:szCs w:val="22"/>
          <w:lang w:val="sr-Latn-ME"/>
        </w:rPr>
      </w:pPr>
    </w:p>
    <w:p w14:paraId="166F3C24" w14:textId="77777777" w:rsidR="00CE09F3" w:rsidRPr="00026B48" w:rsidRDefault="008C4083" w:rsidP="00AB025E">
      <w:pPr>
        <w:pStyle w:val="NASLOV123"/>
        <w:jc w:val="both"/>
        <w:rPr>
          <w:color w:val="000000" w:themeColor="text1"/>
          <w:lang w:val="sr-Latn-ME"/>
        </w:rPr>
      </w:pPr>
      <w:r w:rsidRPr="00026B48">
        <w:rPr>
          <w:bCs/>
          <w:color w:val="000000" w:themeColor="text1"/>
          <w:lang w:val="sr-Latn-ME"/>
        </w:rPr>
        <w:t>4. KLINIČKI PODACI</w:t>
      </w:r>
    </w:p>
    <w:p w14:paraId="166F3C25" w14:textId="77777777" w:rsidR="00CE09F3" w:rsidRPr="00026B48" w:rsidRDefault="008C4083">
      <w:pPr>
        <w:rPr>
          <w:b/>
          <w:bCs/>
          <w:color w:val="000000" w:themeColor="text1"/>
          <w:szCs w:val="22"/>
          <w:lang w:val="sr-Latn-ME"/>
        </w:rPr>
      </w:pPr>
      <w:r w:rsidRPr="00026B48">
        <w:rPr>
          <w:b/>
          <w:bCs/>
          <w:color w:val="000000" w:themeColor="text1"/>
          <w:szCs w:val="22"/>
          <w:lang w:val="sr-Latn-ME"/>
        </w:rPr>
        <w:t>4.1. Terapijske indikacije</w:t>
      </w:r>
    </w:p>
    <w:p w14:paraId="166F3C26" w14:textId="77777777" w:rsidR="00C00EF1" w:rsidRPr="00026B48" w:rsidRDefault="00C00EF1">
      <w:pPr>
        <w:widowControl w:val="0"/>
        <w:autoSpaceDE w:val="0"/>
        <w:autoSpaceDN w:val="0"/>
        <w:adjustRightInd w:val="0"/>
        <w:spacing w:line="253" w:lineRule="exact"/>
        <w:rPr>
          <w:b/>
          <w:bCs/>
          <w:color w:val="000000" w:themeColor="text1"/>
          <w:szCs w:val="22"/>
          <w:lang w:val="sr-Latn-ME"/>
        </w:rPr>
      </w:pPr>
    </w:p>
    <w:p w14:paraId="166F3C27" w14:textId="77777777" w:rsidR="00C00EF1" w:rsidRPr="00026B48" w:rsidRDefault="008C4083">
      <w:pPr>
        <w:widowControl w:val="0"/>
        <w:autoSpaceDE w:val="0"/>
        <w:autoSpaceDN w:val="0"/>
        <w:adjustRightInd w:val="0"/>
        <w:spacing w:line="253" w:lineRule="exact"/>
        <w:rPr>
          <w:color w:val="000000" w:themeColor="text1"/>
          <w:szCs w:val="22"/>
          <w:lang w:val="sr-Latn-ME"/>
        </w:rPr>
      </w:pPr>
      <w:r w:rsidRPr="00026B48">
        <w:rPr>
          <w:b/>
          <w:bCs/>
          <w:color w:val="000000" w:themeColor="text1"/>
          <w:szCs w:val="22"/>
          <w:lang w:val="sr-Latn-ME"/>
        </w:rPr>
        <w:t>Indikacije kod muškaraca</w:t>
      </w:r>
    </w:p>
    <w:p w14:paraId="166F3C28" w14:textId="77777777" w:rsidR="00C00EF1" w:rsidRPr="00026B48" w:rsidRDefault="00C00EF1">
      <w:pPr>
        <w:rPr>
          <w:color w:val="000000" w:themeColor="text1"/>
          <w:szCs w:val="22"/>
          <w:lang w:val="sr-Latn-ME"/>
        </w:rPr>
      </w:pPr>
    </w:p>
    <w:p w14:paraId="166F3C29" w14:textId="77777777" w:rsidR="00C00EF1" w:rsidRPr="00026B48" w:rsidRDefault="008C4083">
      <w:pPr>
        <w:rPr>
          <w:color w:val="000000" w:themeColor="text1"/>
          <w:szCs w:val="22"/>
          <w:lang w:val="sr-Latn-ME"/>
        </w:rPr>
      </w:pPr>
      <w:r w:rsidRPr="00026B48">
        <w:rPr>
          <w:color w:val="000000" w:themeColor="text1"/>
          <w:szCs w:val="22"/>
          <w:lang w:val="sr-Latn-ME"/>
        </w:rPr>
        <w:t>Smanjenje nagona kod seksualnih devijacija.</w:t>
      </w:r>
    </w:p>
    <w:p w14:paraId="166F3C2A" w14:textId="77777777" w:rsidR="00C00EF1" w:rsidRPr="00026B48" w:rsidRDefault="008C4083">
      <w:pPr>
        <w:rPr>
          <w:color w:val="000000" w:themeColor="text1"/>
          <w:szCs w:val="22"/>
          <w:lang w:val="sr-Latn-ME"/>
        </w:rPr>
      </w:pPr>
      <w:r w:rsidRPr="00026B48">
        <w:rPr>
          <w:color w:val="000000" w:themeColor="text1"/>
          <w:szCs w:val="22"/>
          <w:lang w:val="sr-Latn-ME"/>
        </w:rPr>
        <w:t>Antiandrogena terapija kod inoperabilnog karcinoma prostate.</w:t>
      </w:r>
    </w:p>
    <w:p w14:paraId="166F3C2B" w14:textId="77777777" w:rsidR="00C00EF1" w:rsidRPr="00026B48" w:rsidRDefault="00C00EF1">
      <w:pPr>
        <w:rPr>
          <w:b/>
          <w:bCs/>
          <w:color w:val="000000" w:themeColor="text1"/>
          <w:szCs w:val="22"/>
          <w:lang w:val="sr-Latn-ME"/>
        </w:rPr>
      </w:pPr>
    </w:p>
    <w:p w14:paraId="166F3C2C" w14:textId="77777777" w:rsidR="00C00EF1" w:rsidRPr="00026B48" w:rsidRDefault="008C4083">
      <w:pPr>
        <w:rPr>
          <w:color w:val="000000" w:themeColor="text1"/>
          <w:szCs w:val="22"/>
          <w:lang w:val="sr-Latn-ME"/>
        </w:rPr>
      </w:pPr>
      <w:r w:rsidRPr="00026B48">
        <w:rPr>
          <w:b/>
          <w:bCs/>
          <w:color w:val="000000" w:themeColor="text1"/>
          <w:szCs w:val="22"/>
          <w:lang w:val="sr-Latn-ME"/>
        </w:rPr>
        <w:t>Indikacije kod žena</w:t>
      </w:r>
    </w:p>
    <w:p w14:paraId="166F3C2D" w14:textId="77777777" w:rsidR="00C00EF1" w:rsidRPr="00026B48" w:rsidRDefault="00C00EF1">
      <w:pPr>
        <w:widowControl w:val="0"/>
        <w:autoSpaceDE w:val="0"/>
        <w:autoSpaceDN w:val="0"/>
        <w:adjustRightInd w:val="0"/>
        <w:spacing w:line="253" w:lineRule="exact"/>
        <w:rPr>
          <w:color w:val="000000" w:themeColor="text1"/>
          <w:szCs w:val="22"/>
          <w:lang w:val="sr-Latn-ME"/>
        </w:rPr>
      </w:pPr>
    </w:p>
    <w:p w14:paraId="166F3C2E" w14:textId="51A30AD6" w:rsidR="00C00EF1" w:rsidRPr="00026B48" w:rsidRDefault="008C4083">
      <w:pPr>
        <w:widowControl w:val="0"/>
        <w:autoSpaceDE w:val="0"/>
        <w:autoSpaceDN w:val="0"/>
        <w:adjustRightInd w:val="0"/>
        <w:spacing w:line="253" w:lineRule="exact"/>
        <w:rPr>
          <w:color w:val="000000" w:themeColor="text1"/>
          <w:szCs w:val="22"/>
          <w:lang w:val="sr-Latn-ME"/>
        </w:rPr>
      </w:pPr>
      <w:r w:rsidRPr="00026B48">
        <w:rPr>
          <w:color w:val="000000" w:themeColor="text1"/>
          <w:szCs w:val="22"/>
          <w:lang w:val="sr-Latn-ME"/>
        </w:rPr>
        <w:t>Ozbiljni znaci androgenizacije, na primjer veoma ozbiljan hirzuitizam, ozbiljna androgena alopecija često praćena teškim oblikom akni i/ili seboreje.</w:t>
      </w:r>
    </w:p>
    <w:p w14:paraId="76E3821D" w14:textId="11039297" w:rsidR="001A01AF" w:rsidRPr="00026B48" w:rsidRDefault="001A01AF">
      <w:pPr>
        <w:widowControl w:val="0"/>
        <w:autoSpaceDE w:val="0"/>
        <w:autoSpaceDN w:val="0"/>
        <w:adjustRightInd w:val="0"/>
        <w:spacing w:line="253" w:lineRule="exact"/>
        <w:rPr>
          <w:color w:val="000000" w:themeColor="text1"/>
          <w:szCs w:val="22"/>
          <w:lang w:val="sr-Latn-ME"/>
        </w:rPr>
      </w:pPr>
    </w:p>
    <w:p w14:paraId="511B6EAA" w14:textId="7029BA2C" w:rsidR="001A01AF" w:rsidRPr="00026B48" w:rsidRDefault="001A01AF">
      <w:pPr>
        <w:rPr>
          <w:color w:val="000000" w:themeColor="text1"/>
          <w:szCs w:val="22"/>
          <w:lang w:val="sr-Latn-ME"/>
        </w:rPr>
      </w:pPr>
      <w:r w:rsidRPr="00026B48">
        <w:rPr>
          <w:color w:val="000000" w:themeColor="text1"/>
          <w:szCs w:val="22"/>
          <w:lang w:val="sr-Latn-ME"/>
        </w:rPr>
        <w:t>Za sve navedene indikacije, ciproteronacetat u dozi od 50 mg bi trebalo uzimati samo kada niže doze ciproteronacetata ili druge mogućnosti liječenja nijesu postigle zadovoljavajuće rezultate.</w:t>
      </w:r>
    </w:p>
    <w:p w14:paraId="166F3C2F" w14:textId="77777777" w:rsidR="00CE09F3" w:rsidRPr="00026B48" w:rsidRDefault="00CE09F3">
      <w:pPr>
        <w:rPr>
          <w:color w:val="000000" w:themeColor="text1"/>
          <w:szCs w:val="22"/>
          <w:lang w:val="sr-Latn-ME"/>
        </w:rPr>
      </w:pPr>
    </w:p>
    <w:p w14:paraId="166F3C34" w14:textId="5D45D0ED" w:rsidR="00D713B3" w:rsidRPr="00026B48" w:rsidRDefault="008C4083" w:rsidP="00AB025E">
      <w:pPr>
        <w:rPr>
          <w:szCs w:val="22"/>
          <w:lang w:val="sr-Latn-ME"/>
        </w:rPr>
      </w:pPr>
      <w:r w:rsidRPr="00026B48">
        <w:rPr>
          <w:b/>
          <w:bCs/>
          <w:color w:val="000000" w:themeColor="text1"/>
          <w:szCs w:val="22"/>
          <w:lang w:val="sr-Latn-ME"/>
        </w:rPr>
        <w:t>4.2. Doziranje i način primjene</w:t>
      </w:r>
    </w:p>
    <w:p w14:paraId="166F3C35" w14:textId="77777777" w:rsidR="00C00EF1" w:rsidRPr="00026B48" w:rsidRDefault="008C4083" w:rsidP="00AB025E">
      <w:pPr>
        <w:pStyle w:val="Header"/>
        <w:tabs>
          <w:tab w:val="clear" w:pos="4536"/>
          <w:tab w:val="clear" w:pos="9072"/>
          <w:tab w:val="left" w:pos="284"/>
        </w:tabs>
        <w:spacing w:before="80" w:after="80"/>
        <w:rPr>
          <w:b/>
          <w:bCs/>
          <w:color w:val="000000" w:themeColor="text1"/>
          <w:szCs w:val="22"/>
          <w:lang w:val="sr-Latn-ME"/>
        </w:rPr>
      </w:pPr>
      <w:r w:rsidRPr="00026B48">
        <w:rPr>
          <w:b/>
          <w:bCs/>
          <w:color w:val="000000" w:themeColor="text1"/>
          <w:szCs w:val="22"/>
          <w:lang w:val="sr-Latn-ME"/>
        </w:rPr>
        <w:t>Doziranje</w:t>
      </w:r>
    </w:p>
    <w:p w14:paraId="166F3C37" w14:textId="77777777" w:rsidR="00C00EF1" w:rsidRPr="00026B48" w:rsidRDefault="00C00EF1" w:rsidP="00AB025E">
      <w:pPr>
        <w:pStyle w:val="Header"/>
        <w:tabs>
          <w:tab w:val="clear" w:pos="4536"/>
          <w:tab w:val="clear" w:pos="9072"/>
          <w:tab w:val="left" w:pos="284"/>
        </w:tabs>
        <w:rPr>
          <w:bCs/>
          <w:color w:val="000000" w:themeColor="text1"/>
          <w:szCs w:val="22"/>
          <w:lang w:val="sr-Latn-ME"/>
        </w:rPr>
      </w:pPr>
    </w:p>
    <w:p w14:paraId="166F3C38" w14:textId="77777777" w:rsidR="005C44CE" w:rsidRPr="00026B48" w:rsidRDefault="008C4083">
      <w:pPr>
        <w:pStyle w:val="ListParagraph"/>
        <w:numPr>
          <w:ilvl w:val="0"/>
          <w:numId w:val="7"/>
        </w:numPr>
        <w:rPr>
          <w:color w:val="000000" w:themeColor="text1"/>
          <w:szCs w:val="22"/>
          <w:lang w:val="sr-Latn-ME"/>
        </w:rPr>
      </w:pPr>
      <w:r w:rsidRPr="00026B48">
        <w:rPr>
          <w:b/>
          <w:bCs/>
          <w:color w:val="000000" w:themeColor="text1"/>
          <w:szCs w:val="22"/>
          <w:lang w:val="sr-Latn-ME"/>
        </w:rPr>
        <w:t>Doziranje kod muškaraca</w:t>
      </w:r>
    </w:p>
    <w:p w14:paraId="166F3C39" w14:textId="77777777" w:rsidR="00D713B3" w:rsidRPr="00026B48" w:rsidRDefault="008C4083" w:rsidP="00AB025E">
      <w:pPr>
        <w:pStyle w:val="Header"/>
        <w:tabs>
          <w:tab w:val="clear" w:pos="4536"/>
          <w:tab w:val="clear" w:pos="9072"/>
          <w:tab w:val="left" w:pos="284"/>
        </w:tabs>
        <w:rPr>
          <w:bCs/>
          <w:color w:val="000000" w:themeColor="text1"/>
          <w:szCs w:val="22"/>
          <w:lang w:val="sr-Latn-ME"/>
        </w:rPr>
      </w:pPr>
      <w:r w:rsidRPr="00026B48">
        <w:rPr>
          <w:color w:val="000000" w:themeColor="text1"/>
          <w:szCs w:val="22"/>
          <w:lang w:val="sr-Latn-ME"/>
        </w:rPr>
        <w:t>Maksimalna dnevna doza za muškarce je 300 mg.</w:t>
      </w:r>
    </w:p>
    <w:p w14:paraId="166F3C3A" w14:textId="77777777" w:rsidR="00D713B3" w:rsidRPr="00026B48" w:rsidRDefault="00D713B3">
      <w:pPr>
        <w:rPr>
          <w:b/>
          <w:bCs/>
          <w:color w:val="000000" w:themeColor="text1"/>
          <w:szCs w:val="22"/>
          <w:lang w:val="sr-Latn-ME"/>
        </w:rPr>
      </w:pPr>
    </w:p>
    <w:p w14:paraId="166F3C3B" w14:textId="77777777" w:rsidR="00C00EF1" w:rsidRPr="00026B48" w:rsidRDefault="008C4083">
      <w:pPr>
        <w:rPr>
          <w:color w:val="000000" w:themeColor="text1"/>
          <w:szCs w:val="22"/>
          <w:lang w:val="sr-Latn-ME"/>
        </w:rPr>
      </w:pPr>
      <w:r w:rsidRPr="00026B48">
        <w:rPr>
          <w:b/>
          <w:bCs/>
          <w:color w:val="000000" w:themeColor="text1"/>
          <w:szCs w:val="22"/>
          <w:lang w:val="sr-Latn-ME"/>
        </w:rPr>
        <w:t>Smanjenje nagona kod seksualnih devijacija</w:t>
      </w:r>
    </w:p>
    <w:p w14:paraId="166F3C3C" w14:textId="4C10FBD2" w:rsidR="00C00EF1" w:rsidRPr="00026B48" w:rsidRDefault="008C4083">
      <w:pPr>
        <w:rPr>
          <w:color w:val="000000" w:themeColor="text1"/>
          <w:szCs w:val="22"/>
          <w:lang w:val="sr-Latn-ME"/>
        </w:rPr>
      </w:pPr>
      <w:r w:rsidRPr="00026B48">
        <w:rPr>
          <w:color w:val="000000" w:themeColor="text1"/>
          <w:szCs w:val="22"/>
          <w:lang w:val="sr-Latn-ME"/>
        </w:rPr>
        <w:t xml:space="preserve">Generalno, liječenje se počinje 1 tabletom lijeka Androcur 50 mg dva puta dnevno. Može biti potrebno povećanje doze na 2 tablete dva puta dnevno, ili čak 2 tablete tri puta dnevno tokom kraćeg vremenskog perioda. </w:t>
      </w:r>
      <w:r w:rsidR="001A01AF" w:rsidRPr="00026B48">
        <w:rPr>
          <w:color w:val="000000" w:themeColor="text1"/>
          <w:szCs w:val="22"/>
          <w:lang w:val="sr-Latn-ME"/>
        </w:rPr>
        <w:t xml:space="preserve">Trajanje terapije ciproteronacetatom treba individualno odrediti. </w:t>
      </w:r>
      <w:r w:rsidRPr="00026B48">
        <w:rPr>
          <w:color w:val="000000" w:themeColor="text1"/>
          <w:szCs w:val="22"/>
          <w:lang w:val="sr-Latn-ME"/>
        </w:rPr>
        <w:t xml:space="preserve">Kada se postignu zadovoljavajući rezultati, terapijsko dejstvo treba održavati primjenom najmanje moguće doze. Najčešće je dovoljna doza od </w:t>
      </w:r>
      <w:r w:rsidRPr="00026B48">
        <w:rPr>
          <w:color w:val="000000" w:themeColor="text1"/>
          <w:szCs w:val="22"/>
          <w:lang w:val="sr-Latn-ME"/>
        </w:rPr>
        <w:lastRenderedPageBreak/>
        <w:t>½ tablete dva puta dnevno. Kada se utvrđuje doza održavanja ili se prekida terapija, treba voditi računa da se to uradi postepeno, ne naglo. Tada dnevnu dozu treba smanjivati za 1 tabletu, ili, još bolje, za ½ tablete u intervalima od nekoliko nedjelja.</w:t>
      </w:r>
    </w:p>
    <w:p w14:paraId="166F3C3D" w14:textId="77777777" w:rsidR="00C00EF1" w:rsidRPr="00026B48" w:rsidRDefault="00C00EF1">
      <w:pPr>
        <w:rPr>
          <w:color w:val="000000" w:themeColor="text1"/>
          <w:szCs w:val="22"/>
          <w:lang w:val="sr-Latn-ME"/>
        </w:rPr>
      </w:pPr>
    </w:p>
    <w:p w14:paraId="166F3C3E" w14:textId="77777777" w:rsidR="00C00EF1" w:rsidRPr="00026B48" w:rsidRDefault="008C4083">
      <w:pPr>
        <w:rPr>
          <w:color w:val="000000" w:themeColor="text1"/>
          <w:szCs w:val="22"/>
          <w:lang w:val="sr-Latn-ME"/>
        </w:rPr>
      </w:pPr>
      <w:r w:rsidRPr="00026B48">
        <w:rPr>
          <w:color w:val="000000" w:themeColor="text1"/>
          <w:szCs w:val="22"/>
          <w:lang w:val="sr-Latn-ME"/>
        </w:rPr>
        <w:t>Da bi se stabilizovalo terapijsko dejstvo neophodno je primjenjivati lijek Androcur tokom dužeg vremenskog perioda, uz istovremenu primjenu psihoterapijskih mjera ukoliko je to moguće.</w:t>
      </w:r>
    </w:p>
    <w:p w14:paraId="166F3C3F" w14:textId="77777777" w:rsidR="00C00EF1" w:rsidRPr="00026B48" w:rsidRDefault="00C00EF1" w:rsidP="00AB025E">
      <w:pPr>
        <w:pStyle w:val="Header"/>
        <w:tabs>
          <w:tab w:val="clear" w:pos="4536"/>
          <w:tab w:val="clear" w:pos="9072"/>
          <w:tab w:val="left" w:pos="284"/>
        </w:tabs>
        <w:rPr>
          <w:color w:val="000000" w:themeColor="text1"/>
          <w:szCs w:val="22"/>
          <w:lang w:val="sr-Latn-ME"/>
        </w:rPr>
      </w:pPr>
    </w:p>
    <w:p w14:paraId="166F3C40" w14:textId="77777777" w:rsidR="00C00EF1" w:rsidRPr="00026B48" w:rsidRDefault="008C4083">
      <w:pPr>
        <w:rPr>
          <w:color w:val="000000" w:themeColor="text1"/>
          <w:szCs w:val="22"/>
          <w:lang w:val="sr-Latn-ME"/>
        </w:rPr>
      </w:pPr>
      <w:r w:rsidRPr="00026B48">
        <w:rPr>
          <w:b/>
          <w:bCs/>
          <w:color w:val="000000" w:themeColor="text1"/>
          <w:szCs w:val="22"/>
          <w:lang w:val="sr-Latn-ME"/>
        </w:rPr>
        <w:t>Antiandrogena terapija kod inoperabilnog karcinoma prostate</w:t>
      </w:r>
    </w:p>
    <w:p w14:paraId="166F3C41" w14:textId="77777777" w:rsidR="00C00EF1" w:rsidRPr="00026B48" w:rsidRDefault="008C4083">
      <w:pPr>
        <w:rPr>
          <w:color w:val="000000" w:themeColor="text1"/>
          <w:szCs w:val="22"/>
          <w:lang w:val="sr-Latn-ME"/>
        </w:rPr>
      </w:pPr>
      <w:r w:rsidRPr="00026B48">
        <w:rPr>
          <w:color w:val="000000" w:themeColor="text1"/>
          <w:szCs w:val="22"/>
          <w:lang w:val="sr-Latn-ME"/>
        </w:rPr>
        <w:t xml:space="preserve">Uzimati 2 tablete lijeka Androcur 50 mg dva do tri puta dnevno (= 200 - 300 mg). </w:t>
      </w:r>
    </w:p>
    <w:p w14:paraId="166F3C42" w14:textId="77777777" w:rsidR="00C00EF1" w:rsidRPr="00026B48" w:rsidRDefault="00C00EF1">
      <w:pPr>
        <w:rPr>
          <w:color w:val="000000" w:themeColor="text1"/>
          <w:szCs w:val="22"/>
          <w:lang w:val="sr-Latn-ME"/>
        </w:rPr>
      </w:pPr>
    </w:p>
    <w:p w14:paraId="166F3C43" w14:textId="77777777" w:rsidR="00C00EF1" w:rsidRPr="00026B48" w:rsidRDefault="008C4083">
      <w:pPr>
        <w:rPr>
          <w:color w:val="000000" w:themeColor="text1"/>
          <w:szCs w:val="22"/>
          <w:lang w:val="sr-Latn-ME"/>
        </w:rPr>
      </w:pPr>
      <w:r w:rsidRPr="00026B48">
        <w:rPr>
          <w:color w:val="000000" w:themeColor="text1"/>
          <w:szCs w:val="22"/>
          <w:lang w:val="sr-Latn-ME"/>
        </w:rPr>
        <w:t>Ne treba prekidati terapiju niti smanjivati dozu kada dođe do poboljšanja ili remisije bolesti.</w:t>
      </w:r>
    </w:p>
    <w:p w14:paraId="166F3C44" w14:textId="77777777" w:rsidR="00C00EF1" w:rsidRPr="00026B48" w:rsidRDefault="00C00EF1">
      <w:pPr>
        <w:rPr>
          <w:color w:val="000000" w:themeColor="text1"/>
          <w:szCs w:val="22"/>
          <w:lang w:val="sr-Latn-ME"/>
        </w:rPr>
      </w:pPr>
    </w:p>
    <w:p w14:paraId="166F3C45" w14:textId="77777777" w:rsidR="00C00EF1" w:rsidRPr="00026B48" w:rsidRDefault="008C4083">
      <w:pPr>
        <w:numPr>
          <w:ilvl w:val="0"/>
          <w:numId w:val="4"/>
        </w:numPr>
        <w:rPr>
          <w:i/>
          <w:color w:val="000000" w:themeColor="text1"/>
          <w:szCs w:val="22"/>
          <w:lang w:val="sr-Latn-ME"/>
        </w:rPr>
      </w:pPr>
      <w:r w:rsidRPr="00026B48">
        <w:rPr>
          <w:i/>
          <w:iCs/>
          <w:color w:val="000000" w:themeColor="text1"/>
          <w:szCs w:val="22"/>
          <w:lang w:val="sr-Latn-ME"/>
        </w:rPr>
        <w:t>Smanjenje početnog povećanja muških polnih hormona u kombinovanoj terapiji sa GnRH agonistima</w:t>
      </w:r>
    </w:p>
    <w:p w14:paraId="166F3C46" w14:textId="77777777" w:rsidR="00C00EF1" w:rsidRPr="00026B48" w:rsidRDefault="00C00EF1" w:rsidP="00AB025E">
      <w:pPr>
        <w:pStyle w:val="Header"/>
        <w:tabs>
          <w:tab w:val="clear" w:pos="4536"/>
          <w:tab w:val="clear" w:pos="9072"/>
          <w:tab w:val="left" w:pos="284"/>
        </w:tabs>
        <w:rPr>
          <w:color w:val="000000" w:themeColor="text1"/>
          <w:szCs w:val="22"/>
          <w:lang w:val="sr-Latn-ME"/>
        </w:rPr>
      </w:pPr>
    </w:p>
    <w:p w14:paraId="166F3C47" w14:textId="77777777" w:rsidR="005C44CE" w:rsidRPr="00026B48" w:rsidRDefault="008C4083">
      <w:pPr>
        <w:pStyle w:val="Header"/>
        <w:tabs>
          <w:tab w:val="clear" w:pos="4536"/>
          <w:tab w:val="clear" w:pos="9072"/>
          <w:tab w:val="left" w:pos="284"/>
        </w:tabs>
        <w:rPr>
          <w:color w:val="000000" w:themeColor="text1"/>
          <w:szCs w:val="22"/>
          <w:lang w:val="sr-Latn-ME"/>
        </w:rPr>
      </w:pPr>
      <w:r w:rsidRPr="00026B48">
        <w:rPr>
          <w:color w:val="000000" w:themeColor="text1"/>
          <w:szCs w:val="22"/>
          <w:lang w:val="sr-Latn-ME"/>
        </w:rPr>
        <w:t xml:space="preserve">Inicijalno 2 tablete lijeka Androcur 50 mg dva puta dnevno (= 200 mg) u vidu monoterapije tokom 5 - 7 dana, zatim 2 tablete lijeka Androcur dva puta dnevno (= 200 mg) tokom 3 - 4 nedjelje u kombinaciji sa GnRH agonistima u dozi koju preporuči ljekar (vidjeti </w:t>
      </w:r>
      <w:r w:rsidRPr="00026B48">
        <w:rPr>
          <w:i/>
          <w:iCs/>
          <w:color w:val="000000" w:themeColor="text1"/>
          <w:szCs w:val="22"/>
          <w:lang w:val="sr-Latn-ME"/>
        </w:rPr>
        <w:t>Sažetak karakteristika lijeka</w:t>
      </w:r>
      <w:r w:rsidRPr="00026B48">
        <w:rPr>
          <w:color w:val="000000" w:themeColor="text1"/>
          <w:szCs w:val="22"/>
          <w:lang w:val="sr-Latn-ME"/>
        </w:rPr>
        <w:t xml:space="preserve"> primijenjenog GnRH agoniste).</w:t>
      </w:r>
    </w:p>
    <w:p w14:paraId="166F3C48" w14:textId="77777777" w:rsidR="00C00EF1" w:rsidRPr="00026B48" w:rsidRDefault="00C00EF1" w:rsidP="00AB025E">
      <w:pPr>
        <w:pStyle w:val="Header"/>
        <w:tabs>
          <w:tab w:val="clear" w:pos="4536"/>
          <w:tab w:val="clear" w:pos="9072"/>
          <w:tab w:val="left" w:pos="284"/>
        </w:tabs>
        <w:rPr>
          <w:color w:val="000000" w:themeColor="text1"/>
          <w:szCs w:val="22"/>
          <w:lang w:val="sr-Latn-ME"/>
        </w:rPr>
      </w:pPr>
    </w:p>
    <w:p w14:paraId="166F3C49" w14:textId="5A6CED1C" w:rsidR="00C00EF1" w:rsidRPr="00026B48" w:rsidRDefault="008C4083">
      <w:pPr>
        <w:numPr>
          <w:ilvl w:val="0"/>
          <w:numId w:val="4"/>
        </w:numPr>
        <w:rPr>
          <w:i/>
          <w:color w:val="000000" w:themeColor="text1"/>
          <w:szCs w:val="22"/>
          <w:lang w:val="sr-Latn-ME"/>
        </w:rPr>
      </w:pPr>
      <w:r w:rsidRPr="00026B48">
        <w:rPr>
          <w:i/>
          <w:iCs/>
          <w:color w:val="000000" w:themeColor="text1"/>
          <w:szCs w:val="22"/>
          <w:lang w:val="sr-Latn-ME"/>
        </w:rPr>
        <w:t>Terapija naleta vrućine kod pacijenata na kombinovanoj terapiji sa GnRH analozima ili koji su imali orh</w:t>
      </w:r>
      <w:r w:rsidR="00020ECD" w:rsidRPr="00026B48">
        <w:rPr>
          <w:i/>
          <w:iCs/>
          <w:color w:val="000000" w:themeColor="text1"/>
          <w:szCs w:val="22"/>
          <w:lang w:val="sr-Latn-ME"/>
        </w:rPr>
        <w:t>i</w:t>
      </w:r>
      <w:r w:rsidRPr="00026B48">
        <w:rPr>
          <w:i/>
          <w:iCs/>
          <w:color w:val="000000" w:themeColor="text1"/>
          <w:szCs w:val="22"/>
          <w:lang w:val="sr-Latn-ME"/>
        </w:rPr>
        <w:t>ektomiju</w:t>
      </w:r>
    </w:p>
    <w:p w14:paraId="166F3C4A" w14:textId="77777777" w:rsidR="00C00EF1" w:rsidRPr="00026B48" w:rsidRDefault="00C00EF1">
      <w:pPr>
        <w:rPr>
          <w:color w:val="000000" w:themeColor="text1"/>
          <w:szCs w:val="22"/>
          <w:lang w:val="sr-Latn-ME"/>
        </w:rPr>
      </w:pPr>
    </w:p>
    <w:p w14:paraId="166F3C4B" w14:textId="77777777" w:rsidR="00C00EF1" w:rsidRPr="00026B48" w:rsidRDefault="008C4083">
      <w:pPr>
        <w:rPr>
          <w:color w:val="000000" w:themeColor="text1"/>
          <w:szCs w:val="22"/>
          <w:lang w:val="sr-Latn-ME"/>
        </w:rPr>
      </w:pPr>
      <w:r w:rsidRPr="00026B48">
        <w:rPr>
          <w:color w:val="000000" w:themeColor="text1"/>
          <w:szCs w:val="22"/>
          <w:lang w:val="sr-Latn-ME"/>
        </w:rPr>
        <w:t>Primjenjuje se doza od 1-3 tablete lijeka Androcur 50 mg dnevno (50-150 mg), koja se može titrirati do 2 tablete tri puta dnevno (300 mg) ukoliko je potrebno.</w:t>
      </w:r>
    </w:p>
    <w:p w14:paraId="166F3C4C" w14:textId="77777777" w:rsidR="00C00EF1" w:rsidRPr="00026B48" w:rsidRDefault="00C00EF1">
      <w:pPr>
        <w:rPr>
          <w:color w:val="000000" w:themeColor="text1"/>
          <w:szCs w:val="22"/>
          <w:lang w:val="sr-Latn-ME"/>
        </w:rPr>
      </w:pPr>
    </w:p>
    <w:p w14:paraId="166F3C4D" w14:textId="77777777" w:rsidR="005C44CE" w:rsidRPr="00026B48" w:rsidRDefault="008C4083">
      <w:pPr>
        <w:pStyle w:val="ListParagraph"/>
        <w:numPr>
          <w:ilvl w:val="0"/>
          <w:numId w:val="8"/>
        </w:numPr>
        <w:rPr>
          <w:color w:val="000000" w:themeColor="text1"/>
          <w:szCs w:val="22"/>
          <w:lang w:val="sr-Latn-ME"/>
        </w:rPr>
      </w:pPr>
      <w:r w:rsidRPr="00026B48">
        <w:rPr>
          <w:b/>
          <w:bCs/>
          <w:color w:val="000000" w:themeColor="text1"/>
          <w:szCs w:val="22"/>
          <w:lang w:val="sr-Latn-ME"/>
        </w:rPr>
        <w:t>Doziranje kod žena</w:t>
      </w:r>
    </w:p>
    <w:p w14:paraId="166F3C4E" w14:textId="77777777" w:rsidR="00C00EF1" w:rsidRPr="00026B48" w:rsidRDefault="00C00EF1">
      <w:pPr>
        <w:rPr>
          <w:b/>
          <w:bCs/>
          <w:color w:val="000000" w:themeColor="text1"/>
          <w:szCs w:val="22"/>
          <w:lang w:val="sr-Latn-ME"/>
        </w:rPr>
      </w:pPr>
    </w:p>
    <w:p w14:paraId="166F3C4F" w14:textId="77777777" w:rsidR="00C00EF1" w:rsidRPr="00026B48" w:rsidRDefault="008C4083">
      <w:pPr>
        <w:rPr>
          <w:b/>
          <w:bCs/>
          <w:color w:val="000000" w:themeColor="text1"/>
          <w:szCs w:val="22"/>
          <w:lang w:val="sr-Latn-ME"/>
        </w:rPr>
      </w:pPr>
      <w:r w:rsidRPr="00026B48">
        <w:rPr>
          <w:b/>
          <w:bCs/>
          <w:color w:val="000000" w:themeColor="text1"/>
          <w:szCs w:val="22"/>
          <w:lang w:val="sr-Latn-ME"/>
        </w:rPr>
        <w:t>Žene u reproduktivnom periodu</w:t>
      </w:r>
    </w:p>
    <w:p w14:paraId="166F3C50" w14:textId="014986E7" w:rsidR="00C00EF1" w:rsidRPr="00026B48" w:rsidRDefault="008C4083">
      <w:pPr>
        <w:rPr>
          <w:color w:val="000000" w:themeColor="text1"/>
          <w:szCs w:val="22"/>
          <w:lang w:val="sr-Latn-ME"/>
        </w:rPr>
      </w:pPr>
      <w:r w:rsidRPr="00026B48">
        <w:rPr>
          <w:color w:val="000000" w:themeColor="text1"/>
          <w:szCs w:val="22"/>
          <w:lang w:val="sr-Latn-ME"/>
        </w:rPr>
        <w:t xml:space="preserve">Žene tokom trudnoće ne smiju uzimati </w:t>
      </w:r>
      <w:r w:rsidR="00020ECD" w:rsidRPr="00026B48">
        <w:rPr>
          <w:color w:val="000000" w:themeColor="text1"/>
          <w:szCs w:val="22"/>
          <w:lang w:val="sr-Latn-ME"/>
        </w:rPr>
        <w:t xml:space="preserve">lijek </w:t>
      </w:r>
      <w:r w:rsidRPr="00026B48">
        <w:rPr>
          <w:color w:val="000000" w:themeColor="text1"/>
          <w:szCs w:val="22"/>
          <w:lang w:val="sr-Latn-ME"/>
        </w:rPr>
        <w:t>Androcur. Stoga, potrebno je isključiti mogućnost trudnoće prije početka terapije.</w:t>
      </w:r>
    </w:p>
    <w:p w14:paraId="166F3C51" w14:textId="77777777" w:rsidR="00C00EF1" w:rsidRPr="00026B48" w:rsidRDefault="00C00EF1">
      <w:pPr>
        <w:rPr>
          <w:color w:val="000000" w:themeColor="text1"/>
          <w:szCs w:val="22"/>
          <w:lang w:val="sr-Latn-ME"/>
        </w:rPr>
      </w:pPr>
    </w:p>
    <w:p w14:paraId="166F3C52" w14:textId="77777777" w:rsidR="00C00EF1" w:rsidRPr="00026B48" w:rsidRDefault="008C4083">
      <w:pPr>
        <w:rPr>
          <w:color w:val="000000" w:themeColor="text1"/>
          <w:szCs w:val="22"/>
          <w:lang w:val="sr-Latn-ME"/>
        </w:rPr>
      </w:pPr>
      <w:r w:rsidRPr="00026B48">
        <w:rPr>
          <w:color w:val="000000" w:themeColor="text1"/>
          <w:szCs w:val="22"/>
          <w:lang w:val="sr-Latn-ME"/>
        </w:rPr>
        <w:t xml:space="preserve">Kod žena u reproduktivnom periodu terapija se počinje prvog dana ciklusa (= 1. dan krvarenja). </w:t>
      </w:r>
    </w:p>
    <w:p w14:paraId="166F3C53" w14:textId="77777777" w:rsidR="00C00EF1" w:rsidRPr="00026B48" w:rsidRDefault="00C00EF1">
      <w:pPr>
        <w:rPr>
          <w:color w:val="000000" w:themeColor="text1"/>
          <w:szCs w:val="22"/>
          <w:lang w:val="sr-Latn-ME"/>
        </w:rPr>
      </w:pPr>
    </w:p>
    <w:p w14:paraId="166F3C54" w14:textId="77777777" w:rsidR="00C00EF1" w:rsidRPr="00026B48" w:rsidRDefault="008C4083">
      <w:pPr>
        <w:rPr>
          <w:color w:val="000000" w:themeColor="text1"/>
          <w:szCs w:val="22"/>
          <w:lang w:val="sr-Latn-ME"/>
        </w:rPr>
      </w:pPr>
      <w:r w:rsidRPr="00026B48">
        <w:rPr>
          <w:color w:val="000000" w:themeColor="text1"/>
          <w:szCs w:val="22"/>
          <w:lang w:val="sr-Latn-ME"/>
        </w:rPr>
        <w:t>Dvije tablete lijeka Androcur 50 mg dnevno uzimaju se od prvog do desetog dana ciklusa. Dodatno, ove žene uzimaju lijek koji sadrži progestagen i estrogen, na primjer od 1. do 21. dana ciklusa po 1 tabletu kombinovanog oralnog kontraceptiva (2 mg ciproteronacetata i 0,035 mg etinilestradiola) dnevno, da bi se obezbijedila neophodna kontraceptivna žaštita i da bi se stabilizovao ciklus.</w:t>
      </w:r>
    </w:p>
    <w:p w14:paraId="166F3C55" w14:textId="77777777" w:rsidR="00C00EF1" w:rsidRPr="00026B48" w:rsidRDefault="00C00EF1">
      <w:pPr>
        <w:rPr>
          <w:color w:val="000000" w:themeColor="text1"/>
          <w:szCs w:val="22"/>
          <w:lang w:val="sr-Latn-ME"/>
        </w:rPr>
      </w:pPr>
    </w:p>
    <w:p w14:paraId="166F3C56" w14:textId="77777777" w:rsidR="00C00EF1" w:rsidRPr="00026B48" w:rsidRDefault="008C4083">
      <w:pPr>
        <w:rPr>
          <w:color w:val="000000" w:themeColor="text1"/>
          <w:szCs w:val="22"/>
          <w:lang w:val="sr-Latn-ME"/>
        </w:rPr>
      </w:pPr>
      <w:r w:rsidRPr="00026B48">
        <w:rPr>
          <w:color w:val="000000" w:themeColor="text1"/>
          <w:szCs w:val="22"/>
          <w:lang w:val="sr-Latn-ME"/>
        </w:rPr>
        <w:t>Žene koje su na kombinovanoj cikličnoj terapiji trebalo bi da uzimaju tablete uvijek u isto doba dana.</w:t>
      </w:r>
    </w:p>
    <w:p w14:paraId="166F3C57" w14:textId="77777777" w:rsidR="00C00EF1" w:rsidRPr="00026B48" w:rsidRDefault="00C00EF1">
      <w:pPr>
        <w:rPr>
          <w:color w:val="000000" w:themeColor="text1"/>
          <w:szCs w:val="22"/>
          <w:lang w:val="sr-Latn-ME"/>
        </w:rPr>
      </w:pPr>
    </w:p>
    <w:p w14:paraId="166F3C58" w14:textId="77777777" w:rsidR="00C00EF1" w:rsidRPr="00026B48" w:rsidRDefault="008C4083">
      <w:pPr>
        <w:rPr>
          <w:color w:val="000000" w:themeColor="text1"/>
          <w:szCs w:val="22"/>
          <w:lang w:val="sr-Latn-ME"/>
        </w:rPr>
      </w:pPr>
      <w:r w:rsidRPr="00026B48">
        <w:rPr>
          <w:color w:val="000000" w:themeColor="text1"/>
          <w:szCs w:val="22"/>
          <w:lang w:val="sr-Latn-ME"/>
        </w:rPr>
        <w:t>Nakon 21 dana uzimanja tableta slijedi sedmodnevna pauza, u toku koje dolazi do obustavnog krvarenja. Tačno 4 nedjelje nakon početka prethodnog ciklusa terapije, tj. uvijek istog dana u nedjelji, počinje sljedeći ciklus kombinovane terapije, bez obzira da li je obustavno krvarenje prestalo ili ne.</w:t>
      </w:r>
    </w:p>
    <w:p w14:paraId="166F3C59" w14:textId="77777777" w:rsidR="00C00EF1" w:rsidRPr="00026B48" w:rsidRDefault="00C00EF1">
      <w:pPr>
        <w:rPr>
          <w:color w:val="000000" w:themeColor="text1"/>
          <w:szCs w:val="22"/>
          <w:lang w:val="sr-Latn-ME"/>
        </w:rPr>
      </w:pPr>
    </w:p>
    <w:p w14:paraId="166F3C5A" w14:textId="1FD14349" w:rsidR="00C00EF1" w:rsidRPr="00026B48" w:rsidRDefault="008C4083">
      <w:pPr>
        <w:rPr>
          <w:color w:val="000000" w:themeColor="text1"/>
          <w:szCs w:val="22"/>
          <w:lang w:val="sr-Latn-ME"/>
        </w:rPr>
      </w:pPr>
      <w:r w:rsidRPr="00026B48">
        <w:rPr>
          <w:color w:val="000000" w:themeColor="text1"/>
          <w:szCs w:val="22"/>
          <w:lang w:val="sr-Latn-ME"/>
        </w:rPr>
        <w:t>Na osnovu kliničkog praćenja, dnevna doza lijeka Androcur  tokom prvih deset dana kombinovane terapije sa kombinovanim oralnim kontraceptivom (2 mg ciproteronacetata i 0,035 mg etinilestradiola) može da se smanji na 1 ili 1/2 tablete. Nekada i sama terapija kombinovanim oralnim kontraceptivom (2 mg ciproteronacetata i 0,035 mg etinilestradiola) može biti dovoljna.</w:t>
      </w:r>
    </w:p>
    <w:p w14:paraId="166F3C5B" w14:textId="0B9B8B68" w:rsidR="00C00EF1" w:rsidRPr="00026B48" w:rsidRDefault="00C00EF1">
      <w:pPr>
        <w:rPr>
          <w:color w:val="000000" w:themeColor="text1"/>
          <w:szCs w:val="22"/>
          <w:lang w:val="sr-Latn-ME"/>
        </w:rPr>
      </w:pPr>
    </w:p>
    <w:p w14:paraId="693FD96A" w14:textId="3A0F0184" w:rsidR="009B74C4" w:rsidRPr="00026B48" w:rsidRDefault="009B74C4">
      <w:pPr>
        <w:rPr>
          <w:color w:val="000000" w:themeColor="text1"/>
          <w:szCs w:val="22"/>
          <w:lang w:val="sr-Latn-ME"/>
        </w:rPr>
      </w:pPr>
      <w:r w:rsidRPr="00026B48">
        <w:rPr>
          <w:color w:val="000000" w:themeColor="text1"/>
          <w:szCs w:val="22"/>
          <w:lang w:val="sr-Latn-ME"/>
        </w:rPr>
        <w:t>Primjenu lijeka Androcur treba ponovo razmotriti na početku menopauze. Dugotrajnu primjenu (nekoliko godina) lijek</w:t>
      </w:r>
      <w:r w:rsidR="001A01AF" w:rsidRPr="00026B48">
        <w:rPr>
          <w:color w:val="000000" w:themeColor="text1"/>
          <w:szCs w:val="22"/>
          <w:lang w:val="sr-Latn-ME"/>
        </w:rPr>
        <w:t>a</w:t>
      </w:r>
      <w:r w:rsidRPr="00026B48">
        <w:rPr>
          <w:color w:val="000000" w:themeColor="text1"/>
          <w:szCs w:val="22"/>
          <w:lang w:val="sr-Latn-ME"/>
        </w:rPr>
        <w:t xml:space="preserve"> Androcur treba izbegavati (pogledajte </w:t>
      </w:r>
      <w:r w:rsidR="00020ECD" w:rsidRPr="00026B48">
        <w:rPr>
          <w:color w:val="000000" w:themeColor="text1"/>
          <w:szCs w:val="22"/>
          <w:lang w:val="sr-Latn-ME"/>
        </w:rPr>
        <w:t>u dijelu</w:t>
      </w:r>
      <w:r w:rsidRPr="00026B48">
        <w:rPr>
          <w:color w:val="000000" w:themeColor="text1"/>
          <w:szCs w:val="22"/>
          <w:lang w:val="sr-Latn-ME"/>
        </w:rPr>
        <w:t xml:space="preserve"> 4.4 </w:t>
      </w:r>
      <w:r w:rsidR="00020ECD" w:rsidRPr="00026B48">
        <w:rPr>
          <w:color w:val="000000" w:themeColor="text1"/>
          <w:szCs w:val="22"/>
          <w:lang w:val="sr-Latn-ME"/>
        </w:rPr>
        <w:t>,,</w:t>
      </w:r>
      <w:r w:rsidRPr="00026B48">
        <w:rPr>
          <w:color w:val="000000" w:themeColor="text1"/>
          <w:szCs w:val="22"/>
          <w:lang w:val="sr-Latn-ME"/>
        </w:rPr>
        <w:t>Menigeom</w:t>
      </w:r>
      <w:r w:rsidR="00020ECD" w:rsidRPr="00026B48">
        <w:rPr>
          <w:color w:val="000000" w:themeColor="text1"/>
          <w:szCs w:val="22"/>
          <w:lang w:val="sr-Latn-ME"/>
        </w:rPr>
        <w:t>”</w:t>
      </w:r>
      <w:r w:rsidRPr="00026B48">
        <w:rPr>
          <w:color w:val="000000" w:themeColor="text1"/>
          <w:szCs w:val="22"/>
          <w:lang w:val="sr-Latn-ME"/>
        </w:rPr>
        <w:t>).</w:t>
      </w:r>
    </w:p>
    <w:p w14:paraId="67FC3BA7" w14:textId="77777777" w:rsidR="009B74C4" w:rsidRPr="00026B48" w:rsidRDefault="009B74C4">
      <w:pPr>
        <w:rPr>
          <w:color w:val="000000" w:themeColor="text1"/>
          <w:szCs w:val="22"/>
          <w:lang w:val="sr-Latn-ME"/>
        </w:rPr>
      </w:pPr>
    </w:p>
    <w:p w14:paraId="166F3C5C" w14:textId="77777777" w:rsidR="00C00EF1" w:rsidRPr="00026B48" w:rsidRDefault="008C4083">
      <w:pPr>
        <w:numPr>
          <w:ilvl w:val="0"/>
          <w:numId w:val="5"/>
        </w:numPr>
        <w:rPr>
          <w:i/>
          <w:color w:val="000000" w:themeColor="text1"/>
          <w:szCs w:val="22"/>
          <w:lang w:val="sr-Latn-ME"/>
        </w:rPr>
      </w:pPr>
      <w:r w:rsidRPr="00026B48">
        <w:rPr>
          <w:i/>
          <w:iCs/>
          <w:color w:val="000000" w:themeColor="text1"/>
          <w:szCs w:val="22"/>
          <w:lang w:val="sr-Latn-ME"/>
        </w:rPr>
        <w:t>Izostalo krvarenje</w:t>
      </w:r>
    </w:p>
    <w:p w14:paraId="166F3C5D" w14:textId="77777777" w:rsidR="00C00EF1" w:rsidRPr="00026B48" w:rsidRDefault="008C4083">
      <w:pPr>
        <w:rPr>
          <w:color w:val="000000" w:themeColor="text1"/>
          <w:szCs w:val="22"/>
          <w:lang w:val="sr-Latn-ME"/>
        </w:rPr>
      </w:pPr>
      <w:r w:rsidRPr="00026B48">
        <w:rPr>
          <w:color w:val="000000" w:themeColor="text1"/>
          <w:szCs w:val="22"/>
          <w:lang w:val="sr-Latn-ME"/>
        </w:rPr>
        <w:t xml:space="preserve">Ukoliko u toku sedmodnevne pauze ne dođe do krvarenja, neophodno je isključiti mogućnost trudnoće prije nego što se nastavi sa terapijom. </w:t>
      </w:r>
    </w:p>
    <w:p w14:paraId="166F3C5E" w14:textId="77777777" w:rsidR="00C00EF1" w:rsidRPr="00026B48" w:rsidRDefault="00C00EF1">
      <w:pPr>
        <w:rPr>
          <w:color w:val="000000" w:themeColor="text1"/>
          <w:szCs w:val="22"/>
          <w:lang w:val="sr-Latn-ME"/>
        </w:rPr>
      </w:pPr>
    </w:p>
    <w:p w14:paraId="166F3C5F" w14:textId="77777777" w:rsidR="00C00EF1" w:rsidRPr="00026B48" w:rsidRDefault="008C4083">
      <w:pPr>
        <w:numPr>
          <w:ilvl w:val="0"/>
          <w:numId w:val="5"/>
        </w:numPr>
        <w:rPr>
          <w:i/>
          <w:color w:val="000000" w:themeColor="text1"/>
          <w:szCs w:val="22"/>
          <w:lang w:val="sr-Latn-ME"/>
        </w:rPr>
      </w:pPr>
      <w:r w:rsidRPr="00026B48">
        <w:rPr>
          <w:i/>
          <w:iCs/>
          <w:color w:val="000000" w:themeColor="text1"/>
          <w:szCs w:val="22"/>
          <w:lang w:val="sr-Latn-ME"/>
        </w:rPr>
        <w:lastRenderedPageBreak/>
        <w:t>Propuštene tablete</w:t>
      </w:r>
    </w:p>
    <w:p w14:paraId="166F3C60" w14:textId="77777777" w:rsidR="00C00EF1" w:rsidRPr="00026B48" w:rsidRDefault="008C4083">
      <w:pPr>
        <w:rPr>
          <w:color w:val="000000" w:themeColor="text1"/>
          <w:szCs w:val="22"/>
          <w:lang w:val="sr-Latn-ME"/>
        </w:rPr>
      </w:pPr>
      <w:r w:rsidRPr="00026B48">
        <w:rPr>
          <w:color w:val="000000" w:themeColor="text1"/>
          <w:szCs w:val="22"/>
          <w:lang w:val="sr-Latn-ME"/>
        </w:rPr>
        <w:t xml:space="preserve">Žene koje su na kombinovanoj cikličnoj terapiji treba da uzimaju tablete uvijek u isto doba dana. Ukoliko se zakasni sa uzimanjem jedne tablete kombinovanog oralnog kontraceptiva (2 mg ciproteronacetata i 0,035 mg etinilestradiola) više od 12 sati od vremena kada je trebalo da se uzme, kontraceptivna zaštita u tom ciklusu može biti smanjena. U </w:t>
      </w:r>
      <w:r w:rsidRPr="00026B48">
        <w:rPr>
          <w:i/>
          <w:iCs/>
          <w:color w:val="000000" w:themeColor="text1"/>
          <w:szCs w:val="22"/>
          <w:lang w:val="sr-Latn-ME"/>
        </w:rPr>
        <w:t>Sažetku karakteristika lijeka</w:t>
      </w:r>
      <w:r w:rsidRPr="00026B48">
        <w:rPr>
          <w:color w:val="000000" w:themeColor="text1"/>
          <w:szCs w:val="22"/>
          <w:lang w:val="sr-Latn-ME"/>
        </w:rPr>
        <w:t xml:space="preserve"> kombinovanog oralnog kontraceptiva (2 mg ciproteronacetata i 0,035 mg etinilestradiola) skrenuta je pažnja na posebna upozorenja (naročito na pouzdanost kontracepcije i preporuke kod propuštenih tableta). Ukoliko u toku sedmodnevne pauze ne dođe do krvarenja, neophodno je isključiti mogućnost trudnoće prije nego što se nastavi sa terapijom. </w:t>
      </w:r>
    </w:p>
    <w:p w14:paraId="166F3C61" w14:textId="77777777" w:rsidR="00C00EF1" w:rsidRPr="00026B48" w:rsidRDefault="00C00EF1">
      <w:pPr>
        <w:rPr>
          <w:color w:val="000000" w:themeColor="text1"/>
          <w:szCs w:val="22"/>
          <w:lang w:val="sr-Latn-ME"/>
        </w:rPr>
      </w:pPr>
    </w:p>
    <w:p w14:paraId="166F3C62" w14:textId="77777777" w:rsidR="00C00EF1" w:rsidRPr="00026B48" w:rsidRDefault="008C4083">
      <w:pPr>
        <w:rPr>
          <w:color w:val="000000" w:themeColor="text1"/>
          <w:szCs w:val="22"/>
          <w:lang w:val="sr-Latn-ME"/>
        </w:rPr>
      </w:pPr>
      <w:r w:rsidRPr="00026B48">
        <w:rPr>
          <w:color w:val="000000" w:themeColor="text1"/>
          <w:szCs w:val="22"/>
          <w:lang w:val="sr-Latn-ME"/>
        </w:rPr>
        <w:t>Propuštene tablete lijeka Androcur mogu umanjiti njegovu terapijsku efikasnost i dovesti do intermenstrualnog krvarenja. Tabletu lijeka koja je propuštena treba zanemariti (ne uzimati duplu dozu da bi se nadoknadila propuštena tableta) i nastaviti sa uzimanjem Androcur tableta u uobičajeno vrijeme zajedno sa tabletama kombinovanog oralnog kontraceptiva (2 mg ciproteronacetata i 0,035 mg etinilestradiola).</w:t>
      </w:r>
    </w:p>
    <w:p w14:paraId="166F3C63" w14:textId="77777777" w:rsidR="00C00EF1" w:rsidRPr="00026B48" w:rsidRDefault="00C00EF1">
      <w:pPr>
        <w:rPr>
          <w:b/>
          <w:color w:val="000000" w:themeColor="text1"/>
          <w:szCs w:val="22"/>
          <w:lang w:val="sr-Latn-ME"/>
        </w:rPr>
      </w:pPr>
    </w:p>
    <w:p w14:paraId="166F3C64" w14:textId="77777777" w:rsidR="00C00EF1" w:rsidRPr="00026B48" w:rsidRDefault="008C4083">
      <w:pPr>
        <w:rPr>
          <w:b/>
          <w:bCs/>
          <w:color w:val="000000" w:themeColor="text1"/>
          <w:szCs w:val="22"/>
          <w:lang w:val="sr-Latn-ME"/>
        </w:rPr>
      </w:pPr>
      <w:r w:rsidRPr="00026B48">
        <w:rPr>
          <w:b/>
          <w:bCs/>
          <w:color w:val="000000" w:themeColor="text1"/>
          <w:szCs w:val="22"/>
          <w:lang w:val="sr-Latn-ME"/>
        </w:rPr>
        <w:t>Pacijentkinje u postmenopauzi ili sa histerektomijom</w:t>
      </w:r>
    </w:p>
    <w:p w14:paraId="166F3C65" w14:textId="77777777" w:rsidR="00C00EF1" w:rsidRPr="00026B48" w:rsidRDefault="008C4083">
      <w:pPr>
        <w:rPr>
          <w:color w:val="000000" w:themeColor="text1"/>
          <w:szCs w:val="22"/>
          <w:lang w:val="sr-Latn-ME"/>
        </w:rPr>
      </w:pPr>
      <w:r w:rsidRPr="00026B48">
        <w:rPr>
          <w:color w:val="000000" w:themeColor="text1"/>
          <w:szCs w:val="22"/>
          <w:lang w:val="sr-Latn-ME"/>
        </w:rPr>
        <w:t>Kod pacijentkinja u postmenopauzi ili sa histerektomijom lijek Androcur se može primjenjivati kao monoterapija. U zavisnosti od ozbiljnosti tegoba, prosječna doza treba da je 1 do 1/2 tablete lijeka Androcur 50 mg jednom dnevno u periodu od 21 dana, poslije kojeg slijedi pauza od 7 dana.</w:t>
      </w:r>
    </w:p>
    <w:p w14:paraId="166F3C66" w14:textId="77777777" w:rsidR="00C00EF1" w:rsidRPr="00026B48" w:rsidRDefault="00C00EF1">
      <w:pPr>
        <w:rPr>
          <w:color w:val="000000" w:themeColor="text1"/>
          <w:szCs w:val="22"/>
          <w:lang w:val="sr-Latn-ME"/>
        </w:rPr>
      </w:pPr>
    </w:p>
    <w:p w14:paraId="166F3C67" w14:textId="77777777" w:rsidR="00C00EF1" w:rsidRPr="00026B48" w:rsidRDefault="008C4083">
      <w:pPr>
        <w:rPr>
          <w:b/>
          <w:color w:val="000000" w:themeColor="text1"/>
          <w:szCs w:val="22"/>
          <w:lang w:val="sr-Latn-ME"/>
        </w:rPr>
      </w:pPr>
      <w:r w:rsidRPr="00026B48">
        <w:rPr>
          <w:b/>
          <w:bCs/>
          <w:color w:val="000000" w:themeColor="text1"/>
          <w:szCs w:val="22"/>
          <w:lang w:val="sr-Latn-ME"/>
        </w:rPr>
        <w:t>Dodatne informacije za posebne populacije</w:t>
      </w:r>
    </w:p>
    <w:p w14:paraId="166F3C68" w14:textId="77777777" w:rsidR="00C00EF1" w:rsidRPr="00026B48" w:rsidRDefault="00C00EF1">
      <w:pPr>
        <w:rPr>
          <w:b/>
          <w:color w:val="000000" w:themeColor="text1"/>
          <w:szCs w:val="22"/>
          <w:lang w:val="sr-Latn-ME"/>
        </w:rPr>
      </w:pPr>
    </w:p>
    <w:p w14:paraId="166F3C69" w14:textId="77777777" w:rsidR="00C00EF1" w:rsidRPr="00026B48" w:rsidRDefault="008C4083">
      <w:pPr>
        <w:rPr>
          <w:b/>
          <w:color w:val="000000" w:themeColor="text1"/>
          <w:szCs w:val="22"/>
          <w:lang w:val="sr-Latn-ME"/>
        </w:rPr>
      </w:pPr>
      <w:r w:rsidRPr="00026B48">
        <w:rPr>
          <w:b/>
          <w:bCs/>
          <w:color w:val="000000" w:themeColor="text1"/>
          <w:szCs w:val="22"/>
          <w:lang w:val="sr-Latn-ME"/>
        </w:rPr>
        <w:t>Djeca i adolescenti</w:t>
      </w:r>
    </w:p>
    <w:p w14:paraId="166F3C6A" w14:textId="77777777" w:rsidR="003C4143" w:rsidRPr="00026B48" w:rsidRDefault="003C4143">
      <w:pPr>
        <w:rPr>
          <w:b/>
          <w:color w:val="000000" w:themeColor="text1"/>
          <w:szCs w:val="22"/>
          <w:lang w:val="sr-Latn-ME"/>
        </w:rPr>
      </w:pPr>
    </w:p>
    <w:p w14:paraId="166F3C6B" w14:textId="77777777" w:rsidR="00C00EF1" w:rsidRPr="00026B48" w:rsidRDefault="008C4083">
      <w:pPr>
        <w:rPr>
          <w:rFonts w:eastAsia="Lucida Sans Unicode"/>
          <w:color w:val="000000" w:themeColor="text1"/>
          <w:kern w:val="1"/>
          <w:szCs w:val="22"/>
          <w:lang w:val="sr-Latn-ME"/>
        </w:rPr>
      </w:pPr>
      <w:r w:rsidRPr="00026B48">
        <w:rPr>
          <w:color w:val="000000" w:themeColor="text1"/>
          <w:szCs w:val="22"/>
          <w:lang w:val="sr-Latn-ME"/>
        </w:rPr>
        <w:t xml:space="preserve">Ne preporučuje se upotreba lijeka Androcur kod djece i adolescenata muškog pola mlađih od 18 godina </w:t>
      </w:r>
      <w:r w:rsidRPr="00026B48">
        <w:rPr>
          <w:color w:val="000000" w:themeColor="text1"/>
          <w:kern w:val="1"/>
          <w:szCs w:val="22"/>
          <w:lang w:val="sr-Latn-ME"/>
        </w:rPr>
        <w:t xml:space="preserve">pošto nema podataka o bezbjednosti i efikasnosti primjene lijeka u ovoj populaciji. </w:t>
      </w:r>
    </w:p>
    <w:p w14:paraId="166F3C6C" w14:textId="77777777" w:rsidR="00C00EF1" w:rsidRPr="00026B48" w:rsidRDefault="00C00EF1">
      <w:pPr>
        <w:rPr>
          <w:rFonts w:eastAsia="Lucida Sans Unicode"/>
          <w:color w:val="000000" w:themeColor="text1"/>
          <w:kern w:val="1"/>
          <w:szCs w:val="22"/>
          <w:lang w:val="sr-Latn-ME"/>
        </w:rPr>
      </w:pPr>
    </w:p>
    <w:p w14:paraId="166F3C6D" w14:textId="1FAB9C39" w:rsidR="00C00EF1" w:rsidRPr="00026B48" w:rsidRDefault="008C4083">
      <w:pPr>
        <w:rPr>
          <w:rFonts w:eastAsia="Lucida Sans Unicode"/>
          <w:color w:val="000000" w:themeColor="text1"/>
          <w:kern w:val="1"/>
          <w:szCs w:val="22"/>
          <w:lang w:val="sr-Latn-ME"/>
        </w:rPr>
      </w:pPr>
      <w:r w:rsidRPr="00026B48">
        <w:rPr>
          <w:rFonts w:eastAsia="Lucida Sans Unicode"/>
          <w:color w:val="000000" w:themeColor="text1"/>
          <w:kern w:val="1"/>
          <w:szCs w:val="22"/>
          <w:lang w:val="sr-Latn-ME"/>
        </w:rPr>
        <w:t xml:space="preserve">Lijek Androcur se kod </w:t>
      </w:r>
      <w:r w:rsidR="00020ECD" w:rsidRPr="00026B48">
        <w:rPr>
          <w:rFonts w:eastAsia="Lucida Sans Unicode"/>
          <w:color w:val="000000" w:themeColor="text1"/>
          <w:kern w:val="1"/>
          <w:szCs w:val="22"/>
          <w:lang w:val="sr-Latn-ME"/>
        </w:rPr>
        <w:t xml:space="preserve">osoba </w:t>
      </w:r>
      <w:r w:rsidRPr="00026B48">
        <w:rPr>
          <w:rFonts w:eastAsia="Lucida Sans Unicode"/>
          <w:color w:val="000000" w:themeColor="text1"/>
          <w:kern w:val="1"/>
          <w:szCs w:val="22"/>
          <w:lang w:val="sr-Latn-ME"/>
        </w:rPr>
        <w:t xml:space="preserve">ženskog pola </w:t>
      </w:r>
      <w:r w:rsidR="00020ECD" w:rsidRPr="00026B48">
        <w:rPr>
          <w:rFonts w:eastAsia="Lucida Sans Unicode"/>
          <w:color w:val="000000" w:themeColor="text1"/>
          <w:kern w:val="1"/>
          <w:szCs w:val="22"/>
          <w:lang w:val="sr-Latn-ME"/>
        </w:rPr>
        <w:t xml:space="preserve">ne </w:t>
      </w:r>
      <w:r w:rsidRPr="00026B48">
        <w:rPr>
          <w:rFonts w:eastAsia="Lucida Sans Unicode"/>
          <w:color w:val="000000" w:themeColor="text1"/>
          <w:kern w:val="1"/>
          <w:szCs w:val="22"/>
          <w:lang w:val="sr-Latn-ME"/>
        </w:rPr>
        <w:t xml:space="preserve">smije primjenjivati </w:t>
      </w:r>
      <w:r w:rsidR="00020ECD" w:rsidRPr="00026B48">
        <w:rPr>
          <w:rFonts w:eastAsia="Lucida Sans Unicode"/>
          <w:color w:val="000000" w:themeColor="text1"/>
          <w:kern w:val="1"/>
          <w:szCs w:val="22"/>
          <w:lang w:val="sr-Latn-ME"/>
        </w:rPr>
        <w:t>prije</w:t>
      </w:r>
      <w:r w:rsidRPr="00026B48">
        <w:rPr>
          <w:rFonts w:eastAsia="Lucida Sans Unicode"/>
          <w:color w:val="000000" w:themeColor="text1"/>
          <w:kern w:val="1"/>
          <w:szCs w:val="22"/>
          <w:lang w:val="sr-Latn-ME"/>
        </w:rPr>
        <w:t xml:space="preserve"> završetka puberteta. Ne postoje podaci koji bi upućivali na potrebu za prilagođavanjem doze</w:t>
      </w:r>
      <w:r w:rsidR="00020ECD" w:rsidRPr="00026B48">
        <w:rPr>
          <w:rFonts w:eastAsia="Lucida Sans Unicode"/>
          <w:color w:val="000000" w:themeColor="text1"/>
          <w:kern w:val="1"/>
          <w:szCs w:val="22"/>
          <w:lang w:val="sr-Latn-ME"/>
        </w:rPr>
        <w:t xml:space="preserve"> kod osoba ženskog pola mlađih od 18 godina.</w:t>
      </w:r>
    </w:p>
    <w:p w14:paraId="166F3C6E" w14:textId="77777777" w:rsidR="00C00EF1" w:rsidRPr="00026B48" w:rsidRDefault="00C00EF1">
      <w:pPr>
        <w:rPr>
          <w:rFonts w:eastAsia="Lucida Sans Unicode"/>
          <w:color w:val="000000" w:themeColor="text1"/>
          <w:kern w:val="1"/>
          <w:szCs w:val="22"/>
          <w:lang w:val="sr-Latn-ME"/>
        </w:rPr>
      </w:pPr>
    </w:p>
    <w:p w14:paraId="166F3C6F" w14:textId="77777777" w:rsidR="00B440DC" w:rsidRPr="00026B48" w:rsidRDefault="00B440DC">
      <w:pPr>
        <w:rPr>
          <w:rFonts w:eastAsia="Lucida Sans Unicode"/>
          <w:color w:val="000000" w:themeColor="text1"/>
          <w:kern w:val="1"/>
          <w:szCs w:val="22"/>
          <w:lang w:val="sr-Latn-ME"/>
        </w:rPr>
      </w:pPr>
      <w:r w:rsidRPr="00026B48">
        <w:rPr>
          <w:rFonts w:eastAsia="Lucida Sans Unicode"/>
          <w:color w:val="000000" w:themeColor="text1"/>
          <w:kern w:val="1"/>
          <w:szCs w:val="22"/>
          <w:lang w:val="sr-Latn-ME"/>
        </w:rPr>
        <w:t xml:space="preserve">Lijek Androcur se kod pacijenata oba pola ne smije primjenjivati prije završetka puberteta zbog nepovoljnog uticaja na rast i nedovoljno stabilizovane endokrine funkcije. </w:t>
      </w:r>
    </w:p>
    <w:p w14:paraId="166F3C70" w14:textId="77777777" w:rsidR="00B440DC" w:rsidRPr="00026B48" w:rsidRDefault="00B440DC">
      <w:pPr>
        <w:rPr>
          <w:rFonts w:eastAsia="Lucida Sans Unicode"/>
          <w:color w:val="000000" w:themeColor="text1"/>
          <w:kern w:val="1"/>
          <w:szCs w:val="22"/>
          <w:lang w:val="sr-Latn-ME"/>
        </w:rPr>
      </w:pPr>
    </w:p>
    <w:p w14:paraId="166F3C71" w14:textId="77777777" w:rsidR="00C00EF1" w:rsidRPr="00026B48" w:rsidRDefault="008C4083">
      <w:pPr>
        <w:rPr>
          <w:rFonts w:eastAsia="Lucida Sans Unicode"/>
          <w:b/>
          <w:color w:val="000000" w:themeColor="text1"/>
          <w:kern w:val="1"/>
          <w:szCs w:val="22"/>
          <w:lang w:val="sr-Latn-ME"/>
        </w:rPr>
      </w:pPr>
      <w:r w:rsidRPr="00026B48">
        <w:rPr>
          <w:rFonts w:eastAsia="Lucida Sans Unicode"/>
          <w:b/>
          <w:bCs/>
          <w:color w:val="000000" w:themeColor="text1"/>
          <w:kern w:val="1"/>
          <w:szCs w:val="22"/>
          <w:lang w:val="sr-Latn-ME"/>
        </w:rPr>
        <w:t>Gerijatrijski pacijenti</w:t>
      </w:r>
    </w:p>
    <w:p w14:paraId="166F3C72" w14:textId="77777777" w:rsidR="00C00EF1" w:rsidRPr="00026B48" w:rsidRDefault="008C4083">
      <w:pPr>
        <w:rPr>
          <w:rFonts w:eastAsia="Lucida Sans Unicode"/>
          <w:color w:val="000000" w:themeColor="text1"/>
          <w:kern w:val="1"/>
          <w:szCs w:val="22"/>
          <w:lang w:val="sr-Latn-ME"/>
        </w:rPr>
      </w:pPr>
      <w:r w:rsidRPr="00026B48">
        <w:rPr>
          <w:rFonts w:eastAsia="Lucida Sans Unicode"/>
          <w:color w:val="000000" w:themeColor="text1"/>
          <w:kern w:val="1"/>
          <w:szCs w:val="22"/>
          <w:lang w:val="sr-Latn-ME"/>
        </w:rPr>
        <w:t>Nema podataka koji bi ukazali na potrebu prilagođavanja doze kod starijih pacijenata.</w:t>
      </w:r>
    </w:p>
    <w:p w14:paraId="166F3C73" w14:textId="77777777" w:rsidR="00C00EF1" w:rsidRPr="00026B48" w:rsidRDefault="00C00EF1">
      <w:pPr>
        <w:rPr>
          <w:rFonts w:eastAsia="Lucida Sans Unicode"/>
          <w:color w:val="000000" w:themeColor="text1"/>
          <w:kern w:val="1"/>
          <w:szCs w:val="22"/>
          <w:lang w:val="sr-Latn-ME"/>
        </w:rPr>
      </w:pPr>
    </w:p>
    <w:p w14:paraId="166F3C74" w14:textId="77777777" w:rsidR="00C00EF1" w:rsidRPr="00026B48" w:rsidRDefault="008C4083">
      <w:pPr>
        <w:rPr>
          <w:rFonts w:eastAsia="Lucida Sans Unicode"/>
          <w:b/>
          <w:color w:val="000000" w:themeColor="text1"/>
          <w:kern w:val="1"/>
          <w:szCs w:val="22"/>
          <w:lang w:val="sr-Latn-ME"/>
        </w:rPr>
      </w:pPr>
      <w:r w:rsidRPr="00026B48">
        <w:rPr>
          <w:rFonts w:eastAsia="Lucida Sans Unicode"/>
          <w:b/>
          <w:bCs/>
          <w:color w:val="000000" w:themeColor="text1"/>
          <w:kern w:val="1"/>
          <w:szCs w:val="22"/>
          <w:lang w:val="sr-Latn-ME"/>
        </w:rPr>
        <w:t>Pacijenti sa oštećenjem funkcije jetre</w:t>
      </w:r>
    </w:p>
    <w:p w14:paraId="166F3C75" w14:textId="77777777" w:rsidR="00C00EF1" w:rsidRPr="00026B48" w:rsidRDefault="008C4083">
      <w:pPr>
        <w:rPr>
          <w:rFonts w:eastAsia="Lucida Sans Unicode"/>
          <w:color w:val="000000" w:themeColor="text1"/>
          <w:kern w:val="1"/>
          <w:szCs w:val="22"/>
          <w:lang w:val="sr-Latn-ME"/>
        </w:rPr>
      </w:pPr>
      <w:r w:rsidRPr="00026B48">
        <w:rPr>
          <w:rFonts w:eastAsia="Lucida Sans Unicode"/>
          <w:color w:val="000000" w:themeColor="text1"/>
          <w:kern w:val="1"/>
          <w:szCs w:val="22"/>
          <w:lang w:val="sr-Latn-ME"/>
        </w:rPr>
        <w:t>Upotreba lijeka Androcur je kontraindikovana kod pacijenata sa oboljenjem jetre (tj. sve dok se vrijednosti funkcije jetre ne vrate u okvire normalnih vrijednosti).</w:t>
      </w:r>
    </w:p>
    <w:p w14:paraId="166F3C76" w14:textId="77777777" w:rsidR="00C00EF1" w:rsidRPr="00026B48" w:rsidRDefault="00C00EF1">
      <w:pPr>
        <w:rPr>
          <w:rFonts w:eastAsia="Lucida Sans Unicode"/>
          <w:color w:val="000000" w:themeColor="text1"/>
          <w:kern w:val="1"/>
          <w:szCs w:val="22"/>
          <w:lang w:val="sr-Latn-ME"/>
        </w:rPr>
      </w:pPr>
    </w:p>
    <w:p w14:paraId="166F3C77" w14:textId="77777777" w:rsidR="00C00EF1" w:rsidRPr="00026B48" w:rsidRDefault="008C4083">
      <w:pPr>
        <w:rPr>
          <w:rFonts w:eastAsia="Lucida Sans Unicode"/>
          <w:b/>
          <w:color w:val="000000" w:themeColor="text1"/>
          <w:kern w:val="1"/>
          <w:szCs w:val="22"/>
          <w:lang w:val="sr-Latn-ME"/>
        </w:rPr>
      </w:pPr>
      <w:r w:rsidRPr="00026B48">
        <w:rPr>
          <w:rFonts w:eastAsia="Lucida Sans Unicode"/>
          <w:b/>
          <w:bCs/>
          <w:color w:val="000000" w:themeColor="text1"/>
          <w:kern w:val="1"/>
          <w:szCs w:val="22"/>
          <w:lang w:val="sr-Latn-ME"/>
        </w:rPr>
        <w:t>Pacijenti sa oštećenjem funkcije bubrega</w:t>
      </w:r>
    </w:p>
    <w:p w14:paraId="166F3C78" w14:textId="46AD53F8" w:rsidR="00C00EF1" w:rsidRPr="00026B48" w:rsidRDefault="008C4083">
      <w:pPr>
        <w:rPr>
          <w:rFonts w:eastAsia="Lucida Sans Unicode"/>
          <w:color w:val="000000" w:themeColor="text1"/>
          <w:kern w:val="1"/>
          <w:szCs w:val="22"/>
          <w:lang w:val="sr-Latn-ME"/>
        </w:rPr>
      </w:pPr>
      <w:r w:rsidRPr="00026B48">
        <w:rPr>
          <w:rFonts w:eastAsia="Lucida Sans Unicode"/>
          <w:color w:val="000000" w:themeColor="text1"/>
          <w:kern w:val="1"/>
          <w:szCs w:val="22"/>
          <w:lang w:val="sr-Latn-ME"/>
        </w:rPr>
        <w:t>Nema podataka koji bi upućivali na potrebu prilagođavanja doze pacijenata sa oštećenjem funkcije bubrega.</w:t>
      </w:r>
    </w:p>
    <w:p w14:paraId="027B1CA0" w14:textId="70624C10" w:rsidR="00020ECD" w:rsidRPr="00026B48" w:rsidRDefault="00020ECD">
      <w:pPr>
        <w:rPr>
          <w:rFonts w:eastAsia="Lucida Sans Unicode"/>
          <w:color w:val="000000" w:themeColor="text1"/>
          <w:kern w:val="1"/>
          <w:szCs w:val="22"/>
          <w:lang w:val="sr-Latn-ME"/>
        </w:rPr>
      </w:pPr>
    </w:p>
    <w:p w14:paraId="486504D0" w14:textId="77777777" w:rsidR="00020ECD" w:rsidRPr="00026B48" w:rsidRDefault="00020ECD" w:rsidP="00AB025E">
      <w:pPr>
        <w:pStyle w:val="Header"/>
        <w:tabs>
          <w:tab w:val="clear" w:pos="4536"/>
          <w:tab w:val="clear" w:pos="9072"/>
          <w:tab w:val="left" w:pos="284"/>
        </w:tabs>
        <w:spacing w:before="80" w:after="80"/>
        <w:rPr>
          <w:b/>
          <w:bCs/>
          <w:color w:val="000000" w:themeColor="text1"/>
          <w:szCs w:val="22"/>
          <w:lang w:val="sr-Latn-ME"/>
        </w:rPr>
      </w:pPr>
      <w:r w:rsidRPr="00026B48">
        <w:rPr>
          <w:b/>
          <w:bCs/>
          <w:color w:val="000000" w:themeColor="text1"/>
          <w:szCs w:val="22"/>
          <w:lang w:val="sr-Latn-ME"/>
        </w:rPr>
        <w:t>Način primjene</w:t>
      </w:r>
    </w:p>
    <w:p w14:paraId="667679D9" w14:textId="77777777" w:rsidR="00020ECD" w:rsidRPr="00026B48" w:rsidRDefault="00020ECD" w:rsidP="00AB025E">
      <w:pPr>
        <w:pStyle w:val="Header"/>
        <w:tabs>
          <w:tab w:val="clear" w:pos="4536"/>
          <w:tab w:val="clear" w:pos="9072"/>
          <w:tab w:val="left" w:pos="284"/>
        </w:tabs>
        <w:spacing w:before="80" w:after="80"/>
        <w:rPr>
          <w:bCs/>
          <w:color w:val="000000" w:themeColor="text1"/>
          <w:szCs w:val="22"/>
          <w:lang w:val="sr-Latn-ME"/>
        </w:rPr>
      </w:pPr>
      <w:r w:rsidRPr="00026B48">
        <w:rPr>
          <w:color w:val="000000" w:themeColor="text1"/>
          <w:szCs w:val="22"/>
          <w:lang w:val="sr-Latn-ME"/>
        </w:rPr>
        <w:t>Oralna upotreba.</w:t>
      </w:r>
    </w:p>
    <w:p w14:paraId="060D0072" w14:textId="5492F76A" w:rsidR="00020ECD" w:rsidRPr="00026B48" w:rsidRDefault="00020ECD" w:rsidP="00AB025E">
      <w:pPr>
        <w:pStyle w:val="Header"/>
        <w:tabs>
          <w:tab w:val="clear" w:pos="4536"/>
          <w:tab w:val="clear" w:pos="9072"/>
          <w:tab w:val="left" w:pos="284"/>
        </w:tabs>
        <w:spacing w:before="80" w:after="80"/>
        <w:rPr>
          <w:bCs/>
          <w:color w:val="000000" w:themeColor="text1"/>
          <w:szCs w:val="22"/>
          <w:lang w:val="sr-Latn-ME"/>
        </w:rPr>
      </w:pPr>
      <w:r w:rsidRPr="00026B48">
        <w:rPr>
          <w:color w:val="000000" w:themeColor="text1"/>
          <w:szCs w:val="22"/>
          <w:lang w:val="sr-Latn-ME"/>
        </w:rPr>
        <w:t>Tablete treba uzeti sa malo tečnosti nakon obroka.</w:t>
      </w:r>
    </w:p>
    <w:p w14:paraId="166F3C79" w14:textId="77777777" w:rsidR="00CE09F3" w:rsidRPr="00026B48" w:rsidRDefault="00CE09F3">
      <w:pPr>
        <w:rPr>
          <w:color w:val="000000" w:themeColor="text1"/>
          <w:szCs w:val="22"/>
          <w:lang w:val="sr-Latn-ME"/>
        </w:rPr>
      </w:pPr>
    </w:p>
    <w:p w14:paraId="166F3C7A" w14:textId="77777777" w:rsidR="00CE09F3" w:rsidRPr="00026B48" w:rsidRDefault="008C4083">
      <w:pPr>
        <w:rPr>
          <w:b/>
          <w:bCs/>
          <w:color w:val="000000" w:themeColor="text1"/>
          <w:szCs w:val="22"/>
          <w:lang w:val="sr-Latn-ME"/>
        </w:rPr>
      </w:pPr>
      <w:r w:rsidRPr="00026B48">
        <w:rPr>
          <w:b/>
          <w:bCs/>
          <w:color w:val="000000" w:themeColor="text1"/>
          <w:szCs w:val="22"/>
          <w:lang w:val="sr-Latn-ME"/>
        </w:rPr>
        <w:t>4.3. Kontraindikacije</w:t>
      </w:r>
    </w:p>
    <w:p w14:paraId="166F3C7B" w14:textId="77777777" w:rsidR="00CE09F3" w:rsidRPr="00026B48" w:rsidRDefault="00CE09F3">
      <w:pPr>
        <w:rPr>
          <w:color w:val="000000" w:themeColor="text1"/>
          <w:szCs w:val="22"/>
          <w:lang w:val="sr-Latn-ME"/>
        </w:rPr>
      </w:pPr>
    </w:p>
    <w:p w14:paraId="166F3C7C" w14:textId="77777777" w:rsidR="00C00EF1" w:rsidRPr="00026B48" w:rsidRDefault="008C4083">
      <w:pPr>
        <w:rPr>
          <w:b/>
          <w:bCs/>
          <w:color w:val="000000" w:themeColor="text1"/>
          <w:szCs w:val="22"/>
          <w:lang w:val="sr-Latn-ME"/>
        </w:rPr>
      </w:pPr>
      <w:r w:rsidRPr="00026B48">
        <w:rPr>
          <w:b/>
          <w:bCs/>
          <w:color w:val="000000" w:themeColor="text1"/>
          <w:szCs w:val="22"/>
          <w:lang w:val="sr-Latn-ME"/>
        </w:rPr>
        <w:t>Kontraindikacije kod muškaraca</w:t>
      </w:r>
    </w:p>
    <w:p w14:paraId="166F3C7D" w14:textId="77777777" w:rsidR="00E91280" w:rsidRPr="00026B48" w:rsidRDefault="00E91280">
      <w:pPr>
        <w:rPr>
          <w:color w:val="000000" w:themeColor="text1"/>
          <w:szCs w:val="22"/>
          <w:lang w:val="sr-Latn-ME"/>
        </w:rPr>
      </w:pPr>
    </w:p>
    <w:p w14:paraId="166F3C7E" w14:textId="77777777" w:rsidR="00C00EF1" w:rsidRPr="00026B48" w:rsidRDefault="008C4083">
      <w:pPr>
        <w:rPr>
          <w:b/>
          <w:bCs/>
          <w:i/>
          <w:color w:val="000000" w:themeColor="text1"/>
          <w:szCs w:val="22"/>
          <w:lang w:val="sr-Latn-ME"/>
        </w:rPr>
      </w:pPr>
      <w:r w:rsidRPr="00026B48">
        <w:rPr>
          <w:b/>
          <w:bCs/>
          <w:i/>
          <w:iCs/>
          <w:color w:val="000000" w:themeColor="text1"/>
          <w:szCs w:val="22"/>
          <w:lang w:val="sr-Latn-ME"/>
        </w:rPr>
        <w:t>Kod liječenja smanjenja nagona kod seksualnih devijacija kod muškaraca</w:t>
      </w:r>
    </w:p>
    <w:p w14:paraId="166F3C7F" w14:textId="159502FD" w:rsidR="007C653E"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 xml:space="preserve">preosjetljivost na aktivnu supstancu ili na bilo koju od pomoćnih supstanci navedenih u </w:t>
      </w:r>
      <w:r w:rsidR="00020ECD" w:rsidRPr="00026B48">
        <w:rPr>
          <w:color w:val="000000" w:themeColor="text1"/>
          <w:szCs w:val="22"/>
          <w:lang w:val="sr-Latn-ME"/>
        </w:rPr>
        <w:t>dijelu</w:t>
      </w:r>
      <w:r w:rsidRPr="00026B48">
        <w:rPr>
          <w:color w:val="000000" w:themeColor="text1"/>
          <w:szCs w:val="22"/>
          <w:lang w:val="sr-Latn-ME"/>
        </w:rPr>
        <w:t xml:space="preserve"> 6.1, </w:t>
      </w:r>
    </w:p>
    <w:p w14:paraId="166F3C80"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53" w:lineRule="exact"/>
        <w:ind w:left="480" w:hanging="480"/>
        <w:rPr>
          <w:color w:val="000000" w:themeColor="text1"/>
          <w:szCs w:val="22"/>
          <w:lang w:val="sr-Latn-ME"/>
        </w:rPr>
      </w:pPr>
      <w:r w:rsidRPr="00026B48">
        <w:rPr>
          <w:color w:val="000000" w:themeColor="text1"/>
          <w:szCs w:val="22"/>
          <w:lang w:val="sr-Latn-ME"/>
        </w:rPr>
        <w:t xml:space="preserve">bolesti jetre, </w:t>
      </w:r>
    </w:p>
    <w:p w14:paraId="166F3C81"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8" w:lineRule="exact"/>
        <w:ind w:left="480" w:right="4390" w:hanging="480"/>
        <w:rPr>
          <w:color w:val="000000" w:themeColor="text1"/>
          <w:szCs w:val="22"/>
          <w:lang w:val="sr-Latn-ME"/>
        </w:rPr>
      </w:pPr>
      <w:r w:rsidRPr="00026B48">
        <w:rPr>
          <w:i/>
          <w:iCs/>
          <w:color w:val="000000" w:themeColor="text1"/>
          <w:szCs w:val="22"/>
          <w:lang w:val="sr-Latn-ME"/>
        </w:rPr>
        <w:t>Dubin-Johnson</w:t>
      </w:r>
      <w:r w:rsidRPr="00026B48">
        <w:rPr>
          <w:color w:val="000000" w:themeColor="text1"/>
          <w:szCs w:val="22"/>
          <w:lang w:val="sr-Latn-ME"/>
        </w:rPr>
        <w:t xml:space="preserve">-ov sindrom, </w:t>
      </w:r>
      <w:r w:rsidRPr="00026B48">
        <w:rPr>
          <w:i/>
          <w:iCs/>
          <w:color w:val="000000" w:themeColor="text1"/>
          <w:szCs w:val="22"/>
          <w:lang w:val="sr-Latn-ME"/>
        </w:rPr>
        <w:t>Rotor</w:t>
      </w:r>
      <w:r w:rsidRPr="00026B48">
        <w:rPr>
          <w:color w:val="000000" w:themeColor="text1"/>
          <w:szCs w:val="22"/>
          <w:lang w:val="sr-Latn-ME"/>
        </w:rPr>
        <w:t>-ov sindrom,</w:t>
      </w:r>
    </w:p>
    <w:p w14:paraId="166F3C82" w14:textId="10A053F1"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lastRenderedPageBreak/>
        <w:t>postojeći tumori jetre</w:t>
      </w:r>
      <w:r w:rsidR="00020ECD" w:rsidRPr="00026B48">
        <w:rPr>
          <w:color w:val="000000" w:themeColor="text1"/>
          <w:szCs w:val="22"/>
          <w:lang w:val="sr-Latn-ME"/>
        </w:rPr>
        <w:t xml:space="preserve"> ili tumori jetre u anamnezi</w:t>
      </w:r>
      <w:r w:rsidRPr="00026B48">
        <w:rPr>
          <w:color w:val="000000" w:themeColor="text1"/>
          <w:szCs w:val="22"/>
          <w:lang w:val="sr-Latn-ME"/>
        </w:rPr>
        <w:t xml:space="preserve">, </w:t>
      </w:r>
    </w:p>
    <w:p w14:paraId="166F3C83" w14:textId="2FD8C730"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prethodni ili postojeći meningeom</w:t>
      </w:r>
      <w:r w:rsidR="00020ECD" w:rsidRPr="00026B48">
        <w:rPr>
          <w:color w:val="000000" w:themeColor="text1"/>
          <w:szCs w:val="22"/>
          <w:lang w:val="sr-Latn-ME"/>
        </w:rPr>
        <w:t xml:space="preserve"> ili meningeom u anamnezi</w:t>
      </w:r>
      <w:r w:rsidRPr="00026B48">
        <w:rPr>
          <w:color w:val="000000" w:themeColor="text1"/>
          <w:szCs w:val="22"/>
          <w:lang w:val="sr-Latn-ME"/>
        </w:rPr>
        <w:t>,</w:t>
      </w:r>
    </w:p>
    <w:p w14:paraId="166F3C84"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 xml:space="preserve">bolesti koje izazivaju gubitak tjelesne mase i slabost (eng. </w:t>
      </w:r>
      <w:r w:rsidRPr="00026B48">
        <w:rPr>
          <w:i/>
          <w:iCs/>
          <w:color w:val="000000" w:themeColor="text1"/>
          <w:szCs w:val="22"/>
          <w:lang w:val="sr-Latn-ME"/>
        </w:rPr>
        <w:t>wasting disease</w:t>
      </w:r>
      <w:r w:rsidRPr="00026B48">
        <w:rPr>
          <w:color w:val="000000" w:themeColor="text1"/>
          <w:szCs w:val="22"/>
          <w:lang w:val="sr-Latn-ME"/>
        </w:rPr>
        <w:t>),</w:t>
      </w:r>
    </w:p>
    <w:p w14:paraId="166F3C85"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teška hronična depresija,</w:t>
      </w:r>
    </w:p>
    <w:p w14:paraId="166F3C86"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prethodni ili postojeći tromboembolijski procesi,</w:t>
      </w:r>
    </w:p>
    <w:p w14:paraId="166F3C87"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težak oblik dijabetesa sa vaskularnim promjenama,</w:t>
      </w:r>
    </w:p>
    <w:p w14:paraId="166F3C88" w14:textId="71C10895"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anemija srpastih ćelija</w:t>
      </w:r>
      <w:r w:rsidR="00020ECD" w:rsidRPr="00026B48">
        <w:rPr>
          <w:color w:val="000000" w:themeColor="text1"/>
          <w:szCs w:val="22"/>
          <w:lang w:val="sr-Latn-ME"/>
        </w:rPr>
        <w:t>.</w:t>
      </w:r>
    </w:p>
    <w:p w14:paraId="166F3C89" w14:textId="77777777" w:rsidR="00C00EF1" w:rsidRPr="00026B48" w:rsidRDefault="00C00EF1">
      <w:pPr>
        <w:ind w:left="480" w:hanging="480"/>
        <w:rPr>
          <w:color w:val="000000" w:themeColor="text1"/>
          <w:szCs w:val="22"/>
          <w:lang w:val="sr-Latn-ME"/>
        </w:rPr>
      </w:pPr>
    </w:p>
    <w:p w14:paraId="166F3C8A" w14:textId="77777777" w:rsidR="00C00EF1" w:rsidRPr="00026B48" w:rsidRDefault="008C4083">
      <w:pPr>
        <w:rPr>
          <w:i/>
          <w:color w:val="000000" w:themeColor="text1"/>
          <w:szCs w:val="22"/>
          <w:lang w:val="sr-Latn-ME"/>
        </w:rPr>
      </w:pPr>
      <w:r w:rsidRPr="00026B48">
        <w:rPr>
          <w:b/>
          <w:bCs/>
          <w:i/>
          <w:iCs/>
          <w:color w:val="000000" w:themeColor="text1"/>
          <w:szCs w:val="22"/>
          <w:lang w:val="sr-Latn-ME"/>
        </w:rPr>
        <w:t>Kod antiandrogene terapije kod inoperabilnog karcinoma prostate</w:t>
      </w:r>
    </w:p>
    <w:p w14:paraId="166F3C8B" w14:textId="157339A3" w:rsidR="00490AA7"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 xml:space="preserve">preosjetljivost na aktivnu supstancu ili na bilo koju od pomoćnih supstanci navedenih u </w:t>
      </w:r>
      <w:r w:rsidR="00020ECD" w:rsidRPr="00026B48">
        <w:rPr>
          <w:color w:val="000000" w:themeColor="text1"/>
          <w:szCs w:val="22"/>
          <w:lang w:val="sr-Latn-ME"/>
        </w:rPr>
        <w:t>dijelu</w:t>
      </w:r>
      <w:r w:rsidRPr="00026B48">
        <w:rPr>
          <w:color w:val="000000" w:themeColor="text1"/>
          <w:szCs w:val="22"/>
          <w:lang w:val="sr-Latn-ME"/>
        </w:rPr>
        <w:t xml:space="preserve"> 6.1, </w:t>
      </w:r>
    </w:p>
    <w:p w14:paraId="166F3C8C"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53" w:lineRule="exact"/>
        <w:ind w:left="480" w:hanging="480"/>
        <w:rPr>
          <w:color w:val="000000" w:themeColor="text1"/>
          <w:szCs w:val="22"/>
          <w:lang w:val="sr-Latn-ME"/>
        </w:rPr>
      </w:pPr>
      <w:r w:rsidRPr="00026B48">
        <w:rPr>
          <w:color w:val="000000" w:themeColor="text1"/>
          <w:szCs w:val="22"/>
          <w:lang w:val="sr-Latn-ME"/>
        </w:rPr>
        <w:t>bolesti jetre,</w:t>
      </w:r>
    </w:p>
    <w:p w14:paraId="166F3C8D"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8" w:lineRule="exact"/>
        <w:ind w:left="480" w:right="-50" w:hanging="480"/>
        <w:rPr>
          <w:color w:val="000000" w:themeColor="text1"/>
          <w:szCs w:val="22"/>
          <w:lang w:val="sr-Latn-ME"/>
        </w:rPr>
      </w:pPr>
      <w:r w:rsidRPr="00026B48">
        <w:rPr>
          <w:i/>
          <w:iCs/>
          <w:color w:val="000000" w:themeColor="text1"/>
          <w:szCs w:val="22"/>
          <w:lang w:val="sr-Latn-ME"/>
        </w:rPr>
        <w:t>Dubin-Johnson</w:t>
      </w:r>
      <w:r w:rsidRPr="00026B48">
        <w:rPr>
          <w:color w:val="000000" w:themeColor="text1"/>
          <w:szCs w:val="22"/>
          <w:lang w:val="sr-Latn-ME"/>
        </w:rPr>
        <w:t xml:space="preserve">-ov sindrom, </w:t>
      </w:r>
      <w:r w:rsidRPr="00026B48">
        <w:rPr>
          <w:i/>
          <w:iCs/>
          <w:color w:val="000000" w:themeColor="text1"/>
          <w:szCs w:val="22"/>
          <w:lang w:val="sr-Latn-ME"/>
        </w:rPr>
        <w:t>Rotor</w:t>
      </w:r>
      <w:r w:rsidRPr="00026B48">
        <w:rPr>
          <w:color w:val="000000" w:themeColor="text1"/>
          <w:szCs w:val="22"/>
          <w:lang w:val="sr-Latn-ME"/>
        </w:rPr>
        <w:t>-ov sindrom,</w:t>
      </w:r>
    </w:p>
    <w:p w14:paraId="166F3C8E" w14:textId="0076DF49"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 xml:space="preserve">postojeći tumori jetre </w:t>
      </w:r>
      <w:r w:rsidR="00020ECD" w:rsidRPr="00026B48">
        <w:rPr>
          <w:color w:val="000000" w:themeColor="text1"/>
          <w:szCs w:val="22"/>
          <w:lang w:val="sr-Latn-ME"/>
        </w:rPr>
        <w:t xml:space="preserve">ili tumori jetre u anamnezi </w:t>
      </w:r>
      <w:r w:rsidRPr="00026B48">
        <w:rPr>
          <w:color w:val="000000" w:themeColor="text1"/>
          <w:szCs w:val="22"/>
          <w:lang w:val="sr-Latn-ME"/>
        </w:rPr>
        <w:t>(osim ako ni</w:t>
      </w:r>
      <w:r w:rsidR="00020ECD" w:rsidRPr="00026B48">
        <w:rPr>
          <w:color w:val="000000" w:themeColor="text1"/>
          <w:szCs w:val="22"/>
          <w:lang w:val="sr-Latn-ME"/>
        </w:rPr>
        <w:t>je</w:t>
      </w:r>
      <w:r w:rsidRPr="00026B48">
        <w:rPr>
          <w:color w:val="000000" w:themeColor="text1"/>
          <w:szCs w:val="22"/>
          <w:lang w:val="sr-Latn-ME"/>
        </w:rPr>
        <w:t xml:space="preserve">su nastali kao metastaze karcinoma prostate), </w:t>
      </w:r>
    </w:p>
    <w:p w14:paraId="166F3C8F" w14:textId="6B60A86B"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postojeći meningeom</w:t>
      </w:r>
      <w:r w:rsidR="00020ECD" w:rsidRPr="00026B48">
        <w:rPr>
          <w:color w:val="000000" w:themeColor="text1"/>
          <w:szCs w:val="22"/>
          <w:lang w:val="sr-Latn-ME"/>
        </w:rPr>
        <w:t xml:space="preserve"> ili meningeom u anamnezi</w:t>
      </w:r>
      <w:r w:rsidRPr="00026B48">
        <w:rPr>
          <w:color w:val="000000" w:themeColor="text1"/>
          <w:szCs w:val="22"/>
          <w:lang w:val="sr-Latn-ME"/>
        </w:rPr>
        <w:t>,</w:t>
      </w:r>
    </w:p>
    <w:p w14:paraId="166F3C90"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8" w:lineRule="exact"/>
        <w:ind w:left="480" w:right="-108" w:hanging="480"/>
        <w:rPr>
          <w:color w:val="000000" w:themeColor="text1"/>
          <w:szCs w:val="22"/>
          <w:lang w:val="sr-Latn-ME"/>
        </w:rPr>
      </w:pPr>
      <w:r w:rsidRPr="00026B48">
        <w:rPr>
          <w:color w:val="000000" w:themeColor="text1"/>
          <w:szCs w:val="22"/>
          <w:lang w:val="sr-Latn-ME"/>
        </w:rPr>
        <w:t>bolesti koje izazivaju gubitak tjelesne mase i slabost (osim u slučajevima inoperabilnog karcinoma prostate),</w:t>
      </w:r>
    </w:p>
    <w:p w14:paraId="166F3C91"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 xml:space="preserve">teška hronična depresija, </w:t>
      </w:r>
    </w:p>
    <w:p w14:paraId="166F3C92" w14:textId="7629F3D9"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postojeći tromboembolijski procesi</w:t>
      </w:r>
      <w:r w:rsidR="00020ECD" w:rsidRPr="00026B48">
        <w:rPr>
          <w:color w:val="000000" w:themeColor="text1"/>
          <w:szCs w:val="22"/>
          <w:lang w:val="sr-Latn-ME"/>
        </w:rPr>
        <w:t>.</w:t>
      </w:r>
    </w:p>
    <w:p w14:paraId="166F3C93" w14:textId="77777777" w:rsidR="00C00EF1" w:rsidRPr="00026B48" w:rsidRDefault="00C00EF1" w:rsidP="00AB025E">
      <w:pPr>
        <w:pStyle w:val="Header"/>
        <w:tabs>
          <w:tab w:val="clear" w:pos="4536"/>
          <w:tab w:val="clear" w:pos="9072"/>
          <w:tab w:val="left" w:pos="284"/>
        </w:tabs>
        <w:rPr>
          <w:color w:val="000000" w:themeColor="text1"/>
          <w:szCs w:val="22"/>
          <w:lang w:val="sr-Latn-ME"/>
        </w:rPr>
      </w:pPr>
    </w:p>
    <w:p w14:paraId="166F3C94" w14:textId="77777777" w:rsidR="00C00EF1" w:rsidRPr="00026B48" w:rsidRDefault="008C4083">
      <w:pPr>
        <w:rPr>
          <w:color w:val="000000" w:themeColor="text1"/>
          <w:szCs w:val="22"/>
          <w:lang w:val="sr-Latn-ME"/>
        </w:rPr>
      </w:pPr>
      <w:r w:rsidRPr="00026B48">
        <w:rPr>
          <w:b/>
          <w:bCs/>
          <w:color w:val="000000" w:themeColor="text1"/>
          <w:szCs w:val="22"/>
          <w:lang w:val="sr-Latn-ME"/>
        </w:rPr>
        <w:t>Kontraindikacije kod žena</w:t>
      </w:r>
    </w:p>
    <w:p w14:paraId="166F3C95" w14:textId="427CD5A0" w:rsidR="00490AA7"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 xml:space="preserve">preosjetljivost na aktivnu supstancu ili na bilo koju od pomoćnih supstanci navedenih u </w:t>
      </w:r>
      <w:r w:rsidR="00020ECD" w:rsidRPr="00026B48">
        <w:rPr>
          <w:color w:val="000000" w:themeColor="text1"/>
          <w:szCs w:val="22"/>
          <w:lang w:val="sr-Latn-ME"/>
        </w:rPr>
        <w:t>dijelu</w:t>
      </w:r>
      <w:r w:rsidRPr="00026B48">
        <w:rPr>
          <w:color w:val="000000" w:themeColor="text1"/>
          <w:szCs w:val="22"/>
          <w:lang w:val="sr-Latn-ME"/>
        </w:rPr>
        <w:t xml:space="preserve"> 6.1,</w:t>
      </w:r>
    </w:p>
    <w:p w14:paraId="166F3C96"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8" w:lineRule="exact"/>
        <w:ind w:left="480" w:hanging="494"/>
        <w:rPr>
          <w:color w:val="000000" w:themeColor="text1"/>
          <w:szCs w:val="22"/>
          <w:lang w:val="sr-Latn-ME"/>
        </w:rPr>
      </w:pPr>
      <w:r w:rsidRPr="00026B48">
        <w:rPr>
          <w:color w:val="000000" w:themeColor="text1"/>
          <w:szCs w:val="22"/>
          <w:lang w:val="sr-Latn-ME"/>
        </w:rPr>
        <w:t>trudnoća,</w:t>
      </w:r>
    </w:p>
    <w:p w14:paraId="166F3C97"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8" w:lineRule="exact"/>
        <w:ind w:left="480" w:hanging="494"/>
        <w:rPr>
          <w:color w:val="000000" w:themeColor="text1"/>
          <w:szCs w:val="22"/>
          <w:lang w:val="sr-Latn-ME"/>
        </w:rPr>
      </w:pPr>
      <w:r w:rsidRPr="00026B48">
        <w:rPr>
          <w:color w:val="000000" w:themeColor="text1"/>
          <w:szCs w:val="22"/>
          <w:lang w:val="sr-Latn-ME"/>
        </w:rPr>
        <w:t>dojenje,</w:t>
      </w:r>
    </w:p>
    <w:p w14:paraId="166F3C98"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53" w:lineRule="exact"/>
        <w:ind w:left="480" w:hanging="494"/>
        <w:rPr>
          <w:color w:val="000000" w:themeColor="text1"/>
          <w:szCs w:val="22"/>
          <w:lang w:val="sr-Latn-ME"/>
        </w:rPr>
      </w:pPr>
      <w:r w:rsidRPr="00026B48">
        <w:rPr>
          <w:color w:val="000000" w:themeColor="text1"/>
          <w:szCs w:val="22"/>
          <w:lang w:val="sr-Latn-ME"/>
        </w:rPr>
        <w:t xml:space="preserve">bolesti jetre, </w:t>
      </w:r>
    </w:p>
    <w:p w14:paraId="166F3C99"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before="15" w:line="253" w:lineRule="exact"/>
        <w:ind w:left="480" w:hanging="494"/>
        <w:rPr>
          <w:color w:val="000000" w:themeColor="text1"/>
          <w:szCs w:val="22"/>
          <w:lang w:val="sr-Latn-ME"/>
        </w:rPr>
      </w:pPr>
      <w:r w:rsidRPr="00026B48">
        <w:rPr>
          <w:i/>
          <w:iCs/>
          <w:color w:val="000000" w:themeColor="text1"/>
          <w:szCs w:val="22"/>
          <w:lang w:val="sr-Latn-ME"/>
        </w:rPr>
        <w:t>Dubin-Johnson</w:t>
      </w:r>
      <w:r w:rsidRPr="00026B48">
        <w:rPr>
          <w:color w:val="000000" w:themeColor="text1"/>
          <w:szCs w:val="22"/>
          <w:lang w:val="sr-Latn-ME"/>
        </w:rPr>
        <w:t xml:space="preserve">-ov sindrom, </w:t>
      </w:r>
      <w:r w:rsidRPr="00026B48">
        <w:rPr>
          <w:i/>
          <w:iCs/>
          <w:color w:val="000000" w:themeColor="text1"/>
          <w:szCs w:val="22"/>
          <w:lang w:val="sr-Latn-ME"/>
        </w:rPr>
        <w:t>Rotor</w:t>
      </w:r>
      <w:r w:rsidRPr="00026B48">
        <w:rPr>
          <w:color w:val="000000" w:themeColor="text1"/>
          <w:szCs w:val="22"/>
          <w:lang w:val="sr-Latn-ME"/>
        </w:rPr>
        <w:t xml:space="preserve">-ov sindrom, </w:t>
      </w:r>
    </w:p>
    <w:p w14:paraId="166F3C9A"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before="15" w:line="253" w:lineRule="exact"/>
        <w:ind w:left="480" w:hanging="494"/>
        <w:rPr>
          <w:color w:val="000000" w:themeColor="text1"/>
          <w:szCs w:val="22"/>
          <w:lang w:val="sr-Latn-ME"/>
        </w:rPr>
      </w:pPr>
      <w:r w:rsidRPr="00026B48">
        <w:rPr>
          <w:color w:val="000000" w:themeColor="text1"/>
          <w:szCs w:val="22"/>
          <w:lang w:val="sr-Latn-ME"/>
        </w:rPr>
        <w:t>žutica ili perzistentan pruritus tokom prethodne trudnoće u istoriji bolesti,</w:t>
      </w:r>
    </w:p>
    <w:p w14:paraId="166F3C9B"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8" w:lineRule="exact"/>
        <w:ind w:left="480" w:right="2794" w:hanging="494"/>
        <w:rPr>
          <w:color w:val="000000" w:themeColor="text1"/>
          <w:szCs w:val="22"/>
          <w:lang w:val="sr-Latn-ME"/>
        </w:rPr>
      </w:pPr>
      <w:r w:rsidRPr="00026B48">
        <w:rPr>
          <w:color w:val="000000" w:themeColor="text1"/>
          <w:szCs w:val="22"/>
          <w:lang w:val="sr-Latn-ME"/>
        </w:rPr>
        <w:t xml:space="preserve">herpes u trudnoći u istoriji bolesti, </w:t>
      </w:r>
    </w:p>
    <w:p w14:paraId="166F3C9C" w14:textId="4A1C3676"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94"/>
        <w:rPr>
          <w:color w:val="000000" w:themeColor="text1"/>
          <w:szCs w:val="22"/>
          <w:lang w:val="sr-Latn-ME"/>
        </w:rPr>
      </w:pPr>
      <w:r w:rsidRPr="00026B48">
        <w:rPr>
          <w:color w:val="000000" w:themeColor="text1"/>
          <w:szCs w:val="22"/>
          <w:lang w:val="sr-Latn-ME"/>
        </w:rPr>
        <w:t>postojeći tumori jetre</w:t>
      </w:r>
      <w:r w:rsidR="00020ECD" w:rsidRPr="00026B48">
        <w:rPr>
          <w:color w:val="000000" w:themeColor="text1"/>
          <w:szCs w:val="22"/>
          <w:lang w:val="sr-Latn-ME"/>
        </w:rPr>
        <w:t xml:space="preserve"> ili tumori jetre u anamnezi</w:t>
      </w:r>
      <w:r w:rsidRPr="00026B48">
        <w:rPr>
          <w:color w:val="000000" w:themeColor="text1"/>
          <w:szCs w:val="22"/>
          <w:lang w:val="sr-Latn-ME"/>
        </w:rPr>
        <w:t>,</w:t>
      </w:r>
    </w:p>
    <w:p w14:paraId="166F3C9D" w14:textId="19241240"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prethodni ili postojeći meningeom</w:t>
      </w:r>
      <w:r w:rsidR="00020ECD" w:rsidRPr="00026B48">
        <w:rPr>
          <w:color w:val="000000" w:themeColor="text1"/>
          <w:szCs w:val="22"/>
          <w:lang w:val="sr-Latn-ME"/>
        </w:rPr>
        <w:t xml:space="preserve"> ili meningeom u anamnezi</w:t>
      </w:r>
      <w:r w:rsidRPr="00026B48">
        <w:rPr>
          <w:color w:val="000000" w:themeColor="text1"/>
          <w:szCs w:val="22"/>
          <w:lang w:val="sr-Latn-ME"/>
        </w:rPr>
        <w:t>,</w:t>
      </w:r>
    </w:p>
    <w:p w14:paraId="166F3C9E"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 xml:space="preserve">bolesti koje izazivaju gubitak tjelesne mase i slabost (eng. </w:t>
      </w:r>
      <w:r w:rsidRPr="00026B48">
        <w:rPr>
          <w:i/>
          <w:iCs/>
          <w:color w:val="000000" w:themeColor="text1"/>
          <w:szCs w:val="22"/>
          <w:lang w:val="sr-Latn-ME"/>
        </w:rPr>
        <w:t>wasting disease</w:t>
      </w:r>
      <w:r w:rsidRPr="00026B48">
        <w:rPr>
          <w:color w:val="000000" w:themeColor="text1"/>
          <w:szCs w:val="22"/>
          <w:lang w:val="sr-Latn-ME"/>
        </w:rPr>
        <w:t>),</w:t>
      </w:r>
    </w:p>
    <w:p w14:paraId="166F3C9F"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94"/>
        <w:rPr>
          <w:color w:val="000000" w:themeColor="text1"/>
          <w:szCs w:val="22"/>
          <w:lang w:val="sr-Latn-ME"/>
        </w:rPr>
      </w:pPr>
      <w:r w:rsidRPr="00026B48">
        <w:rPr>
          <w:color w:val="000000" w:themeColor="text1"/>
          <w:szCs w:val="22"/>
          <w:lang w:val="sr-Latn-ME"/>
        </w:rPr>
        <w:t>ozbiljna hronična depresija,</w:t>
      </w:r>
    </w:p>
    <w:p w14:paraId="166F3CA0"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prethodni ili postojeći tromboembolijski procesi,</w:t>
      </w:r>
    </w:p>
    <w:p w14:paraId="166F3CA1" w14:textId="77777777"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težak oblik dijabetesa sa vaskularnim promjenama,</w:t>
      </w:r>
    </w:p>
    <w:p w14:paraId="166F3CA2" w14:textId="376236D1" w:rsidR="00C00EF1" w:rsidRPr="00026B48" w:rsidRDefault="008C4083" w:rsidP="00AB025E">
      <w:pPr>
        <w:widowControl w:val="0"/>
        <w:numPr>
          <w:ilvl w:val="0"/>
          <w:numId w:val="6"/>
        </w:numPr>
        <w:tabs>
          <w:tab w:val="clear" w:pos="284"/>
          <w:tab w:val="clear" w:pos="2534"/>
        </w:tabs>
        <w:autoSpaceDE w:val="0"/>
        <w:autoSpaceDN w:val="0"/>
        <w:adjustRightInd w:val="0"/>
        <w:spacing w:line="263" w:lineRule="exact"/>
        <w:ind w:left="480" w:hanging="480"/>
        <w:rPr>
          <w:color w:val="000000" w:themeColor="text1"/>
          <w:szCs w:val="22"/>
          <w:lang w:val="sr-Latn-ME"/>
        </w:rPr>
      </w:pPr>
      <w:r w:rsidRPr="00026B48">
        <w:rPr>
          <w:color w:val="000000" w:themeColor="text1"/>
          <w:szCs w:val="22"/>
          <w:lang w:val="sr-Latn-ME"/>
        </w:rPr>
        <w:t>anemija srpastih ćelija</w:t>
      </w:r>
      <w:r w:rsidR="00020ECD" w:rsidRPr="00026B48">
        <w:rPr>
          <w:color w:val="000000" w:themeColor="text1"/>
          <w:szCs w:val="22"/>
          <w:lang w:val="sr-Latn-ME"/>
        </w:rPr>
        <w:t>.</w:t>
      </w:r>
    </w:p>
    <w:p w14:paraId="166F3CA3" w14:textId="77777777" w:rsidR="00C00EF1" w:rsidRPr="00026B48" w:rsidRDefault="00C00EF1" w:rsidP="00AB025E">
      <w:pPr>
        <w:pStyle w:val="Header"/>
        <w:tabs>
          <w:tab w:val="clear" w:pos="4536"/>
          <w:tab w:val="clear" w:pos="9072"/>
          <w:tab w:val="left" w:pos="284"/>
        </w:tabs>
        <w:rPr>
          <w:color w:val="000000" w:themeColor="text1"/>
          <w:szCs w:val="22"/>
          <w:lang w:val="sr-Latn-ME"/>
        </w:rPr>
      </w:pPr>
    </w:p>
    <w:p w14:paraId="28944F15" w14:textId="1384FAD6" w:rsidR="008B284B" w:rsidRPr="00026B48" w:rsidRDefault="008C4083">
      <w:pPr>
        <w:pStyle w:val="Header"/>
        <w:tabs>
          <w:tab w:val="clear" w:pos="4536"/>
          <w:tab w:val="clear" w:pos="9072"/>
          <w:tab w:val="left" w:pos="284"/>
        </w:tabs>
        <w:rPr>
          <w:color w:val="000000" w:themeColor="text1"/>
          <w:szCs w:val="22"/>
          <w:lang w:val="sr-Latn-ME"/>
        </w:rPr>
      </w:pPr>
      <w:r w:rsidRPr="00026B48">
        <w:rPr>
          <w:color w:val="000000" w:themeColor="text1"/>
          <w:szCs w:val="22"/>
          <w:lang w:val="sr-Latn-ME"/>
        </w:rPr>
        <w:t xml:space="preserve">Kod kombinovane ciklične terapije teških znakova androgenizacije, potrebno je obratiti pažnju i na kontraindikacije navedene u </w:t>
      </w:r>
      <w:r w:rsidRPr="00026B48">
        <w:rPr>
          <w:i/>
          <w:iCs/>
          <w:color w:val="000000" w:themeColor="text1"/>
          <w:szCs w:val="22"/>
          <w:lang w:val="sr-Latn-ME"/>
        </w:rPr>
        <w:t>Sažetku karakteristika lijeka</w:t>
      </w:r>
      <w:r w:rsidRPr="00026B48">
        <w:rPr>
          <w:color w:val="000000" w:themeColor="text1"/>
          <w:szCs w:val="22"/>
          <w:lang w:val="sr-Latn-ME"/>
        </w:rPr>
        <w:t xml:space="preserve"> kombinovanog oralnog kontraceptiva (2 mg ciproteronacetata i 0,035 mg etinilestradiola) koji se u tom slučaju uzima u kombinaciji sa lijekom Androcur.</w:t>
      </w:r>
    </w:p>
    <w:p w14:paraId="166F3CA5" w14:textId="77777777" w:rsidR="00CE09F3" w:rsidRPr="00026B48" w:rsidRDefault="00CE09F3">
      <w:pPr>
        <w:rPr>
          <w:color w:val="000000" w:themeColor="text1"/>
          <w:szCs w:val="22"/>
          <w:lang w:val="sr-Latn-ME"/>
        </w:rPr>
      </w:pPr>
    </w:p>
    <w:p w14:paraId="166F3CA6" w14:textId="77777777" w:rsidR="00CE09F3" w:rsidRPr="00026B48" w:rsidRDefault="008C4083">
      <w:pPr>
        <w:rPr>
          <w:b/>
          <w:bCs/>
          <w:color w:val="000000" w:themeColor="text1"/>
          <w:szCs w:val="22"/>
          <w:lang w:val="sr-Latn-ME"/>
        </w:rPr>
      </w:pPr>
      <w:r w:rsidRPr="00026B48">
        <w:rPr>
          <w:b/>
          <w:bCs/>
          <w:color w:val="000000" w:themeColor="text1"/>
          <w:szCs w:val="22"/>
          <w:lang w:val="sr-Latn-ME"/>
        </w:rPr>
        <w:t>4.4. Posebna upozorenja i mjere opreza pri upotrebi lijeka</w:t>
      </w:r>
    </w:p>
    <w:p w14:paraId="166F3CA7" w14:textId="283279C5" w:rsidR="00CE09F3" w:rsidRPr="00026B48" w:rsidRDefault="00C70FD4">
      <w:pPr>
        <w:tabs>
          <w:tab w:val="clear" w:pos="284"/>
          <w:tab w:val="left" w:pos="7731"/>
        </w:tabs>
        <w:rPr>
          <w:color w:val="000000" w:themeColor="text1"/>
          <w:szCs w:val="22"/>
          <w:lang w:val="sr-Latn-ME"/>
        </w:rPr>
      </w:pPr>
      <w:r w:rsidRPr="00026B48">
        <w:rPr>
          <w:color w:val="000000" w:themeColor="text1"/>
          <w:szCs w:val="22"/>
          <w:lang w:val="sr-Latn-ME"/>
        </w:rPr>
        <w:tab/>
      </w:r>
    </w:p>
    <w:p w14:paraId="166F3CA8" w14:textId="77777777" w:rsidR="00C00EF1" w:rsidRPr="00026B48" w:rsidRDefault="008C4083" w:rsidP="00AB025E">
      <w:pPr>
        <w:rPr>
          <w:b/>
          <w:color w:val="000000" w:themeColor="text1"/>
          <w:szCs w:val="22"/>
          <w:lang w:val="sr-Latn-ME"/>
        </w:rPr>
      </w:pPr>
      <w:r w:rsidRPr="00026B48">
        <w:rPr>
          <w:b/>
          <w:bCs/>
          <w:color w:val="000000" w:themeColor="text1"/>
          <w:szCs w:val="22"/>
          <w:lang w:val="sr-Latn-ME"/>
        </w:rPr>
        <w:t>Jetra</w:t>
      </w:r>
    </w:p>
    <w:p w14:paraId="166F3CA9" w14:textId="4DDDC39F" w:rsidR="005C44CE" w:rsidRPr="00026B48" w:rsidRDefault="008C4083">
      <w:pPr>
        <w:rPr>
          <w:color w:val="000000" w:themeColor="text1"/>
          <w:szCs w:val="22"/>
          <w:lang w:val="sr-Latn-ME"/>
        </w:rPr>
      </w:pPr>
      <w:r w:rsidRPr="00026B48">
        <w:rPr>
          <w:color w:val="000000" w:themeColor="text1"/>
          <w:szCs w:val="22"/>
          <w:lang w:val="sr-Latn-ME"/>
        </w:rPr>
        <w:t>Direktna hepatotoksičnost, koja uključuje žuticu, hepatitis i insuficijenciju jetre primijećena je kod pacijenata koji su bili na terapiji lijekom Androcur. U dozama od 100 mg i više takođe su prijavljeni i slučajevi sa fatalnim ishodima. Najčešće prijavljivani slučajevi sa smrtnim ishodom bili su kod muškaraca sa uznapredovalim karcinomom prostate. Toksičnost je dozno zavisna i obično se razvija nekoliko mjeseci nakon početka terapije. Testove funkcije jetre treba uraditi prije početka terapije, redovno tokom terapije i kad god se pojave bilo kakvi simptomi koji ukazuju na hepatotoksičnost. Ukoliko se javi hepatotoksičnost, terapiju lijekom Androcur kod žena treba prekinuti. Kod muškaraca je takođe potrebno prekinuti terapiju lijekom Androcur, osim ukoliko ne</w:t>
      </w:r>
      <w:r w:rsidR="008B284B" w:rsidRPr="00026B48">
        <w:rPr>
          <w:color w:val="000000" w:themeColor="text1"/>
          <w:szCs w:val="22"/>
          <w:lang w:val="sr-Latn-ME"/>
        </w:rPr>
        <w:t xml:space="preserve"> </w:t>
      </w:r>
      <w:r w:rsidRPr="00026B48">
        <w:rPr>
          <w:color w:val="000000" w:themeColor="text1"/>
          <w:szCs w:val="22"/>
          <w:lang w:val="sr-Latn-ME"/>
        </w:rPr>
        <w:t>postoji drugi uzrok pojave hepatotoksičnosti, kao što je metastatsko oboljenje. U tom slučaju bi terapiju lijekom Androcur trebalo nastaviti samo ukoliko korist prevazilazi rizik.</w:t>
      </w:r>
    </w:p>
    <w:p w14:paraId="166F3CAA" w14:textId="77777777" w:rsidR="00C00EF1" w:rsidRPr="00026B48" w:rsidRDefault="00C00EF1" w:rsidP="00AB025E">
      <w:pPr>
        <w:rPr>
          <w:color w:val="000000" w:themeColor="text1"/>
          <w:szCs w:val="22"/>
          <w:lang w:val="sr-Latn-ME"/>
        </w:rPr>
      </w:pPr>
    </w:p>
    <w:p w14:paraId="166F3CAB" w14:textId="40F74BCE" w:rsidR="005C44CE" w:rsidRPr="00026B48" w:rsidRDefault="008C4083">
      <w:pPr>
        <w:rPr>
          <w:color w:val="000000" w:themeColor="text1"/>
          <w:szCs w:val="22"/>
          <w:lang w:val="sr-Latn-ME"/>
        </w:rPr>
      </w:pPr>
      <w:r w:rsidRPr="00026B48">
        <w:rPr>
          <w:color w:val="000000" w:themeColor="text1"/>
          <w:szCs w:val="22"/>
          <w:lang w:val="sr-Latn-ME"/>
        </w:rPr>
        <w:lastRenderedPageBreak/>
        <w:t xml:space="preserve">U veoma rijetkim slučajevima, nakon primjene lijeka Androcur kod muškaraca </w:t>
      </w:r>
      <w:r w:rsidR="00020ECD" w:rsidRPr="00026B48">
        <w:rPr>
          <w:color w:val="000000" w:themeColor="text1"/>
          <w:szCs w:val="22"/>
          <w:lang w:val="sr-Latn-ME"/>
        </w:rPr>
        <w:t xml:space="preserve">i kod žena </w:t>
      </w:r>
      <w:r w:rsidRPr="00026B48">
        <w:rPr>
          <w:color w:val="000000" w:themeColor="text1"/>
          <w:szCs w:val="22"/>
          <w:lang w:val="sr-Latn-ME"/>
        </w:rPr>
        <w:t xml:space="preserve">zabilježeni su benigni i maligni tumori jetre koji mogu da dovedu do životno ugrožavajućeg intraabdominalnog krvarenja. Ukoliko dođe do ozbiljnih problema u gornjem dijelu abdomena, uvećanja jetre ili znakova intraabdominalnog krvarenja, u diferencijalnu dijagnozu treba uključiti i tumor jetre. </w:t>
      </w:r>
    </w:p>
    <w:p w14:paraId="166F3CAC" w14:textId="77777777" w:rsidR="00C00EF1" w:rsidRPr="00026B48" w:rsidRDefault="00C00EF1" w:rsidP="00AB025E">
      <w:pPr>
        <w:rPr>
          <w:color w:val="000000" w:themeColor="text1"/>
          <w:szCs w:val="22"/>
          <w:lang w:val="sr-Latn-ME"/>
        </w:rPr>
      </w:pPr>
    </w:p>
    <w:p w14:paraId="166F3CAD" w14:textId="77777777" w:rsidR="00C00EF1" w:rsidRPr="00026B48" w:rsidRDefault="008C4083" w:rsidP="00AB025E">
      <w:pPr>
        <w:rPr>
          <w:b/>
          <w:color w:val="000000" w:themeColor="text1"/>
          <w:szCs w:val="22"/>
          <w:lang w:val="sr-Latn-ME"/>
        </w:rPr>
      </w:pPr>
      <w:r w:rsidRPr="00026B48">
        <w:rPr>
          <w:b/>
          <w:bCs/>
          <w:color w:val="000000" w:themeColor="text1"/>
          <w:szCs w:val="22"/>
          <w:lang w:val="sr-Latn-ME"/>
        </w:rPr>
        <w:t>Meningeom</w:t>
      </w:r>
    </w:p>
    <w:p w14:paraId="3B8F614A" w14:textId="4FA6807B" w:rsidR="001A01AF" w:rsidRPr="00026B48" w:rsidRDefault="001A01AF">
      <w:pPr>
        <w:rPr>
          <w:color w:val="000000" w:themeColor="text1"/>
          <w:szCs w:val="22"/>
          <w:lang w:val="sr-Latn-ME"/>
        </w:rPr>
      </w:pPr>
      <w:r w:rsidRPr="00026B48">
        <w:rPr>
          <w:color w:val="000000" w:themeColor="text1"/>
          <w:szCs w:val="22"/>
          <w:lang w:val="sr-Latn-ME"/>
        </w:rPr>
        <w:t>Prijavljeni su slučajevi pojave meningeoma (pojedinačnih i multiplih) koji su bili povezani sa upotrebom ciproteronacetata uglavnom u dozama od 25 mg i višim</w:t>
      </w:r>
      <w:r w:rsidR="00B84036" w:rsidRPr="00026B48">
        <w:rPr>
          <w:color w:val="000000" w:themeColor="text1"/>
          <w:szCs w:val="22"/>
          <w:lang w:val="sr-Latn-ME"/>
        </w:rPr>
        <w:t xml:space="preserve"> i kod muškaraca i kod žena u period</w:t>
      </w:r>
      <w:r w:rsidR="00020ECD" w:rsidRPr="00026B48">
        <w:rPr>
          <w:color w:val="000000" w:themeColor="text1"/>
          <w:szCs w:val="22"/>
          <w:lang w:val="sr-Latn-ME"/>
        </w:rPr>
        <w:t>u</w:t>
      </w:r>
      <w:r w:rsidR="00B84036" w:rsidRPr="00026B48">
        <w:rPr>
          <w:color w:val="000000" w:themeColor="text1"/>
          <w:szCs w:val="22"/>
          <w:lang w:val="sr-Latn-ME"/>
        </w:rPr>
        <w:t xml:space="preserve"> prije i nakon menopauze</w:t>
      </w:r>
      <w:r w:rsidRPr="00026B48">
        <w:rPr>
          <w:color w:val="000000" w:themeColor="text1"/>
          <w:szCs w:val="22"/>
          <w:lang w:val="sr-Latn-ME"/>
        </w:rPr>
        <w:t>. Rizik od pojave meningeoma raste sa povećanjem kumulativnih doza ciproteronacetata (vidjeti dio 5.1). Visoke kumulativne doze mogu se dostići produženom upotrebom lijeka (nekoliko godina) ili kraćim trajanjem terapije visokim dnevnim dozama. Pacijente treba pratiti zbog pojave meningeoma u skladu sa kliničkom praksom. Ako je pacijentu koji je na terapiji lijekom Androcur dijagnosti</w:t>
      </w:r>
      <w:r w:rsidR="00020ECD" w:rsidRPr="00026B48">
        <w:rPr>
          <w:color w:val="000000" w:themeColor="text1"/>
          <w:szCs w:val="22"/>
          <w:lang w:val="sr-Latn-ME"/>
        </w:rPr>
        <w:t>kovan</w:t>
      </w:r>
      <w:r w:rsidRPr="00026B48">
        <w:rPr>
          <w:color w:val="000000" w:themeColor="text1"/>
          <w:szCs w:val="22"/>
          <w:lang w:val="sr-Latn-ME"/>
        </w:rPr>
        <w:t xml:space="preserve"> meningeom, terapija lijekom Androcur i drugim ljekovima koji sadrže ciproteron mora biti trajno obustavljena (vidjeti dio 4.3).</w:t>
      </w:r>
    </w:p>
    <w:p w14:paraId="166F3CAF" w14:textId="419BC0BB" w:rsidR="00C00EF1" w:rsidRPr="00026B48" w:rsidRDefault="001A01AF" w:rsidP="00AB025E">
      <w:pPr>
        <w:pStyle w:val="Header"/>
        <w:tabs>
          <w:tab w:val="clear" w:pos="4536"/>
          <w:tab w:val="clear" w:pos="9072"/>
          <w:tab w:val="left" w:pos="284"/>
        </w:tabs>
        <w:rPr>
          <w:color w:val="000000" w:themeColor="text1"/>
          <w:szCs w:val="22"/>
          <w:lang w:val="sr-Latn-ME"/>
        </w:rPr>
      </w:pPr>
      <w:r w:rsidRPr="00026B48">
        <w:rPr>
          <w:color w:val="000000" w:themeColor="text1"/>
          <w:szCs w:val="22"/>
          <w:lang w:val="sr-Latn-ME"/>
        </w:rPr>
        <w:t>Postoje određeni dokazi da se rizik od mening</w:t>
      </w:r>
      <w:r w:rsidR="00020ECD" w:rsidRPr="00026B48">
        <w:rPr>
          <w:color w:val="000000" w:themeColor="text1"/>
          <w:szCs w:val="22"/>
          <w:lang w:val="sr-Latn-ME"/>
        </w:rPr>
        <w:t>e</w:t>
      </w:r>
      <w:r w:rsidRPr="00026B48">
        <w:rPr>
          <w:color w:val="000000" w:themeColor="text1"/>
          <w:szCs w:val="22"/>
          <w:lang w:val="sr-Latn-ME"/>
        </w:rPr>
        <w:t>oma može smanjiti nakon prekida terapije ciproteronom.</w:t>
      </w:r>
    </w:p>
    <w:p w14:paraId="746A568C" w14:textId="77777777" w:rsidR="00020ECD" w:rsidRPr="00026B48" w:rsidRDefault="00020ECD" w:rsidP="00AB025E">
      <w:pPr>
        <w:pStyle w:val="Header"/>
        <w:tabs>
          <w:tab w:val="clear" w:pos="4536"/>
          <w:tab w:val="clear" w:pos="9072"/>
          <w:tab w:val="left" w:pos="284"/>
        </w:tabs>
        <w:rPr>
          <w:color w:val="000000" w:themeColor="text1"/>
          <w:szCs w:val="22"/>
          <w:lang w:val="sr-Latn-ME"/>
        </w:rPr>
      </w:pPr>
    </w:p>
    <w:p w14:paraId="166F3CB0" w14:textId="77777777" w:rsidR="00C00EF1" w:rsidRPr="00026B48" w:rsidRDefault="008C4083" w:rsidP="00AB025E">
      <w:pPr>
        <w:pStyle w:val="Header"/>
        <w:tabs>
          <w:tab w:val="clear" w:pos="4536"/>
          <w:tab w:val="clear" w:pos="9072"/>
          <w:tab w:val="left" w:pos="284"/>
        </w:tabs>
        <w:rPr>
          <w:b/>
          <w:color w:val="000000" w:themeColor="text1"/>
          <w:szCs w:val="22"/>
          <w:lang w:val="sr-Latn-ME"/>
        </w:rPr>
      </w:pPr>
      <w:r w:rsidRPr="00026B48">
        <w:rPr>
          <w:b/>
          <w:bCs/>
          <w:color w:val="000000" w:themeColor="text1"/>
          <w:szCs w:val="22"/>
          <w:lang w:val="sr-Latn-ME"/>
        </w:rPr>
        <w:t>Tromboembolijski događaji</w:t>
      </w:r>
    </w:p>
    <w:p w14:paraId="166F3CB1"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Kod pacijenata na terapiji lijekom Androcur prijavljena je pojava tromboembolijskih događaja, ali povezanost sa primjenom lijeka nije utvrđena. Kod pacijenata sa ranijim arterijskim ili venskim trombotičkim/tromboembolijskim događajima (npr. duboka venska tromboza, plućna embolija, infarkt miokarda) ili sa cerebrovaskularnim događajima u istoriji bolesti ili sa uznapredovalim malignitetima postoji povećan rizik od pojave dodatnih tromboembolijskih događaja.</w:t>
      </w:r>
    </w:p>
    <w:p w14:paraId="166F3CB2" w14:textId="77777777" w:rsidR="00C00EF1" w:rsidRPr="00026B48" w:rsidRDefault="00C00EF1" w:rsidP="00AB025E">
      <w:pPr>
        <w:rPr>
          <w:color w:val="000000" w:themeColor="text1"/>
          <w:szCs w:val="22"/>
          <w:lang w:val="sr-Latn-ME"/>
        </w:rPr>
      </w:pPr>
    </w:p>
    <w:p w14:paraId="166F3CB3"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Kod pacijenata sa inoperabilnim karcinomom prostate, koji su u istoriji bolesti imali tromboembolijske procese ili patili od anemije srpastih ćelija ili teškog dijabetesa sa vaskularnim promenama, treba uraditi pažljivu procjenu koristi i rizika za svakog pacijenta pojedinačno, prije propisivanja lijeka Androcur.</w:t>
      </w:r>
    </w:p>
    <w:p w14:paraId="166F3CB4" w14:textId="77777777" w:rsidR="00C00EF1" w:rsidRPr="00026B48" w:rsidRDefault="00C00EF1" w:rsidP="00AB025E">
      <w:pPr>
        <w:rPr>
          <w:color w:val="000000" w:themeColor="text1"/>
          <w:szCs w:val="22"/>
          <w:lang w:val="sr-Latn-ME"/>
        </w:rPr>
      </w:pPr>
    </w:p>
    <w:p w14:paraId="166F3CB5" w14:textId="77777777" w:rsidR="00C00EF1" w:rsidRPr="00026B48" w:rsidRDefault="008C4083" w:rsidP="00AB025E">
      <w:pPr>
        <w:rPr>
          <w:b/>
          <w:color w:val="000000" w:themeColor="text1"/>
          <w:szCs w:val="22"/>
          <w:lang w:val="sr-Latn-ME"/>
        </w:rPr>
      </w:pPr>
      <w:r w:rsidRPr="00026B48">
        <w:rPr>
          <w:b/>
          <w:bCs/>
          <w:color w:val="000000" w:themeColor="text1"/>
          <w:szCs w:val="22"/>
          <w:lang w:val="sr-Latn-ME"/>
        </w:rPr>
        <w:t>Anemija (</w:t>
      </w:r>
      <w:r w:rsidRPr="00026B48">
        <w:rPr>
          <w:b/>
          <w:bCs/>
          <w:i/>
          <w:iCs/>
          <w:color w:val="000000" w:themeColor="text1"/>
          <w:szCs w:val="22"/>
          <w:lang w:val="sr-Latn-ME"/>
        </w:rPr>
        <w:t>kod muškaraca</w:t>
      </w:r>
      <w:r w:rsidRPr="00026B48">
        <w:rPr>
          <w:b/>
          <w:bCs/>
          <w:color w:val="000000" w:themeColor="text1"/>
          <w:szCs w:val="22"/>
          <w:lang w:val="sr-Latn-ME"/>
        </w:rPr>
        <w:t>)</w:t>
      </w:r>
    </w:p>
    <w:p w14:paraId="166F3CB6" w14:textId="77777777" w:rsidR="005C44CE" w:rsidRPr="00026B48" w:rsidRDefault="008C4083">
      <w:pPr>
        <w:rPr>
          <w:color w:val="000000" w:themeColor="text1"/>
          <w:szCs w:val="22"/>
          <w:lang w:val="sr-Latn-ME"/>
        </w:rPr>
      </w:pPr>
      <w:r w:rsidRPr="00026B48">
        <w:rPr>
          <w:color w:val="000000" w:themeColor="text1"/>
          <w:szCs w:val="22"/>
          <w:lang w:val="sr-Latn-ME"/>
        </w:rPr>
        <w:t>Prijavljeni su slučajevi anemije tokom terapije lijekom Androcur. Stoga, potrebno je redovno kontrolisati broj eritrocita.</w:t>
      </w:r>
    </w:p>
    <w:p w14:paraId="166F3CB7" w14:textId="77777777" w:rsidR="00C00EF1" w:rsidRPr="00026B48" w:rsidRDefault="00C00EF1" w:rsidP="00AB025E">
      <w:pPr>
        <w:rPr>
          <w:color w:val="000000" w:themeColor="text1"/>
          <w:szCs w:val="22"/>
          <w:lang w:val="sr-Latn-ME"/>
        </w:rPr>
      </w:pPr>
    </w:p>
    <w:p w14:paraId="166F3CB8" w14:textId="77777777" w:rsidR="00C00EF1" w:rsidRPr="00026B48" w:rsidRDefault="008C4083" w:rsidP="00AB025E">
      <w:pPr>
        <w:rPr>
          <w:b/>
          <w:color w:val="000000" w:themeColor="text1"/>
          <w:szCs w:val="22"/>
          <w:lang w:val="sr-Latn-ME"/>
        </w:rPr>
      </w:pPr>
      <w:r w:rsidRPr="00026B48">
        <w:rPr>
          <w:b/>
          <w:bCs/>
          <w:color w:val="000000" w:themeColor="text1"/>
          <w:szCs w:val="22"/>
          <w:lang w:val="sr-Latn-ME"/>
        </w:rPr>
        <w:t>Diabetes melitus</w:t>
      </w:r>
    </w:p>
    <w:p w14:paraId="166F3CB9" w14:textId="0F3D9BCE" w:rsidR="005C44CE" w:rsidRPr="00026B48" w:rsidRDefault="008C4083">
      <w:pPr>
        <w:rPr>
          <w:color w:val="000000" w:themeColor="text1"/>
          <w:szCs w:val="22"/>
          <w:lang w:val="sr-Latn-ME"/>
        </w:rPr>
      </w:pPr>
      <w:r w:rsidRPr="00026B48">
        <w:rPr>
          <w:color w:val="000000" w:themeColor="text1"/>
          <w:szCs w:val="22"/>
          <w:lang w:val="sr-Latn-ME"/>
        </w:rPr>
        <w:t xml:space="preserve">Potrebno je pažljivo medicinsko praćenje pacijenata koji boluju od dijabetesa, iz razloga što se može javiti potreba da se koriguje doza oralnih antidijabetika ili insulina tokom terapije lijekom Androcur (vidjeti </w:t>
      </w:r>
      <w:r w:rsidR="00020ECD" w:rsidRPr="00026B48">
        <w:rPr>
          <w:color w:val="000000" w:themeColor="text1"/>
          <w:szCs w:val="22"/>
          <w:lang w:val="sr-Latn-ME"/>
        </w:rPr>
        <w:t>dio</w:t>
      </w:r>
      <w:r w:rsidRPr="00026B48">
        <w:rPr>
          <w:color w:val="000000" w:themeColor="text1"/>
          <w:szCs w:val="22"/>
          <w:lang w:val="sr-Latn-ME"/>
        </w:rPr>
        <w:t xml:space="preserve"> 4.3).</w:t>
      </w:r>
    </w:p>
    <w:p w14:paraId="166F3CBA" w14:textId="77777777" w:rsidR="00C00EF1" w:rsidRPr="00026B48" w:rsidRDefault="00C00EF1" w:rsidP="00AB025E">
      <w:pPr>
        <w:rPr>
          <w:color w:val="000000" w:themeColor="text1"/>
          <w:szCs w:val="22"/>
          <w:lang w:val="sr-Latn-ME"/>
        </w:rPr>
      </w:pPr>
    </w:p>
    <w:p w14:paraId="166F3CBB" w14:textId="77777777" w:rsidR="00C00EF1" w:rsidRPr="00026B48" w:rsidRDefault="008C4083" w:rsidP="00AB025E">
      <w:pPr>
        <w:rPr>
          <w:b/>
          <w:color w:val="000000" w:themeColor="text1"/>
          <w:szCs w:val="22"/>
          <w:lang w:val="sr-Latn-ME"/>
        </w:rPr>
      </w:pPr>
      <w:r w:rsidRPr="00026B48">
        <w:rPr>
          <w:b/>
          <w:bCs/>
          <w:color w:val="000000" w:themeColor="text1"/>
          <w:szCs w:val="22"/>
          <w:lang w:val="sr-Latn-ME"/>
        </w:rPr>
        <w:t>Problem sa disanjem (nedostatak daha)</w:t>
      </w:r>
    </w:p>
    <w:p w14:paraId="166F3CBC" w14:textId="77777777" w:rsidR="00C00EF1" w:rsidRPr="00026B48" w:rsidRDefault="008C4083" w:rsidP="00AB025E">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U pojedinim slučajevima se može javiti nedostatak daha usljed primjene visokih doza lijeka Androcur.</w:t>
      </w:r>
    </w:p>
    <w:p w14:paraId="166F3CBD" w14:textId="77777777" w:rsidR="00C00EF1" w:rsidRPr="00026B48" w:rsidRDefault="00C00EF1" w:rsidP="00AB025E">
      <w:pPr>
        <w:tabs>
          <w:tab w:val="clear" w:pos="284"/>
        </w:tabs>
        <w:autoSpaceDE w:val="0"/>
        <w:autoSpaceDN w:val="0"/>
        <w:adjustRightInd w:val="0"/>
        <w:rPr>
          <w:color w:val="000000" w:themeColor="text1"/>
          <w:szCs w:val="22"/>
          <w:lang w:val="sr-Latn-ME"/>
        </w:rPr>
      </w:pPr>
    </w:p>
    <w:p w14:paraId="166F3CBE" w14:textId="1D913489" w:rsidR="00C00EF1" w:rsidRPr="00026B48" w:rsidRDefault="008C4083" w:rsidP="00AB025E">
      <w:pPr>
        <w:rPr>
          <w:b/>
          <w:color w:val="000000" w:themeColor="text1"/>
          <w:szCs w:val="22"/>
          <w:lang w:val="sr-Latn-ME"/>
        </w:rPr>
      </w:pPr>
      <w:r w:rsidRPr="00026B48">
        <w:rPr>
          <w:b/>
          <w:bCs/>
          <w:color w:val="000000" w:themeColor="text1"/>
          <w:szCs w:val="22"/>
          <w:lang w:val="sr-Latn-ME"/>
        </w:rPr>
        <w:t>Ad</w:t>
      </w:r>
      <w:r w:rsidR="00020ECD" w:rsidRPr="00026B48">
        <w:rPr>
          <w:b/>
          <w:bCs/>
          <w:color w:val="000000" w:themeColor="text1"/>
          <w:szCs w:val="22"/>
          <w:lang w:val="sr-Latn-ME"/>
        </w:rPr>
        <w:t>r</w:t>
      </w:r>
      <w:r w:rsidRPr="00026B48">
        <w:rPr>
          <w:b/>
          <w:bCs/>
          <w:color w:val="000000" w:themeColor="text1"/>
          <w:szCs w:val="22"/>
          <w:lang w:val="sr-Latn-ME"/>
        </w:rPr>
        <w:t>enokortikalna aktivnost</w:t>
      </w:r>
    </w:p>
    <w:p w14:paraId="166F3CBF" w14:textId="498EE775" w:rsidR="005C44CE" w:rsidRPr="00026B48" w:rsidRDefault="008C4083">
      <w:pPr>
        <w:rPr>
          <w:color w:val="000000" w:themeColor="text1"/>
          <w:szCs w:val="22"/>
          <w:lang w:val="sr-Latn-ME"/>
        </w:rPr>
      </w:pPr>
      <w:r w:rsidRPr="00026B48">
        <w:rPr>
          <w:color w:val="000000" w:themeColor="text1"/>
          <w:szCs w:val="22"/>
          <w:lang w:val="sr-Latn-ME"/>
        </w:rPr>
        <w:t>Tokom liječenja treba redovno provjeravati ad</w:t>
      </w:r>
      <w:r w:rsidR="00020ECD" w:rsidRPr="00026B48">
        <w:rPr>
          <w:color w:val="000000" w:themeColor="text1"/>
          <w:szCs w:val="22"/>
          <w:lang w:val="sr-Latn-ME"/>
        </w:rPr>
        <w:t>r</w:t>
      </w:r>
      <w:r w:rsidRPr="00026B48">
        <w:rPr>
          <w:color w:val="000000" w:themeColor="text1"/>
          <w:szCs w:val="22"/>
          <w:lang w:val="sr-Latn-ME"/>
        </w:rPr>
        <w:t xml:space="preserve">enokrtikalnu aktivnost, jer pretklinički podaci ukazuju na moguću supresiju usljed efekta lijeka Androcur koji je sličan efektu kortikosteroida (vidjeti </w:t>
      </w:r>
      <w:r w:rsidR="00020ECD" w:rsidRPr="00026B48">
        <w:rPr>
          <w:color w:val="000000" w:themeColor="text1"/>
          <w:szCs w:val="22"/>
          <w:lang w:val="sr-Latn-ME"/>
        </w:rPr>
        <w:t>dio</w:t>
      </w:r>
      <w:r w:rsidRPr="00026B48">
        <w:rPr>
          <w:color w:val="000000" w:themeColor="text1"/>
          <w:szCs w:val="22"/>
          <w:lang w:val="sr-Latn-ME"/>
        </w:rPr>
        <w:t xml:space="preserve"> 5.3).</w:t>
      </w:r>
    </w:p>
    <w:p w14:paraId="166F3CC0" w14:textId="77777777" w:rsidR="00C00EF1" w:rsidRPr="00026B48" w:rsidRDefault="00C00EF1" w:rsidP="00AB025E">
      <w:pPr>
        <w:rPr>
          <w:color w:val="000000" w:themeColor="text1"/>
          <w:szCs w:val="22"/>
          <w:lang w:val="sr-Latn-ME"/>
        </w:rPr>
      </w:pPr>
    </w:p>
    <w:p w14:paraId="166F3CC1" w14:textId="77777777" w:rsidR="00C00EF1" w:rsidRPr="00026B48" w:rsidRDefault="008C4083" w:rsidP="00AB025E">
      <w:pPr>
        <w:rPr>
          <w:b/>
          <w:color w:val="000000" w:themeColor="text1"/>
          <w:szCs w:val="22"/>
          <w:lang w:val="sr-Latn-ME"/>
        </w:rPr>
      </w:pPr>
      <w:r w:rsidRPr="00026B48">
        <w:rPr>
          <w:b/>
          <w:bCs/>
          <w:color w:val="000000" w:themeColor="text1"/>
          <w:szCs w:val="22"/>
          <w:lang w:val="sr-Latn-ME"/>
        </w:rPr>
        <w:t>Kombinovana terapija (</w:t>
      </w:r>
      <w:r w:rsidRPr="00026B48">
        <w:rPr>
          <w:b/>
          <w:bCs/>
          <w:i/>
          <w:iCs/>
          <w:color w:val="000000" w:themeColor="text1"/>
          <w:szCs w:val="22"/>
          <w:lang w:val="sr-Latn-ME"/>
        </w:rPr>
        <w:t>kod žena</w:t>
      </w:r>
      <w:r w:rsidRPr="00026B48">
        <w:rPr>
          <w:b/>
          <w:bCs/>
          <w:color w:val="000000" w:themeColor="text1"/>
          <w:szCs w:val="22"/>
          <w:lang w:val="sr-Latn-ME"/>
        </w:rPr>
        <w:t>)</w:t>
      </w:r>
    </w:p>
    <w:p w14:paraId="166F3CC2" w14:textId="77777777" w:rsidR="00C00EF1" w:rsidRPr="00026B48" w:rsidRDefault="008C4083" w:rsidP="00AB025E">
      <w:pPr>
        <w:rPr>
          <w:color w:val="000000" w:themeColor="text1"/>
          <w:szCs w:val="22"/>
          <w:lang w:val="sr-Latn-ME"/>
        </w:rPr>
      </w:pPr>
      <w:r w:rsidRPr="00026B48">
        <w:rPr>
          <w:color w:val="000000" w:themeColor="text1"/>
          <w:szCs w:val="22"/>
          <w:lang w:val="sr-Latn-ME"/>
        </w:rPr>
        <w:t>Ukoliko se tokom kombinovane terapije javi tačkasto krvarenje, ne treba prekidati sa uzimanjem tableta.</w:t>
      </w:r>
    </w:p>
    <w:p w14:paraId="166F3CC3" w14:textId="77777777" w:rsidR="00C00EF1" w:rsidRPr="00026B48" w:rsidRDefault="00C00EF1" w:rsidP="00AB025E">
      <w:pPr>
        <w:rPr>
          <w:color w:val="000000" w:themeColor="text1"/>
          <w:szCs w:val="22"/>
          <w:lang w:val="sr-Latn-ME"/>
        </w:rPr>
      </w:pPr>
    </w:p>
    <w:p w14:paraId="166F3CC4" w14:textId="77777777" w:rsidR="00C00EF1" w:rsidRPr="00026B48" w:rsidRDefault="008C4083" w:rsidP="00AB025E">
      <w:pPr>
        <w:rPr>
          <w:color w:val="000000" w:themeColor="text1"/>
          <w:szCs w:val="22"/>
          <w:lang w:val="sr-Latn-ME"/>
        </w:rPr>
      </w:pPr>
      <w:r w:rsidRPr="00026B48">
        <w:rPr>
          <w:color w:val="000000" w:themeColor="text1"/>
          <w:szCs w:val="22"/>
          <w:lang w:val="sr-Latn-ME"/>
        </w:rPr>
        <w:t>Kod kombinovane terapije sa kombinovanim oralnim kontraceptivom (2 mg ciproteronacetata i 0,035 mg etinilestradiola), treba obratiti pažnju na sve relevante podatke o ovom lijeku.</w:t>
      </w:r>
    </w:p>
    <w:p w14:paraId="166F3CC5" w14:textId="77777777" w:rsidR="00C00EF1" w:rsidRPr="00026B48" w:rsidRDefault="00C00EF1" w:rsidP="00AB025E">
      <w:pPr>
        <w:rPr>
          <w:color w:val="000000" w:themeColor="text1"/>
          <w:szCs w:val="22"/>
          <w:lang w:val="sr-Latn-ME"/>
        </w:rPr>
      </w:pPr>
    </w:p>
    <w:p w14:paraId="166F3CC6" w14:textId="77777777" w:rsidR="00C00EF1" w:rsidRPr="00026B48" w:rsidRDefault="008C4083" w:rsidP="00AB025E">
      <w:pPr>
        <w:rPr>
          <w:b/>
          <w:color w:val="000000" w:themeColor="text1"/>
          <w:szCs w:val="22"/>
          <w:lang w:val="sr-Latn-ME"/>
        </w:rPr>
      </w:pPr>
      <w:r w:rsidRPr="00026B48">
        <w:rPr>
          <w:b/>
          <w:bCs/>
          <w:color w:val="000000" w:themeColor="text1"/>
          <w:szCs w:val="22"/>
          <w:lang w:val="sr-Latn-ME"/>
        </w:rPr>
        <w:t>Ostala stanja (</w:t>
      </w:r>
      <w:r w:rsidRPr="00026B48">
        <w:rPr>
          <w:b/>
          <w:bCs/>
          <w:i/>
          <w:iCs/>
          <w:color w:val="000000" w:themeColor="text1"/>
          <w:szCs w:val="22"/>
          <w:lang w:val="sr-Latn-ME"/>
        </w:rPr>
        <w:t>kod muškaraca</w:t>
      </w:r>
      <w:r w:rsidRPr="00026B48">
        <w:rPr>
          <w:b/>
          <w:bCs/>
          <w:color w:val="000000" w:themeColor="text1"/>
          <w:szCs w:val="22"/>
          <w:lang w:val="sr-Latn-ME"/>
        </w:rPr>
        <w:t>)</w:t>
      </w:r>
    </w:p>
    <w:p w14:paraId="166F3CC7" w14:textId="77777777" w:rsidR="005C44CE" w:rsidRPr="00026B48" w:rsidRDefault="008C4083">
      <w:pPr>
        <w:rPr>
          <w:color w:val="000000" w:themeColor="text1"/>
          <w:szCs w:val="22"/>
          <w:lang w:val="sr-Latn-ME"/>
        </w:rPr>
      </w:pPr>
      <w:r w:rsidRPr="00026B48">
        <w:rPr>
          <w:color w:val="000000" w:themeColor="text1"/>
          <w:szCs w:val="22"/>
          <w:lang w:val="sr-Latn-ME"/>
        </w:rPr>
        <w:t xml:space="preserve">Prilikom primjene u indikaciji „smanjenje nagona kod seksualnih devijacija”, efekat lijeka Androcur na smanjenje nagona može biti umanjen pod uticajem alkohola. </w:t>
      </w:r>
    </w:p>
    <w:p w14:paraId="166F3CC8" w14:textId="77777777" w:rsidR="00C00EF1" w:rsidRPr="00026B48" w:rsidRDefault="00C00EF1" w:rsidP="00AB025E">
      <w:pPr>
        <w:rPr>
          <w:color w:val="000000" w:themeColor="text1"/>
          <w:szCs w:val="22"/>
          <w:lang w:val="sr-Latn-ME"/>
        </w:rPr>
      </w:pPr>
    </w:p>
    <w:p w14:paraId="166F3CC9" w14:textId="77777777" w:rsidR="0020680D" w:rsidRPr="00026B48" w:rsidRDefault="008C4083" w:rsidP="00AB025E">
      <w:pPr>
        <w:rPr>
          <w:b/>
          <w:i/>
          <w:color w:val="000000" w:themeColor="text1"/>
          <w:szCs w:val="22"/>
          <w:lang w:val="sr-Latn-ME"/>
        </w:rPr>
      </w:pPr>
      <w:r w:rsidRPr="00026B48">
        <w:rPr>
          <w:b/>
          <w:bCs/>
          <w:color w:val="000000" w:themeColor="text1"/>
          <w:szCs w:val="22"/>
          <w:lang w:val="sr-Latn-ME"/>
        </w:rPr>
        <w:t>Lijek Androcur sadrži laktozu</w:t>
      </w:r>
      <w:r w:rsidRPr="00026B48">
        <w:rPr>
          <w:b/>
          <w:bCs/>
          <w:i/>
          <w:iCs/>
          <w:color w:val="000000" w:themeColor="text1"/>
          <w:szCs w:val="22"/>
          <w:lang w:val="sr-Latn-ME"/>
        </w:rPr>
        <w:t>.</w:t>
      </w:r>
    </w:p>
    <w:p w14:paraId="166F3CCA" w14:textId="77777777" w:rsidR="005C44CE" w:rsidRPr="00026B48" w:rsidRDefault="008C4083" w:rsidP="00AB025E">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Jedna tableta lijeka Androcur sadrži 105,5 mg laktoze. Pacijenti sa rijetkim nasljednim oboljenjem intolerancije na galaktozu, nedostatkom Lapp laktaze ili glukozno-galatoznom malapsorpcijom ne smiju koristiti ovaj lijek.</w:t>
      </w:r>
    </w:p>
    <w:p w14:paraId="166F3CCC" w14:textId="6ED9DC4D" w:rsidR="00CE09F3" w:rsidRPr="00026B48" w:rsidRDefault="008C4083">
      <w:pPr>
        <w:rPr>
          <w:b/>
          <w:bCs/>
          <w:color w:val="000000" w:themeColor="text1"/>
          <w:szCs w:val="22"/>
          <w:lang w:val="sr-Latn-ME"/>
        </w:rPr>
      </w:pPr>
      <w:r w:rsidRPr="00026B48">
        <w:rPr>
          <w:b/>
          <w:bCs/>
          <w:color w:val="000000" w:themeColor="text1"/>
          <w:szCs w:val="22"/>
          <w:lang w:val="sr-Latn-ME"/>
        </w:rPr>
        <w:lastRenderedPageBreak/>
        <w:t>4.5. Interakcije sa drugim l</w:t>
      </w:r>
      <w:r w:rsidR="00020ECD" w:rsidRPr="00026B48">
        <w:rPr>
          <w:b/>
          <w:bCs/>
          <w:color w:val="000000" w:themeColor="text1"/>
          <w:szCs w:val="22"/>
          <w:lang w:val="sr-Latn-ME"/>
        </w:rPr>
        <w:t>j</w:t>
      </w:r>
      <w:r w:rsidRPr="00026B48">
        <w:rPr>
          <w:b/>
          <w:bCs/>
          <w:color w:val="000000" w:themeColor="text1"/>
          <w:szCs w:val="22"/>
          <w:lang w:val="sr-Latn-ME"/>
        </w:rPr>
        <w:t>ekovima i druge vrste interakcija</w:t>
      </w:r>
    </w:p>
    <w:p w14:paraId="166F3CCD" w14:textId="77777777" w:rsidR="00CE09F3" w:rsidRPr="00026B48" w:rsidRDefault="00CE09F3">
      <w:pPr>
        <w:rPr>
          <w:color w:val="000000" w:themeColor="text1"/>
          <w:szCs w:val="22"/>
          <w:lang w:val="sr-Latn-ME"/>
        </w:rPr>
      </w:pPr>
    </w:p>
    <w:p w14:paraId="166F3CCE" w14:textId="000BC862" w:rsidR="005C44CE" w:rsidRPr="00026B48" w:rsidRDefault="008C4083">
      <w:pPr>
        <w:pStyle w:val="Header"/>
        <w:tabs>
          <w:tab w:val="clear" w:pos="4536"/>
          <w:tab w:val="clear" w:pos="9072"/>
          <w:tab w:val="left" w:pos="284"/>
        </w:tabs>
        <w:spacing w:before="80" w:after="80"/>
        <w:rPr>
          <w:color w:val="000000" w:themeColor="text1"/>
          <w:szCs w:val="22"/>
          <w:lang w:val="sr-Latn-ME"/>
        </w:rPr>
      </w:pPr>
      <w:r w:rsidRPr="00026B48">
        <w:rPr>
          <w:color w:val="000000" w:themeColor="text1"/>
          <w:szCs w:val="22"/>
          <w:lang w:val="sr-Latn-ME"/>
        </w:rPr>
        <w:t>Iako studije kliničkih interakcija ni</w:t>
      </w:r>
      <w:r w:rsidR="00020ECD" w:rsidRPr="00026B48">
        <w:rPr>
          <w:color w:val="000000" w:themeColor="text1"/>
          <w:szCs w:val="22"/>
          <w:lang w:val="sr-Latn-ME"/>
        </w:rPr>
        <w:t>je</w:t>
      </w:r>
      <w:r w:rsidRPr="00026B48">
        <w:rPr>
          <w:color w:val="000000" w:themeColor="text1"/>
          <w:szCs w:val="22"/>
          <w:lang w:val="sr-Latn-ME"/>
        </w:rPr>
        <w:t xml:space="preserve">su sprovedene, kako se ovaj lijek metaboliše preko CYP3A4, očekuje se da će ketokonazol, itrakonazol, klotrimazol, ritonavir i drugi jaki inhibitori CYP3A4 inhibirati metabolizam ciproteronacetata. S druge strane, induktori CYP3A4 kao što su npr. rifampicin, fenitoin i proizvodi koji sadrže kantarion, mogu da smanje koncentraciju ciproteronacetata. </w:t>
      </w:r>
    </w:p>
    <w:p w14:paraId="166F3CCF" w14:textId="77777777" w:rsidR="00C00EF1" w:rsidRPr="00026B48" w:rsidRDefault="00C00EF1" w:rsidP="00AB025E">
      <w:pPr>
        <w:tabs>
          <w:tab w:val="clear" w:pos="284"/>
        </w:tabs>
        <w:autoSpaceDE w:val="0"/>
        <w:autoSpaceDN w:val="0"/>
        <w:adjustRightInd w:val="0"/>
        <w:rPr>
          <w:color w:val="000000" w:themeColor="text1"/>
          <w:szCs w:val="22"/>
          <w:lang w:val="sr-Latn-ME"/>
        </w:rPr>
      </w:pPr>
    </w:p>
    <w:p w14:paraId="166F3CD0" w14:textId="77777777" w:rsidR="00C00EF1" w:rsidRPr="00026B48" w:rsidRDefault="008C4083" w:rsidP="00AB025E">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 xml:space="preserve">Na osnovu </w:t>
      </w:r>
      <w:r w:rsidRPr="00026B48">
        <w:rPr>
          <w:i/>
          <w:iCs/>
          <w:color w:val="000000" w:themeColor="text1"/>
          <w:szCs w:val="22"/>
          <w:lang w:val="sr-Latn-ME"/>
        </w:rPr>
        <w:t xml:space="preserve">in vitro </w:t>
      </w:r>
      <w:r w:rsidRPr="00026B48">
        <w:rPr>
          <w:color w:val="000000" w:themeColor="text1"/>
          <w:szCs w:val="22"/>
          <w:lang w:val="sr-Latn-ME"/>
        </w:rPr>
        <w:t xml:space="preserve">inhibitornih studija, inhibicija citohroma P450 enzima CYP2C8, 2C9, 2C19, 3A4 i 2D6 je moguća pri visokim dozama ciproteronacetata od 100 mg tri puta dnevno. </w:t>
      </w:r>
    </w:p>
    <w:p w14:paraId="166F3CD1" w14:textId="77777777" w:rsidR="00C00EF1" w:rsidRPr="00026B48" w:rsidRDefault="00C00EF1" w:rsidP="00AB025E">
      <w:pPr>
        <w:tabs>
          <w:tab w:val="clear" w:pos="284"/>
        </w:tabs>
        <w:autoSpaceDE w:val="0"/>
        <w:autoSpaceDN w:val="0"/>
        <w:adjustRightInd w:val="0"/>
        <w:rPr>
          <w:color w:val="000000" w:themeColor="text1"/>
          <w:szCs w:val="22"/>
          <w:lang w:val="sr-Latn-ME"/>
        </w:rPr>
      </w:pPr>
    </w:p>
    <w:p w14:paraId="166F3CD2"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Rizik od pojave miopatije ili rabdomiolize povezane sa primjenom statina može se povećati kada se ovi inhibitori HMGCoA reduktaze (statini), koji se primarno metabolišu preko CYP3A4, istovremeno primijene sa visokim dozama ciproteronacetata, s obzirom na to da koriste isti metabolički put.</w:t>
      </w:r>
    </w:p>
    <w:p w14:paraId="166F3CD3" w14:textId="77777777" w:rsidR="00C00EF1" w:rsidRPr="00026B48" w:rsidRDefault="00C00EF1">
      <w:pPr>
        <w:rPr>
          <w:color w:val="000000" w:themeColor="text1"/>
          <w:szCs w:val="22"/>
          <w:lang w:val="sr-Latn-ME"/>
        </w:rPr>
      </w:pPr>
    </w:p>
    <w:p w14:paraId="166F3CD4" w14:textId="77777777" w:rsidR="00CE09F3" w:rsidRPr="00026B48" w:rsidRDefault="008C4083">
      <w:pPr>
        <w:rPr>
          <w:b/>
          <w:bCs/>
          <w:color w:val="000000" w:themeColor="text1"/>
          <w:szCs w:val="22"/>
          <w:lang w:val="sr-Latn-ME"/>
        </w:rPr>
      </w:pPr>
      <w:r w:rsidRPr="00026B48">
        <w:rPr>
          <w:b/>
          <w:bCs/>
          <w:color w:val="000000" w:themeColor="text1"/>
          <w:szCs w:val="22"/>
          <w:lang w:val="sr-Latn-ME"/>
        </w:rPr>
        <w:t>4.6. Plodnost, trudnoća i dojenje</w:t>
      </w:r>
    </w:p>
    <w:p w14:paraId="166F3CD5" w14:textId="77777777" w:rsidR="00CE09F3" w:rsidRPr="00026B48" w:rsidRDefault="00CE09F3">
      <w:pPr>
        <w:rPr>
          <w:color w:val="000000" w:themeColor="text1"/>
          <w:szCs w:val="22"/>
          <w:lang w:val="sr-Latn-ME"/>
        </w:rPr>
      </w:pPr>
    </w:p>
    <w:p w14:paraId="166F3CD6" w14:textId="77777777" w:rsidR="00CE09F3" w:rsidRPr="00026B48" w:rsidRDefault="008C4083">
      <w:pPr>
        <w:rPr>
          <w:color w:val="000000" w:themeColor="text1"/>
          <w:szCs w:val="22"/>
          <w:lang w:val="sr-Latn-ME"/>
        </w:rPr>
      </w:pPr>
      <w:r w:rsidRPr="00026B48">
        <w:rPr>
          <w:color w:val="000000" w:themeColor="text1"/>
          <w:szCs w:val="22"/>
          <w:lang w:val="sr-Latn-ME"/>
        </w:rPr>
        <w:t>Primjena lijeka Androcur u periodu trudnoće i dojenja je kontraindikovana.</w:t>
      </w:r>
    </w:p>
    <w:p w14:paraId="166F3CD7" w14:textId="77777777" w:rsidR="00C00EF1" w:rsidRPr="00026B48" w:rsidRDefault="00C00EF1">
      <w:pPr>
        <w:rPr>
          <w:color w:val="000000" w:themeColor="text1"/>
          <w:szCs w:val="22"/>
          <w:lang w:val="sr-Latn-ME"/>
        </w:rPr>
      </w:pPr>
    </w:p>
    <w:p w14:paraId="166F3CD8" w14:textId="4A513CE1" w:rsidR="00CE09F3" w:rsidRPr="00026B48" w:rsidRDefault="008C4083">
      <w:pPr>
        <w:rPr>
          <w:b/>
          <w:bCs/>
          <w:color w:val="000000" w:themeColor="text1"/>
          <w:spacing w:val="-8"/>
          <w:szCs w:val="22"/>
          <w:lang w:val="sr-Latn-ME"/>
        </w:rPr>
      </w:pPr>
      <w:r w:rsidRPr="00026B48">
        <w:rPr>
          <w:b/>
          <w:bCs/>
          <w:color w:val="000000" w:themeColor="text1"/>
          <w:szCs w:val="22"/>
          <w:lang w:val="sr-Latn-ME"/>
        </w:rPr>
        <w:t>4.7. Uticaj na sposobnost upravljanja vozilima i rukovanj</w:t>
      </w:r>
      <w:r w:rsidR="00FB58A5" w:rsidRPr="00026B48">
        <w:rPr>
          <w:b/>
          <w:bCs/>
          <w:color w:val="000000" w:themeColor="text1"/>
          <w:szCs w:val="22"/>
          <w:lang w:val="sr-Latn-ME"/>
        </w:rPr>
        <w:t>e</w:t>
      </w:r>
      <w:r w:rsidRPr="00026B48">
        <w:rPr>
          <w:b/>
          <w:bCs/>
          <w:color w:val="000000" w:themeColor="text1"/>
          <w:szCs w:val="22"/>
          <w:lang w:val="sr-Latn-ME"/>
        </w:rPr>
        <w:t xml:space="preserve"> mašinama</w:t>
      </w:r>
    </w:p>
    <w:p w14:paraId="166F3CD9" w14:textId="77777777" w:rsidR="00CE09F3" w:rsidRPr="00026B48" w:rsidRDefault="00CE09F3">
      <w:pPr>
        <w:rPr>
          <w:color w:val="000000" w:themeColor="text1"/>
          <w:szCs w:val="22"/>
          <w:lang w:val="sr-Latn-ME"/>
        </w:rPr>
      </w:pPr>
    </w:p>
    <w:p w14:paraId="166F3CDA" w14:textId="77777777" w:rsidR="00CE09F3" w:rsidRPr="00026B48" w:rsidRDefault="008C4083">
      <w:pPr>
        <w:rPr>
          <w:color w:val="000000" w:themeColor="text1"/>
          <w:szCs w:val="22"/>
          <w:lang w:val="sr-Latn-ME"/>
        </w:rPr>
      </w:pPr>
      <w:r w:rsidRPr="00026B48">
        <w:rPr>
          <w:color w:val="000000" w:themeColor="text1"/>
          <w:szCs w:val="22"/>
          <w:lang w:val="sr-Latn-ME"/>
        </w:rPr>
        <w:t>Lijek Androcur može da dovede do zamora, iscrpljenosti, i smanjene sposobnosti koncentracije prilikom upravljanja vozilima i rukovanja mašinama.</w:t>
      </w:r>
    </w:p>
    <w:p w14:paraId="166F3CDB" w14:textId="77777777" w:rsidR="00C00EF1" w:rsidRPr="00026B48" w:rsidRDefault="00C00EF1">
      <w:pPr>
        <w:rPr>
          <w:color w:val="000000" w:themeColor="text1"/>
          <w:szCs w:val="22"/>
          <w:lang w:val="sr-Latn-ME"/>
        </w:rPr>
      </w:pPr>
    </w:p>
    <w:p w14:paraId="166F3CDC" w14:textId="77777777" w:rsidR="00CE09F3" w:rsidRPr="00026B48" w:rsidRDefault="008C4083">
      <w:pPr>
        <w:rPr>
          <w:b/>
          <w:bCs/>
          <w:color w:val="000000" w:themeColor="text1"/>
          <w:szCs w:val="22"/>
          <w:lang w:val="sr-Latn-ME"/>
        </w:rPr>
      </w:pPr>
      <w:r w:rsidRPr="00026B48">
        <w:rPr>
          <w:b/>
          <w:bCs/>
          <w:color w:val="000000" w:themeColor="text1"/>
          <w:szCs w:val="22"/>
          <w:lang w:val="sr-Latn-ME"/>
        </w:rPr>
        <w:t>4.8. Neželjena dejstva</w:t>
      </w:r>
    </w:p>
    <w:p w14:paraId="166F3CDD" w14:textId="77777777" w:rsidR="00CE09F3" w:rsidRPr="00026B48" w:rsidRDefault="00CE09F3">
      <w:pPr>
        <w:rPr>
          <w:noProof/>
          <w:color w:val="000000" w:themeColor="text1"/>
          <w:szCs w:val="22"/>
          <w:u w:val="single"/>
          <w:lang w:val="sr-Latn-ME"/>
        </w:rPr>
      </w:pPr>
    </w:p>
    <w:tbl>
      <w:tblPr>
        <w:tblW w:w="0" w:type="auto"/>
        <w:tblLayout w:type="fixed"/>
        <w:tblLook w:val="0000" w:firstRow="0" w:lastRow="0" w:firstColumn="0" w:lastColumn="0" w:noHBand="0" w:noVBand="0"/>
      </w:tblPr>
      <w:tblGrid>
        <w:gridCol w:w="9639"/>
      </w:tblGrid>
      <w:tr w:rsidR="00C00EF1" w:rsidRPr="00026B48" w14:paraId="166F3DB4" w14:textId="77777777" w:rsidTr="00AB025E">
        <w:trPr>
          <w:trHeight w:val="1145"/>
        </w:trPr>
        <w:tc>
          <w:tcPr>
            <w:tcW w:w="9639" w:type="dxa"/>
            <w:vAlign w:val="center"/>
          </w:tcPr>
          <w:p w14:paraId="166F3CDE" w14:textId="77777777" w:rsidR="00C00EF1" w:rsidRPr="00026B48" w:rsidRDefault="008C4083" w:rsidP="00AB025E">
            <w:pPr>
              <w:rPr>
                <w:b/>
                <w:color w:val="000000" w:themeColor="text1"/>
                <w:szCs w:val="22"/>
                <w:lang w:val="sr-Latn-ME"/>
              </w:rPr>
            </w:pPr>
            <w:r w:rsidRPr="00026B48">
              <w:rPr>
                <w:b/>
                <w:bCs/>
                <w:color w:val="000000" w:themeColor="text1"/>
                <w:szCs w:val="22"/>
                <w:lang w:val="sr-Latn-ME"/>
              </w:rPr>
              <w:t>Muškarci</w:t>
            </w:r>
          </w:p>
          <w:p w14:paraId="166F3CDF" w14:textId="77777777" w:rsidR="000735B1" w:rsidRPr="00026B48" w:rsidRDefault="008C4083" w:rsidP="00AB025E">
            <w:pPr>
              <w:rPr>
                <w:color w:val="000000" w:themeColor="text1"/>
                <w:szCs w:val="22"/>
                <w:u w:val="single"/>
                <w:lang w:val="sr-Latn-ME"/>
              </w:rPr>
            </w:pPr>
            <w:r w:rsidRPr="00026B48">
              <w:rPr>
                <w:color w:val="000000" w:themeColor="text1"/>
                <w:szCs w:val="22"/>
                <w:u w:val="single"/>
                <w:lang w:val="sr-Latn-ME"/>
              </w:rPr>
              <w:t>Sažetak bezbjednosnog profila</w:t>
            </w:r>
          </w:p>
          <w:p w14:paraId="166F3CE0" w14:textId="77777777" w:rsidR="00C00EF1" w:rsidRPr="00026B48" w:rsidRDefault="008C4083" w:rsidP="00AB025E">
            <w:pPr>
              <w:rPr>
                <w:color w:val="000000" w:themeColor="text1"/>
                <w:szCs w:val="22"/>
                <w:lang w:val="sr-Latn-ME"/>
              </w:rPr>
            </w:pPr>
            <w:r w:rsidRPr="00026B48">
              <w:rPr>
                <w:color w:val="000000" w:themeColor="text1"/>
                <w:szCs w:val="22"/>
                <w:lang w:val="sr-Latn-ME"/>
              </w:rPr>
              <w:t>Najčešće prijavljene neželjene reakacije kod muškaraca na terapiji lijekom Androcur su smanjen libido, erektilna disfunkcija i reverzibilna inhibicija spermatogeneze.</w:t>
            </w:r>
          </w:p>
          <w:p w14:paraId="166F3CE1" w14:textId="77777777" w:rsidR="00C00EF1" w:rsidRPr="00026B48" w:rsidRDefault="00C00EF1" w:rsidP="00AB025E">
            <w:pPr>
              <w:rPr>
                <w:color w:val="000000" w:themeColor="text1"/>
                <w:szCs w:val="22"/>
                <w:lang w:val="sr-Latn-ME"/>
              </w:rPr>
            </w:pPr>
          </w:p>
          <w:p w14:paraId="166F3CE2" w14:textId="77777777" w:rsidR="00C00EF1" w:rsidRPr="00026B48" w:rsidRDefault="008C4083" w:rsidP="00AB025E">
            <w:pPr>
              <w:rPr>
                <w:color w:val="000000" w:themeColor="text1"/>
                <w:szCs w:val="22"/>
                <w:lang w:val="sr-Latn-ME"/>
              </w:rPr>
            </w:pPr>
            <w:r w:rsidRPr="00026B48">
              <w:rPr>
                <w:color w:val="000000" w:themeColor="text1"/>
                <w:szCs w:val="22"/>
                <w:lang w:val="sr-Latn-ME"/>
              </w:rPr>
              <w:t>Najozbiljnije neželjene reakcije kod pacijenata na terapiji lijekom Androcur su hepatotoksičnost, benigni i maligni tumori jetre koji mogu dovesti do intraabdominalnog krvarenja, i tromboembolijski događaji.</w:t>
            </w:r>
          </w:p>
          <w:p w14:paraId="166F3CE3" w14:textId="77777777" w:rsidR="00C00EF1" w:rsidRPr="00026B48" w:rsidRDefault="00C00EF1" w:rsidP="00AB025E">
            <w:pPr>
              <w:rPr>
                <w:color w:val="000000" w:themeColor="text1"/>
                <w:szCs w:val="22"/>
                <w:lang w:val="sr-Latn-ME"/>
              </w:rPr>
            </w:pPr>
          </w:p>
          <w:p w14:paraId="166F3CE4" w14:textId="77777777" w:rsidR="000735B1" w:rsidRPr="00026B48" w:rsidRDefault="008C4083" w:rsidP="00AB025E">
            <w:pPr>
              <w:rPr>
                <w:color w:val="000000" w:themeColor="text1"/>
                <w:szCs w:val="22"/>
                <w:u w:val="single"/>
                <w:lang w:val="sr-Latn-ME"/>
              </w:rPr>
            </w:pPr>
            <w:r w:rsidRPr="00026B48">
              <w:rPr>
                <w:color w:val="000000" w:themeColor="text1"/>
                <w:szCs w:val="22"/>
                <w:u w:val="single"/>
                <w:lang w:val="sr-Latn-ME"/>
              </w:rPr>
              <w:t>Tabelarni prikaz neželjenih reakcija</w:t>
            </w:r>
          </w:p>
          <w:p w14:paraId="166F3CE5" w14:textId="77777777" w:rsidR="005C44CE" w:rsidRPr="00026B48" w:rsidRDefault="008C4083">
            <w:pPr>
              <w:rPr>
                <w:color w:val="000000" w:themeColor="text1"/>
                <w:szCs w:val="22"/>
                <w:lang w:val="sr-Latn-ME"/>
              </w:rPr>
            </w:pPr>
            <w:r w:rsidRPr="00026B48">
              <w:rPr>
                <w:color w:val="000000" w:themeColor="text1"/>
                <w:szCs w:val="22"/>
                <w:lang w:val="sr-Latn-ME"/>
              </w:rPr>
              <w:t>Učestalost prijavljenih neželjenih reakcija kod primjene lijeka Androcur je prikazana je u Tabeli 1. Neželjene reakcije su prema učestalosti definisane kao veoma česte (≥1/10), česte (≥1/100 i &lt;1/10), povremene (≥1/1000 i &lt;1/100), rijetke (≥1/10000 i &lt;1/1000) i veoma rijetke (&lt;1/10000). Neželjene reakcije koje su zabilježene samo tokom postmarketinškog praćenja i za koje učestalost ne može biti procijenjena, navedene su pod kategorijom ,,nepoznate učestalosti”.</w:t>
            </w:r>
          </w:p>
          <w:p w14:paraId="166F3CE6" w14:textId="77777777" w:rsidR="00C00EF1" w:rsidRPr="00026B48" w:rsidRDefault="00C00EF1" w:rsidP="00AB025E">
            <w:pPr>
              <w:rPr>
                <w:color w:val="000000" w:themeColor="text1"/>
                <w:szCs w:val="22"/>
                <w:lang w:val="sr-Latn-ME"/>
              </w:rPr>
            </w:pPr>
          </w:p>
          <w:p w14:paraId="166F3CE7" w14:textId="7A2FCBF7" w:rsidR="00C00EF1" w:rsidRPr="00026B48" w:rsidRDefault="008C4083" w:rsidP="00AB025E">
            <w:pPr>
              <w:rPr>
                <w:b/>
                <w:color w:val="000000" w:themeColor="text1"/>
                <w:szCs w:val="22"/>
                <w:lang w:val="sr-Latn-ME"/>
              </w:rPr>
            </w:pPr>
            <w:r w:rsidRPr="00026B48">
              <w:rPr>
                <w:b/>
                <w:bCs/>
                <w:color w:val="000000" w:themeColor="text1"/>
                <w:szCs w:val="22"/>
                <w:lang w:val="sr-Latn-ME"/>
              </w:rPr>
              <w:t>Tabela 1:</w:t>
            </w:r>
            <w:r w:rsidR="001A01AF" w:rsidRPr="00026B48">
              <w:rPr>
                <w:b/>
                <w:bCs/>
                <w:color w:val="000000" w:themeColor="text1"/>
                <w:szCs w:val="22"/>
                <w:lang w:val="sr-Latn-ME"/>
              </w:rPr>
              <w:t xml:space="preserve"> </w:t>
            </w:r>
            <w:r w:rsidRPr="00026B48">
              <w:rPr>
                <w:b/>
                <w:bCs/>
                <w:color w:val="000000" w:themeColor="text1"/>
                <w:szCs w:val="22"/>
                <w:lang w:val="sr-Latn-ME"/>
              </w:rPr>
              <w:t>Neželjene reakcije prijavljene u kliničkim ispitivanjima ili tokom postmarketinškog praćenja pacijenata na terapiji lijekom Androcur</w:t>
            </w:r>
          </w:p>
          <w:p w14:paraId="166F3CE8" w14:textId="77777777" w:rsidR="00C00EF1" w:rsidRPr="00026B48" w:rsidRDefault="00C00EF1" w:rsidP="00AB025E">
            <w:pPr>
              <w:rPr>
                <w:b/>
                <w:color w:val="000000" w:themeColor="text1"/>
                <w:szCs w:val="22"/>
                <w:lang w:val="sr-Latn-ME"/>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1357"/>
              <w:gridCol w:w="1357"/>
              <w:gridCol w:w="1357"/>
              <w:gridCol w:w="1357"/>
              <w:gridCol w:w="1358"/>
              <w:gridCol w:w="1358"/>
            </w:tblGrid>
            <w:tr w:rsidR="00C00EF1" w:rsidRPr="00026B48" w14:paraId="166F3CF7" w14:textId="77777777" w:rsidTr="00AB025E">
              <w:trPr>
                <w:trHeight w:val="1013"/>
              </w:trPr>
              <w:tc>
                <w:tcPr>
                  <w:tcW w:w="1357" w:type="dxa"/>
                  <w:shd w:val="clear" w:color="auto" w:fill="auto"/>
                </w:tcPr>
                <w:p w14:paraId="166F3CE9" w14:textId="77777777" w:rsidR="005C44CE" w:rsidRPr="00026B48" w:rsidRDefault="008C4083" w:rsidP="00AB025E">
                  <w:pPr>
                    <w:rPr>
                      <w:color w:val="000000" w:themeColor="text1"/>
                      <w:szCs w:val="22"/>
                      <w:lang w:val="sr-Latn-ME"/>
                    </w:rPr>
                  </w:pPr>
                  <w:r w:rsidRPr="00026B48">
                    <w:rPr>
                      <w:color w:val="000000" w:themeColor="text1"/>
                      <w:szCs w:val="22"/>
                      <w:lang w:val="sr-Latn-ME"/>
                    </w:rPr>
                    <w:t>Klasa sistema organa</w:t>
                  </w:r>
                </w:p>
                <w:p w14:paraId="166F3CEA" w14:textId="77777777" w:rsidR="005C44CE" w:rsidRPr="00026B48" w:rsidRDefault="008C4083" w:rsidP="00AB025E">
                  <w:pPr>
                    <w:rPr>
                      <w:color w:val="000000" w:themeColor="text1"/>
                      <w:szCs w:val="22"/>
                      <w:lang w:val="sr-Latn-ME"/>
                    </w:rPr>
                  </w:pPr>
                  <w:r w:rsidRPr="00026B48">
                    <w:rPr>
                      <w:color w:val="000000" w:themeColor="text1"/>
                      <w:szCs w:val="22"/>
                      <w:lang w:val="sr-Latn-ME"/>
                    </w:rPr>
                    <w:t>MedDRA</w:t>
                  </w:r>
                </w:p>
                <w:p w14:paraId="166F3CEB" w14:textId="77777777" w:rsidR="005C44CE" w:rsidRPr="00026B48" w:rsidRDefault="005C44CE" w:rsidP="00AB025E">
                  <w:pPr>
                    <w:rPr>
                      <w:color w:val="000000" w:themeColor="text1"/>
                      <w:szCs w:val="22"/>
                      <w:lang w:val="sr-Latn-ME"/>
                    </w:rPr>
                  </w:pPr>
                </w:p>
              </w:tc>
              <w:tc>
                <w:tcPr>
                  <w:tcW w:w="1357" w:type="dxa"/>
                  <w:shd w:val="clear" w:color="auto" w:fill="auto"/>
                </w:tcPr>
                <w:p w14:paraId="166F3CEC" w14:textId="77777777" w:rsidR="005C44CE" w:rsidRPr="00026B48" w:rsidRDefault="008C4083" w:rsidP="00AB025E">
                  <w:pPr>
                    <w:rPr>
                      <w:color w:val="000000" w:themeColor="text1"/>
                      <w:szCs w:val="22"/>
                      <w:lang w:val="sr-Latn-ME"/>
                    </w:rPr>
                  </w:pPr>
                  <w:r w:rsidRPr="00026B48">
                    <w:rPr>
                      <w:color w:val="000000" w:themeColor="text1"/>
                      <w:szCs w:val="22"/>
                      <w:lang w:val="sr-Latn-ME"/>
                    </w:rPr>
                    <w:t>Veoma česte</w:t>
                  </w:r>
                </w:p>
                <w:p w14:paraId="166F3CED" w14:textId="77777777" w:rsidR="005C44CE" w:rsidRPr="00026B48" w:rsidRDefault="005C44CE" w:rsidP="00AB025E">
                  <w:pPr>
                    <w:rPr>
                      <w:color w:val="000000" w:themeColor="text1"/>
                      <w:szCs w:val="22"/>
                      <w:lang w:val="sr-Latn-ME"/>
                    </w:rPr>
                  </w:pPr>
                </w:p>
              </w:tc>
              <w:tc>
                <w:tcPr>
                  <w:tcW w:w="1357" w:type="dxa"/>
                  <w:shd w:val="clear" w:color="auto" w:fill="auto"/>
                </w:tcPr>
                <w:p w14:paraId="166F3CEE" w14:textId="77777777" w:rsidR="005C44CE" w:rsidRPr="00026B48" w:rsidRDefault="008C4083" w:rsidP="00AB025E">
                  <w:pPr>
                    <w:rPr>
                      <w:color w:val="000000" w:themeColor="text1"/>
                      <w:szCs w:val="22"/>
                      <w:lang w:val="sr-Latn-ME"/>
                    </w:rPr>
                  </w:pPr>
                  <w:r w:rsidRPr="00026B48">
                    <w:rPr>
                      <w:color w:val="000000" w:themeColor="text1"/>
                      <w:szCs w:val="22"/>
                      <w:lang w:val="sr-Latn-ME"/>
                    </w:rPr>
                    <w:t>Česte</w:t>
                  </w:r>
                </w:p>
                <w:p w14:paraId="166F3CEF" w14:textId="77777777" w:rsidR="005C44CE" w:rsidRPr="00026B48" w:rsidRDefault="005C44CE" w:rsidP="00AB025E">
                  <w:pPr>
                    <w:rPr>
                      <w:color w:val="000000" w:themeColor="text1"/>
                      <w:szCs w:val="22"/>
                      <w:lang w:val="sr-Latn-ME"/>
                    </w:rPr>
                  </w:pPr>
                </w:p>
              </w:tc>
              <w:tc>
                <w:tcPr>
                  <w:tcW w:w="1357" w:type="dxa"/>
                  <w:shd w:val="clear" w:color="auto" w:fill="auto"/>
                </w:tcPr>
                <w:p w14:paraId="166F3CF0" w14:textId="77777777" w:rsidR="005C44CE" w:rsidRPr="00026B48" w:rsidRDefault="008C4083" w:rsidP="00AB025E">
                  <w:pPr>
                    <w:rPr>
                      <w:color w:val="000000" w:themeColor="text1"/>
                      <w:szCs w:val="22"/>
                      <w:lang w:val="sr-Latn-ME"/>
                    </w:rPr>
                  </w:pPr>
                  <w:r w:rsidRPr="00026B48">
                    <w:rPr>
                      <w:color w:val="000000" w:themeColor="text1"/>
                      <w:szCs w:val="22"/>
                      <w:lang w:val="sr-Latn-ME"/>
                    </w:rPr>
                    <w:t>Povremene</w:t>
                  </w:r>
                </w:p>
                <w:p w14:paraId="166F3CF1" w14:textId="77777777" w:rsidR="005C44CE" w:rsidRPr="00026B48" w:rsidRDefault="005C44CE" w:rsidP="00AB025E">
                  <w:pPr>
                    <w:rPr>
                      <w:color w:val="000000" w:themeColor="text1"/>
                      <w:szCs w:val="22"/>
                      <w:lang w:val="sr-Latn-ME"/>
                    </w:rPr>
                  </w:pPr>
                </w:p>
              </w:tc>
              <w:tc>
                <w:tcPr>
                  <w:tcW w:w="1357" w:type="dxa"/>
                  <w:shd w:val="clear" w:color="auto" w:fill="auto"/>
                </w:tcPr>
                <w:p w14:paraId="166F3CF2" w14:textId="77777777" w:rsidR="005C44CE" w:rsidRPr="00026B48" w:rsidRDefault="008C4083" w:rsidP="00AB025E">
                  <w:pPr>
                    <w:rPr>
                      <w:color w:val="000000" w:themeColor="text1"/>
                      <w:szCs w:val="22"/>
                      <w:lang w:val="sr-Latn-ME"/>
                    </w:rPr>
                  </w:pPr>
                  <w:r w:rsidRPr="00026B48">
                    <w:rPr>
                      <w:color w:val="000000" w:themeColor="text1"/>
                      <w:szCs w:val="22"/>
                      <w:lang w:val="sr-Latn-ME"/>
                    </w:rPr>
                    <w:t>Rijetke</w:t>
                  </w:r>
                </w:p>
                <w:p w14:paraId="166F3CF3" w14:textId="77777777" w:rsidR="005C44CE" w:rsidRPr="00026B48" w:rsidRDefault="005C44CE" w:rsidP="00AB025E">
                  <w:pPr>
                    <w:rPr>
                      <w:color w:val="000000" w:themeColor="text1"/>
                      <w:szCs w:val="22"/>
                      <w:lang w:val="sr-Latn-ME"/>
                    </w:rPr>
                  </w:pPr>
                </w:p>
              </w:tc>
              <w:tc>
                <w:tcPr>
                  <w:tcW w:w="1358" w:type="dxa"/>
                  <w:shd w:val="clear" w:color="auto" w:fill="auto"/>
                </w:tcPr>
                <w:p w14:paraId="166F3CF4" w14:textId="77777777" w:rsidR="005C44CE" w:rsidRPr="00026B48" w:rsidRDefault="008C4083" w:rsidP="00AB025E">
                  <w:pPr>
                    <w:rPr>
                      <w:color w:val="000000" w:themeColor="text1"/>
                      <w:szCs w:val="22"/>
                      <w:lang w:val="sr-Latn-ME"/>
                    </w:rPr>
                  </w:pPr>
                  <w:r w:rsidRPr="00026B48">
                    <w:rPr>
                      <w:color w:val="000000" w:themeColor="text1"/>
                      <w:szCs w:val="22"/>
                      <w:lang w:val="sr-Latn-ME"/>
                    </w:rPr>
                    <w:t>Veoma rijetke</w:t>
                  </w:r>
                </w:p>
                <w:p w14:paraId="166F3CF5" w14:textId="77777777" w:rsidR="005C44CE" w:rsidRPr="00026B48" w:rsidRDefault="005C44CE" w:rsidP="00AB025E">
                  <w:pPr>
                    <w:rPr>
                      <w:color w:val="000000" w:themeColor="text1"/>
                      <w:szCs w:val="22"/>
                      <w:lang w:val="sr-Latn-ME"/>
                    </w:rPr>
                  </w:pPr>
                </w:p>
              </w:tc>
              <w:tc>
                <w:tcPr>
                  <w:tcW w:w="1358" w:type="dxa"/>
                  <w:shd w:val="clear" w:color="auto" w:fill="auto"/>
                </w:tcPr>
                <w:p w14:paraId="166F3CF6" w14:textId="77777777" w:rsidR="005C44CE" w:rsidRPr="00026B48" w:rsidRDefault="008C4083" w:rsidP="00AB025E">
                  <w:pPr>
                    <w:rPr>
                      <w:color w:val="000000" w:themeColor="text1"/>
                      <w:szCs w:val="22"/>
                      <w:lang w:val="sr-Latn-ME"/>
                    </w:rPr>
                  </w:pPr>
                  <w:r w:rsidRPr="00026B48">
                    <w:rPr>
                      <w:color w:val="000000" w:themeColor="text1"/>
                      <w:szCs w:val="22"/>
                      <w:lang w:val="sr-Latn-ME"/>
                    </w:rPr>
                    <w:t>Nepoznate učestalosti</w:t>
                  </w:r>
                </w:p>
              </w:tc>
            </w:tr>
            <w:tr w:rsidR="00C00EF1" w:rsidRPr="00026B48" w14:paraId="166F3CFF" w14:textId="77777777" w:rsidTr="00AB025E">
              <w:trPr>
                <w:trHeight w:val="1508"/>
              </w:trPr>
              <w:tc>
                <w:tcPr>
                  <w:tcW w:w="1357" w:type="dxa"/>
                  <w:shd w:val="clear" w:color="auto" w:fill="auto"/>
                </w:tcPr>
                <w:p w14:paraId="166F3CF8" w14:textId="77777777" w:rsidR="00C00EF1" w:rsidRPr="00026B48" w:rsidRDefault="008C4083" w:rsidP="00AB025E">
                  <w:pPr>
                    <w:rPr>
                      <w:color w:val="000000" w:themeColor="text1"/>
                      <w:szCs w:val="22"/>
                      <w:lang w:val="sr-Latn-ME"/>
                    </w:rPr>
                  </w:pPr>
                  <w:r w:rsidRPr="00026B48">
                    <w:rPr>
                      <w:color w:val="000000" w:themeColor="text1"/>
                      <w:szCs w:val="22"/>
                      <w:lang w:val="sr-Latn-ME"/>
                    </w:rPr>
                    <w:t>Neoplazme – benigne, maligne i neodređene (uključujući ciste i polipe)</w:t>
                  </w:r>
                </w:p>
              </w:tc>
              <w:tc>
                <w:tcPr>
                  <w:tcW w:w="1357" w:type="dxa"/>
                  <w:shd w:val="clear" w:color="auto" w:fill="auto"/>
                </w:tcPr>
                <w:p w14:paraId="166F3CF9" w14:textId="77777777" w:rsidR="00C00EF1" w:rsidRPr="00026B48" w:rsidRDefault="00C00EF1" w:rsidP="00AB025E">
                  <w:pPr>
                    <w:rPr>
                      <w:color w:val="000000" w:themeColor="text1"/>
                      <w:szCs w:val="22"/>
                      <w:lang w:val="sr-Latn-ME"/>
                    </w:rPr>
                  </w:pPr>
                </w:p>
              </w:tc>
              <w:tc>
                <w:tcPr>
                  <w:tcW w:w="1357" w:type="dxa"/>
                  <w:shd w:val="clear" w:color="auto" w:fill="auto"/>
                </w:tcPr>
                <w:p w14:paraId="166F3CFA" w14:textId="77777777" w:rsidR="00C00EF1" w:rsidRPr="00026B48" w:rsidRDefault="00C00EF1" w:rsidP="00AB025E">
                  <w:pPr>
                    <w:rPr>
                      <w:color w:val="000000" w:themeColor="text1"/>
                      <w:szCs w:val="22"/>
                      <w:lang w:val="sr-Latn-ME"/>
                    </w:rPr>
                  </w:pPr>
                </w:p>
              </w:tc>
              <w:tc>
                <w:tcPr>
                  <w:tcW w:w="1357" w:type="dxa"/>
                  <w:shd w:val="clear" w:color="auto" w:fill="auto"/>
                </w:tcPr>
                <w:p w14:paraId="166F3CFB" w14:textId="77777777" w:rsidR="00C00EF1" w:rsidRPr="00026B48" w:rsidRDefault="00C00EF1" w:rsidP="00AB025E">
                  <w:pPr>
                    <w:rPr>
                      <w:color w:val="000000" w:themeColor="text1"/>
                      <w:szCs w:val="22"/>
                      <w:lang w:val="sr-Latn-ME"/>
                    </w:rPr>
                  </w:pPr>
                </w:p>
              </w:tc>
              <w:tc>
                <w:tcPr>
                  <w:tcW w:w="1357" w:type="dxa"/>
                  <w:shd w:val="clear" w:color="auto" w:fill="auto"/>
                </w:tcPr>
                <w:p w14:paraId="166F3CFC" w14:textId="154D8A2C" w:rsidR="00C00EF1" w:rsidRPr="00026B48" w:rsidRDefault="001A01AF" w:rsidP="00AB025E">
                  <w:pPr>
                    <w:rPr>
                      <w:color w:val="000000" w:themeColor="text1"/>
                      <w:szCs w:val="22"/>
                      <w:lang w:val="sr-Latn-ME"/>
                    </w:rPr>
                  </w:pPr>
                  <w:r w:rsidRPr="00026B48">
                    <w:rPr>
                      <w:color w:val="000000" w:themeColor="text1"/>
                      <w:szCs w:val="22"/>
                      <w:lang w:val="sr-Latn-ME"/>
                    </w:rPr>
                    <w:t xml:space="preserve">Meningeomi </w:t>
                  </w:r>
                  <w:r w:rsidRPr="00026B48">
                    <w:rPr>
                      <w:color w:val="000000" w:themeColor="text1"/>
                      <w:szCs w:val="22"/>
                      <w:vertAlign w:val="superscript"/>
                      <w:lang w:val="sr-Latn-ME"/>
                    </w:rPr>
                    <w:t>§) *)</w:t>
                  </w:r>
                </w:p>
              </w:tc>
              <w:tc>
                <w:tcPr>
                  <w:tcW w:w="1358" w:type="dxa"/>
                  <w:shd w:val="clear" w:color="auto" w:fill="auto"/>
                </w:tcPr>
                <w:p w14:paraId="166F3CFD" w14:textId="77777777" w:rsidR="00C00EF1" w:rsidRPr="00026B48" w:rsidRDefault="008C4083" w:rsidP="00AB025E">
                  <w:pPr>
                    <w:rPr>
                      <w:color w:val="000000" w:themeColor="text1"/>
                      <w:szCs w:val="22"/>
                      <w:lang w:val="sr-Latn-ME"/>
                    </w:rPr>
                  </w:pPr>
                  <w:r w:rsidRPr="00026B48">
                    <w:rPr>
                      <w:color w:val="000000" w:themeColor="text1"/>
                      <w:szCs w:val="22"/>
                      <w:lang w:val="sr-Latn-ME"/>
                    </w:rPr>
                    <w:t>Benigni i maligni tumori jetre</w:t>
                  </w:r>
                  <w:r w:rsidRPr="00026B48">
                    <w:rPr>
                      <w:color w:val="000000" w:themeColor="text1"/>
                      <w:szCs w:val="22"/>
                      <w:vertAlign w:val="superscript"/>
                      <w:lang w:val="sr-Latn-ME"/>
                    </w:rPr>
                    <w:t>*)</w:t>
                  </w:r>
                </w:p>
              </w:tc>
              <w:tc>
                <w:tcPr>
                  <w:tcW w:w="1358" w:type="dxa"/>
                  <w:shd w:val="clear" w:color="auto" w:fill="auto"/>
                </w:tcPr>
                <w:p w14:paraId="166F3CFE" w14:textId="7560AB60" w:rsidR="00C00EF1" w:rsidRPr="00026B48" w:rsidRDefault="00C00EF1" w:rsidP="00AB025E">
                  <w:pPr>
                    <w:rPr>
                      <w:color w:val="000000" w:themeColor="text1"/>
                      <w:szCs w:val="22"/>
                      <w:lang w:val="sr-Latn-ME"/>
                    </w:rPr>
                  </w:pPr>
                </w:p>
              </w:tc>
            </w:tr>
            <w:tr w:rsidR="00C00EF1" w:rsidRPr="00026B48" w14:paraId="166F3D07" w14:textId="77777777" w:rsidTr="00AB025E">
              <w:trPr>
                <w:trHeight w:val="759"/>
              </w:trPr>
              <w:tc>
                <w:tcPr>
                  <w:tcW w:w="1357" w:type="dxa"/>
                  <w:shd w:val="clear" w:color="auto" w:fill="auto"/>
                </w:tcPr>
                <w:p w14:paraId="166F3D00" w14:textId="77777777" w:rsidR="00C00EF1" w:rsidRPr="00026B48" w:rsidRDefault="008C4083" w:rsidP="00AB025E">
                  <w:pPr>
                    <w:rPr>
                      <w:color w:val="000000" w:themeColor="text1"/>
                      <w:szCs w:val="22"/>
                      <w:lang w:val="sr-Latn-ME"/>
                    </w:rPr>
                  </w:pPr>
                  <w:r w:rsidRPr="00026B48">
                    <w:rPr>
                      <w:color w:val="000000" w:themeColor="text1"/>
                      <w:szCs w:val="22"/>
                      <w:lang w:val="sr-Latn-ME"/>
                    </w:rPr>
                    <w:lastRenderedPageBreak/>
                    <w:t>Poremećaji krvi i limfnog sistema</w:t>
                  </w:r>
                </w:p>
              </w:tc>
              <w:tc>
                <w:tcPr>
                  <w:tcW w:w="1357" w:type="dxa"/>
                  <w:shd w:val="clear" w:color="auto" w:fill="auto"/>
                </w:tcPr>
                <w:p w14:paraId="166F3D01" w14:textId="77777777" w:rsidR="00C00EF1" w:rsidRPr="00026B48" w:rsidRDefault="00C00EF1" w:rsidP="00AB025E">
                  <w:pPr>
                    <w:rPr>
                      <w:color w:val="000000" w:themeColor="text1"/>
                      <w:szCs w:val="22"/>
                      <w:lang w:val="sr-Latn-ME"/>
                    </w:rPr>
                  </w:pPr>
                </w:p>
              </w:tc>
              <w:tc>
                <w:tcPr>
                  <w:tcW w:w="1357" w:type="dxa"/>
                  <w:shd w:val="clear" w:color="auto" w:fill="auto"/>
                </w:tcPr>
                <w:p w14:paraId="166F3D02" w14:textId="77777777" w:rsidR="00C00EF1" w:rsidRPr="00026B48" w:rsidRDefault="00C00EF1" w:rsidP="00AB025E">
                  <w:pPr>
                    <w:rPr>
                      <w:color w:val="000000" w:themeColor="text1"/>
                      <w:szCs w:val="22"/>
                      <w:lang w:val="sr-Latn-ME"/>
                    </w:rPr>
                  </w:pPr>
                </w:p>
              </w:tc>
              <w:tc>
                <w:tcPr>
                  <w:tcW w:w="1357" w:type="dxa"/>
                  <w:shd w:val="clear" w:color="auto" w:fill="auto"/>
                </w:tcPr>
                <w:p w14:paraId="166F3D03" w14:textId="77777777" w:rsidR="00C00EF1" w:rsidRPr="00026B48" w:rsidRDefault="00C00EF1" w:rsidP="00AB025E">
                  <w:pPr>
                    <w:rPr>
                      <w:color w:val="000000" w:themeColor="text1"/>
                      <w:szCs w:val="22"/>
                      <w:lang w:val="sr-Latn-ME"/>
                    </w:rPr>
                  </w:pPr>
                </w:p>
              </w:tc>
              <w:tc>
                <w:tcPr>
                  <w:tcW w:w="1357" w:type="dxa"/>
                  <w:shd w:val="clear" w:color="auto" w:fill="auto"/>
                </w:tcPr>
                <w:p w14:paraId="166F3D04" w14:textId="77777777" w:rsidR="00C00EF1" w:rsidRPr="00026B48" w:rsidRDefault="00C00EF1" w:rsidP="00AB025E">
                  <w:pPr>
                    <w:rPr>
                      <w:color w:val="000000" w:themeColor="text1"/>
                      <w:szCs w:val="22"/>
                      <w:lang w:val="sr-Latn-ME"/>
                    </w:rPr>
                  </w:pPr>
                </w:p>
              </w:tc>
              <w:tc>
                <w:tcPr>
                  <w:tcW w:w="1358" w:type="dxa"/>
                  <w:shd w:val="clear" w:color="auto" w:fill="auto"/>
                </w:tcPr>
                <w:p w14:paraId="166F3D05" w14:textId="77777777" w:rsidR="00C00EF1" w:rsidRPr="00026B48" w:rsidRDefault="00C00EF1" w:rsidP="00AB025E">
                  <w:pPr>
                    <w:rPr>
                      <w:color w:val="000000" w:themeColor="text1"/>
                      <w:szCs w:val="22"/>
                      <w:lang w:val="sr-Latn-ME"/>
                    </w:rPr>
                  </w:pPr>
                </w:p>
              </w:tc>
              <w:tc>
                <w:tcPr>
                  <w:tcW w:w="1358" w:type="dxa"/>
                  <w:shd w:val="clear" w:color="auto" w:fill="auto"/>
                </w:tcPr>
                <w:p w14:paraId="166F3D06" w14:textId="77777777" w:rsidR="00C00EF1" w:rsidRPr="00026B48" w:rsidRDefault="008C4083" w:rsidP="00AB025E">
                  <w:pPr>
                    <w:rPr>
                      <w:color w:val="000000" w:themeColor="text1"/>
                      <w:szCs w:val="22"/>
                      <w:lang w:val="sr-Latn-ME"/>
                    </w:rPr>
                  </w:pPr>
                  <w:r w:rsidRPr="00026B48">
                    <w:rPr>
                      <w:color w:val="000000" w:themeColor="text1"/>
                      <w:szCs w:val="22"/>
                      <w:lang w:val="sr-Latn-ME"/>
                    </w:rPr>
                    <w:t>Anemija</w:t>
                  </w:r>
                  <w:r w:rsidRPr="00026B48">
                    <w:rPr>
                      <w:color w:val="000000" w:themeColor="text1"/>
                      <w:szCs w:val="22"/>
                      <w:vertAlign w:val="superscript"/>
                      <w:lang w:val="sr-Latn-ME"/>
                    </w:rPr>
                    <w:t>*)</w:t>
                  </w:r>
                </w:p>
              </w:tc>
            </w:tr>
            <w:tr w:rsidR="00C00EF1" w:rsidRPr="00026B48" w14:paraId="166F3D0F" w14:textId="77777777" w:rsidTr="00AB025E">
              <w:trPr>
                <w:trHeight w:val="759"/>
              </w:trPr>
              <w:tc>
                <w:tcPr>
                  <w:tcW w:w="1357" w:type="dxa"/>
                  <w:shd w:val="clear" w:color="auto" w:fill="auto"/>
                </w:tcPr>
                <w:p w14:paraId="166F3D08" w14:textId="77777777" w:rsidR="00C00EF1" w:rsidRPr="00026B48" w:rsidRDefault="008C4083" w:rsidP="00AB025E">
                  <w:pPr>
                    <w:rPr>
                      <w:color w:val="000000" w:themeColor="text1"/>
                      <w:szCs w:val="22"/>
                      <w:lang w:val="sr-Latn-ME"/>
                    </w:rPr>
                  </w:pPr>
                  <w:r w:rsidRPr="00026B48">
                    <w:rPr>
                      <w:color w:val="000000" w:themeColor="text1"/>
                      <w:szCs w:val="22"/>
                      <w:lang w:val="sr-Latn-ME"/>
                    </w:rPr>
                    <w:t>Poremećaji imunskog sistema</w:t>
                  </w:r>
                </w:p>
              </w:tc>
              <w:tc>
                <w:tcPr>
                  <w:tcW w:w="1357" w:type="dxa"/>
                  <w:shd w:val="clear" w:color="auto" w:fill="auto"/>
                </w:tcPr>
                <w:p w14:paraId="166F3D09" w14:textId="77777777" w:rsidR="00C00EF1" w:rsidRPr="00026B48" w:rsidRDefault="00C00EF1" w:rsidP="00AB025E">
                  <w:pPr>
                    <w:rPr>
                      <w:color w:val="000000" w:themeColor="text1"/>
                      <w:szCs w:val="22"/>
                      <w:lang w:val="sr-Latn-ME"/>
                    </w:rPr>
                  </w:pPr>
                </w:p>
              </w:tc>
              <w:tc>
                <w:tcPr>
                  <w:tcW w:w="1357" w:type="dxa"/>
                  <w:shd w:val="clear" w:color="auto" w:fill="auto"/>
                </w:tcPr>
                <w:p w14:paraId="166F3D0A" w14:textId="77777777" w:rsidR="00C00EF1" w:rsidRPr="00026B48" w:rsidRDefault="00C00EF1" w:rsidP="00AB025E">
                  <w:pPr>
                    <w:rPr>
                      <w:color w:val="000000" w:themeColor="text1"/>
                      <w:szCs w:val="22"/>
                      <w:lang w:val="sr-Latn-ME"/>
                    </w:rPr>
                  </w:pPr>
                </w:p>
              </w:tc>
              <w:tc>
                <w:tcPr>
                  <w:tcW w:w="1357" w:type="dxa"/>
                  <w:shd w:val="clear" w:color="auto" w:fill="auto"/>
                </w:tcPr>
                <w:p w14:paraId="166F3D0B" w14:textId="77777777" w:rsidR="00C00EF1" w:rsidRPr="00026B48" w:rsidRDefault="00C00EF1" w:rsidP="00AB025E">
                  <w:pPr>
                    <w:rPr>
                      <w:color w:val="000000" w:themeColor="text1"/>
                      <w:szCs w:val="22"/>
                      <w:lang w:val="sr-Latn-ME"/>
                    </w:rPr>
                  </w:pPr>
                </w:p>
              </w:tc>
              <w:tc>
                <w:tcPr>
                  <w:tcW w:w="1357" w:type="dxa"/>
                  <w:shd w:val="clear" w:color="auto" w:fill="auto"/>
                </w:tcPr>
                <w:p w14:paraId="166F3D0C" w14:textId="77777777" w:rsidR="00C00EF1" w:rsidRPr="00026B48" w:rsidRDefault="008C4083" w:rsidP="00AB025E">
                  <w:pPr>
                    <w:rPr>
                      <w:color w:val="000000" w:themeColor="text1"/>
                      <w:szCs w:val="22"/>
                      <w:lang w:val="sr-Latn-ME"/>
                    </w:rPr>
                  </w:pPr>
                  <w:r w:rsidRPr="00026B48">
                    <w:rPr>
                      <w:color w:val="000000" w:themeColor="text1"/>
                      <w:szCs w:val="22"/>
                      <w:lang w:val="sr-Latn-ME"/>
                    </w:rPr>
                    <w:t>Reakcije preosjetljivosti</w:t>
                  </w:r>
                </w:p>
              </w:tc>
              <w:tc>
                <w:tcPr>
                  <w:tcW w:w="1358" w:type="dxa"/>
                  <w:shd w:val="clear" w:color="auto" w:fill="auto"/>
                </w:tcPr>
                <w:p w14:paraId="166F3D0D" w14:textId="77777777" w:rsidR="00C00EF1" w:rsidRPr="00026B48" w:rsidRDefault="00C00EF1" w:rsidP="00AB025E">
                  <w:pPr>
                    <w:rPr>
                      <w:color w:val="000000" w:themeColor="text1"/>
                      <w:szCs w:val="22"/>
                      <w:lang w:val="sr-Latn-ME"/>
                    </w:rPr>
                  </w:pPr>
                </w:p>
              </w:tc>
              <w:tc>
                <w:tcPr>
                  <w:tcW w:w="1358" w:type="dxa"/>
                  <w:shd w:val="clear" w:color="auto" w:fill="auto"/>
                </w:tcPr>
                <w:p w14:paraId="166F3D0E" w14:textId="77777777" w:rsidR="00C00EF1" w:rsidRPr="00026B48" w:rsidRDefault="00C00EF1" w:rsidP="00AB025E">
                  <w:pPr>
                    <w:rPr>
                      <w:color w:val="000000" w:themeColor="text1"/>
                      <w:szCs w:val="22"/>
                      <w:lang w:val="sr-Latn-ME"/>
                    </w:rPr>
                  </w:pPr>
                </w:p>
              </w:tc>
            </w:tr>
            <w:tr w:rsidR="00C00EF1" w:rsidRPr="00026B48" w14:paraId="166F3D17" w14:textId="77777777" w:rsidTr="00AB025E">
              <w:trPr>
                <w:trHeight w:val="759"/>
              </w:trPr>
              <w:tc>
                <w:tcPr>
                  <w:tcW w:w="1357" w:type="dxa"/>
                  <w:shd w:val="clear" w:color="auto" w:fill="auto"/>
                </w:tcPr>
                <w:p w14:paraId="166F3D10" w14:textId="77777777" w:rsidR="00C00EF1" w:rsidRPr="00026B48" w:rsidRDefault="008C4083" w:rsidP="00AB025E">
                  <w:pPr>
                    <w:rPr>
                      <w:color w:val="000000" w:themeColor="text1"/>
                      <w:szCs w:val="22"/>
                      <w:lang w:val="sr-Latn-ME"/>
                    </w:rPr>
                  </w:pPr>
                  <w:r w:rsidRPr="00026B48">
                    <w:rPr>
                      <w:color w:val="000000" w:themeColor="text1"/>
                      <w:szCs w:val="22"/>
                      <w:lang w:val="sr-Latn-ME"/>
                    </w:rPr>
                    <w:t>Poremećaji metabolizma i ishrane</w:t>
                  </w:r>
                </w:p>
              </w:tc>
              <w:tc>
                <w:tcPr>
                  <w:tcW w:w="1357" w:type="dxa"/>
                  <w:shd w:val="clear" w:color="auto" w:fill="auto"/>
                </w:tcPr>
                <w:p w14:paraId="166F3D11" w14:textId="77777777" w:rsidR="00C00EF1" w:rsidRPr="00026B48" w:rsidRDefault="00C00EF1" w:rsidP="00AB025E">
                  <w:pPr>
                    <w:rPr>
                      <w:color w:val="000000" w:themeColor="text1"/>
                      <w:szCs w:val="22"/>
                      <w:lang w:val="sr-Latn-ME"/>
                    </w:rPr>
                  </w:pPr>
                </w:p>
              </w:tc>
              <w:tc>
                <w:tcPr>
                  <w:tcW w:w="1357" w:type="dxa"/>
                  <w:shd w:val="clear" w:color="auto" w:fill="auto"/>
                </w:tcPr>
                <w:p w14:paraId="166F3D12" w14:textId="77777777" w:rsidR="00C00EF1" w:rsidRPr="00026B48" w:rsidRDefault="008C4083" w:rsidP="00AB025E">
                  <w:pPr>
                    <w:rPr>
                      <w:color w:val="000000" w:themeColor="text1"/>
                      <w:szCs w:val="22"/>
                      <w:lang w:val="sr-Latn-ME"/>
                    </w:rPr>
                  </w:pPr>
                  <w:r w:rsidRPr="00026B48">
                    <w:rPr>
                      <w:color w:val="000000" w:themeColor="text1"/>
                      <w:szCs w:val="22"/>
                      <w:lang w:val="sr-Latn-ME"/>
                    </w:rPr>
                    <w:t>Povećanje ili smanjenje tjelesne mase</w:t>
                  </w:r>
                </w:p>
              </w:tc>
              <w:tc>
                <w:tcPr>
                  <w:tcW w:w="1357" w:type="dxa"/>
                  <w:shd w:val="clear" w:color="auto" w:fill="auto"/>
                </w:tcPr>
                <w:p w14:paraId="166F3D13" w14:textId="77777777" w:rsidR="00C00EF1" w:rsidRPr="00026B48" w:rsidRDefault="00C00EF1" w:rsidP="00AB025E">
                  <w:pPr>
                    <w:rPr>
                      <w:color w:val="000000" w:themeColor="text1"/>
                      <w:szCs w:val="22"/>
                      <w:lang w:val="sr-Latn-ME"/>
                    </w:rPr>
                  </w:pPr>
                </w:p>
              </w:tc>
              <w:tc>
                <w:tcPr>
                  <w:tcW w:w="1357" w:type="dxa"/>
                  <w:shd w:val="clear" w:color="auto" w:fill="auto"/>
                </w:tcPr>
                <w:p w14:paraId="166F3D14" w14:textId="77777777" w:rsidR="00C00EF1" w:rsidRPr="00026B48" w:rsidRDefault="00C00EF1" w:rsidP="00AB025E">
                  <w:pPr>
                    <w:rPr>
                      <w:color w:val="000000" w:themeColor="text1"/>
                      <w:szCs w:val="22"/>
                      <w:lang w:val="sr-Latn-ME"/>
                    </w:rPr>
                  </w:pPr>
                </w:p>
              </w:tc>
              <w:tc>
                <w:tcPr>
                  <w:tcW w:w="1358" w:type="dxa"/>
                  <w:shd w:val="clear" w:color="auto" w:fill="auto"/>
                </w:tcPr>
                <w:p w14:paraId="166F3D15" w14:textId="77777777" w:rsidR="00C00EF1" w:rsidRPr="00026B48" w:rsidRDefault="00C00EF1" w:rsidP="00AB025E">
                  <w:pPr>
                    <w:rPr>
                      <w:color w:val="000000" w:themeColor="text1"/>
                      <w:szCs w:val="22"/>
                      <w:lang w:val="sr-Latn-ME"/>
                    </w:rPr>
                  </w:pPr>
                </w:p>
              </w:tc>
              <w:tc>
                <w:tcPr>
                  <w:tcW w:w="1358" w:type="dxa"/>
                  <w:shd w:val="clear" w:color="auto" w:fill="auto"/>
                </w:tcPr>
                <w:p w14:paraId="166F3D16" w14:textId="77777777" w:rsidR="00C00EF1" w:rsidRPr="00026B48" w:rsidRDefault="00C00EF1" w:rsidP="00AB025E">
                  <w:pPr>
                    <w:rPr>
                      <w:color w:val="000000" w:themeColor="text1"/>
                      <w:szCs w:val="22"/>
                      <w:lang w:val="sr-Latn-ME"/>
                    </w:rPr>
                  </w:pPr>
                </w:p>
              </w:tc>
            </w:tr>
            <w:tr w:rsidR="00C00EF1" w:rsidRPr="00026B48" w14:paraId="166F3D20" w14:textId="77777777" w:rsidTr="00AB025E">
              <w:trPr>
                <w:trHeight w:val="1001"/>
              </w:trPr>
              <w:tc>
                <w:tcPr>
                  <w:tcW w:w="1357" w:type="dxa"/>
                  <w:shd w:val="clear" w:color="auto" w:fill="auto"/>
                </w:tcPr>
                <w:p w14:paraId="166F3D18" w14:textId="77777777" w:rsidR="00C00EF1" w:rsidRPr="00026B48" w:rsidRDefault="008C4083" w:rsidP="00AB025E">
                  <w:pPr>
                    <w:rPr>
                      <w:color w:val="000000" w:themeColor="text1"/>
                      <w:szCs w:val="22"/>
                      <w:lang w:val="sr-Latn-ME"/>
                    </w:rPr>
                  </w:pPr>
                  <w:r w:rsidRPr="00026B48">
                    <w:rPr>
                      <w:color w:val="000000" w:themeColor="text1"/>
                      <w:szCs w:val="22"/>
                      <w:lang w:val="sr-Latn-ME"/>
                    </w:rPr>
                    <w:t>Psihijatrijski poremećaji</w:t>
                  </w:r>
                </w:p>
              </w:tc>
              <w:tc>
                <w:tcPr>
                  <w:tcW w:w="1357" w:type="dxa"/>
                  <w:shd w:val="clear" w:color="auto" w:fill="auto"/>
                </w:tcPr>
                <w:p w14:paraId="166F3D19" w14:textId="77777777" w:rsidR="00C00EF1" w:rsidRPr="00026B48" w:rsidRDefault="008C4083" w:rsidP="00AB025E">
                  <w:pPr>
                    <w:rPr>
                      <w:color w:val="000000" w:themeColor="text1"/>
                      <w:szCs w:val="22"/>
                      <w:lang w:val="sr-Latn-ME"/>
                    </w:rPr>
                  </w:pPr>
                  <w:r w:rsidRPr="00026B48">
                    <w:rPr>
                      <w:color w:val="000000" w:themeColor="text1"/>
                      <w:szCs w:val="22"/>
                      <w:lang w:val="sr-Latn-ME"/>
                    </w:rPr>
                    <w:t xml:space="preserve">Smanjen libido, erektilna disfunkcija </w:t>
                  </w:r>
                </w:p>
              </w:tc>
              <w:tc>
                <w:tcPr>
                  <w:tcW w:w="1357" w:type="dxa"/>
                  <w:shd w:val="clear" w:color="auto" w:fill="auto"/>
                </w:tcPr>
                <w:p w14:paraId="166F3D1A" w14:textId="77777777" w:rsidR="00C00EF1" w:rsidRPr="00026B48" w:rsidRDefault="008C4083" w:rsidP="00AB025E">
                  <w:pPr>
                    <w:rPr>
                      <w:color w:val="000000" w:themeColor="text1"/>
                      <w:szCs w:val="22"/>
                      <w:lang w:val="sr-Latn-ME"/>
                    </w:rPr>
                  </w:pPr>
                  <w:r w:rsidRPr="00026B48">
                    <w:rPr>
                      <w:color w:val="000000" w:themeColor="text1"/>
                      <w:szCs w:val="22"/>
                      <w:lang w:val="sr-Latn-ME"/>
                    </w:rPr>
                    <w:t>Depresivno raspoloženje,</w:t>
                  </w:r>
                </w:p>
                <w:p w14:paraId="166F3D1B" w14:textId="77777777" w:rsidR="00C00EF1" w:rsidRPr="00026B48" w:rsidRDefault="008C4083" w:rsidP="00AB025E">
                  <w:pPr>
                    <w:rPr>
                      <w:color w:val="000000" w:themeColor="text1"/>
                      <w:szCs w:val="22"/>
                      <w:lang w:val="sr-Latn-ME"/>
                    </w:rPr>
                  </w:pPr>
                  <w:r w:rsidRPr="00026B48">
                    <w:rPr>
                      <w:color w:val="000000" w:themeColor="text1"/>
                      <w:szCs w:val="22"/>
                      <w:lang w:val="sr-Latn-ME"/>
                    </w:rPr>
                    <w:t>nemir (privremeno)</w:t>
                  </w:r>
                </w:p>
              </w:tc>
              <w:tc>
                <w:tcPr>
                  <w:tcW w:w="1357" w:type="dxa"/>
                  <w:shd w:val="clear" w:color="auto" w:fill="auto"/>
                </w:tcPr>
                <w:p w14:paraId="166F3D1C" w14:textId="77777777" w:rsidR="00C00EF1" w:rsidRPr="00026B48" w:rsidRDefault="00C00EF1" w:rsidP="00AB025E">
                  <w:pPr>
                    <w:rPr>
                      <w:color w:val="000000" w:themeColor="text1"/>
                      <w:szCs w:val="22"/>
                      <w:lang w:val="sr-Latn-ME"/>
                    </w:rPr>
                  </w:pPr>
                </w:p>
              </w:tc>
              <w:tc>
                <w:tcPr>
                  <w:tcW w:w="1357" w:type="dxa"/>
                  <w:shd w:val="clear" w:color="auto" w:fill="auto"/>
                </w:tcPr>
                <w:p w14:paraId="166F3D1D" w14:textId="77777777" w:rsidR="00C00EF1" w:rsidRPr="00026B48" w:rsidRDefault="00C00EF1" w:rsidP="00AB025E">
                  <w:pPr>
                    <w:rPr>
                      <w:color w:val="000000" w:themeColor="text1"/>
                      <w:szCs w:val="22"/>
                      <w:lang w:val="sr-Latn-ME"/>
                    </w:rPr>
                  </w:pPr>
                </w:p>
              </w:tc>
              <w:tc>
                <w:tcPr>
                  <w:tcW w:w="1358" w:type="dxa"/>
                  <w:shd w:val="clear" w:color="auto" w:fill="auto"/>
                </w:tcPr>
                <w:p w14:paraId="166F3D1E" w14:textId="77777777" w:rsidR="00C00EF1" w:rsidRPr="00026B48" w:rsidRDefault="00C00EF1" w:rsidP="00AB025E">
                  <w:pPr>
                    <w:rPr>
                      <w:color w:val="000000" w:themeColor="text1"/>
                      <w:szCs w:val="22"/>
                      <w:lang w:val="sr-Latn-ME"/>
                    </w:rPr>
                  </w:pPr>
                </w:p>
              </w:tc>
              <w:tc>
                <w:tcPr>
                  <w:tcW w:w="1358" w:type="dxa"/>
                  <w:shd w:val="clear" w:color="auto" w:fill="auto"/>
                </w:tcPr>
                <w:p w14:paraId="166F3D1F" w14:textId="77777777" w:rsidR="00C00EF1" w:rsidRPr="00026B48" w:rsidRDefault="00C00EF1" w:rsidP="00AB025E">
                  <w:pPr>
                    <w:rPr>
                      <w:color w:val="000000" w:themeColor="text1"/>
                      <w:szCs w:val="22"/>
                      <w:lang w:val="sr-Latn-ME"/>
                    </w:rPr>
                  </w:pPr>
                </w:p>
              </w:tc>
            </w:tr>
            <w:tr w:rsidR="00C00EF1" w:rsidRPr="00026B48" w14:paraId="166F3D28" w14:textId="77777777" w:rsidTr="00AB025E">
              <w:trPr>
                <w:trHeight w:val="759"/>
              </w:trPr>
              <w:tc>
                <w:tcPr>
                  <w:tcW w:w="1357" w:type="dxa"/>
                  <w:shd w:val="clear" w:color="auto" w:fill="auto"/>
                </w:tcPr>
                <w:p w14:paraId="166F3D21" w14:textId="77777777" w:rsidR="00C00EF1" w:rsidRPr="00026B48" w:rsidRDefault="008C4083" w:rsidP="00AB025E">
                  <w:pPr>
                    <w:rPr>
                      <w:color w:val="000000" w:themeColor="text1"/>
                      <w:szCs w:val="22"/>
                      <w:lang w:val="sr-Latn-ME"/>
                    </w:rPr>
                  </w:pPr>
                  <w:r w:rsidRPr="00026B48">
                    <w:rPr>
                      <w:color w:val="000000" w:themeColor="text1"/>
                      <w:szCs w:val="22"/>
                      <w:lang w:val="sr-Latn-ME"/>
                    </w:rPr>
                    <w:t>Vaskularni poremećaji</w:t>
                  </w:r>
                </w:p>
              </w:tc>
              <w:tc>
                <w:tcPr>
                  <w:tcW w:w="1357" w:type="dxa"/>
                  <w:shd w:val="clear" w:color="auto" w:fill="auto"/>
                </w:tcPr>
                <w:p w14:paraId="166F3D22" w14:textId="77777777" w:rsidR="00C00EF1" w:rsidRPr="00026B48" w:rsidRDefault="00C00EF1" w:rsidP="00AB025E">
                  <w:pPr>
                    <w:rPr>
                      <w:color w:val="000000" w:themeColor="text1"/>
                      <w:szCs w:val="22"/>
                      <w:lang w:val="sr-Latn-ME"/>
                    </w:rPr>
                  </w:pPr>
                </w:p>
              </w:tc>
              <w:tc>
                <w:tcPr>
                  <w:tcW w:w="1357" w:type="dxa"/>
                  <w:shd w:val="clear" w:color="auto" w:fill="auto"/>
                </w:tcPr>
                <w:p w14:paraId="166F3D23" w14:textId="77777777" w:rsidR="00C00EF1" w:rsidRPr="00026B48" w:rsidRDefault="00C00EF1" w:rsidP="00AB025E">
                  <w:pPr>
                    <w:rPr>
                      <w:color w:val="000000" w:themeColor="text1"/>
                      <w:szCs w:val="22"/>
                      <w:lang w:val="sr-Latn-ME"/>
                    </w:rPr>
                  </w:pPr>
                </w:p>
              </w:tc>
              <w:tc>
                <w:tcPr>
                  <w:tcW w:w="1357" w:type="dxa"/>
                  <w:shd w:val="clear" w:color="auto" w:fill="auto"/>
                </w:tcPr>
                <w:p w14:paraId="166F3D24" w14:textId="77777777" w:rsidR="00C00EF1" w:rsidRPr="00026B48" w:rsidRDefault="00C00EF1" w:rsidP="00AB025E">
                  <w:pPr>
                    <w:rPr>
                      <w:color w:val="000000" w:themeColor="text1"/>
                      <w:szCs w:val="22"/>
                      <w:lang w:val="sr-Latn-ME"/>
                    </w:rPr>
                  </w:pPr>
                </w:p>
              </w:tc>
              <w:tc>
                <w:tcPr>
                  <w:tcW w:w="1357" w:type="dxa"/>
                  <w:shd w:val="clear" w:color="auto" w:fill="auto"/>
                </w:tcPr>
                <w:p w14:paraId="166F3D25" w14:textId="77777777" w:rsidR="00C00EF1" w:rsidRPr="00026B48" w:rsidRDefault="00C00EF1" w:rsidP="00AB025E">
                  <w:pPr>
                    <w:rPr>
                      <w:color w:val="000000" w:themeColor="text1"/>
                      <w:szCs w:val="22"/>
                      <w:lang w:val="sr-Latn-ME"/>
                    </w:rPr>
                  </w:pPr>
                </w:p>
              </w:tc>
              <w:tc>
                <w:tcPr>
                  <w:tcW w:w="1358" w:type="dxa"/>
                  <w:shd w:val="clear" w:color="auto" w:fill="auto"/>
                </w:tcPr>
                <w:p w14:paraId="166F3D26" w14:textId="77777777" w:rsidR="00C00EF1" w:rsidRPr="00026B48" w:rsidRDefault="00C00EF1" w:rsidP="00AB025E">
                  <w:pPr>
                    <w:rPr>
                      <w:color w:val="000000" w:themeColor="text1"/>
                      <w:szCs w:val="22"/>
                      <w:lang w:val="sr-Latn-ME"/>
                    </w:rPr>
                  </w:pPr>
                </w:p>
              </w:tc>
              <w:tc>
                <w:tcPr>
                  <w:tcW w:w="1358" w:type="dxa"/>
                  <w:shd w:val="clear" w:color="auto" w:fill="auto"/>
                </w:tcPr>
                <w:p w14:paraId="166F3D27" w14:textId="77777777" w:rsidR="00C00EF1" w:rsidRPr="00026B48" w:rsidRDefault="008C4083" w:rsidP="00AB025E">
                  <w:pPr>
                    <w:rPr>
                      <w:color w:val="000000" w:themeColor="text1"/>
                      <w:szCs w:val="22"/>
                      <w:lang w:val="sr-Latn-ME"/>
                    </w:rPr>
                  </w:pPr>
                  <w:r w:rsidRPr="00026B48">
                    <w:rPr>
                      <w:color w:val="000000" w:themeColor="text1"/>
                      <w:szCs w:val="22"/>
                      <w:lang w:val="sr-Latn-ME"/>
                    </w:rPr>
                    <w:t>Tromboembolijski događaji</w:t>
                  </w:r>
                  <w:r w:rsidRPr="00026B48">
                    <w:rPr>
                      <w:color w:val="000000" w:themeColor="text1"/>
                      <w:szCs w:val="22"/>
                      <w:vertAlign w:val="superscript"/>
                      <w:lang w:val="sr-Latn-ME"/>
                    </w:rPr>
                    <w:t>*)**)</w:t>
                  </w:r>
                </w:p>
              </w:tc>
            </w:tr>
            <w:tr w:rsidR="00C00EF1" w:rsidRPr="00026B48" w14:paraId="166F3D30" w14:textId="77777777" w:rsidTr="00AB025E">
              <w:trPr>
                <w:trHeight w:val="1013"/>
              </w:trPr>
              <w:tc>
                <w:tcPr>
                  <w:tcW w:w="1357" w:type="dxa"/>
                  <w:shd w:val="clear" w:color="auto" w:fill="auto"/>
                </w:tcPr>
                <w:p w14:paraId="166F3D29" w14:textId="77777777" w:rsidR="00C00EF1" w:rsidRPr="00026B48" w:rsidRDefault="008C4083" w:rsidP="00AB025E">
                  <w:pPr>
                    <w:rPr>
                      <w:color w:val="000000" w:themeColor="text1"/>
                      <w:szCs w:val="22"/>
                      <w:lang w:val="sr-Latn-ME"/>
                    </w:rPr>
                  </w:pPr>
                  <w:r w:rsidRPr="00026B48">
                    <w:rPr>
                      <w:color w:val="000000" w:themeColor="text1"/>
                      <w:szCs w:val="22"/>
                      <w:lang w:val="sr-Latn-ME"/>
                    </w:rPr>
                    <w:t>Respiratorni, torakalni i medijastinalni poremećaji</w:t>
                  </w:r>
                </w:p>
              </w:tc>
              <w:tc>
                <w:tcPr>
                  <w:tcW w:w="1357" w:type="dxa"/>
                  <w:shd w:val="clear" w:color="auto" w:fill="auto"/>
                </w:tcPr>
                <w:p w14:paraId="166F3D2A" w14:textId="77777777" w:rsidR="00C00EF1" w:rsidRPr="00026B48" w:rsidRDefault="00C00EF1" w:rsidP="00AB025E">
                  <w:pPr>
                    <w:rPr>
                      <w:color w:val="000000" w:themeColor="text1"/>
                      <w:szCs w:val="22"/>
                      <w:lang w:val="sr-Latn-ME"/>
                    </w:rPr>
                  </w:pPr>
                </w:p>
              </w:tc>
              <w:tc>
                <w:tcPr>
                  <w:tcW w:w="1357" w:type="dxa"/>
                  <w:shd w:val="clear" w:color="auto" w:fill="auto"/>
                </w:tcPr>
                <w:p w14:paraId="166F3D2B" w14:textId="77777777" w:rsidR="00C00EF1" w:rsidRPr="00026B48" w:rsidRDefault="008C4083" w:rsidP="00AB025E">
                  <w:pPr>
                    <w:rPr>
                      <w:color w:val="000000" w:themeColor="text1"/>
                      <w:szCs w:val="22"/>
                      <w:lang w:val="sr-Latn-ME"/>
                    </w:rPr>
                  </w:pPr>
                  <w:r w:rsidRPr="00026B48">
                    <w:rPr>
                      <w:color w:val="000000" w:themeColor="text1"/>
                      <w:szCs w:val="22"/>
                      <w:lang w:val="sr-Latn-ME"/>
                    </w:rPr>
                    <w:t>Nedostatak daha</w:t>
                  </w:r>
                  <w:r w:rsidRPr="00026B48">
                    <w:rPr>
                      <w:color w:val="000000" w:themeColor="text1"/>
                      <w:szCs w:val="22"/>
                      <w:vertAlign w:val="superscript"/>
                      <w:lang w:val="sr-Latn-ME"/>
                    </w:rPr>
                    <w:t>*)</w:t>
                  </w:r>
                </w:p>
              </w:tc>
              <w:tc>
                <w:tcPr>
                  <w:tcW w:w="1357" w:type="dxa"/>
                  <w:shd w:val="clear" w:color="auto" w:fill="auto"/>
                </w:tcPr>
                <w:p w14:paraId="166F3D2C" w14:textId="77777777" w:rsidR="00C00EF1" w:rsidRPr="00026B48" w:rsidRDefault="00C00EF1" w:rsidP="00AB025E">
                  <w:pPr>
                    <w:rPr>
                      <w:color w:val="000000" w:themeColor="text1"/>
                      <w:szCs w:val="22"/>
                      <w:lang w:val="sr-Latn-ME"/>
                    </w:rPr>
                  </w:pPr>
                </w:p>
              </w:tc>
              <w:tc>
                <w:tcPr>
                  <w:tcW w:w="1357" w:type="dxa"/>
                  <w:shd w:val="clear" w:color="auto" w:fill="auto"/>
                </w:tcPr>
                <w:p w14:paraId="166F3D2D" w14:textId="77777777" w:rsidR="00C00EF1" w:rsidRPr="00026B48" w:rsidRDefault="00C00EF1" w:rsidP="00AB025E">
                  <w:pPr>
                    <w:rPr>
                      <w:color w:val="000000" w:themeColor="text1"/>
                      <w:szCs w:val="22"/>
                      <w:lang w:val="sr-Latn-ME"/>
                    </w:rPr>
                  </w:pPr>
                </w:p>
              </w:tc>
              <w:tc>
                <w:tcPr>
                  <w:tcW w:w="1358" w:type="dxa"/>
                  <w:shd w:val="clear" w:color="auto" w:fill="auto"/>
                </w:tcPr>
                <w:p w14:paraId="166F3D2E" w14:textId="77777777" w:rsidR="00C00EF1" w:rsidRPr="00026B48" w:rsidRDefault="00C00EF1" w:rsidP="00AB025E">
                  <w:pPr>
                    <w:rPr>
                      <w:color w:val="000000" w:themeColor="text1"/>
                      <w:szCs w:val="22"/>
                      <w:lang w:val="sr-Latn-ME"/>
                    </w:rPr>
                  </w:pPr>
                </w:p>
              </w:tc>
              <w:tc>
                <w:tcPr>
                  <w:tcW w:w="1358" w:type="dxa"/>
                  <w:shd w:val="clear" w:color="auto" w:fill="auto"/>
                </w:tcPr>
                <w:p w14:paraId="166F3D2F" w14:textId="77777777" w:rsidR="00C00EF1" w:rsidRPr="00026B48" w:rsidRDefault="00C00EF1" w:rsidP="00AB025E">
                  <w:pPr>
                    <w:rPr>
                      <w:color w:val="000000" w:themeColor="text1"/>
                      <w:szCs w:val="22"/>
                      <w:lang w:val="sr-Latn-ME"/>
                    </w:rPr>
                  </w:pPr>
                </w:p>
              </w:tc>
            </w:tr>
            <w:tr w:rsidR="00C00EF1" w:rsidRPr="00026B48" w14:paraId="166F3D38" w14:textId="77777777" w:rsidTr="00AB025E">
              <w:trPr>
                <w:trHeight w:val="748"/>
              </w:trPr>
              <w:tc>
                <w:tcPr>
                  <w:tcW w:w="1357" w:type="dxa"/>
                  <w:shd w:val="clear" w:color="auto" w:fill="auto"/>
                </w:tcPr>
                <w:p w14:paraId="166F3D31" w14:textId="77777777" w:rsidR="00C00EF1" w:rsidRPr="00026B48" w:rsidRDefault="008C4083" w:rsidP="00AB025E">
                  <w:pPr>
                    <w:rPr>
                      <w:color w:val="000000" w:themeColor="text1"/>
                      <w:szCs w:val="22"/>
                      <w:lang w:val="sr-Latn-ME"/>
                    </w:rPr>
                  </w:pPr>
                  <w:r w:rsidRPr="00026B48">
                    <w:rPr>
                      <w:color w:val="000000" w:themeColor="text1"/>
                      <w:szCs w:val="22"/>
                      <w:lang w:val="sr-Latn-ME"/>
                    </w:rPr>
                    <w:t>Gastrointestinalni poremećaji</w:t>
                  </w:r>
                </w:p>
              </w:tc>
              <w:tc>
                <w:tcPr>
                  <w:tcW w:w="1357" w:type="dxa"/>
                  <w:shd w:val="clear" w:color="auto" w:fill="auto"/>
                </w:tcPr>
                <w:p w14:paraId="166F3D32" w14:textId="77777777" w:rsidR="00C00EF1" w:rsidRPr="00026B48" w:rsidRDefault="00C00EF1" w:rsidP="00AB025E">
                  <w:pPr>
                    <w:rPr>
                      <w:color w:val="000000" w:themeColor="text1"/>
                      <w:szCs w:val="22"/>
                      <w:lang w:val="sr-Latn-ME"/>
                    </w:rPr>
                  </w:pPr>
                </w:p>
              </w:tc>
              <w:tc>
                <w:tcPr>
                  <w:tcW w:w="1357" w:type="dxa"/>
                  <w:shd w:val="clear" w:color="auto" w:fill="auto"/>
                </w:tcPr>
                <w:p w14:paraId="166F3D33" w14:textId="77777777" w:rsidR="00C00EF1" w:rsidRPr="00026B48" w:rsidRDefault="00C00EF1" w:rsidP="00AB025E">
                  <w:pPr>
                    <w:rPr>
                      <w:color w:val="000000" w:themeColor="text1"/>
                      <w:szCs w:val="22"/>
                      <w:lang w:val="sr-Latn-ME"/>
                    </w:rPr>
                  </w:pPr>
                </w:p>
              </w:tc>
              <w:tc>
                <w:tcPr>
                  <w:tcW w:w="1357" w:type="dxa"/>
                  <w:shd w:val="clear" w:color="auto" w:fill="auto"/>
                </w:tcPr>
                <w:p w14:paraId="166F3D34" w14:textId="77777777" w:rsidR="00C00EF1" w:rsidRPr="00026B48" w:rsidRDefault="00C00EF1" w:rsidP="00AB025E">
                  <w:pPr>
                    <w:rPr>
                      <w:color w:val="000000" w:themeColor="text1"/>
                      <w:szCs w:val="22"/>
                      <w:lang w:val="sr-Latn-ME"/>
                    </w:rPr>
                  </w:pPr>
                </w:p>
              </w:tc>
              <w:tc>
                <w:tcPr>
                  <w:tcW w:w="1357" w:type="dxa"/>
                  <w:shd w:val="clear" w:color="auto" w:fill="auto"/>
                </w:tcPr>
                <w:p w14:paraId="166F3D35" w14:textId="77777777" w:rsidR="00C00EF1" w:rsidRPr="00026B48" w:rsidRDefault="00C00EF1" w:rsidP="00AB025E">
                  <w:pPr>
                    <w:rPr>
                      <w:color w:val="000000" w:themeColor="text1"/>
                      <w:szCs w:val="22"/>
                      <w:lang w:val="sr-Latn-ME"/>
                    </w:rPr>
                  </w:pPr>
                </w:p>
              </w:tc>
              <w:tc>
                <w:tcPr>
                  <w:tcW w:w="1358" w:type="dxa"/>
                  <w:shd w:val="clear" w:color="auto" w:fill="auto"/>
                </w:tcPr>
                <w:p w14:paraId="166F3D36" w14:textId="77777777" w:rsidR="00C00EF1" w:rsidRPr="00026B48" w:rsidRDefault="00C00EF1" w:rsidP="00AB025E">
                  <w:pPr>
                    <w:rPr>
                      <w:color w:val="000000" w:themeColor="text1"/>
                      <w:szCs w:val="22"/>
                      <w:lang w:val="sr-Latn-ME"/>
                    </w:rPr>
                  </w:pPr>
                </w:p>
              </w:tc>
              <w:tc>
                <w:tcPr>
                  <w:tcW w:w="1358" w:type="dxa"/>
                  <w:shd w:val="clear" w:color="auto" w:fill="auto"/>
                </w:tcPr>
                <w:p w14:paraId="166F3D37" w14:textId="77777777" w:rsidR="00C00EF1" w:rsidRPr="00026B48" w:rsidRDefault="008C4083" w:rsidP="00AB025E">
                  <w:pPr>
                    <w:rPr>
                      <w:color w:val="000000" w:themeColor="text1"/>
                      <w:szCs w:val="22"/>
                      <w:lang w:val="sr-Latn-ME"/>
                    </w:rPr>
                  </w:pPr>
                  <w:r w:rsidRPr="00026B48">
                    <w:rPr>
                      <w:color w:val="000000" w:themeColor="text1"/>
                      <w:szCs w:val="22"/>
                      <w:lang w:val="sr-Latn-ME"/>
                    </w:rPr>
                    <w:t>Intraabdominalno krvarenje</w:t>
                  </w:r>
                  <w:r w:rsidRPr="00026B48">
                    <w:rPr>
                      <w:color w:val="000000" w:themeColor="text1"/>
                      <w:szCs w:val="22"/>
                      <w:vertAlign w:val="superscript"/>
                      <w:lang w:val="sr-Latn-ME"/>
                    </w:rPr>
                    <w:t>*)</w:t>
                  </w:r>
                </w:p>
              </w:tc>
            </w:tr>
            <w:tr w:rsidR="00C00EF1" w:rsidRPr="00026B48" w14:paraId="166F3D40" w14:textId="77777777" w:rsidTr="00AB025E">
              <w:trPr>
                <w:trHeight w:val="1772"/>
              </w:trPr>
              <w:tc>
                <w:tcPr>
                  <w:tcW w:w="1357" w:type="dxa"/>
                  <w:shd w:val="clear" w:color="auto" w:fill="auto"/>
                </w:tcPr>
                <w:p w14:paraId="166F3D39" w14:textId="77777777" w:rsidR="00C00EF1" w:rsidRPr="00026B48" w:rsidRDefault="008C4083" w:rsidP="00AB025E">
                  <w:pPr>
                    <w:rPr>
                      <w:color w:val="000000" w:themeColor="text1"/>
                      <w:szCs w:val="22"/>
                      <w:lang w:val="sr-Latn-ME"/>
                    </w:rPr>
                  </w:pPr>
                  <w:r w:rsidRPr="00026B48">
                    <w:rPr>
                      <w:color w:val="000000" w:themeColor="text1"/>
                      <w:szCs w:val="22"/>
                      <w:lang w:val="sr-Latn-ME"/>
                    </w:rPr>
                    <w:t>Hepatobilijarni poremećaji</w:t>
                  </w:r>
                </w:p>
              </w:tc>
              <w:tc>
                <w:tcPr>
                  <w:tcW w:w="1357" w:type="dxa"/>
                  <w:shd w:val="clear" w:color="auto" w:fill="auto"/>
                </w:tcPr>
                <w:p w14:paraId="166F3D3A" w14:textId="77777777" w:rsidR="00C00EF1" w:rsidRPr="00026B48" w:rsidRDefault="00C00EF1" w:rsidP="00AB025E">
                  <w:pPr>
                    <w:rPr>
                      <w:color w:val="000000" w:themeColor="text1"/>
                      <w:szCs w:val="22"/>
                      <w:lang w:val="sr-Latn-ME"/>
                    </w:rPr>
                  </w:pPr>
                </w:p>
              </w:tc>
              <w:tc>
                <w:tcPr>
                  <w:tcW w:w="1357" w:type="dxa"/>
                  <w:shd w:val="clear" w:color="auto" w:fill="auto"/>
                </w:tcPr>
                <w:p w14:paraId="166F3D3B" w14:textId="77777777" w:rsidR="00C00EF1" w:rsidRPr="00026B48" w:rsidRDefault="008C4083" w:rsidP="00AB025E">
                  <w:pPr>
                    <w:rPr>
                      <w:color w:val="000000" w:themeColor="text1"/>
                      <w:szCs w:val="22"/>
                      <w:lang w:val="sr-Latn-ME"/>
                    </w:rPr>
                  </w:pPr>
                  <w:r w:rsidRPr="00026B48">
                    <w:rPr>
                      <w:color w:val="000000" w:themeColor="text1"/>
                      <w:szCs w:val="22"/>
                      <w:lang w:val="sr-Latn-ME"/>
                    </w:rPr>
                    <w:t>Hepato-toksičnost, uključujući žuticu, hepatitis, insuficijenciju jetre</w:t>
                  </w:r>
                  <w:r w:rsidRPr="00026B48">
                    <w:rPr>
                      <w:color w:val="000000" w:themeColor="text1"/>
                      <w:szCs w:val="22"/>
                      <w:vertAlign w:val="superscript"/>
                      <w:lang w:val="sr-Latn-ME"/>
                    </w:rPr>
                    <w:t>*)</w:t>
                  </w:r>
                </w:p>
              </w:tc>
              <w:tc>
                <w:tcPr>
                  <w:tcW w:w="1357" w:type="dxa"/>
                  <w:shd w:val="clear" w:color="auto" w:fill="auto"/>
                </w:tcPr>
                <w:p w14:paraId="166F3D3C" w14:textId="77777777" w:rsidR="00C00EF1" w:rsidRPr="00026B48" w:rsidRDefault="00C00EF1" w:rsidP="00AB025E">
                  <w:pPr>
                    <w:rPr>
                      <w:color w:val="000000" w:themeColor="text1"/>
                      <w:szCs w:val="22"/>
                      <w:lang w:val="sr-Latn-ME"/>
                    </w:rPr>
                  </w:pPr>
                </w:p>
              </w:tc>
              <w:tc>
                <w:tcPr>
                  <w:tcW w:w="1357" w:type="dxa"/>
                  <w:shd w:val="clear" w:color="auto" w:fill="auto"/>
                </w:tcPr>
                <w:p w14:paraId="166F3D3D" w14:textId="77777777" w:rsidR="00C00EF1" w:rsidRPr="00026B48" w:rsidRDefault="00C00EF1" w:rsidP="00AB025E">
                  <w:pPr>
                    <w:rPr>
                      <w:color w:val="000000" w:themeColor="text1"/>
                      <w:szCs w:val="22"/>
                      <w:lang w:val="sr-Latn-ME"/>
                    </w:rPr>
                  </w:pPr>
                </w:p>
              </w:tc>
              <w:tc>
                <w:tcPr>
                  <w:tcW w:w="1358" w:type="dxa"/>
                  <w:shd w:val="clear" w:color="auto" w:fill="auto"/>
                </w:tcPr>
                <w:p w14:paraId="166F3D3E" w14:textId="77777777" w:rsidR="00C00EF1" w:rsidRPr="00026B48" w:rsidRDefault="00C00EF1" w:rsidP="00AB025E">
                  <w:pPr>
                    <w:rPr>
                      <w:color w:val="000000" w:themeColor="text1"/>
                      <w:szCs w:val="22"/>
                      <w:lang w:val="sr-Latn-ME"/>
                    </w:rPr>
                  </w:pPr>
                </w:p>
              </w:tc>
              <w:tc>
                <w:tcPr>
                  <w:tcW w:w="1358" w:type="dxa"/>
                  <w:shd w:val="clear" w:color="auto" w:fill="auto"/>
                </w:tcPr>
                <w:p w14:paraId="166F3D3F" w14:textId="77777777" w:rsidR="00C00EF1" w:rsidRPr="00026B48" w:rsidRDefault="00C00EF1" w:rsidP="00AB025E">
                  <w:pPr>
                    <w:rPr>
                      <w:color w:val="000000" w:themeColor="text1"/>
                      <w:szCs w:val="22"/>
                      <w:lang w:val="sr-Latn-ME"/>
                    </w:rPr>
                  </w:pPr>
                </w:p>
              </w:tc>
            </w:tr>
            <w:tr w:rsidR="00C00EF1" w:rsidRPr="00026B48" w14:paraId="166F3D48" w14:textId="77777777" w:rsidTr="00AB025E">
              <w:trPr>
                <w:trHeight w:val="1013"/>
              </w:trPr>
              <w:tc>
                <w:tcPr>
                  <w:tcW w:w="1357" w:type="dxa"/>
                  <w:shd w:val="clear" w:color="auto" w:fill="auto"/>
                </w:tcPr>
                <w:p w14:paraId="166F3D41" w14:textId="77777777" w:rsidR="00C00EF1" w:rsidRPr="00026B48" w:rsidRDefault="008C4083" w:rsidP="00AB025E">
                  <w:pPr>
                    <w:rPr>
                      <w:color w:val="000000" w:themeColor="text1"/>
                      <w:szCs w:val="22"/>
                      <w:lang w:val="sr-Latn-ME"/>
                    </w:rPr>
                  </w:pPr>
                  <w:r w:rsidRPr="00026B48">
                    <w:rPr>
                      <w:color w:val="000000" w:themeColor="text1"/>
                      <w:szCs w:val="22"/>
                      <w:lang w:val="sr-Latn-ME"/>
                    </w:rPr>
                    <w:t>Poremećaji kože i potkožnog tkiva</w:t>
                  </w:r>
                </w:p>
              </w:tc>
              <w:tc>
                <w:tcPr>
                  <w:tcW w:w="1357" w:type="dxa"/>
                  <w:shd w:val="clear" w:color="auto" w:fill="auto"/>
                </w:tcPr>
                <w:p w14:paraId="166F3D42" w14:textId="77777777" w:rsidR="00C00EF1" w:rsidRPr="00026B48" w:rsidRDefault="00C00EF1" w:rsidP="00AB025E">
                  <w:pPr>
                    <w:rPr>
                      <w:color w:val="000000" w:themeColor="text1"/>
                      <w:szCs w:val="22"/>
                      <w:lang w:val="sr-Latn-ME"/>
                    </w:rPr>
                  </w:pPr>
                </w:p>
              </w:tc>
              <w:tc>
                <w:tcPr>
                  <w:tcW w:w="1357" w:type="dxa"/>
                  <w:shd w:val="clear" w:color="auto" w:fill="auto"/>
                </w:tcPr>
                <w:p w14:paraId="166F3D43" w14:textId="77777777" w:rsidR="00C00EF1" w:rsidRPr="00026B48" w:rsidRDefault="00C00EF1" w:rsidP="00AB025E">
                  <w:pPr>
                    <w:rPr>
                      <w:color w:val="000000" w:themeColor="text1"/>
                      <w:szCs w:val="22"/>
                      <w:lang w:val="sr-Latn-ME"/>
                    </w:rPr>
                  </w:pPr>
                </w:p>
              </w:tc>
              <w:tc>
                <w:tcPr>
                  <w:tcW w:w="1357" w:type="dxa"/>
                  <w:shd w:val="clear" w:color="auto" w:fill="auto"/>
                </w:tcPr>
                <w:p w14:paraId="166F3D44" w14:textId="77777777" w:rsidR="00C00EF1" w:rsidRPr="00026B48" w:rsidRDefault="008C4083" w:rsidP="00AB025E">
                  <w:pPr>
                    <w:rPr>
                      <w:color w:val="000000" w:themeColor="text1"/>
                      <w:szCs w:val="22"/>
                      <w:lang w:val="sr-Latn-ME"/>
                    </w:rPr>
                  </w:pPr>
                  <w:r w:rsidRPr="00026B48">
                    <w:rPr>
                      <w:color w:val="000000" w:themeColor="text1"/>
                      <w:szCs w:val="22"/>
                      <w:lang w:val="sr-Latn-ME"/>
                    </w:rPr>
                    <w:t>Osip</w:t>
                  </w:r>
                </w:p>
              </w:tc>
              <w:tc>
                <w:tcPr>
                  <w:tcW w:w="1357" w:type="dxa"/>
                  <w:shd w:val="clear" w:color="auto" w:fill="auto"/>
                </w:tcPr>
                <w:p w14:paraId="166F3D45" w14:textId="77777777" w:rsidR="00C00EF1" w:rsidRPr="00026B48" w:rsidRDefault="00C00EF1" w:rsidP="00AB025E">
                  <w:pPr>
                    <w:rPr>
                      <w:color w:val="000000" w:themeColor="text1"/>
                      <w:szCs w:val="22"/>
                      <w:lang w:val="sr-Latn-ME"/>
                    </w:rPr>
                  </w:pPr>
                </w:p>
              </w:tc>
              <w:tc>
                <w:tcPr>
                  <w:tcW w:w="1358" w:type="dxa"/>
                  <w:shd w:val="clear" w:color="auto" w:fill="auto"/>
                </w:tcPr>
                <w:p w14:paraId="166F3D46" w14:textId="77777777" w:rsidR="00C00EF1" w:rsidRPr="00026B48" w:rsidRDefault="00C00EF1" w:rsidP="00AB025E">
                  <w:pPr>
                    <w:rPr>
                      <w:color w:val="000000" w:themeColor="text1"/>
                      <w:szCs w:val="22"/>
                      <w:lang w:val="sr-Latn-ME"/>
                    </w:rPr>
                  </w:pPr>
                </w:p>
              </w:tc>
              <w:tc>
                <w:tcPr>
                  <w:tcW w:w="1358" w:type="dxa"/>
                  <w:shd w:val="clear" w:color="auto" w:fill="auto"/>
                </w:tcPr>
                <w:p w14:paraId="166F3D47" w14:textId="77777777" w:rsidR="00C00EF1" w:rsidRPr="00026B48" w:rsidRDefault="00C00EF1" w:rsidP="00AB025E">
                  <w:pPr>
                    <w:rPr>
                      <w:color w:val="000000" w:themeColor="text1"/>
                      <w:szCs w:val="22"/>
                      <w:lang w:val="sr-Latn-ME"/>
                    </w:rPr>
                  </w:pPr>
                </w:p>
              </w:tc>
            </w:tr>
            <w:tr w:rsidR="00C00EF1" w:rsidRPr="00026B48" w14:paraId="166F3D50" w14:textId="77777777" w:rsidTr="00AB025E">
              <w:trPr>
                <w:trHeight w:val="1266"/>
              </w:trPr>
              <w:tc>
                <w:tcPr>
                  <w:tcW w:w="1357" w:type="dxa"/>
                  <w:shd w:val="clear" w:color="auto" w:fill="auto"/>
                </w:tcPr>
                <w:p w14:paraId="166F3D49" w14:textId="77777777" w:rsidR="00C00EF1" w:rsidRPr="00026B48" w:rsidRDefault="008C4083" w:rsidP="00AB025E">
                  <w:pPr>
                    <w:rPr>
                      <w:color w:val="000000" w:themeColor="text1"/>
                      <w:szCs w:val="22"/>
                      <w:lang w:val="sr-Latn-ME"/>
                    </w:rPr>
                  </w:pPr>
                  <w:r w:rsidRPr="00026B48">
                    <w:rPr>
                      <w:color w:val="000000" w:themeColor="text1"/>
                      <w:szCs w:val="22"/>
                      <w:lang w:val="sr-Latn-ME"/>
                    </w:rPr>
                    <w:t>Poremećaji mišićno-koštanog i vezivnog tkiva</w:t>
                  </w:r>
                </w:p>
              </w:tc>
              <w:tc>
                <w:tcPr>
                  <w:tcW w:w="1357" w:type="dxa"/>
                  <w:shd w:val="clear" w:color="auto" w:fill="auto"/>
                </w:tcPr>
                <w:p w14:paraId="166F3D4A" w14:textId="77777777" w:rsidR="00C00EF1" w:rsidRPr="00026B48" w:rsidRDefault="00C00EF1" w:rsidP="00AB025E">
                  <w:pPr>
                    <w:rPr>
                      <w:color w:val="000000" w:themeColor="text1"/>
                      <w:szCs w:val="22"/>
                      <w:lang w:val="sr-Latn-ME"/>
                    </w:rPr>
                  </w:pPr>
                </w:p>
              </w:tc>
              <w:tc>
                <w:tcPr>
                  <w:tcW w:w="1357" w:type="dxa"/>
                  <w:shd w:val="clear" w:color="auto" w:fill="auto"/>
                </w:tcPr>
                <w:p w14:paraId="166F3D4B" w14:textId="77777777" w:rsidR="00C00EF1" w:rsidRPr="00026B48" w:rsidRDefault="00C00EF1" w:rsidP="00AB025E">
                  <w:pPr>
                    <w:rPr>
                      <w:color w:val="000000" w:themeColor="text1"/>
                      <w:szCs w:val="22"/>
                      <w:lang w:val="sr-Latn-ME"/>
                    </w:rPr>
                  </w:pPr>
                </w:p>
              </w:tc>
              <w:tc>
                <w:tcPr>
                  <w:tcW w:w="1357" w:type="dxa"/>
                  <w:shd w:val="clear" w:color="auto" w:fill="auto"/>
                </w:tcPr>
                <w:p w14:paraId="166F3D4C" w14:textId="77777777" w:rsidR="00C00EF1" w:rsidRPr="00026B48" w:rsidRDefault="00C00EF1" w:rsidP="00AB025E">
                  <w:pPr>
                    <w:rPr>
                      <w:color w:val="000000" w:themeColor="text1"/>
                      <w:szCs w:val="22"/>
                      <w:lang w:val="sr-Latn-ME"/>
                    </w:rPr>
                  </w:pPr>
                </w:p>
              </w:tc>
              <w:tc>
                <w:tcPr>
                  <w:tcW w:w="1357" w:type="dxa"/>
                  <w:shd w:val="clear" w:color="auto" w:fill="auto"/>
                </w:tcPr>
                <w:p w14:paraId="166F3D4D" w14:textId="77777777" w:rsidR="00C00EF1" w:rsidRPr="00026B48" w:rsidRDefault="00C00EF1" w:rsidP="00AB025E">
                  <w:pPr>
                    <w:rPr>
                      <w:color w:val="000000" w:themeColor="text1"/>
                      <w:szCs w:val="22"/>
                      <w:lang w:val="sr-Latn-ME"/>
                    </w:rPr>
                  </w:pPr>
                </w:p>
              </w:tc>
              <w:tc>
                <w:tcPr>
                  <w:tcW w:w="1358" w:type="dxa"/>
                  <w:shd w:val="clear" w:color="auto" w:fill="auto"/>
                </w:tcPr>
                <w:p w14:paraId="166F3D4E" w14:textId="77777777" w:rsidR="00C00EF1" w:rsidRPr="00026B48" w:rsidRDefault="00C00EF1" w:rsidP="00AB025E">
                  <w:pPr>
                    <w:rPr>
                      <w:color w:val="000000" w:themeColor="text1"/>
                      <w:szCs w:val="22"/>
                      <w:lang w:val="sr-Latn-ME"/>
                    </w:rPr>
                  </w:pPr>
                </w:p>
              </w:tc>
              <w:tc>
                <w:tcPr>
                  <w:tcW w:w="1358" w:type="dxa"/>
                  <w:shd w:val="clear" w:color="auto" w:fill="auto"/>
                </w:tcPr>
                <w:p w14:paraId="166F3D4F" w14:textId="77777777" w:rsidR="00C00EF1" w:rsidRPr="00026B48" w:rsidRDefault="008C4083" w:rsidP="00AB025E">
                  <w:pPr>
                    <w:rPr>
                      <w:color w:val="000000" w:themeColor="text1"/>
                      <w:szCs w:val="22"/>
                      <w:lang w:val="sr-Latn-ME"/>
                    </w:rPr>
                  </w:pPr>
                  <w:r w:rsidRPr="00026B48">
                    <w:rPr>
                      <w:color w:val="000000" w:themeColor="text1"/>
                      <w:szCs w:val="22"/>
                      <w:lang w:val="sr-Latn-ME"/>
                    </w:rPr>
                    <w:t xml:space="preserve">Osteoporoza </w:t>
                  </w:r>
                </w:p>
              </w:tc>
            </w:tr>
            <w:tr w:rsidR="00C00EF1" w:rsidRPr="00026B48" w14:paraId="166F3D5A" w14:textId="77777777" w:rsidTr="00AB025E">
              <w:trPr>
                <w:trHeight w:val="1001"/>
              </w:trPr>
              <w:tc>
                <w:tcPr>
                  <w:tcW w:w="1357" w:type="dxa"/>
                  <w:shd w:val="clear" w:color="auto" w:fill="auto"/>
                </w:tcPr>
                <w:p w14:paraId="166F3D51" w14:textId="77777777" w:rsidR="00C00EF1" w:rsidRPr="00026B48" w:rsidRDefault="008C4083" w:rsidP="00AB025E">
                  <w:pPr>
                    <w:rPr>
                      <w:color w:val="000000" w:themeColor="text1"/>
                      <w:szCs w:val="22"/>
                      <w:lang w:val="sr-Latn-ME"/>
                    </w:rPr>
                  </w:pPr>
                  <w:r w:rsidRPr="00026B48">
                    <w:rPr>
                      <w:color w:val="000000" w:themeColor="text1"/>
                      <w:szCs w:val="22"/>
                      <w:lang w:val="sr-Latn-ME"/>
                    </w:rPr>
                    <w:t>Poremećaji reproduktivnog sistema i dojki</w:t>
                  </w:r>
                </w:p>
              </w:tc>
              <w:tc>
                <w:tcPr>
                  <w:tcW w:w="1357" w:type="dxa"/>
                  <w:shd w:val="clear" w:color="auto" w:fill="auto"/>
                </w:tcPr>
                <w:p w14:paraId="166F3D52" w14:textId="77777777" w:rsidR="00C00EF1" w:rsidRPr="00026B48" w:rsidRDefault="008C4083" w:rsidP="00AB025E">
                  <w:pPr>
                    <w:rPr>
                      <w:color w:val="000000" w:themeColor="text1"/>
                      <w:szCs w:val="22"/>
                      <w:lang w:val="sr-Latn-ME"/>
                    </w:rPr>
                  </w:pPr>
                  <w:r w:rsidRPr="00026B48">
                    <w:rPr>
                      <w:color w:val="000000" w:themeColor="text1"/>
                      <w:szCs w:val="22"/>
                      <w:lang w:val="sr-Latn-ME"/>
                    </w:rPr>
                    <w:t xml:space="preserve">Reverzibilna inhibicija spermato-geneze </w:t>
                  </w:r>
                </w:p>
              </w:tc>
              <w:tc>
                <w:tcPr>
                  <w:tcW w:w="1357" w:type="dxa"/>
                  <w:shd w:val="clear" w:color="auto" w:fill="auto"/>
                </w:tcPr>
                <w:p w14:paraId="166F3D53" w14:textId="77777777" w:rsidR="00C00EF1" w:rsidRPr="00026B48" w:rsidRDefault="008C4083" w:rsidP="00AB025E">
                  <w:pPr>
                    <w:rPr>
                      <w:color w:val="000000" w:themeColor="text1"/>
                      <w:szCs w:val="22"/>
                      <w:lang w:val="sr-Latn-ME"/>
                    </w:rPr>
                  </w:pPr>
                  <w:r w:rsidRPr="00026B48">
                    <w:rPr>
                      <w:color w:val="000000" w:themeColor="text1"/>
                      <w:szCs w:val="22"/>
                      <w:lang w:val="sr-Latn-ME"/>
                    </w:rPr>
                    <w:t>Ginekomastija</w:t>
                  </w:r>
                </w:p>
                <w:p w14:paraId="166F3D54" w14:textId="77777777" w:rsidR="00C00EF1" w:rsidRPr="00026B48" w:rsidRDefault="00C00EF1" w:rsidP="00AB025E">
                  <w:pPr>
                    <w:rPr>
                      <w:color w:val="000000" w:themeColor="text1"/>
                      <w:szCs w:val="22"/>
                      <w:lang w:val="sr-Latn-ME"/>
                    </w:rPr>
                  </w:pPr>
                </w:p>
              </w:tc>
              <w:tc>
                <w:tcPr>
                  <w:tcW w:w="1357" w:type="dxa"/>
                  <w:shd w:val="clear" w:color="auto" w:fill="auto"/>
                </w:tcPr>
                <w:p w14:paraId="166F3D55" w14:textId="77777777" w:rsidR="00C00EF1" w:rsidRPr="00026B48" w:rsidRDefault="00C00EF1" w:rsidP="00AB025E">
                  <w:pPr>
                    <w:rPr>
                      <w:color w:val="000000" w:themeColor="text1"/>
                      <w:szCs w:val="22"/>
                      <w:lang w:val="sr-Latn-ME"/>
                    </w:rPr>
                  </w:pPr>
                </w:p>
              </w:tc>
              <w:tc>
                <w:tcPr>
                  <w:tcW w:w="1357" w:type="dxa"/>
                  <w:shd w:val="clear" w:color="auto" w:fill="auto"/>
                </w:tcPr>
                <w:p w14:paraId="166F3D56" w14:textId="77777777" w:rsidR="00C00EF1" w:rsidRPr="00026B48" w:rsidRDefault="00C00EF1" w:rsidP="00AB025E">
                  <w:pPr>
                    <w:rPr>
                      <w:color w:val="000000" w:themeColor="text1"/>
                      <w:szCs w:val="22"/>
                      <w:lang w:val="sr-Latn-ME"/>
                    </w:rPr>
                  </w:pPr>
                </w:p>
              </w:tc>
              <w:tc>
                <w:tcPr>
                  <w:tcW w:w="1358" w:type="dxa"/>
                  <w:shd w:val="clear" w:color="auto" w:fill="auto"/>
                </w:tcPr>
                <w:p w14:paraId="166F3D57" w14:textId="77777777" w:rsidR="00C00EF1" w:rsidRPr="00026B48" w:rsidRDefault="00C00EF1" w:rsidP="00AB025E">
                  <w:pPr>
                    <w:rPr>
                      <w:color w:val="000000" w:themeColor="text1"/>
                      <w:szCs w:val="22"/>
                      <w:lang w:val="sr-Latn-ME"/>
                    </w:rPr>
                  </w:pPr>
                </w:p>
              </w:tc>
              <w:tc>
                <w:tcPr>
                  <w:tcW w:w="1358" w:type="dxa"/>
                  <w:shd w:val="clear" w:color="auto" w:fill="auto"/>
                </w:tcPr>
                <w:p w14:paraId="166F3D58" w14:textId="77777777" w:rsidR="00C00EF1" w:rsidRPr="00026B48" w:rsidRDefault="00C00EF1" w:rsidP="00AB025E">
                  <w:pPr>
                    <w:rPr>
                      <w:color w:val="000000" w:themeColor="text1"/>
                      <w:szCs w:val="22"/>
                      <w:lang w:val="sr-Latn-ME"/>
                    </w:rPr>
                  </w:pPr>
                </w:p>
                <w:p w14:paraId="166F3D59" w14:textId="77777777" w:rsidR="00C00EF1" w:rsidRPr="00026B48" w:rsidRDefault="00C00EF1" w:rsidP="00AB025E">
                  <w:pPr>
                    <w:rPr>
                      <w:color w:val="000000" w:themeColor="text1"/>
                      <w:szCs w:val="22"/>
                      <w:lang w:val="sr-Latn-ME"/>
                    </w:rPr>
                  </w:pPr>
                </w:p>
              </w:tc>
            </w:tr>
            <w:tr w:rsidR="00C00EF1" w:rsidRPr="00026B48" w14:paraId="166F3D64" w14:textId="77777777" w:rsidTr="00AB025E">
              <w:trPr>
                <w:trHeight w:val="1266"/>
              </w:trPr>
              <w:tc>
                <w:tcPr>
                  <w:tcW w:w="1357" w:type="dxa"/>
                  <w:shd w:val="clear" w:color="auto" w:fill="auto"/>
                </w:tcPr>
                <w:p w14:paraId="166F3D5B" w14:textId="77777777" w:rsidR="00C00EF1" w:rsidRPr="00026B48" w:rsidRDefault="008C4083" w:rsidP="00AB025E">
                  <w:pPr>
                    <w:rPr>
                      <w:color w:val="000000" w:themeColor="text1"/>
                      <w:szCs w:val="22"/>
                      <w:lang w:val="sr-Latn-ME"/>
                    </w:rPr>
                  </w:pPr>
                  <w:r w:rsidRPr="00026B48">
                    <w:rPr>
                      <w:color w:val="000000" w:themeColor="text1"/>
                      <w:szCs w:val="22"/>
                      <w:lang w:val="sr-Latn-ME"/>
                    </w:rPr>
                    <w:t>Opšti poremećaji i reakcije na mjestu primjene</w:t>
                  </w:r>
                </w:p>
              </w:tc>
              <w:tc>
                <w:tcPr>
                  <w:tcW w:w="1357" w:type="dxa"/>
                  <w:shd w:val="clear" w:color="auto" w:fill="auto"/>
                </w:tcPr>
                <w:p w14:paraId="166F3D5C" w14:textId="77777777" w:rsidR="00C00EF1" w:rsidRPr="00026B48" w:rsidRDefault="00C00EF1" w:rsidP="00AB025E">
                  <w:pPr>
                    <w:rPr>
                      <w:color w:val="000000" w:themeColor="text1"/>
                      <w:szCs w:val="22"/>
                      <w:lang w:val="sr-Latn-ME"/>
                    </w:rPr>
                  </w:pPr>
                </w:p>
              </w:tc>
              <w:tc>
                <w:tcPr>
                  <w:tcW w:w="1357" w:type="dxa"/>
                  <w:shd w:val="clear" w:color="auto" w:fill="auto"/>
                </w:tcPr>
                <w:p w14:paraId="166F3D5D" w14:textId="77777777" w:rsidR="00C00EF1" w:rsidRPr="00026B48" w:rsidRDefault="008C4083" w:rsidP="00AB025E">
                  <w:pPr>
                    <w:rPr>
                      <w:color w:val="000000" w:themeColor="text1"/>
                      <w:szCs w:val="22"/>
                      <w:lang w:val="sr-Latn-ME"/>
                    </w:rPr>
                  </w:pPr>
                  <w:r w:rsidRPr="00026B48">
                    <w:rPr>
                      <w:color w:val="000000" w:themeColor="text1"/>
                      <w:szCs w:val="22"/>
                      <w:lang w:val="sr-Latn-ME"/>
                    </w:rPr>
                    <w:t>Zamor, naleti vrućine,</w:t>
                  </w:r>
                </w:p>
                <w:p w14:paraId="166F3D5E" w14:textId="77777777" w:rsidR="00C00EF1" w:rsidRPr="00026B48" w:rsidRDefault="008C4083" w:rsidP="00AB025E">
                  <w:pPr>
                    <w:rPr>
                      <w:color w:val="000000" w:themeColor="text1"/>
                      <w:szCs w:val="22"/>
                      <w:lang w:val="sr-Latn-ME"/>
                    </w:rPr>
                  </w:pPr>
                  <w:r w:rsidRPr="00026B48">
                    <w:rPr>
                      <w:color w:val="000000" w:themeColor="text1"/>
                      <w:szCs w:val="22"/>
                      <w:lang w:val="sr-Latn-ME"/>
                    </w:rPr>
                    <w:t>znojenje</w:t>
                  </w:r>
                </w:p>
                <w:p w14:paraId="166F3D5F" w14:textId="77777777" w:rsidR="00C00EF1" w:rsidRPr="00026B48" w:rsidRDefault="00C00EF1" w:rsidP="00AB025E">
                  <w:pPr>
                    <w:rPr>
                      <w:color w:val="000000" w:themeColor="text1"/>
                      <w:szCs w:val="22"/>
                      <w:lang w:val="sr-Latn-ME"/>
                    </w:rPr>
                  </w:pPr>
                </w:p>
              </w:tc>
              <w:tc>
                <w:tcPr>
                  <w:tcW w:w="1357" w:type="dxa"/>
                  <w:shd w:val="clear" w:color="auto" w:fill="auto"/>
                </w:tcPr>
                <w:p w14:paraId="166F3D60" w14:textId="77777777" w:rsidR="00C00EF1" w:rsidRPr="00026B48" w:rsidRDefault="00C00EF1" w:rsidP="00AB025E">
                  <w:pPr>
                    <w:rPr>
                      <w:color w:val="000000" w:themeColor="text1"/>
                      <w:szCs w:val="22"/>
                      <w:lang w:val="sr-Latn-ME"/>
                    </w:rPr>
                  </w:pPr>
                </w:p>
              </w:tc>
              <w:tc>
                <w:tcPr>
                  <w:tcW w:w="1357" w:type="dxa"/>
                  <w:shd w:val="clear" w:color="auto" w:fill="auto"/>
                </w:tcPr>
                <w:p w14:paraId="166F3D61" w14:textId="77777777" w:rsidR="00C00EF1" w:rsidRPr="00026B48" w:rsidRDefault="00C00EF1" w:rsidP="00AB025E">
                  <w:pPr>
                    <w:rPr>
                      <w:color w:val="000000" w:themeColor="text1"/>
                      <w:szCs w:val="22"/>
                      <w:lang w:val="sr-Latn-ME"/>
                    </w:rPr>
                  </w:pPr>
                </w:p>
              </w:tc>
              <w:tc>
                <w:tcPr>
                  <w:tcW w:w="1358" w:type="dxa"/>
                  <w:shd w:val="clear" w:color="auto" w:fill="auto"/>
                </w:tcPr>
                <w:p w14:paraId="166F3D62" w14:textId="77777777" w:rsidR="00C00EF1" w:rsidRPr="00026B48" w:rsidRDefault="00C00EF1" w:rsidP="00AB025E">
                  <w:pPr>
                    <w:rPr>
                      <w:color w:val="000000" w:themeColor="text1"/>
                      <w:szCs w:val="22"/>
                      <w:lang w:val="sr-Latn-ME"/>
                    </w:rPr>
                  </w:pPr>
                </w:p>
              </w:tc>
              <w:tc>
                <w:tcPr>
                  <w:tcW w:w="1358" w:type="dxa"/>
                  <w:shd w:val="clear" w:color="auto" w:fill="auto"/>
                </w:tcPr>
                <w:p w14:paraId="166F3D63" w14:textId="77777777" w:rsidR="00C00EF1" w:rsidRPr="00026B48" w:rsidRDefault="00C00EF1" w:rsidP="00AB025E">
                  <w:pPr>
                    <w:rPr>
                      <w:color w:val="000000" w:themeColor="text1"/>
                      <w:szCs w:val="22"/>
                      <w:lang w:val="sr-Latn-ME"/>
                    </w:rPr>
                  </w:pPr>
                </w:p>
              </w:tc>
            </w:tr>
          </w:tbl>
          <w:p w14:paraId="166F3D65" w14:textId="189B7558" w:rsidR="00C00EF1" w:rsidRPr="00026B48" w:rsidRDefault="008C4083" w:rsidP="00AB025E">
            <w:pPr>
              <w:rPr>
                <w:color w:val="000000" w:themeColor="text1"/>
                <w:szCs w:val="22"/>
                <w:lang w:val="sr-Latn-ME"/>
              </w:rPr>
            </w:pPr>
            <w:r w:rsidRPr="00026B48">
              <w:rPr>
                <w:color w:val="000000" w:themeColor="text1"/>
                <w:szCs w:val="22"/>
                <w:vertAlign w:val="superscript"/>
                <w:lang w:val="sr-Latn-ME"/>
              </w:rPr>
              <w:t>§)</w:t>
            </w:r>
            <w:r w:rsidRPr="00026B48">
              <w:rPr>
                <w:color w:val="000000" w:themeColor="text1"/>
                <w:szCs w:val="22"/>
                <w:lang w:val="sr-Latn-ME"/>
              </w:rPr>
              <w:t xml:space="preserve"> </w:t>
            </w:r>
            <w:r w:rsidR="001A01AF" w:rsidRPr="00026B48">
              <w:rPr>
                <w:color w:val="000000" w:themeColor="text1"/>
                <w:szCs w:val="22"/>
                <w:lang w:val="sr-Latn-ME"/>
              </w:rPr>
              <w:t>Prijavljeni su slučajevi pojave meningeoma (pojedinačnih i multiplih) koji su bili povezani sa upotrebom ciproteronacetata (vidjeti djelove 4.3 i 4.4)</w:t>
            </w:r>
          </w:p>
          <w:p w14:paraId="166F3D66" w14:textId="1EF16100" w:rsidR="00C00EF1" w:rsidRPr="00026B48" w:rsidRDefault="008C4083" w:rsidP="00AB025E">
            <w:pPr>
              <w:rPr>
                <w:color w:val="000000" w:themeColor="text1"/>
                <w:szCs w:val="22"/>
                <w:lang w:val="sr-Latn-ME"/>
              </w:rPr>
            </w:pPr>
            <w:r w:rsidRPr="00026B48">
              <w:rPr>
                <w:color w:val="000000" w:themeColor="text1"/>
                <w:szCs w:val="22"/>
                <w:vertAlign w:val="superscript"/>
                <w:lang w:val="sr-Latn-ME"/>
              </w:rPr>
              <w:lastRenderedPageBreak/>
              <w:t>*)</w:t>
            </w:r>
            <w:r w:rsidRPr="00026B48">
              <w:rPr>
                <w:color w:val="000000" w:themeColor="text1"/>
                <w:szCs w:val="22"/>
                <w:lang w:val="sr-Latn-ME"/>
              </w:rPr>
              <w:t xml:space="preserve"> Za dodatne informacije vidjeti </w:t>
            </w:r>
            <w:r w:rsidR="001A01AF" w:rsidRPr="00026B48">
              <w:rPr>
                <w:color w:val="000000" w:themeColor="text1"/>
                <w:szCs w:val="22"/>
                <w:lang w:val="sr-Latn-ME"/>
              </w:rPr>
              <w:t>dio</w:t>
            </w:r>
            <w:r w:rsidRPr="00026B48">
              <w:rPr>
                <w:color w:val="000000" w:themeColor="text1"/>
                <w:szCs w:val="22"/>
                <w:lang w:val="sr-Latn-ME"/>
              </w:rPr>
              <w:t xml:space="preserve"> 4.4</w:t>
            </w:r>
          </w:p>
          <w:p w14:paraId="166F3D67" w14:textId="77777777" w:rsidR="00C00EF1" w:rsidRPr="00026B48" w:rsidRDefault="008C4083" w:rsidP="00AB025E">
            <w:pPr>
              <w:rPr>
                <w:color w:val="000000" w:themeColor="text1"/>
                <w:szCs w:val="22"/>
                <w:lang w:val="sr-Latn-ME"/>
              </w:rPr>
            </w:pPr>
            <w:r w:rsidRPr="00026B48">
              <w:rPr>
                <w:color w:val="000000" w:themeColor="text1"/>
                <w:szCs w:val="22"/>
                <w:vertAlign w:val="superscript"/>
                <w:lang w:val="sr-Latn-ME"/>
              </w:rPr>
              <w:t>**)</w:t>
            </w:r>
            <w:r w:rsidRPr="00026B48">
              <w:rPr>
                <w:color w:val="000000" w:themeColor="text1"/>
                <w:szCs w:val="22"/>
                <w:lang w:val="sr-Latn-ME"/>
              </w:rPr>
              <w:t xml:space="preserve"> Nije utvrđena uzročna povezanost sa lijekom Androcur</w:t>
            </w:r>
          </w:p>
          <w:p w14:paraId="166F3D68" w14:textId="77777777" w:rsidR="00C00EF1" w:rsidRPr="00026B48" w:rsidRDefault="00C00EF1" w:rsidP="00AB025E">
            <w:pPr>
              <w:rPr>
                <w:color w:val="000000" w:themeColor="text1"/>
                <w:szCs w:val="22"/>
                <w:lang w:val="sr-Latn-ME"/>
              </w:rPr>
            </w:pPr>
          </w:p>
          <w:p w14:paraId="166F3D69" w14:textId="77777777" w:rsidR="00EF3F62" w:rsidRPr="00026B48" w:rsidRDefault="008C4083" w:rsidP="00AB025E">
            <w:pPr>
              <w:rPr>
                <w:color w:val="000000" w:themeColor="text1"/>
                <w:szCs w:val="22"/>
                <w:u w:val="single"/>
                <w:lang w:val="sr-Latn-ME"/>
              </w:rPr>
            </w:pPr>
            <w:r w:rsidRPr="00026B48">
              <w:rPr>
                <w:color w:val="000000" w:themeColor="text1"/>
                <w:szCs w:val="22"/>
                <w:u w:val="single"/>
                <w:lang w:val="sr-Latn-ME"/>
              </w:rPr>
              <w:t>Opis odabranih neželjenih reakcija</w:t>
            </w:r>
          </w:p>
          <w:p w14:paraId="166F3D6A" w14:textId="77777777" w:rsidR="00C00EF1" w:rsidRPr="00026B48" w:rsidRDefault="008C4083" w:rsidP="00AB025E">
            <w:pPr>
              <w:rPr>
                <w:color w:val="000000" w:themeColor="text1"/>
                <w:szCs w:val="22"/>
                <w:lang w:val="sr-Latn-ME"/>
              </w:rPr>
            </w:pPr>
            <w:r w:rsidRPr="00026B48">
              <w:rPr>
                <w:color w:val="000000" w:themeColor="text1"/>
                <w:szCs w:val="22"/>
                <w:lang w:val="sr-Latn-ME"/>
              </w:rPr>
              <w:t>Pri primjeni lijeka Androcur kod muškaraca dolazi do smanjenja seksualnog nagona i potencije, kao i do inhibicije funkcije gonada. Ove promjene su reverzibilne nakon prekida terapije.</w:t>
            </w:r>
          </w:p>
          <w:p w14:paraId="166F3D6B" w14:textId="77777777" w:rsidR="00C00EF1" w:rsidRPr="00026B48" w:rsidRDefault="00C00EF1" w:rsidP="00AB025E">
            <w:pPr>
              <w:rPr>
                <w:color w:val="000000" w:themeColor="text1"/>
                <w:szCs w:val="22"/>
                <w:lang w:val="sr-Latn-ME"/>
              </w:rPr>
            </w:pPr>
          </w:p>
          <w:p w14:paraId="166F3D6C"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Nakon prvih nekoliko nedjelja primjene lijeka, Androcur inhibira spermatogenezu usljed antiandrogenog i antigonadotropnog dejstva. Ova pojava postepeno prolazi par mjeseci po prekidu terapije.</w:t>
            </w:r>
          </w:p>
          <w:p w14:paraId="166F3D6D" w14:textId="77777777" w:rsidR="00C00EF1" w:rsidRPr="00026B48" w:rsidRDefault="00C00EF1" w:rsidP="00AB025E">
            <w:pPr>
              <w:tabs>
                <w:tab w:val="clear" w:pos="284"/>
              </w:tabs>
              <w:autoSpaceDE w:val="0"/>
              <w:autoSpaceDN w:val="0"/>
              <w:adjustRightInd w:val="0"/>
              <w:rPr>
                <w:color w:val="000000" w:themeColor="text1"/>
                <w:szCs w:val="22"/>
                <w:lang w:val="sr-Latn-ME"/>
              </w:rPr>
            </w:pPr>
          </w:p>
          <w:p w14:paraId="166F3D6E"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Primjena lijeka Androcur može dovesti do ginekomastije (ponekad u kombinaciji sa osjetljivošću bradavica na dodir) koja se obično povlači nakon prestanka uzimanja lijeka.</w:t>
            </w:r>
          </w:p>
          <w:p w14:paraId="166F3D6F" w14:textId="77777777" w:rsidR="00C00EF1" w:rsidRPr="00026B48" w:rsidRDefault="00C00EF1" w:rsidP="00AB025E">
            <w:pPr>
              <w:tabs>
                <w:tab w:val="clear" w:pos="284"/>
              </w:tabs>
              <w:autoSpaceDE w:val="0"/>
              <w:autoSpaceDN w:val="0"/>
              <w:adjustRightInd w:val="0"/>
              <w:rPr>
                <w:color w:val="000000" w:themeColor="text1"/>
                <w:szCs w:val="22"/>
                <w:lang w:val="sr-Latn-ME"/>
              </w:rPr>
            </w:pPr>
          </w:p>
          <w:p w14:paraId="166F3D70"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Kao i kod ostalih antiandrogenih terapija, dugotrajni nedostatak androgena može dovesti do osteoporoze.</w:t>
            </w:r>
          </w:p>
          <w:p w14:paraId="166F3D71" w14:textId="77777777" w:rsidR="00C00EF1" w:rsidRPr="00026B48" w:rsidRDefault="00C00EF1" w:rsidP="00AB025E">
            <w:pPr>
              <w:rPr>
                <w:color w:val="000000" w:themeColor="text1"/>
                <w:szCs w:val="22"/>
                <w:lang w:val="sr-Latn-ME"/>
              </w:rPr>
            </w:pPr>
          </w:p>
          <w:p w14:paraId="166F3D72" w14:textId="0A524122" w:rsidR="005C44CE" w:rsidRPr="00026B48" w:rsidRDefault="008C4083">
            <w:pPr>
              <w:rPr>
                <w:color w:val="000000" w:themeColor="text1"/>
                <w:szCs w:val="22"/>
                <w:lang w:val="sr-Latn-ME"/>
              </w:rPr>
            </w:pPr>
            <w:r w:rsidRPr="00026B48">
              <w:rPr>
                <w:color w:val="000000" w:themeColor="text1"/>
                <w:szCs w:val="22"/>
                <w:lang w:val="sr-Latn-ME"/>
              </w:rPr>
              <w:t xml:space="preserve">Prijavljeni su slučajevi meningeoma povezanih sa dugotrajnom upotrebom (nekoliko godina) lijeka Androcur u dozi od 25 mg i više (vidjeti </w:t>
            </w:r>
            <w:r w:rsidR="00020ECD" w:rsidRPr="00026B48">
              <w:rPr>
                <w:color w:val="000000" w:themeColor="text1"/>
                <w:szCs w:val="22"/>
                <w:lang w:val="sr-Latn-ME"/>
              </w:rPr>
              <w:t>djelove</w:t>
            </w:r>
            <w:r w:rsidRPr="00026B48">
              <w:rPr>
                <w:color w:val="000000" w:themeColor="text1"/>
                <w:szCs w:val="22"/>
                <w:lang w:val="sr-Latn-ME"/>
              </w:rPr>
              <w:t xml:space="preserve"> 4.3 i 4.4).</w:t>
            </w:r>
          </w:p>
          <w:p w14:paraId="166F3D73" w14:textId="77777777" w:rsidR="00C00EF1" w:rsidRPr="00026B48" w:rsidRDefault="00C00EF1" w:rsidP="00AB025E">
            <w:pPr>
              <w:rPr>
                <w:color w:val="000000" w:themeColor="text1"/>
                <w:szCs w:val="22"/>
                <w:lang w:val="sr-Latn-ME"/>
              </w:rPr>
            </w:pPr>
          </w:p>
          <w:p w14:paraId="166F3D74" w14:textId="77777777" w:rsidR="005C44CE" w:rsidRPr="00026B48" w:rsidRDefault="008C4083">
            <w:pPr>
              <w:rPr>
                <w:color w:val="000000" w:themeColor="text1"/>
                <w:szCs w:val="22"/>
                <w:lang w:val="sr-Latn-ME"/>
              </w:rPr>
            </w:pPr>
            <w:r w:rsidRPr="00026B48">
              <w:rPr>
                <w:color w:val="000000" w:themeColor="text1"/>
                <w:szCs w:val="22"/>
                <w:lang w:val="sr-Latn-ME"/>
              </w:rPr>
              <w:t>Navedeni su odgovarajući MedDRA termini da bi se opisale neželjene reakcije. Sinonimi ili povezana stanja nijesu navedena, ali ih svakako treba uzeti u obzir.</w:t>
            </w:r>
          </w:p>
          <w:p w14:paraId="166F3D75" w14:textId="77777777" w:rsidR="00C00EF1" w:rsidRPr="00026B48" w:rsidRDefault="00C00EF1" w:rsidP="00AB025E">
            <w:pPr>
              <w:rPr>
                <w:color w:val="000000" w:themeColor="text1"/>
                <w:szCs w:val="22"/>
                <w:lang w:val="sr-Latn-ME"/>
              </w:rPr>
            </w:pPr>
          </w:p>
          <w:p w14:paraId="166F3D76" w14:textId="77777777" w:rsidR="00C00EF1" w:rsidRPr="00026B48" w:rsidRDefault="008C4083" w:rsidP="00AB025E">
            <w:pPr>
              <w:rPr>
                <w:b/>
                <w:color w:val="000000" w:themeColor="text1"/>
                <w:szCs w:val="22"/>
                <w:lang w:val="sr-Latn-ME"/>
              </w:rPr>
            </w:pPr>
            <w:r w:rsidRPr="00026B48">
              <w:rPr>
                <w:b/>
                <w:bCs/>
                <w:color w:val="000000" w:themeColor="text1"/>
                <w:szCs w:val="22"/>
                <w:lang w:val="sr-Latn-ME"/>
              </w:rPr>
              <w:t>Žene</w:t>
            </w:r>
          </w:p>
          <w:p w14:paraId="166F3D77" w14:textId="77777777" w:rsidR="00D26F36" w:rsidRPr="00026B48" w:rsidRDefault="00D26F36" w:rsidP="00AB025E">
            <w:pPr>
              <w:rPr>
                <w:color w:val="000000" w:themeColor="text1"/>
                <w:szCs w:val="22"/>
                <w:u w:val="single"/>
                <w:lang w:val="sr-Latn-ME"/>
              </w:rPr>
            </w:pPr>
          </w:p>
          <w:p w14:paraId="166F3D78" w14:textId="77777777" w:rsidR="00D26F36" w:rsidRPr="00026B48" w:rsidRDefault="008C4083" w:rsidP="00AB025E">
            <w:pPr>
              <w:rPr>
                <w:color w:val="000000" w:themeColor="text1"/>
                <w:szCs w:val="22"/>
                <w:u w:val="single"/>
                <w:lang w:val="sr-Latn-ME"/>
              </w:rPr>
            </w:pPr>
            <w:r w:rsidRPr="00026B48">
              <w:rPr>
                <w:color w:val="000000" w:themeColor="text1"/>
                <w:szCs w:val="22"/>
                <w:u w:val="single"/>
                <w:lang w:val="sr-Latn-ME"/>
              </w:rPr>
              <w:t>Sažetak bezbjednosnog profila</w:t>
            </w:r>
          </w:p>
          <w:p w14:paraId="166F3D79" w14:textId="77777777" w:rsidR="005C44CE" w:rsidRPr="00026B48" w:rsidRDefault="008C4083">
            <w:pPr>
              <w:rPr>
                <w:color w:val="000000" w:themeColor="text1"/>
                <w:szCs w:val="22"/>
                <w:lang w:val="sr-Latn-ME"/>
              </w:rPr>
            </w:pPr>
            <w:r w:rsidRPr="00026B48">
              <w:rPr>
                <w:color w:val="000000" w:themeColor="text1"/>
                <w:szCs w:val="22"/>
                <w:lang w:val="sr-Latn-ME"/>
              </w:rPr>
              <w:t>Najčešće prijavljene neželjene reakcije kod žena na terapiji lijekom Androcur u dozi od 50 mg, su tačkasto krvarenje, povećanje tjelesne mase i depresivno raspoloženje.</w:t>
            </w:r>
          </w:p>
          <w:p w14:paraId="166F3D7A" w14:textId="77777777" w:rsidR="00C00EF1" w:rsidRPr="00026B48" w:rsidRDefault="00C00EF1" w:rsidP="00AB025E">
            <w:pPr>
              <w:rPr>
                <w:color w:val="000000" w:themeColor="text1"/>
                <w:szCs w:val="22"/>
                <w:lang w:val="sr-Latn-ME"/>
              </w:rPr>
            </w:pPr>
          </w:p>
          <w:p w14:paraId="166F3D7B" w14:textId="77777777" w:rsidR="005C44CE" w:rsidRPr="00026B48" w:rsidRDefault="008C4083">
            <w:pPr>
              <w:rPr>
                <w:color w:val="000000" w:themeColor="text1"/>
                <w:szCs w:val="22"/>
                <w:lang w:val="sr-Latn-ME"/>
              </w:rPr>
            </w:pPr>
            <w:r w:rsidRPr="00026B48">
              <w:rPr>
                <w:color w:val="000000" w:themeColor="text1"/>
                <w:szCs w:val="22"/>
                <w:lang w:val="sr-Latn-ME"/>
              </w:rPr>
              <w:t xml:space="preserve">Najozbiljnije neželjene reakcije kod pacijenata na terapiji lijekom Androcur u dozi od 50mg su hepatotoksičnost, benigni i maligni tumori jetre koji mogu dovesti do intraabdominalnog krvarenja, i tromboembolijski događaji. </w:t>
            </w:r>
          </w:p>
          <w:p w14:paraId="166F3D7C" w14:textId="77777777" w:rsidR="00C00EF1" w:rsidRPr="00026B48" w:rsidRDefault="00C00EF1" w:rsidP="00AB025E">
            <w:pPr>
              <w:rPr>
                <w:b/>
                <w:color w:val="000000" w:themeColor="text1"/>
                <w:szCs w:val="22"/>
                <w:lang w:val="sr-Latn-ME"/>
              </w:rPr>
            </w:pPr>
          </w:p>
          <w:p w14:paraId="166F3D7D" w14:textId="77777777" w:rsidR="001B2D59" w:rsidRPr="00026B48" w:rsidRDefault="008C4083" w:rsidP="00AB025E">
            <w:pPr>
              <w:rPr>
                <w:color w:val="000000" w:themeColor="text1"/>
                <w:szCs w:val="22"/>
                <w:u w:val="single"/>
                <w:lang w:val="sr-Latn-ME"/>
              </w:rPr>
            </w:pPr>
            <w:r w:rsidRPr="00026B48">
              <w:rPr>
                <w:color w:val="000000" w:themeColor="text1"/>
                <w:szCs w:val="22"/>
                <w:u w:val="single"/>
                <w:lang w:val="sr-Latn-ME"/>
              </w:rPr>
              <w:t>Tabelarni prikaz neželjenih reakcija</w:t>
            </w:r>
          </w:p>
          <w:p w14:paraId="166F3D7E" w14:textId="77777777" w:rsidR="005C44CE" w:rsidRPr="00026B48" w:rsidRDefault="008C4083">
            <w:pPr>
              <w:rPr>
                <w:color w:val="000000" w:themeColor="text1"/>
                <w:szCs w:val="22"/>
                <w:lang w:val="sr-Latn-ME"/>
              </w:rPr>
            </w:pPr>
            <w:r w:rsidRPr="00026B48">
              <w:rPr>
                <w:color w:val="000000" w:themeColor="text1"/>
                <w:szCs w:val="22"/>
                <w:lang w:val="sr-Latn-ME"/>
              </w:rPr>
              <w:t>Prijavljene neželjene reakcije na lijek Androcur u dozi od 50 mg koje su date u Tabeli 2 su otkrivene samo tokom postmarketinškog praćenja i kumulativnog iskustva sa lijekom Androcur i za njih učestalost ne može biti procijenjena, pa su navedene pod kategorijom ,,nepoznate učestalosti”.</w:t>
            </w:r>
          </w:p>
          <w:p w14:paraId="166F3D7F" w14:textId="77777777" w:rsidR="00C00EF1" w:rsidRPr="00026B48" w:rsidRDefault="008C4083" w:rsidP="00AB025E">
            <w:pPr>
              <w:rPr>
                <w:color w:val="000000" w:themeColor="text1"/>
                <w:szCs w:val="22"/>
                <w:lang w:val="sr-Latn-ME"/>
              </w:rPr>
            </w:pPr>
            <w:r w:rsidRPr="00026B48">
              <w:rPr>
                <w:color w:val="000000" w:themeColor="text1"/>
                <w:szCs w:val="22"/>
                <w:lang w:val="sr-Latn-ME"/>
              </w:rPr>
              <w:t xml:space="preserve"> </w:t>
            </w:r>
          </w:p>
          <w:p w14:paraId="166F3D80" w14:textId="77777777" w:rsidR="005C44CE" w:rsidRPr="00026B48" w:rsidRDefault="008C4083">
            <w:pPr>
              <w:rPr>
                <w:b/>
                <w:color w:val="000000" w:themeColor="text1"/>
                <w:szCs w:val="22"/>
                <w:lang w:val="sr-Latn-ME"/>
              </w:rPr>
            </w:pPr>
            <w:r w:rsidRPr="00026B48">
              <w:rPr>
                <w:b/>
                <w:bCs/>
                <w:color w:val="000000" w:themeColor="text1"/>
                <w:szCs w:val="22"/>
                <w:lang w:val="sr-Latn-ME"/>
              </w:rPr>
              <w:t>Tabela 2: Neželjene reakcije prijavljene tokom postmarketinškog praćenja i kumulativnog iskustva sa lijekom Androcur</w:t>
            </w:r>
          </w:p>
          <w:p w14:paraId="166F3D81" w14:textId="77777777" w:rsidR="00C00EF1" w:rsidRPr="00026B48" w:rsidRDefault="00C00EF1" w:rsidP="00AB025E">
            <w:pPr>
              <w:rPr>
                <w:b/>
                <w:color w:val="000000" w:themeColor="text1"/>
                <w:szCs w:val="22"/>
                <w:lang w:val="sr-Latn-ME"/>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2201"/>
              <w:gridCol w:w="2835"/>
            </w:tblGrid>
            <w:tr w:rsidR="00D0239B" w:rsidRPr="00026B48" w14:paraId="166F3D85" w14:textId="77777777" w:rsidTr="00AB025E">
              <w:tc>
                <w:tcPr>
                  <w:tcW w:w="4495" w:type="dxa"/>
                  <w:shd w:val="clear" w:color="auto" w:fill="auto"/>
                </w:tcPr>
                <w:p w14:paraId="166F3D82" w14:textId="77777777" w:rsidR="001A01AF" w:rsidRPr="00026B48" w:rsidRDefault="001A01AF" w:rsidP="00AB025E">
                  <w:pPr>
                    <w:rPr>
                      <w:b/>
                      <w:color w:val="000000" w:themeColor="text1"/>
                      <w:szCs w:val="22"/>
                      <w:lang w:val="sr-Latn-ME"/>
                    </w:rPr>
                  </w:pPr>
                  <w:r w:rsidRPr="00026B48">
                    <w:rPr>
                      <w:b/>
                      <w:bCs/>
                      <w:color w:val="000000" w:themeColor="text1"/>
                      <w:szCs w:val="22"/>
                      <w:lang w:val="sr-Latn-ME"/>
                    </w:rPr>
                    <w:t>Klasa sistema organa</w:t>
                  </w:r>
                </w:p>
                <w:p w14:paraId="166F3D83" w14:textId="77777777" w:rsidR="001A01AF" w:rsidRPr="00026B48" w:rsidRDefault="001A01AF" w:rsidP="00AB025E">
                  <w:pPr>
                    <w:rPr>
                      <w:b/>
                      <w:color w:val="000000" w:themeColor="text1"/>
                      <w:szCs w:val="22"/>
                      <w:lang w:val="sr-Latn-ME"/>
                    </w:rPr>
                  </w:pPr>
                  <w:r w:rsidRPr="00026B48">
                    <w:rPr>
                      <w:b/>
                      <w:bCs/>
                      <w:color w:val="000000" w:themeColor="text1"/>
                      <w:szCs w:val="22"/>
                      <w:lang w:val="sr-Latn-ME"/>
                    </w:rPr>
                    <w:t>MedDRA</w:t>
                  </w:r>
                </w:p>
              </w:tc>
              <w:tc>
                <w:tcPr>
                  <w:tcW w:w="2201" w:type="dxa"/>
                </w:tcPr>
                <w:p w14:paraId="239465BB" w14:textId="3ECC47A7" w:rsidR="001A01AF" w:rsidRPr="00026B48" w:rsidRDefault="001A01AF" w:rsidP="00AB025E">
                  <w:pPr>
                    <w:rPr>
                      <w:b/>
                      <w:bCs/>
                      <w:color w:val="000000" w:themeColor="text1"/>
                      <w:szCs w:val="22"/>
                      <w:lang w:val="sr-Latn-ME"/>
                    </w:rPr>
                  </w:pPr>
                  <w:r w:rsidRPr="00026B48">
                    <w:rPr>
                      <w:b/>
                      <w:bCs/>
                      <w:color w:val="000000" w:themeColor="text1"/>
                      <w:szCs w:val="22"/>
                      <w:lang w:val="sr-Latn-ME"/>
                    </w:rPr>
                    <w:t>Rijetke</w:t>
                  </w:r>
                </w:p>
              </w:tc>
              <w:tc>
                <w:tcPr>
                  <w:tcW w:w="2835" w:type="dxa"/>
                  <w:shd w:val="clear" w:color="auto" w:fill="auto"/>
                </w:tcPr>
                <w:p w14:paraId="166F3D84" w14:textId="7379D2AE" w:rsidR="001A01AF" w:rsidRPr="00026B48" w:rsidRDefault="001A01AF" w:rsidP="00AB025E">
                  <w:pPr>
                    <w:rPr>
                      <w:b/>
                      <w:color w:val="000000" w:themeColor="text1"/>
                      <w:szCs w:val="22"/>
                      <w:lang w:val="sr-Latn-ME"/>
                    </w:rPr>
                  </w:pPr>
                  <w:r w:rsidRPr="00026B48">
                    <w:rPr>
                      <w:b/>
                      <w:bCs/>
                      <w:color w:val="000000" w:themeColor="text1"/>
                      <w:szCs w:val="22"/>
                      <w:lang w:val="sr-Latn-ME"/>
                    </w:rPr>
                    <w:t>Nepoznate učestalosti</w:t>
                  </w:r>
                </w:p>
              </w:tc>
            </w:tr>
            <w:tr w:rsidR="00D0239B" w:rsidRPr="00026B48" w14:paraId="166F3D88" w14:textId="77777777" w:rsidTr="00AB025E">
              <w:tc>
                <w:tcPr>
                  <w:tcW w:w="4495" w:type="dxa"/>
                  <w:shd w:val="clear" w:color="auto" w:fill="auto"/>
                </w:tcPr>
                <w:p w14:paraId="166F3D86" w14:textId="77777777" w:rsidR="001A01AF" w:rsidRPr="00026B48" w:rsidRDefault="001A01AF" w:rsidP="00AB025E">
                  <w:pPr>
                    <w:rPr>
                      <w:b/>
                      <w:color w:val="000000" w:themeColor="text1"/>
                      <w:szCs w:val="22"/>
                      <w:lang w:val="sr-Latn-ME"/>
                    </w:rPr>
                  </w:pPr>
                  <w:r w:rsidRPr="00026B48">
                    <w:rPr>
                      <w:color w:val="000000" w:themeColor="text1"/>
                      <w:szCs w:val="22"/>
                      <w:lang w:val="sr-Latn-ME"/>
                    </w:rPr>
                    <w:t>Neoplazme – benigne, maligne i neodređene (uključujući ciste i polipe)</w:t>
                  </w:r>
                </w:p>
              </w:tc>
              <w:tc>
                <w:tcPr>
                  <w:tcW w:w="2201" w:type="dxa"/>
                </w:tcPr>
                <w:p w14:paraId="62ECD0B4" w14:textId="5244CF31" w:rsidR="001A01AF" w:rsidRPr="00026B48" w:rsidRDefault="001A01AF" w:rsidP="00AB025E">
                  <w:pPr>
                    <w:rPr>
                      <w:color w:val="000000" w:themeColor="text1"/>
                      <w:szCs w:val="22"/>
                      <w:lang w:val="sr-Latn-ME"/>
                    </w:rPr>
                  </w:pPr>
                  <w:r w:rsidRPr="00026B48">
                    <w:rPr>
                      <w:color w:val="000000" w:themeColor="text1"/>
                      <w:szCs w:val="22"/>
                      <w:lang w:val="sr-Latn-ME"/>
                    </w:rPr>
                    <w:t>Meningeomi</w:t>
                  </w:r>
                  <w:r w:rsidRPr="00026B48">
                    <w:rPr>
                      <w:color w:val="000000" w:themeColor="text1"/>
                      <w:szCs w:val="22"/>
                      <w:vertAlign w:val="superscript"/>
                      <w:lang w:val="sr-Latn-ME"/>
                    </w:rPr>
                    <w:t>§*</w:t>
                  </w:r>
                </w:p>
              </w:tc>
              <w:tc>
                <w:tcPr>
                  <w:tcW w:w="2835" w:type="dxa"/>
                  <w:shd w:val="clear" w:color="auto" w:fill="auto"/>
                </w:tcPr>
                <w:p w14:paraId="166F3D87" w14:textId="32EB8D6A" w:rsidR="001A01AF" w:rsidRPr="00026B48" w:rsidRDefault="001A01AF" w:rsidP="00AB025E">
                  <w:pPr>
                    <w:rPr>
                      <w:color w:val="000000" w:themeColor="text1"/>
                      <w:szCs w:val="22"/>
                      <w:lang w:val="sr-Latn-ME"/>
                    </w:rPr>
                  </w:pPr>
                  <w:r w:rsidRPr="00026B48">
                    <w:rPr>
                      <w:color w:val="000000" w:themeColor="text1"/>
                      <w:szCs w:val="22"/>
                      <w:lang w:val="sr-Latn-ME"/>
                    </w:rPr>
                    <w:t>Benigni i maligni tumori jetre</w:t>
                  </w:r>
                  <w:r w:rsidRPr="00026B48">
                    <w:rPr>
                      <w:color w:val="000000" w:themeColor="text1"/>
                      <w:szCs w:val="22"/>
                      <w:vertAlign w:val="superscript"/>
                      <w:lang w:val="sr-Latn-ME"/>
                    </w:rPr>
                    <w:t>*</w:t>
                  </w:r>
                </w:p>
              </w:tc>
            </w:tr>
            <w:tr w:rsidR="00D0239B" w:rsidRPr="00026B48" w14:paraId="166F3D8B" w14:textId="77777777" w:rsidTr="00AB025E">
              <w:tc>
                <w:tcPr>
                  <w:tcW w:w="4495" w:type="dxa"/>
                  <w:shd w:val="clear" w:color="auto" w:fill="auto"/>
                </w:tcPr>
                <w:p w14:paraId="166F3D89" w14:textId="10996FB9" w:rsidR="001A01AF" w:rsidRPr="00026B48" w:rsidRDefault="001A01AF" w:rsidP="00AB025E">
                  <w:pPr>
                    <w:rPr>
                      <w:b/>
                      <w:color w:val="000000" w:themeColor="text1"/>
                      <w:szCs w:val="22"/>
                      <w:lang w:val="sr-Latn-ME"/>
                    </w:rPr>
                  </w:pPr>
                  <w:r w:rsidRPr="00026B48">
                    <w:rPr>
                      <w:color w:val="000000" w:themeColor="text1"/>
                      <w:szCs w:val="22"/>
                      <w:lang w:val="sr-Latn-ME"/>
                    </w:rPr>
                    <w:t>Poremećaji imunog sistema</w:t>
                  </w:r>
                </w:p>
              </w:tc>
              <w:tc>
                <w:tcPr>
                  <w:tcW w:w="2201" w:type="dxa"/>
                </w:tcPr>
                <w:p w14:paraId="16A03A9B" w14:textId="77777777" w:rsidR="001A01AF" w:rsidRPr="00026B48" w:rsidRDefault="001A01AF" w:rsidP="00AB025E">
                  <w:pPr>
                    <w:rPr>
                      <w:color w:val="000000" w:themeColor="text1"/>
                      <w:szCs w:val="22"/>
                      <w:lang w:val="sr-Latn-ME"/>
                    </w:rPr>
                  </w:pPr>
                </w:p>
              </w:tc>
              <w:tc>
                <w:tcPr>
                  <w:tcW w:w="2835" w:type="dxa"/>
                  <w:shd w:val="clear" w:color="auto" w:fill="auto"/>
                </w:tcPr>
                <w:p w14:paraId="166F3D8A" w14:textId="320F78F6" w:rsidR="001A01AF" w:rsidRPr="00026B48" w:rsidRDefault="001A01AF" w:rsidP="00AB025E">
                  <w:pPr>
                    <w:rPr>
                      <w:color w:val="000000" w:themeColor="text1"/>
                      <w:szCs w:val="22"/>
                      <w:lang w:val="sr-Latn-ME"/>
                    </w:rPr>
                  </w:pPr>
                  <w:r w:rsidRPr="00026B48">
                    <w:rPr>
                      <w:color w:val="000000" w:themeColor="text1"/>
                      <w:szCs w:val="22"/>
                      <w:lang w:val="sr-Latn-ME"/>
                    </w:rPr>
                    <w:t>Reakcije preosjetljivosti</w:t>
                  </w:r>
                </w:p>
              </w:tc>
            </w:tr>
            <w:tr w:rsidR="00D0239B" w:rsidRPr="00026B48" w14:paraId="166F3D8E" w14:textId="77777777" w:rsidTr="00AB025E">
              <w:tc>
                <w:tcPr>
                  <w:tcW w:w="4495" w:type="dxa"/>
                  <w:shd w:val="clear" w:color="auto" w:fill="auto"/>
                </w:tcPr>
                <w:p w14:paraId="166F3D8C" w14:textId="77777777" w:rsidR="001A01AF" w:rsidRPr="00026B48" w:rsidRDefault="001A01AF" w:rsidP="00AB025E">
                  <w:pPr>
                    <w:rPr>
                      <w:b/>
                      <w:color w:val="000000" w:themeColor="text1"/>
                      <w:szCs w:val="22"/>
                      <w:lang w:val="sr-Latn-ME"/>
                    </w:rPr>
                  </w:pPr>
                  <w:r w:rsidRPr="00026B48">
                    <w:rPr>
                      <w:color w:val="000000" w:themeColor="text1"/>
                      <w:szCs w:val="22"/>
                      <w:lang w:val="sr-Latn-ME"/>
                    </w:rPr>
                    <w:t>Poremećaji metabolizma i ishrane</w:t>
                  </w:r>
                </w:p>
              </w:tc>
              <w:tc>
                <w:tcPr>
                  <w:tcW w:w="2201" w:type="dxa"/>
                </w:tcPr>
                <w:p w14:paraId="20141E8F" w14:textId="77777777" w:rsidR="001A01AF" w:rsidRPr="00026B48" w:rsidRDefault="001A01AF" w:rsidP="00AB025E">
                  <w:pPr>
                    <w:rPr>
                      <w:color w:val="000000" w:themeColor="text1"/>
                      <w:szCs w:val="22"/>
                      <w:lang w:val="sr-Latn-ME"/>
                    </w:rPr>
                  </w:pPr>
                </w:p>
              </w:tc>
              <w:tc>
                <w:tcPr>
                  <w:tcW w:w="2835" w:type="dxa"/>
                  <w:shd w:val="clear" w:color="auto" w:fill="auto"/>
                </w:tcPr>
                <w:p w14:paraId="166F3D8D" w14:textId="1BF4F97E" w:rsidR="001A01AF" w:rsidRPr="00026B48" w:rsidRDefault="001A01AF" w:rsidP="00AB025E">
                  <w:pPr>
                    <w:rPr>
                      <w:color w:val="000000" w:themeColor="text1"/>
                      <w:szCs w:val="22"/>
                      <w:lang w:val="sr-Latn-ME"/>
                    </w:rPr>
                  </w:pPr>
                  <w:r w:rsidRPr="00026B48">
                    <w:rPr>
                      <w:color w:val="000000" w:themeColor="text1"/>
                      <w:szCs w:val="22"/>
                      <w:lang w:val="sr-Latn-ME"/>
                    </w:rPr>
                    <w:t>Povećanje ili smanjenje tjelesne mase</w:t>
                  </w:r>
                </w:p>
              </w:tc>
            </w:tr>
            <w:tr w:rsidR="00D0239B" w:rsidRPr="00026B48" w14:paraId="166F3D91" w14:textId="77777777" w:rsidTr="00AB025E">
              <w:tc>
                <w:tcPr>
                  <w:tcW w:w="4495" w:type="dxa"/>
                  <w:shd w:val="clear" w:color="auto" w:fill="auto"/>
                </w:tcPr>
                <w:p w14:paraId="166F3D8F" w14:textId="77777777" w:rsidR="001A01AF" w:rsidRPr="00026B48" w:rsidRDefault="001A01AF" w:rsidP="00AB025E">
                  <w:pPr>
                    <w:rPr>
                      <w:color w:val="000000" w:themeColor="text1"/>
                      <w:szCs w:val="22"/>
                      <w:lang w:val="sr-Latn-ME"/>
                    </w:rPr>
                  </w:pPr>
                  <w:r w:rsidRPr="00026B48">
                    <w:rPr>
                      <w:color w:val="000000" w:themeColor="text1"/>
                      <w:szCs w:val="22"/>
                      <w:lang w:val="sr-Latn-ME"/>
                    </w:rPr>
                    <w:t>Psihijatrijski poremećaji</w:t>
                  </w:r>
                </w:p>
              </w:tc>
              <w:tc>
                <w:tcPr>
                  <w:tcW w:w="2201" w:type="dxa"/>
                </w:tcPr>
                <w:p w14:paraId="736BF17E" w14:textId="77777777" w:rsidR="001A01AF" w:rsidRPr="00026B48" w:rsidRDefault="001A01AF" w:rsidP="00AB025E">
                  <w:pPr>
                    <w:rPr>
                      <w:color w:val="000000" w:themeColor="text1"/>
                      <w:szCs w:val="22"/>
                      <w:lang w:val="sr-Latn-ME"/>
                    </w:rPr>
                  </w:pPr>
                </w:p>
              </w:tc>
              <w:tc>
                <w:tcPr>
                  <w:tcW w:w="2835" w:type="dxa"/>
                  <w:shd w:val="clear" w:color="auto" w:fill="auto"/>
                </w:tcPr>
                <w:p w14:paraId="166F3D90" w14:textId="3EE507E0" w:rsidR="001A01AF" w:rsidRPr="00026B48" w:rsidRDefault="001A01AF" w:rsidP="00AB025E">
                  <w:pPr>
                    <w:rPr>
                      <w:color w:val="000000" w:themeColor="text1"/>
                      <w:szCs w:val="22"/>
                      <w:lang w:val="sr-Latn-ME"/>
                    </w:rPr>
                  </w:pPr>
                  <w:r w:rsidRPr="00026B48">
                    <w:rPr>
                      <w:color w:val="000000" w:themeColor="text1"/>
                      <w:szCs w:val="22"/>
                      <w:lang w:val="sr-Latn-ME"/>
                    </w:rPr>
                    <w:t>Depresivno raspoloženje, nemir (privremeno), smanjen ili povećan libido</w:t>
                  </w:r>
                </w:p>
              </w:tc>
            </w:tr>
            <w:tr w:rsidR="00D0239B" w:rsidRPr="00026B48" w14:paraId="166F3D94" w14:textId="77777777" w:rsidTr="00AB025E">
              <w:tc>
                <w:tcPr>
                  <w:tcW w:w="4495" w:type="dxa"/>
                  <w:shd w:val="clear" w:color="auto" w:fill="auto"/>
                </w:tcPr>
                <w:p w14:paraId="166F3D92" w14:textId="77777777" w:rsidR="001A01AF" w:rsidRPr="00026B48" w:rsidRDefault="001A01AF" w:rsidP="00AB025E">
                  <w:pPr>
                    <w:rPr>
                      <w:color w:val="000000" w:themeColor="text1"/>
                      <w:szCs w:val="22"/>
                      <w:lang w:val="sr-Latn-ME"/>
                    </w:rPr>
                  </w:pPr>
                  <w:r w:rsidRPr="00026B48">
                    <w:rPr>
                      <w:color w:val="000000" w:themeColor="text1"/>
                      <w:szCs w:val="22"/>
                      <w:lang w:val="sr-Latn-ME"/>
                    </w:rPr>
                    <w:t>Vaskularni poremećaji</w:t>
                  </w:r>
                </w:p>
              </w:tc>
              <w:tc>
                <w:tcPr>
                  <w:tcW w:w="2201" w:type="dxa"/>
                </w:tcPr>
                <w:p w14:paraId="4D146A05" w14:textId="77777777" w:rsidR="001A01AF" w:rsidRPr="00026B48" w:rsidRDefault="001A01AF" w:rsidP="00AB025E">
                  <w:pPr>
                    <w:rPr>
                      <w:color w:val="000000" w:themeColor="text1"/>
                      <w:szCs w:val="22"/>
                      <w:lang w:val="sr-Latn-ME"/>
                    </w:rPr>
                  </w:pPr>
                </w:p>
              </w:tc>
              <w:tc>
                <w:tcPr>
                  <w:tcW w:w="2835" w:type="dxa"/>
                  <w:shd w:val="clear" w:color="auto" w:fill="auto"/>
                </w:tcPr>
                <w:p w14:paraId="166F3D93" w14:textId="0F1C55CE" w:rsidR="001A01AF" w:rsidRPr="00026B48" w:rsidRDefault="001A01AF" w:rsidP="00AB025E">
                  <w:pPr>
                    <w:rPr>
                      <w:color w:val="000000" w:themeColor="text1"/>
                      <w:szCs w:val="22"/>
                      <w:lang w:val="sr-Latn-ME"/>
                    </w:rPr>
                  </w:pPr>
                  <w:r w:rsidRPr="00026B48">
                    <w:rPr>
                      <w:color w:val="000000" w:themeColor="text1"/>
                      <w:szCs w:val="22"/>
                      <w:lang w:val="sr-Latn-ME"/>
                    </w:rPr>
                    <w:t>Tromboembolijski događaji</w:t>
                  </w:r>
                  <w:r w:rsidRPr="00026B48">
                    <w:rPr>
                      <w:color w:val="000000" w:themeColor="text1"/>
                      <w:szCs w:val="22"/>
                      <w:vertAlign w:val="superscript"/>
                      <w:lang w:val="sr-Latn-ME"/>
                    </w:rPr>
                    <w:t>*†</w:t>
                  </w:r>
                </w:p>
              </w:tc>
            </w:tr>
            <w:tr w:rsidR="00D0239B" w:rsidRPr="00026B48" w14:paraId="166F3D97" w14:textId="77777777" w:rsidTr="00AB025E">
              <w:tc>
                <w:tcPr>
                  <w:tcW w:w="4495" w:type="dxa"/>
                  <w:shd w:val="clear" w:color="auto" w:fill="auto"/>
                </w:tcPr>
                <w:p w14:paraId="166F3D95" w14:textId="77777777" w:rsidR="001A01AF" w:rsidRPr="00026B48" w:rsidRDefault="001A01AF" w:rsidP="00AB025E">
                  <w:pPr>
                    <w:rPr>
                      <w:b/>
                      <w:color w:val="000000" w:themeColor="text1"/>
                      <w:szCs w:val="22"/>
                      <w:lang w:val="sr-Latn-ME"/>
                    </w:rPr>
                  </w:pPr>
                  <w:r w:rsidRPr="00026B48">
                    <w:rPr>
                      <w:color w:val="000000" w:themeColor="text1"/>
                      <w:szCs w:val="22"/>
                      <w:lang w:val="sr-Latn-ME"/>
                    </w:rPr>
                    <w:t>Respiratorni, torakalni i medijastinalni poremećaji</w:t>
                  </w:r>
                </w:p>
              </w:tc>
              <w:tc>
                <w:tcPr>
                  <w:tcW w:w="2201" w:type="dxa"/>
                </w:tcPr>
                <w:p w14:paraId="2299DC3F" w14:textId="77777777" w:rsidR="001A01AF" w:rsidRPr="00026B48" w:rsidRDefault="001A01AF" w:rsidP="00AB025E">
                  <w:pPr>
                    <w:rPr>
                      <w:color w:val="000000" w:themeColor="text1"/>
                      <w:szCs w:val="22"/>
                      <w:lang w:val="sr-Latn-ME"/>
                    </w:rPr>
                  </w:pPr>
                </w:p>
              </w:tc>
              <w:tc>
                <w:tcPr>
                  <w:tcW w:w="2835" w:type="dxa"/>
                  <w:shd w:val="clear" w:color="auto" w:fill="auto"/>
                </w:tcPr>
                <w:p w14:paraId="166F3D96" w14:textId="233425C6" w:rsidR="001A01AF" w:rsidRPr="00026B48" w:rsidRDefault="001A01AF" w:rsidP="00AB025E">
                  <w:pPr>
                    <w:rPr>
                      <w:color w:val="000000" w:themeColor="text1"/>
                      <w:szCs w:val="22"/>
                      <w:lang w:val="sr-Latn-ME"/>
                    </w:rPr>
                  </w:pPr>
                  <w:r w:rsidRPr="00026B48">
                    <w:rPr>
                      <w:color w:val="000000" w:themeColor="text1"/>
                      <w:szCs w:val="22"/>
                      <w:lang w:val="sr-Latn-ME"/>
                    </w:rPr>
                    <w:t>Nedostatak daha</w:t>
                  </w:r>
                  <w:r w:rsidRPr="00026B48">
                    <w:rPr>
                      <w:color w:val="000000" w:themeColor="text1"/>
                      <w:szCs w:val="22"/>
                      <w:vertAlign w:val="superscript"/>
                      <w:lang w:val="sr-Latn-ME"/>
                    </w:rPr>
                    <w:t>*</w:t>
                  </w:r>
                </w:p>
              </w:tc>
            </w:tr>
            <w:tr w:rsidR="00D0239B" w:rsidRPr="00026B48" w14:paraId="166F3D9A" w14:textId="77777777" w:rsidTr="00AB025E">
              <w:tc>
                <w:tcPr>
                  <w:tcW w:w="4495" w:type="dxa"/>
                  <w:shd w:val="clear" w:color="auto" w:fill="auto"/>
                </w:tcPr>
                <w:p w14:paraId="166F3D98" w14:textId="77777777" w:rsidR="001A01AF" w:rsidRPr="00026B48" w:rsidRDefault="001A01AF" w:rsidP="00AB025E">
                  <w:pPr>
                    <w:rPr>
                      <w:color w:val="000000" w:themeColor="text1"/>
                      <w:szCs w:val="22"/>
                      <w:lang w:val="sr-Latn-ME"/>
                    </w:rPr>
                  </w:pPr>
                  <w:r w:rsidRPr="00026B48">
                    <w:rPr>
                      <w:color w:val="000000" w:themeColor="text1"/>
                      <w:szCs w:val="22"/>
                      <w:lang w:val="sr-Latn-ME"/>
                    </w:rPr>
                    <w:t>Gastrointestinalni poremećaji</w:t>
                  </w:r>
                </w:p>
              </w:tc>
              <w:tc>
                <w:tcPr>
                  <w:tcW w:w="2201" w:type="dxa"/>
                </w:tcPr>
                <w:p w14:paraId="24835142" w14:textId="77777777" w:rsidR="001A01AF" w:rsidRPr="00026B48" w:rsidRDefault="001A01AF" w:rsidP="00AB025E">
                  <w:pPr>
                    <w:rPr>
                      <w:color w:val="000000" w:themeColor="text1"/>
                      <w:szCs w:val="22"/>
                      <w:lang w:val="sr-Latn-ME"/>
                    </w:rPr>
                  </w:pPr>
                </w:p>
              </w:tc>
              <w:tc>
                <w:tcPr>
                  <w:tcW w:w="2835" w:type="dxa"/>
                  <w:shd w:val="clear" w:color="auto" w:fill="auto"/>
                </w:tcPr>
                <w:p w14:paraId="166F3D99" w14:textId="03A32306" w:rsidR="001A01AF" w:rsidRPr="00026B48" w:rsidRDefault="001A01AF" w:rsidP="00AB025E">
                  <w:pPr>
                    <w:rPr>
                      <w:color w:val="000000" w:themeColor="text1"/>
                      <w:szCs w:val="22"/>
                      <w:lang w:val="sr-Latn-ME"/>
                    </w:rPr>
                  </w:pPr>
                  <w:r w:rsidRPr="00026B48">
                    <w:rPr>
                      <w:color w:val="000000" w:themeColor="text1"/>
                      <w:szCs w:val="22"/>
                      <w:lang w:val="sr-Latn-ME"/>
                    </w:rPr>
                    <w:t>Intraabdominalno krvarenje</w:t>
                  </w:r>
                  <w:r w:rsidRPr="00026B48">
                    <w:rPr>
                      <w:color w:val="000000" w:themeColor="text1"/>
                      <w:szCs w:val="22"/>
                      <w:vertAlign w:val="superscript"/>
                      <w:lang w:val="sr-Latn-ME"/>
                    </w:rPr>
                    <w:t>*</w:t>
                  </w:r>
                </w:p>
              </w:tc>
            </w:tr>
            <w:tr w:rsidR="00D0239B" w:rsidRPr="00026B48" w14:paraId="166F3D9D" w14:textId="77777777" w:rsidTr="00AB025E">
              <w:tc>
                <w:tcPr>
                  <w:tcW w:w="4495" w:type="dxa"/>
                  <w:shd w:val="clear" w:color="auto" w:fill="auto"/>
                </w:tcPr>
                <w:p w14:paraId="166F3D9B" w14:textId="77777777" w:rsidR="001A01AF" w:rsidRPr="00026B48" w:rsidRDefault="001A01AF" w:rsidP="00AB025E">
                  <w:pPr>
                    <w:rPr>
                      <w:color w:val="000000" w:themeColor="text1"/>
                      <w:szCs w:val="22"/>
                      <w:lang w:val="sr-Latn-ME"/>
                    </w:rPr>
                  </w:pPr>
                  <w:r w:rsidRPr="00026B48">
                    <w:rPr>
                      <w:color w:val="000000" w:themeColor="text1"/>
                      <w:szCs w:val="22"/>
                      <w:lang w:val="sr-Latn-ME"/>
                    </w:rPr>
                    <w:t>Hepatobilijarni poremećaji</w:t>
                  </w:r>
                </w:p>
              </w:tc>
              <w:tc>
                <w:tcPr>
                  <w:tcW w:w="2201" w:type="dxa"/>
                </w:tcPr>
                <w:p w14:paraId="5B0637E7" w14:textId="77777777" w:rsidR="001A01AF" w:rsidRPr="00026B48" w:rsidRDefault="001A01AF" w:rsidP="00AB025E">
                  <w:pPr>
                    <w:rPr>
                      <w:color w:val="000000" w:themeColor="text1"/>
                      <w:szCs w:val="22"/>
                      <w:lang w:val="sr-Latn-ME"/>
                    </w:rPr>
                  </w:pPr>
                </w:p>
              </w:tc>
              <w:tc>
                <w:tcPr>
                  <w:tcW w:w="2835" w:type="dxa"/>
                  <w:shd w:val="clear" w:color="auto" w:fill="auto"/>
                </w:tcPr>
                <w:p w14:paraId="166F3D9C" w14:textId="5CD10DAB" w:rsidR="001A01AF" w:rsidRPr="00026B48" w:rsidRDefault="001A01AF" w:rsidP="00AB025E">
                  <w:pPr>
                    <w:rPr>
                      <w:color w:val="000000" w:themeColor="text1"/>
                      <w:szCs w:val="22"/>
                      <w:lang w:val="sr-Latn-ME"/>
                    </w:rPr>
                  </w:pPr>
                  <w:r w:rsidRPr="00026B48">
                    <w:rPr>
                      <w:color w:val="000000" w:themeColor="text1"/>
                      <w:szCs w:val="22"/>
                      <w:lang w:val="sr-Latn-ME"/>
                    </w:rPr>
                    <w:t>Hepatotoksičnost, žutica, hepatitis, insuficijencija jetre</w:t>
                  </w:r>
                  <w:r w:rsidRPr="00026B48">
                    <w:rPr>
                      <w:color w:val="000000" w:themeColor="text1"/>
                      <w:szCs w:val="22"/>
                      <w:vertAlign w:val="superscript"/>
                      <w:lang w:val="sr-Latn-ME"/>
                    </w:rPr>
                    <w:t>*</w:t>
                  </w:r>
                </w:p>
              </w:tc>
            </w:tr>
            <w:tr w:rsidR="00D0239B" w:rsidRPr="00026B48" w14:paraId="166F3DA0" w14:textId="77777777" w:rsidTr="00AB025E">
              <w:tc>
                <w:tcPr>
                  <w:tcW w:w="4495" w:type="dxa"/>
                  <w:shd w:val="clear" w:color="auto" w:fill="auto"/>
                </w:tcPr>
                <w:p w14:paraId="166F3D9E" w14:textId="77777777" w:rsidR="001A01AF" w:rsidRPr="00026B48" w:rsidRDefault="001A01AF" w:rsidP="00AB025E">
                  <w:pPr>
                    <w:rPr>
                      <w:color w:val="000000" w:themeColor="text1"/>
                      <w:szCs w:val="22"/>
                      <w:lang w:val="sr-Latn-ME"/>
                    </w:rPr>
                  </w:pPr>
                  <w:r w:rsidRPr="00026B48">
                    <w:rPr>
                      <w:color w:val="000000" w:themeColor="text1"/>
                      <w:szCs w:val="22"/>
                      <w:lang w:val="sr-Latn-ME"/>
                    </w:rPr>
                    <w:lastRenderedPageBreak/>
                    <w:t>Poremećaji kože i potkožnog tkiva</w:t>
                  </w:r>
                </w:p>
              </w:tc>
              <w:tc>
                <w:tcPr>
                  <w:tcW w:w="2201" w:type="dxa"/>
                </w:tcPr>
                <w:p w14:paraId="23037ACF" w14:textId="77777777" w:rsidR="001A01AF" w:rsidRPr="00026B48" w:rsidRDefault="001A01AF" w:rsidP="00AB025E">
                  <w:pPr>
                    <w:rPr>
                      <w:color w:val="000000" w:themeColor="text1"/>
                      <w:szCs w:val="22"/>
                      <w:lang w:val="sr-Latn-ME"/>
                    </w:rPr>
                  </w:pPr>
                </w:p>
              </w:tc>
              <w:tc>
                <w:tcPr>
                  <w:tcW w:w="2835" w:type="dxa"/>
                  <w:shd w:val="clear" w:color="auto" w:fill="auto"/>
                </w:tcPr>
                <w:p w14:paraId="166F3D9F" w14:textId="189B9082" w:rsidR="001A01AF" w:rsidRPr="00026B48" w:rsidRDefault="001A01AF" w:rsidP="00AB025E">
                  <w:pPr>
                    <w:rPr>
                      <w:color w:val="000000" w:themeColor="text1"/>
                      <w:szCs w:val="22"/>
                      <w:lang w:val="sr-Latn-ME"/>
                    </w:rPr>
                  </w:pPr>
                  <w:r w:rsidRPr="00026B48">
                    <w:rPr>
                      <w:color w:val="000000" w:themeColor="text1"/>
                      <w:szCs w:val="22"/>
                      <w:lang w:val="sr-Latn-ME"/>
                    </w:rPr>
                    <w:t>Osip</w:t>
                  </w:r>
                </w:p>
              </w:tc>
            </w:tr>
            <w:tr w:rsidR="00D0239B" w:rsidRPr="00026B48" w14:paraId="166F3DA3" w14:textId="77777777" w:rsidTr="00AB025E">
              <w:trPr>
                <w:trHeight w:val="70"/>
              </w:trPr>
              <w:tc>
                <w:tcPr>
                  <w:tcW w:w="4495" w:type="dxa"/>
                  <w:shd w:val="clear" w:color="auto" w:fill="auto"/>
                </w:tcPr>
                <w:p w14:paraId="166F3DA1" w14:textId="77777777" w:rsidR="001A01AF" w:rsidRPr="00026B48" w:rsidRDefault="001A01AF" w:rsidP="00AB025E">
                  <w:pPr>
                    <w:rPr>
                      <w:b/>
                      <w:color w:val="000000" w:themeColor="text1"/>
                      <w:szCs w:val="22"/>
                      <w:lang w:val="sr-Latn-ME"/>
                    </w:rPr>
                  </w:pPr>
                  <w:r w:rsidRPr="00026B48">
                    <w:rPr>
                      <w:color w:val="000000" w:themeColor="text1"/>
                      <w:szCs w:val="22"/>
                      <w:lang w:val="sr-Latn-ME"/>
                    </w:rPr>
                    <w:t>Poremećaji reproduktivnog sistema i dojki</w:t>
                  </w:r>
                </w:p>
              </w:tc>
              <w:tc>
                <w:tcPr>
                  <w:tcW w:w="2201" w:type="dxa"/>
                </w:tcPr>
                <w:p w14:paraId="0E1C69E4" w14:textId="77777777" w:rsidR="001A01AF" w:rsidRPr="00026B48" w:rsidRDefault="001A01AF" w:rsidP="00AB025E">
                  <w:pPr>
                    <w:rPr>
                      <w:color w:val="000000" w:themeColor="text1"/>
                      <w:szCs w:val="22"/>
                      <w:lang w:val="sr-Latn-ME"/>
                    </w:rPr>
                  </w:pPr>
                </w:p>
              </w:tc>
              <w:tc>
                <w:tcPr>
                  <w:tcW w:w="2835" w:type="dxa"/>
                  <w:shd w:val="clear" w:color="auto" w:fill="auto"/>
                </w:tcPr>
                <w:p w14:paraId="166F3DA2" w14:textId="578B17C9" w:rsidR="001A01AF" w:rsidRPr="00026B48" w:rsidRDefault="001A01AF" w:rsidP="00AB025E">
                  <w:pPr>
                    <w:rPr>
                      <w:color w:val="000000" w:themeColor="text1"/>
                      <w:szCs w:val="22"/>
                      <w:lang w:val="sr-Latn-ME"/>
                    </w:rPr>
                  </w:pPr>
                  <w:r w:rsidRPr="00026B48">
                    <w:rPr>
                      <w:color w:val="000000" w:themeColor="text1"/>
                      <w:szCs w:val="22"/>
                      <w:lang w:val="sr-Latn-ME"/>
                    </w:rPr>
                    <w:t>Inhibicija ovulacije, osjetljivost dojki, tačkasto krvarenje</w:t>
                  </w:r>
                  <w:r w:rsidRPr="00026B48">
                    <w:rPr>
                      <w:color w:val="000000" w:themeColor="text1"/>
                      <w:szCs w:val="22"/>
                      <w:vertAlign w:val="superscript"/>
                      <w:lang w:val="sr-Latn-ME"/>
                    </w:rPr>
                    <w:t>*</w:t>
                  </w:r>
                </w:p>
              </w:tc>
            </w:tr>
            <w:tr w:rsidR="00D0239B" w:rsidRPr="00026B48" w14:paraId="166F3DA6" w14:textId="77777777" w:rsidTr="00AB025E">
              <w:tc>
                <w:tcPr>
                  <w:tcW w:w="4495" w:type="dxa"/>
                  <w:shd w:val="clear" w:color="auto" w:fill="auto"/>
                </w:tcPr>
                <w:p w14:paraId="166F3DA4" w14:textId="77777777" w:rsidR="001A01AF" w:rsidRPr="00026B48" w:rsidRDefault="001A01AF" w:rsidP="00AB025E">
                  <w:pPr>
                    <w:rPr>
                      <w:b/>
                      <w:color w:val="000000" w:themeColor="text1"/>
                      <w:szCs w:val="22"/>
                      <w:lang w:val="sr-Latn-ME"/>
                    </w:rPr>
                  </w:pPr>
                  <w:r w:rsidRPr="00026B48">
                    <w:rPr>
                      <w:color w:val="000000" w:themeColor="text1"/>
                      <w:szCs w:val="22"/>
                      <w:lang w:val="sr-Latn-ME"/>
                    </w:rPr>
                    <w:t>Opšti poremećaji i reakcije na mjestu primjene</w:t>
                  </w:r>
                </w:p>
              </w:tc>
              <w:tc>
                <w:tcPr>
                  <w:tcW w:w="2201" w:type="dxa"/>
                </w:tcPr>
                <w:p w14:paraId="55FD6C76" w14:textId="77777777" w:rsidR="001A01AF" w:rsidRPr="00026B48" w:rsidRDefault="001A01AF" w:rsidP="00AB025E">
                  <w:pPr>
                    <w:rPr>
                      <w:color w:val="000000" w:themeColor="text1"/>
                      <w:szCs w:val="22"/>
                      <w:lang w:val="sr-Latn-ME"/>
                    </w:rPr>
                  </w:pPr>
                </w:p>
              </w:tc>
              <w:tc>
                <w:tcPr>
                  <w:tcW w:w="2835" w:type="dxa"/>
                  <w:shd w:val="clear" w:color="auto" w:fill="auto"/>
                </w:tcPr>
                <w:p w14:paraId="166F3DA5" w14:textId="73170A92" w:rsidR="001A01AF" w:rsidRPr="00026B48" w:rsidRDefault="001A01AF" w:rsidP="00AB025E">
                  <w:pPr>
                    <w:rPr>
                      <w:color w:val="000000" w:themeColor="text1"/>
                      <w:szCs w:val="22"/>
                      <w:lang w:val="sr-Latn-ME"/>
                    </w:rPr>
                  </w:pPr>
                  <w:r w:rsidRPr="00026B48">
                    <w:rPr>
                      <w:color w:val="000000" w:themeColor="text1"/>
                      <w:szCs w:val="22"/>
                      <w:lang w:val="sr-Latn-ME"/>
                    </w:rPr>
                    <w:t>Zamor</w:t>
                  </w:r>
                </w:p>
              </w:tc>
            </w:tr>
          </w:tbl>
          <w:p w14:paraId="166F3DA7" w14:textId="119CD881" w:rsidR="00C00EF1" w:rsidRPr="00026B48" w:rsidRDefault="008C4083" w:rsidP="00AB025E">
            <w:pPr>
              <w:rPr>
                <w:color w:val="000000" w:themeColor="text1"/>
                <w:szCs w:val="22"/>
                <w:lang w:val="sr-Latn-ME"/>
              </w:rPr>
            </w:pPr>
            <w:r w:rsidRPr="00026B48">
              <w:rPr>
                <w:color w:val="000000" w:themeColor="text1"/>
                <w:szCs w:val="22"/>
                <w:vertAlign w:val="superscript"/>
                <w:lang w:val="sr-Latn-ME"/>
              </w:rPr>
              <w:t>§</w:t>
            </w:r>
            <w:r w:rsidR="001A01AF" w:rsidRPr="00026B48">
              <w:rPr>
                <w:color w:val="000000" w:themeColor="text1"/>
                <w:szCs w:val="22"/>
                <w:lang w:val="sr-Latn-ME"/>
              </w:rPr>
              <w:t xml:space="preserve"> Prijavljeni su slučajevi pojave meningeoma (pojedinačnih i multiplih) koji su bili povezani sa upotrebom ciproteronacetata (vidjeti djelove 4.3 i 4.4)</w:t>
            </w:r>
          </w:p>
          <w:p w14:paraId="166F3DA8" w14:textId="492A7ACB" w:rsidR="00C00EF1" w:rsidRPr="00026B48" w:rsidRDefault="008C4083" w:rsidP="00AB025E">
            <w:pPr>
              <w:rPr>
                <w:color w:val="000000" w:themeColor="text1"/>
                <w:szCs w:val="22"/>
                <w:lang w:val="sr-Latn-ME"/>
              </w:rPr>
            </w:pPr>
            <w:r w:rsidRPr="00026B48">
              <w:rPr>
                <w:color w:val="000000" w:themeColor="text1"/>
                <w:szCs w:val="22"/>
                <w:vertAlign w:val="superscript"/>
                <w:lang w:val="sr-Latn-ME"/>
              </w:rPr>
              <w:t>*</w:t>
            </w:r>
            <w:r w:rsidRPr="00026B48">
              <w:rPr>
                <w:color w:val="000000" w:themeColor="text1"/>
                <w:szCs w:val="22"/>
                <w:lang w:val="sr-Latn-ME"/>
              </w:rPr>
              <w:t xml:space="preserve"> Za dodatne informacije vidjeti </w:t>
            </w:r>
            <w:r w:rsidR="00C70FD4" w:rsidRPr="00026B48">
              <w:rPr>
                <w:color w:val="000000" w:themeColor="text1"/>
                <w:szCs w:val="22"/>
                <w:lang w:val="sr-Latn-ME"/>
              </w:rPr>
              <w:t>dio</w:t>
            </w:r>
            <w:r w:rsidRPr="00026B48">
              <w:rPr>
                <w:color w:val="000000" w:themeColor="text1"/>
                <w:szCs w:val="22"/>
                <w:lang w:val="sr-Latn-ME"/>
              </w:rPr>
              <w:t xml:space="preserve"> 4.4.</w:t>
            </w:r>
          </w:p>
          <w:p w14:paraId="166F3DA9" w14:textId="77777777" w:rsidR="00C00EF1" w:rsidRPr="00026B48" w:rsidRDefault="008C4083" w:rsidP="00AB025E">
            <w:pPr>
              <w:rPr>
                <w:color w:val="000000" w:themeColor="text1"/>
                <w:szCs w:val="22"/>
                <w:lang w:val="sr-Latn-ME"/>
              </w:rPr>
            </w:pPr>
            <w:r w:rsidRPr="00026B48">
              <w:rPr>
                <w:color w:val="000000" w:themeColor="text1"/>
                <w:szCs w:val="22"/>
                <w:vertAlign w:val="superscript"/>
                <w:lang w:val="sr-Latn-ME"/>
              </w:rPr>
              <w:t>†</w:t>
            </w:r>
            <w:r w:rsidRPr="00026B48">
              <w:rPr>
                <w:color w:val="000000" w:themeColor="text1"/>
                <w:szCs w:val="22"/>
                <w:lang w:val="sr-Latn-ME"/>
              </w:rPr>
              <w:t xml:space="preserve"> Nije utvrđena uzročna povezanost sa lijekom Androcur</w:t>
            </w:r>
          </w:p>
          <w:p w14:paraId="166F3DAA" w14:textId="77777777" w:rsidR="00C00EF1" w:rsidRPr="00026B48" w:rsidRDefault="00C00EF1" w:rsidP="00AB025E">
            <w:pPr>
              <w:rPr>
                <w:b/>
                <w:color w:val="000000" w:themeColor="text1"/>
                <w:szCs w:val="22"/>
                <w:lang w:val="sr-Latn-ME"/>
              </w:rPr>
            </w:pPr>
          </w:p>
          <w:p w14:paraId="166F3DAB" w14:textId="77777777" w:rsidR="005C44CE" w:rsidRPr="00026B48" w:rsidRDefault="008C4083">
            <w:pPr>
              <w:rPr>
                <w:color w:val="000000" w:themeColor="text1"/>
                <w:szCs w:val="22"/>
                <w:lang w:val="sr-Latn-ME"/>
              </w:rPr>
            </w:pPr>
            <w:r w:rsidRPr="00026B48">
              <w:rPr>
                <w:color w:val="000000" w:themeColor="text1"/>
                <w:szCs w:val="22"/>
                <w:lang w:val="sr-Latn-ME"/>
              </w:rPr>
              <w:t>Navedeni su odgovarajući MedDRA termini da bi se opisale neželjene reakcije. Sinonimi ili povezana stanja nijesu navedena, ali ih svakako treba uzeti u obzir.</w:t>
            </w:r>
          </w:p>
          <w:p w14:paraId="166F3DAC" w14:textId="77777777" w:rsidR="00C00EF1" w:rsidRPr="00026B48" w:rsidRDefault="00C00EF1" w:rsidP="00AB025E">
            <w:pPr>
              <w:rPr>
                <w:color w:val="000000" w:themeColor="text1"/>
                <w:szCs w:val="22"/>
                <w:lang w:val="sr-Latn-ME"/>
              </w:rPr>
            </w:pPr>
          </w:p>
          <w:p w14:paraId="166F3DAD" w14:textId="77777777" w:rsidR="00923F0E" w:rsidRPr="00026B48" w:rsidRDefault="008C4083" w:rsidP="00AB025E">
            <w:pPr>
              <w:rPr>
                <w:color w:val="000000" w:themeColor="text1"/>
                <w:szCs w:val="22"/>
                <w:lang w:val="sr-Latn-ME"/>
              </w:rPr>
            </w:pPr>
            <w:r w:rsidRPr="00026B48">
              <w:rPr>
                <w:color w:val="000000" w:themeColor="text1"/>
                <w:szCs w:val="22"/>
                <w:u w:val="single"/>
                <w:lang w:val="sr-Latn-ME"/>
              </w:rPr>
              <w:t>Opis odabranih neželjenih reakcija</w:t>
            </w:r>
          </w:p>
          <w:p w14:paraId="166F3DAE" w14:textId="77777777" w:rsidR="00C00EF1" w:rsidRPr="00026B48" w:rsidRDefault="008C4083" w:rsidP="00AB025E">
            <w:pPr>
              <w:rPr>
                <w:color w:val="000000" w:themeColor="text1"/>
                <w:szCs w:val="22"/>
                <w:lang w:val="sr-Latn-ME"/>
              </w:rPr>
            </w:pPr>
            <w:r w:rsidRPr="00026B48">
              <w:rPr>
                <w:color w:val="000000" w:themeColor="text1"/>
                <w:szCs w:val="22"/>
                <w:lang w:val="sr-Latn-ME"/>
              </w:rPr>
              <w:t>Ovulacija je inhibirana kod kombinovane terapije, tako da postoji stanje neplodnosti.</w:t>
            </w:r>
          </w:p>
          <w:p w14:paraId="166F3DAF" w14:textId="77777777" w:rsidR="00C00EF1" w:rsidRPr="00026B48" w:rsidRDefault="00C00EF1" w:rsidP="00AB025E">
            <w:pPr>
              <w:rPr>
                <w:color w:val="000000" w:themeColor="text1"/>
                <w:szCs w:val="22"/>
                <w:lang w:val="sr-Latn-ME"/>
              </w:rPr>
            </w:pPr>
          </w:p>
          <w:p w14:paraId="166F3DB0" w14:textId="77777777" w:rsidR="005C44CE" w:rsidRPr="00026B48" w:rsidRDefault="008C4083">
            <w:pPr>
              <w:rPr>
                <w:color w:val="000000" w:themeColor="text1"/>
                <w:szCs w:val="22"/>
                <w:lang w:val="sr-Latn-ME"/>
              </w:rPr>
            </w:pPr>
            <w:r w:rsidRPr="00026B48">
              <w:rPr>
                <w:color w:val="000000" w:themeColor="text1"/>
                <w:szCs w:val="22"/>
                <w:lang w:val="sr-Latn-ME"/>
              </w:rPr>
              <w:t xml:space="preserve">Ukoliko se dodatno koristi i kombinovani oralni kontraceptiv (2 mg ciproteronacetata i 0,035 mg etinilestradiola), treba obratiti pažnju na posebne napomene o neželjenim dejstvima koje se nalaze u </w:t>
            </w:r>
            <w:r w:rsidRPr="00026B48">
              <w:rPr>
                <w:i/>
                <w:iCs/>
                <w:color w:val="000000" w:themeColor="text1"/>
                <w:szCs w:val="22"/>
                <w:lang w:val="sr-Latn-ME"/>
              </w:rPr>
              <w:t>Sažetku karakteristika lijeka</w:t>
            </w:r>
            <w:r w:rsidRPr="00026B48">
              <w:rPr>
                <w:color w:val="000000" w:themeColor="text1"/>
                <w:szCs w:val="22"/>
                <w:lang w:val="sr-Latn-ME"/>
              </w:rPr>
              <w:t xml:space="preserve"> kombinovanog oralnog kontraceptiva (2 mg ciproteronacetata i 0,035 mg etinilestradiola).</w:t>
            </w:r>
          </w:p>
          <w:p w14:paraId="166F3DB1" w14:textId="77777777" w:rsidR="00C00EF1" w:rsidRPr="00026B48" w:rsidRDefault="00C00EF1" w:rsidP="00AB025E">
            <w:pPr>
              <w:rPr>
                <w:color w:val="000000" w:themeColor="text1"/>
                <w:szCs w:val="22"/>
                <w:lang w:val="sr-Latn-ME"/>
              </w:rPr>
            </w:pPr>
          </w:p>
          <w:p w14:paraId="166F3DB2" w14:textId="695FD2CA" w:rsidR="009A703E" w:rsidRPr="00026B48" w:rsidRDefault="008C4083">
            <w:pPr>
              <w:rPr>
                <w:color w:val="000000" w:themeColor="text1"/>
                <w:szCs w:val="22"/>
                <w:lang w:val="sr-Latn-ME"/>
              </w:rPr>
            </w:pPr>
            <w:r w:rsidRPr="00026B48">
              <w:rPr>
                <w:color w:val="000000" w:themeColor="text1"/>
                <w:szCs w:val="22"/>
                <w:lang w:val="sr-Latn-ME"/>
              </w:rPr>
              <w:t xml:space="preserve">Prijavljeni su slučajevi meningeoma povezanih sa dugotrajnom upotrebom (nekoliko godina) lijeka Androcur u dozi od 25 mg i više (vidjeti </w:t>
            </w:r>
            <w:r w:rsidR="00071387" w:rsidRPr="00026B48">
              <w:rPr>
                <w:color w:val="000000" w:themeColor="text1"/>
                <w:szCs w:val="22"/>
                <w:lang w:val="sr-Latn-ME"/>
              </w:rPr>
              <w:t>djelove</w:t>
            </w:r>
            <w:r w:rsidRPr="00026B48">
              <w:rPr>
                <w:color w:val="000000" w:themeColor="text1"/>
                <w:szCs w:val="22"/>
                <w:lang w:val="sr-Latn-ME"/>
              </w:rPr>
              <w:t xml:space="preserve"> 4.3 i 4.4).</w:t>
            </w:r>
          </w:p>
          <w:p w14:paraId="166F3DB3" w14:textId="77777777" w:rsidR="00C00EF1" w:rsidRPr="00026B48" w:rsidRDefault="00C00EF1" w:rsidP="00AB025E">
            <w:pPr>
              <w:rPr>
                <w:color w:val="000000" w:themeColor="text1"/>
                <w:szCs w:val="22"/>
                <w:lang w:val="sr-Latn-ME"/>
              </w:rPr>
            </w:pPr>
          </w:p>
        </w:tc>
      </w:tr>
    </w:tbl>
    <w:p w14:paraId="541B10E6" w14:textId="77777777" w:rsidR="0002455B" w:rsidRPr="00026B48" w:rsidRDefault="0002455B">
      <w:pPr>
        <w:spacing w:after="200" w:line="276" w:lineRule="auto"/>
        <w:rPr>
          <w:rFonts w:eastAsia="Calibri"/>
          <w:szCs w:val="22"/>
          <w:u w:val="single"/>
          <w:lang w:val="sr-Latn-ME"/>
        </w:rPr>
      </w:pPr>
      <w:r w:rsidRPr="00026B48">
        <w:rPr>
          <w:rFonts w:eastAsia="Calibri"/>
          <w:szCs w:val="22"/>
          <w:u w:val="single"/>
          <w:lang w:val="sr-Latn-ME"/>
        </w:rPr>
        <w:lastRenderedPageBreak/>
        <w:t>Prijavljivanje sumnji na neželjena dejstva</w:t>
      </w:r>
    </w:p>
    <w:p w14:paraId="2D642AE9" w14:textId="77777777" w:rsidR="0002455B" w:rsidRPr="00026B48" w:rsidRDefault="0002455B">
      <w:pPr>
        <w:spacing w:after="200"/>
        <w:rPr>
          <w:rFonts w:eastAsia="Calibri"/>
          <w:szCs w:val="22"/>
          <w:lang w:val="sr-Latn-ME"/>
        </w:rPr>
      </w:pPr>
      <w:r w:rsidRPr="00026B48">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6CF00F0" w14:textId="77777777" w:rsidR="0002455B" w:rsidRPr="00026B48" w:rsidRDefault="0002455B">
      <w:pPr>
        <w:pStyle w:val="NoSpacing"/>
        <w:jc w:val="both"/>
        <w:rPr>
          <w:rFonts w:eastAsia="Calibri"/>
          <w:sz w:val="22"/>
          <w:szCs w:val="22"/>
          <w:lang w:val="sr-Latn-ME"/>
        </w:rPr>
      </w:pPr>
      <w:r w:rsidRPr="00026B48">
        <w:rPr>
          <w:rFonts w:eastAsia="Calibri"/>
          <w:sz w:val="22"/>
          <w:szCs w:val="22"/>
          <w:lang w:val="sr-Latn-ME"/>
        </w:rPr>
        <w:t xml:space="preserve">Institut za ljekove i medicinska sredstva </w:t>
      </w:r>
    </w:p>
    <w:p w14:paraId="7E63DE49" w14:textId="77777777" w:rsidR="0002455B" w:rsidRPr="00026B48" w:rsidRDefault="0002455B">
      <w:pPr>
        <w:pStyle w:val="NoSpacing"/>
        <w:jc w:val="both"/>
        <w:rPr>
          <w:rFonts w:eastAsia="Calibri"/>
          <w:sz w:val="22"/>
          <w:szCs w:val="22"/>
          <w:lang w:val="sr-Latn-ME"/>
        </w:rPr>
      </w:pPr>
      <w:r w:rsidRPr="00026B48">
        <w:rPr>
          <w:rFonts w:eastAsia="Calibri"/>
          <w:sz w:val="22"/>
          <w:szCs w:val="22"/>
          <w:lang w:val="sr-Latn-ME"/>
        </w:rPr>
        <w:t>Odjeljenje za farmakovigilancu</w:t>
      </w:r>
    </w:p>
    <w:p w14:paraId="58539453" w14:textId="77777777" w:rsidR="0002455B" w:rsidRPr="00026B48" w:rsidRDefault="0002455B">
      <w:pPr>
        <w:pStyle w:val="NoSpacing"/>
        <w:jc w:val="both"/>
        <w:rPr>
          <w:rFonts w:eastAsia="Calibri"/>
          <w:sz w:val="22"/>
          <w:szCs w:val="22"/>
          <w:lang w:val="sr-Latn-ME"/>
        </w:rPr>
      </w:pPr>
      <w:r w:rsidRPr="00026B48">
        <w:rPr>
          <w:rFonts w:eastAsia="Calibri"/>
          <w:sz w:val="22"/>
          <w:szCs w:val="22"/>
          <w:lang w:val="sr-Latn-ME"/>
        </w:rPr>
        <w:t>Bulevar Ivana Crnojevića 64a, 81000 Podgorica</w:t>
      </w:r>
    </w:p>
    <w:p w14:paraId="196E0D18" w14:textId="77777777" w:rsidR="0002455B" w:rsidRPr="00026B48" w:rsidRDefault="0002455B" w:rsidP="00AB025E">
      <w:pPr>
        <w:pStyle w:val="NoSpacing"/>
        <w:jc w:val="both"/>
        <w:rPr>
          <w:rFonts w:eastAsia="Calibri"/>
          <w:sz w:val="22"/>
          <w:szCs w:val="22"/>
          <w:lang w:val="sr-Latn-ME"/>
        </w:rPr>
      </w:pPr>
    </w:p>
    <w:p w14:paraId="2DF91C80" w14:textId="77777777" w:rsidR="0002455B" w:rsidRPr="00026B48" w:rsidRDefault="0002455B">
      <w:pPr>
        <w:pStyle w:val="NoSpacing"/>
        <w:jc w:val="both"/>
        <w:rPr>
          <w:rFonts w:eastAsia="Calibri"/>
          <w:sz w:val="22"/>
          <w:szCs w:val="22"/>
          <w:lang w:val="sr-Latn-ME"/>
        </w:rPr>
      </w:pPr>
      <w:r w:rsidRPr="00026B48">
        <w:rPr>
          <w:rFonts w:eastAsia="Calibri"/>
          <w:sz w:val="22"/>
          <w:szCs w:val="22"/>
          <w:lang w:val="sr-Latn-ME"/>
        </w:rPr>
        <w:t>tel: +382 (0) 20 310 280</w:t>
      </w:r>
    </w:p>
    <w:p w14:paraId="48C7189E" w14:textId="77777777" w:rsidR="0002455B" w:rsidRPr="00026B48" w:rsidRDefault="0002455B">
      <w:pPr>
        <w:pStyle w:val="NoSpacing"/>
        <w:jc w:val="both"/>
        <w:rPr>
          <w:rFonts w:eastAsia="Calibri"/>
          <w:sz w:val="22"/>
          <w:szCs w:val="22"/>
          <w:lang w:val="sr-Latn-ME"/>
        </w:rPr>
      </w:pPr>
      <w:r w:rsidRPr="00026B48">
        <w:rPr>
          <w:rFonts w:eastAsia="Calibri"/>
          <w:sz w:val="22"/>
          <w:szCs w:val="22"/>
          <w:lang w:val="sr-Latn-ME"/>
        </w:rPr>
        <w:t>fax: +382 (0) 20 310 581</w:t>
      </w:r>
    </w:p>
    <w:p w14:paraId="19082F21" w14:textId="77777777" w:rsidR="0002455B" w:rsidRPr="00026B48" w:rsidRDefault="00117546">
      <w:pPr>
        <w:pStyle w:val="NoSpacing"/>
        <w:jc w:val="both"/>
        <w:rPr>
          <w:rFonts w:eastAsia="Calibri"/>
          <w:sz w:val="22"/>
          <w:szCs w:val="22"/>
          <w:lang w:val="sr-Latn-ME"/>
        </w:rPr>
      </w:pPr>
      <w:hyperlink r:id="rId8" w:history="1">
        <w:r w:rsidR="0002455B" w:rsidRPr="00026B48">
          <w:rPr>
            <w:rStyle w:val="Hyperlink"/>
            <w:rFonts w:eastAsia="Calibri"/>
            <w:sz w:val="22"/>
            <w:szCs w:val="22"/>
            <w:lang w:val="sr-Latn-ME"/>
          </w:rPr>
          <w:t>www.cinmed.me</w:t>
        </w:r>
      </w:hyperlink>
    </w:p>
    <w:p w14:paraId="6A04D4A3" w14:textId="77777777" w:rsidR="0002455B" w:rsidRPr="00026B48" w:rsidRDefault="00117546">
      <w:pPr>
        <w:pStyle w:val="NoSpacing"/>
        <w:jc w:val="both"/>
        <w:rPr>
          <w:rFonts w:eastAsia="Calibri"/>
          <w:color w:val="0000FF"/>
          <w:sz w:val="22"/>
          <w:szCs w:val="22"/>
          <w:u w:val="single"/>
          <w:lang w:val="sr-Latn-ME"/>
        </w:rPr>
      </w:pPr>
      <w:hyperlink r:id="rId9" w:history="1">
        <w:r w:rsidR="0002455B" w:rsidRPr="00026B48">
          <w:rPr>
            <w:rStyle w:val="Hyperlink"/>
            <w:rFonts w:eastAsia="Calibri"/>
            <w:sz w:val="22"/>
            <w:szCs w:val="22"/>
            <w:lang w:val="sr-Latn-ME"/>
          </w:rPr>
          <w:t>nezeljenadejstva@cinmed.me</w:t>
        </w:r>
      </w:hyperlink>
    </w:p>
    <w:p w14:paraId="565E4E46" w14:textId="74EF5F39" w:rsidR="0002455B" w:rsidRPr="00026B48" w:rsidRDefault="0002455B">
      <w:pPr>
        <w:pStyle w:val="NoSpacing"/>
        <w:jc w:val="both"/>
        <w:rPr>
          <w:rFonts w:eastAsia="Calibri"/>
          <w:sz w:val="22"/>
          <w:szCs w:val="22"/>
          <w:lang w:val="sr-Latn-ME"/>
        </w:rPr>
      </w:pPr>
      <w:r w:rsidRPr="00026B48">
        <w:rPr>
          <w:rFonts w:eastAsia="Calibri"/>
          <w:sz w:val="22"/>
          <w:szCs w:val="22"/>
          <w:lang w:val="sr-Latn-ME"/>
        </w:rPr>
        <w:t>putem IS zdravstvene zaštite</w:t>
      </w:r>
    </w:p>
    <w:p w14:paraId="4B1CE215" w14:textId="77777777" w:rsidR="00071387" w:rsidRPr="00026B48" w:rsidRDefault="00071387">
      <w:pPr>
        <w:rPr>
          <w:szCs w:val="22"/>
          <w:lang w:val="sr-Latn-ME"/>
        </w:rPr>
      </w:pPr>
      <w:r w:rsidRPr="00026B48">
        <w:rPr>
          <w:szCs w:val="22"/>
          <w:lang w:val="sr-Latn-ME"/>
        </w:rPr>
        <w:t>QR kod za online prijavu sumnje na neželjeno dejstvo lijeka:</w:t>
      </w:r>
    </w:p>
    <w:p w14:paraId="2E1A0F81" w14:textId="77777777" w:rsidR="00071387" w:rsidRPr="00026B48" w:rsidRDefault="00071387">
      <w:pPr>
        <w:rPr>
          <w:szCs w:val="22"/>
          <w:lang w:val="sr-Latn-ME"/>
        </w:rPr>
      </w:pPr>
    </w:p>
    <w:p w14:paraId="38D19377" w14:textId="77777777" w:rsidR="00071387" w:rsidRPr="00026B48" w:rsidRDefault="00071387">
      <w:pPr>
        <w:rPr>
          <w:szCs w:val="22"/>
          <w:lang w:val="sr-Latn-ME"/>
        </w:rPr>
      </w:pPr>
      <w:r w:rsidRPr="00026B48">
        <w:rPr>
          <w:noProof/>
          <w:szCs w:val="22"/>
          <w:lang w:val="sr-Latn-ME" w:eastAsia="sr-Latn-ME"/>
        </w:rPr>
        <w:drawing>
          <wp:inline distT="0" distB="0" distL="0" distR="0" wp14:anchorId="5B1320A2" wp14:editId="07D7CFFB">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E24F749" w14:textId="77777777" w:rsidR="00071387" w:rsidRPr="00026B48" w:rsidRDefault="00071387">
      <w:pPr>
        <w:pStyle w:val="NoSpacing"/>
        <w:jc w:val="both"/>
        <w:rPr>
          <w:rFonts w:eastAsia="Calibri"/>
          <w:sz w:val="22"/>
          <w:szCs w:val="22"/>
          <w:lang w:val="sr-Latn-ME"/>
        </w:rPr>
      </w:pPr>
    </w:p>
    <w:p w14:paraId="6F91188C" w14:textId="77777777" w:rsidR="0058458D" w:rsidRPr="00026B48" w:rsidRDefault="0058458D">
      <w:pPr>
        <w:rPr>
          <w:noProof/>
          <w:color w:val="000000" w:themeColor="text1"/>
          <w:szCs w:val="22"/>
          <w:u w:val="single"/>
          <w:lang w:val="sr-Latn-ME"/>
        </w:rPr>
      </w:pPr>
    </w:p>
    <w:p w14:paraId="166F3DC1" w14:textId="77777777" w:rsidR="00CE09F3" w:rsidRPr="00026B48" w:rsidRDefault="008C4083">
      <w:pPr>
        <w:rPr>
          <w:b/>
          <w:bCs/>
          <w:color w:val="000000" w:themeColor="text1"/>
          <w:szCs w:val="22"/>
          <w:lang w:val="sr-Latn-ME"/>
        </w:rPr>
      </w:pPr>
      <w:r w:rsidRPr="00026B48">
        <w:rPr>
          <w:b/>
          <w:bCs/>
          <w:color w:val="000000" w:themeColor="text1"/>
          <w:szCs w:val="22"/>
          <w:lang w:val="sr-Latn-ME"/>
        </w:rPr>
        <w:t>4.9. Predoziranje</w:t>
      </w:r>
    </w:p>
    <w:p w14:paraId="166F3DC2" w14:textId="77777777" w:rsidR="00CE09F3" w:rsidRPr="00026B48" w:rsidRDefault="00CE09F3">
      <w:pPr>
        <w:rPr>
          <w:color w:val="000000" w:themeColor="text1"/>
          <w:szCs w:val="22"/>
          <w:lang w:val="sr-Latn-ME"/>
        </w:rPr>
      </w:pPr>
    </w:p>
    <w:p w14:paraId="166F3DC3"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Studije akutne toksičnosti nakon pojedinačnog doziranja pokazale su da se ciproteronacetat, aktivna supstanca lijeka Androcur, može klasifikovati kao praktično netoksičan. Ne očekuje se rizik od akutne intoksikacije nakon pojedinačne slučajne primjene višestruke doze lijeka.</w:t>
      </w:r>
    </w:p>
    <w:p w14:paraId="281B9D99" w14:textId="3D7AD66F" w:rsidR="00901E95" w:rsidRPr="00026B48" w:rsidRDefault="00901E95" w:rsidP="00AB025E">
      <w:pPr>
        <w:pStyle w:val="NASLOV123"/>
        <w:jc w:val="both"/>
        <w:rPr>
          <w:bCs/>
          <w:color w:val="000000" w:themeColor="text1"/>
          <w:lang w:val="sr-Latn-ME"/>
        </w:rPr>
      </w:pPr>
    </w:p>
    <w:p w14:paraId="166F3DC4" w14:textId="4B20103C" w:rsidR="00CE09F3" w:rsidRPr="00026B48" w:rsidRDefault="008C4083" w:rsidP="00AB025E">
      <w:pPr>
        <w:pStyle w:val="NASLOV123"/>
        <w:jc w:val="both"/>
        <w:rPr>
          <w:color w:val="000000" w:themeColor="text1"/>
          <w:lang w:val="sr-Latn-ME"/>
        </w:rPr>
      </w:pPr>
      <w:r w:rsidRPr="00026B48">
        <w:rPr>
          <w:bCs/>
          <w:color w:val="000000" w:themeColor="text1"/>
          <w:lang w:val="sr-Latn-ME"/>
        </w:rPr>
        <w:lastRenderedPageBreak/>
        <w:t>5. FARMAKOLOŠKI PODACI</w:t>
      </w:r>
    </w:p>
    <w:p w14:paraId="166F3DC5" w14:textId="77777777" w:rsidR="00CE09F3" w:rsidRPr="00026B48" w:rsidRDefault="008C4083">
      <w:pPr>
        <w:rPr>
          <w:b/>
          <w:bCs/>
          <w:color w:val="000000" w:themeColor="text1"/>
          <w:szCs w:val="22"/>
          <w:lang w:val="sr-Latn-ME"/>
        </w:rPr>
      </w:pPr>
      <w:r w:rsidRPr="00026B48">
        <w:rPr>
          <w:b/>
          <w:bCs/>
          <w:color w:val="000000" w:themeColor="text1"/>
          <w:szCs w:val="22"/>
          <w:lang w:val="sr-Latn-ME"/>
        </w:rPr>
        <w:t>5.1. Farmakodinamski podaci</w:t>
      </w:r>
    </w:p>
    <w:p w14:paraId="450C59C7" w14:textId="77777777" w:rsidR="00026B48" w:rsidRDefault="00026B48">
      <w:pPr>
        <w:rPr>
          <w:b/>
          <w:bCs/>
          <w:color w:val="000000" w:themeColor="text1"/>
          <w:szCs w:val="22"/>
          <w:lang w:val="sr-Latn-ME"/>
        </w:rPr>
      </w:pPr>
    </w:p>
    <w:p w14:paraId="166F3DC6" w14:textId="08F89F85" w:rsidR="00CE09F3" w:rsidRPr="00026B48" w:rsidRDefault="008C4083">
      <w:pPr>
        <w:rPr>
          <w:b/>
          <w:bCs/>
          <w:color w:val="000000" w:themeColor="text1"/>
          <w:szCs w:val="22"/>
          <w:lang w:val="sr-Latn-ME"/>
        </w:rPr>
      </w:pPr>
      <w:r w:rsidRPr="00026B48">
        <w:rPr>
          <w:b/>
          <w:bCs/>
          <w:color w:val="000000" w:themeColor="text1"/>
          <w:szCs w:val="22"/>
          <w:lang w:val="sr-Latn-ME"/>
        </w:rPr>
        <w:t xml:space="preserve">Farmakoterapijska grupa: </w:t>
      </w:r>
      <w:r w:rsidRPr="00026B48">
        <w:rPr>
          <w:color w:val="000000" w:themeColor="text1"/>
          <w:szCs w:val="22"/>
          <w:lang w:val="sr-Latn-ME"/>
        </w:rPr>
        <w:t>Polni hormoni i modulatori genitalnog sistema; antiandorgeni, monokomponentni</w:t>
      </w:r>
    </w:p>
    <w:p w14:paraId="166F3DC7" w14:textId="77777777" w:rsidR="00CE09F3" w:rsidRPr="00026B48" w:rsidRDefault="00CE09F3">
      <w:pPr>
        <w:rPr>
          <w:color w:val="000000" w:themeColor="text1"/>
          <w:szCs w:val="22"/>
          <w:lang w:val="sr-Latn-ME"/>
        </w:rPr>
      </w:pPr>
    </w:p>
    <w:p w14:paraId="166F3DC8" w14:textId="77777777" w:rsidR="00CE09F3" w:rsidRPr="00026B48" w:rsidRDefault="008C4083">
      <w:pPr>
        <w:tabs>
          <w:tab w:val="left" w:pos="1508"/>
        </w:tabs>
        <w:rPr>
          <w:b/>
          <w:bCs/>
          <w:color w:val="000000" w:themeColor="text1"/>
          <w:szCs w:val="22"/>
          <w:lang w:val="sr-Latn-ME"/>
        </w:rPr>
      </w:pPr>
      <w:r w:rsidRPr="00026B48">
        <w:rPr>
          <w:b/>
          <w:bCs/>
          <w:color w:val="000000" w:themeColor="text1"/>
          <w:szCs w:val="22"/>
          <w:lang w:val="sr-Latn-ME"/>
        </w:rPr>
        <w:t>ATC šifra:</w:t>
      </w:r>
      <w:r w:rsidRPr="00026B48">
        <w:rPr>
          <w:color w:val="000000" w:themeColor="text1"/>
          <w:szCs w:val="22"/>
          <w:lang w:val="sr-Latn-ME"/>
        </w:rPr>
        <w:tab/>
        <w:t>G03HA01</w:t>
      </w:r>
    </w:p>
    <w:p w14:paraId="166F3DC9" w14:textId="77777777" w:rsidR="00CE09F3" w:rsidRPr="00026B48" w:rsidRDefault="00CE09F3">
      <w:pPr>
        <w:rPr>
          <w:color w:val="000000" w:themeColor="text1"/>
          <w:szCs w:val="22"/>
          <w:lang w:val="sr-Latn-ME"/>
        </w:rPr>
      </w:pPr>
    </w:p>
    <w:p w14:paraId="166F3DCA" w14:textId="77777777" w:rsidR="00FA0197" w:rsidRPr="00026B48" w:rsidRDefault="008C4083">
      <w:pPr>
        <w:rPr>
          <w:b/>
          <w:color w:val="000000" w:themeColor="text1"/>
          <w:szCs w:val="22"/>
          <w:lang w:val="sr-Latn-ME"/>
        </w:rPr>
      </w:pPr>
      <w:r w:rsidRPr="00026B48">
        <w:rPr>
          <w:b/>
          <w:bCs/>
          <w:color w:val="000000" w:themeColor="text1"/>
          <w:szCs w:val="22"/>
          <w:lang w:val="sr-Latn-ME"/>
        </w:rPr>
        <w:t>Muškarci</w:t>
      </w:r>
    </w:p>
    <w:p w14:paraId="166F3DCB" w14:textId="77777777" w:rsidR="005C44CE" w:rsidRPr="00026B48" w:rsidRDefault="008C4083">
      <w:pPr>
        <w:tabs>
          <w:tab w:val="clear" w:pos="284"/>
        </w:tabs>
        <w:autoSpaceDE w:val="0"/>
        <w:autoSpaceDN w:val="0"/>
        <w:adjustRightInd w:val="0"/>
        <w:ind w:right="-108"/>
        <w:rPr>
          <w:color w:val="000000" w:themeColor="text1"/>
          <w:szCs w:val="22"/>
          <w:lang w:val="sr-Latn-ME"/>
        </w:rPr>
      </w:pPr>
      <w:r w:rsidRPr="00026B48">
        <w:rPr>
          <w:color w:val="000000" w:themeColor="text1"/>
          <w:szCs w:val="22"/>
          <w:lang w:val="sr-Latn-ME"/>
        </w:rPr>
        <w:t>Tokom terapije lijekom Androcur, kod muškaraca dolazi do smanjenja seksualnog nagona i potencije, kao i do inhibicije funkcije gonada. Ove promjene su reverzibilne nakon prekida terapije. Ciproteronacetat kompetitivno inhibira uticaj androgena na ciljane organe, na primjer štiti prostatu od uticaja androgena koji potiču iz gonada i/ili srži nadbubrežne žlijezde.</w:t>
      </w:r>
    </w:p>
    <w:p w14:paraId="166F3DCC" w14:textId="77777777" w:rsidR="005C44CE" w:rsidRPr="00026B48" w:rsidRDefault="008C4083">
      <w:pPr>
        <w:tabs>
          <w:tab w:val="clear" w:pos="284"/>
        </w:tabs>
        <w:autoSpaceDE w:val="0"/>
        <w:autoSpaceDN w:val="0"/>
        <w:adjustRightInd w:val="0"/>
        <w:ind w:right="-108"/>
        <w:rPr>
          <w:color w:val="000000" w:themeColor="text1"/>
          <w:szCs w:val="22"/>
          <w:lang w:val="sr-Latn-ME"/>
        </w:rPr>
      </w:pPr>
      <w:r w:rsidRPr="00026B48">
        <w:rPr>
          <w:color w:val="000000" w:themeColor="text1"/>
          <w:szCs w:val="22"/>
          <w:lang w:val="sr-Latn-ME"/>
        </w:rPr>
        <w:t xml:space="preserve">Ciproteronacetat ima centralni inhibitorni efekat. Antianforgeni efekat dovodi do smanjenja stvaranja testosterona u testisima i dodatno, do smanjenja serumskih koncentracija testosterona. </w:t>
      </w:r>
    </w:p>
    <w:p w14:paraId="166F3DCD" w14:textId="77777777" w:rsidR="005C44CE" w:rsidRPr="00026B48" w:rsidRDefault="008C4083">
      <w:pPr>
        <w:tabs>
          <w:tab w:val="clear" w:pos="284"/>
        </w:tabs>
        <w:autoSpaceDE w:val="0"/>
        <w:autoSpaceDN w:val="0"/>
        <w:adjustRightInd w:val="0"/>
        <w:ind w:right="-108"/>
        <w:rPr>
          <w:color w:val="000000" w:themeColor="text1"/>
          <w:szCs w:val="22"/>
          <w:lang w:val="sr-Latn-ME"/>
        </w:rPr>
      </w:pPr>
      <w:r w:rsidRPr="00026B48">
        <w:rPr>
          <w:color w:val="000000" w:themeColor="text1"/>
          <w:szCs w:val="22"/>
          <w:lang w:val="sr-Latn-ME"/>
        </w:rPr>
        <w:t>Antigonadotropni efekat ciproteronacetata se takođe ispoljava u kombinaciji sa GnRH agonistima. Početni porast testosterona izazvan ovim supstancama se smanjuje usljed dejstva ciproteronacetata.</w:t>
      </w:r>
    </w:p>
    <w:p w14:paraId="166F3DCE" w14:textId="77777777" w:rsidR="008D5B24" w:rsidRPr="00026B48" w:rsidRDefault="008C4083" w:rsidP="00AB025E">
      <w:pPr>
        <w:pStyle w:val="Header"/>
        <w:tabs>
          <w:tab w:val="clear" w:pos="4536"/>
          <w:tab w:val="clear" w:pos="9072"/>
          <w:tab w:val="left" w:pos="284"/>
        </w:tabs>
        <w:ind w:right="-108"/>
        <w:rPr>
          <w:color w:val="000000" w:themeColor="text1"/>
          <w:szCs w:val="22"/>
          <w:lang w:val="sr-Latn-ME"/>
        </w:rPr>
      </w:pPr>
      <w:r w:rsidRPr="00026B48">
        <w:rPr>
          <w:color w:val="000000" w:themeColor="text1"/>
          <w:szCs w:val="22"/>
          <w:lang w:val="sr-Latn-ME"/>
        </w:rPr>
        <w:t>Pri primjeni većih doza ciproteronacetata javlja se povremena tendencija blagog porasta nivoa prolaktina.</w:t>
      </w:r>
    </w:p>
    <w:p w14:paraId="166F3DCF" w14:textId="77777777" w:rsidR="00CE09F3" w:rsidRPr="00026B48" w:rsidRDefault="00CE09F3">
      <w:pPr>
        <w:rPr>
          <w:color w:val="000000" w:themeColor="text1"/>
          <w:szCs w:val="22"/>
          <w:lang w:val="sr-Latn-ME"/>
        </w:rPr>
      </w:pPr>
    </w:p>
    <w:p w14:paraId="166F3DD0" w14:textId="77777777" w:rsidR="00FA0197" w:rsidRPr="00026B48" w:rsidRDefault="008C4083">
      <w:pPr>
        <w:rPr>
          <w:color w:val="000000" w:themeColor="text1"/>
          <w:szCs w:val="22"/>
          <w:lang w:val="sr-Latn-ME"/>
        </w:rPr>
      </w:pPr>
      <w:r w:rsidRPr="00026B48">
        <w:rPr>
          <w:b/>
          <w:bCs/>
          <w:color w:val="000000" w:themeColor="text1"/>
          <w:szCs w:val="22"/>
          <w:lang w:val="sr-Latn-ME"/>
        </w:rPr>
        <w:t>Žene</w:t>
      </w:r>
      <w:r w:rsidRPr="00026B48">
        <w:rPr>
          <w:color w:val="000000" w:themeColor="text1"/>
          <w:szCs w:val="22"/>
          <w:lang w:val="sr-Latn-ME"/>
        </w:rPr>
        <w:t xml:space="preserve"> </w:t>
      </w:r>
    </w:p>
    <w:p w14:paraId="166F3DD1" w14:textId="1C266D45" w:rsidR="00FA0197" w:rsidRPr="00026B48" w:rsidRDefault="008C4083">
      <w:pPr>
        <w:rPr>
          <w:color w:val="000000" w:themeColor="text1"/>
          <w:szCs w:val="22"/>
          <w:lang w:val="sr-Latn-ME"/>
        </w:rPr>
      </w:pPr>
      <w:r w:rsidRPr="00026B48">
        <w:rPr>
          <w:color w:val="000000" w:themeColor="text1"/>
          <w:szCs w:val="22"/>
          <w:lang w:val="sr-Latn-ME"/>
        </w:rPr>
        <w:t>Na stanja koja su zavisna od androgena, kao što su hirzutizam, ali i alopecija zavisna od androgena i povećana funkcija lojnih žlijezda sa aknama i seborejom, povoljan je uticaj kompetitivnog istiskivanja androgena na ciljanim organima. Smanjenje koncentracije androgena kao posl</w:t>
      </w:r>
      <w:r w:rsidR="00071387" w:rsidRPr="00026B48">
        <w:rPr>
          <w:color w:val="000000" w:themeColor="text1"/>
          <w:szCs w:val="22"/>
          <w:lang w:val="sr-Latn-ME"/>
        </w:rPr>
        <w:t>j</w:t>
      </w:r>
      <w:r w:rsidRPr="00026B48">
        <w:rPr>
          <w:color w:val="000000" w:themeColor="text1"/>
          <w:szCs w:val="22"/>
          <w:lang w:val="sr-Latn-ME"/>
        </w:rPr>
        <w:t>edica antigonadotropnog svojstva ciproteronacetata ima dodatan terapi</w:t>
      </w:r>
      <w:r w:rsidR="00071387" w:rsidRPr="00026B48">
        <w:rPr>
          <w:color w:val="000000" w:themeColor="text1"/>
          <w:szCs w:val="22"/>
          <w:lang w:val="sr-Latn-ME"/>
        </w:rPr>
        <w:t>j</w:t>
      </w:r>
      <w:r w:rsidRPr="00026B48">
        <w:rPr>
          <w:color w:val="000000" w:themeColor="text1"/>
          <w:szCs w:val="22"/>
          <w:lang w:val="sr-Latn-ME"/>
        </w:rPr>
        <w:t>ski efekat.</w:t>
      </w:r>
    </w:p>
    <w:p w14:paraId="166F3DD2" w14:textId="003C8E48" w:rsidR="00FA0197" w:rsidRPr="00026B48" w:rsidRDefault="008C4083">
      <w:pPr>
        <w:rPr>
          <w:color w:val="000000" w:themeColor="text1"/>
          <w:szCs w:val="22"/>
          <w:lang w:val="sr-Latn-ME"/>
        </w:rPr>
      </w:pPr>
      <w:r w:rsidRPr="00026B48">
        <w:rPr>
          <w:color w:val="000000" w:themeColor="text1"/>
          <w:szCs w:val="22"/>
          <w:lang w:val="sr-Latn-ME"/>
        </w:rPr>
        <w:t>Ove promjene su reverzibilne nakon prekida terapije. Tokom istovremenog liječenja sa kombinovanim oralnim kontraceptivima (2 mg ciproteronacetata i 0,035 mg etinilestradiola), funkcija jajnika je inhibirana.</w:t>
      </w:r>
    </w:p>
    <w:p w14:paraId="2E2B22EB" w14:textId="47E76524" w:rsidR="001A01AF" w:rsidRPr="00026B48" w:rsidRDefault="001A01AF">
      <w:pPr>
        <w:rPr>
          <w:color w:val="000000" w:themeColor="text1"/>
          <w:szCs w:val="22"/>
          <w:lang w:val="sr-Latn-ME"/>
        </w:rPr>
      </w:pPr>
    </w:p>
    <w:p w14:paraId="4DD8FE4C" w14:textId="77777777" w:rsidR="001A01AF" w:rsidRPr="00026B48" w:rsidRDefault="001A01AF" w:rsidP="00AB025E">
      <w:pPr>
        <w:pStyle w:val="MusterTitel"/>
        <w:spacing w:before="0" w:after="0"/>
        <w:ind w:left="0"/>
        <w:jc w:val="both"/>
        <w:rPr>
          <w:rFonts w:ascii="Times New Roman" w:hAnsi="Times New Roman" w:cs="Times New Roman"/>
          <w:noProof/>
          <w:sz w:val="22"/>
          <w:szCs w:val="22"/>
          <w:u w:val="single"/>
          <w:lang w:val="sr-Latn-ME"/>
        </w:rPr>
      </w:pPr>
      <w:r w:rsidRPr="00026B48">
        <w:rPr>
          <w:rFonts w:ascii="Times New Roman" w:hAnsi="Times New Roman" w:cs="Times New Roman"/>
          <w:noProof/>
          <w:sz w:val="22"/>
          <w:szCs w:val="22"/>
          <w:u w:val="single"/>
          <w:lang w:val="sr-Latn-ME"/>
        </w:rPr>
        <w:t>Meningeom</w:t>
      </w:r>
    </w:p>
    <w:p w14:paraId="18A08E3E" w14:textId="77777777" w:rsidR="001A01AF" w:rsidRPr="00026B48" w:rsidRDefault="001A01AF" w:rsidP="00AB025E">
      <w:pPr>
        <w:pStyle w:val="MusterTitel"/>
        <w:spacing w:before="0" w:after="0"/>
        <w:ind w:left="0"/>
        <w:jc w:val="both"/>
        <w:rPr>
          <w:rFonts w:ascii="Times New Roman" w:hAnsi="Times New Roman" w:cs="Times New Roman"/>
          <w:noProof/>
          <w:sz w:val="22"/>
          <w:szCs w:val="22"/>
          <w:u w:val="single"/>
          <w:lang w:val="sr-Latn-ME"/>
        </w:rPr>
      </w:pPr>
    </w:p>
    <w:p w14:paraId="627D91D3" w14:textId="11939329"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Na osnovu epidemiološke kohortne studije sprovedene u Francuskoj, prim</w:t>
      </w:r>
      <w:r w:rsidR="00071387" w:rsidRPr="00026B48">
        <w:rPr>
          <w:rFonts w:ascii="Times New Roman" w:hAnsi="Times New Roman" w:cs="Times New Roman"/>
          <w:noProof/>
          <w:sz w:val="22"/>
          <w:szCs w:val="22"/>
          <w:lang w:val="sr-Latn-ME"/>
        </w:rPr>
        <w:t>ij</w:t>
      </w:r>
      <w:r w:rsidRPr="00026B48">
        <w:rPr>
          <w:rFonts w:ascii="Times New Roman" w:hAnsi="Times New Roman" w:cs="Times New Roman"/>
          <w:noProof/>
          <w:sz w:val="22"/>
          <w:szCs w:val="22"/>
          <w:lang w:val="sr-Latn-ME"/>
        </w:rPr>
        <w:t>ećen je kumulativan, dozno-zavisan odnos između primjene ciproteronacetata i poj</w:t>
      </w:r>
      <w:r w:rsidR="00071387" w:rsidRPr="00026B48">
        <w:rPr>
          <w:rFonts w:ascii="Times New Roman" w:hAnsi="Times New Roman" w:cs="Times New Roman"/>
          <w:noProof/>
          <w:sz w:val="22"/>
          <w:szCs w:val="22"/>
          <w:lang w:val="sr-Latn-ME"/>
        </w:rPr>
        <w:t>a</w:t>
      </w:r>
      <w:r w:rsidRPr="00026B48">
        <w:rPr>
          <w:rFonts w:ascii="Times New Roman" w:hAnsi="Times New Roman" w:cs="Times New Roman"/>
          <w:noProof/>
          <w:sz w:val="22"/>
          <w:szCs w:val="22"/>
          <w:lang w:val="sr-Latn-ME"/>
        </w:rPr>
        <w:t xml:space="preserve">ve meningeoma. Ova studija zasnovana je na podacima </w:t>
      </w:r>
      <w:r w:rsidR="00B84036" w:rsidRPr="00026B48">
        <w:rPr>
          <w:rFonts w:ascii="Times New Roman" w:hAnsi="Times New Roman" w:cs="Times New Roman"/>
          <w:noProof/>
          <w:sz w:val="22"/>
          <w:szCs w:val="22"/>
          <w:lang w:val="sr-Latn-ME"/>
        </w:rPr>
        <w:t>i</w:t>
      </w:r>
      <w:r w:rsidR="00071387" w:rsidRPr="00026B48">
        <w:rPr>
          <w:rFonts w:ascii="Times New Roman" w:hAnsi="Times New Roman" w:cs="Times New Roman"/>
          <w:noProof/>
          <w:sz w:val="22"/>
          <w:szCs w:val="22"/>
          <w:lang w:val="sr-Latn-ME"/>
        </w:rPr>
        <w:t>z</w:t>
      </w:r>
      <w:r w:rsidR="00B84036" w:rsidRPr="00026B48">
        <w:rPr>
          <w:rFonts w:ascii="Times New Roman" w:hAnsi="Times New Roman" w:cs="Times New Roman"/>
          <w:noProof/>
          <w:sz w:val="22"/>
          <w:szCs w:val="22"/>
          <w:lang w:val="sr-Latn-ME"/>
        </w:rPr>
        <w:t xml:space="preserve"> </w:t>
      </w:r>
      <w:r w:rsidR="00071387" w:rsidRPr="00026B48">
        <w:rPr>
          <w:rFonts w:ascii="Times New Roman" w:hAnsi="Times New Roman" w:cs="Times New Roman"/>
          <w:noProof/>
          <w:sz w:val="22"/>
          <w:szCs w:val="22"/>
          <w:lang w:val="sr-Latn-ME"/>
        </w:rPr>
        <w:t>F</w:t>
      </w:r>
      <w:r w:rsidR="00B84036" w:rsidRPr="00026B48">
        <w:rPr>
          <w:rFonts w:ascii="Times New Roman" w:hAnsi="Times New Roman" w:cs="Times New Roman"/>
          <w:noProof/>
          <w:sz w:val="22"/>
          <w:szCs w:val="22"/>
          <w:lang w:val="sr-Latn-ME"/>
        </w:rPr>
        <w:t>onda</w:t>
      </w:r>
      <w:r w:rsidRPr="00026B48">
        <w:rPr>
          <w:rFonts w:ascii="Times New Roman" w:hAnsi="Times New Roman" w:cs="Times New Roman"/>
          <w:noProof/>
          <w:sz w:val="22"/>
          <w:szCs w:val="22"/>
          <w:lang w:val="sr-Latn-ME"/>
        </w:rPr>
        <w:t xml:space="preserve"> zdravstvenog osiguranja</w:t>
      </w:r>
      <w:r w:rsidR="00B84036" w:rsidRPr="00026B48">
        <w:rPr>
          <w:rFonts w:ascii="Times New Roman" w:hAnsi="Times New Roman" w:cs="Times New Roman"/>
          <w:noProof/>
          <w:sz w:val="22"/>
          <w:szCs w:val="22"/>
          <w:lang w:val="sr-Latn-ME"/>
        </w:rPr>
        <w:t xml:space="preserve"> Francuske (engl. </w:t>
      </w:r>
      <w:r w:rsidR="00B84036" w:rsidRPr="00026B48">
        <w:rPr>
          <w:rFonts w:ascii="Times New Roman" w:hAnsi="Times New Roman" w:cs="Times New Roman"/>
          <w:i/>
          <w:iCs/>
          <w:noProof/>
          <w:sz w:val="22"/>
          <w:szCs w:val="22"/>
          <w:lang w:val="sr-Latn-ME"/>
        </w:rPr>
        <w:t>French Health Insurance, CNAM</w:t>
      </w:r>
      <w:r w:rsidR="00B84036" w:rsidRPr="00026B48">
        <w:rPr>
          <w:rFonts w:ascii="Times New Roman" w:hAnsi="Times New Roman" w:cs="Times New Roman"/>
          <w:noProof/>
          <w:sz w:val="22"/>
          <w:szCs w:val="22"/>
          <w:lang w:val="sr-Latn-ME"/>
        </w:rPr>
        <w:t>)</w:t>
      </w:r>
      <w:r w:rsidRPr="00026B48">
        <w:rPr>
          <w:rFonts w:ascii="Times New Roman" w:hAnsi="Times New Roman" w:cs="Times New Roman"/>
          <w:noProof/>
          <w:sz w:val="22"/>
          <w:szCs w:val="22"/>
          <w:lang w:val="sr-Latn-ME"/>
        </w:rPr>
        <w:t>, i obuhvatala je populaciju od 253.777 žena koje su uzimale tablete ciproterona u dozi od 50 do 100 mg. Incidenca meningeoma liječenih hirurškim putem ili terapijom zračenjem upoređena je između žena izloženih visokim dozama ciproteronacetata (kumulativna doza &gt;3 g) i žena koje su bile izložene malim dozama ciproteronacetata (kumulativna doza &lt;3 g). Pokazana je veza između kumulativne doze i brzine pojave meningeoma.</w:t>
      </w:r>
    </w:p>
    <w:p w14:paraId="0650396D"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p>
    <w:tbl>
      <w:tblPr>
        <w:tblStyle w:val="TableGrid"/>
        <w:tblW w:w="0" w:type="auto"/>
        <w:tblLook w:val="04A0" w:firstRow="1" w:lastRow="0" w:firstColumn="1" w:lastColumn="0" w:noHBand="0" w:noVBand="1"/>
      </w:tblPr>
      <w:tblGrid>
        <w:gridCol w:w="3215"/>
        <w:gridCol w:w="3205"/>
        <w:gridCol w:w="3209"/>
      </w:tblGrid>
      <w:tr w:rsidR="001A01AF" w:rsidRPr="00026B48" w14:paraId="28B864DF" w14:textId="77777777" w:rsidTr="001A01AF">
        <w:tc>
          <w:tcPr>
            <w:tcW w:w="3285" w:type="dxa"/>
          </w:tcPr>
          <w:p w14:paraId="4EB7C20B" w14:textId="77777777" w:rsidR="001A01AF" w:rsidRPr="00026B48" w:rsidRDefault="001A01AF" w:rsidP="00AB025E">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Kumulativna doza ciproteronacetata</w:t>
            </w:r>
          </w:p>
        </w:tc>
        <w:tc>
          <w:tcPr>
            <w:tcW w:w="3285" w:type="dxa"/>
          </w:tcPr>
          <w:p w14:paraId="7A9C09B7"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Incidenca (u pacijent-godinama)</w:t>
            </w:r>
          </w:p>
        </w:tc>
        <w:tc>
          <w:tcPr>
            <w:tcW w:w="3285" w:type="dxa"/>
          </w:tcPr>
          <w:p w14:paraId="4F2DBCFF"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HRprilagođeno (95% CI)</w:t>
            </w:r>
            <w:r w:rsidRPr="00026B48">
              <w:rPr>
                <w:rFonts w:ascii="Times New Roman" w:hAnsi="Times New Roman" w:cs="Times New Roman"/>
                <w:noProof/>
                <w:sz w:val="22"/>
                <w:szCs w:val="22"/>
                <w:vertAlign w:val="superscript"/>
                <w:lang w:val="sr-Latn-ME"/>
              </w:rPr>
              <w:t>a</w:t>
            </w:r>
          </w:p>
        </w:tc>
      </w:tr>
      <w:tr w:rsidR="001A01AF" w:rsidRPr="00026B48" w14:paraId="2EAB1DA1" w14:textId="77777777" w:rsidTr="001A01AF">
        <w:tc>
          <w:tcPr>
            <w:tcW w:w="3285" w:type="dxa"/>
          </w:tcPr>
          <w:p w14:paraId="45027782"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Niska izloženost (&lt;3 g)</w:t>
            </w:r>
          </w:p>
        </w:tc>
        <w:tc>
          <w:tcPr>
            <w:tcW w:w="3285" w:type="dxa"/>
          </w:tcPr>
          <w:p w14:paraId="0AAF8E6C"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4,5/100.000</w:t>
            </w:r>
          </w:p>
        </w:tc>
        <w:tc>
          <w:tcPr>
            <w:tcW w:w="3285" w:type="dxa"/>
          </w:tcPr>
          <w:p w14:paraId="0BF770B2"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Ref.</w:t>
            </w:r>
          </w:p>
        </w:tc>
      </w:tr>
      <w:tr w:rsidR="001A01AF" w:rsidRPr="00026B48" w14:paraId="2D154661" w14:textId="77777777" w:rsidTr="001A01AF">
        <w:tc>
          <w:tcPr>
            <w:tcW w:w="3285" w:type="dxa"/>
          </w:tcPr>
          <w:p w14:paraId="759C6F78"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Visoka izloženost (&gt;3 g)</w:t>
            </w:r>
          </w:p>
        </w:tc>
        <w:tc>
          <w:tcPr>
            <w:tcW w:w="3285" w:type="dxa"/>
          </w:tcPr>
          <w:p w14:paraId="0D6D4176"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23,8/100.000</w:t>
            </w:r>
          </w:p>
        </w:tc>
        <w:tc>
          <w:tcPr>
            <w:tcW w:w="3285" w:type="dxa"/>
          </w:tcPr>
          <w:p w14:paraId="337510E1"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6,6 [4,0-11,1]</w:t>
            </w:r>
          </w:p>
        </w:tc>
      </w:tr>
      <w:tr w:rsidR="001A01AF" w:rsidRPr="00026B48" w14:paraId="7F7A2194" w14:textId="77777777" w:rsidTr="001A01AF">
        <w:tc>
          <w:tcPr>
            <w:tcW w:w="3285" w:type="dxa"/>
          </w:tcPr>
          <w:p w14:paraId="2439CB63"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ab/>
              <w:t>12 do 36 g</w:t>
            </w:r>
          </w:p>
        </w:tc>
        <w:tc>
          <w:tcPr>
            <w:tcW w:w="3285" w:type="dxa"/>
          </w:tcPr>
          <w:p w14:paraId="583C47C4"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26/100.000</w:t>
            </w:r>
          </w:p>
        </w:tc>
        <w:tc>
          <w:tcPr>
            <w:tcW w:w="3285" w:type="dxa"/>
          </w:tcPr>
          <w:p w14:paraId="1B9A09E4"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6,4 [3,6-11,5]</w:t>
            </w:r>
          </w:p>
        </w:tc>
      </w:tr>
      <w:tr w:rsidR="001A01AF" w:rsidRPr="00026B48" w14:paraId="0DD293C9" w14:textId="77777777" w:rsidTr="001A01AF">
        <w:tc>
          <w:tcPr>
            <w:tcW w:w="3285" w:type="dxa"/>
          </w:tcPr>
          <w:p w14:paraId="0B671BFC"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ab/>
              <w:t>36 do 60 g</w:t>
            </w:r>
          </w:p>
        </w:tc>
        <w:tc>
          <w:tcPr>
            <w:tcW w:w="3285" w:type="dxa"/>
          </w:tcPr>
          <w:p w14:paraId="0DA957B6"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54,4/100.000</w:t>
            </w:r>
          </w:p>
        </w:tc>
        <w:tc>
          <w:tcPr>
            <w:tcW w:w="3285" w:type="dxa"/>
          </w:tcPr>
          <w:p w14:paraId="34968755"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11,3 [5.8-22,2]</w:t>
            </w:r>
          </w:p>
        </w:tc>
      </w:tr>
      <w:tr w:rsidR="001A01AF" w:rsidRPr="00026B48" w14:paraId="2A7EE349" w14:textId="77777777" w:rsidTr="001A01AF">
        <w:tc>
          <w:tcPr>
            <w:tcW w:w="3285" w:type="dxa"/>
          </w:tcPr>
          <w:p w14:paraId="627C3992"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ab/>
              <w:t>više od 60 g</w:t>
            </w:r>
          </w:p>
        </w:tc>
        <w:tc>
          <w:tcPr>
            <w:tcW w:w="3285" w:type="dxa"/>
          </w:tcPr>
          <w:p w14:paraId="52B96EAE"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129,1/100.000</w:t>
            </w:r>
          </w:p>
        </w:tc>
        <w:tc>
          <w:tcPr>
            <w:tcW w:w="3285" w:type="dxa"/>
          </w:tcPr>
          <w:p w14:paraId="2ED7DE7B"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21,7 [10,8-43,5]</w:t>
            </w:r>
          </w:p>
        </w:tc>
      </w:tr>
    </w:tbl>
    <w:p w14:paraId="60E22FC0" w14:textId="22B7E5D7" w:rsidR="001A01AF" w:rsidRPr="00026B48" w:rsidRDefault="001A01AF">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vertAlign w:val="superscript"/>
          <w:lang w:val="sr-Latn-ME"/>
        </w:rPr>
        <w:t>a</w:t>
      </w:r>
      <w:r w:rsidRPr="00026B48">
        <w:rPr>
          <w:rFonts w:ascii="Times New Roman" w:hAnsi="Times New Roman" w:cs="Times New Roman"/>
          <w:noProof/>
          <w:sz w:val="22"/>
          <w:szCs w:val="22"/>
          <w:lang w:val="sr-Latn-ME"/>
        </w:rPr>
        <w:t xml:space="preserve"> Prilagođeno prema starosti pacijenta, kao vremenski zavisna promenljiva i estrogen na početku prim</w:t>
      </w:r>
      <w:r w:rsidR="00B84036" w:rsidRPr="00026B48">
        <w:rPr>
          <w:rFonts w:ascii="Times New Roman" w:hAnsi="Times New Roman" w:cs="Times New Roman"/>
          <w:noProof/>
          <w:sz w:val="22"/>
          <w:szCs w:val="22"/>
          <w:lang w:val="sr-Latn-ME"/>
        </w:rPr>
        <w:t>j</w:t>
      </w:r>
      <w:r w:rsidRPr="00026B48">
        <w:rPr>
          <w:rFonts w:ascii="Times New Roman" w:hAnsi="Times New Roman" w:cs="Times New Roman"/>
          <w:noProof/>
          <w:sz w:val="22"/>
          <w:szCs w:val="22"/>
          <w:lang w:val="sr-Latn-ME"/>
        </w:rPr>
        <w:t>ene.</w:t>
      </w:r>
    </w:p>
    <w:p w14:paraId="604EB67C" w14:textId="77777777" w:rsidR="001A01AF" w:rsidRPr="00026B48" w:rsidRDefault="001A01AF">
      <w:pPr>
        <w:pStyle w:val="MusterTitel"/>
        <w:spacing w:before="0" w:after="0"/>
        <w:ind w:left="0"/>
        <w:jc w:val="both"/>
        <w:rPr>
          <w:rFonts w:ascii="Times New Roman" w:hAnsi="Times New Roman" w:cs="Times New Roman"/>
          <w:noProof/>
          <w:sz w:val="22"/>
          <w:szCs w:val="22"/>
          <w:lang w:val="sr-Latn-ME"/>
        </w:rPr>
      </w:pPr>
    </w:p>
    <w:p w14:paraId="13200127" w14:textId="0AC6327E" w:rsidR="001A01AF" w:rsidRPr="00026B48" w:rsidRDefault="00B84036">
      <w:pPr>
        <w:pStyle w:val="MusterTitel"/>
        <w:spacing w:before="0" w:after="0"/>
        <w:ind w:left="0"/>
        <w:jc w:val="both"/>
        <w:rPr>
          <w:rFonts w:ascii="Times New Roman" w:hAnsi="Times New Roman" w:cs="Times New Roman"/>
          <w:noProof/>
          <w:sz w:val="22"/>
          <w:szCs w:val="22"/>
          <w:lang w:val="sr-Latn-ME"/>
        </w:rPr>
      </w:pPr>
      <w:r w:rsidRPr="00026B48">
        <w:rPr>
          <w:rFonts w:ascii="Times New Roman" w:hAnsi="Times New Roman" w:cs="Times New Roman"/>
          <w:noProof/>
          <w:sz w:val="22"/>
          <w:szCs w:val="22"/>
          <w:lang w:val="sr-Latn-ME"/>
        </w:rPr>
        <w:t>Na primjer, k</w:t>
      </w:r>
      <w:r w:rsidR="001A01AF" w:rsidRPr="00026B48">
        <w:rPr>
          <w:rFonts w:ascii="Times New Roman" w:hAnsi="Times New Roman" w:cs="Times New Roman"/>
          <w:noProof/>
          <w:sz w:val="22"/>
          <w:szCs w:val="22"/>
          <w:lang w:val="sr-Latn-ME"/>
        </w:rPr>
        <w:t>umulativna doza od 12 g</w:t>
      </w:r>
      <w:r w:rsidRPr="00026B48">
        <w:rPr>
          <w:rFonts w:ascii="Times New Roman" w:hAnsi="Times New Roman" w:cs="Times New Roman"/>
          <w:noProof/>
          <w:sz w:val="22"/>
          <w:szCs w:val="22"/>
          <w:lang w:val="sr-Latn-ME"/>
        </w:rPr>
        <w:t xml:space="preserve"> odgovara jednogodišnjoj terapiji od 50 mg/dan tokom </w:t>
      </w:r>
      <w:r w:rsidR="001A01AF" w:rsidRPr="00026B48">
        <w:rPr>
          <w:rFonts w:ascii="Times New Roman" w:hAnsi="Times New Roman" w:cs="Times New Roman"/>
          <w:noProof/>
          <w:sz w:val="22"/>
          <w:szCs w:val="22"/>
          <w:lang w:val="sr-Latn-ME"/>
        </w:rPr>
        <w:t>dvadeset dana m</w:t>
      </w:r>
      <w:r w:rsidRPr="00026B48">
        <w:rPr>
          <w:rFonts w:ascii="Times New Roman" w:hAnsi="Times New Roman" w:cs="Times New Roman"/>
          <w:noProof/>
          <w:sz w:val="22"/>
          <w:szCs w:val="22"/>
          <w:lang w:val="sr-Latn-ME"/>
        </w:rPr>
        <w:t>j</w:t>
      </w:r>
      <w:r w:rsidR="001A01AF" w:rsidRPr="00026B48">
        <w:rPr>
          <w:rFonts w:ascii="Times New Roman" w:hAnsi="Times New Roman" w:cs="Times New Roman"/>
          <w:noProof/>
          <w:sz w:val="22"/>
          <w:szCs w:val="22"/>
          <w:lang w:val="sr-Latn-ME"/>
        </w:rPr>
        <w:t>esečno.</w:t>
      </w:r>
    </w:p>
    <w:p w14:paraId="166F3DD3" w14:textId="77777777" w:rsidR="00FA0197" w:rsidRPr="00026B48" w:rsidRDefault="00FA0197">
      <w:pPr>
        <w:rPr>
          <w:b/>
          <w:color w:val="000000" w:themeColor="text1"/>
          <w:szCs w:val="22"/>
          <w:lang w:val="sr-Latn-ME"/>
        </w:rPr>
      </w:pPr>
    </w:p>
    <w:p w14:paraId="166F3DD4" w14:textId="77777777" w:rsidR="00CE09F3" w:rsidRPr="00026B48" w:rsidRDefault="008C4083">
      <w:pPr>
        <w:rPr>
          <w:b/>
          <w:bCs/>
          <w:color w:val="000000" w:themeColor="text1"/>
          <w:szCs w:val="22"/>
          <w:lang w:val="sr-Latn-ME"/>
        </w:rPr>
      </w:pPr>
      <w:r w:rsidRPr="00026B48">
        <w:rPr>
          <w:b/>
          <w:bCs/>
          <w:color w:val="000000" w:themeColor="text1"/>
          <w:szCs w:val="22"/>
          <w:lang w:val="sr-Latn-ME"/>
        </w:rPr>
        <w:t>5.2. Farmakokinetički podaci</w:t>
      </w:r>
    </w:p>
    <w:p w14:paraId="166F3DD5" w14:textId="77777777" w:rsidR="00CE09F3" w:rsidRPr="00026B48" w:rsidRDefault="00CE09F3">
      <w:pPr>
        <w:rPr>
          <w:color w:val="000000" w:themeColor="text1"/>
          <w:szCs w:val="22"/>
          <w:lang w:val="sr-Latn-ME"/>
        </w:rPr>
      </w:pPr>
    </w:p>
    <w:p w14:paraId="166F3DD6" w14:textId="77777777" w:rsidR="008D5B24" w:rsidRPr="00026B48" w:rsidRDefault="008C4083">
      <w:pPr>
        <w:rPr>
          <w:b/>
          <w:color w:val="000000" w:themeColor="text1"/>
          <w:szCs w:val="22"/>
          <w:lang w:val="sr-Latn-ME"/>
        </w:rPr>
      </w:pPr>
      <w:r w:rsidRPr="00026B48">
        <w:rPr>
          <w:b/>
          <w:bCs/>
          <w:color w:val="000000" w:themeColor="text1"/>
          <w:szCs w:val="22"/>
          <w:lang w:val="sr-Latn-ME"/>
        </w:rPr>
        <w:t>Resorpcija</w:t>
      </w:r>
    </w:p>
    <w:p w14:paraId="166F3DD7" w14:textId="77777777" w:rsidR="008D5B24" w:rsidRPr="00026B48" w:rsidRDefault="008C4083">
      <w:pPr>
        <w:rPr>
          <w:color w:val="000000" w:themeColor="text1"/>
          <w:szCs w:val="22"/>
          <w:lang w:val="sr-Latn-ME"/>
        </w:rPr>
      </w:pPr>
      <w:r w:rsidRPr="00026B48">
        <w:rPr>
          <w:color w:val="000000" w:themeColor="text1"/>
          <w:szCs w:val="22"/>
          <w:lang w:val="sr-Latn-ME"/>
        </w:rPr>
        <w:t>Nakon oralne primjene ciproteronacetat se u potpunosti resorbuje u velikom rasponu doza. Apsolutna bioraspoloživost ciproteronacetata je skoro potpuna (88% primijenjene doze).</w:t>
      </w:r>
    </w:p>
    <w:p w14:paraId="166F3DD9" w14:textId="720E9196" w:rsidR="008D5B24" w:rsidRPr="00026B48" w:rsidRDefault="008C4083">
      <w:pPr>
        <w:rPr>
          <w:b/>
          <w:color w:val="000000" w:themeColor="text1"/>
          <w:szCs w:val="22"/>
          <w:lang w:val="sr-Latn-ME"/>
        </w:rPr>
      </w:pPr>
      <w:r w:rsidRPr="00026B48">
        <w:rPr>
          <w:b/>
          <w:bCs/>
          <w:color w:val="000000" w:themeColor="text1"/>
          <w:szCs w:val="22"/>
          <w:lang w:val="sr-Latn-ME"/>
        </w:rPr>
        <w:lastRenderedPageBreak/>
        <w:t>Distribucija</w:t>
      </w:r>
    </w:p>
    <w:p w14:paraId="166F3DDA" w14:textId="2E120706" w:rsidR="008D5B24" w:rsidRPr="00026B48" w:rsidRDefault="008C4083">
      <w:pPr>
        <w:rPr>
          <w:color w:val="000000" w:themeColor="text1"/>
          <w:szCs w:val="22"/>
          <w:lang w:val="sr-Latn-ME"/>
        </w:rPr>
      </w:pPr>
      <w:r w:rsidRPr="00026B48">
        <w:rPr>
          <w:color w:val="000000" w:themeColor="text1"/>
          <w:szCs w:val="22"/>
          <w:lang w:val="sr-Latn-ME"/>
        </w:rPr>
        <w:t xml:space="preserve">Ingestija </w:t>
      </w:r>
      <w:r w:rsidRPr="00026B48">
        <w:rPr>
          <w:szCs w:val="22"/>
          <w:lang w:val="sr-Latn-ME"/>
        </w:rPr>
        <w:t>dvije</w:t>
      </w:r>
      <w:r w:rsidRPr="00026B48">
        <w:rPr>
          <w:color w:val="000000" w:themeColor="text1"/>
          <w:szCs w:val="22"/>
          <w:lang w:val="sr-Latn-ME"/>
        </w:rPr>
        <w:t xml:space="preserve"> tablete od 50 mg ciproteronacetata daje maksimalan nivo u serumu od oko 285 nanograma/m</w:t>
      </w:r>
      <w:r w:rsidR="00071387" w:rsidRPr="00026B48">
        <w:rPr>
          <w:color w:val="000000" w:themeColor="text1"/>
          <w:szCs w:val="22"/>
          <w:lang w:val="sr-Latn-ME"/>
        </w:rPr>
        <w:t>l</w:t>
      </w:r>
      <w:r w:rsidRPr="00026B48">
        <w:rPr>
          <w:color w:val="000000" w:themeColor="text1"/>
          <w:szCs w:val="22"/>
          <w:lang w:val="sr-Latn-ME"/>
        </w:rPr>
        <w:t xml:space="preserve"> za oko 3 sata. Posle toga nivo lijeka u serumu opada tokom vremenskog intervala otprilike 24 do 120 h, uz poluvrijeme eliminacije od 43,9 ± 12,8 h. Ukupan klirens ciproteronacetata iz seruma je 3,5 ± 1,5 m</w:t>
      </w:r>
      <w:r w:rsidR="00071387" w:rsidRPr="00026B48">
        <w:rPr>
          <w:color w:val="000000" w:themeColor="text1"/>
          <w:szCs w:val="22"/>
          <w:lang w:val="sr-Latn-ME"/>
        </w:rPr>
        <w:t>l</w:t>
      </w:r>
      <w:r w:rsidRPr="00026B48">
        <w:rPr>
          <w:color w:val="000000" w:themeColor="text1"/>
          <w:szCs w:val="22"/>
          <w:lang w:val="sr-Latn-ME"/>
        </w:rPr>
        <w:t xml:space="preserve">/min/kg. </w:t>
      </w:r>
    </w:p>
    <w:p w14:paraId="166F3DDB" w14:textId="77777777" w:rsidR="008D5B24" w:rsidRPr="00026B48" w:rsidRDefault="008D5B24">
      <w:pPr>
        <w:rPr>
          <w:color w:val="000000" w:themeColor="text1"/>
          <w:szCs w:val="22"/>
          <w:lang w:val="sr-Latn-ME"/>
        </w:rPr>
      </w:pPr>
    </w:p>
    <w:p w14:paraId="166F3DDC" w14:textId="77777777" w:rsidR="005C44CE" w:rsidRPr="00026B48" w:rsidRDefault="008C4083" w:rsidP="00AB025E">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 xml:space="preserve">Ciproteronacetat se gotovo u potpunosti vezuje za albumin u plazmi. Oko 3,5 – 4 % ukupne koncentracije lijeka je prisutno u nevezanom obliku. Pošto je vezivanje za proteine nespecifično, promjene u nivou SHBG (globulina koji vezuje polne hormone) ne utiče na farmakokinetiku ciproteronacetata. </w:t>
      </w:r>
    </w:p>
    <w:p w14:paraId="166F3DDD" w14:textId="77777777" w:rsidR="005C44CE" w:rsidRPr="00026B48" w:rsidRDefault="005C44CE" w:rsidP="00AB025E">
      <w:pPr>
        <w:tabs>
          <w:tab w:val="clear" w:pos="284"/>
        </w:tabs>
        <w:autoSpaceDE w:val="0"/>
        <w:autoSpaceDN w:val="0"/>
        <w:adjustRightInd w:val="0"/>
        <w:rPr>
          <w:color w:val="000000" w:themeColor="text1"/>
          <w:szCs w:val="22"/>
          <w:lang w:val="sr-Latn-ME"/>
        </w:rPr>
      </w:pPr>
    </w:p>
    <w:p w14:paraId="166F3DDE"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Sudeći prema dugom poluvremenu eliminacije, pri dnevnom unosu se može očekivati otprilike faktor 3 nakupljanja ciproteronacetata u serumu tokom terapijskog ciklusa.</w:t>
      </w:r>
    </w:p>
    <w:p w14:paraId="166F3DDF" w14:textId="77777777" w:rsidR="008D5B24" w:rsidRPr="00026B48" w:rsidRDefault="008D5B24">
      <w:pPr>
        <w:rPr>
          <w:color w:val="000000" w:themeColor="text1"/>
          <w:szCs w:val="22"/>
          <w:lang w:val="sr-Latn-ME"/>
        </w:rPr>
      </w:pPr>
    </w:p>
    <w:p w14:paraId="166F3DE0" w14:textId="77777777" w:rsidR="008D5B24" w:rsidRPr="00026B48" w:rsidRDefault="008C4083" w:rsidP="00AB025E">
      <w:pPr>
        <w:pStyle w:val="Header"/>
        <w:tabs>
          <w:tab w:val="clear" w:pos="4536"/>
          <w:tab w:val="clear" w:pos="9072"/>
          <w:tab w:val="left" w:pos="284"/>
        </w:tabs>
        <w:rPr>
          <w:b/>
          <w:color w:val="000000" w:themeColor="text1"/>
          <w:szCs w:val="22"/>
          <w:lang w:val="sr-Latn-ME"/>
        </w:rPr>
      </w:pPr>
      <w:r w:rsidRPr="00026B48">
        <w:rPr>
          <w:b/>
          <w:bCs/>
          <w:color w:val="000000" w:themeColor="text1"/>
          <w:szCs w:val="22"/>
          <w:lang w:val="sr-Latn-ME"/>
        </w:rPr>
        <w:t>Metabolizam</w:t>
      </w:r>
    </w:p>
    <w:p w14:paraId="166F3DE1" w14:textId="04A449D3"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Ciproteronacetat se metaboliše različitim putevima, uključujući hidroksilaciju i konjugaciju. Glavni metabolit u humanoj plazmi je 15</w:t>
      </w:r>
      <w:r w:rsidR="00071387" w:rsidRPr="00026B48">
        <w:rPr>
          <w:color w:val="000000" w:themeColor="text1"/>
          <w:szCs w:val="22"/>
          <w:lang w:val="sr-Latn-ME"/>
        </w:rPr>
        <w:t>-</w:t>
      </w:r>
      <w:r w:rsidRPr="00026B48">
        <w:rPr>
          <w:color w:val="000000" w:themeColor="text1"/>
          <w:szCs w:val="22"/>
          <w:lang w:val="sr-Latn-ME"/>
        </w:rPr>
        <w:t xml:space="preserve">ß-hidroksi derivat. U fazi 1 metabolizma, katabolizam ciproteronacetat se najvećim dijelom </w:t>
      </w:r>
      <w:r w:rsidR="00071387" w:rsidRPr="00026B48">
        <w:rPr>
          <w:color w:val="000000" w:themeColor="text1"/>
          <w:szCs w:val="22"/>
          <w:lang w:val="sr-Latn-ME"/>
        </w:rPr>
        <w:t>metaboliše</w:t>
      </w:r>
      <w:r w:rsidRPr="00026B48">
        <w:rPr>
          <w:color w:val="000000" w:themeColor="text1"/>
          <w:szCs w:val="22"/>
          <w:lang w:val="sr-Latn-ME"/>
        </w:rPr>
        <w:t xml:space="preserve"> putem citohorma P450 enzima CYP3A4. </w:t>
      </w:r>
    </w:p>
    <w:p w14:paraId="166F3DE2" w14:textId="77777777" w:rsidR="008D5B24" w:rsidRPr="00026B48" w:rsidRDefault="008D5B24" w:rsidP="00AB025E">
      <w:pPr>
        <w:tabs>
          <w:tab w:val="clear" w:pos="284"/>
        </w:tabs>
        <w:autoSpaceDE w:val="0"/>
        <w:autoSpaceDN w:val="0"/>
        <w:adjustRightInd w:val="0"/>
        <w:rPr>
          <w:color w:val="000000" w:themeColor="text1"/>
          <w:szCs w:val="22"/>
          <w:lang w:val="sr-Latn-ME"/>
        </w:rPr>
      </w:pPr>
    </w:p>
    <w:p w14:paraId="166F3DE3" w14:textId="77777777" w:rsidR="008D5B24" w:rsidRPr="00026B48" w:rsidRDefault="008C4083" w:rsidP="00AB025E">
      <w:pPr>
        <w:tabs>
          <w:tab w:val="clear" w:pos="284"/>
        </w:tabs>
        <w:autoSpaceDE w:val="0"/>
        <w:autoSpaceDN w:val="0"/>
        <w:adjustRightInd w:val="0"/>
        <w:rPr>
          <w:b/>
          <w:color w:val="000000" w:themeColor="text1"/>
          <w:szCs w:val="22"/>
          <w:lang w:val="sr-Latn-ME"/>
        </w:rPr>
      </w:pPr>
      <w:r w:rsidRPr="00026B48">
        <w:rPr>
          <w:b/>
          <w:bCs/>
          <w:color w:val="000000" w:themeColor="text1"/>
          <w:szCs w:val="22"/>
          <w:lang w:val="sr-Latn-ME"/>
        </w:rPr>
        <w:t>Eliminacija</w:t>
      </w:r>
    </w:p>
    <w:p w14:paraId="166F3DE4" w14:textId="77777777" w:rsidR="008D5B24" w:rsidRPr="00026B48" w:rsidRDefault="008C4083" w:rsidP="00AB025E">
      <w:pPr>
        <w:pStyle w:val="Header"/>
        <w:tabs>
          <w:tab w:val="clear" w:pos="4536"/>
          <w:tab w:val="clear" w:pos="9072"/>
          <w:tab w:val="left" w:pos="284"/>
        </w:tabs>
        <w:rPr>
          <w:color w:val="000000" w:themeColor="text1"/>
          <w:szCs w:val="22"/>
          <w:lang w:val="sr-Latn-ME"/>
        </w:rPr>
      </w:pPr>
      <w:r w:rsidRPr="00026B48">
        <w:rPr>
          <w:color w:val="000000" w:themeColor="text1"/>
          <w:szCs w:val="22"/>
          <w:lang w:val="sr-Latn-ME"/>
        </w:rPr>
        <w:t>Jedan dio lijeka se izlučuje u nepromijenjenom obliku putem žuči. Najveći dio primijenjene doze se izlučuje u obliku metabolita putem urina i žuči u odnosu 3:7. Izlučivanje putem bubrega i žuči se odvija uz poluvrijeme eliminacije od 1,9 dana. Metaboliti iz plazme se eliminišu sličnom brzinom (poluvrijeme eliminacije od 1,7 dana).</w:t>
      </w:r>
    </w:p>
    <w:p w14:paraId="166F3DE5" w14:textId="77777777" w:rsidR="008D5B24" w:rsidRPr="00026B48" w:rsidRDefault="008D5B24">
      <w:pPr>
        <w:rPr>
          <w:color w:val="000000" w:themeColor="text1"/>
          <w:szCs w:val="22"/>
          <w:lang w:val="sr-Latn-ME"/>
        </w:rPr>
      </w:pPr>
    </w:p>
    <w:p w14:paraId="166F3DE6" w14:textId="43011B3C" w:rsidR="00CE09F3" w:rsidRPr="00026B48" w:rsidRDefault="008C4083">
      <w:pPr>
        <w:rPr>
          <w:b/>
          <w:bCs/>
          <w:color w:val="000000" w:themeColor="text1"/>
          <w:szCs w:val="22"/>
          <w:lang w:val="sr-Latn-ME"/>
        </w:rPr>
      </w:pPr>
      <w:r w:rsidRPr="00026B48">
        <w:rPr>
          <w:b/>
          <w:bCs/>
          <w:color w:val="000000" w:themeColor="text1"/>
          <w:szCs w:val="22"/>
          <w:lang w:val="sr-Latn-ME"/>
        </w:rPr>
        <w:t>5.3. Pretklinički podaci o bezbjednosti</w:t>
      </w:r>
    </w:p>
    <w:p w14:paraId="166F3DE7" w14:textId="77777777" w:rsidR="00CE09F3" w:rsidRPr="00026B48" w:rsidRDefault="00CE09F3">
      <w:pPr>
        <w:rPr>
          <w:color w:val="000000" w:themeColor="text1"/>
          <w:szCs w:val="22"/>
          <w:lang w:val="sr-Latn-ME"/>
        </w:rPr>
      </w:pPr>
    </w:p>
    <w:p w14:paraId="166F3DE8" w14:textId="77777777" w:rsidR="008D5B24" w:rsidRPr="00026B48" w:rsidRDefault="008C4083">
      <w:pPr>
        <w:rPr>
          <w:b/>
          <w:color w:val="000000" w:themeColor="text1"/>
          <w:szCs w:val="22"/>
          <w:lang w:val="sr-Latn-ME"/>
        </w:rPr>
      </w:pPr>
      <w:r w:rsidRPr="00026B48">
        <w:rPr>
          <w:b/>
          <w:bCs/>
          <w:color w:val="000000" w:themeColor="text1"/>
          <w:szCs w:val="22"/>
          <w:lang w:val="sr-Latn-ME"/>
        </w:rPr>
        <w:t>Sistemska toksičnost</w:t>
      </w:r>
    </w:p>
    <w:p w14:paraId="166F3DE9"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Pretklinički podaci konvencionalnih studija ukazuju da ne postoji poseban rizik od toksičnosti kod ljudi nakon primjene ponovljenih doza.</w:t>
      </w:r>
    </w:p>
    <w:p w14:paraId="166F3DEA" w14:textId="77777777" w:rsidR="008D5B24" w:rsidRPr="00026B48" w:rsidRDefault="008D5B24" w:rsidP="00AB025E">
      <w:pPr>
        <w:tabs>
          <w:tab w:val="clear" w:pos="284"/>
        </w:tabs>
        <w:autoSpaceDE w:val="0"/>
        <w:autoSpaceDN w:val="0"/>
        <w:adjustRightInd w:val="0"/>
        <w:rPr>
          <w:color w:val="000000" w:themeColor="text1"/>
          <w:szCs w:val="22"/>
          <w:lang w:val="sr-Latn-ME"/>
        </w:rPr>
      </w:pPr>
    </w:p>
    <w:p w14:paraId="166F3DEB" w14:textId="77777777" w:rsidR="008D5B24" w:rsidRPr="00026B48" w:rsidRDefault="008C4083" w:rsidP="00AB025E">
      <w:pPr>
        <w:tabs>
          <w:tab w:val="clear" w:pos="284"/>
        </w:tabs>
        <w:autoSpaceDE w:val="0"/>
        <w:autoSpaceDN w:val="0"/>
        <w:adjustRightInd w:val="0"/>
        <w:rPr>
          <w:b/>
          <w:iCs/>
          <w:color w:val="000000" w:themeColor="text1"/>
          <w:szCs w:val="22"/>
          <w:lang w:val="sr-Latn-ME"/>
        </w:rPr>
      </w:pPr>
      <w:r w:rsidRPr="00026B48">
        <w:rPr>
          <w:b/>
          <w:bCs/>
          <w:color w:val="000000" w:themeColor="text1"/>
          <w:szCs w:val="22"/>
          <w:lang w:val="sr-Latn-ME"/>
        </w:rPr>
        <w:t>Embriotoksičnost/teratogenost</w:t>
      </w:r>
    </w:p>
    <w:p w14:paraId="166F3DEC"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 xml:space="preserve">Istraživanja embriotoksičnosti nijesu pokazala teratogeni efekat nakon terapije u periodu organogeneze prije razvoja eksternih genitalnih organa. Primjena visokih doza ciproteronacetata tokom hormon-senzitivne faze diferencijacije genitalnih organa dovodi do pojave znakova feminizacije muških fetusa. Praćenjem muške novorođenčadi koja su bila izložena </w:t>
      </w:r>
      <w:r w:rsidRPr="00026B48">
        <w:rPr>
          <w:i/>
          <w:iCs/>
          <w:color w:val="000000" w:themeColor="text1"/>
          <w:szCs w:val="22"/>
          <w:lang w:val="sr-Latn-ME"/>
        </w:rPr>
        <w:t>in utero</w:t>
      </w:r>
      <w:r w:rsidRPr="00026B48">
        <w:rPr>
          <w:color w:val="000000" w:themeColor="text1"/>
          <w:szCs w:val="22"/>
          <w:lang w:val="sr-Latn-ME"/>
        </w:rPr>
        <w:t xml:space="preserve"> dejstvu ciproteronacetata nijesu utvrđeni znaci feminizacije. Ipak, lijek Androcur je kontraindikovan u trudnoći.</w:t>
      </w:r>
    </w:p>
    <w:p w14:paraId="166F3DED" w14:textId="77777777" w:rsidR="008D5B24" w:rsidRPr="00026B48" w:rsidRDefault="008D5B24" w:rsidP="00AB025E">
      <w:pPr>
        <w:tabs>
          <w:tab w:val="clear" w:pos="284"/>
        </w:tabs>
        <w:autoSpaceDE w:val="0"/>
        <w:autoSpaceDN w:val="0"/>
        <w:adjustRightInd w:val="0"/>
        <w:rPr>
          <w:color w:val="000000" w:themeColor="text1"/>
          <w:szCs w:val="22"/>
          <w:lang w:val="sr-Latn-ME"/>
        </w:rPr>
      </w:pPr>
    </w:p>
    <w:p w14:paraId="166F3DEE" w14:textId="77777777" w:rsidR="008D5B24" w:rsidRPr="00026B48" w:rsidRDefault="008C4083" w:rsidP="00AB025E">
      <w:pPr>
        <w:tabs>
          <w:tab w:val="clear" w:pos="284"/>
        </w:tabs>
        <w:autoSpaceDE w:val="0"/>
        <w:autoSpaceDN w:val="0"/>
        <w:adjustRightInd w:val="0"/>
        <w:rPr>
          <w:b/>
          <w:iCs/>
          <w:color w:val="000000" w:themeColor="text1"/>
          <w:szCs w:val="22"/>
          <w:lang w:val="sr-Latn-ME"/>
        </w:rPr>
      </w:pPr>
      <w:r w:rsidRPr="00026B48">
        <w:rPr>
          <w:b/>
          <w:bCs/>
          <w:color w:val="000000" w:themeColor="text1"/>
          <w:szCs w:val="22"/>
          <w:lang w:val="sr-Latn-ME"/>
        </w:rPr>
        <w:t>Reproduktivna toksičnost</w:t>
      </w:r>
    </w:p>
    <w:p w14:paraId="166F3DEF"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Privremena inhibicija fertiliteta kod mužjaka pacova, nastala usljed svakodnevne oralne primjene lijeka, nije pokazala da terapija ciproteronacetatom dovodi do oštećenja spermatozoida što može dovesti do malformacija ili problema sa fertilitetom kod potomstva.</w:t>
      </w:r>
    </w:p>
    <w:p w14:paraId="166F3DF0" w14:textId="77777777" w:rsidR="008D5B24" w:rsidRPr="00026B48" w:rsidRDefault="008D5B24" w:rsidP="00AB025E">
      <w:pPr>
        <w:tabs>
          <w:tab w:val="clear" w:pos="284"/>
        </w:tabs>
        <w:autoSpaceDE w:val="0"/>
        <w:autoSpaceDN w:val="0"/>
        <w:adjustRightInd w:val="0"/>
        <w:rPr>
          <w:b/>
          <w:bCs/>
          <w:color w:val="000000" w:themeColor="text1"/>
          <w:szCs w:val="22"/>
          <w:lang w:val="sr-Latn-ME"/>
        </w:rPr>
      </w:pPr>
    </w:p>
    <w:p w14:paraId="166F3DF1" w14:textId="77777777" w:rsidR="008D5B24" w:rsidRPr="00026B48" w:rsidRDefault="008C4083" w:rsidP="00AB025E">
      <w:pPr>
        <w:tabs>
          <w:tab w:val="clear" w:pos="284"/>
        </w:tabs>
        <w:autoSpaceDE w:val="0"/>
        <w:autoSpaceDN w:val="0"/>
        <w:adjustRightInd w:val="0"/>
        <w:rPr>
          <w:b/>
          <w:iCs/>
          <w:color w:val="000000" w:themeColor="text1"/>
          <w:szCs w:val="22"/>
          <w:lang w:val="sr-Latn-ME"/>
        </w:rPr>
      </w:pPr>
      <w:r w:rsidRPr="00026B48">
        <w:rPr>
          <w:b/>
          <w:bCs/>
          <w:color w:val="000000" w:themeColor="text1"/>
          <w:szCs w:val="22"/>
          <w:lang w:val="sr-Latn-ME"/>
        </w:rPr>
        <w:t>Genotoksičnost i karcinogeni potencijal</w:t>
      </w:r>
    </w:p>
    <w:p w14:paraId="166F3DF2"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Prvi priznati testovi genotoksičnosti ciproteronacetata dali su negativne rezultate. Međutim, u daljim testovima se pokazalo da ciproteronacetat može da stvara adukte sa DNK (i povećava reparativnu funkciju DNK) u ćelijama jetre kod pacova i majmuna, kao i u svježe izolovanim hepatocitima kod ljudi; ovi nivoi DNK adukta u ćelijama jetre kod pasa bili su ekstremno niski.</w:t>
      </w:r>
    </w:p>
    <w:p w14:paraId="166F3DF3" w14:textId="77777777" w:rsidR="008D5B24" w:rsidRPr="00026B48" w:rsidRDefault="008D5B24" w:rsidP="00AB025E">
      <w:pPr>
        <w:tabs>
          <w:tab w:val="clear" w:pos="284"/>
        </w:tabs>
        <w:autoSpaceDE w:val="0"/>
        <w:autoSpaceDN w:val="0"/>
        <w:adjustRightInd w:val="0"/>
        <w:rPr>
          <w:color w:val="000000" w:themeColor="text1"/>
          <w:szCs w:val="22"/>
          <w:lang w:val="sr-Latn-ME"/>
        </w:rPr>
      </w:pPr>
    </w:p>
    <w:p w14:paraId="166F3DF4"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 xml:space="preserve">Do ovog stvaranja DNK adukta došlo je pri sistemskoj izloženosti koja se može javiti pri primjeni preporučenih doza ciproteronacetata. </w:t>
      </w:r>
      <w:r w:rsidRPr="00026B48">
        <w:rPr>
          <w:i/>
          <w:iCs/>
          <w:color w:val="000000" w:themeColor="text1"/>
          <w:szCs w:val="22"/>
          <w:lang w:val="sr-Latn-ME"/>
        </w:rPr>
        <w:t xml:space="preserve">In vivo </w:t>
      </w:r>
      <w:r w:rsidRPr="00026B48">
        <w:rPr>
          <w:color w:val="000000" w:themeColor="text1"/>
          <w:szCs w:val="22"/>
          <w:lang w:val="sr-Latn-ME"/>
        </w:rPr>
        <w:t>posljedice liječenja ciproteronacetatom ogledale su se u povećanoj incidenciji fokalnih, moguće preneoplastičnih, lezija jetre u kojima je došlo do promjene ćelijskih enzima kod ženki pacova, i do povećanja učestalosti mutacija kod transgenih sojeva pacova sa bakterijskim genom kao target genom mutacije.</w:t>
      </w:r>
    </w:p>
    <w:p w14:paraId="166F3DF5" w14:textId="77777777" w:rsidR="008D5B24" w:rsidRPr="00026B48" w:rsidRDefault="008D5B24" w:rsidP="00AB025E">
      <w:pPr>
        <w:tabs>
          <w:tab w:val="clear" w:pos="284"/>
        </w:tabs>
        <w:autoSpaceDE w:val="0"/>
        <w:autoSpaceDN w:val="0"/>
        <w:adjustRightInd w:val="0"/>
        <w:rPr>
          <w:color w:val="000000" w:themeColor="text1"/>
          <w:szCs w:val="22"/>
          <w:lang w:val="sr-Latn-ME"/>
        </w:rPr>
      </w:pPr>
    </w:p>
    <w:p w14:paraId="166F3DF6"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lastRenderedPageBreak/>
        <w:t>Dosadašnje kliničko iskustvo i rezultati pažljivo sprovedenih epidemioloških studija ne podržavaju povećanu incidenciju tumora jetre kod muškaraca, niti su ispitivanja tumorskog potencijala ciproteronacetata kod glodara otkrila bilo kakve dokaze.</w:t>
      </w:r>
    </w:p>
    <w:p w14:paraId="166F3DF7" w14:textId="77777777" w:rsidR="008D5B24" w:rsidRPr="00026B48" w:rsidRDefault="008D5B24" w:rsidP="00AB025E">
      <w:pPr>
        <w:tabs>
          <w:tab w:val="clear" w:pos="284"/>
        </w:tabs>
        <w:autoSpaceDE w:val="0"/>
        <w:autoSpaceDN w:val="0"/>
        <w:adjustRightInd w:val="0"/>
        <w:rPr>
          <w:color w:val="000000" w:themeColor="text1"/>
          <w:szCs w:val="22"/>
          <w:lang w:val="sr-Latn-ME"/>
        </w:rPr>
      </w:pPr>
    </w:p>
    <w:p w14:paraId="166F3DF8" w14:textId="77777777" w:rsidR="005C44CE" w:rsidRPr="00026B48" w:rsidRDefault="008C4083">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Međutim, treba imati na umu da polni hormoni mogu podstaći rast određenih tkiva i tumora koji zavise od hormona.</w:t>
      </w:r>
    </w:p>
    <w:p w14:paraId="166F3DF9" w14:textId="77777777" w:rsidR="008D5B24" w:rsidRPr="00026B48" w:rsidRDefault="008D5B24" w:rsidP="00AB025E">
      <w:pPr>
        <w:tabs>
          <w:tab w:val="clear" w:pos="284"/>
        </w:tabs>
        <w:autoSpaceDE w:val="0"/>
        <w:autoSpaceDN w:val="0"/>
        <w:adjustRightInd w:val="0"/>
        <w:rPr>
          <w:b/>
          <w:bCs/>
          <w:color w:val="000000" w:themeColor="text1"/>
          <w:szCs w:val="22"/>
          <w:lang w:val="sr-Latn-ME"/>
        </w:rPr>
      </w:pPr>
    </w:p>
    <w:p w14:paraId="166F3DFA" w14:textId="77777777" w:rsidR="008D5B24" w:rsidRPr="00026B48" w:rsidRDefault="008C4083" w:rsidP="00AB025E">
      <w:pPr>
        <w:tabs>
          <w:tab w:val="clear" w:pos="284"/>
        </w:tabs>
        <w:autoSpaceDE w:val="0"/>
        <w:autoSpaceDN w:val="0"/>
        <w:adjustRightInd w:val="0"/>
        <w:rPr>
          <w:color w:val="000000" w:themeColor="text1"/>
          <w:szCs w:val="22"/>
          <w:lang w:val="sr-Latn-ME"/>
        </w:rPr>
      </w:pPr>
      <w:r w:rsidRPr="00026B48">
        <w:rPr>
          <w:color w:val="000000" w:themeColor="text1"/>
          <w:szCs w:val="22"/>
          <w:lang w:val="sr-Latn-ME"/>
        </w:rPr>
        <w:t>Generalno, dostupni podaci ne daju dokaze o problemima primjene ciproteronacetata ukoliko se on koristi u skladu sa uputstvima za date indikacije i u preporučenim dozama.</w:t>
      </w:r>
    </w:p>
    <w:p w14:paraId="166F3DFB" w14:textId="77777777" w:rsidR="008D5B24" w:rsidRPr="00026B48" w:rsidRDefault="008D5B24" w:rsidP="00AB025E">
      <w:pPr>
        <w:tabs>
          <w:tab w:val="clear" w:pos="284"/>
        </w:tabs>
        <w:autoSpaceDE w:val="0"/>
        <w:autoSpaceDN w:val="0"/>
        <w:adjustRightInd w:val="0"/>
        <w:rPr>
          <w:color w:val="000000" w:themeColor="text1"/>
          <w:szCs w:val="22"/>
          <w:lang w:val="sr-Latn-ME"/>
        </w:rPr>
      </w:pPr>
    </w:p>
    <w:p w14:paraId="166F3DFC" w14:textId="77777777" w:rsidR="008D5B24" w:rsidRPr="00026B48" w:rsidRDefault="008C4083" w:rsidP="00AB025E">
      <w:pPr>
        <w:pStyle w:val="Header"/>
        <w:tabs>
          <w:tab w:val="clear" w:pos="4536"/>
          <w:tab w:val="clear" w:pos="9072"/>
          <w:tab w:val="left" w:pos="284"/>
        </w:tabs>
        <w:rPr>
          <w:color w:val="000000" w:themeColor="text1"/>
          <w:szCs w:val="22"/>
          <w:lang w:val="sr-Latn-ME"/>
        </w:rPr>
      </w:pPr>
      <w:r w:rsidRPr="00026B48">
        <w:rPr>
          <w:color w:val="000000" w:themeColor="text1"/>
          <w:szCs w:val="22"/>
          <w:lang w:val="sr-Latn-ME"/>
        </w:rPr>
        <w:t>Eksperimentalna istraživanja su pokazala efekte slične kortikosteroidima na nadbubrežne žlezde kod pacova i pasa pri primjeni visokih doza, što bi moglo da ukazuje na slične efekte kod ljudi pri najvišim dozama (300 mg dnevno).</w:t>
      </w:r>
    </w:p>
    <w:p w14:paraId="166F3DFD" w14:textId="77777777" w:rsidR="00CE09F3" w:rsidRPr="00026B48" w:rsidRDefault="00CE09F3">
      <w:pPr>
        <w:rPr>
          <w:color w:val="000000" w:themeColor="text1"/>
          <w:szCs w:val="22"/>
          <w:lang w:val="sr-Latn-ME"/>
        </w:rPr>
      </w:pPr>
    </w:p>
    <w:p w14:paraId="166F3DFE" w14:textId="77777777" w:rsidR="00CE09F3" w:rsidRPr="00026B48" w:rsidRDefault="008C4083" w:rsidP="00AB025E">
      <w:pPr>
        <w:pStyle w:val="NASLOV123"/>
        <w:jc w:val="both"/>
        <w:rPr>
          <w:color w:val="000000" w:themeColor="text1"/>
          <w:lang w:val="sr-Latn-ME"/>
        </w:rPr>
      </w:pPr>
      <w:r w:rsidRPr="00026B48">
        <w:rPr>
          <w:bCs/>
          <w:color w:val="000000" w:themeColor="text1"/>
          <w:lang w:val="sr-Latn-ME"/>
        </w:rPr>
        <w:t>6. FARMACEUTSKI PODACI</w:t>
      </w:r>
    </w:p>
    <w:p w14:paraId="166F3DFF" w14:textId="0E20FCEF" w:rsidR="00CE09F3" w:rsidRPr="00026B48" w:rsidRDefault="008C4083">
      <w:pPr>
        <w:rPr>
          <w:b/>
          <w:bCs/>
          <w:color w:val="000000" w:themeColor="text1"/>
          <w:szCs w:val="22"/>
          <w:lang w:val="sr-Latn-ME"/>
        </w:rPr>
      </w:pPr>
      <w:r w:rsidRPr="00026B48">
        <w:rPr>
          <w:b/>
          <w:bCs/>
          <w:color w:val="000000" w:themeColor="text1"/>
          <w:szCs w:val="22"/>
          <w:lang w:val="sr-Latn-ME"/>
        </w:rPr>
        <w:t>6.1. Lista pomoćnih supstanci</w:t>
      </w:r>
      <w:r w:rsidR="00FB58A5" w:rsidRPr="00026B48">
        <w:rPr>
          <w:b/>
          <w:bCs/>
          <w:color w:val="000000" w:themeColor="text1"/>
          <w:szCs w:val="22"/>
          <w:lang w:val="sr-Latn-ME"/>
        </w:rPr>
        <w:t xml:space="preserve"> (ekscipijenasa)</w:t>
      </w:r>
    </w:p>
    <w:p w14:paraId="166F3E00" w14:textId="77777777" w:rsidR="00CE09F3" w:rsidRPr="00026B48" w:rsidRDefault="00CE09F3">
      <w:pPr>
        <w:rPr>
          <w:color w:val="000000" w:themeColor="text1"/>
          <w:szCs w:val="22"/>
          <w:lang w:val="sr-Latn-ME"/>
        </w:rPr>
      </w:pPr>
    </w:p>
    <w:p w14:paraId="166F3E01" w14:textId="77777777" w:rsidR="008D5B24" w:rsidRPr="00026B48" w:rsidRDefault="008C4083" w:rsidP="00AB025E">
      <w:pPr>
        <w:tabs>
          <w:tab w:val="clear" w:pos="284"/>
        </w:tabs>
        <w:rPr>
          <w:color w:val="000000" w:themeColor="text1"/>
          <w:szCs w:val="22"/>
          <w:lang w:val="sr-Latn-ME"/>
        </w:rPr>
      </w:pPr>
      <w:r w:rsidRPr="00026B48">
        <w:rPr>
          <w:color w:val="000000" w:themeColor="text1"/>
          <w:szCs w:val="22"/>
          <w:lang w:val="sr-Latn-ME"/>
        </w:rPr>
        <w:t xml:space="preserve">Laktoza, monohidrat </w:t>
      </w:r>
    </w:p>
    <w:p w14:paraId="166F3E02" w14:textId="2DB0D28F" w:rsidR="008D5B24" w:rsidRPr="00026B48" w:rsidRDefault="008C4083" w:rsidP="00AB025E">
      <w:pPr>
        <w:tabs>
          <w:tab w:val="clear" w:pos="284"/>
        </w:tabs>
        <w:rPr>
          <w:color w:val="000000" w:themeColor="text1"/>
          <w:szCs w:val="22"/>
          <w:lang w:val="sr-Latn-ME"/>
        </w:rPr>
      </w:pPr>
      <w:r w:rsidRPr="00026B48">
        <w:rPr>
          <w:color w:val="000000" w:themeColor="text1"/>
          <w:szCs w:val="22"/>
          <w:lang w:val="sr-Latn-ME"/>
        </w:rPr>
        <w:t xml:space="preserve">Povidon 25 </w:t>
      </w:r>
    </w:p>
    <w:p w14:paraId="166F3E03" w14:textId="77777777" w:rsidR="008D5B24" w:rsidRPr="00026B48" w:rsidRDefault="008C4083" w:rsidP="00AB025E">
      <w:pPr>
        <w:tabs>
          <w:tab w:val="clear" w:pos="284"/>
        </w:tabs>
        <w:rPr>
          <w:color w:val="000000" w:themeColor="text1"/>
          <w:szCs w:val="22"/>
          <w:lang w:val="sr-Latn-ME"/>
        </w:rPr>
      </w:pPr>
      <w:r w:rsidRPr="00026B48">
        <w:rPr>
          <w:color w:val="000000" w:themeColor="text1"/>
          <w:szCs w:val="22"/>
          <w:lang w:val="sr-Latn-ME"/>
        </w:rPr>
        <w:t>Skrob, kukuruzni</w:t>
      </w:r>
    </w:p>
    <w:p w14:paraId="166F3E04" w14:textId="738A868C" w:rsidR="008D5B24" w:rsidRPr="00026B48" w:rsidRDefault="008C4083" w:rsidP="00AB025E">
      <w:pPr>
        <w:tabs>
          <w:tab w:val="clear" w:pos="284"/>
        </w:tabs>
        <w:rPr>
          <w:color w:val="000000" w:themeColor="text1"/>
          <w:szCs w:val="22"/>
          <w:lang w:val="sr-Latn-ME"/>
        </w:rPr>
      </w:pPr>
      <w:r w:rsidRPr="00026B48">
        <w:rPr>
          <w:color w:val="000000" w:themeColor="text1"/>
          <w:szCs w:val="22"/>
          <w:lang w:val="sr-Latn-ME"/>
        </w:rPr>
        <w:t>Silicijum</w:t>
      </w:r>
      <w:r w:rsidR="00901E95" w:rsidRPr="00026B48">
        <w:rPr>
          <w:color w:val="000000" w:themeColor="text1"/>
          <w:szCs w:val="22"/>
          <w:lang w:val="sr-Latn-ME"/>
        </w:rPr>
        <w:t xml:space="preserve"> </w:t>
      </w:r>
      <w:r w:rsidRPr="00026B48">
        <w:rPr>
          <w:color w:val="000000" w:themeColor="text1"/>
          <w:szCs w:val="22"/>
          <w:lang w:val="sr-Latn-ME"/>
        </w:rPr>
        <w:t xml:space="preserve">dioksid, koloidni, bezvodni </w:t>
      </w:r>
    </w:p>
    <w:p w14:paraId="166F3E05" w14:textId="24589775" w:rsidR="00CE09F3" w:rsidRPr="00026B48" w:rsidRDefault="008C4083">
      <w:pPr>
        <w:rPr>
          <w:color w:val="000000" w:themeColor="text1"/>
          <w:szCs w:val="22"/>
          <w:lang w:val="sr-Latn-ME"/>
        </w:rPr>
      </w:pPr>
      <w:r w:rsidRPr="00026B48">
        <w:rPr>
          <w:color w:val="000000" w:themeColor="text1"/>
          <w:szCs w:val="22"/>
          <w:lang w:val="sr-Latn-ME"/>
        </w:rPr>
        <w:t>Magnezijum</w:t>
      </w:r>
      <w:r w:rsidR="00901E95" w:rsidRPr="00026B48">
        <w:rPr>
          <w:color w:val="000000" w:themeColor="text1"/>
          <w:szCs w:val="22"/>
          <w:lang w:val="sr-Latn-ME"/>
        </w:rPr>
        <w:t xml:space="preserve"> </w:t>
      </w:r>
      <w:r w:rsidRPr="00026B48">
        <w:rPr>
          <w:color w:val="000000" w:themeColor="text1"/>
          <w:szCs w:val="22"/>
          <w:lang w:val="sr-Latn-ME"/>
        </w:rPr>
        <w:t>stearat</w:t>
      </w:r>
    </w:p>
    <w:p w14:paraId="166F3E06" w14:textId="77777777" w:rsidR="008D5B24" w:rsidRPr="00026B48" w:rsidRDefault="008D5B24">
      <w:pPr>
        <w:rPr>
          <w:color w:val="000000" w:themeColor="text1"/>
          <w:szCs w:val="22"/>
          <w:lang w:val="sr-Latn-ME"/>
        </w:rPr>
      </w:pPr>
    </w:p>
    <w:p w14:paraId="166F3E07" w14:textId="22940CA1" w:rsidR="00CE09F3" w:rsidRPr="00026B48" w:rsidRDefault="008C4083">
      <w:pPr>
        <w:rPr>
          <w:b/>
          <w:bCs/>
          <w:color w:val="000000" w:themeColor="text1"/>
          <w:szCs w:val="22"/>
          <w:lang w:val="sr-Latn-ME"/>
        </w:rPr>
      </w:pPr>
      <w:r w:rsidRPr="00026B48">
        <w:rPr>
          <w:b/>
          <w:bCs/>
          <w:color w:val="000000" w:themeColor="text1"/>
          <w:szCs w:val="22"/>
          <w:lang w:val="sr-Latn-ME"/>
        </w:rPr>
        <w:t>6.2. Inkompatibilnost</w:t>
      </w:r>
      <w:r w:rsidR="00FB58A5" w:rsidRPr="00026B48">
        <w:rPr>
          <w:b/>
          <w:bCs/>
          <w:color w:val="000000" w:themeColor="text1"/>
          <w:szCs w:val="22"/>
          <w:lang w:val="sr-Latn-ME"/>
        </w:rPr>
        <w:t>i</w:t>
      </w:r>
    </w:p>
    <w:p w14:paraId="166F3E08" w14:textId="77777777" w:rsidR="00CE09F3" w:rsidRPr="00026B48" w:rsidRDefault="00CE09F3">
      <w:pPr>
        <w:rPr>
          <w:color w:val="000000" w:themeColor="text1"/>
          <w:szCs w:val="22"/>
          <w:lang w:val="sr-Latn-ME"/>
        </w:rPr>
      </w:pPr>
    </w:p>
    <w:p w14:paraId="166F3E09" w14:textId="77777777" w:rsidR="00CE09F3" w:rsidRPr="00026B48" w:rsidRDefault="008C4083">
      <w:pPr>
        <w:rPr>
          <w:color w:val="000000" w:themeColor="text1"/>
          <w:szCs w:val="22"/>
          <w:lang w:val="sr-Latn-ME"/>
        </w:rPr>
      </w:pPr>
      <w:r w:rsidRPr="00026B48">
        <w:rPr>
          <w:color w:val="000000" w:themeColor="text1"/>
          <w:szCs w:val="22"/>
          <w:lang w:val="sr-Latn-ME"/>
        </w:rPr>
        <w:t>Nema.</w:t>
      </w:r>
    </w:p>
    <w:p w14:paraId="166F3E0A" w14:textId="77777777" w:rsidR="008D5B24" w:rsidRPr="00026B48" w:rsidRDefault="008D5B24">
      <w:pPr>
        <w:rPr>
          <w:color w:val="000000" w:themeColor="text1"/>
          <w:szCs w:val="22"/>
          <w:lang w:val="sr-Latn-ME"/>
        </w:rPr>
      </w:pPr>
    </w:p>
    <w:p w14:paraId="166F3E0B" w14:textId="77777777" w:rsidR="00CE09F3" w:rsidRPr="00026B48" w:rsidRDefault="008C4083">
      <w:pPr>
        <w:rPr>
          <w:b/>
          <w:bCs/>
          <w:color w:val="000000" w:themeColor="text1"/>
          <w:szCs w:val="22"/>
          <w:lang w:val="sr-Latn-ME"/>
        </w:rPr>
      </w:pPr>
      <w:r w:rsidRPr="00026B48">
        <w:rPr>
          <w:b/>
          <w:bCs/>
          <w:color w:val="000000" w:themeColor="text1"/>
          <w:szCs w:val="22"/>
          <w:lang w:val="sr-Latn-ME"/>
        </w:rPr>
        <w:t>6.3. Rok upotrebe</w:t>
      </w:r>
    </w:p>
    <w:p w14:paraId="166F3E0C" w14:textId="77777777" w:rsidR="00CE09F3" w:rsidRPr="00026B48" w:rsidRDefault="00CE09F3">
      <w:pPr>
        <w:rPr>
          <w:color w:val="000000" w:themeColor="text1"/>
          <w:szCs w:val="22"/>
          <w:lang w:val="sr-Latn-ME"/>
        </w:rPr>
      </w:pPr>
    </w:p>
    <w:p w14:paraId="166F3E0D" w14:textId="77777777" w:rsidR="008D5B24" w:rsidRPr="00026B48" w:rsidRDefault="008C4083" w:rsidP="00AB025E">
      <w:pPr>
        <w:pStyle w:val="Header"/>
        <w:tabs>
          <w:tab w:val="clear" w:pos="4536"/>
          <w:tab w:val="clear" w:pos="9072"/>
          <w:tab w:val="left" w:pos="284"/>
        </w:tabs>
        <w:rPr>
          <w:color w:val="000000" w:themeColor="text1"/>
          <w:szCs w:val="22"/>
          <w:lang w:val="sr-Latn-ME"/>
        </w:rPr>
      </w:pPr>
      <w:r w:rsidRPr="00026B48">
        <w:rPr>
          <w:color w:val="000000" w:themeColor="text1"/>
          <w:szCs w:val="22"/>
          <w:lang w:val="sr-Latn-ME"/>
        </w:rPr>
        <w:t>Pet godina.</w:t>
      </w:r>
    </w:p>
    <w:p w14:paraId="166F3E0E" w14:textId="2084517D" w:rsidR="00CE09F3" w:rsidRPr="00026B48" w:rsidRDefault="00130C48">
      <w:pPr>
        <w:rPr>
          <w:color w:val="000000" w:themeColor="text1"/>
          <w:szCs w:val="22"/>
          <w:lang w:val="sr-Latn-ME"/>
        </w:rPr>
      </w:pPr>
      <w:r w:rsidRPr="00026B48">
        <w:rPr>
          <w:color w:val="000000" w:themeColor="text1"/>
          <w:szCs w:val="22"/>
          <w:lang w:val="sr-Latn-ME"/>
        </w:rPr>
        <w:t>Ne koristiti lijek Androcur poslije isteka datuma roka upotrebe koji je naznačen na pakovanju. Rok upotrebe se odnosi na posljednji dan navedenog mjeseca.</w:t>
      </w:r>
    </w:p>
    <w:p w14:paraId="166F3E0F" w14:textId="77777777" w:rsidR="008D5B24" w:rsidRPr="00026B48" w:rsidRDefault="008D5B24">
      <w:pPr>
        <w:rPr>
          <w:color w:val="000000" w:themeColor="text1"/>
          <w:szCs w:val="22"/>
          <w:lang w:val="sr-Latn-ME"/>
        </w:rPr>
      </w:pPr>
    </w:p>
    <w:p w14:paraId="166F3E10" w14:textId="1C7E95C8" w:rsidR="00CE09F3" w:rsidRPr="00026B48" w:rsidRDefault="008C4083">
      <w:pPr>
        <w:rPr>
          <w:b/>
          <w:bCs/>
          <w:color w:val="000000" w:themeColor="text1"/>
          <w:szCs w:val="22"/>
          <w:lang w:val="sr-Latn-ME"/>
        </w:rPr>
      </w:pPr>
      <w:r w:rsidRPr="00026B48">
        <w:rPr>
          <w:b/>
          <w:bCs/>
          <w:color w:val="000000" w:themeColor="text1"/>
          <w:szCs w:val="22"/>
          <w:lang w:val="sr-Latn-ME"/>
        </w:rPr>
        <w:t xml:space="preserve">6.4. Posebne mjere </w:t>
      </w:r>
      <w:r w:rsidR="00FB58A5" w:rsidRPr="00026B48">
        <w:rPr>
          <w:b/>
          <w:bCs/>
          <w:color w:val="000000" w:themeColor="text1"/>
          <w:szCs w:val="22"/>
          <w:lang w:val="sr-Latn-ME"/>
        </w:rPr>
        <w:t xml:space="preserve">upozorenja </w:t>
      </w:r>
      <w:r w:rsidRPr="00026B48">
        <w:rPr>
          <w:b/>
          <w:bCs/>
          <w:color w:val="000000" w:themeColor="text1"/>
          <w:szCs w:val="22"/>
          <w:lang w:val="sr-Latn-ME"/>
        </w:rPr>
        <w:t>pri čuvanju</w:t>
      </w:r>
      <w:r w:rsidR="00FB58A5" w:rsidRPr="00026B48">
        <w:rPr>
          <w:b/>
          <w:bCs/>
          <w:color w:val="000000" w:themeColor="text1"/>
          <w:szCs w:val="22"/>
          <w:lang w:val="sr-Latn-ME"/>
        </w:rPr>
        <w:t xml:space="preserve"> lijeka</w:t>
      </w:r>
    </w:p>
    <w:p w14:paraId="166F3E11" w14:textId="77777777" w:rsidR="00CE09F3" w:rsidRPr="00026B48" w:rsidRDefault="00CE09F3">
      <w:pPr>
        <w:rPr>
          <w:color w:val="000000" w:themeColor="text1"/>
          <w:szCs w:val="22"/>
          <w:lang w:val="sr-Latn-ME"/>
        </w:rPr>
      </w:pPr>
    </w:p>
    <w:p w14:paraId="166F3E12" w14:textId="77777777" w:rsidR="00AD2645" w:rsidRPr="00026B48" w:rsidRDefault="008C4083">
      <w:pPr>
        <w:rPr>
          <w:color w:val="000000" w:themeColor="text1"/>
          <w:szCs w:val="22"/>
          <w:lang w:val="sr-Latn-ME"/>
        </w:rPr>
      </w:pPr>
      <w:r w:rsidRPr="00026B48">
        <w:rPr>
          <w:color w:val="000000" w:themeColor="text1"/>
          <w:szCs w:val="22"/>
          <w:lang w:val="sr-Latn-ME"/>
        </w:rPr>
        <w:t>Lijek ne zahtijeva posebne uslove čuvanja.</w:t>
      </w:r>
    </w:p>
    <w:p w14:paraId="166F3E13" w14:textId="77777777" w:rsidR="008D5B24" w:rsidRPr="00026B48" w:rsidRDefault="008D5B24">
      <w:pPr>
        <w:rPr>
          <w:color w:val="000000" w:themeColor="text1"/>
          <w:szCs w:val="22"/>
          <w:lang w:val="sr-Latn-ME"/>
        </w:rPr>
      </w:pPr>
    </w:p>
    <w:p w14:paraId="166F3E14" w14:textId="3F44C9FC" w:rsidR="00CE09F3" w:rsidRPr="00026B48" w:rsidRDefault="008C4083">
      <w:pPr>
        <w:rPr>
          <w:b/>
          <w:bCs/>
          <w:color w:val="000000" w:themeColor="text1"/>
          <w:szCs w:val="22"/>
          <w:lang w:val="sr-Latn-ME"/>
        </w:rPr>
      </w:pPr>
      <w:r w:rsidRPr="00026B48">
        <w:rPr>
          <w:b/>
          <w:bCs/>
          <w:color w:val="000000" w:themeColor="text1"/>
          <w:szCs w:val="22"/>
          <w:lang w:val="sr-Latn-ME"/>
        </w:rPr>
        <w:t xml:space="preserve">6.5. </w:t>
      </w:r>
      <w:r w:rsidR="00FB58A5" w:rsidRPr="00026B48">
        <w:rPr>
          <w:b/>
          <w:bCs/>
          <w:color w:val="000000" w:themeColor="text1"/>
          <w:szCs w:val="22"/>
          <w:lang w:val="sr-Latn-ME"/>
        </w:rPr>
        <w:t xml:space="preserve">Vrsta </w:t>
      </w:r>
      <w:r w:rsidRPr="00026B48">
        <w:rPr>
          <w:b/>
          <w:bCs/>
          <w:color w:val="000000" w:themeColor="text1"/>
          <w:szCs w:val="22"/>
          <w:lang w:val="sr-Latn-ME"/>
        </w:rPr>
        <w:t xml:space="preserve">i sadržaj pakovanja </w:t>
      </w:r>
    </w:p>
    <w:p w14:paraId="166F3E15" w14:textId="77777777" w:rsidR="00CE09F3" w:rsidRPr="00026B48" w:rsidRDefault="00CE09F3">
      <w:pPr>
        <w:rPr>
          <w:color w:val="000000" w:themeColor="text1"/>
          <w:szCs w:val="22"/>
          <w:lang w:val="sr-Latn-ME"/>
        </w:rPr>
      </w:pPr>
    </w:p>
    <w:p w14:paraId="166F3E16" w14:textId="77777777" w:rsidR="001B0AF5" w:rsidRPr="00026B48" w:rsidRDefault="008C4083">
      <w:pPr>
        <w:rPr>
          <w:color w:val="000000" w:themeColor="text1"/>
          <w:szCs w:val="22"/>
          <w:lang w:val="sr-Latn-ME"/>
        </w:rPr>
      </w:pPr>
      <w:r w:rsidRPr="00026B48">
        <w:rPr>
          <w:color w:val="000000" w:themeColor="text1"/>
          <w:szCs w:val="22"/>
          <w:lang w:val="sr-Latn-ME"/>
        </w:rPr>
        <w:t>Unutrašnje pakovanje je PVC/Al blister koji sadrži 10 tableta.</w:t>
      </w:r>
    </w:p>
    <w:p w14:paraId="166F3E17" w14:textId="77777777" w:rsidR="008D5B24" w:rsidRPr="00026B48" w:rsidRDefault="008C4083">
      <w:pPr>
        <w:rPr>
          <w:color w:val="000000" w:themeColor="text1"/>
          <w:szCs w:val="22"/>
          <w:lang w:val="sr-Latn-ME"/>
        </w:rPr>
      </w:pPr>
      <w:r w:rsidRPr="00026B48">
        <w:rPr>
          <w:color w:val="000000" w:themeColor="text1"/>
          <w:szCs w:val="22"/>
          <w:lang w:val="sr-Latn-ME"/>
        </w:rPr>
        <w:t>Spoljašnje pakovanje je složiva kartonska kutija u kojoj se nalazi 5 blistera sa po 10 tableta (ukupno 50 tableta) i Uputstvo za lijek.</w:t>
      </w:r>
    </w:p>
    <w:p w14:paraId="166F3E18" w14:textId="77777777" w:rsidR="008D5B24" w:rsidRPr="00026B48" w:rsidRDefault="008D5B24">
      <w:pPr>
        <w:rPr>
          <w:color w:val="000000" w:themeColor="text1"/>
          <w:szCs w:val="22"/>
          <w:lang w:val="sr-Latn-ME"/>
        </w:rPr>
      </w:pPr>
    </w:p>
    <w:p w14:paraId="166F3E19" w14:textId="77777777" w:rsidR="00CE09F3" w:rsidRPr="00026B48" w:rsidRDefault="008C4083">
      <w:pPr>
        <w:rPr>
          <w:b/>
          <w:bCs/>
          <w:color w:val="000000" w:themeColor="text1"/>
          <w:szCs w:val="22"/>
          <w:lang w:val="sr-Latn-ME"/>
        </w:rPr>
      </w:pPr>
      <w:r w:rsidRPr="00026B48">
        <w:rPr>
          <w:b/>
          <w:bCs/>
          <w:color w:val="000000" w:themeColor="text1"/>
          <w:szCs w:val="22"/>
          <w:lang w:val="sr-Latn-ME"/>
        </w:rPr>
        <w:t>6.6. Posebne mjere opreza pri odlaganju materijala koji treba odbaciti nakon primjene lijeka (i druga uputstva za rukovanje lijekom)</w:t>
      </w:r>
    </w:p>
    <w:p w14:paraId="166F3E1A" w14:textId="77777777" w:rsidR="00CE09F3" w:rsidRPr="00026B48" w:rsidRDefault="00CE09F3">
      <w:pPr>
        <w:rPr>
          <w:color w:val="000000" w:themeColor="text1"/>
          <w:szCs w:val="22"/>
          <w:lang w:val="sr-Latn-ME"/>
        </w:rPr>
      </w:pPr>
    </w:p>
    <w:p w14:paraId="166F3E1B" w14:textId="2B91C435" w:rsidR="008D5B24" w:rsidRPr="00026B48" w:rsidRDefault="008C4083">
      <w:pPr>
        <w:tabs>
          <w:tab w:val="left" w:pos="360"/>
        </w:tabs>
        <w:rPr>
          <w:color w:val="000000" w:themeColor="text1"/>
          <w:szCs w:val="22"/>
          <w:lang w:val="sr-Latn-ME"/>
        </w:rPr>
      </w:pPr>
      <w:r w:rsidRPr="00026B48">
        <w:rPr>
          <w:color w:val="000000" w:themeColor="text1"/>
          <w:szCs w:val="22"/>
          <w:lang w:val="sr-Latn-ME"/>
        </w:rPr>
        <w:t>Svu neiskorišćenu količinu lijeka ili otpadnog materijala nakon njegove upotrebe treba ukloniti u skladu sa važećim propisima.</w:t>
      </w:r>
    </w:p>
    <w:p w14:paraId="1220EAF1" w14:textId="77777777" w:rsidR="00901E95" w:rsidRPr="00026B48" w:rsidRDefault="00901E95">
      <w:pPr>
        <w:tabs>
          <w:tab w:val="left" w:pos="360"/>
        </w:tabs>
        <w:rPr>
          <w:color w:val="000000" w:themeColor="text1"/>
          <w:szCs w:val="22"/>
          <w:lang w:val="sr-Latn-ME"/>
        </w:rPr>
      </w:pPr>
    </w:p>
    <w:p w14:paraId="166F3E1D" w14:textId="77777777" w:rsidR="00CE09F3" w:rsidRPr="00026B48" w:rsidRDefault="008C4083" w:rsidP="00AB025E">
      <w:pPr>
        <w:pStyle w:val="NASLOV123"/>
        <w:jc w:val="both"/>
        <w:rPr>
          <w:color w:val="000000" w:themeColor="text1"/>
          <w:lang w:val="sr-Latn-ME"/>
        </w:rPr>
      </w:pPr>
      <w:r w:rsidRPr="00026B48">
        <w:rPr>
          <w:bCs/>
          <w:color w:val="000000" w:themeColor="text1"/>
          <w:lang w:val="sr-Latn-ME"/>
        </w:rPr>
        <w:t xml:space="preserve">7. NOSILAC DOZVOLE </w:t>
      </w:r>
    </w:p>
    <w:p w14:paraId="40B5E228" w14:textId="75B71ADF" w:rsidR="00901E95" w:rsidRPr="00026B48" w:rsidRDefault="00566438" w:rsidP="00AB025E">
      <w:pPr>
        <w:pStyle w:val="NASLOV123"/>
        <w:spacing w:before="0" w:after="0"/>
        <w:jc w:val="both"/>
        <w:rPr>
          <w:b w:val="0"/>
          <w:color w:val="000000" w:themeColor="text1"/>
          <w:lang w:val="sr-Latn-ME"/>
        </w:rPr>
      </w:pPr>
      <w:r w:rsidRPr="00026B48">
        <w:rPr>
          <w:b w:val="0"/>
          <w:color w:val="000000" w:themeColor="text1"/>
          <w:lang w:val="sr-Latn-ME"/>
        </w:rPr>
        <w:t>Evropa Lek Pharma d.o.o. Podgorica</w:t>
      </w:r>
    </w:p>
    <w:p w14:paraId="416E3AB3" w14:textId="0C8EE622" w:rsidR="00566438" w:rsidRPr="00026B48" w:rsidRDefault="00566438" w:rsidP="00AB025E">
      <w:pPr>
        <w:pStyle w:val="NASLOV123"/>
        <w:spacing w:before="0" w:after="0"/>
        <w:jc w:val="both"/>
        <w:rPr>
          <w:b w:val="0"/>
          <w:color w:val="000000" w:themeColor="text1"/>
          <w:lang w:val="sr-Latn-ME"/>
        </w:rPr>
      </w:pPr>
      <w:r w:rsidRPr="00026B48">
        <w:rPr>
          <w:b w:val="0"/>
          <w:color w:val="000000" w:themeColor="text1"/>
          <w:lang w:val="sr-Latn-ME"/>
        </w:rPr>
        <w:t>Kritskog odreda 4/1, 81000 Podgorica, Crna Gora</w:t>
      </w:r>
    </w:p>
    <w:p w14:paraId="166F3E20" w14:textId="2AEA4B1A" w:rsidR="00CE09F3" w:rsidRPr="00026B48" w:rsidRDefault="008C4083" w:rsidP="00AB025E">
      <w:pPr>
        <w:pStyle w:val="NASLOV123"/>
        <w:jc w:val="both"/>
        <w:rPr>
          <w:bCs/>
          <w:color w:val="000000" w:themeColor="text1"/>
          <w:lang w:val="sr-Latn-ME"/>
        </w:rPr>
      </w:pPr>
      <w:r w:rsidRPr="00026B48">
        <w:rPr>
          <w:bCs/>
          <w:color w:val="000000" w:themeColor="text1"/>
          <w:lang w:val="sr-Latn-ME"/>
        </w:rPr>
        <w:lastRenderedPageBreak/>
        <w:t>8. BROJ DOZVOLE ZA STAVLJANJE LIJEKA U PROMET</w:t>
      </w:r>
    </w:p>
    <w:p w14:paraId="713A8850" w14:textId="6C53CE66" w:rsidR="008B284B" w:rsidRDefault="00026B48" w:rsidP="00AB025E">
      <w:pPr>
        <w:pStyle w:val="NASLOV123"/>
        <w:spacing w:before="0" w:after="0"/>
        <w:jc w:val="both"/>
        <w:rPr>
          <w:b w:val="0"/>
          <w:bCs/>
          <w:color w:val="000000" w:themeColor="text1"/>
          <w:lang w:val="sr-Latn-ME"/>
        </w:rPr>
      </w:pPr>
      <w:r w:rsidRPr="00026B48">
        <w:rPr>
          <w:b w:val="0"/>
          <w:bCs/>
          <w:color w:val="000000" w:themeColor="text1"/>
          <w:lang w:val="sr-Latn-ME"/>
        </w:rPr>
        <w:t>2030/23/2966 - 3277</w:t>
      </w:r>
    </w:p>
    <w:p w14:paraId="6622028F" w14:textId="77777777" w:rsidR="00026B48" w:rsidRPr="00026B48" w:rsidRDefault="00026B48" w:rsidP="00AB025E">
      <w:pPr>
        <w:pStyle w:val="NASLOV123"/>
        <w:spacing w:before="0" w:after="0"/>
        <w:jc w:val="both"/>
        <w:rPr>
          <w:b w:val="0"/>
          <w:bCs/>
          <w:color w:val="000000" w:themeColor="text1"/>
          <w:lang w:val="sr-Latn-ME"/>
        </w:rPr>
      </w:pPr>
    </w:p>
    <w:p w14:paraId="5754AB0F" w14:textId="77777777" w:rsidR="008B284B" w:rsidRPr="00026B48" w:rsidRDefault="008B284B" w:rsidP="00AB025E">
      <w:pPr>
        <w:pStyle w:val="NASLOV123"/>
        <w:spacing w:before="0" w:after="0"/>
        <w:jc w:val="both"/>
        <w:rPr>
          <w:b w:val="0"/>
          <w:bCs/>
          <w:color w:val="000000" w:themeColor="text1"/>
          <w:lang w:val="sr-Latn-ME"/>
        </w:rPr>
      </w:pPr>
    </w:p>
    <w:p w14:paraId="166F3E22" w14:textId="18DD1A93" w:rsidR="00CE09F3" w:rsidRPr="00026B48" w:rsidRDefault="008C4083" w:rsidP="00AB025E">
      <w:pPr>
        <w:pStyle w:val="NASLOV123"/>
        <w:spacing w:before="0" w:after="0"/>
        <w:jc w:val="both"/>
        <w:rPr>
          <w:bCs/>
          <w:color w:val="000000" w:themeColor="text1"/>
          <w:lang w:val="sr-Latn-ME"/>
        </w:rPr>
      </w:pPr>
      <w:r w:rsidRPr="00026B48">
        <w:rPr>
          <w:bCs/>
          <w:color w:val="000000" w:themeColor="text1"/>
          <w:lang w:val="sr-Latn-ME"/>
        </w:rPr>
        <w:t>9. DATUM PRVE DOZVOLE</w:t>
      </w:r>
      <w:r w:rsidR="00FB58A5" w:rsidRPr="00026B48">
        <w:rPr>
          <w:bCs/>
          <w:color w:val="000000" w:themeColor="text1"/>
          <w:lang w:val="sr-Latn-ME"/>
        </w:rPr>
        <w:t>/</w:t>
      </w:r>
      <w:r w:rsidRPr="00026B48">
        <w:rPr>
          <w:bCs/>
          <w:color w:val="000000" w:themeColor="text1"/>
          <w:lang w:val="sr-Latn-ME"/>
        </w:rPr>
        <w:t>OBNOVE DOZVOLE ZA STAVLJANJE LIJEKA U PROMET</w:t>
      </w:r>
    </w:p>
    <w:p w14:paraId="75512E86" w14:textId="77777777" w:rsidR="008B284B" w:rsidRPr="00026B48" w:rsidRDefault="008B284B" w:rsidP="00AB025E">
      <w:pPr>
        <w:pStyle w:val="NASLOV123"/>
        <w:spacing w:before="0" w:after="0"/>
        <w:jc w:val="both"/>
        <w:rPr>
          <w:color w:val="000000" w:themeColor="text1"/>
          <w:lang w:val="sr-Latn-ME"/>
        </w:rPr>
      </w:pPr>
    </w:p>
    <w:p w14:paraId="166F3E23" w14:textId="5D72A73E" w:rsidR="0005798D" w:rsidRPr="00026B48" w:rsidRDefault="008C4083">
      <w:pPr>
        <w:autoSpaceDE w:val="0"/>
        <w:autoSpaceDN w:val="0"/>
        <w:adjustRightInd w:val="0"/>
        <w:rPr>
          <w:color w:val="000000" w:themeColor="text1"/>
          <w:szCs w:val="22"/>
          <w:lang w:val="sr-Latn-ME"/>
        </w:rPr>
      </w:pPr>
      <w:r w:rsidRPr="00026B48">
        <w:rPr>
          <w:color w:val="000000" w:themeColor="text1"/>
          <w:szCs w:val="22"/>
          <w:lang w:val="sr-Latn-ME"/>
        </w:rPr>
        <w:t>Datum prve dozvole:</w:t>
      </w:r>
      <w:r w:rsidR="00026B48" w:rsidRPr="00026B48">
        <w:t xml:space="preserve"> </w:t>
      </w:r>
      <w:r w:rsidR="00026B48" w:rsidRPr="00026B48">
        <w:rPr>
          <w:color w:val="000000" w:themeColor="text1"/>
          <w:szCs w:val="22"/>
          <w:lang w:val="sr-Latn-ME"/>
        </w:rPr>
        <w:t>28.01.2013. godine</w:t>
      </w:r>
      <w:r w:rsidRPr="00026B48">
        <w:rPr>
          <w:color w:val="000000" w:themeColor="text1"/>
          <w:szCs w:val="22"/>
          <w:lang w:val="sr-Latn-ME"/>
        </w:rPr>
        <w:t xml:space="preserve"> </w:t>
      </w:r>
    </w:p>
    <w:p w14:paraId="166F3E24" w14:textId="0F6FA709" w:rsidR="006C6904" w:rsidRPr="00026B48" w:rsidRDefault="008C4083">
      <w:pPr>
        <w:autoSpaceDE w:val="0"/>
        <w:autoSpaceDN w:val="0"/>
        <w:adjustRightInd w:val="0"/>
        <w:rPr>
          <w:color w:val="000000" w:themeColor="text1"/>
          <w:szCs w:val="22"/>
          <w:lang w:val="sr-Latn-ME"/>
        </w:rPr>
      </w:pPr>
      <w:r w:rsidRPr="00026B48">
        <w:rPr>
          <w:color w:val="000000" w:themeColor="text1"/>
          <w:szCs w:val="22"/>
          <w:lang w:val="sr-Latn-ME"/>
        </w:rPr>
        <w:t xml:space="preserve">Datum posljednje obnove dozvole: </w:t>
      </w:r>
      <w:r w:rsidR="00026B48">
        <w:rPr>
          <w:color w:val="000000" w:themeColor="text1"/>
          <w:szCs w:val="22"/>
          <w:lang w:val="sr-Latn-ME"/>
        </w:rPr>
        <w:t>11.08.2023. godine</w:t>
      </w:r>
    </w:p>
    <w:p w14:paraId="0CD85938" w14:textId="77777777" w:rsidR="000D0313" w:rsidRPr="00026B48" w:rsidRDefault="000D0313">
      <w:pPr>
        <w:autoSpaceDE w:val="0"/>
        <w:autoSpaceDN w:val="0"/>
        <w:adjustRightInd w:val="0"/>
        <w:rPr>
          <w:color w:val="000000" w:themeColor="text1"/>
          <w:szCs w:val="22"/>
          <w:lang w:val="sr-Latn-ME"/>
        </w:rPr>
      </w:pPr>
    </w:p>
    <w:p w14:paraId="166F3E25" w14:textId="77777777" w:rsidR="00CE09F3" w:rsidRPr="00026B48" w:rsidRDefault="008C4083" w:rsidP="00AB025E">
      <w:pPr>
        <w:pStyle w:val="NASLOV123"/>
        <w:jc w:val="both"/>
        <w:rPr>
          <w:color w:val="000000" w:themeColor="text1"/>
          <w:lang w:val="sr-Latn-ME"/>
        </w:rPr>
      </w:pPr>
      <w:r w:rsidRPr="00026B48">
        <w:rPr>
          <w:bCs/>
          <w:color w:val="000000" w:themeColor="text1"/>
          <w:lang w:val="sr-Latn-ME"/>
        </w:rPr>
        <w:t>10. DATUM REVIZIJE TEKSTA</w:t>
      </w:r>
    </w:p>
    <w:p w14:paraId="166F3E26" w14:textId="4DC5AA7A" w:rsidR="00923865" w:rsidRPr="00026B48" w:rsidRDefault="00026B48">
      <w:pPr>
        <w:rPr>
          <w:bCs/>
          <w:color w:val="000000" w:themeColor="text1"/>
          <w:szCs w:val="22"/>
          <w:lang w:val="sr-Latn-ME"/>
        </w:rPr>
      </w:pPr>
      <w:r>
        <w:rPr>
          <w:bCs/>
          <w:color w:val="000000" w:themeColor="text1"/>
          <w:szCs w:val="22"/>
          <w:lang w:val="sr-Latn-ME"/>
        </w:rPr>
        <w:t>Avgust, 2023. godine</w:t>
      </w:r>
      <w:bookmarkStart w:id="0" w:name="_GoBack"/>
      <w:bookmarkEnd w:id="0"/>
    </w:p>
    <w:p w14:paraId="166F3E27" w14:textId="77777777" w:rsidR="00923865" w:rsidRPr="00026B48" w:rsidRDefault="00923865" w:rsidP="00923865">
      <w:pPr>
        <w:rPr>
          <w:bCs/>
          <w:color w:val="000000" w:themeColor="text1"/>
          <w:szCs w:val="22"/>
          <w:lang w:val="sr-Latn-ME"/>
        </w:rPr>
      </w:pPr>
    </w:p>
    <w:sectPr w:rsidR="00923865" w:rsidRPr="00026B48" w:rsidSect="00026B48">
      <w:footerReference w:type="even" r:id="rId12"/>
      <w:footerReference w:type="default" r:id="rId13"/>
      <w:pgSz w:w="11907" w:h="16840" w:code="9"/>
      <w:pgMar w:top="993"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6A974" w14:textId="77777777" w:rsidR="00117546" w:rsidRDefault="00117546">
      <w:r>
        <w:separator/>
      </w:r>
    </w:p>
  </w:endnote>
  <w:endnote w:type="continuationSeparator" w:id="0">
    <w:p w14:paraId="736392FE" w14:textId="77777777" w:rsidR="00117546" w:rsidRDefault="0011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Times New Roman"/>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3E2C" w14:textId="77777777" w:rsidR="00D938EE" w:rsidRDefault="00D938EE"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6F3E2D" w14:textId="77777777" w:rsidR="00D938EE" w:rsidRDefault="00D938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3E2F" w14:textId="46C72A2A" w:rsidR="00D938EE" w:rsidRPr="00C536C2" w:rsidRDefault="00117546" w:rsidP="00AB025E">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D938EE">
              <w:rPr>
                <w:sz w:val="18"/>
                <w:szCs w:val="18"/>
              </w:rPr>
              <w:fldChar w:fldCharType="begin"/>
            </w:r>
            <w:r w:rsidR="00D938EE">
              <w:rPr>
                <w:sz w:val="18"/>
                <w:szCs w:val="18"/>
              </w:rPr>
              <w:instrText xml:space="preserve"> PAGE </w:instrText>
            </w:r>
            <w:r w:rsidR="00D938EE">
              <w:rPr>
                <w:sz w:val="18"/>
                <w:szCs w:val="18"/>
              </w:rPr>
              <w:fldChar w:fldCharType="separate"/>
            </w:r>
            <w:r w:rsidR="00026B48">
              <w:rPr>
                <w:noProof/>
                <w:sz w:val="18"/>
                <w:szCs w:val="18"/>
              </w:rPr>
              <w:t>13</w:t>
            </w:r>
            <w:r w:rsidR="00D938EE">
              <w:rPr>
                <w:sz w:val="18"/>
                <w:szCs w:val="18"/>
              </w:rPr>
              <w:fldChar w:fldCharType="end"/>
            </w:r>
            <w:r w:rsidR="00D938EE">
              <w:rPr>
                <w:sz w:val="18"/>
                <w:szCs w:val="18"/>
              </w:rPr>
              <w:t xml:space="preserve"> / </w:t>
            </w:r>
            <w:r w:rsidR="00D938EE">
              <w:rPr>
                <w:sz w:val="18"/>
                <w:szCs w:val="18"/>
              </w:rPr>
              <w:fldChar w:fldCharType="begin"/>
            </w:r>
            <w:r w:rsidR="00D938EE">
              <w:rPr>
                <w:sz w:val="18"/>
                <w:szCs w:val="18"/>
              </w:rPr>
              <w:instrText xml:space="preserve"> NUMPAGES  </w:instrText>
            </w:r>
            <w:r w:rsidR="00D938EE">
              <w:rPr>
                <w:sz w:val="18"/>
                <w:szCs w:val="18"/>
              </w:rPr>
              <w:fldChar w:fldCharType="separate"/>
            </w:r>
            <w:r w:rsidR="00026B48">
              <w:rPr>
                <w:noProof/>
                <w:sz w:val="18"/>
                <w:szCs w:val="18"/>
              </w:rPr>
              <w:t>13</w:t>
            </w:r>
            <w:r w:rsidR="00D938EE">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AEDB4" w14:textId="77777777" w:rsidR="00117546" w:rsidRDefault="00117546">
      <w:r>
        <w:separator/>
      </w:r>
    </w:p>
  </w:footnote>
  <w:footnote w:type="continuationSeparator" w:id="0">
    <w:p w14:paraId="20B4E9C3" w14:textId="77777777" w:rsidR="00117546" w:rsidRDefault="00117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18A9"/>
    <w:multiLevelType w:val="hybridMultilevel"/>
    <w:tmpl w:val="62E8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6A83E5B"/>
    <w:multiLevelType w:val="hybridMultilevel"/>
    <w:tmpl w:val="DFAC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E3C34"/>
    <w:multiLevelType w:val="hybridMultilevel"/>
    <w:tmpl w:val="EC5E66EC"/>
    <w:lvl w:ilvl="0" w:tplc="04090001">
      <w:start w:val="1"/>
      <w:numFmt w:val="bullet"/>
      <w:lvlText w:val=""/>
      <w:lvlJc w:val="left"/>
      <w:pPr>
        <w:tabs>
          <w:tab w:val="num" w:pos="2534"/>
        </w:tabs>
        <w:ind w:left="2534" w:hanging="360"/>
      </w:pPr>
      <w:rPr>
        <w:rFonts w:ascii="Symbol" w:hAnsi="Symbol" w:hint="default"/>
      </w:rPr>
    </w:lvl>
    <w:lvl w:ilvl="1" w:tplc="04090003" w:tentative="1">
      <w:start w:val="1"/>
      <w:numFmt w:val="bullet"/>
      <w:lvlText w:val="o"/>
      <w:lvlJc w:val="left"/>
      <w:pPr>
        <w:tabs>
          <w:tab w:val="num" w:pos="3254"/>
        </w:tabs>
        <w:ind w:left="3254" w:hanging="360"/>
      </w:pPr>
      <w:rPr>
        <w:rFonts w:ascii="Courier New" w:hAnsi="Courier New" w:hint="default"/>
      </w:rPr>
    </w:lvl>
    <w:lvl w:ilvl="2" w:tplc="04090005" w:tentative="1">
      <w:start w:val="1"/>
      <w:numFmt w:val="bullet"/>
      <w:lvlText w:val=""/>
      <w:lvlJc w:val="left"/>
      <w:pPr>
        <w:tabs>
          <w:tab w:val="num" w:pos="3974"/>
        </w:tabs>
        <w:ind w:left="3974" w:hanging="360"/>
      </w:pPr>
      <w:rPr>
        <w:rFonts w:ascii="Wingdings" w:hAnsi="Wingdings" w:hint="default"/>
      </w:rPr>
    </w:lvl>
    <w:lvl w:ilvl="3" w:tplc="04090001" w:tentative="1">
      <w:start w:val="1"/>
      <w:numFmt w:val="bullet"/>
      <w:lvlText w:val=""/>
      <w:lvlJc w:val="left"/>
      <w:pPr>
        <w:tabs>
          <w:tab w:val="num" w:pos="4694"/>
        </w:tabs>
        <w:ind w:left="4694" w:hanging="360"/>
      </w:pPr>
      <w:rPr>
        <w:rFonts w:ascii="Symbol" w:hAnsi="Symbol" w:hint="default"/>
      </w:rPr>
    </w:lvl>
    <w:lvl w:ilvl="4" w:tplc="04090003" w:tentative="1">
      <w:start w:val="1"/>
      <w:numFmt w:val="bullet"/>
      <w:lvlText w:val="o"/>
      <w:lvlJc w:val="left"/>
      <w:pPr>
        <w:tabs>
          <w:tab w:val="num" w:pos="5414"/>
        </w:tabs>
        <w:ind w:left="5414" w:hanging="360"/>
      </w:pPr>
      <w:rPr>
        <w:rFonts w:ascii="Courier New" w:hAnsi="Courier New" w:hint="default"/>
      </w:rPr>
    </w:lvl>
    <w:lvl w:ilvl="5" w:tplc="04090005" w:tentative="1">
      <w:start w:val="1"/>
      <w:numFmt w:val="bullet"/>
      <w:lvlText w:val=""/>
      <w:lvlJc w:val="left"/>
      <w:pPr>
        <w:tabs>
          <w:tab w:val="num" w:pos="6134"/>
        </w:tabs>
        <w:ind w:left="6134" w:hanging="360"/>
      </w:pPr>
      <w:rPr>
        <w:rFonts w:ascii="Wingdings" w:hAnsi="Wingdings" w:hint="default"/>
      </w:rPr>
    </w:lvl>
    <w:lvl w:ilvl="6" w:tplc="04090001" w:tentative="1">
      <w:start w:val="1"/>
      <w:numFmt w:val="bullet"/>
      <w:lvlText w:val=""/>
      <w:lvlJc w:val="left"/>
      <w:pPr>
        <w:tabs>
          <w:tab w:val="num" w:pos="6854"/>
        </w:tabs>
        <w:ind w:left="6854" w:hanging="360"/>
      </w:pPr>
      <w:rPr>
        <w:rFonts w:ascii="Symbol" w:hAnsi="Symbol" w:hint="default"/>
      </w:rPr>
    </w:lvl>
    <w:lvl w:ilvl="7" w:tplc="04090003" w:tentative="1">
      <w:start w:val="1"/>
      <w:numFmt w:val="bullet"/>
      <w:lvlText w:val="o"/>
      <w:lvlJc w:val="left"/>
      <w:pPr>
        <w:tabs>
          <w:tab w:val="num" w:pos="7574"/>
        </w:tabs>
        <w:ind w:left="7574" w:hanging="360"/>
      </w:pPr>
      <w:rPr>
        <w:rFonts w:ascii="Courier New" w:hAnsi="Courier New" w:hint="default"/>
      </w:rPr>
    </w:lvl>
    <w:lvl w:ilvl="8" w:tplc="04090005" w:tentative="1">
      <w:start w:val="1"/>
      <w:numFmt w:val="bullet"/>
      <w:lvlText w:val=""/>
      <w:lvlJc w:val="left"/>
      <w:pPr>
        <w:tabs>
          <w:tab w:val="num" w:pos="8294"/>
        </w:tabs>
        <w:ind w:left="8294" w:hanging="360"/>
      </w:pPr>
      <w:rPr>
        <w:rFonts w:ascii="Wingdings" w:hAnsi="Wingdings" w:hint="default"/>
      </w:rPr>
    </w:lvl>
  </w:abstractNum>
  <w:abstractNum w:abstractNumId="5" w15:restartNumberingAfterBreak="0">
    <w:nsid w:val="492D7A37"/>
    <w:multiLevelType w:val="hybridMultilevel"/>
    <w:tmpl w:val="3032547A"/>
    <w:lvl w:ilvl="0" w:tplc="BB64A07C">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DF02A4"/>
    <w:multiLevelType w:val="hybridMultilevel"/>
    <w:tmpl w:val="296C640E"/>
    <w:lvl w:ilvl="0" w:tplc="BB64A07C">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lvlOverride w:ilvl="0">
      <w:startOverride w:val="7"/>
    </w:lvlOverride>
  </w:num>
  <w:num w:numId="3">
    <w:abstractNumId w:val="7"/>
  </w:num>
  <w:num w:numId="4">
    <w:abstractNumId w:val="5"/>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7801"/>
    <w:rsid w:val="00020ECD"/>
    <w:rsid w:val="0002455B"/>
    <w:rsid w:val="00026B48"/>
    <w:rsid w:val="00033770"/>
    <w:rsid w:val="000470A3"/>
    <w:rsid w:val="0005798D"/>
    <w:rsid w:val="00064273"/>
    <w:rsid w:val="00071387"/>
    <w:rsid w:val="000735B1"/>
    <w:rsid w:val="00083BE0"/>
    <w:rsid w:val="00095FB6"/>
    <w:rsid w:val="0009758B"/>
    <w:rsid w:val="000A0198"/>
    <w:rsid w:val="000A0F4A"/>
    <w:rsid w:val="000D0313"/>
    <w:rsid w:val="000D5631"/>
    <w:rsid w:val="000D75EA"/>
    <w:rsid w:val="000E75C0"/>
    <w:rsid w:val="00117546"/>
    <w:rsid w:val="00130C48"/>
    <w:rsid w:val="00141639"/>
    <w:rsid w:val="0014180A"/>
    <w:rsid w:val="00142E9A"/>
    <w:rsid w:val="001516D2"/>
    <w:rsid w:val="0015615B"/>
    <w:rsid w:val="00173D18"/>
    <w:rsid w:val="00175772"/>
    <w:rsid w:val="00175A7E"/>
    <w:rsid w:val="0018601D"/>
    <w:rsid w:val="001A01AF"/>
    <w:rsid w:val="001B0AF5"/>
    <w:rsid w:val="001B2D59"/>
    <w:rsid w:val="001B706A"/>
    <w:rsid w:val="001D10C9"/>
    <w:rsid w:val="001E0A07"/>
    <w:rsid w:val="001E6145"/>
    <w:rsid w:val="001F2D4E"/>
    <w:rsid w:val="001F2DC4"/>
    <w:rsid w:val="001F39B6"/>
    <w:rsid w:val="0020680D"/>
    <w:rsid w:val="002163B2"/>
    <w:rsid w:val="0022218E"/>
    <w:rsid w:val="0022223A"/>
    <w:rsid w:val="0024132F"/>
    <w:rsid w:val="00242BDA"/>
    <w:rsid w:val="00242DCD"/>
    <w:rsid w:val="00247C5C"/>
    <w:rsid w:val="00273BE0"/>
    <w:rsid w:val="002B6F6A"/>
    <w:rsid w:val="002C0FBF"/>
    <w:rsid w:val="002F5E2F"/>
    <w:rsid w:val="002F6A2A"/>
    <w:rsid w:val="00316FC0"/>
    <w:rsid w:val="003452C0"/>
    <w:rsid w:val="00383195"/>
    <w:rsid w:val="0038545C"/>
    <w:rsid w:val="003A2DF8"/>
    <w:rsid w:val="003B2082"/>
    <w:rsid w:val="003C18A4"/>
    <w:rsid w:val="003C4143"/>
    <w:rsid w:val="003E3EC7"/>
    <w:rsid w:val="004001F6"/>
    <w:rsid w:val="004123CD"/>
    <w:rsid w:val="004234ED"/>
    <w:rsid w:val="00427D41"/>
    <w:rsid w:val="004412FC"/>
    <w:rsid w:val="00462C33"/>
    <w:rsid w:val="00462C9A"/>
    <w:rsid w:val="00483F35"/>
    <w:rsid w:val="00490AA7"/>
    <w:rsid w:val="00492248"/>
    <w:rsid w:val="00497648"/>
    <w:rsid w:val="004B5A11"/>
    <w:rsid w:val="004B7A50"/>
    <w:rsid w:val="004D230F"/>
    <w:rsid w:val="00503974"/>
    <w:rsid w:val="0052230B"/>
    <w:rsid w:val="0052569A"/>
    <w:rsid w:val="00525A8A"/>
    <w:rsid w:val="00525D7D"/>
    <w:rsid w:val="005276F0"/>
    <w:rsid w:val="00530909"/>
    <w:rsid w:val="00566438"/>
    <w:rsid w:val="0058458D"/>
    <w:rsid w:val="005B3388"/>
    <w:rsid w:val="005C3F73"/>
    <w:rsid w:val="005C44CE"/>
    <w:rsid w:val="005C7891"/>
    <w:rsid w:val="005E79AE"/>
    <w:rsid w:val="005F346B"/>
    <w:rsid w:val="00603302"/>
    <w:rsid w:val="00604E4F"/>
    <w:rsid w:val="006054EE"/>
    <w:rsid w:val="006118B6"/>
    <w:rsid w:val="006270C0"/>
    <w:rsid w:val="00630195"/>
    <w:rsid w:val="00645396"/>
    <w:rsid w:val="006559AF"/>
    <w:rsid w:val="00660ED5"/>
    <w:rsid w:val="00693874"/>
    <w:rsid w:val="00693F46"/>
    <w:rsid w:val="006B2C0F"/>
    <w:rsid w:val="006C6904"/>
    <w:rsid w:val="006F158F"/>
    <w:rsid w:val="00737BF0"/>
    <w:rsid w:val="00764648"/>
    <w:rsid w:val="007672F3"/>
    <w:rsid w:val="007B16C4"/>
    <w:rsid w:val="007C2D7E"/>
    <w:rsid w:val="007C4514"/>
    <w:rsid w:val="007C653E"/>
    <w:rsid w:val="007D17FD"/>
    <w:rsid w:val="007D48C5"/>
    <w:rsid w:val="007E06F0"/>
    <w:rsid w:val="00802DFC"/>
    <w:rsid w:val="00814781"/>
    <w:rsid w:val="00834DBB"/>
    <w:rsid w:val="00842FFB"/>
    <w:rsid w:val="008479AF"/>
    <w:rsid w:val="0086351A"/>
    <w:rsid w:val="00874B61"/>
    <w:rsid w:val="008A4733"/>
    <w:rsid w:val="008A48B7"/>
    <w:rsid w:val="008B284B"/>
    <w:rsid w:val="008B3EB5"/>
    <w:rsid w:val="008C4083"/>
    <w:rsid w:val="008C5809"/>
    <w:rsid w:val="008D3AF6"/>
    <w:rsid w:val="008D5B24"/>
    <w:rsid w:val="008D78C9"/>
    <w:rsid w:val="008E0878"/>
    <w:rsid w:val="008E0FC9"/>
    <w:rsid w:val="00901E95"/>
    <w:rsid w:val="009073D7"/>
    <w:rsid w:val="00913684"/>
    <w:rsid w:val="00923865"/>
    <w:rsid w:val="00923F0E"/>
    <w:rsid w:val="0093016E"/>
    <w:rsid w:val="00934B4D"/>
    <w:rsid w:val="00955C75"/>
    <w:rsid w:val="00960800"/>
    <w:rsid w:val="009677DF"/>
    <w:rsid w:val="009946F8"/>
    <w:rsid w:val="00996E6B"/>
    <w:rsid w:val="009A1D64"/>
    <w:rsid w:val="009A23A7"/>
    <w:rsid w:val="009A703E"/>
    <w:rsid w:val="009B1292"/>
    <w:rsid w:val="009B2430"/>
    <w:rsid w:val="009B338B"/>
    <w:rsid w:val="009B58AD"/>
    <w:rsid w:val="009B74C4"/>
    <w:rsid w:val="009B7935"/>
    <w:rsid w:val="009C589F"/>
    <w:rsid w:val="009C7BA2"/>
    <w:rsid w:val="009D1161"/>
    <w:rsid w:val="009D667B"/>
    <w:rsid w:val="009E30B3"/>
    <w:rsid w:val="009F4449"/>
    <w:rsid w:val="00A02252"/>
    <w:rsid w:val="00A1268B"/>
    <w:rsid w:val="00A127F1"/>
    <w:rsid w:val="00A23183"/>
    <w:rsid w:val="00A2420C"/>
    <w:rsid w:val="00A2550A"/>
    <w:rsid w:val="00A27130"/>
    <w:rsid w:val="00A446E9"/>
    <w:rsid w:val="00A4724E"/>
    <w:rsid w:val="00A7147C"/>
    <w:rsid w:val="00A7660B"/>
    <w:rsid w:val="00A83D9C"/>
    <w:rsid w:val="00A86897"/>
    <w:rsid w:val="00A95733"/>
    <w:rsid w:val="00A96812"/>
    <w:rsid w:val="00AB025E"/>
    <w:rsid w:val="00AB5465"/>
    <w:rsid w:val="00AC012A"/>
    <w:rsid w:val="00AD2645"/>
    <w:rsid w:val="00B26FAC"/>
    <w:rsid w:val="00B31AA2"/>
    <w:rsid w:val="00B440DC"/>
    <w:rsid w:val="00B61B69"/>
    <w:rsid w:val="00B62779"/>
    <w:rsid w:val="00B74C0B"/>
    <w:rsid w:val="00B8400D"/>
    <w:rsid w:val="00B84036"/>
    <w:rsid w:val="00B93A37"/>
    <w:rsid w:val="00BA1819"/>
    <w:rsid w:val="00BA5A22"/>
    <w:rsid w:val="00BA678D"/>
    <w:rsid w:val="00BB3773"/>
    <w:rsid w:val="00BB55E5"/>
    <w:rsid w:val="00BC1702"/>
    <w:rsid w:val="00BD725A"/>
    <w:rsid w:val="00BF3750"/>
    <w:rsid w:val="00C00EF1"/>
    <w:rsid w:val="00C06244"/>
    <w:rsid w:val="00C20793"/>
    <w:rsid w:val="00C44A3A"/>
    <w:rsid w:val="00C47F78"/>
    <w:rsid w:val="00C536C2"/>
    <w:rsid w:val="00C55F47"/>
    <w:rsid w:val="00C56E2E"/>
    <w:rsid w:val="00C64A31"/>
    <w:rsid w:val="00C70FD4"/>
    <w:rsid w:val="00C82E8B"/>
    <w:rsid w:val="00CA38B9"/>
    <w:rsid w:val="00CC4C88"/>
    <w:rsid w:val="00CD0B1F"/>
    <w:rsid w:val="00CD3F96"/>
    <w:rsid w:val="00CE09F3"/>
    <w:rsid w:val="00CE76DA"/>
    <w:rsid w:val="00D0239B"/>
    <w:rsid w:val="00D11E94"/>
    <w:rsid w:val="00D26F36"/>
    <w:rsid w:val="00D279BF"/>
    <w:rsid w:val="00D30389"/>
    <w:rsid w:val="00D337F6"/>
    <w:rsid w:val="00D374BF"/>
    <w:rsid w:val="00D511A5"/>
    <w:rsid w:val="00D52CDB"/>
    <w:rsid w:val="00D61710"/>
    <w:rsid w:val="00D6611E"/>
    <w:rsid w:val="00D713B3"/>
    <w:rsid w:val="00D85F37"/>
    <w:rsid w:val="00D938EE"/>
    <w:rsid w:val="00DB4534"/>
    <w:rsid w:val="00DD2A82"/>
    <w:rsid w:val="00DF46E4"/>
    <w:rsid w:val="00DF7D82"/>
    <w:rsid w:val="00E01F46"/>
    <w:rsid w:val="00E04856"/>
    <w:rsid w:val="00E05288"/>
    <w:rsid w:val="00E054E4"/>
    <w:rsid w:val="00E16E48"/>
    <w:rsid w:val="00E20E2F"/>
    <w:rsid w:val="00E50CD3"/>
    <w:rsid w:val="00E56089"/>
    <w:rsid w:val="00E82583"/>
    <w:rsid w:val="00E87BE1"/>
    <w:rsid w:val="00E91280"/>
    <w:rsid w:val="00E93B93"/>
    <w:rsid w:val="00E9686C"/>
    <w:rsid w:val="00EA020F"/>
    <w:rsid w:val="00EA0DA0"/>
    <w:rsid w:val="00EA1F85"/>
    <w:rsid w:val="00ED4585"/>
    <w:rsid w:val="00ED735F"/>
    <w:rsid w:val="00EE7BD7"/>
    <w:rsid w:val="00EF3F62"/>
    <w:rsid w:val="00F42610"/>
    <w:rsid w:val="00F55C4E"/>
    <w:rsid w:val="00F5775F"/>
    <w:rsid w:val="00F60296"/>
    <w:rsid w:val="00F61203"/>
    <w:rsid w:val="00F63F24"/>
    <w:rsid w:val="00FA0197"/>
    <w:rsid w:val="00FA4A08"/>
    <w:rsid w:val="00FB58A5"/>
    <w:rsid w:val="00FD7B2A"/>
    <w:rsid w:val="00FE33DD"/>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F3C0F"/>
  <w15:docId w15:val="{70A8A9C1-FD91-4367-8922-C9B6CBD9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D713B3"/>
    <w:pPr>
      <w:ind w:left="720"/>
      <w:contextualSpacing/>
    </w:pPr>
  </w:style>
  <w:style w:type="paragraph" w:styleId="Revision">
    <w:name w:val="Revision"/>
    <w:hidden/>
    <w:uiPriority w:val="99"/>
    <w:semiHidden/>
    <w:rsid w:val="0052569A"/>
    <w:rPr>
      <w:sz w:val="22"/>
      <w:szCs w:val="24"/>
    </w:rPr>
  </w:style>
  <w:style w:type="paragraph" w:styleId="NoSpacing">
    <w:name w:val="No Spacing"/>
    <w:uiPriority w:val="1"/>
    <w:qFormat/>
    <w:rsid w:val="0002455B"/>
    <w:rPr>
      <w:sz w:val="24"/>
      <w:szCs w:val="24"/>
    </w:rPr>
  </w:style>
  <w:style w:type="character" w:styleId="Hyperlink">
    <w:name w:val="Hyperlink"/>
    <w:basedOn w:val="DefaultParagraphFont"/>
    <w:rsid w:val="0002455B"/>
    <w:rPr>
      <w:color w:val="0000FF" w:themeColor="hyperlink"/>
      <w:u w:val="single"/>
    </w:rPr>
  </w:style>
  <w:style w:type="paragraph" w:customStyle="1" w:styleId="MusterTitel">
    <w:name w:val="Muster_Titel"/>
    <w:basedOn w:val="Title"/>
    <w:rsid w:val="001A01AF"/>
    <w:pPr>
      <w:tabs>
        <w:tab w:val="clear" w:pos="284"/>
      </w:tabs>
      <w:spacing w:before="480" w:after="480"/>
      <w:ind w:left="567"/>
      <w:contextualSpacing w:val="0"/>
      <w:jc w:val="center"/>
    </w:pPr>
    <w:rPr>
      <w:rFonts w:ascii="Arial" w:eastAsia="Times New Roman" w:hAnsi="Arial" w:cs="Arial"/>
      <w:snapToGrid w:val="0"/>
      <w:spacing w:val="0"/>
      <w:kern w:val="1"/>
      <w:sz w:val="28"/>
      <w:szCs w:val="28"/>
      <w:lang w:val="de-DE" w:eastAsia="de-DE"/>
    </w:rPr>
  </w:style>
  <w:style w:type="table" w:styleId="TableGrid">
    <w:name w:val="Table Grid"/>
    <w:basedOn w:val="TableNormal"/>
    <w:rsid w:val="001A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A01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A01A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99825-3401-41A6-ADE0-674E4EE1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4662</Words>
  <Characters>26574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Bayer</Company>
  <LinksUpToDate>false</LinksUpToDate>
  <CharactersWithSpaces>31174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4</cp:revision>
  <cp:lastPrinted>2016-11-22T11:28:00Z</cp:lastPrinted>
  <dcterms:created xsi:type="dcterms:W3CDTF">2023-07-19T12:21:00Z</dcterms:created>
  <dcterms:modified xsi:type="dcterms:W3CDTF">2023-08-11T08:13:00Z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vladimir.ivanovic@bayer.com</vt:lpwstr>
  </property>
  <property fmtid="{D5CDD505-2E9C-101B-9397-08002B2CF9AE}" pid="5" name="MSIP_Label_7f850223-87a8-40c3-9eb2-432606efca2a_SetDate">
    <vt:lpwstr>2020-05-03T16:38:36.4612927Z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Manual</vt:lpwstr>
  </property>
  <property fmtid="{D5CDD505-2E9C-101B-9397-08002B2CF9AE}" pid="9" name="Sensitivity">
    <vt:lpwstr>NO CLASSIFICATION</vt:lpwstr>
  </property>
</Properties>
</file>