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C9F55" w14:textId="77777777" w:rsidR="001A5518" w:rsidRPr="00D72200" w:rsidRDefault="001A5518" w:rsidP="001A5518">
      <w:pPr>
        <w:rPr>
          <w:b/>
          <w:bCs/>
          <w:i/>
          <w:iCs/>
          <w:sz w:val="22"/>
          <w:szCs w:val="22"/>
          <w:u w:val="single"/>
        </w:rPr>
      </w:pPr>
    </w:p>
    <w:p w14:paraId="75AAD181" w14:textId="77777777" w:rsidR="00230BC1" w:rsidRPr="00D72200" w:rsidRDefault="00230BC1" w:rsidP="002510A5">
      <w:pPr>
        <w:jc w:val="center"/>
        <w:rPr>
          <w:b/>
          <w:bCs/>
          <w:iCs/>
          <w:sz w:val="22"/>
          <w:szCs w:val="22"/>
          <w:u w:val="single"/>
        </w:rPr>
      </w:pPr>
    </w:p>
    <w:p w14:paraId="353430E8" w14:textId="77777777" w:rsidR="002510A5" w:rsidRPr="00D72200" w:rsidRDefault="002510A5" w:rsidP="002510A5">
      <w:pPr>
        <w:jc w:val="center"/>
        <w:rPr>
          <w:b/>
          <w:bCs/>
          <w:iCs/>
          <w:sz w:val="22"/>
          <w:szCs w:val="22"/>
          <w:u w:val="single"/>
        </w:rPr>
      </w:pPr>
      <w:r w:rsidRPr="00D72200">
        <w:rPr>
          <w:b/>
          <w:bCs/>
          <w:iCs/>
          <w:sz w:val="22"/>
          <w:szCs w:val="22"/>
          <w:u w:val="single"/>
        </w:rPr>
        <w:t>SAŽETAK KARAKTERISTIKA LIJEKA</w:t>
      </w:r>
    </w:p>
    <w:p w14:paraId="2E45159D" w14:textId="77777777" w:rsidR="002510A5" w:rsidRPr="00D72200" w:rsidRDefault="002510A5" w:rsidP="002510A5">
      <w:pPr>
        <w:rPr>
          <w:b/>
          <w:bCs/>
          <w:i/>
          <w:iCs/>
          <w:sz w:val="22"/>
          <w:szCs w:val="22"/>
          <w:u w:val="single"/>
        </w:rPr>
      </w:pPr>
    </w:p>
    <w:p w14:paraId="008FDC9D" w14:textId="77777777" w:rsidR="00230BC1" w:rsidRPr="00D72200" w:rsidRDefault="00230BC1" w:rsidP="00F5167F">
      <w:pPr>
        <w:tabs>
          <w:tab w:val="left" w:pos="540"/>
          <w:tab w:val="left" w:pos="569"/>
        </w:tabs>
        <w:rPr>
          <w:bCs/>
          <w:sz w:val="22"/>
          <w:szCs w:val="22"/>
        </w:rPr>
      </w:pPr>
    </w:p>
    <w:p w14:paraId="2A0F1820" w14:textId="77777777" w:rsidR="00230BC1" w:rsidRPr="00D72200" w:rsidRDefault="00230BC1" w:rsidP="00F5167F">
      <w:pPr>
        <w:tabs>
          <w:tab w:val="left" w:pos="540"/>
          <w:tab w:val="left" w:pos="569"/>
        </w:tabs>
        <w:rPr>
          <w:bCs/>
          <w:sz w:val="22"/>
          <w:szCs w:val="22"/>
        </w:rPr>
      </w:pPr>
    </w:p>
    <w:p w14:paraId="201D5A18" w14:textId="77777777" w:rsidR="00411B4B" w:rsidRPr="00D72200" w:rsidRDefault="00411B4B" w:rsidP="00F5167F">
      <w:pPr>
        <w:tabs>
          <w:tab w:val="left" w:pos="540"/>
          <w:tab w:val="left" w:pos="569"/>
        </w:tabs>
        <w:rPr>
          <w:b/>
          <w:bCs/>
          <w:sz w:val="22"/>
          <w:szCs w:val="22"/>
        </w:rPr>
      </w:pPr>
      <w:r w:rsidRPr="00D72200">
        <w:rPr>
          <w:b/>
          <w:bCs/>
          <w:sz w:val="22"/>
          <w:szCs w:val="22"/>
        </w:rPr>
        <w:t>1.</w:t>
      </w:r>
      <w:r w:rsidR="00F5167F" w:rsidRPr="00D72200">
        <w:rPr>
          <w:b/>
          <w:bCs/>
          <w:sz w:val="22"/>
          <w:szCs w:val="22"/>
        </w:rPr>
        <w:tab/>
      </w:r>
      <w:r w:rsidR="002846DB" w:rsidRPr="00D72200">
        <w:rPr>
          <w:b/>
          <w:bCs/>
          <w:sz w:val="22"/>
          <w:szCs w:val="22"/>
        </w:rPr>
        <w:t xml:space="preserve">NAZIV </w:t>
      </w:r>
      <w:r w:rsidRPr="00D72200">
        <w:rPr>
          <w:b/>
          <w:bCs/>
          <w:sz w:val="22"/>
          <w:szCs w:val="22"/>
        </w:rPr>
        <w:t>LIJEKA</w:t>
      </w:r>
    </w:p>
    <w:p w14:paraId="2116213A" w14:textId="77777777" w:rsidR="00EC2532" w:rsidRPr="00D72200" w:rsidRDefault="00EC2532">
      <w:pPr>
        <w:rPr>
          <w:sz w:val="22"/>
          <w:szCs w:val="22"/>
          <w:lang w:val="pl-PL"/>
        </w:rPr>
      </w:pPr>
    </w:p>
    <w:p w14:paraId="2A123D24" w14:textId="5DCE6B1C" w:rsidR="00294AAC" w:rsidRPr="00D72200" w:rsidRDefault="00230BC1" w:rsidP="00230BC1">
      <w:pPr>
        <w:pStyle w:val="Header"/>
        <w:tabs>
          <w:tab w:val="left" w:pos="284"/>
          <w:tab w:val="left" w:pos="9270"/>
        </w:tabs>
        <w:ind w:right="36"/>
        <w:rPr>
          <w:spacing w:val="-9"/>
          <w:sz w:val="22"/>
          <w:szCs w:val="22"/>
          <w:lang w:val="sr-Latn-RS"/>
        </w:rPr>
      </w:pPr>
      <w:r w:rsidRPr="000F132E">
        <w:rPr>
          <w:spacing w:val="-9"/>
          <w:sz w:val="22"/>
          <w:szCs w:val="22"/>
          <w:lang w:val="sr-Latn-RS"/>
        </w:rPr>
        <w:t>Rosuhol</w:t>
      </w:r>
      <w:r w:rsidRPr="00D72200">
        <w:rPr>
          <w:b/>
          <w:spacing w:val="-9"/>
          <w:sz w:val="22"/>
          <w:szCs w:val="22"/>
          <w:lang w:val="sr-Latn-RS"/>
        </w:rPr>
        <w:t>,</w:t>
      </w:r>
      <w:r w:rsidRPr="00D72200">
        <w:rPr>
          <w:spacing w:val="-9"/>
          <w:sz w:val="22"/>
          <w:szCs w:val="22"/>
          <w:lang w:val="sr-Latn-RS"/>
        </w:rPr>
        <w:t xml:space="preserve"> </w:t>
      </w:r>
      <w:r w:rsidR="00294AAC" w:rsidRPr="00D72200">
        <w:rPr>
          <w:spacing w:val="-9"/>
          <w:sz w:val="22"/>
          <w:szCs w:val="22"/>
          <w:lang w:val="sr-Latn-RS"/>
        </w:rPr>
        <w:t>10mg</w:t>
      </w:r>
    </w:p>
    <w:p w14:paraId="64B22A85" w14:textId="7323888B" w:rsidR="00294AAC" w:rsidRPr="00D72200" w:rsidRDefault="00294AAC" w:rsidP="00294AAC">
      <w:pPr>
        <w:pStyle w:val="Header"/>
        <w:tabs>
          <w:tab w:val="left" w:pos="284"/>
          <w:tab w:val="left" w:pos="9270"/>
        </w:tabs>
        <w:ind w:right="36"/>
        <w:rPr>
          <w:spacing w:val="-9"/>
          <w:sz w:val="22"/>
          <w:szCs w:val="22"/>
          <w:lang w:val="sr-Latn-RS"/>
        </w:rPr>
      </w:pPr>
      <w:r w:rsidRPr="000F132E">
        <w:rPr>
          <w:spacing w:val="-9"/>
          <w:sz w:val="22"/>
          <w:szCs w:val="22"/>
          <w:lang w:val="sr-Latn-RS"/>
        </w:rPr>
        <w:t>Rosuhol</w:t>
      </w:r>
      <w:r w:rsidRPr="00D72200">
        <w:rPr>
          <w:b/>
          <w:spacing w:val="-9"/>
          <w:sz w:val="22"/>
          <w:szCs w:val="22"/>
          <w:lang w:val="sr-Latn-RS"/>
        </w:rPr>
        <w:t>,</w:t>
      </w:r>
      <w:r w:rsidRPr="00D72200">
        <w:rPr>
          <w:spacing w:val="-9"/>
          <w:sz w:val="22"/>
          <w:szCs w:val="22"/>
          <w:lang w:val="sr-Latn-RS"/>
        </w:rPr>
        <w:t xml:space="preserve"> 20mg</w:t>
      </w:r>
    </w:p>
    <w:p w14:paraId="25547718" w14:textId="77777777" w:rsidR="00294AAC" w:rsidRPr="00D72200" w:rsidRDefault="00294AAC" w:rsidP="00230BC1">
      <w:pPr>
        <w:pStyle w:val="Header"/>
        <w:tabs>
          <w:tab w:val="left" w:pos="284"/>
          <w:tab w:val="left" w:pos="9270"/>
        </w:tabs>
        <w:ind w:right="36"/>
        <w:rPr>
          <w:spacing w:val="-9"/>
          <w:sz w:val="22"/>
          <w:szCs w:val="22"/>
          <w:lang w:val="sr-Latn-RS"/>
        </w:rPr>
      </w:pPr>
    </w:p>
    <w:p w14:paraId="69056960" w14:textId="5DD032AE" w:rsidR="00230BC1" w:rsidRPr="00D72200" w:rsidRDefault="00230BC1" w:rsidP="00230BC1">
      <w:pPr>
        <w:pStyle w:val="Header"/>
        <w:tabs>
          <w:tab w:val="left" w:pos="284"/>
          <w:tab w:val="left" w:pos="9270"/>
        </w:tabs>
        <w:ind w:right="36"/>
        <w:rPr>
          <w:spacing w:val="-9"/>
          <w:sz w:val="22"/>
          <w:szCs w:val="22"/>
          <w:lang w:val="sr-Latn-RS"/>
        </w:rPr>
      </w:pPr>
      <w:r w:rsidRPr="00D72200">
        <w:rPr>
          <w:spacing w:val="-9"/>
          <w:sz w:val="22"/>
          <w:szCs w:val="22"/>
          <w:lang w:val="sr-Latn-RS"/>
        </w:rPr>
        <w:t>film tablet</w:t>
      </w:r>
      <w:r w:rsidR="00165A25" w:rsidRPr="00D72200">
        <w:rPr>
          <w:spacing w:val="-9"/>
          <w:sz w:val="22"/>
          <w:szCs w:val="22"/>
          <w:lang w:val="sr-Latn-RS"/>
        </w:rPr>
        <w:t>a</w:t>
      </w:r>
    </w:p>
    <w:p w14:paraId="0FA86C05" w14:textId="77777777" w:rsidR="000D425A" w:rsidRPr="00D72200" w:rsidRDefault="000D425A">
      <w:pPr>
        <w:rPr>
          <w:bCs/>
          <w:sz w:val="22"/>
          <w:szCs w:val="22"/>
          <w:lang w:val="sv-SE"/>
        </w:rPr>
      </w:pPr>
    </w:p>
    <w:p w14:paraId="4B44B968" w14:textId="77777777" w:rsidR="006D20A5" w:rsidRPr="00D72200" w:rsidRDefault="006D20A5" w:rsidP="006D20A5">
      <w:pPr>
        <w:rPr>
          <w:sz w:val="22"/>
          <w:szCs w:val="22"/>
          <w:lang w:val="sr-Latn-CS"/>
        </w:rPr>
      </w:pPr>
      <w:r w:rsidRPr="00D72200">
        <w:rPr>
          <w:sz w:val="22"/>
          <w:szCs w:val="22"/>
          <w:lang w:val="sv-SE"/>
        </w:rPr>
        <w:t>INN:</w:t>
      </w:r>
      <w:r w:rsidR="00230BC1" w:rsidRPr="00D72200">
        <w:rPr>
          <w:sz w:val="22"/>
          <w:szCs w:val="22"/>
          <w:lang w:val="sv-SE"/>
        </w:rPr>
        <w:t xml:space="preserve">   rosuvastatin</w:t>
      </w:r>
    </w:p>
    <w:p w14:paraId="2689B076" w14:textId="77777777" w:rsidR="006D20A5" w:rsidRPr="00D72200" w:rsidRDefault="006D20A5">
      <w:pPr>
        <w:rPr>
          <w:bCs/>
          <w:sz w:val="22"/>
          <w:szCs w:val="22"/>
          <w:lang w:val="sv-SE"/>
        </w:rPr>
      </w:pPr>
    </w:p>
    <w:p w14:paraId="0B436501" w14:textId="77777777" w:rsidR="00530BD7" w:rsidRPr="00D72200" w:rsidRDefault="00530BD7">
      <w:pPr>
        <w:rPr>
          <w:bCs/>
          <w:sz w:val="22"/>
          <w:szCs w:val="22"/>
          <w:lang w:val="sv-SE"/>
        </w:rPr>
      </w:pPr>
    </w:p>
    <w:p w14:paraId="33868B71" w14:textId="77777777" w:rsidR="00411B4B" w:rsidRPr="00D72200" w:rsidRDefault="00411B4B" w:rsidP="00F5167F">
      <w:pPr>
        <w:tabs>
          <w:tab w:val="left" w:pos="540"/>
          <w:tab w:val="left" w:pos="569"/>
        </w:tabs>
        <w:rPr>
          <w:b/>
          <w:bCs/>
          <w:sz w:val="22"/>
          <w:szCs w:val="22"/>
        </w:rPr>
      </w:pPr>
      <w:r w:rsidRPr="00D72200">
        <w:rPr>
          <w:b/>
          <w:bCs/>
          <w:sz w:val="22"/>
          <w:szCs w:val="22"/>
        </w:rPr>
        <w:t xml:space="preserve">2. </w:t>
      </w:r>
      <w:r w:rsidR="00F5167F" w:rsidRPr="00D72200">
        <w:rPr>
          <w:b/>
          <w:bCs/>
          <w:sz w:val="22"/>
          <w:szCs w:val="22"/>
        </w:rPr>
        <w:tab/>
      </w:r>
      <w:r w:rsidRPr="00D72200">
        <w:rPr>
          <w:b/>
          <w:bCs/>
          <w:sz w:val="22"/>
          <w:szCs w:val="22"/>
        </w:rPr>
        <w:t>KVALITATIVNI I KVANTITATIVNI SASTAV</w:t>
      </w:r>
    </w:p>
    <w:p w14:paraId="4BA02ABE" w14:textId="77777777" w:rsidR="005A0B2E" w:rsidRPr="00D72200" w:rsidRDefault="005A0B2E">
      <w:pPr>
        <w:rPr>
          <w:sz w:val="22"/>
          <w:szCs w:val="22"/>
          <w:lang w:val="sr-Latn-CS"/>
        </w:rPr>
      </w:pPr>
    </w:p>
    <w:p w14:paraId="5A9499CE" w14:textId="77777777" w:rsidR="00230BC1" w:rsidRPr="000F132E" w:rsidRDefault="00230BC1" w:rsidP="00230BC1">
      <w:pPr>
        <w:widowControl w:val="0"/>
        <w:autoSpaceDE w:val="0"/>
        <w:autoSpaceDN w:val="0"/>
        <w:rPr>
          <w:sz w:val="22"/>
          <w:szCs w:val="22"/>
          <w:lang w:val="sr-Latn-CS"/>
        </w:rPr>
      </w:pPr>
      <w:r w:rsidRPr="000F132E">
        <w:rPr>
          <w:sz w:val="22"/>
          <w:szCs w:val="22"/>
          <w:lang w:val="sr-Latn-CS"/>
        </w:rPr>
        <w:t>Rosuhol, film tableta, 10 mg:</w:t>
      </w:r>
    </w:p>
    <w:p w14:paraId="11DD6B6D" w14:textId="7B42DFD6" w:rsidR="00230BC1" w:rsidRPr="000F132E" w:rsidRDefault="00230BC1" w:rsidP="00230BC1">
      <w:pPr>
        <w:widowControl w:val="0"/>
        <w:autoSpaceDE w:val="0"/>
        <w:autoSpaceDN w:val="0"/>
        <w:rPr>
          <w:sz w:val="22"/>
          <w:szCs w:val="22"/>
          <w:lang w:val="sr-Latn-CS"/>
        </w:rPr>
      </w:pPr>
      <w:r w:rsidRPr="000F132E">
        <w:rPr>
          <w:sz w:val="22"/>
          <w:szCs w:val="22"/>
          <w:lang w:val="sr-Latn-CS"/>
        </w:rPr>
        <w:t>Jedna film tableta sadrži 10 mg rosuvastatina (u obliku rosuvastatin</w:t>
      </w:r>
      <w:r w:rsidR="00165A25" w:rsidRPr="000F132E">
        <w:rPr>
          <w:sz w:val="22"/>
          <w:szCs w:val="22"/>
          <w:lang w:val="sr-Latn-CS"/>
        </w:rPr>
        <w:t xml:space="preserve"> </w:t>
      </w:r>
      <w:r w:rsidRPr="000F132E">
        <w:rPr>
          <w:sz w:val="22"/>
          <w:szCs w:val="22"/>
          <w:lang w:val="sr-Latn-CS"/>
        </w:rPr>
        <w:t>kalcijuma).</w:t>
      </w:r>
    </w:p>
    <w:p w14:paraId="766EE42D" w14:textId="77777777" w:rsidR="00230BC1" w:rsidRPr="000F132E" w:rsidRDefault="00230BC1" w:rsidP="00230BC1">
      <w:pPr>
        <w:widowControl w:val="0"/>
        <w:autoSpaceDE w:val="0"/>
        <w:autoSpaceDN w:val="0"/>
        <w:rPr>
          <w:sz w:val="22"/>
          <w:szCs w:val="22"/>
          <w:lang w:val="sr-Latn-CS"/>
        </w:rPr>
      </w:pPr>
      <w:r w:rsidRPr="000F132E">
        <w:rPr>
          <w:sz w:val="22"/>
          <w:szCs w:val="22"/>
          <w:lang w:val="sr-Latn-CS"/>
        </w:rPr>
        <w:t xml:space="preserve">Rosuhol, film tableta, 20 mg: </w:t>
      </w:r>
    </w:p>
    <w:p w14:paraId="1734794D" w14:textId="3A3E30A2" w:rsidR="00230BC1" w:rsidRPr="000F132E" w:rsidRDefault="00230BC1" w:rsidP="00230BC1">
      <w:pPr>
        <w:widowControl w:val="0"/>
        <w:autoSpaceDE w:val="0"/>
        <w:autoSpaceDN w:val="0"/>
        <w:rPr>
          <w:sz w:val="22"/>
          <w:szCs w:val="22"/>
          <w:lang w:val="sr-Latn-CS"/>
        </w:rPr>
      </w:pPr>
      <w:r w:rsidRPr="000F132E">
        <w:rPr>
          <w:sz w:val="22"/>
          <w:szCs w:val="22"/>
          <w:lang w:val="sr-Latn-CS"/>
        </w:rPr>
        <w:t>Jedna film tableta sadrži 20 mg rosuvastatina (u obliku rosuvastatin</w:t>
      </w:r>
      <w:r w:rsidR="00165A25" w:rsidRPr="000F132E">
        <w:rPr>
          <w:sz w:val="22"/>
          <w:szCs w:val="22"/>
          <w:lang w:val="sr-Latn-CS"/>
        </w:rPr>
        <w:t xml:space="preserve"> </w:t>
      </w:r>
      <w:r w:rsidRPr="000F132E">
        <w:rPr>
          <w:sz w:val="22"/>
          <w:szCs w:val="22"/>
          <w:lang w:val="sr-Latn-CS"/>
        </w:rPr>
        <w:t>kalcijuma).</w:t>
      </w:r>
    </w:p>
    <w:p w14:paraId="531E48A0" w14:textId="77777777" w:rsidR="00230BC1" w:rsidRPr="000F132E" w:rsidRDefault="00230BC1" w:rsidP="00230BC1">
      <w:pPr>
        <w:widowControl w:val="0"/>
        <w:autoSpaceDE w:val="0"/>
        <w:autoSpaceDN w:val="0"/>
        <w:rPr>
          <w:sz w:val="22"/>
          <w:szCs w:val="22"/>
          <w:lang w:val="sr-Latn-CS"/>
        </w:rPr>
      </w:pPr>
    </w:p>
    <w:p w14:paraId="6DC75BE4" w14:textId="5AA05475" w:rsidR="00CB0F90" w:rsidRPr="00D72200" w:rsidRDefault="00CB0F90" w:rsidP="00CB0F90">
      <w:pPr>
        <w:rPr>
          <w:sz w:val="22"/>
          <w:szCs w:val="22"/>
          <w:lang w:val="sr-Latn-CS"/>
        </w:rPr>
      </w:pPr>
      <w:r w:rsidRPr="00D72200">
        <w:rPr>
          <w:sz w:val="22"/>
          <w:szCs w:val="22"/>
          <w:lang w:val="sr-Latn-CS"/>
        </w:rPr>
        <w:t>Pomoćn</w:t>
      </w:r>
      <w:r w:rsidR="008A452A">
        <w:rPr>
          <w:sz w:val="22"/>
          <w:szCs w:val="22"/>
          <w:lang w:val="sr-Latn-CS"/>
        </w:rPr>
        <w:t>a</w:t>
      </w:r>
      <w:r w:rsidRPr="00D72200">
        <w:rPr>
          <w:sz w:val="22"/>
          <w:szCs w:val="22"/>
          <w:lang w:val="sr-Latn-CS"/>
        </w:rPr>
        <w:t xml:space="preserve"> supstanc</w:t>
      </w:r>
      <w:r w:rsidR="008A452A">
        <w:rPr>
          <w:sz w:val="22"/>
          <w:szCs w:val="22"/>
          <w:lang w:val="sr-Latn-CS"/>
        </w:rPr>
        <w:t>a</w:t>
      </w:r>
      <w:r w:rsidRPr="00D72200">
        <w:rPr>
          <w:sz w:val="22"/>
          <w:szCs w:val="22"/>
          <w:lang w:val="sr-Latn-CS"/>
        </w:rPr>
        <w:t xml:space="preserve"> sa potvrđenim dejstvom:</w:t>
      </w:r>
      <w:r w:rsidR="008A452A">
        <w:rPr>
          <w:sz w:val="22"/>
          <w:szCs w:val="22"/>
          <w:lang w:val="sr-Latn-CS"/>
        </w:rPr>
        <w:t xml:space="preserve"> </w:t>
      </w:r>
      <w:r w:rsidRPr="00D72200">
        <w:rPr>
          <w:sz w:val="22"/>
          <w:szCs w:val="22"/>
          <w:lang w:val="sr-Latn-CS"/>
        </w:rPr>
        <w:t>laktoz</w:t>
      </w:r>
      <w:r w:rsidR="008A452A">
        <w:rPr>
          <w:sz w:val="22"/>
          <w:szCs w:val="22"/>
          <w:lang w:val="sr-Latn-CS"/>
        </w:rPr>
        <w:t>a</w:t>
      </w:r>
      <w:r w:rsidRPr="00D72200">
        <w:rPr>
          <w:sz w:val="22"/>
          <w:szCs w:val="22"/>
          <w:lang w:val="sr-Latn-CS"/>
        </w:rPr>
        <w:t>, monohidrat.</w:t>
      </w:r>
    </w:p>
    <w:p w14:paraId="5633CBDD" w14:textId="77777777" w:rsidR="00230BC1" w:rsidRPr="00D72200" w:rsidRDefault="00230BC1">
      <w:pPr>
        <w:rPr>
          <w:sz w:val="22"/>
          <w:szCs w:val="22"/>
          <w:lang w:val="sr-Latn-CS"/>
        </w:rPr>
      </w:pPr>
    </w:p>
    <w:p w14:paraId="1C20C8CF" w14:textId="77777777" w:rsidR="0003793F" w:rsidRPr="00D72200" w:rsidRDefault="0003793F">
      <w:pPr>
        <w:rPr>
          <w:sz w:val="22"/>
          <w:szCs w:val="22"/>
          <w:lang w:val="sr-Latn-CS"/>
        </w:rPr>
      </w:pPr>
      <w:r w:rsidRPr="00D72200">
        <w:rPr>
          <w:sz w:val="22"/>
          <w:szCs w:val="22"/>
          <w:lang w:val="sr-Latn-CS"/>
        </w:rPr>
        <w:t>Za spisak svih ekscipijenasa, pogledati dio 6.1.</w:t>
      </w:r>
    </w:p>
    <w:p w14:paraId="30C479C7" w14:textId="77777777" w:rsidR="0003793F" w:rsidRPr="00D72200" w:rsidRDefault="0003793F">
      <w:pPr>
        <w:rPr>
          <w:sz w:val="22"/>
          <w:szCs w:val="22"/>
          <w:lang w:val="sr-Latn-CS"/>
        </w:rPr>
      </w:pPr>
    </w:p>
    <w:p w14:paraId="7C809331" w14:textId="77777777" w:rsidR="00C37FD7" w:rsidRPr="00D72200" w:rsidRDefault="00C37FD7">
      <w:pPr>
        <w:rPr>
          <w:sz w:val="22"/>
          <w:szCs w:val="22"/>
          <w:lang w:val="sr-Latn-CS"/>
        </w:rPr>
      </w:pPr>
    </w:p>
    <w:p w14:paraId="6B9BBF13" w14:textId="77777777" w:rsidR="00411B4B" w:rsidRPr="00D72200" w:rsidRDefault="00411B4B" w:rsidP="00F5167F">
      <w:pPr>
        <w:tabs>
          <w:tab w:val="left" w:pos="540"/>
          <w:tab w:val="left" w:pos="569"/>
        </w:tabs>
        <w:rPr>
          <w:b/>
          <w:bCs/>
          <w:sz w:val="22"/>
          <w:szCs w:val="22"/>
        </w:rPr>
      </w:pPr>
      <w:r w:rsidRPr="00D72200">
        <w:rPr>
          <w:b/>
          <w:bCs/>
          <w:sz w:val="22"/>
          <w:szCs w:val="22"/>
        </w:rPr>
        <w:t xml:space="preserve">3. </w:t>
      </w:r>
      <w:r w:rsidR="00F5167F" w:rsidRPr="00D72200">
        <w:rPr>
          <w:b/>
          <w:bCs/>
          <w:sz w:val="22"/>
          <w:szCs w:val="22"/>
        </w:rPr>
        <w:tab/>
      </w:r>
      <w:r w:rsidRPr="00D72200">
        <w:rPr>
          <w:b/>
          <w:bCs/>
          <w:sz w:val="22"/>
          <w:szCs w:val="22"/>
        </w:rPr>
        <w:t>FARMACEUTSKI OBLIK</w:t>
      </w:r>
      <w:r w:rsidR="009F2D23" w:rsidRPr="00D72200">
        <w:rPr>
          <w:b/>
          <w:bCs/>
          <w:sz w:val="22"/>
          <w:szCs w:val="22"/>
        </w:rPr>
        <w:t xml:space="preserve"> </w:t>
      </w:r>
    </w:p>
    <w:p w14:paraId="50FE3AE8" w14:textId="77777777" w:rsidR="00411B4B" w:rsidRPr="00D72200" w:rsidRDefault="00411B4B">
      <w:pPr>
        <w:rPr>
          <w:bCs/>
          <w:sz w:val="22"/>
          <w:szCs w:val="22"/>
          <w:lang w:val="sr-Latn-CS"/>
        </w:rPr>
      </w:pPr>
    </w:p>
    <w:p w14:paraId="4426ABA0" w14:textId="61D00311" w:rsidR="00922B86" w:rsidRPr="00D72200" w:rsidRDefault="00922B86" w:rsidP="00922B86">
      <w:pPr>
        <w:widowControl w:val="0"/>
        <w:autoSpaceDE w:val="0"/>
        <w:autoSpaceDN w:val="0"/>
        <w:rPr>
          <w:bCs/>
          <w:sz w:val="22"/>
          <w:szCs w:val="22"/>
          <w:lang w:val="sr-Latn-CS"/>
        </w:rPr>
      </w:pPr>
      <w:r w:rsidRPr="00D72200">
        <w:rPr>
          <w:bCs/>
          <w:sz w:val="22"/>
          <w:szCs w:val="22"/>
          <w:lang w:val="sr-Latn-CS"/>
        </w:rPr>
        <w:t>Film tablet</w:t>
      </w:r>
      <w:r w:rsidR="00B9631A" w:rsidRPr="00D72200">
        <w:rPr>
          <w:bCs/>
          <w:sz w:val="22"/>
          <w:szCs w:val="22"/>
          <w:lang w:val="sr-Latn-CS"/>
        </w:rPr>
        <w:t>a</w:t>
      </w:r>
      <w:r w:rsidRPr="00D72200">
        <w:rPr>
          <w:bCs/>
          <w:sz w:val="22"/>
          <w:szCs w:val="22"/>
          <w:lang w:val="sr-Latn-CS"/>
        </w:rPr>
        <w:t>.</w:t>
      </w:r>
    </w:p>
    <w:p w14:paraId="1A92EEB2" w14:textId="77777777" w:rsidR="00922B86" w:rsidRPr="00D72200" w:rsidRDefault="00922B86" w:rsidP="00922B86">
      <w:pPr>
        <w:widowControl w:val="0"/>
        <w:autoSpaceDE w:val="0"/>
        <w:autoSpaceDN w:val="0"/>
        <w:rPr>
          <w:bCs/>
          <w:sz w:val="22"/>
          <w:szCs w:val="22"/>
          <w:lang w:val="sr-Latn-CS"/>
        </w:rPr>
      </w:pPr>
    </w:p>
    <w:p w14:paraId="11DBE6C7" w14:textId="39B6092F" w:rsidR="00922B86" w:rsidRPr="000F132E" w:rsidRDefault="00922B86" w:rsidP="00922B86">
      <w:pPr>
        <w:widowControl w:val="0"/>
        <w:autoSpaceDE w:val="0"/>
        <w:autoSpaceDN w:val="0"/>
        <w:rPr>
          <w:sz w:val="22"/>
          <w:szCs w:val="22"/>
          <w:lang w:val="sr-Latn-CS"/>
        </w:rPr>
      </w:pPr>
      <w:r w:rsidRPr="000F132E">
        <w:rPr>
          <w:sz w:val="22"/>
          <w:szCs w:val="22"/>
          <w:lang w:val="sr-Latn-CS"/>
        </w:rPr>
        <w:t xml:space="preserve">Rosuhol, film tableta, 10 mg: okrugle, bikonveksne film tablete </w:t>
      </w:r>
      <w:r w:rsidR="00CC2C2B" w:rsidRPr="000F132E">
        <w:rPr>
          <w:sz w:val="22"/>
          <w:szCs w:val="22"/>
          <w:lang w:val="sr-Latn-CS"/>
        </w:rPr>
        <w:t>sv</w:t>
      </w:r>
      <w:r w:rsidR="00660FAD" w:rsidRPr="000F132E">
        <w:rPr>
          <w:sz w:val="22"/>
          <w:szCs w:val="22"/>
          <w:lang w:val="sr-Latn-CS"/>
        </w:rPr>
        <w:t>ij</w:t>
      </w:r>
      <w:r w:rsidR="00CC2C2B" w:rsidRPr="000F132E">
        <w:rPr>
          <w:sz w:val="22"/>
          <w:szCs w:val="22"/>
          <w:lang w:val="sr-Latn-CS"/>
        </w:rPr>
        <w:t>etlo</w:t>
      </w:r>
      <w:r w:rsidR="00D0666B" w:rsidRPr="000F132E">
        <w:rPr>
          <w:sz w:val="22"/>
          <w:szCs w:val="22"/>
          <w:lang w:val="sr-Latn-CS"/>
        </w:rPr>
        <w:t xml:space="preserve"> </w:t>
      </w:r>
      <w:r w:rsidR="00CC2C2B" w:rsidRPr="000F132E">
        <w:rPr>
          <w:sz w:val="22"/>
          <w:szCs w:val="22"/>
          <w:lang w:val="sr-Latn-CS"/>
        </w:rPr>
        <w:t xml:space="preserve">pink </w:t>
      </w:r>
      <w:r w:rsidRPr="000F132E">
        <w:rPr>
          <w:sz w:val="22"/>
          <w:szCs w:val="22"/>
          <w:lang w:val="sr-Latn-CS"/>
        </w:rPr>
        <w:t>boje, prečnika 7mm; sa utisnutom oznakom  “10“ sa jedne strane.</w:t>
      </w:r>
    </w:p>
    <w:p w14:paraId="3C31180A" w14:textId="1C1C7103" w:rsidR="00922B86" w:rsidRPr="000F132E" w:rsidRDefault="00922B86" w:rsidP="00922B86">
      <w:pPr>
        <w:widowControl w:val="0"/>
        <w:autoSpaceDE w:val="0"/>
        <w:autoSpaceDN w:val="0"/>
        <w:rPr>
          <w:sz w:val="22"/>
          <w:szCs w:val="22"/>
          <w:lang w:val="sr-Latn-CS"/>
        </w:rPr>
      </w:pPr>
      <w:r w:rsidRPr="000F132E">
        <w:rPr>
          <w:sz w:val="22"/>
          <w:szCs w:val="22"/>
          <w:lang w:val="sr-Latn-CS"/>
        </w:rPr>
        <w:t xml:space="preserve">Rosuhol, film tableta, 20 mg: okrugle, bikonveksne film tablete </w:t>
      </w:r>
      <w:r w:rsidR="00A02802" w:rsidRPr="000F132E">
        <w:rPr>
          <w:sz w:val="22"/>
          <w:szCs w:val="22"/>
          <w:lang w:val="sr-Latn-CS"/>
        </w:rPr>
        <w:t>tamno</w:t>
      </w:r>
      <w:r w:rsidR="00D0666B" w:rsidRPr="000F132E">
        <w:rPr>
          <w:sz w:val="22"/>
          <w:szCs w:val="22"/>
          <w:lang w:val="sr-Latn-CS"/>
        </w:rPr>
        <w:t xml:space="preserve"> </w:t>
      </w:r>
      <w:r w:rsidR="00A02802" w:rsidRPr="000F132E">
        <w:rPr>
          <w:sz w:val="22"/>
          <w:szCs w:val="22"/>
          <w:lang w:val="sr-Latn-CS"/>
        </w:rPr>
        <w:t xml:space="preserve">pink </w:t>
      </w:r>
      <w:r w:rsidRPr="000F132E">
        <w:rPr>
          <w:sz w:val="22"/>
          <w:szCs w:val="22"/>
          <w:lang w:val="sr-Latn-CS"/>
        </w:rPr>
        <w:t>boje,</w:t>
      </w:r>
      <w:r w:rsidRPr="000F132E">
        <w:rPr>
          <w:sz w:val="22"/>
          <w:szCs w:val="22"/>
        </w:rPr>
        <w:t xml:space="preserve"> </w:t>
      </w:r>
      <w:r w:rsidRPr="000F132E">
        <w:rPr>
          <w:sz w:val="22"/>
          <w:szCs w:val="22"/>
          <w:lang w:val="sr-Latn-CS"/>
        </w:rPr>
        <w:t xml:space="preserve">prečnika 9 mm, sa utisnutom oznakom  “20“ sa jedne strane. </w:t>
      </w:r>
    </w:p>
    <w:p w14:paraId="427416DE" w14:textId="77777777" w:rsidR="00EC2532" w:rsidRPr="00D72200" w:rsidRDefault="00EC2532">
      <w:pPr>
        <w:rPr>
          <w:bCs/>
          <w:sz w:val="22"/>
          <w:szCs w:val="22"/>
          <w:lang w:val="sr-Latn-CS"/>
        </w:rPr>
      </w:pPr>
    </w:p>
    <w:p w14:paraId="7A9E1750" w14:textId="77777777" w:rsidR="00411B4B" w:rsidRPr="00D72200" w:rsidRDefault="00411B4B" w:rsidP="00F5167F">
      <w:pPr>
        <w:tabs>
          <w:tab w:val="left" w:pos="540"/>
          <w:tab w:val="left" w:pos="569"/>
        </w:tabs>
        <w:rPr>
          <w:b/>
          <w:bCs/>
          <w:sz w:val="22"/>
          <w:szCs w:val="22"/>
        </w:rPr>
      </w:pPr>
      <w:r w:rsidRPr="00D72200">
        <w:rPr>
          <w:b/>
          <w:bCs/>
          <w:sz w:val="22"/>
          <w:szCs w:val="22"/>
        </w:rPr>
        <w:t xml:space="preserve">4. </w:t>
      </w:r>
      <w:r w:rsidR="00480FB1" w:rsidRPr="00D72200">
        <w:rPr>
          <w:b/>
          <w:bCs/>
          <w:sz w:val="22"/>
          <w:szCs w:val="22"/>
        </w:rPr>
        <w:tab/>
      </w:r>
      <w:r w:rsidRPr="00D72200">
        <w:rPr>
          <w:b/>
          <w:bCs/>
          <w:sz w:val="22"/>
          <w:szCs w:val="22"/>
        </w:rPr>
        <w:t>KLINIČKI PODACI</w:t>
      </w:r>
    </w:p>
    <w:p w14:paraId="1DF16202" w14:textId="77777777" w:rsidR="00CD6F02" w:rsidRPr="00D72200" w:rsidRDefault="00CD6F02" w:rsidP="00480FB1">
      <w:pPr>
        <w:tabs>
          <w:tab w:val="left" w:pos="540"/>
          <w:tab w:val="left" w:pos="569"/>
        </w:tabs>
        <w:rPr>
          <w:bCs/>
          <w:sz w:val="22"/>
          <w:szCs w:val="22"/>
        </w:rPr>
      </w:pPr>
    </w:p>
    <w:p w14:paraId="5049A9A3" w14:textId="77777777" w:rsidR="00411B4B" w:rsidRPr="00D72200" w:rsidRDefault="00411B4B" w:rsidP="00480FB1">
      <w:pPr>
        <w:tabs>
          <w:tab w:val="left" w:pos="540"/>
          <w:tab w:val="left" w:pos="569"/>
        </w:tabs>
        <w:rPr>
          <w:b/>
          <w:bCs/>
          <w:sz w:val="22"/>
          <w:szCs w:val="22"/>
        </w:rPr>
      </w:pPr>
      <w:r w:rsidRPr="00D72200">
        <w:rPr>
          <w:b/>
          <w:bCs/>
          <w:sz w:val="22"/>
          <w:szCs w:val="22"/>
        </w:rPr>
        <w:t xml:space="preserve">4.1. </w:t>
      </w:r>
      <w:r w:rsidR="00480FB1" w:rsidRPr="00D72200">
        <w:rPr>
          <w:b/>
          <w:bCs/>
          <w:sz w:val="22"/>
          <w:szCs w:val="22"/>
        </w:rPr>
        <w:tab/>
      </w:r>
      <w:r w:rsidRPr="00D72200">
        <w:rPr>
          <w:b/>
          <w:bCs/>
          <w:sz w:val="22"/>
          <w:szCs w:val="22"/>
        </w:rPr>
        <w:t>Terapijske indikacije</w:t>
      </w:r>
    </w:p>
    <w:p w14:paraId="3F2F35B4" w14:textId="77777777" w:rsidR="006C29FB" w:rsidRPr="00D72200" w:rsidRDefault="006C29FB" w:rsidP="00480FB1">
      <w:pPr>
        <w:tabs>
          <w:tab w:val="left" w:pos="540"/>
          <w:tab w:val="left" w:pos="569"/>
        </w:tabs>
        <w:rPr>
          <w:b/>
          <w:bCs/>
          <w:sz w:val="22"/>
          <w:szCs w:val="22"/>
        </w:rPr>
      </w:pPr>
    </w:p>
    <w:p w14:paraId="34FDB3EC" w14:textId="12306A69" w:rsidR="00922B86" w:rsidRPr="00D72200" w:rsidRDefault="00922B86" w:rsidP="006F4C6F">
      <w:pPr>
        <w:shd w:val="clear" w:color="auto" w:fill="FFFFFF"/>
        <w:tabs>
          <w:tab w:val="left" w:pos="734"/>
          <w:tab w:val="left" w:pos="9270"/>
        </w:tabs>
        <w:spacing w:before="5" w:line="264" w:lineRule="exact"/>
        <w:ind w:left="14" w:right="36"/>
        <w:jc w:val="both"/>
        <w:rPr>
          <w:b/>
          <w:sz w:val="22"/>
          <w:szCs w:val="22"/>
          <w:lang w:val="sr-Latn-RS"/>
        </w:rPr>
      </w:pPr>
      <w:r w:rsidRPr="00D72200">
        <w:rPr>
          <w:b/>
          <w:bCs/>
          <w:sz w:val="22"/>
          <w:szCs w:val="22"/>
          <w:lang w:val="sr-Latn-RS"/>
        </w:rPr>
        <w:t>Liječenje hiperholesterolemije</w:t>
      </w:r>
    </w:p>
    <w:p w14:paraId="03EC392F" w14:textId="471A61AC" w:rsidR="00922B86" w:rsidRPr="00D72200" w:rsidRDefault="00922B86" w:rsidP="006F4C6F">
      <w:pPr>
        <w:shd w:val="clear" w:color="auto" w:fill="FFFFFF"/>
        <w:tabs>
          <w:tab w:val="left" w:pos="9270"/>
        </w:tabs>
        <w:spacing w:before="5" w:line="269" w:lineRule="exact"/>
        <w:ind w:right="36"/>
        <w:jc w:val="both"/>
        <w:rPr>
          <w:spacing w:val="-2"/>
          <w:sz w:val="22"/>
          <w:szCs w:val="22"/>
          <w:lang w:val="sr-Latn-RS"/>
        </w:rPr>
      </w:pPr>
      <w:r w:rsidRPr="00D72200">
        <w:rPr>
          <w:spacing w:val="-2"/>
          <w:sz w:val="22"/>
          <w:szCs w:val="22"/>
          <w:lang w:val="sr-Latn-RS"/>
        </w:rPr>
        <w:t xml:space="preserve">Kod odraslih, adolescenata i djece </w:t>
      </w:r>
      <w:r w:rsidR="00D54490" w:rsidRPr="00D72200">
        <w:rPr>
          <w:spacing w:val="-2"/>
          <w:sz w:val="22"/>
          <w:szCs w:val="22"/>
          <w:lang w:val="sr-Latn-RS"/>
        </w:rPr>
        <w:t>6 godina i starije</w:t>
      </w:r>
      <w:r w:rsidRPr="00D72200">
        <w:rPr>
          <w:spacing w:val="-2"/>
          <w:sz w:val="22"/>
          <w:szCs w:val="22"/>
          <w:lang w:val="sr-Latn-RS"/>
        </w:rPr>
        <w:t xml:space="preserve"> sa primarnom hiperholesterolemijom (tipa IIa, uključujući  heterozigotnu  porodičnu hiperholesterolemiju) ili sa mješovitom dislipidemijom (tipa IIb) </w:t>
      </w:r>
      <w:r w:rsidR="007139EA" w:rsidRPr="00D72200">
        <w:rPr>
          <w:spacing w:val="-2"/>
          <w:sz w:val="22"/>
          <w:szCs w:val="22"/>
          <w:lang w:val="sr-Latn-RS"/>
        </w:rPr>
        <w:t xml:space="preserve"> </w:t>
      </w:r>
      <w:r w:rsidRPr="00D72200">
        <w:rPr>
          <w:spacing w:val="-2"/>
          <w:sz w:val="22"/>
          <w:szCs w:val="22"/>
          <w:lang w:val="sr-Latn-RS"/>
        </w:rPr>
        <w:t>kao dopuna dijeti, u slučaju kada dijetetske i druge nefarmakološke mjere (npr. fizička aktivnost</w:t>
      </w:r>
      <w:r w:rsidR="00EB642F" w:rsidRPr="00D72200">
        <w:rPr>
          <w:spacing w:val="-2"/>
          <w:sz w:val="22"/>
          <w:szCs w:val="22"/>
          <w:lang w:val="sr-Latn-RS"/>
        </w:rPr>
        <w:t xml:space="preserve"> </w:t>
      </w:r>
      <w:r w:rsidR="007139EA" w:rsidRPr="00D72200">
        <w:rPr>
          <w:spacing w:val="-2"/>
          <w:sz w:val="22"/>
          <w:szCs w:val="22"/>
          <w:lang w:val="sr-Latn-RS"/>
        </w:rPr>
        <w:t>-</w:t>
      </w:r>
      <w:r w:rsidR="007D3E25" w:rsidRPr="00D72200">
        <w:rPr>
          <w:spacing w:val="-2"/>
          <w:sz w:val="22"/>
          <w:szCs w:val="22"/>
          <w:lang w:val="sr-Latn-RS"/>
        </w:rPr>
        <w:t xml:space="preserve"> </w:t>
      </w:r>
      <w:r w:rsidR="007139EA" w:rsidRPr="00D72200">
        <w:rPr>
          <w:spacing w:val="-2"/>
          <w:sz w:val="22"/>
          <w:szCs w:val="22"/>
          <w:lang w:val="sr-Latn-RS"/>
        </w:rPr>
        <w:t>vežbanje</w:t>
      </w:r>
      <w:r w:rsidRPr="00D72200">
        <w:rPr>
          <w:spacing w:val="-2"/>
          <w:sz w:val="22"/>
          <w:szCs w:val="22"/>
          <w:lang w:val="sr-Latn-RS"/>
        </w:rPr>
        <w:t>, smanjenje tjelesne mase) ne daju adekvatan odgovor.</w:t>
      </w:r>
    </w:p>
    <w:p w14:paraId="185A6863" w14:textId="77777777" w:rsidR="00922B86" w:rsidRPr="00D72200" w:rsidRDefault="00922B86" w:rsidP="006F4C6F">
      <w:pPr>
        <w:shd w:val="clear" w:color="auto" w:fill="FFFFFF"/>
        <w:tabs>
          <w:tab w:val="left" w:pos="9270"/>
        </w:tabs>
        <w:spacing w:before="5" w:line="269" w:lineRule="exact"/>
        <w:ind w:left="14" w:right="36"/>
        <w:jc w:val="both"/>
        <w:rPr>
          <w:spacing w:val="-2"/>
          <w:sz w:val="22"/>
          <w:szCs w:val="22"/>
          <w:lang w:val="sr-Latn-RS"/>
        </w:rPr>
      </w:pPr>
    </w:p>
    <w:p w14:paraId="5F636D2A" w14:textId="6146C69F" w:rsidR="00922B86" w:rsidRPr="00D72200" w:rsidRDefault="003F11AE" w:rsidP="00376732">
      <w:pPr>
        <w:shd w:val="clear" w:color="auto" w:fill="FFFFFF"/>
        <w:tabs>
          <w:tab w:val="left" w:pos="9270"/>
        </w:tabs>
        <w:spacing w:before="5" w:line="269" w:lineRule="exact"/>
        <w:ind w:left="14" w:right="36"/>
        <w:jc w:val="both"/>
        <w:rPr>
          <w:sz w:val="22"/>
          <w:szCs w:val="22"/>
        </w:rPr>
      </w:pPr>
      <w:r w:rsidRPr="00D72200">
        <w:rPr>
          <w:sz w:val="22"/>
          <w:szCs w:val="22"/>
        </w:rPr>
        <w:t>Kod odraslih</w:t>
      </w:r>
      <w:r w:rsidR="00C76788" w:rsidRPr="00D72200">
        <w:rPr>
          <w:sz w:val="22"/>
          <w:szCs w:val="22"/>
        </w:rPr>
        <w:t>, adolescenata i d</w:t>
      </w:r>
      <w:r w:rsidR="006A17F2" w:rsidRPr="00D72200">
        <w:rPr>
          <w:sz w:val="22"/>
          <w:szCs w:val="22"/>
        </w:rPr>
        <w:t>j</w:t>
      </w:r>
      <w:r w:rsidR="00C76788" w:rsidRPr="00D72200">
        <w:rPr>
          <w:sz w:val="22"/>
          <w:szCs w:val="22"/>
        </w:rPr>
        <w:t xml:space="preserve">ece uzrasta 6 godina i starije </w:t>
      </w:r>
      <w:r w:rsidR="00501B8F" w:rsidRPr="00D72200">
        <w:rPr>
          <w:sz w:val="22"/>
          <w:szCs w:val="22"/>
        </w:rPr>
        <w:t>sa h</w:t>
      </w:r>
      <w:r w:rsidR="00922B86" w:rsidRPr="00D72200">
        <w:rPr>
          <w:sz w:val="22"/>
          <w:szCs w:val="22"/>
        </w:rPr>
        <w:t>omozigotn</w:t>
      </w:r>
      <w:r w:rsidR="00501B8F" w:rsidRPr="00D72200">
        <w:rPr>
          <w:sz w:val="22"/>
          <w:szCs w:val="22"/>
        </w:rPr>
        <w:t>om</w:t>
      </w:r>
      <w:r w:rsidR="00922B86" w:rsidRPr="00D72200">
        <w:rPr>
          <w:sz w:val="22"/>
          <w:szCs w:val="22"/>
        </w:rPr>
        <w:t xml:space="preserve"> porodičn</w:t>
      </w:r>
      <w:r w:rsidR="00501B8F" w:rsidRPr="00D72200">
        <w:rPr>
          <w:sz w:val="22"/>
          <w:szCs w:val="22"/>
        </w:rPr>
        <w:t>om</w:t>
      </w:r>
      <w:r w:rsidR="006B6C8D" w:rsidRPr="00D72200">
        <w:rPr>
          <w:sz w:val="22"/>
          <w:szCs w:val="22"/>
        </w:rPr>
        <w:t xml:space="preserve"> </w:t>
      </w:r>
      <w:r w:rsidR="00922B86" w:rsidRPr="00D72200">
        <w:rPr>
          <w:sz w:val="22"/>
          <w:szCs w:val="22"/>
        </w:rPr>
        <w:t>hiperholesterolemij</w:t>
      </w:r>
      <w:r w:rsidR="00501B8F" w:rsidRPr="00D72200">
        <w:rPr>
          <w:sz w:val="22"/>
          <w:szCs w:val="22"/>
        </w:rPr>
        <w:t>om</w:t>
      </w:r>
      <w:r w:rsidR="00922B86" w:rsidRPr="00D72200">
        <w:rPr>
          <w:sz w:val="22"/>
          <w:szCs w:val="22"/>
        </w:rPr>
        <w:t xml:space="preserve">, kao dodatak dijeti i drugim </w:t>
      </w:r>
      <w:r w:rsidR="009E2A6A" w:rsidRPr="00D72200">
        <w:rPr>
          <w:sz w:val="22"/>
          <w:szCs w:val="22"/>
        </w:rPr>
        <w:t>vrstama terapije za smanjenje</w:t>
      </w:r>
      <w:r w:rsidR="00237BCF" w:rsidRPr="00D72200">
        <w:rPr>
          <w:sz w:val="22"/>
          <w:szCs w:val="22"/>
        </w:rPr>
        <w:t xml:space="preserve"> nivoa</w:t>
      </w:r>
      <w:r w:rsidR="00922B86" w:rsidRPr="00D72200">
        <w:rPr>
          <w:sz w:val="22"/>
          <w:szCs w:val="22"/>
        </w:rPr>
        <w:t xml:space="preserve"> lipida (npr.</w:t>
      </w:r>
      <w:r w:rsidR="00785D64" w:rsidRPr="00D72200">
        <w:rPr>
          <w:sz w:val="22"/>
          <w:szCs w:val="22"/>
        </w:rPr>
        <w:t xml:space="preserve"> </w:t>
      </w:r>
      <w:r w:rsidR="00FC21FD" w:rsidRPr="00D72200">
        <w:rPr>
          <w:sz w:val="22"/>
          <w:szCs w:val="22"/>
        </w:rPr>
        <w:t xml:space="preserve">aferaza </w:t>
      </w:r>
      <w:r w:rsidR="00922B86" w:rsidRPr="00D72200">
        <w:rPr>
          <w:sz w:val="22"/>
          <w:szCs w:val="22"/>
        </w:rPr>
        <w:t>LDL-</w:t>
      </w:r>
      <w:r w:rsidR="00FC21FD" w:rsidRPr="00D72200">
        <w:rPr>
          <w:sz w:val="22"/>
          <w:szCs w:val="22"/>
        </w:rPr>
        <w:t>holesterola</w:t>
      </w:r>
      <w:r w:rsidR="00922B86" w:rsidRPr="00D72200">
        <w:rPr>
          <w:sz w:val="22"/>
          <w:szCs w:val="22"/>
        </w:rPr>
        <w:t xml:space="preserve">) ili u slučajevima kad </w:t>
      </w:r>
      <w:r w:rsidR="00C74DF0" w:rsidRPr="00D72200">
        <w:rPr>
          <w:sz w:val="22"/>
          <w:szCs w:val="22"/>
        </w:rPr>
        <w:t>takve terapije</w:t>
      </w:r>
      <w:r w:rsidR="00922B86" w:rsidRPr="00D72200">
        <w:rPr>
          <w:sz w:val="22"/>
          <w:szCs w:val="22"/>
        </w:rPr>
        <w:t xml:space="preserve"> ni</w:t>
      </w:r>
      <w:r w:rsidR="00DD0DF1" w:rsidRPr="00D72200">
        <w:rPr>
          <w:sz w:val="22"/>
          <w:szCs w:val="22"/>
        </w:rPr>
        <w:t>je</w:t>
      </w:r>
      <w:r w:rsidR="00922B86" w:rsidRPr="00D72200">
        <w:rPr>
          <w:sz w:val="22"/>
          <w:szCs w:val="22"/>
        </w:rPr>
        <w:t>su primjeren</w:t>
      </w:r>
      <w:r w:rsidR="00C74DF0" w:rsidRPr="00D72200">
        <w:rPr>
          <w:sz w:val="22"/>
          <w:szCs w:val="22"/>
        </w:rPr>
        <w:t>e</w:t>
      </w:r>
      <w:r w:rsidR="00922B86" w:rsidRPr="00D72200">
        <w:rPr>
          <w:sz w:val="22"/>
          <w:szCs w:val="22"/>
        </w:rPr>
        <w:t>.</w:t>
      </w:r>
    </w:p>
    <w:p w14:paraId="045FBDE0" w14:textId="77777777" w:rsidR="00922B86" w:rsidRPr="00D72200" w:rsidRDefault="00922B86" w:rsidP="006F4C6F">
      <w:pPr>
        <w:shd w:val="clear" w:color="auto" w:fill="FFFFFF"/>
        <w:tabs>
          <w:tab w:val="left" w:pos="9270"/>
        </w:tabs>
        <w:spacing w:before="5" w:line="269" w:lineRule="exact"/>
        <w:ind w:left="14" w:right="36"/>
        <w:jc w:val="both"/>
        <w:rPr>
          <w:spacing w:val="-2"/>
          <w:sz w:val="22"/>
          <w:szCs w:val="22"/>
          <w:lang w:val="sr-Latn-RS"/>
        </w:rPr>
      </w:pPr>
    </w:p>
    <w:p w14:paraId="6803F724" w14:textId="77777777" w:rsidR="00922B86" w:rsidRPr="00D72200" w:rsidRDefault="00922B86" w:rsidP="006F4C6F">
      <w:pPr>
        <w:shd w:val="clear" w:color="auto" w:fill="FFFFFF"/>
        <w:tabs>
          <w:tab w:val="left" w:pos="9270"/>
        </w:tabs>
        <w:spacing w:before="5" w:line="269" w:lineRule="exact"/>
        <w:ind w:left="14" w:right="36"/>
        <w:jc w:val="both"/>
        <w:rPr>
          <w:b/>
          <w:spacing w:val="-2"/>
          <w:sz w:val="22"/>
          <w:szCs w:val="22"/>
          <w:lang w:val="sr-Latn-RS"/>
        </w:rPr>
      </w:pPr>
      <w:r w:rsidRPr="00D72200">
        <w:rPr>
          <w:b/>
          <w:spacing w:val="-2"/>
          <w:sz w:val="22"/>
          <w:szCs w:val="22"/>
          <w:lang w:val="sr-Latn-RS"/>
        </w:rPr>
        <w:t>Prevencija kardiovaskularnih događaja</w:t>
      </w:r>
    </w:p>
    <w:p w14:paraId="7B2D05D4" w14:textId="5B18F156" w:rsidR="00922B86" w:rsidRPr="00D72200" w:rsidRDefault="00922B86" w:rsidP="006F4C6F">
      <w:pPr>
        <w:shd w:val="clear" w:color="auto" w:fill="FFFFFF"/>
        <w:tabs>
          <w:tab w:val="left" w:pos="9270"/>
        </w:tabs>
        <w:spacing w:before="5" w:line="269" w:lineRule="exact"/>
        <w:ind w:right="36"/>
        <w:jc w:val="both"/>
        <w:rPr>
          <w:spacing w:val="-2"/>
          <w:sz w:val="22"/>
          <w:szCs w:val="22"/>
          <w:lang w:val="sr-Latn-RS"/>
        </w:rPr>
      </w:pPr>
      <w:r w:rsidRPr="00D72200">
        <w:rPr>
          <w:spacing w:val="-2"/>
          <w:sz w:val="22"/>
          <w:szCs w:val="22"/>
          <w:lang w:val="sr-Latn-RS"/>
        </w:rPr>
        <w:t xml:space="preserve">Prevencija velikih  kardiovaskularnih događaja kod pacijenata </w:t>
      </w:r>
      <w:r w:rsidR="003F1702" w:rsidRPr="00D72200">
        <w:rPr>
          <w:spacing w:val="-2"/>
          <w:sz w:val="22"/>
          <w:szCs w:val="22"/>
          <w:lang w:val="sr-Latn-RS"/>
        </w:rPr>
        <w:t>kod kojih je proc</w:t>
      </w:r>
      <w:r w:rsidR="006A17F2" w:rsidRPr="00D72200">
        <w:rPr>
          <w:spacing w:val="-2"/>
          <w:sz w:val="22"/>
          <w:szCs w:val="22"/>
          <w:lang w:val="sr-Latn-RS"/>
        </w:rPr>
        <w:t>ij</w:t>
      </w:r>
      <w:r w:rsidR="003F1702" w:rsidRPr="00D72200">
        <w:rPr>
          <w:spacing w:val="-2"/>
          <w:sz w:val="22"/>
          <w:szCs w:val="22"/>
          <w:lang w:val="sr-Latn-RS"/>
        </w:rPr>
        <w:t xml:space="preserve">enjeno da imaju velik </w:t>
      </w:r>
      <w:r w:rsidRPr="00D72200">
        <w:rPr>
          <w:spacing w:val="-2"/>
          <w:sz w:val="22"/>
          <w:szCs w:val="22"/>
          <w:lang w:val="sr-Latn-RS"/>
        </w:rPr>
        <w:t xml:space="preserve">rizik </w:t>
      </w:r>
      <w:r w:rsidR="003F1702" w:rsidRPr="00D72200">
        <w:rPr>
          <w:spacing w:val="-2"/>
          <w:sz w:val="22"/>
          <w:szCs w:val="22"/>
          <w:lang w:val="sr-Latn-RS"/>
        </w:rPr>
        <w:t>od</w:t>
      </w:r>
      <w:r w:rsidRPr="00D72200">
        <w:rPr>
          <w:spacing w:val="-2"/>
          <w:sz w:val="22"/>
          <w:szCs w:val="22"/>
          <w:lang w:val="sr-Latn-RS"/>
        </w:rPr>
        <w:t xml:space="preserve"> prvog kardiovaskularnog događaja, kao dopuna korekciji ostalih faktora rizika (vidjeti </w:t>
      </w:r>
      <w:r w:rsidR="00AD649C" w:rsidRPr="00D72200">
        <w:rPr>
          <w:spacing w:val="-2"/>
          <w:sz w:val="22"/>
          <w:szCs w:val="22"/>
          <w:lang w:val="sr-Latn-RS"/>
        </w:rPr>
        <w:t>d</w:t>
      </w:r>
      <w:r w:rsidR="007D3E25" w:rsidRPr="00D72200">
        <w:rPr>
          <w:spacing w:val="-2"/>
          <w:sz w:val="22"/>
          <w:szCs w:val="22"/>
          <w:lang w:val="sr-Latn-RS"/>
        </w:rPr>
        <w:t>i</w:t>
      </w:r>
      <w:r w:rsidR="00AD649C" w:rsidRPr="00D72200">
        <w:rPr>
          <w:spacing w:val="-2"/>
          <w:sz w:val="22"/>
          <w:szCs w:val="22"/>
          <w:lang w:val="sr-Latn-RS"/>
        </w:rPr>
        <w:t xml:space="preserve">o </w:t>
      </w:r>
      <w:r w:rsidRPr="00D72200">
        <w:rPr>
          <w:spacing w:val="-2"/>
          <w:sz w:val="22"/>
          <w:szCs w:val="22"/>
          <w:lang w:val="sr-Latn-RS"/>
        </w:rPr>
        <w:t>5.1).</w:t>
      </w:r>
    </w:p>
    <w:p w14:paraId="0945897C" w14:textId="77777777" w:rsidR="00411B4B" w:rsidRPr="00D72200" w:rsidRDefault="00411B4B" w:rsidP="006F4C6F">
      <w:pPr>
        <w:tabs>
          <w:tab w:val="left" w:pos="540"/>
          <w:tab w:val="left" w:pos="569"/>
        </w:tabs>
        <w:jc w:val="both"/>
        <w:rPr>
          <w:bCs/>
          <w:sz w:val="22"/>
          <w:szCs w:val="22"/>
        </w:rPr>
      </w:pPr>
    </w:p>
    <w:p w14:paraId="43A94667" w14:textId="77777777" w:rsidR="00411B4B" w:rsidRPr="00D72200" w:rsidRDefault="00411B4B" w:rsidP="006F4C6F">
      <w:pPr>
        <w:tabs>
          <w:tab w:val="left" w:pos="540"/>
          <w:tab w:val="left" w:pos="569"/>
        </w:tabs>
        <w:jc w:val="both"/>
        <w:rPr>
          <w:b/>
          <w:bCs/>
          <w:sz w:val="22"/>
          <w:szCs w:val="22"/>
        </w:rPr>
      </w:pPr>
      <w:r w:rsidRPr="00D72200">
        <w:rPr>
          <w:b/>
          <w:bCs/>
          <w:sz w:val="22"/>
          <w:szCs w:val="22"/>
        </w:rPr>
        <w:t xml:space="preserve">4.2. </w:t>
      </w:r>
      <w:r w:rsidR="00480FB1" w:rsidRPr="00D72200">
        <w:rPr>
          <w:b/>
          <w:bCs/>
          <w:sz w:val="22"/>
          <w:szCs w:val="22"/>
        </w:rPr>
        <w:tab/>
      </w:r>
      <w:r w:rsidRPr="00D72200">
        <w:rPr>
          <w:b/>
          <w:bCs/>
          <w:sz w:val="22"/>
          <w:szCs w:val="22"/>
        </w:rPr>
        <w:t>Doziranje i način primjene</w:t>
      </w:r>
    </w:p>
    <w:p w14:paraId="4FFEC32C" w14:textId="0932EB3B" w:rsidR="00530943" w:rsidRPr="00D72200" w:rsidRDefault="00530943" w:rsidP="006F4C6F">
      <w:pPr>
        <w:shd w:val="clear" w:color="auto" w:fill="FFFFFF"/>
        <w:tabs>
          <w:tab w:val="left" w:pos="734"/>
          <w:tab w:val="left" w:pos="9270"/>
        </w:tabs>
        <w:spacing w:before="259" w:line="278" w:lineRule="exact"/>
        <w:ind w:right="36"/>
        <w:jc w:val="both"/>
        <w:rPr>
          <w:bCs/>
          <w:sz w:val="22"/>
          <w:szCs w:val="22"/>
          <w:lang w:val="sr-Latn-RS"/>
        </w:rPr>
      </w:pPr>
      <w:r w:rsidRPr="00D72200">
        <w:rPr>
          <w:bCs/>
          <w:sz w:val="22"/>
          <w:szCs w:val="22"/>
          <w:lang w:val="sr-Latn-RS"/>
        </w:rPr>
        <w:lastRenderedPageBreak/>
        <w:t>Prije započinjanja terapije, pacijent treba da se podvrgne standardnoj dijeti za smanjenje nivoa holesterola koj</w:t>
      </w:r>
      <w:r w:rsidR="0034433E" w:rsidRPr="00D72200">
        <w:rPr>
          <w:bCs/>
          <w:sz w:val="22"/>
          <w:szCs w:val="22"/>
          <w:lang w:val="sr-Latn-RS"/>
        </w:rPr>
        <w:t>u</w:t>
      </w:r>
      <w:r w:rsidRPr="00D72200">
        <w:rPr>
          <w:bCs/>
          <w:sz w:val="22"/>
          <w:szCs w:val="22"/>
          <w:lang w:val="sr-Latn-RS"/>
        </w:rPr>
        <w:t xml:space="preserve"> </w:t>
      </w:r>
      <w:r w:rsidR="00E97A01" w:rsidRPr="00D72200">
        <w:rPr>
          <w:bCs/>
          <w:sz w:val="22"/>
          <w:szCs w:val="22"/>
          <w:lang w:val="sr-Latn-RS"/>
        </w:rPr>
        <w:t>treba nastaviti</w:t>
      </w:r>
      <w:r w:rsidRPr="00D72200">
        <w:rPr>
          <w:bCs/>
          <w:sz w:val="22"/>
          <w:szCs w:val="22"/>
          <w:lang w:val="sr-Latn-RS"/>
        </w:rPr>
        <w:t xml:space="preserve"> i tokom terapije. Doza se prilagođava individualno,  prema cilju terapije i odgovoru pacijenta, u skladu sa aktuelnim opšteprihvaćenim smjernicama. </w:t>
      </w:r>
    </w:p>
    <w:p w14:paraId="7B923C15" w14:textId="0A8AA189" w:rsidR="00530943" w:rsidRPr="00D72200" w:rsidRDefault="00785D64" w:rsidP="006F4C6F">
      <w:pPr>
        <w:shd w:val="clear" w:color="auto" w:fill="FFFFFF"/>
        <w:tabs>
          <w:tab w:val="left" w:pos="734"/>
          <w:tab w:val="left" w:pos="9270"/>
        </w:tabs>
        <w:spacing w:before="259" w:line="278" w:lineRule="exact"/>
        <w:ind w:left="14" w:right="36"/>
        <w:jc w:val="both"/>
        <w:rPr>
          <w:bCs/>
          <w:sz w:val="22"/>
          <w:szCs w:val="22"/>
          <w:lang w:val="sr-Latn-RS"/>
        </w:rPr>
      </w:pPr>
      <w:r w:rsidRPr="00D72200">
        <w:rPr>
          <w:bCs/>
          <w:sz w:val="22"/>
          <w:szCs w:val="22"/>
          <w:lang w:val="sr-Latn-RS"/>
        </w:rPr>
        <w:t xml:space="preserve">Lijek </w:t>
      </w:r>
      <w:r w:rsidR="00530943" w:rsidRPr="00D72200">
        <w:rPr>
          <w:bCs/>
          <w:sz w:val="22"/>
          <w:szCs w:val="22"/>
          <w:lang w:val="sr-Latn-RS"/>
        </w:rPr>
        <w:t xml:space="preserve">Rosuhol se može primjenjivati u bilo koje doba dana, bez obzira na obroke. </w:t>
      </w:r>
    </w:p>
    <w:p w14:paraId="3417EE50" w14:textId="77777777" w:rsidR="006D67C9" w:rsidRPr="00D72200" w:rsidRDefault="006D67C9" w:rsidP="006F4C6F">
      <w:pPr>
        <w:tabs>
          <w:tab w:val="left" w:pos="540"/>
          <w:tab w:val="left" w:pos="569"/>
        </w:tabs>
        <w:jc w:val="both"/>
        <w:rPr>
          <w:bCs/>
          <w:sz w:val="22"/>
          <w:szCs w:val="22"/>
          <w:highlight w:val="yellow"/>
          <w:u w:val="single"/>
        </w:rPr>
      </w:pPr>
    </w:p>
    <w:p w14:paraId="151E3022" w14:textId="2D157B9C" w:rsidR="006D67C9" w:rsidRPr="00D72200" w:rsidRDefault="006D67C9" w:rsidP="006F4C6F">
      <w:pPr>
        <w:shd w:val="clear" w:color="auto" w:fill="FFFFFF"/>
        <w:tabs>
          <w:tab w:val="left" w:pos="734"/>
          <w:tab w:val="left" w:pos="9270"/>
        </w:tabs>
        <w:spacing w:before="5" w:line="264" w:lineRule="exact"/>
        <w:ind w:left="14" w:right="36"/>
        <w:jc w:val="both"/>
        <w:rPr>
          <w:b/>
          <w:bCs/>
          <w:sz w:val="22"/>
          <w:szCs w:val="22"/>
          <w:lang w:val="sr-Latn-RS"/>
        </w:rPr>
      </w:pPr>
      <w:r w:rsidRPr="00D72200">
        <w:rPr>
          <w:b/>
          <w:bCs/>
          <w:sz w:val="22"/>
          <w:szCs w:val="22"/>
          <w:lang w:val="sr-Latn-RS"/>
        </w:rPr>
        <w:t>Liječenje hiperholesterolemije</w:t>
      </w:r>
    </w:p>
    <w:p w14:paraId="42293D40" w14:textId="42754C77" w:rsidR="006D67C9" w:rsidRPr="00D72200" w:rsidRDefault="006D67C9" w:rsidP="006F4C6F">
      <w:pPr>
        <w:shd w:val="clear" w:color="auto" w:fill="FFFFFF"/>
        <w:tabs>
          <w:tab w:val="left" w:pos="734"/>
          <w:tab w:val="left" w:pos="9270"/>
        </w:tabs>
        <w:spacing w:before="5" w:line="264" w:lineRule="exact"/>
        <w:ind w:right="36"/>
        <w:jc w:val="both"/>
        <w:rPr>
          <w:color w:val="000000"/>
          <w:sz w:val="22"/>
          <w:szCs w:val="22"/>
          <w:lang w:val="sr-Latn-RS"/>
        </w:rPr>
      </w:pPr>
      <w:r w:rsidRPr="00D72200">
        <w:rPr>
          <w:bCs/>
          <w:sz w:val="22"/>
          <w:szCs w:val="22"/>
          <w:lang w:val="sr-Latn-RS"/>
        </w:rPr>
        <w:t>Preporučena početna doza je 5</w:t>
      </w:r>
      <w:r w:rsidR="00785D64" w:rsidRPr="00D72200">
        <w:rPr>
          <w:bCs/>
          <w:sz w:val="22"/>
          <w:szCs w:val="22"/>
          <w:lang w:val="sr-Latn-RS"/>
        </w:rPr>
        <w:t xml:space="preserve"> </w:t>
      </w:r>
      <w:r w:rsidRPr="00D72200">
        <w:rPr>
          <w:bCs/>
          <w:sz w:val="22"/>
          <w:szCs w:val="22"/>
          <w:lang w:val="sr-Latn-RS"/>
        </w:rPr>
        <w:t>mg ili 10</w:t>
      </w:r>
      <w:r w:rsidR="00785D64" w:rsidRPr="00D72200">
        <w:rPr>
          <w:bCs/>
          <w:sz w:val="22"/>
          <w:szCs w:val="22"/>
          <w:lang w:val="sr-Latn-RS"/>
        </w:rPr>
        <w:t xml:space="preserve"> </w:t>
      </w:r>
      <w:r w:rsidRPr="00D72200">
        <w:rPr>
          <w:bCs/>
          <w:sz w:val="22"/>
          <w:szCs w:val="22"/>
          <w:lang w:val="sr-Latn-RS"/>
        </w:rPr>
        <w:t xml:space="preserve">mg oralno, jednom dnevno </w:t>
      </w:r>
      <w:r w:rsidRPr="00D72200">
        <w:rPr>
          <w:color w:val="000000"/>
          <w:sz w:val="22"/>
          <w:szCs w:val="22"/>
          <w:lang w:val="sr-Latn-RS"/>
        </w:rPr>
        <w:t xml:space="preserve">i kod pacijenata koji </w:t>
      </w:r>
      <w:r w:rsidR="007A188F" w:rsidRPr="00D72200">
        <w:rPr>
          <w:color w:val="000000"/>
          <w:sz w:val="22"/>
          <w:szCs w:val="22"/>
          <w:lang w:val="sr-Latn-RS"/>
        </w:rPr>
        <w:t xml:space="preserve">ranije </w:t>
      </w:r>
      <w:r w:rsidRPr="00D72200">
        <w:rPr>
          <w:color w:val="000000"/>
          <w:sz w:val="22"/>
          <w:szCs w:val="22"/>
          <w:lang w:val="sr-Latn-RS"/>
        </w:rPr>
        <w:t xml:space="preserve">nijesu liječeni statinima i kod pacijenata koji su prebačeni sa nekog drugog inhibitora HMG CoA reduktaze. Pri izboru početne doze treba uzeti u obzir nivo holesterola kod pacijenta i buduće kardiovaskularne rizike, kao i potencijalni rizik od neželjenih reakcija (vidjeti </w:t>
      </w:r>
      <w:r w:rsidR="00835A9A">
        <w:rPr>
          <w:color w:val="000000"/>
          <w:sz w:val="22"/>
          <w:szCs w:val="22"/>
          <w:lang w:val="sr-Latn-RS"/>
        </w:rPr>
        <w:t>u nastavku</w:t>
      </w:r>
      <w:r w:rsidRPr="00D72200">
        <w:rPr>
          <w:color w:val="000000"/>
          <w:sz w:val="22"/>
          <w:szCs w:val="22"/>
          <w:lang w:val="sr-Latn-RS"/>
        </w:rPr>
        <w:t>). Ukoliko je potrebno, prilagođavanje sljedećoj vi</w:t>
      </w:r>
      <w:r w:rsidRPr="00D72200">
        <w:rPr>
          <w:color w:val="000000"/>
          <w:sz w:val="22"/>
          <w:szCs w:val="22"/>
          <w:lang w:val="sr-Latn-CS"/>
        </w:rPr>
        <w:t>šoj</w:t>
      </w:r>
      <w:r w:rsidRPr="00D72200">
        <w:rPr>
          <w:color w:val="000000"/>
          <w:sz w:val="22"/>
          <w:szCs w:val="22"/>
          <w:lang w:val="sr-Latn-RS"/>
        </w:rPr>
        <w:t xml:space="preserve"> dozi se može izvršiti nakon 4 nedjelje (vidjeti </w:t>
      </w:r>
      <w:r w:rsidR="00D82055" w:rsidRPr="00D72200">
        <w:rPr>
          <w:color w:val="000000"/>
          <w:sz w:val="22"/>
          <w:szCs w:val="22"/>
          <w:lang w:val="sr-Latn-RS"/>
        </w:rPr>
        <w:t>d</w:t>
      </w:r>
      <w:r w:rsidR="007D3E25" w:rsidRPr="00D72200">
        <w:rPr>
          <w:color w:val="000000"/>
          <w:sz w:val="22"/>
          <w:szCs w:val="22"/>
          <w:lang w:val="sr-Latn-RS"/>
        </w:rPr>
        <w:t>i</w:t>
      </w:r>
      <w:r w:rsidR="00D82055" w:rsidRPr="00D72200">
        <w:rPr>
          <w:color w:val="000000"/>
          <w:sz w:val="22"/>
          <w:szCs w:val="22"/>
          <w:lang w:val="sr-Latn-RS"/>
        </w:rPr>
        <w:t xml:space="preserve">o </w:t>
      </w:r>
      <w:r w:rsidRPr="00D72200">
        <w:rPr>
          <w:color w:val="000000"/>
          <w:sz w:val="22"/>
          <w:szCs w:val="22"/>
          <w:lang w:val="sr-Latn-RS"/>
        </w:rPr>
        <w:t xml:space="preserve">5.1). S obzirom na povećanu stopu prijavljivanja neželjenih reakcija pri dozi od 40 mg u odnosu na niže doze (vidjeti </w:t>
      </w:r>
      <w:r w:rsidR="00D82055" w:rsidRPr="00D72200">
        <w:rPr>
          <w:color w:val="000000"/>
          <w:sz w:val="22"/>
          <w:szCs w:val="22"/>
          <w:lang w:val="sr-Latn-RS"/>
        </w:rPr>
        <w:t>d</w:t>
      </w:r>
      <w:r w:rsidR="007D3E25" w:rsidRPr="00D72200">
        <w:rPr>
          <w:color w:val="000000"/>
          <w:sz w:val="22"/>
          <w:szCs w:val="22"/>
          <w:lang w:val="sr-Latn-RS"/>
        </w:rPr>
        <w:t>i</w:t>
      </w:r>
      <w:r w:rsidR="00D82055" w:rsidRPr="00D72200">
        <w:rPr>
          <w:color w:val="000000"/>
          <w:sz w:val="22"/>
          <w:szCs w:val="22"/>
          <w:lang w:val="sr-Latn-RS"/>
        </w:rPr>
        <w:t xml:space="preserve">o </w:t>
      </w:r>
      <w:r w:rsidRPr="00D72200">
        <w:rPr>
          <w:color w:val="000000"/>
          <w:sz w:val="22"/>
          <w:szCs w:val="22"/>
          <w:lang w:val="sr-Latn-RS"/>
        </w:rPr>
        <w:t xml:space="preserve">4.8), </w:t>
      </w:r>
      <w:r w:rsidR="00EA0983" w:rsidRPr="00D72200">
        <w:rPr>
          <w:color w:val="000000"/>
          <w:sz w:val="22"/>
          <w:szCs w:val="22"/>
          <w:lang w:val="sr-Latn-RS"/>
        </w:rPr>
        <w:t>kona</w:t>
      </w:r>
      <w:r w:rsidR="00035ECE" w:rsidRPr="00D72200">
        <w:rPr>
          <w:color w:val="000000"/>
          <w:sz w:val="22"/>
          <w:szCs w:val="22"/>
        </w:rPr>
        <w:t>č</w:t>
      </w:r>
      <w:r w:rsidR="00EA0983" w:rsidRPr="00D72200">
        <w:rPr>
          <w:color w:val="000000"/>
          <w:sz w:val="22"/>
          <w:szCs w:val="22"/>
          <w:lang w:val="sr-Latn-RS"/>
        </w:rPr>
        <w:t xml:space="preserve">nu titraciju </w:t>
      </w:r>
      <w:r w:rsidRPr="00D72200">
        <w:rPr>
          <w:color w:val="000000"/>
          <w:sz w:val="22"/>
          <w:szCs w:val="22"/>
          <w:lang w:val="sr-Latn-RS"/>
        </w:rPr>
        <w:t xml:space="preserve">doze do maksimalnih 40 mg treba razmotriti samo kod pacijenata koji imaju  tešku hiperholesterolemiju sa visokim kardiovaskularnim rizikom (posebno kod onih sa porodičnom  hiperholesterolemijom), kod kojih </w:t>
      </w:r>
      <w:r w:rsidR="00CE51F2" w:rsidRPr="00D72200">
        <w:rPr>
          <w:color w:val="000000"/>
          <w:sz w:val="22"/>
          <w:szCs w:val="22"/>
          <w:lang w:val="sr-Latn-RS"/>
        </w:rPr>
        <w:t>se terapijski cilj ne postiže dozom</w:t>
      </w:r>
      <w:r w:rsidRPr="00D72200">
        <w:rPr>
          <w:color w:val="000000"/>
          <w:sz w:val="22"/>
          <w:szCs w:val="22"/>
          <w:lang w:val="sr-Latn-RS"/>
        </w:rPr>
        <w:t xml:space="preserve"> od 20 mg i kod kojih </w:t>
      </w:r>
      <w:r w:rsidR="008053D1" w:rsidRPr="00D72200">
        <w:rPr>
          <w:color w:val="000000"/>
          <w:sz w:val="22"/>
          <w:szCs w:val="22"/>
          <w:lang w:val="sr-Latn-RS"/>
        </w:rPr>
        <w:t>će se sprovoditi</w:t>
      </w:r>
      <w:r w:rsidRPr="00D72200">
        <w:rPr>
          <w:color w:val="000000"/>
          <w:sz w:val="22"/>
          <w:szCs w:val="22"/>
          <w:lang w:val="sr-Latn-RS"/>
        </w:rPr>
        <w:t xml:space="preserve"> rutinsko praćenje (vidjeti </w:t>
      </w:r>
      <w:r w:rsidR="00D82055" w:rsidRPr="00D72200">
        <w:rPr>
          <w:color w:val="000000"/>
          <w:sz w:val="22"/>
          <w:szCs w:val="22"/>
          <w:lang w:val="sr-Latn-RS"/>
        </w:rPr>
        <w:t>d</w:t>
      </w:r>
      <w:r w:rsidR="007D3E25" w:rsidRPr="00D72200">
        <w:rPr>
          <w:color w:val="000000"/>
          <w:sz w:val="22"/>
          <w:szCs w:val="22"/>
          <w:lang w:val="sr-Latn-RS"/>
        </w:rPr>
        <w:t>i</w:t>
      </w:r>
      <w:r w:rsidR="00D82055" w:rsidRPr="00D72200">
        <w:rPr>
          <w:color w:val="000000"/>
          <w:sz w:val="22"/>
          <w:szCs w:val="22"/>
          <w:lang w:val="sr-Latn-RS"/>
        </w:rPr>
        <w:t>o</w:t>
      </w:r>
      <w:r w:rsidRPr="00D72200">
        <w:rPr>
          <w:color w:val="000000"/>
          <w:sz w:val="22"/>
          <w:szCs w:val="22"/>
          <w:lang w:val="sr-Latn-RS"/>
        </w:rPr>
        <w:t xml:space="preserve"> 4.4). Preporučuje se nadzor </w:t>
      </w:r>
      <w:r w:rsidR="003518AD" w:rsidRPr="00D72200">
        <w:rPr>
          <w:color w:val="000000"/>
          <w:sz w:val="22"/>
          <w:szCs w:val="22"/>
          <w:lang w:val="sr-Latn-RS"/>
        </w:rPr>
        <w:t>l</w:t>
      </w:r>
      <w:r w:rsidR="006A17F2" w:rsidRPr="00D72200">
        <w:rPr>
          <w:color w:val="000000"/>
          <w:sz w:val="22"/>
          <w:szCs w:val="22"/>
          <w:lang w:val="sr-Latn-RS"/>
        </w:rPr>
        <w:t>j</w:t>
      </w:r>
      <w:r w:rsidR="003518AD" w:rsidRPr="00D72200">
        <w:rPr>
          <w:color w:val="000000"/>
          <w:sz w:val="22"/>
          <w:szCs w:val="22"/>
          <w:lang w:val="sr-Latn-RS"/>
        </w:rPr>
        <w:t xml:space="preserve">ekara specijaliste </w:t>
      </w:r>
      <w:r w:rsidRPr="00D72200">
        <w:rPr>
          <w:color w:val="000000"/>
          <w:sz w:val="22"/>
          <w:szCs w:val="22"/>
          <w:lang w:val="sr-Latn-RS"/>
        </w:rPr>
        <w:t xml:space="preserve">kada se </w:t>
      </w:r>
      <w:r w:rsidR="004D4954" w:rsidRPr="00D72200">
        <w:rPr>
          <w:color w:val="000000"/>
          <w:sz w:val="22"/>
          <w:szCs w:val="22"/>
          <w:lang w:val="sr-Latn-RS"/>
        </w:rPr>
        <w:t>počinje primjenjivati</w:t>
      </w:r>
      <w:r w:rsidRPr="00D72200">
        <w:rPr>
          <w:color w:val="000000"/>
          <w:sz w:val="22"/>
          <w:szCs w:val="22"/>
          <w:lang w:val="sr-Latn-RS"/>
        </w:rPr>
        <w:t xml:space="preserve"> doz</w:t>
      </w:r>
      <w:r w:rsidR="004D4954" w:rsidRPr="00D72200">
        <w:rPr>
          <w:color w:val="000000"/>
          <w:sz w:val="22"/>
          <w:szCs w:val="22"/>
          <w:lang w:val="sr-Latn-RS"/>
        </w:rPr>
        <w:t>a</w:t>
      </w:r>
      <w:r w:rsidRPr="00D72200">
        <w:rPr>
          <w:color w:val="000000"/>
          <w:sz w:val="22"/>
          <w:szCs w:val="22"/>
          <w:lang w:val="sr-Latn-RS"/>
        </w:rPr>
        <w:t xml:space="preserve"> od 40</w:t>
      </w:r>
      <w:r w:rsidR="00785D64" w:rsidRPr="00D72200">
        <w:rPr>
          <w:color w:val="000000"/>
          <w:sz w:val="22"/>
          <w:szCs w:val="22"/>
          <w:lang w:val="sr-Latn-RS"/>
        </w:rPr>
        <w:t xml:space="preserve"> </w:t>
      </w:r>
      <w:r w:rsidRPr="00D72200">
        <w:rPr>
          <w:color w:val="000000"/>
          <w:sz w:val="22"/>
          <w:szCs w:val="22"/>
          <w:lang w:val="sr-Latn-RS"/>
        </w:rPr>
        <w:t>mg.</w:t>
      </w:r>
    </w:p>
    <w:p w14:paraId="431FA33B" w14:textId="77777777" w:rsidR="006D67C9" w:rsidRPr="00D72200" w:rsidRDefault="006D67C9" w:rsidP="006F4C6F">
      <w:pPr>
        <w:tabs>
          <w:tab w:val="left" w:pos="540"/>
          <w:tab w:val="left" w:pos="569"/>
        </w:tabs>
        <w:jc w:val="both"/>
        <w:rPr>
          <w:bCs/>
          <w:sz w:val="22"/>
          <w:szCs w:val="22"/>
          <w:highlight w:val="yellow"/>
          <w:u w:val="single"/>
        </w:rPr>
      </w:pPr>
    </w:p>
    <w:p w14:paraId="2FC5E640" w14:textId="77777777" w:rsidR="006D67C9" w:rsidRPr="00D72200" w:rsidRDefault="006D67C9" w:rsidP="006F4C6F">
      <w:pPr>
        <w:shd w:val="clear" w:color="auto" w:fill="FFFFFF"/>
        <w:tabs>
          <w:tab w:val="left" w:pos="734"/>
          <w:tab w:val="left" w:pos="9270"/>
        </w:tabs>
        <w:spacing w:before="5" w:line="264" w:lineRule="exact"/>
        <w:ind w:left="14" w:right="36"/>
        <w:jc w:val="both"/>
        <w:rPr>
          <w:b/>
          <w:color w:val="000000"/>
          <w:sz w:val="22"/>
          <w:szCs w:val="22"/>
        </w:rPr>
      </w:pPr>
      <w:r w:rsidRPr="00D72200">
        <w:rPr>
          <w:b/>
          <w:color w:val="000000"/>
          <w:sz w:val="22"/>
          <w:szCs w:val="22"/>
        </w:rPr>
        <w:t>Prevencija kardiovaskularnih događaja</w:t>
      </w:r>
    </w:p>
    <w:p w14:paraId="561EFA98" w14:textId="711C5E22" w:rsidR="006D67C9" w:rsidRPr="00D72200" w:rsidRDefault="006D67C9" w:rsidP="006F4C6F">
      <w:pPr>
        <w:pStyle w:val="Header"/>
        <w:jc w:val="both"/>
        <w:rPr>
          <w:sz w:val="22"/>
          <w:szCs w:val="22"/>
          <w:lang w:val="pl-PL"/>
        </w:rPr>
      </w:pPr>
      <w:r w:rsidRPr="00D72200">
        <w:rPr>
          <w:sz w:val="22"/>
          <w:szCs w:val="22"/>
          <w:lang w:val="pl-PL"/>
        </w:rPr>
        <w:t>U studiji smanjenja rizika od kardiovaskularnih događaja, korišćena je doza od 20 mg dnevno (vid</w:t>
      </w:r>
      <w:r w:rsidR="00DD0DF1" w:rsidRPr="00D72200">
        <w:rPr>
          <w:sz w:val="22"/>
          <w:szCs w:val="22"/>
          <w:lang w:val="pl-PL"/>
        </w:rPr>
        <w:t>j</w:t>
      </w:r>
      <w:r w:rsidRPr="00D72200">
        <w:rPr>
          <w:sz w:val="22"/>
          <w:szCs w:val="22"/>
          <w:lang w:val="pl-PL"/>
        </w:rPr>
        <w:t xml:space="preserve">eti </w:t>
      </w:r>
      <w:r w:rsidR="00D82055" w:rsidRPr="00D72200">
        <w:rPr>
          <w:bCs/>
          <w:sz w:val="22"/>
          <w:szCs w:val="22"/>
          <w:lang w:val="sr-Latn-CS"/>
        </w:rPr>
        <w:t>d</w:t>
      </w:r>
      <w:r w:rsidR="007D3E25" w:rsidRPr="00D72200">
        <w:rPr>
          <w:bCs/>
          <w:sz w:val="22"/>
          <w:szCs w:val="22"/>
          <w:lang w:val="sr-Latn-CS"/>
        </w:rPr>
        <w:t>i</w:t>
      </w:r>
      <w:r w:rsidR="00D82055" w:rsidRPr="00D72200">
        <w:rPr>
          <w:bCs/>
          <w:sz w:val="22"/>
          <w:szCs w:val="22"/>
          <w:lang w:val="sr-Latn-CS"/>
        </w:rPr>
        <w:t xml:space="preserve">o </w:t>
      </w:r>
      <w:r w:rsidRPr="00D72200">
        <w:rPr>
          <w:sz w:val="22"/>
          <w:szCs w:val="22"/>
          <w:lang w:val="pl-PL"/>
        </w:rPr>
        <w:t xml:space="preserve">5.1). </w:t>
      </w:r>
    </w:p>
    <w:p w14:paraId="7D806EC9" w14:textId="77777777" w:rsidR="006D67C9" w:rsidRPr="00D72200" w:rsidRDefault="006D67C9" w:rsidP="006F4C6F">
      <w:pPr>
        <w:shd w:val="clear" w:color="auto" w:fill="FFFFFF"/>
        <w:tabs>
          <w:tab w:val="left" w:pos="734"/>
          <w:tab w:val="left" w:pos="9270"/>
        </w:tabs>
        <w:spacing w:before="5" w:line="264" w:lineRule="exact"/>
        <w:ind w:right="36"/>
        <w:jc w:val="both"/>
        <w:rPr>
          <w:color w:val="000000"/>
          <w:sz w:val="22"/>
          <w:szCs w:val="22"/>
        </w:rPr>
      </w:pPr>
    </w:p>
    <w:p w14:paraId="4326FF7E" w14:textId="77777777" w:rsidR="006D67C9" w:rsidRPr="00D72200" w:rsidRDefault="006D67C9" w:rsidP="006F4C6F">
      <w:pPr>
        <w:shd w:val="clear" w:color="auto" w:fill="FFFFFF"/>
        <w:tabs>
          <w:tab w:val="left" w:pos="734"/>
          <w:tab w:val="left" w:pos="9270"/>
        </w:tabs>
        <w:spacing w:before="5" w:line="264" w:lineRule="exact"/>
        <w:ind w:left="14" w:right="36"/>
        <w:jc w:val="both"/>
        <w:rPr>
          <w:b/>
          <w:i/>
          <w:color w:val="000000"/>
          <w:sz w:val="22"/>
          <w:szCs w:val="22"/>
        </w:rPr>
      </w:pPr>
      <w:r w:rsidRPr="00D72200">
        <w:rPr>
          <w:b/>
          <w:i/>
          <w:color w:val="000000"/>
          <w:sz w:val="22"/>
          <w:szCs w:val="22"/>
        </w:rPr>
        <w:t>Pedijatrijska populacija</w:t>
      </w:r>
    </w:p>
    <w:p w14:paraId="4A2462F5" w14:textId="3091CF88" w:rsidR="006D67C9" w:rsidRPr="00D72200" w:rsidRDefault="006D67C9" w:rsidP="006F4C6F">
      <w:pPr>
        <w:shd w:val="clear" w:color="auto" w:fill="FFFFFF"/>
        <w:tabs>
          <w:tab w:val="left" w:pos="734"/>
          <w:tab w:val="left" w:pos="9270"/>
        </w:tabs>
        <w:spacing w:before="5" w:line="264" w:lineRule="exact"/>
        <w:ind w:right="36"/>
        <w:jc w:val="both"/>
        <w:rPr>
          <w:color w:val="000000"/>
          <w:sz w:val="22"/>
          <w:szCs w:val="22"/>
        </w:rPr>
      </w:pPr>
      <w:r w:rsidRPr="00D72200">
        <w:rPr>
          <w:color w:val="000000"/>
          <w:sz w:val="22"/>
          <w:szCs w:val="22"/>
        </w:rPr>
        <w:t>L</w:t>
      </w:r>
      <w:r w:rsidR="00DD0DF1" w:rsidRPr="00D72200">
        <w:rPr>
          <w:color w:val="000000"/>
          <w:sz w:val="22"/>
          <w:szCs w:val="22"/>
        </w:rPr>
        <w:t>ij</w:t>
      </w:r>
      <w:r w:rsidRPr="00D72200">
        <w:rPr>
          <w:color w:val="000000"/>
          <w:sz w:val="22"/>
          <w:szCs w:val="22"/>
        </w:rPr>
        <w:t>ek se u pedijatriji prim</w:t>
      </w:r>
      <w:r w:rsidR="00DD0DF1" w:rsidRPr="00D72200">
        <w:rPr>
          <w:color w:val="000000"/>
          <w:sz w:val="22"/>
          <w:szCs w:val="22"/>
        </w:rPr>
        <w:t>j</w:t>
      </w:r>
      <w:r w:rsidRPr="00D72200">
        <w:rPr>
          <w:color w:val="000000"/>
          <w:sz w:val="22"/>
          <w:szCs w:val="22"/>
        </w:rPr>
        <w:t>enjuje samo pod nadzorom l</w:t>
      </w:r>
      <w:r w:rsidR="00DD0DF1" w:rsidRPr="00D72200">
        <w:rPr>
          <w:color w:val="000000"/>
          <w:sz w:val="22"/>
          <w:szCs w:val="22"/>
        </w:rPr>
        <w:t>j</w:t>
      </w:r>
      <w:r w:rsidRPr="00D72200">
        <w:rPr>
          <w:color w:val="000000"/>
          <w:sz w:val="22"/>
          <w:szCs w:val="22"/>
        </w:rPr>
        <w:t>ekara specijaliste.</w:t>
      </w:r>
    </w:p>
    <w:p w14:paraId="70F53734" w14:textId="02934249" w:rsidR="006D67C9" w:rsidRPr="000F132E" w:rsidRDefault="006D67C9" w:rsidP="006F4C6F">
      <w:pPr>
        <w:spacing w:before="100" w:beforeAutospacing="1" w:after="75"/>
        <w:jc w:val="both"/>
        <w:rPr>
          <w:color w:val="000000"/>
          <w:sz w:val="22"/>
          <w:szCs w:val="22"/>
          <w:u w:val="single"/>
        </w:rPr>
      </w:pPr>
      <w:r w:rsidRPr="000F132E">
        <w:rPr>
          <w:color w:val="000000"/>
          <w:sz w:val="22"/>
          <w:szCs w:val="22"/>
          <w:u w:val="single"/>
        </w:rPr>
        <w:t>D</w:t>
      </w:r>
      <w:r w:rsidR="00DD0DF1" w:rsidRPr="000F132E">
        <w:rPr>
          <w:color w:val="000000"/>
          <w:sz w:val="22"/>
          <w:szCs w:val="22"/>
          <w:u w:val="single"/>
        </w:rPr>
        <w:t>j</w:t>
      </w:r>
      <w:r w:rsidRPr="000F132E">
        <w:rPr>
          <w:color w:val="000000"/>
          <w:sz w:val="22"/>
          <w:szCs w:val="22"/>
          <w:u w:val="single"/>
        </w:rPr>
        <w:t xml:space="preserve">eca i adolescenti od 6 do 17 godina starosti (stadijum po Tanner-u &lt; II-V) </w:t>
      </w:r>
    </w:p>
    <w:p w14:paraId="0A53BCCE" w14:textId="77777777" w:rsidR="006D67C9" w:rsidRPr="000F132E" w:rsidRDefault="006D67C9" w:rsidP="006F4C6F">
      <w:pPr>
        <w:shd w:val="clear" w:color="auto" w:fill="FFFFFF"/>
        <w:tabs>
          <w:tab w:val="left" w:pos="734"/>
          <w:tab w:val="left" w:pos="9270"/>
        </w:tabs>
        <w:spacing w:before="5" w:line="264" w:lineRule="exact"/>
        <w:ind w:left="14" w:right="36"/>
        <w:jc w:val="both"/>
        <w:rPr>
          <w:color w:val="000000"/>
          <w:sz w:val="22"/>
          <w:szCs w:val="22"/>
        </w:rPr>
      </w:pPr>
    </w:p>
    <w:p w14:paraId="497EE880" w14:textId="77777777" w:rsidR="006D67C9" w:rsidRPr="00D72200" w:rsidRDefault="006D67C9" w:rsidP="006F4C6F">
      <w:pPr>
        <w:shd w:val="clear" w:color="auto" w:fill="FFFFFF"/>
        <w:tabs>
          <w:tab w:val="left" w:pos="734"/>
          <w:tab w:val="left" w:pos="9270"/>
        </w:tabs>
        <w:spacing w:before="5" w:line="264" w:lineRule="exact"/>
        <w:ind w:left="14" w:right="36"/>
        <w:jc w:val="both"/>
        <w:rPr>
          <w:color w:val="000000"/>
          <w:sz w:val="22"/>
          <w:szCs w:val="22"/>
          <w:u w:val="single"/>
        </w:rPr>
      </w:pPr>
      <w:r w:rsidRPr="00D72200">
        <w:rPr>
          <w:bCs/>
          <w:sz w:val="22"/>
          <w:szCs w:val="22"/>
          <w:u w:val="single"/>
        </w:rPr>
        <w:t xml:space="preserve">Heterozigotna </w:t>
      </w:r>
      <w:r w:rsidRPr="00D72200">
        <w:rPr>
          <w:bCs/>
          <w:sz w:val="22"/>
          <w:szCs w:val="22"/>
          <w:u w:val="single"/>
          <w:lang w:val="sr-Latn-RS"/>
        </w:rPr>
        <w:t>porodična</w:t>
      </w:r>
      <w:r w:rsidRPr="00D72200">
        <w:rPr>
          <w:bCs/>
          <w:sz w:val="22"/>
          <w:szCs w:val="22"/>
          <w:u w:val="single"/>
        </w:rPr>
        <w:t xml:space="preserve"> hiperholesterolemija</w:t>
      </w:r>
    </w:p>
    <w:p w14:paraId="24AA6326" w14:textId="4164D756" w:rsidR="006D67C9" w:rsidRPr="00D72200" w:rsidRDefault="006D67C9" w:rsidP="006F4C6F">
      <w:pPr>
        <w:shd w:val="clear" w:color="auto" w:fill="FFFFFF"/>
        <w:tabs>
          <w:tab w:val="left" w:pos="734"/>
          <w:tab w:val="left" w:pos="9270"/>
        </w:tabs>
        <w:spacing w:before="5" w:line="264" w:lineRule="exact"/>
        <w:ind w:left="14" w:right="36"/>
        <w:jc w:val="both"/>
        <w:rPr>
          <w:spacing w:val="-2"/>
          <w:sz w:val="22"/>
          <w:szCs w:val="22"/>
        </w:rPr>
      </w:pPr>
      <w:r w:rsidRPr="00D72200">
        <w:rPr>
          <w:color w:val="000000"/>
          <w:sz w:val="22"/>
          <w:szCs w:val="22"/>
        </w:rPr>
        <w:t>Kod d</w:t>
      </w:r>
      <w:r w:rsidR="00DD0DF1" w:rsidRPr="00D72200">
        <w:rPr>
          <w:color w:val="000000"/>
          <w:sz w:val="22"/>
          <w:szCs w:val="22"/>
        </w:rPr>
        <w:t>j</w:t>
      </w:r>
      <w:r w:rsidRPr="00D72200">
        <w:rPr>
          <w:color w:val="000000"/>
          <w:sz w:val="22"/>
          <w:szCs w:val="22"/>
        </w:rPr>
        <w:t xml:space="preserve">ece i adolescenata sa </w:t>
      </w:r>
      <w:r w:rsidRPr="00D72200">
        <w:rPr>
          <w:spacing w:val="-2"/>
          <w:sz w:val="22"/>
          <w:szCs w:val="22"/>
        </w:rPr>
        <w:t>heterozigotnom porodičnom hiperholesterolemijom, uobičajena početna doza je 5</w:t>
      </w:r>
      <w:r w:rsidR="00785D64" w:rsidRPr="00D72200">
        <w:rPr>
          <w:spacing w:val="-2"/>
          <w:sz w:val="22"/>
          <w:szCs w:val="22"/>
        </w:rPr>
        <w:t xml:space="preserve"> </w:t>
      </w:r>
      <w:r w:rsidRPr="00D72200">
        <w:rPr>
          <w:spacing w:val="-2"/>
          <w:sz w:val="22"/>
          <w:szCs w:val="22"/>
        </w:rPr>
        <w:t xml:space="preserve">mg dnevno. </w:t>
      </w:r>
    </w:p>
    <w:p w14:paraId="37AA6AD1" w14:textId="468AA4BD" w:rsidR="006D67C9" w:rsidRPr="00D72200" w:rsidRDefault="006D67C9" w:rsidP="006F4C6F">
      <w:pPr>
        <w:shd w:val="clear" w:color="auto" w:fill="FFFFFF"/>
        <w:tabs>
          <w:tab w:val="left" w:pos="734"/>
          <w:tab w:val="left" w:pos="9270"/>
        </w:tabs>
        <w:spacing w:before="5" w:line="264" w:lineRule="exact"/>
        <w:ind w:right="36"/>
        <w:jc w:val="both"/>
        <w:rPr>
          <w:spacing w:val="-2"/>
          <w:sz w:val="22"/>
          <w:szCs w:val="22"/>
        </w:rPr>
      </w:pPr>
      <w:r w:rsidRPr="00D72200">
        <w:rPr>
          <w:spacing w:val="-2"/>
          <w:sz w:val="22"/>
          <w:szCs w:val="22"/>
        </w:rPr>
        <w:t>- Kod d</w:t>
      </w:r>
      <w:r w:rsidR="00DD0DF1" w:rsidRPr="00D72200">
        <w:rPr>
          <w:spacing w:val="-2"/>
          <w:sz w:val="22"/>
          <w:szCs w:val="22"/>
        </w:rPr>
        <w:t>j</w:t>
      </w:r>
      <w:r w:rsidRPr="00D72200">
        <w:rPr>
          <w:spacing w:val="-2"/>
          <w:sz w:val="22"/>
          <w:szCs w:val="22"/>
        </w:rPr>
        <w:t>ece od 6 do 9 godina starosti sa heterozigotnom porodičnom hiperholesterolemijom uobičajeni raspon doze je od 5-10 mg oralno jednom dnevno. Bezb</w:t>
      </w:r>
      <w:r w:rsidR="00DD0DF1" w:rsidRPr="00D72200">
        <w:rPr>
          <w:spacing w:val="-2"/>
          <w:sz w:val="22"/>
          <w:szCs w:val="22"/>
        </w:rPr>
        <w:t>j</w:t>
      </w:r>
      <w:r w:rsidRPr="00D72200">
        <w:rPr>
          <w:spacing w:val="-2"/>
          <w:sz w:val="22"/>
          <w:szCs w:val="22"/>
        </w:rPr>
        <w:t>ednost i efikasnost doza većih od 10 mg ni</w:t>
      </w:r>
      <w:r w:rsidR="00DD0DF1" w:rsidRPr="00D72200">
        <w:rPr>
          <w:spacing w:val="-2"/>
          <w:sz w:val="22"/>
          <w:szCs w:val="22"/>
        </w:rPr>
        <w:t>je</w:t>
      </w:r>
      <w:r w:rsidRPr="00D72200">
        <w:rPr>
          <w:spacing w:val="-2"/>
          <w:sz w:val="22"/>
          <w:szCs w:val="22"/>
        </w:rPr>
        <w:t>su ispitivane kod ove populacije.</w:t>
      </w:r>
    </w:p>
    <w:p w14:paraId="54A5E604" w14:textId="77777777" w:rsidR="00785D64" w:rsidRPr="00D72200" w:rsidRDefault="00785D64" w:rsidP="006F4C6F">
      <w:pPr>
        <w:shd w:val="clear" w:color="auto" w:fill="FFFFFF"/>
        <w:tabs>
          <w:tab w:val="left" w:pos="734"/>
          <w:tab w:val="left" w:pos="9270"/>
        </w:tabs>
        <w:spacing w:before="5" w:line="264" w:lineRule="exact"/>
        <w:ind w:right="36"/>
        <w:jc w:val="both"/>
        <w:rPr>
          <w:spacing w:val="-2"/>
          <w:sz w:val="22"/>
          <w:szCs w:val="22"/>
        </w:rPr>
      </w:pPr>
    </w:p>
    <w:p w14:paraId="1FD0AEBE" w14:textId="193966F3" w:rsidR="006D67C9" w:rsidRPr="00D72200" w:rsidRDefault="006D67C9" w:rsidP="006F4C6F">
      <w:pPr>
        <w:shd w:val="clear" w:color="auto" w:fill="FFFFFF"/>
        <w:tabs>
          <w:tab w:val="left" w:pos="734"/>
          <w:tab w:val="left" w:pos="9270"/>
        </w:tabs>
        <w:spacing w:before="5" w:line="264" w:lineRule="exact"/>
        <w:ind w:right="36"/>
        <w:jc w:val="both"/>
        <w:rPr>
          <w:spacing w:val="-2"/>
          <w:sz w:val="22"/>
          <w:szCs w:val="22"/>
        </w:rPr>
      </w:pPr>
      <w:r w:rsidRPr="00D72200">
        <w:rPr>
          <w:spacing w:val="-2"/>
          <w:sz w:val="22"/>
          <w:szCs w:val="22"/>
        </w:rPr>
        <w:t>- Kod d</w:t>
      </w:r>
      <w:r w:rsidR="00DD0DF1" w:rsidRPr="00D72200">
        <w:rPr>
          <w:spacing w:val="-2"/>
          <w:sz w:val="22"/>
          <w:szCs w:val="22"/>
        </w:rPr>
        <w:t>j</w:t>
      </w:r>
      <w:r w:rsidRPr="00D72200">
        <w:rPr>
          <w:spacing w:val="-2"/>
          <w:sz w:val="22"/>
          <w:szCs w:val="22"/>
        </w:rPr>
        <w:t>ece od 10 do 17 godina starosti sa heterozigotnom porodičnom hiperholesterolemijom uobičajeni raspon doze je od 5-20 mg oralno jednom dnevno. Bezb</w:t>
      </w:r>
      <w:r w:rsidR="00DD0DF1" w:rsidRPr="00D72200">
        <w:rPr>
          <w:spacing w:val="-2"/>
          <w:sz w:val="22"/>
          <w:szCs w:val="22"/>
        </w:rPr>
        <w:t>j</w:t>
      </w:r>
      <w:r w:rsidRPr="00D72200">
        <w:rPr>
          <w:spacing w:val="-2"/>
          <w:sz w:val="22"/>
          <w:szCs w:val="22"/>
        </w:rPr>
        <w:t>ednost i efikasnost doza većih od 20 mg ni</w:t>
      </w:r>
      <w:r w:rsidR="00DD0DF1" w:rsidRPr="00D72200">
        <w:rPr>
          <w:spacing w:val="-2"/>
          <w:sz w:val="22"/>
          <w:szCs w:val="22"/>
        </w:rPr>
        <w:t>je</w:t>
      </w:r>
      <w:r w:rsidRPr="00D72200">
        <w:rPr>
          <w:spacing w:val="-2"/>
          <w:sz w:val="22"/>
          <w:szCs w:val="22"/>
        </w:rPr>
        <w:t>su ispitivane kod ove populacije.</w:t>
      </w:r>
    </w:p>
    <w:p w14:paraId="7B76173E" w14:textId="77777777" w:rsidR="00785D64" w:rsidRPr="00D72200" w:rsidRDefault="00785D64" w:rsidP="006F4C6F">
      <w:pPr>
        <w:shd w:val="clear" w:color="auto" w:fill="FFFFFF"/>
        <w:tabs>
          <w:tab w:val="left" w:pos="734"/>
          <w:tab w:val="left" w:pos="9270"/>
        </w:tabs>
        <w:spacing w:before="5" w:line="264" w:lineRule="exact"/>
        <w:ind w:right="36"/>
        <w:jc w:val="both"/>
        <w:rPr>
          <w:spacing w:val="-2"/>
          <w:sz w:val="22"/>
          <w:szCs w:val="22"/>
        </w:rPr>
      </w:pPr>
    </w:p>
    <w:p w14:paraId="23CC6832" w14:textId="35AD4CC1" w:rsidR="006D67C9" w:rsidRPr="00D72200" w:rsidRDefault="006D67C9" w:rsidP="006F4C6F">
      <w:pPr>
        <w:shd w:val="clear" w:color="auto" w:fill="FFFFFF"/>
        <w:tabs>
          <w:tab w:val="left" w:pos="734"/>
          <w:tab w:val="left" w:pos="9270"/>
        </w:tabs>
        <w:spacing w:before="5" w:line="264" w:lineRule="exact"/>
        <w:ind w:right="36"/>
        <w:jc w:val="both"/>
        <w:rPr>
          <w:spacing w:val="-2"/>
          <w:sz w:val="22"/>
          <w:szCs w:val="22"/>
        </w:rPr>
      </w:pPr>
      <w:r w:rsidRPr="00D72200">
        <w:rPr>
          <w:spacing w:val="-2"/>
          <w:sz w:val="22"/>
          <w:szCs w:val="22"/>
        </w:rPr>
        <w:t xml:space="preserve">Titriranje doze </w:t>
      </w:r>
      <w:r w:rsidR="003C729F" w:rsidRPr="00D72200">
        <w:rPr>
          <w:spacing w:val="-2"/>
          <w:sz w:val="22"/>
          <w:szCs w:val="22"/>
        </w:rPr>
        <w:t>treba sprovesti prema individualnom odgovoru</w:t>
      </w:r>
      <w:r w:rsidRPr="00D72200">
        <w:rPr>
          <w:spacing w:val="-2"/>
          <w:sz w:val="22"/>
          <w:szCs w:val="22"/>
        </w:rPr>
        <w:t xml:space="preserve"> i podnošljivosti kod pedijatrijskih pacijenata, kao što je preporučeno </w:t>
      </w:r>
      <w:r w:rsidR="00C071E2" w:rsidRPr="00D72200">
        <w:rPr>
          <w:spacing w:val="-2"/>
          <w:sz w:val="22"/>
          <w:szCs w:val="22"/>
        </w:rPr>
        <w:t xml:space="preserve">prema preporukama </w:t>
      </w:r>
      <w:r w:rsidRPr="00D72200">
        <w:rPr>
          <w:spacing w:val="-2"/>
          <w:sz w:val="22"/>
          <w:szCs w:val="22"/>
        </w:rPr>
        <w:t>za prim</w:t>
      </w:r>
      <w:r w:rsidR="00DD0DF1" w:rsidRPr="00D72200">
        <w:rPr>
          <w:spacing w:val="-2"/>
          <w:sz w:val="22"/>
          <w:szCs w:val="22"/>
        </w:rPr>
        <w:t>j</w:t>
      </w:r>
      <w:r w:rsidRPr="00D72200">
        <w:rPr>
          <w:spacing w:val="-2"/>
          <w:sz w:val="22"/>
          <w:szCs w:val="22"/>
        </w:rPr>
        <w:t>enu u pedijatriji (vid</w:t>
      </w:r>
      <w:r w:rsidR="00DD0DF1" w:rsidRPr="00D72200">
        <w:rPr>
          <w:spacing w:val="-2"/>
          <w:sz w:val="22"/>
          <w:szCs w:val="22"/>
        </w:rPr>
        <w:t>j</w:t>
      </w:r>
      <w:r w:rsidRPr="00D72200">
        <w:rPr>
          <w:spacing w:val="-2"/>
          <w:sz w:val="22"/>
          <w:szCs w:val="22"/>
        </w:rPr>
        <w:t xml:space="preserve">eti </w:t>
      </w:r>
      <w:r w:rsidR="00AC4390" w:rsidRPr="00D72200">
        <w:rPr>
          <w:spacing w:val="-2"/>
          <w:sz w:val="22"/>
          <w:szCs w:val="22"/>
        </w:rPr>
        <w:t>d</w:t>
      </w:r>
      <w:r w:rsidR="007D3E25" w:rsidRPr="00D72200">
        <w:rPr>
          <w:spacing w:val="-2"/>
          <w:sz w:val="22"/>
          <w:szCs w:val="22"/>
        </w:rPr>
        <w:t>i</w:t>
      </w:r>
      <w:r w:rsidR="00AC4390" w:rsidRPr="00D72200">
        <w:rPr>
          <w:spacing w:val="-2"/>
          <w:sz w:val="22"/>
          <w:szCs w:val="22"/>
        </w:rPr>
        <w:t xml:space="preserve">o </w:t>
      </w:r>
      <w:r w:rsidRPr="00D72200">
        <w:rPr>
          <w:spacing w:val="-2"/>
          <w:sz w:val="22"/>
          <w:szCs w:val="22"/>
        </w:rPr>
        <w:t>4.4). D</w:t>
      </w:r>
      <w:r w:rsidR="00DD0DF1" w:rsidRPr="00D72200">
        <w:rPr>
          <w:spacing w:val="-2"/>
          <w:sz w:val="22"/>
          <w:szCs w:val="22"/>
        </w:rPr>
        <w:t>j</w:t>
      </w:r>
      <w:r w:rsidRPr="00D72200">
        <w:rPr>
          <w:spacing w:val="-2"/>
          <w:sz w:val="22"/>
          <w:szCs w:val="22"/>
        </w:rPr>
        <w:t>eca i adolescenti treba da se podvrgnu standardnoj dijeti za smanjenje nivoa holesterola pr</w:t>
      </w:r>
      <w:r w:rsidR="00DD0DF1" w:rsidRPr="00D72200">
        <w:rPr>
          <w:spacing w:val="-2"/>
          <w:sz w:val="22"/>
          <w:szCs w:val="22"/>
        </w:rPr>
        <w:t>ij</w:t>
      </w:r>
      <w:r w:rsidRPr="00D72200">
        <w:rPr>
          <w:spacing w:val="-2"/>
          <w:sz w:val="22"/>
          <w:szCs w:val="22"/>
        </w:rPr>
        <w:t>e započinjanja terapije rosuvastatinom i tu dijetu treba nastaviti i tokom terapije</w:t>
      </w:r>
      <w:r w:rsidR="007C7EB5" w:rsidRPr="00D72200">
        <w:rPr>
          <w:spacing w:val="-2"/>
          <w:sz w:val="22"/>
          <w:szCs w:val="22"/>
        </w:rPr>
        <w:t xml:space="preserve"> rosuvastatinom</w:t>
      </w:r>
      <w:r w:rsidRPr="00D72200">
        <w:rPr>
          <w:spacing w:val="-2"/>
          <w:sz w:val="22"/>
          <w:szCs w:val="22"/>
        </w:rPr>
        <w:t xml:space="preserve">. </w:t>
      </w:r>
    </w:p>
    <w:p w14:paraId="73C61057" w14:textId="77777777" w:rsidR="006D67C9" w:rsidRPr="00D72200" w:rsidRDefault="006D67C9" w:rsidP="00480FB1">
      <w:pPr>
        <w:tabs>
          <w:tab w:val="left" w:pos="540"/>
          <w:tab w:val="left" w:pos="569"/>
        </w:tabs>
        <w:rPr>
          <w:bCs/>
          <w:sz w:val="22"/>
          <w:szCs w:val="22"/>
          <w:highlight w:val="yellow"/>
          <w:u w:val="single"/>
        </w:rPr>
      </w:pPr>
    </w:p>
    <w:p w14:paraId="106DD311" w14:textId="77777777" w:rsidR="00364485" w:rsidRPr="00D72200" w:rsidRDefault="00364485" w:rsidP="006F4C6F">
      <w:pPr>
        <w:pStyle w:val="Default"/>
        <w:jc w:val="both"/>
        <w:rPr>
          <w:sz w:val="22"/>
          <w:szCs w:val="22"/>
          <w:u w:val="single"/>
        </w:rPr>
      </w:pPr>
      <w:r w:rsidRPr="00D72200">
        <w:rPr>
          <w:bCs/>
          <w:sz w:val="22"/>
          <w:szCs w:val="22"/>
          <w:u w:val="single"/>
        </w:rPr>
        <w:t xml:space="preserve">Homozigotna porodična hiperholesterolemija </w:t>
      </w:r>
    </w:p>
    <w:p w14:paraId="6046F795" w14:textId="30D58AB6" w:rsidR="00364485" w:rsidRPr="00D72200" w:rsidRDefault="00364485" w:rsidP="006F4C6F">
      <w:pPr>
        <w:pStyle w:val="Default"/>
        <w:jc w:val="both"/>
        <w:rPr>
          <w:sz w:val="22"/>
          <w:szCs w:val="22"/>
        </w:rPr>
      </w:pPr>
      <w:r w:rsidRPr="00D72200">
        <w:rPr>
          <w:sz w:val="22"/>
          <w:szCs w:val="22"/>
        </w:rPr>
        <w:t xml:space="preserve">Preporučena maksimalna doza </w:t>
      </w:r>
      <w:r w:rsidR="0016013A">
        <w:rPr>
          <w:sz w:val="22"/>
          <w:szCs w:val="22"/>
        </w:rPr>
        <w:t>kod</w:t>
      </w:r>
      <w:r w:rsidRPr="00D72200">
        <w:rPr>
          <w:sz w:val="22"/>
          <w:szCs w:val="22"/>
        </w:rPr>
        <w:t xml:space="preserve"> djece uzrasta od 6 do 17 godina s homozigotnom porodičnom hiperholesterolemijom je 20 mg jednom dnevno. </w:t>
      </w:r>
    </w:p>
    <w:p w14:paraId="1D95091D" w14:textId="552DFA38" w:rsidR="00364485" w:rsidRPr="00D72200" w:rsidRDefault="00364485" w:rsidP="006F4C6F">
      <w:pPr>
        <w:pStyle w:val="Default"/>
        <w:jc w:val="both"/>
        <w:rPr>
          <w:sz w:val="22"/>
          <w:szCs w:val="22"/>
        </w:rPr>
      </w:pPr>
      <w:r w:rsidRPr="00D72200">
        <w:rPr>
          <w:sz w:val="22"/>
          <w:szCs w:val="22"/>
        </w:rPr>
        <w:t xml:space="preserve">U zavisnosti od uzrasta, </w:t>
      </w:r>
      <w:r w:rsidR="007139EA" w:rsidRPr="00D72200">
        <w:rPr>
          <w:sz w:val="22"/>
          <w:szCs w:val="22"/>
        </w:rPr>
        <w:t>t</w:t>
      </w:r>
      <w:r w:rsidR="00F112C3" w:rsidRPr="00D72200">
        <w:rPr>
          <w:sz w:val="22"/>
          <w:szCs w:val="22"/>
        </w:rPr>
        <w:t>j</w:t>
      </w:r>
      <w:r w:rsidR="007139EA" w:rsidRPr="00D72200">
        <w:rPr>
          <w:sz w:val="22"/>
          <w:szCs w:val="22"/>
        </w:rPr>
        <w:t xml:space="preserve">elesne </w:t>
      </w:r>
      <w:r w:rsidR="00AC4390" w:rsidRPr="00D72200">
        <w:rPr>
          <w:sz w:val="22"/>
          <w:szCs w:val="22"/>
        </w:rPr>
        <w:t>težine</w:t>
      </w:r>
      <w:r w:rsidR="007139EA" w:rsidRPr="00D72200">
        <w:rPr>
          <w:sz w:val="22"/>
          <w:szCs w:val="22"/>
        </w:rPr>
        <w:t xml:space="preserve"> </w:t>
      </w:r>
      <w:r w:rsidRPr="00D72200">
        <w:rPr>
          <w:sz w:val="22"/>
          <w:szCs w:val="22"/>
        </w:rPr>
        <w:t>i prethodn</w:t>
      </w:r>
      <w:r w:rsidR="007139EA" w:rsidRPr="00D72200">
        <w:rPr>
          <w:sz w:val="22"/>
          <w:szCs w:val="22"/>
        </w:rPr>
        <w:t>e prim</w:t>
      </w:r>
      <w:r w:rsidR="006A17F2" w:rsidRPr="00D72200">
        <w:rPr>
          <w:sz w:val="22"/>
          <w:szCs w:val="22"/>
        </w:rPr>
        <w:t>j</w:t>
      </w:r>
      <w:r w:rsidR="007139EA" w:rsidRPr="00D72200">
        <w:rPr>
          <w:sz w:val="22"/>
          <w:szCs w:val="22"/>
        </w:rPr>
        <w:t>ene</w:t>
      </w:r>
      <w:r w:rsidRPr="00D72200">
        <w:rPr>
          <w:sz w:val="22"/>
          <w:szCs w:val="22"/>
        </w:rPr>
        <w:t xml:space="preserve"> statina, preporučuje se početna doza od 5 do 10 mg jednom dnevno. Titraciju do maksimalne doze od 20 mg jednom dnevno treba </w:t>
      </w:r>
      <w:r w:rsidR="005E6A9C" w:rsidRPr="00D72200">
        <w:rPr>
          <w:sz w:val="22"/>
          <w:szCs w:val="22"/>
        </w:rPr>
        <w:t>s</w:t>
      </w:r>
      <w:r w:rsidRPr="00D72200">
        <w:rPr>
          <w:sz w:val="22"/>
          <w:szCs w:val="22"/>
        </w:rPr>
        <w:t xml:space="preserve">provoditi u skladu  sa individualnim odgovorom i podnošljivosti kod pedijatrijskih pacijenata, prema </w:t>
      </w:r>
      <w:r w:rsidR="00F27E98" w:rsidRPr="00D72200">
        <w:rPr>
          <w:sz w:val="22"/>
          <w:szCs w:val="22"/>
        </w:rPr>
        <w:t xml:space="preserve">preporukama </w:t>
      </w:r>
      <w:r w:rsidRPr="00D72200">
        <w:rPr>
          <w:sz w:val="22"/>
          <w:szCs w:val="22"/>
        </w:rPr>
        <w:t xml:space="preserve">za liječenje pedijatrijske populacije (vidjeti dio 4.4). Prije početka liječenja rosuvastatinom djeca i adolescenti treba da se podvrgnu standardnoj dijeti za smanjenje nivoa holesterola; ovu dijetu treba nastaviti i tokom liječenja rosuvastatinom. </w:t>
      </w:r>
    </w:p>
    <w:p w14:paraId="798B6C48" w14:textId="77777777" w:rsidR="00364485" w:rsidRPr="00D72200" w:rsidRDefault="00364485" w:rsidP="006F4C6F">
      <w:pPr>
        <w:pStyle w:val="Default"/>
        <w:jc w:val="both"/>
        <w:rPr>
          <w:sz w:val="22"/>
          <w:szCs w:val="22"/>
        </w:rPr>
      </w:pPr>
      <w:r w:rsidRPr="00D72200">
        <w:rPr>
          <w:sz w:val="22"/>
          <w:szCs w:val="22"/>
        </w:rPr>
        <w:t xml:space="preserve">Iskustvo s drugim dozama, osim 20 mg, u ovoj je populaciji ograničeno. </w:t>
      </w:r>
    </w:p>
    <w:p w14:paraId="74C602AF" w14:textId="77777777" w:rsidR="00364485" w:rsidRPr="00D72200" w:rsidRDefault="00364485" w:rsidP="006F4C6F">
      <w:pPr>
        <w:shd w:val="clear" w:color="auto" w:fill="FFFFFF"/>
        <w:tabs>
          <w:tab w:val="left" w:pos="734"/>
          <w:tab w:val="left" w:pos="9270"/>
        </w:tabs>
        <w:spacing w:before="5" w:line="264" w:lineRule="exact"/>
        <w:ind w:right="36"/>
        <w:jc w:val="both"/>
        <w:rPr>
          <w:spacing w:val="-2"/>
          <w:sz w:val="22"/>
          <w:szCs w:val="22"/>
        </w:rPr>
      </w:pPr>
    </w:p>
    <w:p w14:paraId="6B61EF94" w14:textId="7B601013" w:rsidR="00364485" w:rsidRPr="00D72200" w:rsidRDefault="00304152" w:rsidP="006F4C6F">
      <w:pPr>
        <w:shd w:val="clear" w:color="auto" w:fill="FFFFFF"/>
        <w:tabs>
          <w:tab w:val="left" w:pos="734"/>
          <w:tab w:val="left" w:pos="9270"/>
        </w:tabs>
        <w:spacing w:before="5" w:line="264" w:lineRule="exact"/>
        <w:ind w:right="36"/>
        <w:jc w:val="both"/>
        <w:rPr>
          <w:spacing w:val="-2"/>
          <w:sz w:val="22"/>
          <w:szCs w:val="22"/>
        </w:rPr>
      </w:pPr>
      <w:r w:rsidRPr="00D72200">
        <w:rPr>
          <w:spacing w:val="-2"/>
          <w:sz w:val="22"/>
          <w:szCs w:val="22"/>
        </w:rPr>
        <w:t>Film tablete</w:t>
      </w:r>
      <w:r w:rsidR="00364485" w:rsidRPr="00D72200">
        <w:rPr>
          <w:spacing w:val="-2"/>
          <w:sz w:val="22"/>
          <w:szCs w:val="22"/>
        </w:rPr>
        <w:t xml:space="preserve"> od 40 mg </w:t>
      </w:r>
      <w:r w:rsidR="00BA189D" w:rsidRPr="00D72200">
        <w:rPr>
          <w:spacing w:val="-2"/>
          <w:sz w:val="22"/>
          <w:szCs w:val="22"/>
        </w:rPr>
        <w:t>nisu pogodne za prim</w:t>
      </w:r>
      <w:r w:rsidR="00F112C3" w:rsidRPr="00D72200">
        <w:rPr>
          <w:spacing w:val="-2"/>
          <w:sz w:val="22"/>
          <w:szCs w:val="22"/>
        </w:rPr>
        <w:t>j</w:t>
      </w:r>
      <w:r w:rsidR="00BA189D" w:rsidRPr="00D72200">
        <w:rPr>
          <w:spacing w:val="-2"/>
          <w:sz w:val="22"/>
          <w:szCs w:val="22"/>
        </w:rPr>
        <w:t>enu</w:t>
      </w:r>
      <w:r w:rsidR="00364485" w:rsidRPr="00D72200">
        <w:rPr>
          <w:spacing w:val="-2"/>
          <w:sz w:val="22"/>
          <w:szCs w:val="22"/>
        </w:rPr>
        <w:t xml:space="preserve"> kod pedijatrijskih pacijenata.</w:t>
      </w:r>
    </w:p>
    <w:p w14:paraId="2730F249" w14:textId="77777777" w:rsidR="006D67C9" w:rsidRPr="00D72200" w:rsidRDefault="006D67C9" w:rsidP="006F4C6F">
      <w:pPr>
        <w:tabs>
          <w:tab w:val="left" w:pos="540"/>
          <w:tab w:val="left" w:pos="569"/>
        </w:tabs>
        <w:jc w:val="both"/>
        <w:rPr>
          <w:bCs/>
          <w:sz w:val="22"/>
          <w:szCs w:val="22"/>
          <w:highlight w:val="yellow"/>
          <w:u w:val="single"/>
        </w:rPr>
      </w:pPr>
    </w:p>
    <w:p w14:paraId="1BCB9531" w14:textId="26CEC615" w:rsidR="00364485" w:rsidRPr="00D72200" w:rsidRDefault="00364485" w:rsidP="006F4C6F">
      <w:pPr>
        <w:shd w:val="clear" w:color="auto" w:fill="FFFFFF"/>
        <w:tabs>
          <w:tab w:val="left" w:pos="734"/>
          <w:tab w:val="left" w:pos="9270"/>
        </w:tabs>
        <w:spacing w:before="5" w:line="264" w:lineRule="exact"/>
        <w:ind w:left="14" w:right="36"/>
        <w:jc w:val="both"/>
        <w:rPr>
          <w:spacing w:val="-2"/>
          <w:sz w:val="22"/>
          <w:szCs w:val="22"/>
          <w:u w:val="single"/>
        </w:rPr>
      </w:pPr>
      <w:r w:rsidRPr="00D72200">
        <w:rPr>
          <w:spacing w:val="-2"/>
          <w:sz w:val="22"/>
          <w:szCs w:val="22"/>
          <w:u w:val="single"/>
        </w:rPr>
        <w:t>D</w:t>
      </w:r>
      <w:r w:rsidR="00DD0DF1" w:rsidRPr="00D72200">
        <w:rPr>
          <w:spacing w:val="-2"/>
          <w:sz w:val="22"/>
          <w:szCs w:val="22"/>
          <w:u w:val="single"/>
        </w:rPr>
        <w:t>j</w:t>
      </w:r>
      <w:r w:rsidRPr="00D72200">
        <w:rPr>
          <w:spacing w:val="-2"/>
          <w:sz w:val="22"/>
          <w:szCs w:val="22"/>
          <w:u w:val="single"/>
        </w:rPr>
        <w:t>eca mlađa od 6 godina</w:t>
      </w:r>
    </w:p>
    <w:p w14:paraId="6C2734E4" w14:textId="36A7EF14" w:rsidR="00364485" w:rsidRPr="00D72200" w:rsidRDefault="00364485" w:rsidP="006F4C6F">
      <w:pPr>
        <w:shd w:val="clear" w:color="auto" w:fill="FFFFFF"/>
        <w:tabs>
          <w:tab w:val="left" w:pos="734"/>
          <w:tab w:val="left" w:pos="9270"/>
        </w:tabs>
        <w:spacing w:before="5" w:line="264" w:lineRule="exact"/>
        <w:ind w:left="14" w:right="36"/>
        <w:jc w:val="both"/>
        <w:rPr>
          <w:spacing w:val="-2"/>
          <w:sz w:val="22"/>
          <w:szCs w:val="22"/>
        </w:rPr>
      </w:pPr>
      <w:r w:rsidRPr="00D72200">
        <w:rPr>
          <w:spacing w:val="-2"/>
          <w:sz w:val="22"/>
          <w:szCs w:val="22"/>
        </w:rPr>
        <w:t>Bezb</w:t>
      </w:r>
      <w:r w:rsidR="00DD0DF1" w:rsidRPr="00D72200">
        <w:rPr>
          <w:spacing w:val="-2"/>
          <w:sz w:val="22"/>
          <w:szCs w:val="22"/>
        </w:rPr>
        <w:t>j</w:t>
      </w:r>
      <w:r w:rsidRPr="00D72200">
        <w:rPr>
          <w:spacing w:val="-2"/>
          <w:sz w:val="22"/>
          <w:szCs w:val="22"/>
        </w:rPr>
        <w:t>ednost i efikasnost prim</w:t>
      </w:r>
      <w:r w:rsidR="00DD0DF1" w:rsidRPr="00D72200">
        <w:rPr>
          <w:spacing w:val="-2"/>
          <w:sz w:val="22"/>
          <w:szCs w:val="22"/>
        </w:rPr>
        <w:t>j</w:t>
      </w:r>
      <w:r w:rsidRPr="00D72200">
        <w:rPr>
          <w:spacing w:val="-2"/>
          <w:sz w:val="22"/>
          <w:szCs w:val="22"/>
        </w:rPr>
        <w:t>ene kod d</w:t>
      </w:r>
      <w:r w:rsidR="00DD0DF1" w:rsidRPr="00D72200">
        <w:rPr>
          <w:spacing w:val="-2"/>
          <w:sz w:val="22"/>
          <w:szCs w:val="22"/>
        </w:rPr>
        <w:t>j</w:t>
      </w:r>
      <w:r w:rsidRPr="00D72200">
        <w:rPr>
          <w:spacing w:val="-2"/>
          <w:sz w:val="22"/>
          <w:szCs w:val="22"/>
        </w:rPr>
        <w:t>ece mlađe od 6 godina ni</w:t>
      </w:r>
      <w:r w:rsidR="00DD0DF1" w:rsidRPr="00D72200">
        <w:rPr>
          <w:spacing w:val="-2"/>
          <w:sz w:val="22"/>
          <w:szCs w:val="22"/>
        </w:rPr>
        <w:t>je</w:t>
      </w:r>
      <w:r w:rsidRPr="00D72200">
        <w:rPr>
          <w:spacing w:val="-2"/>
          <w:sz w:val="22"/>
          <w:szCs w:val="22"/>
        </w:rPr>
        <w:t>su ispitivane. Stoga se prim</w:t>
      </w:r>
      <w:r w:rsidR="00DD0DF1" w:rsidRPr="00D72200">
        <w:rPr>
          <w:spacing w:val="-2"/>
          <w:sz w:val="22"/>
          <w:szCs w:val="22"/>
        </w:rPr>
        <w:t>j</w:t>
      </w:r>
      <w:r w:rsidRPr="00D72200">
        <w:rPr>
          <w:spacing w:val="-2"/>
          <w:sz w:val="22"/>
          <w:szCs w:val="22"/>
        </w:rPr>
        <w:t xml:space="preserve">ena </w:t>
      </w:r>
      <w:r w:rsidR="00424187" w:rsidRPr="00D72200">
        <w:rPr>
          <w:bCs/>
          <w:sz w:val="22"/>
          <w:szCs w:val="22"/>
        </w:rPr>
        <w:t>l</w:t>
      </w:r>
      <w:r w:rsidR="00F112C3" w:rsidRPr="00D72200">
        <w:rPr>
          <w:bCs/>
          <w:sz w:val="22"/>
          <w:szCs w:val="22"/>
        </w:rPr>
        <w:t>ij</w:t>
      </w:r>
      <w:r w:rsidR="00424187" w:rsidRPr="00D72200">
        <w:rPr>
          <w:bCs/>
          <w:sz w:val="22"/>
          <w:szCs w:val="22"/>
        </w:rPr>
        <w:t>eka Rosuhol</w:t>
      </w:r>
      <w:r w:rsidR="00424187" w:rsidRPr="00D72200">
        <w:rPr>
          <w:spacing w:val="-2"/>
          <w:sz w:val="22"/>
          <w:szCs w:val="22"/>
        </w:rPr>
        <w:t xml:space="preserve"> </w:t>
      </w:r>
      <w:r w:rsidRPr="00D72200">
        <w:rPr>
          <w:spacing w:val="-2"/>
          <w:sz w:val="22"/>
          <w:szCs w:val="22"/>
        </w:rPr>
        <w:t>ne preporučuje kod d</w:t>
      </w:r>
      <w:r w:rsidR="00DD0DF1" w:rsidRPr="00D72200">
        <w:rPr>
          <w:spacing w:val="-2"/>
          <w:sz w:val="22"/>
          <w:szCs w:val="22"/>
        </w:rPr>
        <w:t>j</w:t>
      </w:r>
      <w:r w:rsidRPr="00D72200">
        <w:rPr>
          <w:spacing w:val="-2"/>
          <w:sz w:val="22"/>
          <w:szCs w:val="22"/>
        </w:rPr>
        <w:t>ece mlađe od 6 godina.</w:t>
      </w:r>
    </w:p>
    <w:p w14:paraId="37250298" w14:textId="77777777" w:rsidR="00364485" w:rsidRPr="00D72200" w:rsidRDefault="00364485" w:rsidP="006F4C6F">
      <w:pPr>
        <w:tabs>
          <w:tab w:val="left" w:pos="540"/>
          <w:tab w:val="left" w:pos="569"/>
        </w:tabs>
        <w:jc w:val="both"/>
        <w:rPr>
          <w:bCs/>
          <w:sz w:val="22"/>
          <w:szCs w:val="22"/>
          <w:highlight w:val="yellow"/>
          <w:u w:val="single"/>
        </w:rPr>
      </w:pPr>
    </w:p>
    <w:p w14:paraId="21E14D20" w14:textId="77777777" w:rsidR="00364485" w:rsidRPr="00D72200" w:rsidRDefault="00364485" w:rsidP="006F4C6F">
      <w:pPr>
        <w:shd w:val="clear" w:color="auto" w:fill="FFFFFF"/>
        <w:tabs>
          <w:tab w:val="left" w:pos="734"/>
          <w:tab w:val="left" w:pos="9270"/>
        </w:tabs>
        <w:spacing w:before="5" w:line="264" w:lineRule="exact"/>
        <w:ind w:left="14" w:right="36"/>
        <w:jc w:val="both"/>
        <w:rPr>
          <w:b/>
          <w:spacing w:val="-2"/>
          <w:sz w:val="22"/>
          <w:szCs w:val="22"/>
          <w:lang w:val="sr-Latn-RS"/>
        </w:rPr>
      </w:pPr>
      <w:r w:rsidRPr="00D72200">
        <w:rPr>
          <w:b/>
          <w:spacing w:val="-2"/>
          <w:sz w:val="22"/>
          <w:szCs w:val="22"/>
          <w:lang w:val="sr-Latn-RS"/>
        </w:rPr>
        <w:t>Primjena kod starijih pacijenata</w:t>
      </w:r>
    </w:p>
    <w:p w14:paraId="5B58782D" w14:textId="530F0497" w:rsidR="00364485" w:rsidRPr="00D72200" w:rsidRDefault="00364485" w:rsidP="006F4C6F">
      <w:pPr>
        <w:shd w:val="clear" w:color="auto" w:fill="FFFFFF"/>
        <w:tabs>
          <w:tab w:val="left" w:pos="734"/>
          <w:tab w:val="left" w:pos="9270"/>
        </w:tabs>
        <w:spacing w:before="5" w:line="264" w:lineRule="exact"/>
        <w:ind w:right="36"/>
        <w:jc w:val="both"/>
        <w:rPr>
          <w:spacing w:val="-2"/>
          <w:sz w:val="22"/>
          <w:szCs w:val="22"/>
          <w:lang w:val="sr-Latn-RS"/>
        </w:rPr>
      </w:pPr>
      <w:r w:rsidRPr="00D72200">
        <w:rPr>
          <w:spacing w:val="-2"/>
          <w:sz w:val="22"/>
          <w:szCs w:val="22"/>
          <w:lang w:val="sr-Latn-RS"/>
        </w:rPr>
        <w:t>Kod pacijenata starijih od 70 godina, preporučena početna doza je 5</w:t>
      </w:r>
      <w:r w:rsidR="00430ACF" w:rsidRPr="00D72200">
        <w:rPr>
          <w:spacing w:val="-2"/>
          <w:sz w:val="22"/>
          <w:szCs w:val="22"/>
          <w:lang w:val="sr-Latn-RS"/>
        </w:rPr>
        <w:t xml:space="preserve"> </w:t>
      </w:r>
      <w:r w:rsidRPr="00D72200">
        <w:rPr>
          <w:spacing w:val="-2"/>
          <w:sz w:val="22"/>
          <w:szCs w:val="22"/>
          <w:lang w:val="sr-Latn-RS"/>
        </w:rPr>
        <w:t xml:space="preserve">mg (vidjeti </w:t>
      </w:r>
      <w:r w:rsidR="00D82055" w:rsidRPr="00D72200">
        <w:rPr>
          <w:spacing w:val="-2"/>
          <w:sz w:val="22"/>
          <w:szCs w:val="22"/>
          <w:lang w:val="sr-Latn-RS"/>
        </w:rPr>
        <w:t>d</w:t>
      </w:r>
      <w:r w:rsidR="007D3E25" w:rsidRPr="00D72200">
        <w:rPr>
          <w:spacing w:val="-2"/>
          <w:sz w:val="22"/>
          <w:szCs w:val="22"/>
          <w:lang w:val="sr-Latn-RS"/>
        </w:rPr>
        <w:t>i</w:t>
      </w:r>
      <w:r w:rsidR="00D82055" w:rsidRPr="00D72200">
        <w:rPr>
          <w:spacing w:val="-2"/>
          <w:sz w:val="22"/>
          <w:szCs w:val="22"/>
          <w:lang w:val="sr-Latn-RS"/>
        </w:rPr>
        <w:t xml:space="preserve">o </w:t>
      </w:r>
      <w:r w:rsidRPr="00D72200">
        <w:rPr>
          <w:spacing w:val="-2"/>
          <w:sz w:val="22"/>
          <w:szCs w:val="22"/>
          <w:lang w:val="sr-Latn-RS"/>
        </w:rPr>
        <w:t>4.4). Ni</w:t>
      </w:r>
      <w:r w:rsidR="00A9489A" w:rsidRPr="00D72200">
        <w:rPr>
          <w:spacing w:val="-2"/>
          <w:sz w:val="22"/>
          <w:szCs w:val="22"/>
          <w:lang w:val="sr-Latn-RS"/>
        </w:rPr>
        <w:t>su</w:t>
      </w:r>
      <w:r w:rsidRPr="00D72200">
        <w:rPr>
          <w:spacing w:val="-2"/>
          <w:sz w:val="22"/>
          <w:szCs w:val="22"/>
          <w:lang w:val="sr-Latn-RS"/>
        </w:rPr>
        <w:t xml:space="preserve"> potrebn</w:t>
      </w:r>
      <w:r w:rsidR="00A9489A" w:rsidRPr="00D72200">
        <w:rPr>
          <w:spacing w:val="-2"/>
          <w:sz w:val="22"/>
          <w:szCs w:val="22"/>
          <w:lang w:val="sr-Latn-RS"/>
        </w:rPr>
        <w:t>a druga</w:t>
      </w:r>
      <w:r w:rsidRPr="00D72200">
        <w:rPr>
          <w:spacing w:val="-2"/>
          <w:sz w:val="22"/>
          <w:szCs w:val="22"/>
          <w:lang w:val="sr-Latn-RS"/>
        </w:rPr>
        <w:t xml:space="preserve"> prilagođavanj</w:t>
      </w:r>
      <w:r w:rsidR="002E3C94" w:rsidRPr="00D72200">
        <w:rPr>
          <w:spacing w:val="-2"/>
          <w:sz w:val="22"/>
          <w:szCs w:val="22"/>
          <w:lang w:val="sr-Latn-RS"/>
        </w:rPr>
        <w:t>a</w:t>
      </w:r>
      <w:r w:rsidRPr="00D72200">
        <w:rPr>
          <w:spacing w:val="-2"/>
          <w:sz w:val="22"/>
          <w:szCs w:val="22"/>
          <w:lang w:val="sr-Latn-RS"/>
        </w:rPr>
        <w:t xml:space="preserve"> doze u odnosu na godine.</w:t>
      </w:r>
    </w:p>
    <w:p w14:paraId="6C072EFC" w14:textId="77777777" w:rsidR="00364485" w:rsidRPr="00D72200" w:rsidRDefault="00364485" w:rsidP="006F4C6F">
      <w:pPr>
        <w:shd w:val="clear" w:color="auto" w:fill="FFFFFF"/>
        <w:tabs>
          <w:tab w:val="left" w:pos="734"/>
          <w:tab w:val="left" w:pos="9270"/>
        </w:tabs>
        <w:spacing w:before="5" w:line="264" w:lineRule="exact"/>
        <w:ind w:left="14" w:right="36"/>
        <w:jc w:val="both"/>
        <w:rPr>
          <w:spacing w:val="-2"/>
          <w:sz w:val="22"/>
          <w:szCs w:val="22"/>
          <w:lang w:val="sr-Latn-RS"/>
        </w:rPr>
      </w:pPr>
    </w:p>
    <w:p w14:paraId="6AA2752D" w14:textId="7141A7CD" w:rsidR="00364485" w:rsidRPr="00D72200" w:rsidRDefault="005B6266" w:rsidP="006F4C6F">
      <w:pPr>
        <w:shd w:val="clear" w:color="auto" w:fill="FFFFFF"/>
        <w:tabs>
          <w:tab w:val="left" w:pos="734"/>
          <w:tab w:val="left" w:pos="9270"/>
        </w:tabs>
        <w:spacing w:before="5" w:line="264" w:lineRule="exact"/>
        <w:ind w:left="14" w:right="36"/>
        <w:jc w:val="both"/>
        <w:rPr>
          <w:b/>
          <w:spacing w:val="-2"/>
          <w:sz w:val="22"/>
          <w:szCs w:val="22"/>
          <w:lang w:val="sr-Latn-RS"/>
        </w:rPr>
      </w:pPr>
      <w:r w:rsidRPr="00D72200">
        <w:rPr>
          <w:b/>
          <w:spacing w:val="-2"/>
          <w:sz w:val="22"/>
          <w:szCs w:val="22"/>
          <w:lang w:val="sr-Latn-RS"/>
        </w:rPr>
        <w:t>Doziranje kod p</w:t>
      </w:r>
      <w:r w:rsidR="00364485" w:rsidRPr="00D72200">
        <w:rPr>
          <w:b/>
          <w:spacing w:val="-2"/>
          <w:sz w:val="22"/>
          <w:szCs w:val="22"/>
          <w:lang w:val="sr-Latn-RS"/>
        </w:rPr>
        <w:t>acijen</w:t>
      </w:r>
      <w:r w:rsidRPr="00D72200">
        <w:rPr>
          <w:b/>
          <w:spacing w:val="-2"/>
          <w:sz w:val="22"/>
          <w:szCs w:val="22"/>
          <w:lang w:val="sr-Latn-RS"/>
        </w:rPr>
        <w:t>ata</w:t>
      </w:r>
      <w:r w:rsidR="00364485" w:rsidRPr="00D72200">
        <w:rPr>
          <w:b/>
          <w:spacing w:val="-2"/>
          <w:sz w:val="22"/>
          <w:szCs w:val="22"/>
          <w:lang w:val="sr-Latn-RS"/>
        </w:rPr>
        <w:t xml:space="preserve"> sa bubrežnom insuficijencijom</w:t>
      </w:r>
    </w:p>
    <w:p w14:paraId="75763475" w14:textId="198EC76F" w:rsidR="00364485" w:rsidRPr="00D72200" w:rsidRDefault="00364485" w:rsidP="006F4C6F">
      <w:pPr>
        <w:shd w:val="clear" w:color="auto" w:fill="FFFFFF"/>
        <w:tabs>
          <w:tab w:val="left" w:pos="734"/>
          <w:tab w:val="left" w:pos="9270"/>
        </w:tabs>
        <w:spacing w:before="5" w:line="264" w:lineRule="exact"/>
        <w:ind w:left="14" w:right="36"/>
        <w:jc w:val="both"/>
        <w:rPr>
          <w:spacing w:val="-2"/>
          <w:sz w:val="22"/>
          <w:szCs w:val="22"/>
          <w:lang w:val="sr-Latn-RS"/>
        </w:rPr>
      </w:pPr>
      <w:r w:rsidRPr="00D72200">
        <w:rPr>
          <w:spacing w:val="-2"/>
          <w:sz w:val="22"/>
          <w:szCs w:val="22"/>
          <w:lang w:val="sr-Latn-RS"/>
        </w:rPr>
        <w:t>Nije potrebno prilagođavanje doza kod pacijenata sa blagim do umjerenim oštećenjem bubrega. Preporučena početna doza je 5</w:t>
      </w:r>
      <w:r w:rsidR="00430ACF" w:rsidRPr="00D72200">
        <w:rPr>
          <w:spacing w:val="-2"/>
          <w:sz w:val="22"/>
          <w:szCs w:val="22"/>
          <w:lang w:val="sr-Latn-RS"/>
        </w:rPr>
        <w:t xml:space="preserve"> </w:t>
      </w:r>
      <w:r w:rsidRPr="00D72200">
        <w:rPr>
          <w:spacing w:val="-2"/>
          <w:sz w:val="22"/>
          <w:szCs w:val="22"/>
          <w:lang w:val="sr-Latn-RS"/>
        </w:rPr>
        <w:t>mg kod pacijenata sa umjerenim oštećenjem bubrega (klirens kreatinina &lt;60</w:t>
      </w:r>
      <w:r w:rsidR="00430ACF" w:rsidRPr="00D72200">
        <w:rPr>
          <w:spacing w:val="-2"/>
          <w:sz w:val="22"/>
          <w:szCs w:val="22"/>
          <w:lang w:val="sr-Latn-RS"/>
        </w:rPr>
        <w:t xml:space="preserve"> </w:t>
      </w:r>
      <w:r w:rsidRPr="00D72200">
        <w:rPr>
          <w:spacing w:val="-2"/>
          <w:sz w:val="22"/>
          <w:szCs w:val="22"/>
          <w:lang w:val="sr-Latn-RS"/>
        </w:rPr>
        <w:t>ml/min). Doza od 40</w:t>
      </w:r>
      <w:r w:rsidR="00430ACF" w:rsidRPr="00D72200">
        <w:rPr>
          <w:spacing w:val="-2"/>
          <w:sz w:val="22"/>
          <w:szCs w:val="22"/>
          <w:lang w:val="sr-Latn-RS"/>
        </w:rPr>
        <w:t xml:space="preserve"> </w:t>
      </w:r>
      <w:r w:rsidRPr="00D72200">
        <w:rPr>
          <w:spacing w:val="-2"/>
          <w:sz w:val="22"/>
          <w:szCs w:val="22"/>
          <w:lang w:val="sr-Latn-RS"/>
        </w:rPr>
        <w:t xml:space="preserve">mg je kontraindikovana kod pacijenata sa umjerenim oštećenjem bubrega. Primjena </w:t>
      </w:r>
      <w:r w:rsidRPr="00D72200">
        <w:rPr>
          <w:bCs/>
          <w:sz w:val="22"/>
          <w:szCs w:val="22"/>
          <w:lang w:val="sr-Latn-RS"/>
        </w:rPr>
        <w:t>rosuvastatina</w:t>
      </w:r>
      <w:r w:rsidRPr="00D72200">
        <w:rPr>
          <w:spacing w:val="-2"/>
          <w:sz w:val="22"/>
          <w:szCs w:val="22"/>
          <w:lang w:val="sr-Latn-RS"/>
        </w:rPr>
        <w:t xml:space="preserve"> u svim dozama je kontraindikovana kod pacijenata sa teškim oštećenjem bubrega (vidjeti </w:t>
      </w:r>
      <w:r w:rsidR="00CA0113" w:rsidRPr="00D72200">
        <w:rPr>
          <w:spacing w:val="-2"/>
          <w:sz w:val="22"/>
          <w:szCs w:val="22"/>
          <w:lang w:val="sr-Latn-RS"/>
        </w:rPr>
        <w:t>d</w:t>
      </w:r>
      <w:r w:rsidR="007D3E25" w:rsidRPr="00D72200">
        <w:rPr>
          <w:spacing w:val="-2"/>
          <w:sz w:val="22"/>
          <w:szCs w:val="22"/>
          <w:lang w:val="sr-Latn-RS"/>
        </w:rPr>
        <w:t>j</w:t>
      </w:r>
      <w:r w:rsidR="00CA0113" w:rsidRPr="00D72200">
        <w:rPr>
          <w:spacing w:val="-2"/>
          <w:sz w:val="22"/>
          <w:szCs w:val="22"/>
          <w:lang w:val="sr-Latn-RS"/>
        </w:rPr>
        <w:t xml:space="preserve">elove </w:t>
      </w:r>
      <w:r w:rsidRPr="00D72200">
        <w:rPr>
          <w:spacing w:val="-2"/>
          <w:sz w:val="22"/>
          <w:szCs w:val="22"/>
          <w:lang w:val="sr-Latn-RS"/>
        </w:rPr>
        <w:t>4.3 i 5.2).</w:t>
      </w:r>
    </w:p>
    <w:p w14:paraId="52C76909" w14:textId="77777777" w:rsidR="00364485" w:rsidRPr="00D72200" w:rsidRDefault="00364485" w:rsidP="006F4C6F">
      <w:pPr>
        <w:shd w:val="clear" w:color="auto" w:fill="FFFFFF"/>
        <w:tabs>
          <w:tab w:val="left" w:pos="734"/>
          <w:tab w:val="left" w:pos="9270"/>
        </w:tabs>
        <w:spacing w:before="5" w:line="264" w:lineRule="exact"/>
        <w:ind w:left="14" w:right="36"/>
        <w:jc w:val="both"/>
        <w:rPr>
          <w:spacing w:val="-2"/>
          <w:sz w:val="22"/>
          <w:szCs w:val="22"/>
          <w:lang w:val="sr-Latn-RS"/>
        </w:rPr>
      </w:pPr>
    </w:p>
    <w:p w14:paraId="471553EA" w14:textId="3C693757" w:rsidR="00364485" w:rsidRPr="00D72200" w:rsidRDefault="00364485" w:rsidP="006F4C6F">
      <w:pPr>
        <w:shd w:val="clear" w:color="auto" w:fill="FFFFFF"/>
        <w:tabs>
          <w:tab w:val="left" w:pos="734"/>
          <w:tab w:val="left" w:pos="9270"/>
        </w:tabs>
        <w:spacing w:before="5" w:line="264" w:lineRule="exact"/>
        <w:ind w:left="14" w:right="36"/>
        <w:jc w:val="both"/>
        <w:rPr>
          <w:b/>
          <w:spacing w:val="-2"/>
          <w:sz w:val="22"/>
          <w:szCs w:val="22"/>
          <w:lang w:val="sr-Latn-RS"/>
        </w:rPr>
      </w:pPr>
      <w:r w:rsidRPr="00D72200">
        <w:rPr>
          <w:b/>
          <w:spacing w:val="-2"/>
          <w:sz w:val="22"/>
          <w:szCs w:val="22"/>
          <w:lang w:val="sr-Latn-RS"/>
        </w:rPr>
        <w:t xml:space="preserve">Doziranje kod pacijenata sa </w:t>
      </w:r>
      <w:r w:rsidR="0016013A">
        <w:rPr>
          <w:b/>
          <w:spacing w:val="-2"/>
          <w:sz w:val="22"/>
          <w:szCs w:val="22"/>
          <w:lang w:val="sr-Latn-RS"/>
        </w:rPr>
        <w:t>oslabljenom</w:t>
      </w:r>
      <w:r w:rsidR="005B6266" w:rsidRPr="00D72200">
        <w:rPr>
          <w:b/>
          <w:spacing w:val="-2"/>
          <w:sz w:val="22"/>
          <w:szCs w:val="22"/>
          <w:lang w:val="sr-Latn-RS"/>
        </w:rPr>
        <w:t xml:space="preserve"> </w:t>
      </w:r>
      <w:r w:rsidRPr="00D72200">
        <w:rPr>
          <w:b/>
          <w:spacing w:val="-2"/>
          <w:sz w:val="22"/>
          <w:szCs w:val="22"/>
          <w:lang w:val="sr-Latn-RS"/>
        </w:rPr>
        <w:t>funkcijom jetre</w:t>
      </w:r>
    </w:p>
    <w:p w14:paraId="18410317" w14:textId="72A68CC0" w:rsidR="00364485" w:rsidRPr="00D72200" w:rsidRDefault="00364485" w:rsidP="006F4C6F">
      <w:pPr>
        <w:shd w:val="clear" w:color="auto" w:fill="FFFFFF"/>
        <w:tabs>
          <w:tab w:val="left" w:pos="734"/>
          <w:tab w:val="left" w:pos="9270"/>
        </w:tabs>
        <w:spacing w:before="5" w:line="264" w:lineRule="exact"/>
        <w:ind w:left="14" w:right="36"/>
        <w:jc w:val="both"/>
        <w:rPr>
          <w:color w:val="000000"/>
          <w:sz w:val="22"/>
          <w:szCs w:val="22"/>
          <w:lang w:val="sr-Latn-RS"/>
        </w:rPr>
      </w:pPr>
      <w:r w:rsidRPr="00D72200">
        <w:rPr>
          <w:color w:val="000000"/>
          <w:sz w:val="22"/>
          <w:szCs w:val="22"/>
          <w:lang w:val="sr-Latn-RS"/>
        </w:rPr>
        <w:t xml:space="preserve">Nije </w:t>
      </w:r>
      <w:r w:rsidRPr="00D72200">
        <w:rPr>
          <w:sz w:val="22"/>
          <w:szCs w:val="22"/>
        </w:rPr>
        <w:t>bilo povećanja</w:t>
      </w:r>
      <w:r w:rsidRPr="00D72200">
        <w:rPr>
          <w:color w:val="000000"/>
          <w:sz w:val="22"/>
          <w:szCs w:val="22"/>
          <w:lang w:val="sr-Latn-RS"/>
        </w:rPr>
        <w:t xml:space="preserve">  sistemske izloženosti rosuvastatinu kod pacijenata sa </w:t>
      </w:r>
      <w:r w:rsidRPr="00D72200">
        <w:rPr>
          <w:i/>
          <w:color w:val="000000"/>
          <w:sz w:val="22"/>
          <w:szCs w:val="22"/>
          <w:lang w:val="sr-Latn-RS"/>
        </w:rPr>
        <w:t xml:space="preserve">Child Pugh </w:t>
      </w:r>
      <w:r w:rsidRPr="00D72200">
        <w:rPr>
          <w:color w:val="000000"/>
          <w:sz w:val="22"/>
          <w:szCs w:val="22"/>
          <w:lang w:val="sr-Latn-RS"/>
        </w:rPr>
        <w:t xml:space="preserve">skorom 7 i manje. Ipak, primjećena je veća sistemska izloženost kod pacijenata sa </w:t>
      </w:r>
      <w:r w:rsidRPr="00D72200">
        <w:rPr>
          <w:i/>
          <w:color w:val="000000"/>
          <w:sz w:val="22"/>
          <w:szCs w:val="22"/>
          <w:lang w:val="sr-Latn-RS"/>
        </w:rPr>
        <w:t xml:space="preserve">Child Pugh </w:t>
      </w:r>
      <w:r w:rsidRPr="00D72200">
        <w:rPr>
          <w:color w:val="000000"/>
          <w:sz w:val="22"/>
          <w:szCs w:val="22"/>
          <w:lang w:val="sr-Latn-RS"/>
        </w:rPr>
        <w:t xml:space="preserve">skorom 8 i 9 (vidjeti </w:t>
      </w:r>
      <w:r w:rsidR="00CA0113" w:rsidRPr="00D72200">
        <w:rPr>
          <w:color w:val="000000"/>
          <w:sz w:val="22"/>
          <w:szCs w:val="22"/>
          <w:lang w:val="sr-Latn-RS"/>
        </w:rPr>
        <w:t xml:space="preserve">dio </w:t>
      </w:r>
      <w:r w:rsidRPr="00D72200">
        <w:rPr>
          <w:color w:val="000000"/>
          <w:sz w:val="22"/>
          <w:szCs w:val="22"/>
          <w:lang w:val="sr-Latn-RS"/>
        </w:rPr>
        <w:t xml:space="preserve">5.2). Kod ovih pacijenata potrebno je uraditi procjenu bubrežne funkcije (vidjeti </w:t>
      </w:r>
      <w:r w:rsidR="00CA0113" w:rsidRPr="00D72200">
        <w:rPr>
          <w:color w:val="000000"/>
          <w:sz w:val="22"/>
          <w:szCs w:val="22"/>
          <w:lang w:val="sr-Latn-RS"/>
        </w:rPr>
        <w:t>dio</w:t>
      </w:r>
      <w:r w:rsidRPr="00D72200">
        <w:rPr>
          <w:color w:val="000000"/>
          <w:sz w:val="22"/>
          <w:szCs w:val="22"/>
          <w:lang w:val="sr-Latn-RS"/>
        </w:rPr>
        <w:t xml:space="preserve"> 4.4). Ne postoje iskustva sa pacijentima kod kojih je </w:t>
      </w:r>
      <w:r w:rsidRPr="00D72200">
        <w:rPr>
          <w:i/>
          <w:color w:val="000000"/>
          <w:sz w:val="22"/>
          <w:szCs w:val="22"/>
          <w:lang w:val="sr-Latn-RS"/>
        </w:rPr>
        <w:t xml:space="preserve">Child Pugh </w:t>
      </w:r>
      <w:r w:rsidRPr="00D72200">
        <w:rPr>
          <w:color w:val="000000"/>
          <w:sz w:val="22"/>
          <w:szCs w:val="22"/>
          <w:lang w:val="sr-Latn-RS"/>
        </w:rPr>
        <w:t xml:space="preserve">skor veći od 9. </w:t>
      </w:r>
      <w:r w:rsidR="00184686" w:rsidRPr="00D72200">
        <w:rPr>
          <w:color w:val="000000"/>
          <w:sz w:val="22"/>
          <w:szCs w:val="22"/>
          <w:lang w:val="sr-Latn-RS"/>
        </w:rPr>
        <w:t>L</w:t>
      </w:r>
      <w:r w:rsidR="00F112C3" w:rsidRPr="00D72200">
        <w:rPr>
          <w:color w:val="000000"/>
          <w:sz w:val="22"/>
          <w:szCs w:val="22"/>
          <w:lang w:val="sr-Latn-RS"/>
        </w:rPr>
        <w:t>ij</w:t>
      </w:r>
      <w:r w:rsidR="00184686" w:rsidRPr="00D72200">
        <w:rPr>
          <w:color w:val="000000"/>
          <w:sz w:val="22"/>
          <w:szCs w:val="22"/>
          <w:lang w:val="sr-Latn-RS"/>
        </w:rPr>
        <w:t xml:space="preserve">ek Rosuhol </w:t>
      </w:r>
      <w:r w:rsidRPr="00D72200">
        <w:rPr>
          <w:color w:val="000000"/>
          <w:sz w:val="22"/>
          <w:szCs w:val="22"/>
          <w:lang w:val="sr-Latn-RS"/>
        </w:rPr>
        <w:t xml:space="preserve">je kontraindikovan kod pacijenata sa aktivnim oboljenjem jetre (vidjeti </w:t>
      </w:r>
      <w:r w:rsidR="00CA0113" w:rsidRPr="00D72200">
        <w:rPr>
          <w:color w:val="000000"/>
          <w:sz w:val="22"/>
          <w:szCs w:val="22"/>
          <w:lang w:val="sr-Latn-RS"/>
        </w:rPr>
        <w:t xml:space="preserve">dio </w:t>
      </w:r>
      <w:r w:rsidRPr="00D72200">
        <w:rPr>
          <w:color w:val="000000"/>
          <w:sz w:val="22"/>
          <w:szCs w:val="22"/>
          <w:lang w:val="sr-Latn-RS"/>
        </w:rPr>
        <w:t>4.3).</w:t>
      </w:r>
    </w:p>
    <w:p w14:paraId="11203CFC" w14:textId="77777777" w:rsidR="00364485" w:rsidRPr="00D72200" w:rsidRDefault="00364485" w:rsidP="006F4C6F">
      <w:pPr>
        <w:tabs>
          <w:tab w:val="left" w:pos="540"/>
          <w:tab w:val="left" w:pos="569"/>
        </w:tabs>
        <w:jc w:val="both"/>
        <w:rPr>
          <w:bCs/>
          <w:sz w:val="22"/>
          <w:szCs w:val="22"/>
          <w:highlight w:val="yellow"/>
          <w:u w:val="single"/>
        </w:rPr>
      </w:pPr>
    </w:p>
    <w:p w14:paraId="1CD048CB" w14:textId="77777777" w:rsidR="00364485" w:rsidRPr="00D72200" w:rsidRDefault="00364485" w:rsidP="006F4C6F">
      <w:pPr>
        <w:shd w:val="clear" w:color="auto" w:fill="FFFFFF"/>
        <w:tabs>
          <w:tab w:val="left" w:pos="734"/>
          <w:tab w:val="left" w:pos="9270"/>
        </w:tabs>
        <w:spacing w:before="5" w:line="264" w:lineRule="exact"/>
        <w:ind w:left="14" w:right="36"/>
        <w:jc w:val="both"/>
        <w:rPr>
          <w:b/>
          <w:color w:val="000000"/>
          <w:sz w:val="22"/>
          <w:szCs w:val="22"/>
          <w:lang w:val="sr-Latn-RS"/>
        </w:rPr>
      </w:pPr>
      <w:r w:rsidRPr="00D72200">
        <w:rPr>
          <w:b/>
          <w:color w:val="000000"/>
          <w:sz w:val="22"/>
          <w:szCs w:val="22"/>
          <w:lang w:val="sr-Latn-RS"/>
        </w:rPr>
        <w:t>Rasa</w:t>
      </w:r>
    </w:p>
    <w:p w14:paraId="7D8564E4" w14:textId="07614C6F" w:rsidR="00364485" w:rsidRPr="00D72200" w:rsidRDefault="00364485" w:rsidP="006F4C6F">
      <w:pPr>
        <w:shd w:val="clear" w:color="auto" w:fill="FFFFFF"/>
        <w:tabs>
          <w:tab w:val="left" w:pos="734"/>
          <w:tab w:val="left" w:pos="9270"/>
        </w:tabs>
        <w:spacing w:before="5" w:line="264" w:lineRule="exact"/>
        <w:ind w:right="36"/>
        <w:jc w:val="both"/>
        <w:rPr>
          <w:color w:val="000000"/>
          <w:sz w:val="22"/>
          <w:szCs w:val="22"/>
          <w:lang w:val="sr-Latn-RS"/>
        </w:rPr>
      </w:pPr>
      <w:r w:rsidRPr="00D72200">
        <w:rPr>
          <w:color w:val="000000"/>
          <w:sz w:val="22"/>
          <w:szCs w:val="22"/>
          <w:lang w:val="sr-Latn-RS"/>
        </w:rPr>
        <w:t xml:space="preserve">Veća sistemska izloženost je primjećena kod pripadnika azijskih naroda (vidjeti </w:t>
      </w:r>
      <w:r w:rsidR="00CA0113" w:rsidRPr="00D72200">
        <w:rPr>
          <w:color w:val="000000"/>
          <w:sz w:val="22"/>
          <w:szCs w:val="22"/>
          <w:lang w:val="sr-Latn-RS"/>
        </w:rPr>
        <w:t>d</w:t>
      </w:r>
      <w:r w:rsidR="007D3E25" w:rsidRPr="00D72200">
        <w:rPr>
          <w:color w:val="000000"/>
          <w:sz w:val="22"/>
          <w:szCs w:val="22"/>
          <w:lang w:val="sr-Latn-RS"/>
        </w:rPr>
        <w:t>j</w:t>
      </w:r>
      <w:r w:rsidR="00CA0113" w:rsidRPr="00D72200">
        <w:rPr>
          <w:color w:val="000000"/>
          <w:sz w:val="22"/>
          <w:szCs w:val="22"/>
          <w:lang w:val="sr-Latn-RS"/>
        </w:rPr>
        <w:t xml:space="preserve">elove </w:t>
      </w:r>
      <w:r w:rsidR="00A02802" w:rsidRPr="00D72200">
        <w:rPr>
          <w:color w:val="000000"/>
          <w:sz w:val="22"/>
          <w:szCs w:val="22"/>
          <w:lang w:val="sr-Latn-RS"/>
        </w:rPr>
        <w:t xml:space="preserve">4.3, </w:t>
      </w:r>
      <w:r w:rsidRPr="00D72200">
        <w:rPr>
          <w:color w:val="000000"/>
          <w:sz w:val="22"/>
          <w:szCs w:val="22"/>
          <w:lang w:val="sr-Latn-RS"/>
        </w:rPr>
        <w:t>4.4 i 5.2). Preporučena početna doza je 5</w:t>
      </w:r>
      <w:r w:rsidR="00430ACF" w:rsidRPr="00D72200">
        <w:rPr>
          <w:color w:val="000000"/>
          <w:sz w:val="22"/>
          <w:szCs w:val="22"/>
          <w:lang w:val="sr-Latn-RS"/>
        </w:rPr>
        <w:t xml:space="preserve"> </w:t>
      </w:r>
      <w:r w:rsidRPr="00D72200">
        <w:rPr>
          <w:color w:val="000000"/>
          <w:sz w:val="22"/>
          <w:szCs w:val="22"/>
          <w:lang w:val="sr-Latn-RS"/>
        </w:rPr>
        <w:t>mg za pacijente azijskog porekla. Doza od 40</w:t>
      </w:r>
      <w:r w:rsidR="00430ACF" w:rsidRPr="00D72200">
        <w:rPr>
          <w:color w:val="000000"/>
          <w:sz w:val="22"/>
          <w:szCs w:val="22"/>
          <w:lang w:val="sr-Latn-RS"/>
        </w:rPr>
        <w:t xml:space="preserve"> </w:t>
      </w:r>
      <w:r w:rsidRPr="00D72200">
        <w:rPr>
          <w:color w:val="000000"/>
          <w:sz w:val="22"/>
          <w:szCs w:val="22"/>
          <w:lang w:val="sr-Latn-RS"/>
        </w:rPr>
        <w:t xml:space="preserve">mg je kontraindikovana kod ovih pacijenata. </w:t>
      </w:r>
    </w:p>
    <w:p w14:paraId="017C742C" w14:textId="77777777" w:rsidR="00364485" w:rsidRPr="00D72200" w:rsidRDefault="00364485" w:rsidP="006F4C6F">
      <w:pPr>
        <w:tabs>
          <w:tab w:val="left" w:pos="540"/>
          <w:tab w:val="left" w:pos="569"/>
        </w:tabs>
        <w:jc w:val="both"/>
        <w:rPr>
          <w:bCs/>
          <w:sz w:val="22"/>
          <w:szCs w:val="22"/>
          <w:highlight w:val="yellow"/>
          <w:u w:val="single"/>
        </w:rPr>
      </w:pPr>
    </w:p>
    <w:p w14:paraId="1E815A7C" w14:textId="77777777" w:rsidR="00364485" w:rsidRPr="00D72200" w:rsidRDefault="00364485" w:rsidP="006F4C6F">
      <w:pPr>
        <w:pStyle w:val="Default"/>
        <w:jc w:val="both"/>
        <w:rPr>
          <w:b/>
          <w:sz w:val="22"/>
          <w:szCs w:val="22"/>
        </w:rPr>
      </w:pPr>
      <w:r w:rsidRPr="00D72200">
        <w:rPr>
          <w:b/>
          <w:bCs/>
          <w:sz w:val="22"/>
          <w:szCs w:val="22"/>
        </w:rPr>
        <w:t xml:space="preserve">Genski polimorfizam </w:t>
      </w:r>
    </w:p>
    <w:p w14:paraId="6378F7C0" w14:textId="31539D0C" w:rsidR="00364485" w:rsidRPr="00D72200" w:rsidRDefault="00364485" w:rsidP="006F4C6F">
      <w:pPr>
        <w:tabs>
          <w:tab w:val="left" w:pos="540"/>
          <w:tab w:val="left" w:pos="569"/>
        </w:tabs>
        <w:jc w:val="both"/>
        <w:rPr>
          <w:bCs/>
          <w:sz w:val="22"/>
          <w:szCs w:val="22"/>
          <w:highlight w:val="yellow"/>
          <w:u w:val="single"/>
        </w:rPr>
      </w:pPr>
      <w:r w:rsidRPr="00D72200">
        <w:rPr>
          <w:sz w:val="22"/>
          <w:szCs w:val="22"/>
        </w:rPr>
        <w:t xml:space="preserve">Poznati su specifični tipovi genskog polimorfizma koji mogu dovesti do povećane izloženosti rosuvastatinu (vidjeti dio 5.2). Za </w:t>
      </w:r>
      <w:r w:rsidR="0016013A">
        <w:rPr>
          <w:sz w:val="22"/>
          <w:szCs w:val="22"/>
        </w:rPr>
        <w:t>pacijente</w:t>
      </w:r>
      <w:r w:rsidR="0016013A" w:rsidRPr="00D72200">
        <w:rPr>
          <w:sz w:val="22"/>
          <w:szCs w:val="22"/>
        </w:rPr>
        <w:t xml:space="preserve"> </w:t>
      </w:r>
      <w:r w:rsidRPr="00D72200">
        <w:rPr>
          <w:sz w:val="22"/>
          <w:szCs w:val="22"/>
        </w:rPr>
        <w:t xml:space="preserve">za koje je poznato da imaju te specifične tipove polimorfizma preporučuje se niža dnevna doza </w:t>
      </w:r>
      <w:r w:rsidR="00684CB2" w:rsidRPr="00D72200">
        <w:rPr>
          <w:sz w:val="22"/>
          <w:szCs w:val="22"/>
        </w:rPr>
        <w:t>l</w:t>
      </w:r>
      <w:r w:rsidR="00F112C3" w:rsidRPr="00D72200">
        <w:rPr>
          <w:sz w:val="22"/>
          <w:szCs w:val="22"/>
        </w:rPr>
        <w:t>ij</w:t>
      </w:r>
      <w:r w:rsidR="00684CB2" w:rsidRPr="00D72200">
        <w:rPr>
          <w:sz w:val="22"/>
          <w:szCs w:val="22"/>
        </w:rPr>
        <w:t>eka Rosuhol</w:t>
      </w:r>
      <w:r w:rsidRPr="00D72200">
        <w:rPr>
          <w:sz w:val="22"/>
          <w:szCs w:val="22"/>
        </w:rPr>
        <w:t>.</w:t>
      </w:r>
    </w:p>
    <w:p w14:paraId="32C568A4" w14:textId="77777777" w:rsidR="00364485" w:rsidRPr="00D72200" w:rsidRDefault="00364485" w:rsidP="006F4C6F">
      <w:pPr>
        <w:tabs>
          <w:tab w:val="left" w:pos="540"/>
          <w:tab w:val="left" w:pos="569"/>
        </w:tabs>
        <w:jc w:val="both"/>
        <w:rPr>
          <w:bCs/>
          <w:sz w:val="22"/>
          <w:szCs w:val="22"/>
          <w:highlight w:val="yellow"/>
          <w:u w:val="single"/>
        </w:rPr>
      </w:pPr>
    </w:p>
    <w:p w14:paraId="5A4C1C51" w14:textId="77777777" w:rsidR="0040507F" w:rsidRPr="00D72200" w:rsidRDefault="0040507F" w:rsidP="006F4C6F">
      <w:pPr>
        <w:shd w:val="clear" w:color="auto" w:fill="FFFFFF"/>
        <w:tabs>
          <w:tab w:val="left" w:pos="734"/>
          <w:tab w:val="left" w:pos="9270"/>
        </w:tabs>
        <w:spacing w:before="5" w:line="264" w:lineRule="exact"/>
        <w:ind w:left="14" w:right="36"/>
        <w:jc w:val="both"/>
        <w:rPr>
          <w:b/>
          <w:color w:val="000000"/>
          <w:sz w:val="22"/>
          <w:szCs w:val="22"/>
          <w:lang w:val="sr-Latn-RS"/>
        </w:rPr>
      </w:pPr>
      <w:r w:rsidRPr="00D72200">
        <w:rPr>
          <w:b/>
          <w:color w:val="000000"/>
          <w:sz w:val="22"/>
          <w:szCs w:val="22"/>
          <w:lang w:val="sr-Latn-RS"/>
        </w:rPr>
        <w:t>Doziranje kod pacijenata sa predisponirajućim faktorima za razvoj miopatije</w:t>
      </w:r>
    </w:p>
    <w:p w14:paraId="34E726DE" w14:textId="66F52A47" w:rsidR="0040507F" w:rsidRPr="00D72200" w:rsidRDefault="0040507F" w:rsidP="006F4C6F">
      <w:pPr>
        <w:shd w:val="clear" w:color="auto" w:fill="FFFFFF"/>
        <w:tabs>
          <w:tab w:val="left" w:pos="734"/>
          <w:tab w:val="left" w:pos="9270"/>
        </w:tabs>
        <w:spacing w:before="5" w:line="264" w:lineRule="exact"/>
        <w:ind w:right="36"/>
        <w:jc w:val="both"/>
        <w:rPr>
          <w:color w:val="000000"/>
          <w:sz w:val="22"/>
          <w:szCs w:val="22"/>
          <w:lang w:val="sr-Latn-RS"/>
        </w:rPr>
      </w:pPr>
      <w:r w:rsidRPr="00D72200">
        <w:rPr>
          <w:color w:val="000000"/>
          <w:sz w:val="22"/>
          <w:szCs w:val="22"/>
          <w:lang w:val="sr-Latn-RS"/>
        </w:rPr>
        <w:t>Preporučena početna doza je 5</w:t>
      </w:r>
      <w:r w:rsidR="00430ACF" w:rsidRPr="00D72200">
        <w:rPr>
          <w:color w:val="000000"/>
          <w:sz w:val="22"/>
          <w:szCs w:val="22"/>
          <w:lang w:val="sr-Latn-RS"/>
        </w:rPr>
        <w:t xml:space="preserve"> </w:t>
      </w:r>
      <w:r w:rsidRPr="00D72200">
        <w:rPr>
          <w:color w:val="000000"/>
          <w:sz w:val="22"/>
          <w:szCs w:val="22"/>
          <w:lang w:val="sr-Latn-RS"/>
        </w:rPr>
        <w:t xml:space="preserve">mg kod pacijenata </w:t>
      </w:r>
      <w:r w:rsidR="00042917" w:rsidRPr="00D72200">
        <w:rPr>
          <w:color w:val="000000"/>
          <w:sz w:val="22"/>
          <w:szCs w:val="22"/>
          <w:lang w:val="sr-Latn-RS"/>
        </w:rPr>
        <w:t>sa predisponirajućim</w:t>
      </w:r>
      <w:r w:rsidR="008A665A" w:rsidRPr="00D72200">
        <w:rPr>
          <w:color w:val="000000"/>
          <w:sz w:val="22"/>
          <w:szCs w:val="22"/>
          <w:lang w:val="sr-Latn-RS"/>
        </w:rPr>
        <w:t xml:space="preserve"> faktorima</w:t>
      </w:r>
      <w:r w:rsidRPr="00D72200">
        <w:rPr>
          <w:color w:val="000000"/>
          <w:sz w:val="22"/>
          <w:szCs w:val="22"/>
          <w:lang w:val="sr-Latn-RS"/>
        </w:rPr>
        <w:t xml:space="preserve"> za razvoj miopatije (vidjeti </w:t>
      </w:r>
      <w:r w:rsidR="0074591F" w:rsidRPr="00D72200">
        <w:rPr>
          <w:color w:val="000000"/>
          <w:sz w:val="22"/>
          <w:szCs w:val="22"/>
          <w:lang w:val="sr-Latn-RS"/>
        </w:rPr>
        <w:t xml:space="preserve">dio </w:t>
      </w:r>
      <w:r w:rsidRPr="00D72200">
        <w:rPr>
          <w:color w:val="000000"/>
          <w:sz w:val="22"/>
          <w:szCs w:val="22"/>
          <w:lang w:val="sr-Latn-RS"/>
        </w:rPr>
        <w:t>4.4). Doza od 40</w:t>
      </w:r>
      <w:r w:rsidR="00430ACF" w:rsidRPr="00D72200">
        <w:rPr>
          <w:color w:val="000000"/>
          <w:sz w:val="22"/>
          <w:szCs w:val="22"/>
          <w:lang w:val="sr-Latn-RS"/>
        </w:rPr>
        <w:t xml:space="preserve"> </w:t>
      </w:r>
      <w:r w:rsidRPr="00D72200">
        <w:rPr>
          <w:color w:val="000000"/>
          <w:sz w:val="22"/>
          <w:szCs w:val="22"/>
          <w:lang w:val="sr-Latn-RS"/>
        </w:rPr>
        <w:t xml:space="preserve">mg je kontraindikovana kod nekih od ovih pacijenata (vidjeti </w:t>
      </w:r>
      <w:r w:rsidR="0074591F" w:rsidRPr="00D72200">
        <w:rPr>
          <w:color w:val="000000"/>
          <w:sz w:val="22"/>
          <w:szCs w:val="22"/>
          <w:lang w:val="sr-Latn-RS"/>
        </w:rPr>
        <w:t xml:space="preserve">dio </w:t>
      </w:r>
      <w:r w:rsidRPr="00D72200">
        <w:rPr>
          <w:color w:val="000000"/>
          <w:sz w:val="22"/>
          <w:szCs w:val="22"/>
          <w:lang w:val="sr-Latn-RS"/>
        </w:rPr>
        <w:t>4.3).</w:t>
      </w:r>
    </w:p>
    <w:p w14:paraId="22CAEB84" w14:textId="77777777" w:rsidR="00364485" w:rsidRPr="00D72200" w:rsidRDefault="00364485" w:rsidP="006F4C6F">
      <w:pPr>
        <w:tabs>
          <w:tab w:val="left" w:pos="540"/>
          <w:tab w:val="left" w:pos="569"/>
        </w:tabs>
        <w:jc w:val="both"/>
        <w:rPr>
          <w:bCs/>
          <w:sz w:val="22"/>
          <w:szCs w:val="22"/>
          <w:highlight w:val="yellow"/>
          <w:u w:val="single"/>
        </w:rPr>
      </w:pPr>
    </w:p>
    <w:p w14:paraId="5DB9EAC3" w14:textId="7B659C25" w:rsidR="0040507F" w:rsidRPr="00D72200" w:rsidRDefault="0040507F" w:rsidP="006F4C6F">
      <w:pPr>
        <w:pStyle w:val="Default"/>
        <w:jc w:val="both"/>
        <w:rPr>
          <w:b/>
          <w:sz w:val="22"/>
          <w:szCs w:val="22"/>
        </w:rPr>
      </w:pPr>
      <w:r w:rsidRPr="00D72200">
        <w:rPr>
          <w:b/>
          <w:bCs/>
          <w:sz w:val="22"/>
          <w:szCs w:val="22"/>
        </w:rPr>
        <w:t>Istovremen</w:t>
      </w:r>
      <w:r w:rsidR="0016013A">
        <w:rPr>
          <w:b/>
          <w:bCs/>
          <w:sz w:val="22"/>
          <w:szCs w:val="22"/>
        </w:rPr>
        <w:t>a</w:t>
      </w:r>
      <w:r w:rsidRPr="00D72200">
        <w:rPr>
          <w:b/>
          <w:bCs/>
          <w:sz w:val="22"/>
          <w:szCs w:val="22"/>
        </w:rPr>
        <w:t xml:space="preserve"> prim</w:t>
      </w:r>
      <w:r w:rsidR="00261F1A" w:rsidRPr="00D72200">
        <w:rPr>
          <w:b/>
          <w:bCs/>
          <w:sz w:val="22"/>
          <w:szCs w:val="22"/>
        </w:rPr>
        <w:t>j</w:t>
      </w:r>
      <w:r w:rsidRPr="00D72200">
        <w:rPr>
          <w:b/>
          <w:bCs/>
          <w:sz w:val="22"/>
          <w:szCs w:val="22"/>
        </w:rPr>
        <w:t xml:space="preserve">ena </w:t>
      </w:r>
      <w:r w:rsidR="00DD0DF1" w:rsidRPr="00D72200">
        <w:rPr>
          <w:b/>
          <w:bCs/>
          <w:sz w:val="22"/>
          <w:szCs w:val="22"/>
        </w:rPr>
        <w:t>l</w:t>
      </w:r>
      <w:r w:rsidRPr="00D72200">
        <w:rPr>
          <w:b/>
          <w:bCs/>
          <w:sz w:val="22"/>
          <w:szCs w:val="22"/>
        </w:rPr>
        <w:t xml:space="preserve">jekova </w:t>
      </w:r>
    </w:p>
    <w:p w14:paraId="40702371" w14:textId="02ED64D9" w:rsidR="0040507F" w:rsidRPr="00D72200" w:rsidRDefault="0040507F" w:rsidP="006F4C6F">
      <w:pPr>
        <w:tabs>
          <w:tab w:val="left" w:pos="540"/>
          <w:tab w:val="left" w:pos="569"/>
        </w:tabs>
        <w:jc w:val="both"/>
        <w:rPr>
          <w:bCs/>
          <w:sz w:val="22"/>
          <w:szCs w:val="22"/>
          <w:highlight w:val="yellow"/>
          <w:u w:val="single"/>
        </w:rPr>
      </w:pPr>
      <w:r w:rsidRPr="00D72200">
        <w:rPr>
          <w:sz w:val="22"/>
          <w:szCs w:val="22"/>
        </w:rPr>
        <w:t>Rosuvastatin je supstrat različitih transportnih proteina (npr. OATP1B1 i BCRP). Povećan je rizik od miopatije (uključujući rabdomiolizu) kada se rosuvastatin pr</w:t>
      </w:r>
      <w:r w:rsidR="00DD0DF1" w:rsidRPr="00D72200">
        <w:rPr>
          <w:sz w:val="22"/>
          <w:szCs w:val="22"/>
        </w:rPr>
        <w:t xml:space="preserve">imjenjuje istovremeno s </w:t>
      </w:r>
      <w:r w:rsidR="0005136B" w:rsidRPr="00D72200">
        <w:rPr>
          <w:sz w:val="22"/>
          <w:szCs w:val="22"/>
        </w:rPr>
        <w:t xml:space="preserve">određenim </w:t>
      </w:r>
      <w:r w:rsidR="00DD0DF1" w:rsidRPr="00D72200">
        <w:rPr>
          <w:sz w:val="22"/>
          <w:szCs w:val="22"/>
        </w:rPr>
        <w:t>l</w:t>
      </w:r>
      <w:r w:rsidRPr="00D72200">
        <w:rPr>
          <w:sz w:val="22"/>
          <w:szCs w:val="22"/>
        </w:rPr>
        <w:t xml:space="preserve">jekovima koji mogu povećati koncentraciju rosuvastatina u plazmi zbog interakcije s tim transportnim proteinima (npr. ciklosporin i </w:t>
      </w:r>
      <w:r w:rsidR="005B6266" w:rsidRPr="00D72200">
        <w:rPr>
          <w:sz w:val="22"/>
          <w:szCs w:val="22"/>
        </w:rPr>
        <w:t xml:space="preserve">određeni </w:t>
      </w:r>
      <w:r w:rsidRPr="00D72200">
        <w:rPr>
          <w:sz w:val="22"/>
          <w:szCs w:val="22"/>
        </w:rPr>
        <w:t>inhibitori proteaz</w:t>
      </w:r>
      <w:r w:rsidR="005B6266" w:rsidRPr="00D72200">
        <w:rPr>
          <w:sz w:val="22"/>
          <w:szCs w:val="22"/>
        </w:rPr>
        <w:t>a</w:t>
      </w:r>
      <w:r w:rsidRPr="00D72200">
        <w:rPr>
          <w:sz w:val="22"/>
          <w:szCs w:val="22"/>
        </w:rPr>
        <w:t>, uključujući kombinacije ritonavira s atazanavirom, lopinavirom i/ili tipranavirom; vidjeti djelove</w:t>
      </w:r>
      <w:r w:rsidR="00430ACF" w:rsidRPr="00D72200">
        <w:rPr>
          <w:sz w:val="22"/>
          <w:szCs w:val="22"/>
        </w:rPr>
        <w:t xml:space="preserve"> </w:t>
      </w:r>
      <w:r w:rsidRPr="00D72200">
        <w:rPr>
          <w:sz w:val="22"/>
          <w:szCs w:val="22"/>
        </w:rPr>
        <w:t>4.4 i 4.5). Kad god je to moguće, treba razm</w:t>
      </w:r>
      <w:r w:rsidR="00DD0DF1" w:rsidRPr="00D72200">
        <w:rPr>
          <w:sz w:val="22"/>
          <w:szCs w:val="22"/>
        </w:rPr>
        <w:t>otriti primjenu alternativnih l</w:t>
      </w:r>
      <w:r w:rsidRPr="00D72200">
        <w:rPr>
          <w:sz w:val="22"/>
          <w:szCs w:val="22"/>
        </w:rPr>
        <w:t xml:space="preserve">jekova, </w:t>
      </w:r>
      <w:r w:rsidR="006D2EBF" w:rsidRPr="00D72200">
        <w:rPr>
          <w:sz w:val="22"/>
          <w:szCs w:val="22"/>
        </w:rPr>
        <w:t xml:space="preserve">i </w:t>
      </w:r>
      <w:r w:rsidR="00F9469D" w:rsidRPr="00D72200">
        <w:rPr>
          <w:sz w:val="22"/>
          <w:szCs w:val="22"/>
        </w:rPr>
        <w:t>ukoliko je neophodno,</w:t>
      </w:r>
      <w:r w:rsidRPr="00D72200">
        <w:rPr>
          <w:sz w:val="22"/>
          <w:szCs w:val="22"/>
        </w:rPr>
        <w:t xml:space="preserve"> razmotriti i pri</w:t>
      </w:r>
      <w:r w:rsidR="003E076B">
        <w:rPr>
          <w:sz w:val="22"/>
          <w:szCs w:val="22"/>
        </w:rPr>
        <w:t>vremeni</w:t>
      </w:r>
      <w:r w:rsidRPr="00D72200">
        <w:rPr>
          <w:sz w:val="22"/>
          <w:szCs w:val="22"/>
        </w:rPr>
        <w:t xml:space="preserve"> prekid terapije rosuvastatinom. U situacijama kada je i</w:t>
      </w:r>
      <w:r w:rsidR="00261F1A" w:rsidRPr="00D72200">
        <w:rPr>
          <w:sz w:val="22"/>
          <w:szCs w:val="22"/>
        </w:rPr>
        <w:t>stovremena primjena navedenih l</w:t>
      </w:r>
      <w:r w:rsidRPr="00D72200">
        <w:rPr>
          <w:sz w:val="22"/>
          <w:szCs w:val="22"/>
        </w:rPr>
        <w:t>jekova s rosuvastatinom neizbježna, mora se pažljivo razmotriti odnos koristi i rizika istovremene primjene kao i prilagođavanje doze rosuvastatina (vidjeti dio 4.5).</w:t>
      </w:r>
    </w:p>
    <w:p w14:paraId="290C6F68" w14:textId="77777777" w:rsidR="0040507F" w:rsidRPr="00D72200" w:rsidRDefault="0040507F" w:rsidP="006F4C6F">
      <w:pPr>
        <w:tabs>
          <w:tab w:val="left" w:pos="540"/>
          <w:tab w:val="left" w:pos="569"/>
        </w:tabs>
        <w:jc w:val="both"/>
        <w:rPr>
          <w:bCs/>
          <w:sz w:val="22"/>
          <w:szCs w:val="22"/>
          <w:highlight w:val="yellow"/>
          <w:u w:val="single"/>
        </w:rPr>
      </w:pPr>
    </w:p>
    <w:p w14:paraId="65A94AF1" w14:textId="77777777" w:rsidR="00411B4B" w:rsidRPr="00D72200" w:rsidRDefault="00411B4B" w:rsidP="00E43D0A">
      <w:pPr>
        <w:tabs>
          <w:tab w:val="left" w:pos="540"/>
          <w:tab w:val="left" w:pos="569"/>
        </w:tabs>
        <w:jc w:val="both"/>
        <w:rPr>
          <w:b/>
          <w:bCs/>
          <w:sz w:val="22"/>
          <w:szCs w:val="22"/>
        </w:rPr>
      </w:pPr>
      <w:r w:rsidRPr="00D72200">
        <w:rPr>
          <w:b/>
          <w:bCs/>
          <w:sz w:val="22"/>
          <w:szCs w:val="22"/>
        </w:rPr>
        <w:t xml:space="preserve">4.3. </w:t>
      </w:r>
      <w:r w:rsidR="00480FB1" w:rsidRPr="00D72200">
        <w:rPr>
          <w:b/>
          <w:bCs/>
          <w:sz w:val="22"/>
          <w:szCs w:val="22"/>
        </w:rPr>
        <w:tab/>
      </w:r>
      <w:r w:rsidRPr="00D72200">
        <w:rPr>
          <w:b/>
          <w:bCs/>
          <w:sz w:val="22"/>
          <w:szCs w:val="22"/>
        </w:rPr>
        <w:t>Kontraindikacije</w:t>
      </w:r>
    </w:p>
    <w:p w14:paraId="2AACEE72" w14:textId="6C63ED9E" w:rsidR="0072020E" w:rsidRPr="00D72200" w:rsidRDefault="0072020E" w:rsidP="00E43D0A">
      <w:pPr>
        <w:tabs>
          <w:tab w:val="left" w:pos="540"/>
          <w:tab w:val="left" w:pos="569"/>
        </w:tabs>
        <w:jc w:val="both"/>
        <w:rPr>
          <w:bCs/>
          <w:sz w:val="22"/>
          <w:szCs w:val="22"/>
        </w:rPr>
      </w:pPr>
    </w:p>
    <w:p w14:paraId="509FB345" w14:textId="4E245AD2" w:rsidR="00A02802" w:rsidRPr="00D72200" w:rsidRDefault="00A02802" w:rsidP="00E43D0A">
      <w:pPr>
        <w:tabs>
          <w:tab w:val="left" w:pos="540"/>
          <w:tab w:val="left" w:pos="569"/>
        </w:tabs>
        <w:jc w:val="both"/>
        <w:rPr>
          <w:bCs/>
          <w:sz w:val="22"/>
          <w:szCs w:val="22"/>
        </w:rPr>
      </w:pPr>
      <w:r w:rsidRPr="00D72200">
        <w:rPr>
          <w:bCs/>
          <w:sz w:val="22"/>
          <w:szCs w:val="22"/>
        </w:rPr>
        <w:t>L</w:t>
      </w:r>
      <w:r w:rsidR="00F112C3" w:rsidRPr="00D72200">
        <w:rPr>
          <w:bCs/>
          <w:sz w:val="22"/>
          <w:szCs w:val="22"/>
        </w:rPr>
        <w:t>ij</w:t>
      </w:r>
      <w:r w:rsidRPr="00D72200">
        <w:rPr>
          <w:bCs/>
          <w:sz w:val="22"/>
          <w:szCs w:val="22"/>
        </w:rPr>
        <w:t>ek Rosuhol je kontraindikovan:</w:t>
      </w:r>
    </w:p>
    <w:p w14:paraId="08E45D58" w14:textId="77777777" w:rsidR="00A02802" w:rsidRPr="00D72200" w:rsidRDefault="00A02802" w:rsidP="00E43D0A">
      <w:pPr>
        <w:tabs>
          <w:tab w:val="left" w:pos="540"/>
          <w:tab w:val="left" w:pos="569"/>
        </w:tabs>
        <w:jc w:val="both"/>
        <w:rPr>
          <w:bCs/>
          <w:sz w:val="22"/>
          <w:szCs w:val="22"/>
        </w:rPr>
      </w:pPr>
    </w:p>
    <w:p w14:paraId="47445EA9" w14:textId="65EBF89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xml:space="preserve">- kod pacijenata koji su preosjetljivi na rosuvastatin ili na neki od pomoćnih </w:t>
      </w:r>
      <w:r w:rsidR="004F2611" w:rsidRPr="00D72200">
        <w:rPr>
          <w:spacing w:val="-1"/>
          <w:sz w:val="22"/>
          <w:szCs w:val="22"/>
          <w:lang w:val="sr-Latn-RS"/>
        </w:rPr>
        <w:t xml:space="preserve">sastojaka </w:t>
      </w:r>
      <w:r w:rsidRPr="00D72200">
        <w:rPr>
          <w:spacing w:val="-1"/>
          <w:sz w:val="22"/>
          <w:szCs w:val="22"/>
          <w:lang w:val="sr-Latn-RS"/>
        </w:rPr>
        <w:t>lijeka</w:t>
      </w:r>
      <w:r w:rsidR="00783A5D" w:rsidRPr="00D72200">
        <w:rPr>
          <w:spacing w:val="-1"/>
          <w:sz w:val="22"/>
          <w:szCs w:val="22"/>
          <w:lang w:val="sr-Latn-RS"/>
        </w:rPr>
        <w:t xml:space="preserve"> navedenih </w:t>
      </w:r>
      <w:r w:rsidR="00783A5D" w:rsidRPr="00D72200">
        <w:rPr>
          <w:spacing w:val="-1"/>
          <w:sz w:val="22"/>
          <w:szCs w:val="22"/>
          <w:lang w:val="sr-Latn-RS"/>
        </w:rPr>
        <w:lastRenderedPageBreak/>
        <w:t xml:space="preserve">u </w:t>
      </w:r>
      <w:r w:rsidR="00602997" w:rsidRPr="00D72200">
        <w:rPr>
          <w:spacing w:val="-1"/>
          <w:sz w:val="22"/>
          <w:szCs w:val="22"/>
          <w:lang w:val="sr-Latn-RS"/>
        </w:rPr>
        <w:t>d</w:t>
      </w:r>
      <w:r w:rsidR="006B0F04" w:rsidRPr="00D72200">
        <w:rPr>
          <w:spacing w:val="-1"/>
          <w:sz w:val="22"/>
          <w:szCs w:val="22"/>
          <w:lang w:val="sr-Latn-RS"/>
        </w:rPr>
        <w:t>ij</w:t>
      </w:r>
      <w:r w:rsidR="00602997" w:rsidRPr="00D72200">
        <w:rPr>
          <w:spacing w:val="-1"/>
          <w:sz w:val="22"/>
          <w:szCs w:val="22"/>
          <w:lang w:val="sr-Latn-RS"/>
        </w:rPr>
        <w:t>elu</w:t>
      </w:r>
      <w:r w:rsidR="00783A5D" w:rsidRPr="00D72200">
        <w:rPr>
          <w:spacing w:val="-1"/>
          <w:sz w:val="22"/>
          <w:szCs w:val="22"/>
          <w:lang w:val="sr-Latn-RS"/>
        </w:rPr>
        <w:t xml:space="preserve"> 6.1</w:t>
      </w:r>
      <w:r w:rsidRPr="00D72200">
        <w:rPr>
          <w:spacing w:val="-1"/>
          <w:sz w:val="22"/>
          <w:szCs w:val="22"/>
          <w:lang w:val="sr-Latn-RS"/>
        </w:rPr>
        <w:t>,</w:t>
      </w:r>
    </w:p>
    <w:p w14:paraId="24F04BAB" w14:textId="0B23D0C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kod pacijenata sa aktivnim oboljenjem jetre, uključujući neobjašnjive i stalne poraste koncentracije transaminaza u serumu i svaki porast transaminaza u serumu koji prekoračuje trostruku vrijednost gornje granice normalnih vrijednosti (</w:t>
      </w:r>
      <w:r w:rsidR="00E36B25" w:rsidRPr="00D72200">
        <w:rPr>
          <w:spacing w:val="-1"/>
          <w:sz w:val="22"/>
          <w:szCs w:val="22"/>
          <w:lang w:val="sr-Latn-RS"/>
        </w:rPr>
        <w:t xml:space="preserve">engl. </w:t>
      </w:r>
      <w:r w:rsidR="00E36B25" w:rsidRPr="00D72200">
        <w:rPr>
          <w:i/>
          <w:iCs/>
          <w:spacing w:val="-1"/>
          <w:sz w:val="22"/>
          <w:szCs w:val="22"/>
          <w:lang w:val="sr-Latn-RS"/>
        </w:rPr>
        <w:t>upper limit of normal,</w:t>
      </w:r>
      <w:r w:rsidR="00E36B25" w:rsidRPr="00D72200">
        <w:rPr>
          <w:spacing w:val="-1"/>
          <w:sz w:val="22"/>
          <w:szCs w:val="22"/>
          <w:lang w:val="sr-Latn-RS"/>
        </w:rPr>
        <w:t xml:space="preserve"> </w:t>
      </w:r>
      <w:r w:rsidRPr="00D72200">
        <w:rPr>
          <w:spacing w:val="-1"/>
          <w:sz w:val="22"/>
          <w:szCs w:val="22"/>
          <w:lang w:val="sr-Latn-RS"/>
        </w:rPr>
        <w:t>ULN),</w:t>
      </w:r>
    </w:p>
    <w:p w14:paraId="3193A388" w14:textId="13117CF4"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kod pacijenata sa teškim oštećenjem bubrega (klirens kreatinina &lt;</w:t>
      </w:r>
      <w:r w:rsidR="00430ACF" w:rsidRPr="00D72200">
        <w:rPr>
          <w:spacing w:val="-1"/>
          <w:sz w:val="22"/>
          <w:szCs w:val="22"/>
          <w:lang w:val="sr-Latn-RS"/>
        </w:rPr>
        <w:t xml:space="preserve"> </w:t>
      </w:r>
      <w:r w:rsidRPr="00D72200">
        <w:rPr>
          <w:spacing w:val="-1"/>
          <w:sz w:val="22"/>
          <w:szCs w:val="22"/>
          <w:lang w:val="sr-Latn-RS"/>
        </w:rPr>
        <w:t>30 ml/min),</w:t>
      </w:r>
    </w:p>
    <w:p w14:paraId="07F56C08" w14:textId="6B2B834F"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kod pacijenata sa miopatijom,</w:t>
      </w:r>
    </w:p>
    <w:p w14:paraId="7F5965F5" w14:textId="0D781F30" w:rsidR="00893CDF" w:rsidRPr="00D72200" w:rsidRDefault="00893CDF" w:rsidP="00376732">
      <w:pPr>
        <w:shd w:val="clear" w:color="auto" w:fill="FFFFFF"/>
        <w:tabs>
          <w:tab w:val="left" w:pos="734"/>
          <w:tab w:val="left" w:pos="9270"/>
        </w:tabs>
        <w:spacing w:before="5" w:line="264" w:lineRule="exact"/>
        <w:ind w:right="36"/>
        <w:rPr>
          <w:color w:val="000000"/>
          <w:sz w:val="22"/>
          <w:szCs w:val="22"/>
        </w:rPr>
      </w:pPr>
      <w:r w:rsidRPr="00D72200">
        <w:rPr>
          <w:color w:val="000000"/>
          <w:sz w:val="22"/>
          <w:szCs w:val="22"/>
        </w:rPr>
        <w:t>- kod pacijenata koji istovremeno primaju kombinaciju sofosbuvir/velpatasvir/voksilaprevir (vid</w:t>
      </w:r>
      <w:r w:rsidR="00F112C3" w:rsidRPr="00D72200">
        <w:rPr>
          <w:color w:val="000000"/>
          <w:sz w:val="22"/>
          <w:szCs w:val="22"/>
        </w:rPr>
        <w:t>j</w:t>
      </w:r>
      <w:r w:rsidRPr="00D72200">
        <w:rPr>
          <w:color w:val="000000"/>
          <w:sz w:val="22"/>
          <w:szCs w:val="22"/>
        </w:rPr>
        <w:t xml:space="preserve">eti </w:t>
      </w:r>
      <w:r w:rsidR="00602997" w:rsidRPr="00D72200">
        <w:rPr>
          <w:color w:val="000000"/>
          <w:sz w:val="22"/>
          <w:szCs w:val="22"/>
        </w:rPr>
        <w:t>dio</w:t>
      </w:r>
      <w:r w:rsidRPr="00D72200">
        <w:rPr>
          <w:color w:val="000000"/>
          <w:sz w:val="22"/>
          <w:szCs w:val="22"/>
        </w:rPr>
        <w:t xml:space="preserve"> 4.5)</w:t>
      </w:r>
    </w:p>
    <w:p w14:paraId="6D3E174A" w14:textId="7777777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kod pacijenata koji istovremeno primaju ciklosporin,</w:t>
      </w:r>
    </w:p>
    <w:p w14:paraId="02106E6B" w14:textId="7777777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tokom perioda trudnoće i dojenja i kod žena u reproduktivnom periodu koje ne koriste odgovarajuće kontraceptivne mjere.</w:t>
      </w:r>
    </w:p>
    <w:p w14:paraId="4B68AE27" w14:textId="7777777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left="734" w:right="36"/>
        <w:jc w:val="both"/>
        <w:rPr>
          <w:spacing w:val="-1"/>
          <w:sz w:val="22"/>
          <w:szCs w:val="22"/>
          <w:lang w:val="sr-Latn-RS"/>
        </w:rPr>
      </w:pPr>
    </w:p>
    <w:p w14:paraId="09EDD941" w14:textId="20F34FD2"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Doza od 40</w:t>
      </w:r>
      <w:r w:rsidR="00430ACF" w:rsidRPr="00D72200">
        <w:rPr>
          <w:spacing w:val="-1"/>
          <w:sz w:val="22"/>
          <w:szCs w:val="22"/>
          <w:lang w:val="sr-Latn-RS"/>
        </w:rPr>
        <w:t xml:space="preserve"> </w:t>
      </w:r>
      <w:r w:rsidRPr="00D72200">
        <w:rPr>
          <w:spacing w:val="-1"/>
          <w:sz w:val="22"/>
          <w:szCs w:val="22"/>
          <w:lang w:val="sr-Latn-RS"/>
        </w:rPr>
        <w:t>mg rosuvastatina je kontraindikovana kod pacijenata sa faktorima predispozicije za razvoj miopatije/rabdomiolize. Ovi faktori su:</w:t>
      </w:r>
    </w:p>
    <w:p w14:paraId="04B436E2" w14:textId="3149E11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umjereno oštećenje bubrega (klirens kreatinina &lt;</w:t>
      </w:r>
      <w:r w:rsidR="00430ACF" w:rsidRPr="00D72200">
        <w:rPr>
          <w:spacing w:val="-1"/>
          <w:sz w:val="22"/>
          <w:szCs w:val="22"/>
          <w:lang w:val="sr-Latn-RS"/>
        </w:rPr>
        <w:t xml:space="preserve"> </w:t>
      </w:r>
      <w:r w:rsidRPr="00D72200">
        <w:rPr>
          <w:spacing w:val="-1"/>
          <w:sz w:val="22"/>
          <w:szCs w:val="22"/>
          <w:lang w:val="sr-Latn-RS"/>
        </w:rPr>
        <w:t>60 ml/min),</w:t>
      </w:r>
    </w:p>
    <w:p w14:paraId="10AA2C49" w14:textId="7A4CF2DD"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hipotir</w:t>
      </w:r>
      <w:r w:rsidR="00430ACF" w:rsidRPr="00D72200">
        <w:rPr>
          <w:spacing w:val="-1"/>
          <w:sz w:val="22"/>
          <w:szCs w:val="22"/>
          <w:lang w:val="sr-Latn-RS"/>
        </w:rPr>
        <w:t>e</w:t>
      </w:r>
      <w:r w:rsidRPr="00D72200">
        <w:rPr>
          <w:spacing w:val="-1"/>
          <w:sz w:val="22"/>
          <w:szCs w:val="22"/>
          <w:lang w:val="sr-Latn-RS"/>
        </w:rPr>
        <w:t>oidizam,</w:t>
      </w:r>
    </w:p>
    <w:p w14:paraId="6B719820" w14:textId="7777777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xml:space="preserve">- postojanje nasljednih mišićnih poremećaja u ličnoj ili porodičnoj anamnezi, </w:t>
      </w:r>
    </w:p>
    <w:p w14:paraId="7FE5F8E2" w14:textId="7526B6FD"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ranija pojava mišićne toksičnosti pri primjeni nekog od inhibitora HMG-CoA reduktaze ili fibrata,</w:t>
      </w:r>
    </w:p>
    <w:p w14:paraId="348A00A5" w14:textId="7777777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zloupotreba alkohola,</w:t>
      </w:r>
    </w:p>
    <w:p w14:paraId="2D478E3D" w14:textId="7777777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situacije u kojima može doći do povećanja koncentracije lijeka u plazmi,</w:t>
      </w:r>
    </w:p>
    <w:p w14:paraId="2D287AE6" w14:textId="7777777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pripadnost azijskim narodima,</w:t>
      </w:r>
    </w:p>
    <w:p w14:paraId="04FFA100" w14:textId="77777777"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istovremena primjena fibrata.</w:t>
      </w:r>
    </w:p>
    <w:p w14:paraId="5DD02F80" w14:textId="58DD662A" w:rsidR="0040507F" w:rsidRPr="00D72200" w:rsidRDefault="0040507F" w:rsidP="00E43D0A">
      <w:pPr>
        <w:widowControl w:val="0"/>
        <w:shd w:val="clear" w:color="auto" w:fill="FFFFFF"/>
        <w:tabs>
          <w:tab w:val="left" w:pos="907"/>
          <w:tab w:val="left" w:pos="9270"/>
        </w:tabs>
        <w:autoSpaceDE w:val="0"/>
        <w:autoSpaceDN w:val="0"/>
        <w:adjustRightInd w:val="0"/>
        <w:spacing w:line="269" w:lineRule="exact"/>
        <w:ind w:right="36"/>
        <w:jc w:val="both"/>
        <w:rPr>
          <w:spacing w:val="-1"/>
          <w:sz w:val="22"/>
          <w:szCs w:val="22"/>
          <w:lang w:val="sr-Latn-RS"/>
        </w:rPr>
      </w:pPr>
      <w:r w:rsidRPr="00D72200">
        <w:rPr>
          <w:spacing w:val="-1"/>
          <w:sz w:val="22"/>
          <w:szCs w:val="22"/>
          <w:lang w:val="sr-Latn-RS"/>
        </w:rPr>
        <w:t xml:space="preserve">(vidjeti </w:t>
      </w:r>
      <w:r w:rsidR="009969F5" w:rsidRPr="00D72200">
        <w:rPr>
          <w:spacing w:val="-1"/>
          <w:sz w:val="22"/>
          <w:szCs w:val="22"/>
          <w:lang w:val="sr-Latn-RS"/>
        </w:rPr>
        <w:t xml:space="preserve">djelove </w:t>
      </w:r>
      <w:r w:rsidRPr="00D72200">
        <w:rPr>
          <w:spacing w:val="-1"/>
          <w:sz w:val="22"/>
          <w:szCs w:val="22"/>
          <w:lang w:val="sr-Latn-RS"/>
        </w:rPr>
        <w:t>4.4, 4.5 i 5.2).</w:t>
      </w:r>
    </w:p>
    <w:p w14:paraId="16BB2BAD" w14:textId="77777777" w:rsidR="0040507F" w:rsidRPr="00D72200" w:rsidRDefault="0040507F" w:rsidP="00E43D0A">
      <w:pPr>
        <w:tabs>
          <w:tab w:val="left" w:pos="540"/>
          <w:tab w:val="left" w:pos="569"/>
        </w:tabs>
        <w:jc w:val="both"/>
        <w:rPr>
          <w:bCs/>
          <w:sz w:val="22"/>
          <w:szCs w:val="22"/>
        </w:rPr>
      </w:pPr>
    </w:p>
    <w:p w14:paraId="52CB6B59" w14:textId="77777777" w:rsidR="00411B4B" w:rsidRPr="00D72200" w:rsidRDefault="00411B4B" w:rsidP="00E43D0A">
      <w:pPr>
        <w:tabs>
          <w:tab w:val="left" w:pos="540"/>
          <w:tab w:val="left" w:pos="569"/>
        </w:tabs>
        <w:jc w:val="both"/>
        <w:rPr>
          <w:b/>
          <w:bCs/>
          <w:sz w:val="22"/>
          <w:szCs w:val="22"/>
        </w:rPr>
      </w:pPr>
      <w:r w:rsidRPr="00D72200">
        <w:rPr>
          <w:b/>
          <w:bCs/>
          <w:sz w:val="22"/>
          <w:szCs w:val="22"/>
        </w:rPr>
        <w:t xml:space="preserve">4.4. </w:t>
      </w:r>
      <w:r w:rsidR="00480FB1" w:rsidRPr="00D72200">
        <w:rPr>
          <w:b/>
          <w:bCs/>
          <w:sz w:val="22"/>
          <w:szCs w:val="22"/>
        </w:rPr>
        <w:tab/>
      </w:r>
      <w:r w:rsidRPr="00D72200">
        <w:rPr>
          <w:b/>
          <w:bCs/>
          <w:sz w:val="22"/>
          <w:szCs w:val="22"/>
        </w:rPr>
        <w:t>Posebna upozorenja i mjere opreza pri upotrebi lijeka</w:t>
      </w:r>
    </w:p>
    <w:p w14:paraId="60E20880" w14:textId="77777777" w:rsidR="0072020E" w:rsidRPr="00D72200" w:rsidRDefault="0072020E" w:rsidP="00E43D0A">
      <w:pPr>
        <w:tabs>
          <w:tab w:val="left" w:pos="540"/>
          <w:tab w:val="left" w:pos="569"/>
        </w:tabs>
        <w:jc w:val="both"/>
        <w:rPr>
          <w:bCs/>
          <w:sz w:val="22"/>
          <w:szCs w:val="22"/>
        </w:rPr>
      </w:pPr>
    </w:p>
    <w:p w14:paraId="5A6D082A" w14:textId="77777777"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u w:val="single"/>
          <w:lang w:val="sr-Latn-RS"/>
        </w:rPr>
        <w:t>Uticaj na funkciju bubrega</w:t>
      </w:r>
    </w:p>
    <w:p w14:paraId="23DF2227" w14:textId="5A5CE829"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Proteinurija, detektovana „dipstick“ metodom, pretežno tubularnog porijekla, primijećena je kod pacijenata kod kojih su primjenjivane veće doze rosuvastatina, posebno doze od 40</w:t>
      </w:r>
      <w:r w:rsidR="00705771" w:rsidRPr="00D72200">
        <w:rPr>
          <w:sz w:val="22"/>
          <w:szCs w:val="22"/>
          <w:lang w:val="sr-Latn-RS"/>
        </w:rPr>
        <w:t xml:space="preserve"> </w:t>
      </w:r>
      <w:r w:rsidRPr="00D72200">
        <w:rPr>
          <w:sz w:val="22"/>
          <w:szCs w:val="22"/>
          <w:lang w:val="sr-Latn-RS"/>
        </w:rPr>
        <w:t xml:space="preserve">mg, i u većini slučajeva je bila prolazna i periodična. Nije dokazano da je proteinurija pokazatelj akutnog ili progresivnog oboljenja bubrega (vidjeti </w:t>
      </w:r>
      <w:r w:rsidR="009969F5" w:rsidRPr="00D72200">
        <w:rPr>
          <w:sz w:val="22"/>
          <w:szCs w:val="22"/>
          <w:lang w:val="sr-Latn-RS"/>
        </w:rPr>
        <w:t xml:space="preserve">dio </w:t>
      </w:r>
      <w:r w:rsidRPr="00D72200">
        <w:rPr>
          <w:sz w:val="22"/>
          <w:szCs w:val="22"/>
          <w:lang w:val="sr-Latn-RS"/>
        </w:rPr>
        <w:t>4.8). U postmarketinškom periodu, stopa prijavljivanja ozbiljnih neželjenih reakcija povezanih sa renalnim sistemom je veća pri dozi od 40</w:t>
      </w:r>
      <w:r w:rsidR="00705771" w:rsidRPr="00D72200">
        <w:rPr>
          <w:sz w:val="22"/>
          <w:szCs w:val="22"/>
          <w:lang w:val="sr-Latn-RS"/>
        </w:rPr>
        <w:t xml:space="preserve"> </w:t>
      </w:r>
      <w:r w:rsidRPr="00D72200">
        <w:rPr>
          <w:sz w:val="22"/>
          <w:szCs w:val="22"/>
          <w:lang w:val="sr-Latn-RS"/>
        </w:rPr>
        <w:t>mg. Treba razmotriti procjenu bubrežne funkcije tokom rutinskog praćenja pacijenata koji  primaju dozu od 40</w:t>
      </w:r>
      <w:r w:rsidR="00705771" w:rsidRPr="00D72200">
        <w:rPr>
          <w:sz w:val="22"/>
          <w:szCs w:val="22"/>
          <w:lang w:val="sr-Latn-RS"/>
        </w:rPr>
        <w:t xml:space="preserve"> </w:t>
      </w:r>
      <w:r w:rsidRPr="00D72200">
        <w:rPr>
          <w:sz w:val="22"/>
          <w:szCs w:val="22"/>
          <w:lang w:val="sr-Latn-RS"/>
        </w:rPr>
        <w:t>mg.</w:t>
      </w:r>
    </w:p>
    <w:p w14:paraId="422E056A" w14:textId="77777777" w:rsidR="00877B4F" w:rsidRPr="00D72200" w:rsidRDefault="00877B4F" w:rsidP="00E43D0A">
      <w:pPr>
        <w:pStyle w:val="Header"/>
        <w:tabs>
          <w:tab w:val="left" w:pos="284"/>
          <w:tab w:val="left" w:pos="9270"/>
        </w:tabs>
        <w:ind w:right="36"/>
        <w:jc w:val="both"/>
        <w:rPr>
          <w:sz w:val="22"/>
          <w:szCs w:val="22"/>
          <w:lang w:val="sr-Latn-RS"/>
        </w:rPr>
      </w:pPr>
    </w:p>
    <w:p w14:paraId="7A9285C7" w14:textId="77777777" w:rsidR="00877B4F" w:rsidRPr="00D72200" w:rsidRDefault="00877B4F" w:rsidP="00E43D0A">
      <w:pPr>
        <w:pStyle w:val="Header"/>
        <w:tabs>
          <w:tab w:val="left" w:pos="284"/>
          <w:tab w:val="left" w:pos="9270"/>
        </w:tabs>
        <w:ind w:right="36"/>
        <w:jc w:val="both"/>
        <w:rPr>
          <w:sz w:val="22"/>
          <w:szCs w:val="22"/>
          <w:u w:val="single"/>
          <w:lang w:val="sr-Latn-RS"/>
        </w:rPr>
      </w:pPr>
      <w:r w:rsidRPr="00D72200">
        <w:rPr>
          <w:sz w:val="22"/>
          <w:szCs w:val="22"/>
          <w:u w:val="single"/>
          <w:lang w:val="sr-Latn-RS"/>
        </w:rPr>
        <w:t>Uticaj na skeletne mišiće</w:t>
      </w:r>
    </w:p>
    <w:p w14:paraId="62230E10" w14:textId="4EB7FB5A"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Prijavljen je uticaj na skeletne mišiće, npr. mijalgija, miopatija i, rijetko, rabdomioliza, kod pacijenata kod kojih je primjenjivan  rosuvastatin u svim dozama, naročito u dozama ˃ 20</w:t>
      </w:r>
      <w:r w:rsidR="00705771" w:rsidRPr="00D72200">
        <w:rPr>
          <w:sz w:val="22"/>
          <w:szCs w:val="22"/>
          <w:lang w:val="sr-Latn-RS"/>
        </w:rPr>
        <w:t xml:space="preserve"> </w:t>
      </w:r>
      <w:r w:rsidRPr="00D72200">
        <w:rPr>
          <w:sz w:val="22"/>
          <w:szCs w:val="22"/>
          <w:lang w:val="sr-Latn-RS"/>
        </w:rPr>
        <w:t xml:space="preserve">mg. Prijavljeni su veoma rijetki slučajevi rabdomiolize pri primjeni ezetimiba u kombinaciji sa inhibitorima HMG-CoA reduktaze. Farmakodinamička interakcija se ne može isključiti, te treba biti oprezan pri istovremenoj primjeni ovih ljekova (vidjeti </w:t>
      </w:r>
      <w:r w:rsidR="009969F5" w:rsidRPr="00D72200">
        <w:rPr>
          <w:sz w:val="22"/>
          <w:szCs w:val="22"/>
          <w:lang w:val="sr-Latn-RS"/>
        </w:rPr>
        <w:t xml:space="preserve">dio </w:t>
      </w:r>
      <w:r w:rsidRPr="00D72200">
        <w:rPr>
          <w:sz w:val="22"/>
          <w:szCs w:val="22"/>
          <w:lang w:val="sr-Latn-RS"/>
        </w:rPr>
        <w:t>4.5).</w:t>
      </w:r>
    </w:p>
    <w:p w14:paraId="75DF75DE" w14:textId="49FC301E"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Kao i kod ostalih inhibitora HMG-CoA reduktaze u postmarketinškom periodu, stopa prijavljivanja rabdomiolize povezane sa primjenom rosuvastatina je veća pri dozi od 40</w:t>
      </w:r>
      <w:r w:rsidR="00705771" w:rsidRPr="00D72200">
        <w:rPr>
          <w:sz w:val="22"/>
          <w:szCs w:val="22"/>
          <w:lang w:val="sr-Latn-RS"/>
        </w:rPr>
        <w:t xml:space="preserve"> </w:t>
      </w:r>
      <w:r w:rsidRPr="00D72200">
        <w:rPr>
          <w:sz w:val="22"/>
          <w:szCs w:val="22"/>
          <w:lang w:val="sr-Latn-RS"/>
        </w:rPr>
        <w:t>mg.</w:t>
      </w:r>
    </w:p>
    <w:p w14:paraId="18B9C1BB" w14:textId="448F6968" w:rsidR="00877B4F" w:rsidRPr="00D72200" w:rsidRDefault="00877B4F" w:rsidP="00E43D0A">
      <w:pPr>
        <w:pStyle w:val="Header"/>
        <w:tabs>
          <w:tab w:val="left" w:pos="284"/>
          <w:tab w:val="left" w:pos="9270"/>
        </w:tabs>
        <w:ind w:right="36"/>
        <w:jc w:val="both"/>
        <w:rPr>
          <w:sz w:val="22"/>
          <w:szCs w:val="22"/>
          <w:lang w:val="sr-Latn-RS"/>
        </w:rPr>
      </w:pPr>
    </w:p>
    <w:p w14:paraId="4CCB9C43" w14:textId="77777777" w:rsidR="00893CDF" w:rsidRPr="00D72200" w:rsidRDefault="00893CDF" w:rsidP="00E43D0A">
      <w:pPr>
        <w:pStyle w:val="Header"/>
        <w:tabs>
          <w:tab w:val="left" w:pos="284"/>
          <w:tab w:val="left" w:pos="9270"/>
        </w:tabs>
        <w:ind w:right="36"/>
        <w:jc w:val="both"/>
        <w:rPr>
          <w:sz w:val="22"/>
          <w:szCs w:val="22"/>
          <w:lang w:val="sr-Latn-RS"/>
        </w:rPr>
      </w:pPr>
    </w:p>
    <w:p w14:paraId="2949F4FB" w14:textId="77777777" w:rsidR="00877B4F" w:rsidRPr="00D72200" w:rsidRDefault="00877B4F" w:rsidP="00E43D0A">
      <w:pPr>
        <w:pStyle w:val="Header"/>
        <w:tabs>
          <w:tab w:val="left" w:pos="284"/>
          <w:tab w:val="left" w:pos="9270"/>
        </w:tabs>
        <w:ind w:right="36"/>
        <w:jc w:val="both"/>
        <w:rPr>
          <w:i/>
          <w:sz w:val="22"/>
          <w:szCs w:val="22"/>
          <w:lang w:val="sr-Latn-RS"/>
        </w:rPr>
      </w:pPr>
      <w:r w:rsidRPr="00D72200">
        <w:rPr>
          <w:i/>
          <w:sz w:val="22"/>
          <w:szCs w:val="22"/>
          <w:lang w:val="sr-Latn-RS"/>
        </w:rPr>
        <w:t>Mjerenje vrijednosti kreatin kinaze</w:t>
      </w:r>
    </w:p>
    <w:p w14:paraId="1548170E" w14:textId="77777777"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Mjerenje vrijednosti kreatin kinaze (CK) se ne preporučuje nakon naporne fizičke aktivnosti ili u prisustvu nekog drugog faktora koji može dovesti do povećanja vrijednosti CK, što može dovesti do pogrešnog tumačenja rezultata. Ako su vrijednosti CK značajno povišene na početku (više od pet puta od gornje granice normalnih vrijednosti), ovaj parametar treba provjeriti nakon 5-7 dana da bi se potvrdili rezultati. Ako se potvrdi da su vrijednosti CK više od pet puta od gornje granice normalnih vrijednosti, ne treba započinjati terapiju.</w:t>
      </w:r>
    </w:p>
    <w:p w14:paraId="74D7D7F8" w14:textId="77777777" w:rsidR="00EB3030" w:rsidRPr="00D72200" w:rsidRDefault="00EB3030" w:rsidP="00E43D0A">
      <w:pPr>
        <w:tabs>
          <w:tab w:val="left" w:pos="540"/>
          <w:tab w:val="left" w:pos="569"/>
        </w:tabs>
        <w:jc w:val="both"/>
        <w:rPr>
          <w:bCs/>
          <w:sz w:val="22"/>
          <w:szCs w:val="22"/>
        </w:rPr>
      </w:pPr>
    </w:p>
    <w:p w14:paraId="1785320B" w14:textId="77777777" w:rsidR="00877B4F" w:rsidRPr="00D72200" w:rsidRDefault="00877B4F" w:rsidP="00E43D0A">
      <w:pPr>
        <w:pStyle w:val="Header"/>
        <w:tabs>
          <w:tab w:val="left" w:pos="284"/>
          <w:tab w:val="left" w:pos="9270"/>
        </w:tabs>
        <w:ind w:right="36"/>
        <w:jc w:val="both"/>
        <w:rPr>
          <w:i/>
          <w:sz w:val="22"/>
          <w:szCs w:val="22"/>
          <w:lang w:val="sr-Latn-RS"/>
        </w:rPr>
      </w:pPr>
      <w:r w:rsidRPr="00D72200">
        <w:rPr>
          <w:i/>
          <w:sz w:val="22"/>
          <w:szCs w:val="22"/>
          <w:lang w:val="sr-Latn-RS"/>
        </w:rPr>
        <w:t>Prije terapije</w:t>
      </w:r>
    </w:p>
    <w:p w14:paraId="6BDD87AA" w14:textId="6EAE9EAB"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 xml:space="preserve">Rosuvastatin, kao i ostale inhibitore HMG-CoA reduktaze, treba primjenjivati sa oprezom kod pacijenata sa predisponirajućim faktorima  za pojavu miopatije/rabdomiolize. </w:t>
      </w:r>
      <w:r w:rsidR="00EC4A70" w:rsidRPr="00D72200">
        <w:rPr>
          <w:sz w:val="22"/>
          <w:szCs w:val="22"/>
          <w:lang w:val="sr-Latn-RS"/>
        </w:rPr>
        <w:t>U ove faktore spadaju</w:t>
      </w:r>
      <w:r w:rsidRPr="00D72200">
        <w:rPr>
          <w:sz w:val="22"/>
          <w:szCs w:val="22"/>
          <w:lang w:val="sr-Latn-RS"/>
        </w:rPr>
        <w:t>:</w:t>
      </w:r>
    </w:p>
    <w:p w14:paraId="2CAA8363" w14:textId="5C736F56"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lastRenderedPageBreak/>
        <w:t xml:space="preserve">- </w:t>
      </w:r>
      <w:r w:rsidR="00627DE1" w:rsidRPr="00D72200">
        <w:rPr>
          <w:sz w:val="22"/>
          <w:szCs w:val="22"/>
          <w:lang w:val="sr-Latn-RS"/>
        </w:rPr>
        <w:t>o</w:t>
      </w:r>
      <w:r w:rsidR="00627DE1" w:rsidRPr="00D72200">
        <w:rPr>
          <w:sz w:val="22"/>
          <w:szCs w:val="22"/>
        </w:rPr>
        <w:t>štećenje funkcije</w:t>
      </w:r>
      <w:r w:rsidRPr="00D72200">
        <w:rPr>
          <w:sz w:val="22"/>
          <w:szCs w:val="22"/>
          <w:lang w:val="sr-Latn-RS"/>
        </w:rPr>
        <w:t xml:space="preserve"> bubrega,</w:t>
      </w:r>
    </w:p>
    <w:p w14:paraId="247F45E8" w14:textId="6ACEC37D"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 hipotir</w:t>
      </w:r>
      <w:r w:rsidR="00705771" w:rsidRPr="00D72200">
        <w:rPr>
          <w:sz w:val="22"/>
          <w:szCs w:val="22"/>
          <w:lang w:val="sr-Latn-RS"/>
        </w:rPr>
        <w:t>e</w:t>
      </w:r>
      <w:r w:rsidRPr="00D72200">
        <w:rPr>
          <w:sz w:val="22"/>
          <w:szCs w:val="22"/>
          <w:lang w:val="sr-Latn-RS"/>
        </w:rPr>
        <w:t>oidizam,</w:t>
      </w:r>
    </w:p>
    <w:p w14:paraId="41A9A00F" w14:textId="77777777"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 lična ili porodična anamneza nasljednih mišićnih poremećaja,</w:t>
      </w:r>
    </w:p>
    <w:p w14:paraId="236E43EE" w14:textId="22069723"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 anamneza ranije mišićne toksičnosti pri primjeni nekih drugih inhibitora HMG-CoA reduktaze ili fibrata,</w:t>
      </w:r>
    </w:p>
    <w:p w14:paraId="5830CB30" w14:textId="77777777"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 zloupotreba alkohola,</w:t>
      </w:r>
    </w:p>
    <w:p w14:paraId="62EFE673" w14:textId="77777777"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 starost preko 70 godina,</w:t>
      </w:r>
    </w:p>
    <w:p w14:paraId="2868A6D7" w14:textId="3B1673E8"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 situacije u kojima može doći do povećanja koncentracije lijeka u plazmi (</w:t>
      </w:r>
      <w:r w:rsidRPr="004D7C08">
        <w:rPr>
          <w:sz w:val="22"/>
          <w:szCs w:val="22"/>
          <w:lang w:val="sr-Latn-RS"/>
        </w:rPr>
        <w:t xml:space="preserve">vidjeti </w:t>
      </w:r>
      <w:r w:rsidR="00287F7A" w:rsidRPr="004D7C08">
        <w:rPr>
          <w:sz w:val="22"/>
          <w:szCs w:val="22"/>
          <w:lang w:val="sr-Latn-RS"/>
        </w:rPr>
        <w:t xml:space="preserve">djelove </w:t>
      </w:r>
      <w:r w:rsidR="00783A5D" w:rsidRPr="004D7C08">
        <w:rPr>
          <w:sz w:val="22"/>
          <w:szCs w:val="22"/>
          <w:lang w:val="sr-Latn-RS"/>
        </w:rPr>
        <w:t xml:space="preserve">4.2, 4.5 i </w:t>
      </w:r>
      <w:r w:rsidRPr="004D7C08">
        <w:rPr>
          <w:sz w:val="22"/>
          <w:szCs w:val="22"/>
          <w:lang w:val="sr-Latn-RS"/>
        </w:rPr>
        <w:t>5.2</w:t>
      </w:r>
      <w:r w:rsidRPr="00D72200">
        <w:rPr>
          <w:sz w:val="22"/>
          <w:szCs w:val="22"/>
          <w:lang w:val="sr-Latn-RS"/>
        </w:rPr>
        <w:t>),</w:t>
      </w:r>
    </w:p>
    <w:p w14:paraId="51D55082" w14:textId="77777777"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 istovremena primjena fibrata.</w:t>
      </w:r>
    </w:p>
    <w:p w14:paraId="192E9563" w14:textId="77777777" w:rsidR="00705771" w:rsidRPr="00D72200" w:rsidRDefault="00705771" w:rsidP="00E43D0A">
      <w:pPr>
        <w:pStyle w:val="Header"/>
        <w:tabs>
          <w:tab w:val="left" w:pos="284"/>
          <w:tab w:val="left" w:pos="9270"/>
        </w:tabs>
        <w:ind w:right="36"/>
        <w:jc w:val="both"/>
        <w:rPr>
          <w:sz w:val="22"/>
          <w:szCs w:val="22"/>
          <w:lang w:val="sr-Latn-RS"/>
        </w:rPr>
      </w:pPr>
    </w:p>
    <w:p w14:paraId="7F7E7339" w14:textId="77777777"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Kod ovih pacijenata, potrebno je da se rizik terapije sagleda u odnosu na moguću korist i preporučuje se kliničko praćenje. Ako su vrijednosti CK značajno povišene na početku (više od pet puta od gornje granice normalnih vrijednosti), ne treba započinjati terapiju.</w:t>
      </w:r>
    </w:p>
    <w:p w14:paraId="31175668" w14:textId="77777777" w:rsidR="00877B4F" w:rsidRPr="00D72200" w:rsidRDefault="00877B4F" w:rsidP="00E43D0A">
      <w:pPr>
        <w:tabs>
          <w:tab w:val="left" w:pos="540"/>
          <w:tab w:val="left" w:pos="569"/>
        </w:tabs>
        <w:jc w:val="both"/>
        <w:rPr>
          <w:bCs/>
          <w:sz w:val="22"/>
          <w:szCs w:val="22"/>
        </w:rPr>
      </w:pPr>
    </w:p>
    <w:p w14:paraId="675AA1A1" w14:textId="77777777" w:rsidR="00877B4F" w:rsidRPr="00D72200" w:rsidRDefault="00877B4F" w:rsidP="00E43D0A">
      <w:pPr>
        <w:pStyle w:val="Header"/>
        <w:tabs>
          <w:tab w:val="left" w:pos="284"/>
          <w:tab w:val="left" w:pos="9270"/>
        </w:tabs>
        <w:ind w:right="36"/>
        <w:jc w:val="both"/>
        <w:rPr>
          <w:i/>
          <w:sz w:val="22"/>
          <w:szCs w:val="22"/>
          <w:lang w:val="sr-Latn-RS"/>
        </w:rPr>
      </w:pPr>
      <w:r w:rsidRPr="00D72200">
        <w:rPr>
          <w:i/>
          <w:sz w:val="22"/>
          <w:szCs w:val="22"/>
          <w:lang w:val="sr-Latn-RS"/>
        </w:rPr>
        <w:t>Tokom terapije</w:t>
      </w:r>
    </w:p>
    <w:p w14:paraId="233A476F" w14:textId="77777777" w:rsidR="005D37A7" w:rsidRDefault="00877B4F" w:rsidP="00E43D0A">
      <w:pPr>
        <w:pStyle w:val="Header"/>
        <w:tabs>
          <w:tab w:val="left" w:pos="284"/>
          <w:tab w:val="left" w:pos="9270"/>
        </w:tabs>
        <w:ind w:right="36"/>
        <w:jc w:val="both"/>
        <w:rPr>
          <w:sz w:val="22"/>
          <w:szCs w:val="22"/>
          <w:lang w:val="sr-Latn-RS"/>
        </w:rPr>
      </w:pPr>
      <w:r w:rsidRPr="00D72200">
        <w:rPr>
          <w:sz w:val="22"/>
          <w:szCs w:val="22"/>
          <w:lang w:val="sr-Latn-RS"/>
        </w:rPr>
        <w:t>Pacijente treba savjetovati da odmah prijave neobjašnjive bolove u mišićima, slabost ili grčeve, posebno ako su povezani sa malaksalošću ili groznicom</w:t>
      </w:r>
      <w:r w:rsidR="00783A5D" w:rsidRPr="00D72200">
        <w:rPr>
          <w:sz w:val="22"/>
          <w:szCs w:val="22"/>
          <w:lang w:val="sr-Latn-RS"/>
        </w:rPr>
        <w:t xml:space="preserve"> (povi</w:t>
      </w:r>
      <w:r w:rsidR="00783A5D" w:rsidRPr="00D72200">
        <w:rPr>
          <w:sz w:val="22"/>
          <w:szCs w:val="22"/>
        </w:rPr>
        <w:t>šenom t</w:t>
      </w:r>
      <w:r w:rsidR="00F112C3" w:rsidRPr="00D72200">
        <w:rPr>
          <w:sz w:val="22"/>
          <w:szCs w:val="22"/>
        </w:rPr>
        <w:t>j</w:t>
      </w:r>
      <w:r w:rsidR="00783A5D" w:rsidRPr="00D72200">
        <w:rPr>
          <w:sz w:val="22"/>
          <w:szCs w:val="22"/>
        </w:rPr>
        <w:t>elesnom temperaturom)</w:t>
      </w:r>
      <w:r w:rsidRPr="00D72200">
        <w:rPr>
          <w:sz w:val="22"/>
          <w:szCs w:val="22"/>
          <w:lang w:val="sr-Latn-RS"/>
        </w:rPr>
        <w:t xml:space="preserve">. Kod ovih pacijenata treba izmjeriti vrijednosti CK i prekinuti terapiju ako su vrijednosti CK značajno povišene (više od pet puta od gornje granice normalnih vrijednosti) ili ako dođe do pojave jakih i neprijatnih mišićnih simptoma (čak i ako su vrijednosti CK povišene manje od pet puta od gornje granice normalnih vrijednosti). </w:t>
      </w:r>
    </w:p>
    <w:p w14:paraId="1AF79321" w14:textId="3C7658D2" w:rsidR="00877B4F" w:rsidRPr="00D72200" w:rsidRDefault="00877B4F" w:rsidP="00E43D0A">
      <w:pPr>
        <w:pStyle w:val="Header"/>
        <w:tabs>
          <w:tab w:val="left" w:pos="284"/>
          <w:tab w:val="left" w:pos="9270"/>
        </w:tabs>
        <w:ind w:right="36"/>
        <w:jc w:val="both"/>
        <w:rPr>
          <w:sz w:val="22"/>
          <w:szCs w:val="22"/>
          <w:lang w:val="sr-Latn-RS"/>
        </w:rPr>
      </w:pPr>
      <w:r w:rsidRPr="00D72200">
        <w:rPr>
          <w:sz w:val="22"/>
          <w:szCs w:val="22"/>
          <w:lang w:val="sr-Latn-RS"/>
        </w:rPr>
        <w:t>Ako se simptomi povuku i vrijednosti CK vrate na normalu, može se razmotriti ponovno započinjanje terapije rosuvastatinom ili alternativnim inhibitorom HMG-CoA reduktaze, primjenom najnižih doza i uz pažljivo praćenje. Nije neophodno rutinsko praćenje CK vrijednosti kod pacijenata bez simptoma.</w:t>
      </w:r>
    </w:p>
    <w:p w14:paraId="26D41336" w14:textId="68AA1F0A" w:rsidR="00F4575F" w:rsidRPr="00D72200" w:rsidRDefault="00B553D9" w:rsidP="00E43D0A">
      <w:pPr>
        <w:pStyle w:val="Header"/>
        <w:tabs>
          <w:tab w:val="left" w:pos="284"/>
          <w:tab w:val="left" w:pos="9270"/>
        </w:tabs>
        <w:ind w:right="36"/>
        <w:jc w:val="both"/>
        <w:rPr>
          <w:sz w:val="22"/>
          <w:szCs w:val="22"/>
        </w:rPr>
      </w:pPr>
      <w:r w:rsidRPr="00D72200">
        <w:rPr>
          <w:sz w:val="22"/>
          <w:szCs w:val="22"/>
        </w:rPr>
        <w:t>Zabi</w:t>
      </w:r>
      <w:r w:rsidR="00F4575F" w:rsidRPr="00D72200">
        <w:rPr>
          <w:sz w:val="22"/>
          <w:szCs w:val="22"/>
        </w:rPr>
        <w:t>l</w:t>
      </w:r>
      <w:r w:rsidRPr="00D72200">
        <w:rPr>
          <w:sz w:val="22"/>
          <w:szCs w:val="22"/>
        </w:rPr>
        <w:t>j</w:t>
      </w:r>
      <w:r w:rsidR="00F4575F" w:rsidRPr="00D72200">
        <w:rPr>
          <w:sz w:val="22"/>
          <w:szCs w:val="22"/>
        </w:rPr>
        <w:t>eženi su vrlo r</w:t>
      </w:r>
      <w:r w:rsidRPr="00D72200">
        <w:rPr>
          <w:sz w:val="22"/>
          <w:szCs w:val="22"/>
        </w:rPr>
        <w:t>ij</w:t>
      </w:r>
      <w:r w:rsidR="00F4575F" w:rsidRPr="00D72200">
        <w:rPr>
          <w:sz w:val="22"/>
          <w:szCs w:val="22"/>
        </w:rPr>
        <w:t>etki izveštaji o imuno-posredovanoj nekrotizirajućoj miopatiji (IMNM) za vr</w:t>
      </w:r>
      <w:r w:rsidR="006D34E4" w:rsidRPr="00D72200">
        <w:rPr>
          <w:sz w:val="22"/>
          <w:szCs w:val="22"/>
        </w:rPr>
        <w:t>ij</w:t>
      </w:r>
      <w:r w:rsidR="00F4575F" w:rsidRPr="00D72200">
        <w:rPr>
          <w:sz w:val="22"/>
          <w:szCs w:val="22"/>
        </w:rPr>
        <w:t>eme ili nakon terapije statinima, uključujući rosuvastatin. IMNM je klinički okarakterisana proksimalnom mišićnom slabošću i povišenim nivoima kreatin kinaze u serumu, koji se zadržavaju i nakon prekida terapije statinima.</w:t>
      </w:r>
    </w:p>
    <w:p w14:paraId="30F1B744" w14:textId="77777777" w:rsidR="00877B4F" w:rsidRPr="00D72200" w:rsidRDefault="00877B4F" w:rsidP="00E43D0A">
      <w:pPr>
        <w:tabs>
          <w:tab w:val="left" w:pos="540"/>
          <w:tab w:val="left" w:pos="569"/>
        </w:tabs>
        <w:jc w:val="both"/>
        <w:rPr>
          <w:sz w:val="22"/>
          <w:szCs w:val="22"/>
        </w:rPr>
      </w:pPr>
    </w:p>
    <w:p w14:paraId="44106B78" w14:textId="4B8B14C2" w:rsidR="00F4575F" w:rsidRPr="00D72200" w:rsidRDefault="00F4575F" w:rsidP="00E43D0A">
      <w:pPr>
        <w:pStyle w:val="Header"/>
        <w:tabs>
          <w:tab w:val="left" w:pos="284"/>
          <w:tab w:val="left" w:pos="9270"/>
        </w:tabs>
        <w:ind w:right="36"/>
        <w:jc w:val="both"/>
        <w:rPr>
          <w:sz w:val="22"/>
          <w:szCs w:val="22"/>
        </w:rPr>
      </w:pPr>
      <w:r w:rsidRPr="00D72200">
        <w:rPr>
          <w:sz w:val="22"/>
          <w:szCs w:val="22"/>
        </w:rPr>
        <w:t>U kliničkim ispitivanjima nije dokazan povećan uticaj na skeletne mišiće kod malog broja pacijenata koji su primali rosuvastatin uporedo sa drugom terapijom. Ipak, prim</w:t>
      </w:r>
      <w:r w:rsidR="00B553D9" w:rsidRPr="00D72200">
        <w:rPr>
          <w:sz w:val="22"/>
          <w:szCs w:val="22"/>
        </w:rPr>
        <w:t>ij</w:t>
      </w:r>
      <w:r w:rsidRPr="00D72200">
        <w:rPr>
          <w:sz w:val="22"/>
          <w:szCs w:val="22"/>
        </w:rPr>
        <w:t>ećena je povećana incidenca miozitisa i miopatije kod pacijenata koji su primali druge inhibitore HMG-CoA reduktaze zajedno sa derivatima fibrične kiseline, kao što su gemfibrozil, ciklosporin, nikotinska kiselina, azolni fungicidi, inhibitori proteaze i makrolidni antibiotici. Gemfibrozil povećava rizik od miopatije, ako se prim</w:t>
      </w:r>
      <w:r w:rsidR="00B553D9" w:rsidRPr="00D72200">
        <w:rPr>
          <w:sz w:val="22"/>
          <w:szCs w:val="22"/>
        </w:rPr>
        <w:t>j</w:t>
      </w:r>
      <w:r w:rsidRPr="00D72200">
        <w:rPr>
          <w:sz w:val="22"/>
          <w:szCs w:val="22"/>
        </w:rPr>
        <w:t>enjuje istovremeno sa nekim od inhibitora HMG-CoA reduktaze. Stoga se ne preporučuje istovremena prim</w:t>
      </w:r>
      <w:r w:rsidR="00B553D9" w:rsidRPr="00D72200">
        <w:rPr>
          <w:sz w:val="22"/>
          <w:szCs w:val="22"/>
        </w:rPr>
        <w:t>j</w:t>
      </w:r>
      <w:r w:rsidRPr="00D72200">
        <w:rPr>
          <w:sz w:val="22"/>
          <w:szCs w:val="22"/>
        </w:rPr>
        <w:t>ena rosuvastatina i gemfibrozila. Treba pažljivo proc</w:t>
      </w:r>
      <w:r w:rsidR="00B553D9" w:rsidRPr="00D72200">
        <w:rPr>
          <w:sz w:val="22"/>
          <w:szCs w:val="22"/>
        </w:rPr>
        <w:t>ij</w:t>
      </w:r>
      <w:r w:rsidRPr="00D72200">
        <w:rPr>
          <w:sz w:val="22"/>
          <w:szCs w:val="22"/>
        </w:rPr>
        <w:t>eniti korist od daljih prom</w:t>
      </w:r>
      <w:r w:rsidR="00B553D9" w:rsidRPr="00D72200">
        <w:rPr>
          <w:sz w:val="22"/>
          <w:szCs w:val="22"/>
        </w:rPr>
        <w:t>j</w:t>
      </w:r>
      <w:r w:rsidRPr="00D72200">
        <w:rPr>
          <w:sz w:val="22"/>
          <w:szCs w:val="22"/>
        </w:rPr>
        <w:t>ena nivoa lipida usl</w:t>
      </w:r>
      <w:r w:rsidR="00B553D9" w:rsidRPr="00D72200">
        <w:rPr>
          <w:sz w:val="22"/>
          <w:szCs w:val="22"/>
        </w:rPr>
        <w:t>j</w:t>
      </w:r>
      <w:r w:rsidRPr="00D72200">
        <w:rPr>
          <w:sz w:val="22"/>
          <w:szCs w:val="22"/>
        </w:rPr>
        <w:t>ed istovremene prim</w:t>
      </w:r>
      <w:r w:rsidR="00B553D9" w:rsidRPr="00D72200">
        <w:rPr>
          <w:sz w:val="22"/>
          <w:szCs w:val="22"/>
        </w:rPr>
        <w:t>j</w:t>
      </w:r>
      <w:r w:rsidRPr="00D72200">
        <w:rPr>
          <w:sz w:val="22"/>
          <w:szCs w:val="22"/>
        </w:rPr>
        <w:t>ene rosuvastatina i fibrata ili niacina u odnosu na moguće rizike koje imaju takve kombinacije. Doza od 40 mg rosuvastatina je kontraindikovana sa istovremenom upotrebom fibrata (vid</w:t>
      </w:r>
      <w:r w:rsidR="00B553D9" w:rsidRPr="00D72200">
        <w:rPr>
          <w:sz w:val="22"/>
          <w:szCs w:val="22"/>
        </w:rPr>
        <w:t>j</w:t>
      </w:r>
      <w:r w:rsidRPr="00D72200">
        <w:rPr>
          <w:sz w:val="22"/>
          <w:szCs w:val="22"/>
        </w:rPr>
        <w:t xml:space="preserve">eti </w:t>
      </w:r>
      <w:r w:rsidR="00287F7A" w:rsidRPr="00D72200">
        <w:rPr>
          <w:sz w:val="22"/>
          <w:szCs w:val="22"/>
        </w:rPr>
        <w:t xml:space="preserve">djelove </w:t>
      </w:r>
      <w:r w:rsidRPr="00D72200">
        <w:rPr>
          <w:sz w:val="22"/>
          <w:szCs w:val="22"/>
        </w:rPr>
        <w:t>4.5 i 4.8).</w:t>
      </w:r>
    </w:p>
    <w:p w14:paraId="44F7A42C" w14:textId="77777777" w:rsidR="00F4575F" w:rsidRPr="00D72200" w:rsidRDefault="00F4575F" w:rsidP="00E43D0A">
      <w:pPr>
        <w:tabs>
          <w:tab w:val="left" w:pos="540"/>
          <w:tab w:val="left" w:pos="569"/>
        </w:tabs>
        <w:jc w:val="both"/>
        <w:rPr>
          <w:bCs/>
          <w:sz w:val="22"/>
          <w:szCs w:val="22"/>
        </w:rPr>
      </w:pPr>
    </w:p>
    <w:p w14:paraId="6B62140F" w14:textId="0A89AB6B" w:rsidR="00EB3030" w:rsidRPr="00D72200" w:rsidRDefault="00EB3030" w:rsidP="00E43D0A">
      <w:pPr>
        <w:pStyle w:val="Header"/>
        <w:tabs>
          <w:tab w:val="left" w:pos="284"/>
          <w:tab w:val="left" w:pos="9270"/>
        </w:tabs>
        <w:ind w:right="36"/>
        <w:jc w:val="both"/>
        <w:rPr>
          <w:sz w:val="22"/>
          <w:szCs w:val="22"/>
        </w:rPr>
      </w:pPr>
      <w:bookmarkStart w:id="0" w:name="_Hlk121989969"/>
      <w:r w:rsidRPr="00D72200">
        <w:rPr>
          <w:sz w:val="22"/>
          <w:szCs w:val="22"/>
        </w:rPr>
        <w:t>Rosuvastatin se ne sm</w:t>
      </w:r>
      <w:r w:rsidR="00B553D9" w:rsidRPr="00D72200">
        <w:rPr>
          <w:sz w:val="22"/>
          <w:szCs w:val="22"/>
        </w:rPr>
        <w:t>ij</w:t>
      </w:r>
      <w:r w:rsidRPr="00D72200">
        <w:rPr>
          <w:sz w:val="22"/>
          <w:szCs w:val="22"/>
        </w:rPr>
        <w:t>e prim</w:t>
      </w:r>
      <w:r w:rsidR="00B553D9" w:rsidRPr="00D72200">
        <w:rPr>
          <w:sz w:val="22"/>
          <w:szCs w:val="22"/>
        </w:rPr>
        <w:t>ij</w:t>
      </w:r>
      <w:r w:rsidRPr="00D72200">
        <w:rPr>
          <w:sz w:val="22"/>
          <w:szCs w:val="22"/>
        </w:rPr>
        <w:t xml:space="preserve">enjivati istovremeno sa sistemskim oblikom fusidinske kiseline, </w:t>
      </w:r>
      <w:r w:rsidR="000B3DE5" w:rsidRPr="00D72200">
        <w:rPr>
          <w:sz w:val="22"/>
          <w:szCs w:val="22"/>
        </w:rPr>
        <w:t>ili u roku od</w:t>
      </w:r>
      <w:r w:rsidRPr="00D72200">
        <w:rPr>
          <w:sz w:val="22"/>
          <w:szCs w:val="22"/>
        </w:rPr>
        <w:t xml:space="preserve"> 7 dana </w:t>
      </w:r>
      <w:r w:rsidR="003E4742" w:rsidRPr="00D72200">
        <w:rPr>
          <w:sz w:val="22"/>
          <w:szCs w:val="22"/>
        </w:rPr>
        <w:t xml:space="preserve">od </w:t>
      </w:r>
      <w:r w:rsidRPr="00D72200">
        <w:rPr>
          <w:sz w:val="22"/>
          <w:szCs w:val="22"/>
        </w:rPr>
        <w:t>prestanka terapije sa fusidinskom kiselinom. Kod pacijenata gd</w:t>
      </w:r>
      <w:r w:rsidR="006D34E4" w:rsidRPr="00D72200">
        <w:rPr>
          <w:sz w:val="22"/>
          <w:szCs w:val="22"/>
        </w:rPr>
        <w:t>j</w:t>
      </w:r>
      <w:r w:rsidRPr="00D72200">
        <w:rPr>
          <w:sz w:val="22"/>
          <w:szCs w:val="22"/>
        </w:rPr>
        <w:t xml:space="preserve">e </w:t>
      </w:r>
      <w:r w:rsidR="003E4742" w:rsidRPr="00D72200">
        <w:rPr>
          <w:sz w:val="22"/>
          <w:szCs w:val="22"/>
        </w:rPr>
        <w:t xml:space="preserve">se smatra da </w:t>
      </w:r>
      <w:r w:rsidRPr="00D72200">
        <w:rPr>
          <w:sz w:val="22"/>
          <w:szCs w:val="22"/>
        </w:rPr>
        <w:t>je prim</w:t>
      </w:r>
      <w:r w:rsidR="00B553D9" w:rsidRPr="00D72200">
        <w:rPr>
          <w:sz w:val="22"/>
          <w:szCs w:val="22"/>
        </w:rPr>
        <w:t>j</w:t>
      </w:r>
      <w:r w:rsidRPr="00D72200">
        <w:rPr>
          <w:sz w:val="22"/>
          <w:szCs w:val="22"/>
        </w:rPr>
        <w:t>ena fusidinske kiseline neophodna, treba prekinuti l</w:t>
      </w:r>
      <w:r w:rsidR="00B553D9" w:rsidRPr="00D72200">
        <w:rPr>
          <w:sz w:val="22"/>
          <w:szCs w:val="22"/>
        </w:rPr>
        <w:t>ij</w:t>
      </w:r>
      <w:r w:rsidRPr="00D72200">
        <w:rPr>
          <w:sz w:val="22"/>
          <w:szCs w:val="22"/>
        </w:rPr>
        <w:t>ečenje statinom za vr</w:t>
      </w:r>
      <w:r w:rsidR="00B553D9" w:rsidRPr="00D72200">
        <w:rPr>
          <w:sz w:val="22"/>
          <w:szCs w:val="22"/>
        </w:rPr>
        <w:t>ij</w:t>
      </w:r>
      <w:r w:rsidRPr="00D72200">
        <w:rPr>
          <w:sz w:val="22"/>
          <w:szCs w:val="22"/>
        </w:rPr>
        <w:t>eme trajanja terapije fusidinskom kiselinom. Prijavljeni su slučajevi rabdomiolize</w:t>
      </w:r>
      <w:r w:rsidR="00E21D5F" w:rsidRPr="00D72200">
        <w:rPr>
          <w:sz w:val="22"/>
          <w:szCs w:val="22"/>
        </w:rPr>
        <w:t xml:space="preserve"> (uključujući i neke slučajeve sa smrtnim ishodom)</w:t>
      </w:r>
      <w:r w:rsidRPr="00D72200">
        <w:rPr>
          <w:sz w:val="22"/>
          <w:szCs w:val="22"/>
        </w:rPr>
        <w:t xml:space="preserve"> kod pacijenata koji su istovremeno uzimali statine i fusidinsku kiselinu (vid</w:t>
      </w:r>
      <w:r w:rsidR="00B553D9" w:rsidRPr="00D72200">
        <w:rPr>
          <w:sz w:val="22"/>
          <w:szCs w:val="22"/>
        </w:rPr>
        <w:t>j</w:t>
      </w:r>
      <w:r w:rsidRPr="00D72200">
        <w:rPr>
          <w:sz w:val="22"/>
          <w:szCs w:val="22"/>
        </w:rPr>
        <w:t xml:space="preserve">eti </w:t>
      </w:r>
      <w:r w:rsidR="00D82055" w:rsidRPr="00D72200">
        <w:rPr>
          <w:sz w:val="22"/>
          <w:szCs w:val="22"/>
        </w:rPr>
        <w:t>d</w:t>
      </w:r>
      <w:r w:rsidR="007D3E25" w:rsidRPr="00D72200">
        <w:rPr>
          <w:sz w:val="22"/>
          <w:szCs w:val="22"/>
        </w:rPr>
        <w:t>i</w:t>
      </w:r>
      <w:r w:rsidR="00D82055" w:rsidRPr="00D72200">
        <w:rPr>
          <w:sz w:val="22"/>
          <w:szCs w:val="22"/>
        </w:rPr>
        <w:t xml:space="preserve">o </w:t>
      </w:r>
      <w:r w:rsidRPr="00D72200">
        <w:rPr>
          <w:sz w:val="22"/>
          <w:szCs w:val="22"/>
        </w:rPr>
        <w:t>4.5). Pacijente treba sav</w:t>
      </w:r>
      <w:r w:rsidR="00B553D9" w:rsidRPr="00D72200">
        <w:rPr>
          <w:sz w:val="22"/>
          <w:szCs w:val="22"/>
        </w:rPr>
        <w:t>j</w:t>
      </w:r>
      <w:r w:rsidRPr="00D72200">
        <w:rPr>
          <w:sz w:val="22"/>
          <w:szCs w:val="22"/>
        </w:rPr>
        <w:t>etovati da hitno zatraže sav</w:t>
      </w:r>
      <w:r w:rsidR="00B553D9" w:rsidRPr="00D72200">
        <w:rPr>
          <w:sz w:val="22"/>
          <w:szCs w:val="22"/>
        </w:rPr>
        <w:t>j</w:t>
      </w:r>
      <w:r w:rsidRPr="00D72200">
        <w:rPr>
          <w:sz w:val="22"/>
          <w:szCs w:val="22"/>
        </w:rPr>
        <w:t>et l</w:t>
      </w:r>
      <w:r w:rsidR="00B553D9" w:rsidRPr="00D72200">
        <w:rPr>
          <w:sz w:val="22"/>
          <w:szCs w:val="22"/>
        </w:rPr>
        <w:t>j</w:t>
      </w:r>
      <w:r w:rsidRPr="00D72200">
        <w:rPr>
          <w:sz w:val="22"/>
          <w:szCs w:val="22"/>
        </w:rPr>
        <w:t>ekara u slučaju pojave bilo kakvih simptoma slabosti mišića, bola ili os</w:t>
      </w:r>
      <w:r w:rsidR="00B553D9" w:rsidRPr="00D72200">
        <w:rPr>
          <w:sz w:val="22"/>
          <w:szCs w:val="22"/>
        </w:rPr>
        <w:t>j</w:t>
      </w:r>
      <w:r w:rsidRPr="00D72200">
        <w:rPr>
          <w:sz w:val="22"/>
          <w:szCs w:val="22"/>
        </w:rPr>
        <w:t>etljivosti.</w:t>
      </w:r>
    </w:p>
    <w:p w14:paraId="2CA868C1" w14:textId="77777777" w:rsidR="00EB3030" w:rsidRPr="00D72200" w:rsidRDefault="00EB3030" w:rsidP="00E43D0A">
      <w:pPr>
        <w:pStyle w:val="Header"/>
        <w:tabs>
          <w:tab w:val="left" w:pos="284"/>
          <w:tab w:val="left" w:pos="9270"/>
        </w:tabs>
        <w:ind w:right="36"/>
        <w:jc w:val="both"/>
        <w:rPr>
          <w:sz w:val="22"/>
          <w:szCs w:val="22"/>
        </w:rPr>
      </w:pPr>
    </w:p>
    <w:p w14:paraId="53C77DC4" w14:textId="24E2976D" w:rsidR="00EB3030" w:rsidRPr="00D72200" w:rsidRDefault="00EB3030" w:rsidP="00E43D0A">
      <w:pPr>
        <w:pStyle w:val="Header"/>
        <w:tabs>
          <w:tab w:val="left" w:pos="284"/>
          <w:tab w:val="left" w:pos="9270"/>
        </w:tabs>
        <w:ind w:right="36"/>
        <w:jc w:val="both"/>
        <w:rPr>
          <w:sz w:val="22"/>
          <w:szCs w:val="22"/>
        </w:rPr>
      </w:pPr>
      <w:r w:rsidRPr="00D72200">
        <w:rPr>
          <w:sz w:val="22"/>
          <w:szCs w:val="22"/>
        </w:rPr>
        <w:t>Terapija statinima se može ponovo uvesti sedam dana nakon posl</w:t>
      </w:r>
      <w:r w:rsidR="00B553D9" w:rsidRPr="00D72200">
        <w:rPr>
          <w:sz w:val="22"/>
          <w:szCs w:val="22"/>
        </w:rPr>
        <w:t>j</w:t>
      </w:r>
      <w:r w:rsidRPr="00D72200">
        <w:rPr>
          <w:sz w:val="22"/>
          <w:szCs w:val="22"/>
        </w:rPr>
        <w:t xml:space="preserve">ednje doze fusidinske kiseline. </w:t>
      </w:r>
    </w:p>
    <w:p w14:paraId="2730B740" w14:textId="77777777" w:rsidR="00EB3030" w:rsidRPr="00D72200" w:rsidRDefault="00EB3030" w:rsidP="00E43D0A">
      <w:pPr>
        <w:pStyle w:val="Header"/>
        <w:tabs>
          <w:tab w:val="left" w:pos="284"/>
          <w:tab w:val="left" w:pos="9270"/>
        </w:tabs>
        <w:ind w:right="36"/>
        <w:jc w:val="both"/>
        <w:rPr>
          <w:sz w:val="22"/>
          <w:szCs w:val="22"/>
        </w:rPr>
      </w:pPr>
    </w:p>
    <w:p w14:paraId="12F2CD12" w14:textId="1C7E3DC9" w:rsidR="00EB3030" w:rsidRPr="00D72200" w:rsidRDefault="00EB3030" w:rsidP="00E43D0A">
      <w:pPr>
        <w:pStyle w:val="Header"/>
        <w:tabs>
          <w:tab w:val="left" w:pos="284"/>
          <w:tab w:val="left" w:pos="9270"/>
        </w:tabs>
        <w:ind w:right="36"/>
        <w:jc w:val="both"/>
        <w:rPr>
          <w:sz w:val="22"/>
          <w:szCs w:val="22"/>
        </w:rPr>
      </w:pPr>
      <w:r w:rsidRPr="00D72200">
        <w:rPr>
          <w:sz w:val="22"/>
          <w:szCs w:val="22"/>
        </w:rPr>
        <w:t>U posebnim okolnostima</w:t>
      </w:r>
      <w:r w:rsidR="009C6EAA" w:rsidRPr="00D72200">
        <w:rPr>
          <w:sz w:val="22"/>
          <w:szCs w:val="22"/>
        </w:rPr>
        <w:t>,</w:t>
      </w:r>
      <w:r w:rsidR="0075046B" w:rsidRPr="00D72200">
        <w:rPr>
          <w:sz w:val="22"/>
          <w:szCs w:val="22"/>
        </w:rPr>
        <w:t xml:space="preserve"> kada je neophodna produžena sistemska </w:t>
      </w:r>
      <w:r w:rsidRPr="00D72200">
        <w:rPr>
          <w:sz w:val="22"/>
          <w:szCs w:val="22"/>
        </w:rPr>
        <w:t>prim</w:t>
      </w:r>
      <w:r w:rsidR="00B553D9" w:rsidRPr="00D72200">
        <w:rPr>
          <w:sz w:val="22"/>
          <w:szCs w:val="22"/>
        </w:rPr>
        <w:t>j</w:t>
      </w:r>
      <w:r w:rsidRPr="00D72200">
        <w:rPr>
          <w:sz w:val="22"/>
          <w:szCs w:val="22"/>
        </w:rPr>
        <w:t>en</w:t>
      </w:r>
      <w:r w:rsidR="0075046B" w:rsidRPr="00D72200">
        <w:rPr>
          <w:sz w:val="22"/>
          <w:szCs w:val="22"/>
        </w:rPr>
        <w:t>a</w:t>
      </w:r>
      <w:r w:rsidRPr="00D72200">
        <w:rPr>
          <w:sz w:val="22"/>
          <w:szCs w:val="22"/>
        </w:rPr>
        <w:t xml:space="preserve"> fusidinske kiseline, </w:t>
      </w:r>
      <w:r w:rsidR="00FB1407" w:rsidRPr="00D72200">
        <w:rPr>
          <w:sz w:val="22"/>
          <w:szCs w:val="22"/>
        </w:rPr>
        <w:t>npr. za l</w:t>
      </w:r>
      <w:r w:rsidR="00F112C3" w:rsidRPr="00D72200">
        <w:rPr>
          <w:sz w:val="22"/>
          <w:szCs w:val="22"/>
        </w:rPr>
        <w:t>ij</w:t>
      </w:r>
      <w:r w:rsidR="00FB1407" w:rsidRPr="00D72200">
        <w:rPr>
          <w:sz w:val="22"/>
          <w:szCs w:val="22"/>
        </w:rPr>
        <w:t>ečenje</w:t>
      </w:r>
      <w:r w:rsidRPr="00D72200">
        <w:rPr>
          <w:sz w:val="22"/>
          <w:szCs w:val="22"/>
        </w:rPr>
        <w:t xml:space="preserve"> teških infekcija, potrebu za istovremen</w:t>
      </w:r>
      <w:r w:rsidR="00FB1407" w:rsidRPr="00D72200">
        <w:rPr>
          <w:sz w:val="22"/>
          <w:szCs w:val="22"/>
        </w:rPr>
        <w:t>om</w:t>
      </w:r>
      <w:r w:rsidRPr="00D72200">
        <w:rPr>
          <w:sz w:val="22"/>
          <w:szCs w:val="22"/>
        </w:rPr>
        <w:t xml:space="preserve"> </w:t>
      </w:r>
      <w:r w:rsidR="00FB1407" w:rsidRPr="00D72200">
        <w:rPr>
          <w:sz w:val="22"/>
          <w:szCs w:val="22"/>
        </w:rPr>
        <w:t>prim</w:t>
      </w:r>
      <w:r w:rsidR="00F112C3" w:rsidRPr="00D72200">
        <w:rPr>
          <w:sz w:val="22"/>
          <w:szCs w:val="22"/>
        </w:rPr>
        <w:t>j</w:t>
      </w:r>
      <w:r w:rsidR="00FB1407" w:rsidRPr="00D72200">
        <w:rPr>
          <w:sz w:val="22"/>
          <w:szCs w:val="22"/>
        </w:rPr>
        <w:t>enom</w:t>
      </w:r>
      <w:r w:rsidRPr="00D72200">
        <w:rPr>
          <w:sz w:val="22"/>
          <w:szCs w:val="22"/>
        </w:rPr>
        <w:t xml:space="preserve"> </w:t>
      </w:r>
      <w:r w:rsidR="0041444E" w:rsidRPr="00D72200">
        <w:rPr>
          <w:sz w:val="22"/>
          <w:szCs w:val="22"/>
        </w:rPr>
        <w:t>l</w:t>
      </w:r>
      <w:r w:rsidR="00F112C3" w:rsidRPr="00D72200">
        <w:rPr>
          <w:sz w:val="22"/>
          <w:szCs w:val="22"/>
        </w:rPr>
        <w:t>ij</w:t>
      </w:r>
      <w:r w:rsidR="0041444E" w:rsidRPr="00D72200">
        <w:rPr>
          <w:sz w:val="22"/>
          <w:szCs w:val="22"/>
        </w:rPr>
        <w:t>eka Rosuhol</w:t>
      </w:r>
      <w:r w:rsidRPr="00D72200">
        <w:rPr>
          <w:sz w:val="22"/>
          <w:szCs w:val="22"/>
        </w:rPr>
        <w:t xml:space="preserve"> i fusidinsk</w:t>
      </w:r>
      <w:r w:rsidR="0041444E" w:rsidRPr="00D72200">
        <w:rPr>
          <w:sz w:val="22"/>
          <w:szCs w:val="22"/>
        </w:rPr>
        <w:t>e</w:t>
      </w:r>
      <w:r w:rsidRPr="00D72200">
        <w:rPr>
          <w:sz w:val="22"/>
          <w:szCs w:val="22"/>
        </w:rPr>
        <w:t xml:space="preserve"> kiselin</w:t>
      </w:r>
      <w:r w:rsidR="0041444E" w:rsidRPr="00D72200">
        <w:rPr>
          <w:sz w:val="22"/>
          <w:szCs w:val="22"/>
        </w:rPr>
        <w:t>e</w:t>
      </w:r>
      <w:r w:rsidRPr="00D72200">
        <w:rPr>
          <w:sz w:val="22"/>
          <w:szCs w:val="22"/>
        </w:rPr>
        <w:t xml:space="preserve"> treba </w:t>
      </w:r>
      <w:r w:rsidR="000D41EC" w:rsidRPr="00D72200">
        <w:rPr>
          <w:sz w:val="22"/>
          <w:szCs w:val="22"/>
        </w:rPr>
        <w:t>razmotriti</w:t>
      </w:r>
      <w:r w:rsidRPr="00D72200">
        <w:rPr>
          <w:sz w:val="22"/>
          <w:szCs w:val="22"/>
        </w:rPr>
        <w:t xml:space="preserve"> od slučaja do slučaja, pod strogim nadzorom l</w:t>
      </w:r>
      <w:r w:rsidR="00B553D9" w:rsidRPr="00D72200">
        <w:rPr>
          <w:sz w:val="22"/>
          <w:szCs w:val="22"/>
        </w:rPr>
        <w:t>j</w:t>
      </w:r>
      <w:r w:rsidRPr="00D72200">
        <w:rPr>
          <w:sz w:val="22"/>
          <w:szCs w:val="22"/>
        </w:rPr>
        <w:t xml:space="preserve">ekara. </w:t>
      </w:r>
    </w:p>
    <w:bookmarkEnd w:id="0"/>
    <w:p w14:paraId="07B1F592" w14:textId="77777777" w:rsidR="0047466D" w:rsidRPr="00D72200" w:rsidRDefault="0047466D" w:rsidP="00E43D0A">
      <w:pPr>
        <w:tabs>
          <w:tab w:val="left" w:pos="540"/>
          <w:tab w:val="left" w:pos="569"/>
        </w:tabs>
        <w:jc w:val="both"/>
        <w:rPr>
          <w:bCs/>
          <w:sz w:val="22"/>
          <w:szCs w:val="22"/>
        </w:rPr>
      </w:pPr>
    </w:p>
    <w:p w14:paraId="5126A732" w14:textId="191D3A89" w:rsidR="0047466D" w:rsidRPr="00D72200" w:rsidRDefault="0047466D" w:rsidP="00E43D0A">
      <w:pPr>
        <w:pStyle w:val="Header"/>
        <w:tabs>
          <w:tab w:val="left" w:pos="284"/>
          <w:tab w:val="left" w:pos="9270"/>
        </w:tabs>
        <w:ind w:right="36"/>
        <w:jc w:val="both"/>
        <w:rPr>
          <w:sz w:val="22"/>
          <w:szCs w:val="22"/>
        </w:rPr>
      </w:pPr>
      <w:r w:rsidRPr="00D72200">
        <w:rPr>
          <w:sz w:val="22"/>
          <w:szCs w:val="22"/>
        </w:rPr>
        <w:t>Rosuvastatin ne treba prim</w:t>
      </w:r>
      <w:r w:rsidR="00B553D9" w:rsidRPr="00D72200">
        <w:rPr>
          <w:sz w:val="22"/>
          <w:szCs w:val="22"/>
        </w:rPr>
        <w:t>j</w:t>
      </w:r>
      <w:r w:rsidRPr="00D72200">
        <w:rPr>
          <w:sz w:val="22"/>
          <w:szCs w:val="22"/>
        </w:rPr>
        <w:t>enjivati kod pacijenata sa akutnim, ozbiljnim stanjem koje ukazuje na miopatiju ili koji imaju predispozicije za razvoj bubrežne insuficijencije usl</w:t>
      </w:r>
      <w:r w:rsidR="00B553D9" w:rsidRPr="00D72200">
        <w:rPr>
          <w:sz w:val="22"/>
          <w:szCs w:val="22"/>
        </w:rPr>
        <w:t>j</w:t>
      </w:r>
      <w:r w:rsidRPr="00D72200">
        <w:rPr>
          <w:sz w:val="22"/>
          <w:szCs w:val="22"/>
        </w:rPr>
        <w:t xml:space="preserve">ed rabdomiolize (npr. sepsa, </w:t>
      </w:r>
      <w:r w:rsidRPr="00D72200">
        <w:rPr>
          <w:sz w:val="22"/>
          <w:szCs w:val="22"/>
        </w:rPr>
        <w:lastRenderedPageBreak/>
        <w:t xml:space="preserve">hipotenzija, veće hirurške intervencije, trauma, ozbiljni poremećaji metabolizma, endokrinog sistema i elektrolita; ili nekontrolisani </w:t>
      </w:r>
      <w:r w:rsidRPr="00D72200">
        <w:rPr>
          <w:sz w:val="22"/>
          <w:szCs w:val="22"/>
          <w:lang w:val="sr-Latn-CS"/>
        </w:rPr>
        <w:t xml:space="preserve">epileptični </w:t>
      </w:r>
      <w:r w:rsidRPr="00D72200">
        <w:rPr>
          <w:sz w:val="22"/>
          <w:szCs w:val="22"/>
        </w:rPr>
        <w:t>napadi).</w:t>
      </w:r>
    </w:p>
    <w:p w14:paraId="52E91C1A" w14:textId="77777777" w:rsidR="0047466D" w:rsidRPr="00D72200" w:rsidRDefault="0047466D" w:rsidP="00E43D0A">
      <w:pPr>
        <w:tabs>
          <w:tab w:val="left" w:pos="540"/>
          <w:tab w:val="left" w:pos="569"/>
        </w:tabs>
        <w:jc w:val="both"/>
        <w:rPr>
          <w:bCs/>
          <w:sz w:val="22"/>
          <w:szCs w:val="22"/>
        </w:rPr>
      </w:pPr>
    </w:p>
    <w:p w14:paraId="1D7F95FE" w14:textId="77777777" w:rsidR="00304FBB" w:rsidRPr="000F132E" w:rsidRDefault="00304FBB" w:rsidP="00304FBB">
      <w:pPr>
        <w:tabs>
          <w:tab w:val="center" w:pos="4536"/>
          <w:tab w:val="right" w:pos="9072"/>
          <w:tab w:val="left" w:pos="9270"/>
        </w:tabs>
        <w:ind w:right="36"/>
        <w:jc w:val="both"/>
        <w:rPr>
          <w:sz w:val="22"/>
          <w:szCs w:val="22"/>
          <w:u w:val="single"/>
        </w:rPr>
      </w:pPr>
      <w:r w:rsidRPr="000F132E">
        <w:rPr>
          <w:sz w:val="22"/>
          <w:szCs w:val="22"/>
          <w:u w:val="single"/>
        </w:rPr>
        <w:t>Ozbiljne kožne neželjene reakcije</w:t>
      </w:r>
    </w:p>
    <w:p w14:paraId="42AA0438" w14:textId="3B942E5A" w:rsidR="00304FBB" w:rsidRPr="00D72200" w:rsidRDefault="00304FBB" w:rsidP="00304FBB">
      <w:pPr>
        <w:tabs>
          <w:tab w:val="center" w:pos="4536"/>
          <w:tab w:val="right" w:pos="9072"/>
          <w:tab w:val="left" w:pos="9270"/>
        </w:tabs>
        <w:ind w:right="36"/>
        <w:jc w:val="both"/>
        <w:rPr>
          <w:sz w:val="22"/>
          <w:szCs w:val="22"/>
        </w:rPr>
      </w:pPr>
      <w:r w:rsidRPr="00D72200">
        <w:rPr>
          <w:sz w:val="22"/>
          <w:szCs w:val="22"/>
        </w:rPr>
        <w:t>Zab</w:t>
      </w:r>
      <w:r w:rsidR="009910FA" w:rsidRPr="00D72200">
        <w:rPr>
          <w:sz w:val="22"/>
          <w:szCs w:val="22"/>
        </w:rPr>
        <w:t>i</w:t>
      </w:r>
      <w:r w:rsidRPr="00D72200">
        <w:rPr>
          <w:sz w:val="22"/>
          <w:szCs w:val="22"/>
        </w:rPr>
        <w:t>l</w:t>
      </w:r>
      <w:r w:rsidR="009910FA" w:rsidRPr="00D72200">
        <w:rPr>
          <w:sz w:val="22"/>
          <w:szCs w:val="22"/>
        </w:rPr>
        <w:t>j</w:t>
      </w:r>
      <w:r w:rsidRPr="00D72200">
        <w:rPr>
          <w:sz w:val="22"/>
          <w:szCs w:val="22"/>
        </w:rPr>
        <w:t>ežene su teške kožne neželjene reakcije sa rosuvastatinom, uključujući Stevens-Johnson sindrom (SJS) i reakciju na l</w:t>
      </w:r>
      <w:r w:rsidR="009910FA" w:rsidRPr="00D72200">
        <w:rPr>
          <w:sz w:val="22"/>
          <w:szCs w:val="22"/>
        </w:rPr>
        <w:t>ij</w:t>
      </w:r>
      <w:r w:rsidRPr="00D72200">
        <w:rPr>
          <w:sz w:val="22"/>
          <w:szCs w:val="22"/>
        </w:rPr>
        <w:t xml:space="preserve">ek sa eozinofilijom i sistemskim simptomima (engl. </w:t>
      </w:r>
      <w:r w:rsidRPr="00D72200">
        <w:rPr>
          <w:i/>
          <w:iCs/>
          <w:sz w:val="22"/>
          <w:szCs w:val="22"/>
        </w:rPr>
        <w:t>Drug reaction with eosinophilia and systemic symptoms</w:t>
      </w:r>
      <w:r w:rsidRPr="00D72200">
        <w:rPr>
          <w:sz w:val="22"/>
          <w:szCs w:val="22"/>
        </w:rPr>
        <w:t xml:space="preserve"> - DRESS), koje bi mogle biti opasne po život ili smrtonosne (vid</w:t>
      </w:r>
      <w:r w:rsidR="009910FA" w:rsidRPr="00D72200">
        <w:rPr>
          <w:sz w:val="22"/>
          <w:szCs w:val="22"/>
        </w:rPr>
        <w:t>j</w:t>
      </w:r>
      <w:r w:rsidRPr="00D72200">
        <w:rPr>
          <w:sz w:val="22"/>
          <w:szCs w:val="22"/>
        </w:rPr>
        <w:t>eti dio 4.8). U vr</w:t>
      </w:r>
      <w:r w:rsidR="009910FA" w:rsidRPr="00D72200">
        <w:rPr>
          <w:sz w:val="22"/>
          <w:szCs w:val="22"/>
        </w:rPr>
        <w:t>ij</w:t>
      </w:r>
      <w:r w:rsidRPr="00D72200">
        <w:rPr>
          <w:sz w:val="22"/>
          <w:szCs w:val="22"/>
        </w:rPr>
        <w:t>eme propisivanja terapije, pacijente treba upozoriti na znake i simptome ozbiljnih kožnih reakcija i pažljivo ih pratiti. Ako se pojave znaci i simptomi koji upućuju na ovu reakciju, prim</w:t>
      </w:r>
      <w:r w:rsidR="009910FA" w:rsidRPr="00D72200">
        <w:rPr>
          <w:sz w:val="22"/>
          <w:szCs w:val="22"/>
        </w:rPr>
        <w:t>j</w:t>
      </w:r>
      <w:r w:rsidRPr="00D72200">
        <w:rPr>
          <w:sz w:val="22"/>
          <w:szCs w:val="22"/>
        </w:rPr>
        <w:t>enu Rosuhola treba odmah prekinuti i razmotriti prim</w:t>
      </w:r>
      <w:r w:rsidR="009910FA" w:rsidRPr="00D72200">
        <w:rPr>
          <w:sz w:val="22"/>
          <w:szCs w:val="22"/>
        </w:rPr>
        <w:t>j</w:t>
      </w:r>
      <w:r w:rsidRPr="00D72200">
        <w:rPr>
          <w:sz w:val="22"/>
          <w:szCs w:val="22"/>
        </w:rPr>
        <w:t>enu alternativne terapije.</w:t>
      </w:r>
    </w:p>
    <w:p w14:paraId="0F70B51C" w14:textId="2A282760" w:rsidR="00304FBB" w:rsidRPr="00D72200" w:rsidRDefault="00304FBB" w:rsidP="00304FBB">
      <w:pPr>
        <w:tabs>
          <w:tab w:val="left" w:pos="284"/>
          <w:tab w:val="left" w:pos="9270"/>
        </w:tabs>
        <w:ind w:right="36"/>
        <w:jc w:val="both"/>
        <w:rPr>
          <w:sz w:val="22"/>
          <w:szCs w:val="22"/>
        </w:rPr>
      </w:pPr>
      <w:r w:rsidRPr="00D72200">
        <w:rPr>
          <w:sz w:val="22"/>
          <w:szCs w:val="22"/>
        </w:rPr>
        <w:t xml:space="preserve">Ako je pacijent razvio ozbiljnu reakciju kao što je SJS ili DRESS pri </w:t>
      </w:r>
      <w:r w:rsidR="003F17FF">
        <w:rPr>
          <w:sz w:val="22"/>
          <w:szCs w:val="22"/>
        </w:rPr>
        <w:t>primjeni</w:t>
      </w:r>
      <w:r w:rsidRPr="00D72200">
        <w:rPr>
          <w:sz w:val="22"/>
          <w:szCs w:val="22"/>
        </w:rPr>
        <w:t xml:space="preserve"> l</w:t>
      </w:r>
      <w:r w:rsidR="009910FA" w:rsidRPr="00D72200">
        <w:rPr>
          <w:sz w:val="22"/>
          <w:szCs w:val="22"/>
        </w:rPr>
        <w:t>ij</w:t>
      </w:r>
      <w:r w:rsidRPr="00D72200">
        <w:rPr>
          <w:sz w:val="22"/>
          <w:szCs w:val="22"/>
        </w:rPr>
        <w:t>eka Rosuhol, l</w:t>
      </w:r>
      <w:r w:rsidR="009910FA" w:rsidRPr="00D72200">
        <w:rPr>
          <w:sz w:val="22"/>
          <w:szCs w:val="22"/>
        </w:rPr>
        <w:t>ij</w:t>
      </w:r>
      <w:r w:rsidRPr="00D72200">
        <w:rPr>
          <w:sz w:val="22"/>
          <w:szCs w:val="22"/>
        </w:rPr>
        <w:t>ečenje rosuvastatinom ne sm</w:t>
      </w:r>
      <w:r w:rsidR="009910FA" w:rsidRPr="00D72200">
        <w:rPr>
          <w:sz w:val="22"/>
          <w:szCs w:val="22"/>
        </w:rPr>
        <w:t>ij</w:t>
      </w:r>
      <w:r w:rsidRPr="00D72200">
        <w:rPr>
          <w:sz w:val="22"/>
          <w:szCs w:val="22"/>
        </w:rPr>
        <w:t>e se ponovo započeti kod ovog pacijenta ni u jednom trenutku.</w:t>
      </w:r>
    </w:p>
    <w:p w14:paraId="0AA4BF6E" w14:textId="77777777" w:rsidR="00C31C62" w:rsidRPr="00D72200" w:rsidRDefault="00C31C62" w:rsidP="00E43D0A">
      <w:pPr>
        <w:tabs>
          <w:tab w:val="left" w:pos="540"/>
          <w:tab w:val="left" w:pos="569"/>
        </w:tabs>
        <w:jc w:val="both"/>
        <w:rPr>
          <w:bCs/>
          <w:sz w:val="22"/>
          <w:szCs w:val="22"/>
        </w:rPr>
      </w:pPr>
    </w:p>
    <w:p w14:paraId="53E803B6" w14:textId="77777777" w:rsidR="0047466D" w:rsidRPr="00D72200" w:rsidRDefault="0047466D" w:rsidP="00E43D0A">
      <w:pPr>
        <w:pStyle w:val="Header"/>
        <w:tabs>
          <w:tab w:val="left" w:pos="284"/>
          <w:tab w:val="left" w:pos="9270"/>
        </w:tabs>
        <w:ind w:right="36"/>
        <w:jc w:val="both"/>
        <w:rPr>
          <w:sz w:val="22"/>
          <w:szCs w:val="22"/>
          <w:lang w:val="sr-Latn-RS"/>
        </w:rPr>
      </w:pPr>
      <w:r w:rsidRPr="00D72200">
        <w:rPr>
          <w:sz w:val="22"/>
          <w:szCs w:val="22"/>
          <w:u w:val="single"/>
          <w:lang w:val="sr-Latn-RS"/>
        </w:rPr>
        <w:t>Uticaj na funkciju jetre</w:t>
      </w:r>
    </w:p>
    <w:p w14:paraId="06E33709" w14:textId="77777777" w:rsidR="0047466D" w:rsidRPr="00D72200" w:rsidRDefault="0047466D" w:rsidP="00E43D0A">
      <w:pPr>
        <w:pStyle w:val="Header"/>
        <w:tabs>
          <w:tab w:val="left" w:pos="284"/>
          <w:tab w:val="left" w:pos="9270"/>
        </w:tabs>
        <w:ind w:right="36"/>
        <w:jc w:val="both"/>
        <w:rPr>
          <w:sz w:val="22"/>
          <w:szCs w:val="22"/>
          <w:lang w:val="sr-Latn-RS"/>
        </w:rPr>
      </w:pPr>
      <w:r w:rsidRPr="00D72200">
        <w:rPr>
          <w:sz w:val="22"/>
          <w:szCs w:val="22"/>
          <w:lang w:val="sr-Latn-RS"/>
        </w:rPr>
        <w:t>Kao i ostale inhibitore HMG-CoA reduktaze, rosuvastatin treba sa oprezom primjenjivati kod pacijenata koji konzumiraju pretjerane količine alkohola i/ili imaju oboljenja jetre u anamnezi.</w:t>
      </w:r>
    </w:p>
    <w:p w14:paraId="55C3068C" w14:textId="77777777" w:rsidR="0047466D" w:rsidRPr="00D72200" w:rsidRDefault="0047466D" w:rsidP="00E43D0A">
      <w:pPr>
        <w:pStyle w:val="Header"/>
        <w:tabs>
          <w:tab w:val="left" w:pos="284"/>
          <w:tab w:val="left" w:pos="9270"/>
        </w:tabs>
        <w:ind w:right="36"/>
        <w:jc w:val="both"/>
        <w:rPr>
          <w:sz w:val="22"/>
          <w:szCs w:val="22"/>
          <w:lang w:val="sr-Latn-RS"/>
        </w:rPr>
      </w:pPr>
    </w:p>
    <w:p w14:paraId="35DEFE21" w14:textId="23393532" w:rsidR="0047466D" w:rsidRPr="00D72200" w:rsidRDefault="0047466D" w:rsidP="00E43D0A">
      <w:pPr>
        <w:pStyle w:val="Header"/>
        <w:tabs>
          <w:tab w:val="left" w:pos="284"/>
          <w:tab w:val="left" w:pos="9270"/>
        </w:tabs>
        <w:ind w:right="36"/>
        <w:jc w:val="both"/>
        <w:rPr>
          <w:sz w:val="22"/>
          <w:szCs w:val="22"/>
          <w:lang w:val="sr-Latn-RS"/>
        </w:rPr>
      </w:pPr>
      <w:r w:rsidRPr="00D72200">
        <w:rPr>
          <w:sz w:val="22"/>
          <w:szCs w:val="22"/>
          <w:lang w:val="sr-Latn-RS"/>
        </w:rPr>
        <w:t>Preporučuje se provjera funkcije jetre prije započinjanja terapije i 3 mjeseca</w:t>
      </w:r>
      <w:r w:rsidR="00DA23F0" w:rsidRPr="00D72200">
        <w:rPr>
          <w:sz w:val="22"/>
          <w:szCs w:val="22"/>
          <w:lang w:val="sr-Latn-RS"/>
        </w:rPr>
        <w:t xml:space="preserve"> nakon započinjanja terapije</w:t>
      </w:r>
      <w:r w:rsidRPr="00D72200">
        <w:rPr>
          <w:sz w:val="22"/>
          <w:szCs w:val="22"/>
          <w:lang w:val="sr-Latn-RS"/>
        </w:rPr>
        <w:t>. Ukoliko su vrijednosti transaminaza u serumu više od 3 puta od gornje granice normalnih vrijednosti, treba prekinuti terapiju rosuvastatinom ili smanjiti dozu. Stopa prijavljenih ozbiljnih hepatičkih događaja u postmarketinškom periodu (koji se uglavnom sastoje od povišenih transaminaza jetre) je veća pri dozi od 40</w:t>
      </w:r>
      <w:r w:rsidR="00581960" w:rsidRPr="00D72200">
        <w:rPr>
          <w:sz w:val="22"/>
          <w:szCs w:val="22"/>
          <w:lang w:val="sr-Latn-RS"/>
        </w:rPr>
        <w:t xml:space="preserve"> </w:t>
      </w:r>
      <w:r w:rsidRPr="00D72200">
        <w:rPr>
          <w:sz w:val="22"/>
          <w:szCs w:val="22"/>
          <w:lang w:val="sr-Latn-RS"/>
        </w:rPr>
        <w:t>mg.</w:t>
      </w:r>
    </w:p>
    <w:p w14:paraId="46C80697" w14:textId="0B916D36" w:rsidR="0047466D" w:rsidRPr="00D72200" w:rsidRDefault="0047466D" w:rsidP="00E43D0A">
      <w:pPr>
        <w:pStyle w:val="Header"/>
        <w:tabs>
          <w:tab w:val="left" w:pos="284"/>
          <w:tab w:val="left" w:pos="9270"/>
        </w:tabs>
        <w:ind w:right="36"/>
        <w:jc w:val="both"/>
        <w:rPr>
          <w:sz w:val="22"/>
          <w:szCs w:val="22"/>
          <w:lang w:val="sr-Latn-RS"/>
        </w:rPr>
      </w:pPr>
      <w:r w:rsidRPr="00D72200">
        <w:rPr>
          <w:sz w:val="22"/>
          <w:szCs w:val="22"/>
          <w:lang w:val="sr-Latn-RS"/>
        </w:rPr>
        <w:t>Kod pacijenata sa sekundarnom hiperholesterolemijom izazavanom hipotir</w:t>
      </w:r>
      <w:r w:rsidR="00581960" w:rsidRPr="00D72200">
        <w:rPr>
          <w:sz w:val="22"/>
          <w:szCs w:val="22"/>
          <w:lang w:val="sr-Latn-RS"/>
        </w:rPr>
        <w:t>e</w:t>
      </w:r>
      <w:r w:rsidRPr="00D72200">
        <w:rPr>
          <w:sz w:val="22"/>
          <w:szCs w:val="22"/>
          <w:lang w:val="sr-Latn-RS"/>
        </w:rPr>
        <w:t>oidizmom ili nefrotskim sindromom, treba liječiti primarnu bolest prije započinjanja terapije rosuvastatinom.</w:t>
      </w:r>
    </w:p>
    <w:p w14:paraId="02B19717" w14:textId="77777777" w:rsidR="0047466D" w:rsidRPr="00D72200" w:rsidRDefault="0047466D" w:rsidP="00E43D0A">
      <w:pPr>
        <w:pStyle w:val="Header"/>
        <w:tabs>
          <w:tab w:val="left" w:pos="284"/>
          <w:tab w:val="left" w:pos="9270"/>
        </w:tabs>
        <w:ind w:right="36"/>
        <w:jc w:val="both"/>
        <w:rPr>
          <w:sz w:val="22"/>
          <w:szCs w:val="22"/>
          <w:lang w:val="sr-Latn-RS"/>
        </w:rPr>
      </w:pPr>
    </w:p>
    <w:p w14:paraId="71FE04BA" w14:textId="77777777" w:rsidR="0047466D" w:rsidRPr="00D72200" w:rsidRDefault="0047466D" w:rsidP="00E43D0A">
      <w:pPr>
        <w:pStyle w:val="Header"/>
        <w:tabs>
          <w:tab w:val="left" w:pos="284"/>
          <w:tab w:val="left" w:pos="9270"/>
        </w:tabs>
        <w:ind w:right="36"/>
        <w:jc w:val="both"/>
        <w:rPr>
          <w:sz w:val="22"/>
          <w:szCs w:val="22"/>
          <w:lang w:val="sr-Latn-RS"/>
        </w:rPr>
      </w:pPr>
      <w:r w:rsidRPr="00D72200">
        <w:rPr>
          <w:sz w:val="22"/>
          <w:szCs w:val="22"/>
          <w:u w:val="single"/>
          <w:lang w:val="sr-Latn-RS"/>
        </w:rPr>
        <w:t>Rasa</w:t>
      </w:r>
    </w:p>
    <w:p w14:paraId="39083654" w14:textId="796CDD33" w:rsidR="0047466D" w:rsidRPr="00D72200" w:rsidRDefault="0047466D" w:rsidP="00E43D0A">
      <w:pPr>
        <w:pStyle w:val="Header"/>
        <w:tabs>
          <w:tab w:val="left" w:pos="284"/>
          <w:tab w:val="left" w:pos="9270"/>
        </w:tabs>
        <w:ind w:right="36"/>
        <w:jc w:val="both"/>
        <w:rPr>
          <w:sz w:val="22"/>
          <w:szCs w:val="22"/>
          <w:lang w:val="sr-Latn-RS"/>
        </w:rPr>
      </w:pPr>
      <w:r w:rsidRPr="00D72200">
        <w:rPr>
          <w:sz w:val="22"/>
          <w:szCs w:val="22"/>
          <w:lang w:val="sr-Latn-RS"/>
        </w:rPr>
        <w:t xml:space="preserve">Rezultati farmakokinetičkih studija su pokazali da je veća izloženost kod pripadnika azijskih naroda u poređenju sa pripadnicima bijele rase (vidjeti </w:t>
      </w:r>
      <w:r w:rsidR="008D2828" w:rsidRPr="00D72200">
        <w:rPr>
          <w:sz w:val="22"/>
          <w:szCs w:val="22"/>
          <w:lang w:val="sr-Latn-RS"/>
        </w:rPr>
        <w:t xml:space="preserve">djelove </w:t>
      </w:r>
      <w:r w:rsidRPr="00D72200">
        <w:rPr>
          <w:sz w:val="22"/>
          <w:szCs w:val="22"/>
          <w:lang w:val="sr-Latn-RS"/>
        </w:rPr>
        <w:t>4.2</w:t>
      </w:r>
      <w:r w:rsidR="00143D01" w:rsidRPr="00D72200">
        <w:rPr>
          <w:sz w:val="22"/>
          <w:szCs w:val="22"/>
          <w:lang w:val="sr-Latn-RS"/>
        </w:rPr>
        <w:t>, 4.3</w:t>
      </w:r>
      <w:r w:rsidRPr="00D72200">
        <w:rPr>
          <w:sz w:val="22"/>
          <w:szCs w:val="22"/>
          <w:lang w:val="sr-Latn-RS"/>
        </w:rPr>
        <w:t xml:space="preserve"> i 5.2).</w:t>
      </w:r>
    </w:p>
    <w:p w14:paraId="0B190E82" w14:textId="77777777" w:rsidR="0047466D" w:rsidRPr="00D72200" w:rsidRDefault="0047466D" w:rsidP="00E43D0A">
      <w:pPr>
        <w:tabs>
          <w:tab w:val="left" w:pos="540"/>
          <w:tab w:val="left" w:pos="569"/>
        </w:tabs>
        <w:jc w:val="both"/>
        <w:rPr>
          <w:bCs/>
          <w:sz w:val="22"/>
          <w:szCs w:val="22"/>
        </w:rPr>
      </w:pPr>
    </w:p>
    <w:p w14:paraId="5B4E4A78" w14:textId="77777777" w:rsidR="00EB3030" w:rsidRPr="00D72200" w:rsidRDefault="00EB3030" w:rsidP="00E43D0A">
      <w:pPr>
        <w:pStyle w:val="Header"/>
        <w:tabs>
          <w:tab w:val="left" w:pos="284"/>
          <w:tab w:val="left" w:pos="9270"/>
        </w:tabs>
        <w:ind w:right="36"/>
        <w:jc w:val="both"/>
        <w:rPr>
          <w:sz w:val="22"/>
          <w:szCs w:val="22"/>
          <w:u w:val="single"/>
          <w:lang w:val="sr-Latn-RS"/>
        </w:rPr>
      </w:pPr>
      <w:r w:rsidRPr="00D72200">
        <w:rPr>
          <w:sz w:val="22"/>
          <w:szCs w:val="22"/>
          <w:u w:val="single"/>
          <w:lang w:val="sr-Latn-RS"/>
        </w:rPr>
        <w:t>Inhibitori proteaze</w:t>
      </w:r>
    </w:p>
    <w:p w14:paraId="4F845B2D" w14:textId="1E027BC8" w:rsidR="00143D01" w:rsidRPr="00D72200" w:rsidRDefault="00EB3030" w:rsidP="00E43D0A">
      <w:pPr>
        <w:pStyle w:val="Header"/>
        <w:tabs>
          <w:tab w:val="left" w:pos="9270"/>
        </w:tabs>
        <w:ind w:right="36"/>
        <w:jc w:val="both"/>
        <w:rPr>
          <w:sz w:val="22"/>
          <w:szCs w:val="22"/>
        </w:rPr>
      </w:pPr>
      <w:r w:rsidRPr="00D72200">
        <w:rPr>
          <w:sz w:val="22"/>
          <w:szCs w:val="22"/>
        </w:rPr>
        <w:t>Prilikom istovremene prim</w:t>
      </w:r>
      <w:r w:rsidR="00B553D9" w:rsidRPr="00D72200">
        <w:rPr>
          <w:sz w:val="22"/>
          <w:szCs w:val="22"/>
        </w:rPr>
        <w:t>j</w:t>
      </w:r>
      <w:r w:rsidRPr="00D72200">
        <w:rPr>
          <w:sz w:val="22"/>
          <w:szCs w:val="22"/>
        </w:rPr>
        <w:t>ene rosuvastatina i</w:t>
      </w:r>
      <w:r w:rsidR="00962B21" w:rsidRPr="00D72200">
        <w:rPr>
          <w:sz w:val="22"/>
          <w:szCs w:val="22"/>
        </w:rPr>
        <w:t xml:space="preserve"> različitih</w:t>
      </w:r>
      <w:r w:rsidRPr="00D72200">
        <w:rPr>
          <w:sz w:val="22"/>
          <w:szCs w:val="22"/>
        </w:rPr>
        <w:t xml:space="preserve"> inhibitora proteaz</w:t>
      </w:r>
      <w:r w:rsidR="007B4ACA" w:rsidRPr="00D72200">
        <w:rPr>
          <w:sz w:val="22"/>
          <w:szCs w:val="22"/>
        </w:rPr>
        <w:t>a</w:t>
      </w:r>
      <w:r w:rsidRPr="00D72200">
        <w:rPr>
          <w:sz w:val="22"/>
          <w:szCs w:val="22"/>
        </w:rPr>
        <w:t xml:space="preserve"> u kombinaciji sa ritonavirom, uočena je povećana sistemska izloženost rosuvastatinu. Treba pažljivo razmotriti korist od sniženja nivoa lipida prim</w:t>
      </w:r>
      <w:r w:rsidR="00B553D9" w:rsidRPr="00D72200">
        <w:rPr>
          <w:sz w:val="22"/>
          <w:szCs w:val="22"/>
        </w:rPr>
        <w:t>j</w:t>
      </w:r>
      <w:r w:rsidRPr="00D72200">
        <w:rPr>
          <w:sz w:val="22"/>
          <w:szCs w:val="22"/>
        </w:rPr>
        <w:t xml:space="preserve">enom rosuvastatina kod HIV pozitivnih pacijenata koji </w:t>
      </w:r>
      <w:r w:rsidR="004D4954" w:rsidRPr="00D72200">
        <w:rPr>
          <w:sz w:val="22"/>
          <w:szCs w:val="22"/>
        </w:rPr>
        <w:t>primaju</w:t>
      </w:r>
      <w:r w:rsidRPr="00D72200">
        <w:rPr>
          <w:sz w:val="22"/>
          <w:szCs w:val="22"/>
        </w:rPr>
        <w:t xml:space="preserve"> inhibitor</w:t>
      </w:r>
      <w:r w:rsidR="004D4954" w:rsidRPr="00D72200">
        <w:rPr>
          <w:sz w:val="22"/>
          <w:szCs w:val="22"/>
        </w:rPr>
        <w:t>e</w:t>
      </w:r>
      <w:r w:rsidRPr="00D72200">
        <w:rPr>
          <w:sz w:val="22"/>
          <w:szCs w:val="22"/>
        </w:rPr>
        <w:t xml:space="preserve"> proteaz</w:t>
      </w:r>
      <w:r w:rsidR="002C3F0F" w:rsidRPr="00D72200">
        <w:rPr>
          <w:sz w:val="22"/>
          <w:szCs w:val="22"/>
        </w:rPr>
        <w:t>a</w:t>
      </w:r>
      <w:r w:rsidRPr="00D72200">
        <w:rPr>
          <w:sz w:val="22"/>
          <w:szCs w:val="22"/>
        </w:rPr>
        <w:t xml:space="preserve"> i potencijala za povećanje nivoa rosuvastatina u plazmi prilikom započinjanja terapije i tokom titriranja doze rosuvastatina. Ukoliko doza rosuvastatina nije pažljivo podešena, ne preporučuje se istovremena upotreba sa </w:t>
      </w:r>
      <w:r w:rsidR="006A2365" w:rsidRPr="00D72200">
        <w:rPr>
          <w:sz w:val="22"/>
          <w:szCs w:val="22"/>
        </w:rPr>
        <w:t xml:space="preserve">određenim </w:t>
      </w:r>
      <w:r w:rsidRPr="00D72200">
        <w:rPr>
          <w:sz w:val="22"/>
          <w:szCs w:val="22"/>
        </w:rPr>
        <w:t>inhibitorima proteaze (vid</w:t>
      </w:r>
      <w:r w:rsidR="00B553D9" w:rsidRPr="00D72200">
        <w:rPr>
          <w:sz w:val="22"/>
          <w:szCs w:val="22"/>
        </w:rPr>
        <w:t>j</w:t>
      </w:r>
      <w:r w:rsidRPr="00D72200">
        <w:rPr>
          <w:sz w:val="22"/>
          <w:szCs w:val="22"/>
        </w:rPr>
        <w:t xml:space="preserve">eti </w:t>
      </w:r>
      <w:r w:rsidR="00D82055" w:rsidRPr="00D72200">
        <w:rPr>
          <w:sz w:val="22"/>
          <w:szCs w:val="22"/>
        </w:rPr>
        <w:t>d</w:t>
      </w:r>
      <w:r w:rsidR="007D3E25" w:rsidRPr="00D72200">
        <w:rPr>
          <w:sz w:val="22"/>
          <w:szCs w:val="22"/>
        </w:rPr>
        <w:t>j</w:t>
      </w:r>
      <w:r w:rsidR="00D82055" w:rsidRPr="00D72200">
        <w:rPr>
          <w:sz w:val="22"/>
          <w:szCs w:val="22"/>
        </w:rPr>
        <w:t>e</w:t>
      </w:r>
      <w:r w:rsidR="00740F09" w:rsidRPr="00D72200">
        <w:rPr>
          <w:sz w:val="22"/>
          <w:szCs w:val="22"/>
        </w:rPr>
        <w:t>l</w:t>
      </w:r>
      <w:r w:rsidR="00D82055" w:rsidRPr="00D72200">
        <w:rPr>
          <w:sz w:val="22"/>
          <w:szCs w:val="22"/>
        </w:rPr>
        <w:t>o</w:t>
      </w:r>
      <w:r w:rsidR="00740F09" w:rsidRPr="00D72200">
        <w:rPr>
          <w:sz w:val="22"/>
          <w:szCs w:val="22"/>
        </w:rPr>
        <w:t>ve</w:t>
      </w:r>
      <w:r w:rsidR="00D82055" w:rsidRPr="00D72200">
        <w:rPr>
          <w:sz w:val="22"/>
          <w:szCs w:val="22"/>
        </w:rPr>
        <w:t xml:space="preserve"> </w:t>
      </w:r>
      <w:r w:rsidRPr="00D72200">
        <w:rPr>
          <w:sz w:val="22"/>
          <w:szCs w:val="22"/>
        </w:rPr>
        <w:t>4.2 i 4.5).</w:t>
      </w:r>
    </w:p>
    <w:p w14:paraId="407B3BC9" w14:textId="77777777" w:rsidR="00EB3030" w:rsidRPr="00D72200" w:rsidRDefault="00EB3030" w:rsidP="00E43D0A">
      <w:pPr>
        <w:tabs>
          <w:tab w:val="left" w:pos="540"/>
          <w:tab w:val="left" w:pos="569"/>
        </w:tabs>
        <w:jc w:val="both"/>
        <w:rPr>
          <w:bCs/>
          <w:sz w:val="22"/>
          <w:szCs w:val="22"/>
        </w:rPr>
      </w:pPr>
    </w:p>
    <w:p w14:paraId="52B152BA" w14:textId="3A910076" w:rsidR="00EB3030" w:rsidRPr="00D72200" w:rsidRDefault="00EB3030" w:rsidP="00E43D0A">
      <w:pPr>
        <w:pStyle w:val="Header"/>
        <w:tabs>
          <w:tab w:val="left" w:pos="284"/>
          <w:tab w:val="left" w:pos="9270"/>
        </w:tabs>
        <w:ind w:right="36"/>
        <w:jc w:val="both"/>
        <w:rPr>
          <w:sz w:val="22"/>
          <w:szCs w:val="22"/>
          <w:u w:val="single"/>
          <w:lang w:val="sr-Latn-RS"/>
        </w:rPr>
      </w:pPr>
      <w:r w:rsidRPr="00D72200">
        <w:rPr>
          <w:sz w:val="22"/>
          <w:szCs w:val="22"/>
          <w:u w:val="single"/>
          <w:lang w:val="sr-Latn-RS"/>
        </w:rPr>
        <w:t>Netolerancija na laktozu</w:t>
      </w:r>
    </w:p>
    <w:p w14:paraId="77BF990F" w14:textId="40671B42" w:rsidR="00EB3030" w:rsidRPr="00D72200" w:rsidRDefault="004A2F3F" w:rsidP="00E43D0A">
      <w:pPr>
        <w:pStyle w:val="Header"/>
        <w:tabs>
          <w:tab w:val="left" w:pos="284"/>
          <w:tab w:val="left" w:pos="9270"/>
        </w:tabs>
        <w:ind w:right="36"/>
        <w:jc w:val="both"/>
        <w:rPr>
          <w:sz w:val="22"/>
          <w:szCs w:val="22"/>
          <w:lang w:val="sr-Latn-RS"/>
        </w:rPr>
      </w:pPr>
      <w:r w:rsidRPr="00D72200">
        <w:rPr>
          <w:sz w:val="22"/>
          <w:szCs w:val="22"/>
          <w:lang w:val="sr-Latn-RS"/>
        </w:rPr>
        <w:t>L</w:t>
      </w:r>
      <w:r w:rsidR="009910FA" w:rsidRPr="00D72200">
        <w:rPr>
          <w:sz w:val="22"/>
          <w:szCs w:val="22"/>
          <w:lang w:val="sr-Latn-RS"/>
        </w:rPr>
        <w:t>ij</w:t>
      </w:r>
      <w:r w:rsidRPr="00D72200">
        <w:rPr>
          <w:sz w:val="22"/>
          <w:szCs w:val="22"/>
          <w:lang w:val="sr-Latn-RS"/>
        </w:rPr>
        <w:t xml:space="preserve">ek Rosuhol sadrži </w:t>
      </w:r>
      <w:r w:rsidRPr="004D7C08">
        <w:rPr>
          <w:sz w:val="22"/>
          <w:szCs w:val="22"/>
          <w:lang w:val="sr-Latn-RS"/>
        </w:rPr>
        <w:t>laktozu</w:t>
      </w:r>
      <w:r w:rsidR="00D87E63" w:rsidRPr="004D7C08">
        <w:rPr>
          <w:sz w:val="22"/>
          <w:szCs w:val="22"/>
          <w:lang w:val="sr-Latn-RS"/>
        </w:rPr>
        <w:t>, monohidrat</w:t>
      </w:r>
      <w:r w:rsidR="00D87E63" w:rsidRPr="00D72200">
        <w:rPr>
          <w:sz w:val="22"/>
          <w:szCs w:val="22"/>
          <w:lang w:val="sr-Latn-RS"/>
        </w:rPr>
        <w:t xml:space="preserve">. </w:t>
      </w:r>
      <w:r w:rsidR="00EB3030" w:rsidRPr="00D72200">
        <w:rPr>
          <w:sz w:val="22"/>
          <w:szCs w:val="22"/>
          <w:lang w:val="sr-Latn-RS"/>
        </w:rPr>
        <w:t xml:space="preserve">Pacijenti </w:t>
      </w:r>
      <w:r w:rsidR="00D87E63" w:rsidRPr="00D72200">
        <w:rPr>
          <w:sz w:val="22"/>
          <w:szCs w:val="22"/>
          <w:lang w:val="sr-Latn-RS"/>
        </w:rPr>
        <w:t>sa r</w:t>
      </w:r>
      <w:r w:rsidR="009910FA" w:rsidRPr="00D72200">
        <w:rPr>
          <w:sz w:val="22"/>
          <w:szCs w:val="22"/>
          <w:lang w:val="sr-Latn-RS"/>
        </w:rPr>
        <w:t>ij</w:t>
      </w:r>
      <w:r w:rsidR="00D87E63" w:rsidRPr="00D72200">
        <w:rPr>
          <w:sz w:val="22"/>
          <w:szCs w:val="22"/>
          <w:lang w:val="sr-Latn-RS"/>
        </w:rPr>
        <w:t>etkim nasl</w:t>
      </w:r>
      <w:r w:rsidR="009910FA" w:rsidRPr="00D72200">
        <w:rPr>
          <w:sz w:val="22"/>
          <w:szCs w:val="22"/>
          <w:lang w:val="sr-Latn-RS"/>
        </w:rPr>
        <w:t>j</w:t>
      </w:r>
      <w:r w:rsidR="00D87E63" w:rsidRPr="00D72200">
        <w:rPr>
          <w:sz w:val="22"/>
          <w:szCs w:val="22"/>
          <w:lang w:val="sr-Latn-RS"/>
        </w:rPr>
        <w:t>ednim oboljenje</w:t>
      </w:r>
      <w:r w:rsidR="0011644A" w:rsidRPr="00D72200">
        <w:rPr>
          <w:sz w:val="22"/>
          <w:szCs w:val="22"/>
          <w:lang w:val="sr-Latn-RS"/>
        </w:rPr>
        <w:t xml:space="preserve">m </w:t>
      </w:r>
      <w:r w:rsidR="00EB3030" w:rsidRPr="00D72200">
        <w:rPr>
          <w:sz w:val="22"/>
          <w:szCs w:val="22"/>
          <w:lang w:val="sr-Latn-RS"/>
        </w:rPr>
        <w:t xml:space="preserve">netolerancije na galaktozu, </w:t>
      </w:r>
      <w:r w:rsidR="008548EC" w:rsidRPr="00D72200">
        <w:rPr>
          <w:sz w:val="22"/>
          <w:szCs w:val="22"/>
          <w:lang w:val="sr-Latn-RS"/>
        </w:rPr>
        <w:t xml:space="preserve">nedostatkom </w:t>
      </w:r>
      <w:r w:rsidR="00EB3030" w:rsidRPr="00D72200">
        <w:rPr>
          <w:sz w:val="22"/>
          <w:szCs w:val="22"/>
          <w:lang w:val="sr-Latn-RS"/>
        </w:rPr>
        <w:t xml:space="preserve">Lapp </w:t>
      </w:r>
      <w:r w:rsidR="00770745" w:rsidRPr="00D72200">
        <w:rPr>
          <w:sz w:val="22"/>
          <w:szCs w:val="22"/>
          <w:lang w:val="sr-Latn-RS"/>
        </w:rPr>
        <w:t>laktaze</w:t>
      </w:r>
      <w:r w:rsidR="00EB3030" w:rsidRPr="00D72200">
        <w:rPr>
          <w:sz w:val="22"/>
          <w:szCs w:val="22"/>
          <w:lang w:val="sr-Latn-RS"/>
        </w:rPr>
        <w:t xml:space="preserve"> ili glukozno-galaktozn</w:t>
      </w:r>
      <w:r w:rsidR="00D45A21" w:rsidRPr="00D72200">
        <w:rPr>
          <w:sz w:val="22"/>
          <w:szCs w:val="22"/>
          <w:lang w:val="sr-Latn-RS"/>
        </w:rPr>
        <w:t>om</w:t>
      </w:r>
      <w:r w:rsidR="00EB3030" w:rsidRPr="00D72200">
        <w:rPr>
          <w:sz w:val="22"/>
          <w:szCs w:val="22"/>
          <w:lang w:val="sr-Latn-RS"/>
        </w:rPr>
        <w:t xml:space="preserve"> </w:t>
      </w:r>
      <w:r w:rsidR="00581960" w:rsidRPr="00D72200">
        <w:rPr>
          <w:sz w:val="22"/>
          <w:szCs w:val="22"/>
          <w:lang w:val="sr-Latn-RS"/>
        </w:rPr>
        <w:t>mal</w:t>
      </w:r>
      <w:r w:rsidR="00EB3030" w:rsidRPr="00D72200">
        <w:rPr>
          <w:sz w:val="22"/>
          <w:szCs w:val="22"/>
          <w:lang w:val="sr-Latn-RS"/>
        </w:rPr>
        <w:t>apsorpcij</w:t>
      </w:r>
      <w:r w:rsidR="00D45A21" w:rsidRPr="00D72200">
        <w:rPr>
          <w:sz w:val="22"/>
          <w:szCs w:val="22"/>
          <w:lang w:val="sr-Latn-RS"/>
        </w:rPr>
        <w:t>om</w:t>
      </w:r>
      <w:r w:rsidR="00EB3030" w:rsidRPr="00D72200">
        <w:rPr>
          <w:sz w:val="22"/>
          <w:szCs w:val="22"/>
          <w:lang w:val="sr-Latn-RS"/>
        </w:rPr>
        <w:t xml:space="preserve"> </w:t>
      </w:r>
      <w:r w:rsidR="00EB3030" w:rsidRPr="00D72200">
        <w:rPr>
          <w:color w:val="000000"/>
          <w:sz w:val="22"/>
          <w:szCs w:val="22"/>
          <w:lang w:val="sr-Latn-RS"/>
        </w:rPr>
        <w:t>ne smiju koristiti ovaj lijek.</w:t>
      </w:r>
      <w:r w:rsidR="00EB3030" w:rsidRPr="00D72200">
        <w:rPr>
          <w:sz w:val="22"/>
          <w:szCs w:val="22"/>
          <w:lang w:val="sr-Latn-RS"/>
        </w:rPr>
        <w:t xml:space="preserve"> </w:t>
      </w:r>
    </w:p>
    <w:p w14:paraId="0C5FDF72" w14:textId="77777777" w:rsidR="00EB3030" w:rsidRPr="00D72200" w:rsidRDefault="00EB3030" w:rsidP="00E43D0A">
      <w:pPr>
        <w:pStyle w:val="Header"/>
        <w:tabs>
          <w:tab w:val="left" w:pos="284"/>
          <w:tab w:val="left" w:pos="9270"/>
        </w:tabs>
        <w:ind w:right="36"/>
        <w:jc w:val="both"/>
        <w:rPr>
          <w:sz w:val="22"/>
          <w:szCs w:val="22"/>
          <w:lang w:val="sr-Latn-RS"/>
        </w:rPr>
      </w:pPr>
    </w:p>
    <w:p w14:paraId="550BC9CA" w14:textId="77777777" w:rsidR="00EB3030" w:rsidRPr="00D72200" w:rsidRDefault="00EB3030" w:rsidP="00E43D0A">
      <w:pPr>
        <w:pStyle w:val="Header"/>
        <w:tabs>
          <w:tab w:val="left" w:pos="284"/>
          <w:tab w:val="left" w:pos="9270"/>
        </w:tabs>
        <w:ind w:right="36"/>
        <w:jc w:val="both"/>
        <w:rPr>
          <w:sz w:val="22"/>
          <w:szCs w:val="22"/>
          <w:u w:val="single"/>
          <w:lang w:val="sr-Latn-RS"/>
        </w:rPr>
      </w:pPr>
      <w:r w:rsidRPr="00D72200">
        <w:rPr>
          <w:sz w:val="22"/>
          <w:szCs w:val="22"/>
          <w:u w:val="single"/>
          <w:lang w:val="sr-Latn-RS"/>
        </w:rPr>
        <w:t>Intersticijalna bolest pluća</w:t>
      </w:r>
    </w:p>
    <w:p w14:paraId="40493F1F" w14:textId="51E461C9" w:rsidR="00EB3030" w:rsidRPr="00D72200" w:rsidRDefault="00EB3030" w:rsidP="00E43D0A">
      <w:pPr>
        <w:pStyle w:val="Header"/>
        <w:tabs>
          <w:tab w:val="left" w:pos="284"/>
          <w:tab w:val="left" w:pos="9270"/>
        </w:tabs>
        <w:ind w:right="36"/>
        <w:jc w:val="both"/>
        <w:rPr>
          <w:sz w:val="22"/>
          <w:szCs w:val="22"/>
          <w:lang w:val="sr-Latn-RS"/>
        </w:rPr>
      </w:pPr>
      <w:r w:rsidRPr="00D72200">
        <w:rPr>
          <w:sz w:val="22"/>
          <w:szCs w:val="22"/>
          <w:lang w:val="sr-Latn-RS"/>
        </w:rPr>
        <w:t xml:space="preserve">Prijavljeni su rijetki slučajevi intersticijalne bolesti pluća tokom primjene nekih statina, posebno tokom dugotrajne terapije (vidjeti </w:t>
      </w:r>
      <w:r w:rsidR="001D7015" w:rsidRPr="00D72200">
        <w:rPr>
          <w:sz w:val="22"/>
          <w:szCs w:val="22"/>
          <w:lang w:val="sr-Latn-RS"/>
        </w:rPr>
        <w:t xml:space="preserve">dio </w:t>
      </w:r>
      <w:r w:rsidRPr="00D72200">
        <w:rPr>
          <w:sz w:val="22"/>
          <w:szCs w:val="22"/>
          <w:lang w:val="sr-Latn-RS"/>
        </w:rPr>
        <w:t>4.8), što se manifestuje pojavom dispneje, neproduktivnog kašlja i pogoršanjem opšteg zdravstvenog stanja (umor, gubitak tjelesne mase i groznica</w:t>
      </w:r>
      <w:r w:rsidR="00143D01" w:rsidRPr="00D72200">
        <w:rPr>
          <w:sz w:val="22"/>
          <w:szCs w:val="22"/>
          <w:lang w:val="sr-Latn-RS"/>
        </w:rPr>
        <w:t xml:space="preserve"> (povećanje t</w:t>
      </w:r>
      <w:r w:rsidR="009910FA" w:rsidRPr="00D72200">
        <w:rPr>
          <w:sz w:val="22"/>
          <w:szCs w:val="22"/>
          <w:lang w:val="sr-Latn-RS"/>
        </w:rPr>
        <w:t>j</w:t>
      </w:r>
      <w:r w:rsidR="00143D01" w:rsidRPr="00D72200">
        <w:rPr>
          <w:sz w:val="22"/>
          <w:szCs w:val="22"/>
          <w:lang w:val="sr-Latn-RS"/>
        </w:rPr>
        <w:t>elesne temperature)</w:t>
      </w:r>
      <w:r w:rsidRPr="00D72200">
        <w:rPr>
          <w:sz w:val="22"/>
          <w:szCs w:val="22"/>
          <w:lang w:val="sr-Latn-RS"/>
        </w:rPr>
        <w:t>). Ukoliko postoji sumnja da se kod pacijenta razvila intersticijalna bolest pluća, terapiju statinima treba prekinuti.</w:t>
      </w:r>
    </w:p>
    <w:p w14:paraId="550761F3" w14:textId="77777777" w:rsidR="00EB3030" w:rsidRPr="00D72200" w:rsidRDefault="00EB3030" w:rsidP="00E43D0A">
      <w:pPr>
        <w:pStyle w:val="Header"/>
        <w:tabs>
          <w:tab w:val="left" w:pos="284"/>
          <w:tab w:val="left" w:pos="9270"/>
        </w:tabs>
        <w:ind w:right="36"/>
        <w:jc w:val="both"/>
        <w:rPr>
          <w:sz w:val="22"/>
          <w:szCs w:val="22"/>
          <w:lang w:val="sr-Latn-RS"/>
        </w:rPr>
      </w:pPr>
    </w:p>
    <w:p w14:paraId="17459161" w14:textId="77777777" w:rsidR="00EB3030" w:rsidRPr="00D72200" w:rsidRDefault="00EB3030" w:rsidP="00E43D0A">
      <w:pPr>
        <w:pStyle w:val="Header"/>
        <w:tabs>
          <w:tab w:val="left" w:pos="284"/>
          <w:tab w:val="left" w:pos="9270"/>
        </w:tabs>
        <w:ind w:right="36"/>
        <w:jc w:val="both"/>
        <w:rPr>
          <w:sz w:val="22"/>
          <w:szCs w:val="22"/>
          <w:u w:val="single"/>
        </w:rPr>
      </w:pPr>
      <w:r w:rsidRPr="00D72200">
        <w:rPr>
          <w:sz w:val="22"/>
          <w:szCs w:val="22"/>
          <w:u w:val="single"/>
        </w:rPr>
        <w:t>Dijabetes melitus</w:t>
      </w:r>
    </w:p>
    <w:p w14:paraId="62E6F181" w14:textId="796A0A95" w:rsidR="00EB3030" w:rsidRPr="00D72200" w:rsidRDefault="008E236E" w:rsidP="00E43D0A">
      <w:pPr>
        <w:pStyle w:val="Header"/>
        <w:tabs>
          <w:tab w:val="left" w:pos="9270"/>
        </w:tabs>
        <w:ind w:right="36"/>
        <w:jc w:val="both"/>
        <w:rPr>
          <w:sz w:val="22"/>
          <w:szCs w:val="22"/>
        </w:rPr>
      </w:pPr>
      <w:r w:rsidRPr="00D72200">
        <w:rPr>
          <w:sz w:val="22"/>
          <w:szCs w:val="22"/>
        </w:rPr>
        <w:t>Neki d</w:t>
      </w:r>
      <w:r w:rsidR="00EB3030" w:rsidRPr="00D72200">
        <w:rPr>
          <w:sz w:val="22"/>
          <w:szCs w:val="22"/>
        </w:rPr>
        <w:t xml:space="preserve">okazi ukazuju da statini kao klasa </w:t>
      </w:r>
      <w:r w:rsidR="00BD38EE" w:rsidRPr="00D72200">
        <w:rPr>
          <w:sz w:val="22"/>
          <w:szCs w:val="22"/>
        </w:rPr>
        <w:t xml:space="preserve">mogu </w:t>
      </w:r>
      <w:r w:rsidR="00EB3030" w:rsidRPr="00D72200">
        <w:rPr>
          <w:sz w:val="22"/>
          <w:szCs w:val="22"/>
        </w:rPr>
        <w:t>poveća</w:t>
      </w:r>
      <w:r w:rsidR="00BD38EE" w:rsidRPr="00D72200">
        <w:rPr>
          <w:sz w:val="22"/>
          <w:szCs w:val="22"/>
        </w:rPr>
        <w:t>ti</w:t>
      </w:r>
      <w:r w:rsidR="00EB3030" w:rsidRPr="00D72200">
        <w:rPr>
          <w:sz w:val="22"/>
          <w:szCs w:val="22"/>
        </w:rPr>
        <w:t xml:space="preserve"> nivo glukoze u krvi nekih pacijenata, koji imaju visoki rizik </w:t>
      </w:r>
      <w:r w:rsidR="00F101C5" w:rsidRPr="00D72200">
        <w:rPr>
          <w:sz w:val="22"/>
          <w:szCs w:val="22"/>
        </w:rPr>
        <w:t>za razvoj</w:t>
      </w:r>
      <w:r w:rsidR="00EB3030" w:rsidRPr="00D72200">
        <w:rPr>
          <w:sz w:val="22"/>
          <w:szCs w:val="22"/>
        </w:rPr>
        <w:t xml:space="preserve"> dijabetesa u budućnosti, i mogu dovesti do takvog nivoa hiperglikemije da je potrebna odgovarajuća terapija. Međutim, redukcija vaskularnog rizika prim</w:t>
      </w:r>
      <w:r w:rsidR="00B553D9" w:rsidRPr="00D72200">
        <w:rPr>
          <w:sz w:val="22"/>
          <w:szCs w:val="22"/>
        </w:rPr>
        <w:t>j</w:t>
      </w:r>
      <w:r w:rsidR="00EB3030" w:rsidRPr="00D72200">
        <w:rPr>
          <w:sz w:val="22"/>
          <w:szCs w:val="22"/>
        </w:rPr>
        <w:t xml:space="preserve">enom statina prevazilazi rizik od pojave hiperglikemije i zato ne treba prekidati terapiju statinima. Pacijente sa povećanim rizikom (preprandijalni nivo glukoze u krvi 5,6 </w:t>
      </w:r>
      <w:r w:rsidR="003E1B9A" w:rsidRPr="00D72200">
        <w:rPr>
          <w:sz w:val="22"/>
          <w:szCs w:val="22"/>
        </w:rPr>
        <w:t>do</w:t>
      </w:r>
      <w:r w:rsidR="00EB3030" w:rsidRPr="00D72200">
        <w:rPr>
          <w:sz w:val="22"/>
          <w:szCs w:val="22"/>
        </w:rPr>
        <w:t xml:space="preserve"> 6,9 mmol/</w:t>
      </w:r>
      <w:r w:rsidR="00581960" w:rsidRPr="00D72200">
        <w:rPr>
          <w:sz w:val="22"/>
          <w:szCs w:val="22"/>
        </w:rPr>
        <w:t>l</w:t>
      </w:r>
      <w:r w:rsidR="00EB3030" w:rsidRPr="00D72200">
        <w:rPr>
          <w:sz w:val="22"/>
          <w:szCs w:val="22"/>
        </w:rPr>
        <w:t>, BMI &gt; 30 kg/m</w:t>
      </w:r>
      <w:r w:rsidR="00EB3030" w:rsidRPr="00D72200">
        <w:rPr>
          <w:sz w:val="22"/>
          <w:szCs w:val="22"/>
          <w:vertAlign w:val="superscript"/>
        </w:rPr>
        <w:t>2</w:t>
      </w:r>
      <w:r w:rsidR="00EB3030" w:rsidRPr="00D72200">
        <w:rPr>
          <w:sz w:val="22"/>
          <w:szCs w:val="22"/>
        </w:rPr>
        <w:t>, povišen nivo triglicerida, hipertenzija) treba pratiti klinički i biohemijski prema nacionalnim vodičima.</w:t>
      </w:r>
    </w:p>
    <w:p w14:paraId="50CBD5B4" w14:textId="77777777" w:rsidR="00EB3030" w:rsidRPr="00D72200" w:rsidRDefault="00EB3030" w:rsidP="00E43D0A">
      <w:pPr>
        <w:pStyle w:val="Header"/>
        <w:tabs>
          <w:tab w:val="left" w:pos="9270"/>
        </w:tabs>
        <w:ind w:right="36"/>
        <w:jc w:val="both"/>
        <w:rPr>
          <w:sz w:val="22"/>
          <w:szCs w:val="22"/>
        </w:rPr>
      </w:pPr>
    </w:p>
    <w:p w14:paraId="36D22D30" w14:textId="3C63833A" w:rsidR="00EB3030" w:rsidRPr="00D72200" w:rsidRDefault="00B553D9" w:rsidP="00E43D0A">
      <w:pPr>
        <w:pStyle w:val="Header"/>
        <w:tabs>
          <w:tab w:val="left" w:pos="9270"/>
        </w:tabs>
        <w:ind w:right="36"/>
        <w:jc w:val="both"/>
        <w:rPr>
          <w:sz w:val="22"/>
          <w:szCs w:val="22"/>
        </w:rPr>
      </w:pPr>
      <w:r w:rsidRPr="00D72200">
        <w:rPr>
          <w:sz w:val="22"/>
          <w:szCs w:val="22"/>
        </w:rPr>
        <w:lastRenderedPageBreak/>
        <w:t>U JUPITER studiji, zabi</w:t>
      </w:r>
      <w:r w:rsidR="00EB3030" w:rsidRPr="00D72200">
        <w:rPr>
          <w:sz w:val="22"/>
          <w:szCs w:val="22"/>
        </w:rPr>
        <w:t>l</w:t>
      </w:r>
      <w:r w:rsidRPr="00D72200">
        <w:rPr>
          <w:sz w:val="22"/>
          <w:szCs w:val="22"/>
        </w:rPr>
        <w:t>j</w:t>
      </w:r>
      <w:r w:rsidR="00EB3030" w:rsidRPr="00D72200">
        <w:rPr>
          <w:sz w:val="22"/>
          <w:szCs w:val="22"/>
        </w:rPr>
        <w:t>ežena je ukupna učestalost dijabetes melitusa 2,8% u grupi pacijenata koja je primala rosuvastatin i 2,3% u placebo grupi, uglavnom kod pacijenata sa vr</w:t>
      </w:r>
      <w:r w:rsidRPr="00D72200">
        <w:rPr>
          <w:sz w:val="22"/>
          <w:szCs w:val="22"/>
        </w:rPr>
        <w:t>ij</w:t>
      </w:r>
      <w:r w:rsidR="00EB3030" w:rsidRPr="00D72200">
        <w:rPr>
          <w:sz w:val="22"/>
          <w:szCs w:val="22"/>
        </w:rPr>
        <w:t>ednostima glukoze natašte od 5,6 do 6,9 mmol/</w:t>
      </w:r>
      <w:r w:rsidR="00581960" w:rsidRPr="00D72200">
        <w:rPr>
          <w:sz w:val="22"/>
          <w:szCs w:val="22"/>
        </w:rPr>
        <w:t>l</w:t>
      </w:r>
      <w:r w:rsidR="00EB3030" w:rsidRPr="00D72200">
        <w:rPr>
          <w:sz w:val="22"/>
          <w:szCs w:val="22"/>
        </w:rPr>
        <w:t>.</w:t>
      </w:r>
    </w:p>
    <w:p w14:paraId="381C5943" w14:textId="77777777" w:rsidR="00877B4F" w:rsidRPr="00D72200" w:rsidRDefault="00877B4F" w:rsidP="00E43D0A">
      <w:pPr>
        <w:tabs>
          <w:tab w:val="left" w:pos="540"/>
          <w:tab w:val="left" w:pos="569"/>
        </w:tabs>
        <w:jc w:val="both"/>
        <w:rPr>
          <w:bCs/>
          <w:sz w:val="22"/>
          <w:szCs w:val="22"/>
        </w:rPr>
      </w:pPr>
    </w:p>
    <w:p w14:paraId="32C59B2E" w14:textId="77777777" w:rsidR="00057E35" w:rsidRPr="00D72200" w:rsidRDefault="00057E35" w:rsidP="00E43D0A">
      <w:pPr>
        <w:tabs>
          <w:tab w:val="left" w:pos="540"/>
          <w:tab w:val="left" w:pos="569"/>
        </w:tabs>
        <w:jc w:val="both"/>
        <w:rPr>
          <w:sz w:val="22"/>
          <w:szCs w:val="22"/>
          <w:u w:val="single"/>
        </w:rPr>
      </w:pPr>
      <w:r w:rsidRPr="00D72200">
        <w:rPr>
          <w:sz w:val="22"/>
          <w:szCs w:val="22"/>
          <w:u w:val="single"/>
        </w:rPr>
        <w:t>Pedijatrijska populacija</w:t>
      </w:r>
    </w:p>
    <w:p w14:paraId="61DF126B" w14:textId="2C24B331" w:rsidR="00EB3030" w:rsidRPr="00D72200" w:rsidRDefault="00EB3030" w:rsidP="00E43D0A">
      <w:pPr>
        <w:pStyle w:val="Header"/>
        <w:tabs>
          <w:tab w:val="left" w:pos="284"/>
          <w:tab w:val="left" w:pos="9270"/>
        </w:tabs>
        <w:ind w:right="36"/>
        <w:jc w:val="both"/>
        <w:rPr>
          <w:sz w:val="22"/>
          <w:szCs w:val="22"/>
          <w:u w:val="single"/>
        </w:rPr>
      </w:pPr>
      <w:r w:rsidRPr="00D72200">
        <w:rPr>
          <w:color w:val="000000"/>
          <w:sz w:val="22"/>
          <w:szCs w:val="22"/>
        </w:rPr>
        <w:t>Proc</w:t>
      </w:r>
      <w:r w:rsidR="00B553D9" w:rsidRPr="00D72200">
        <w:rPr>
          <w:color w:val="000000"/>
          <w:sz w:val="22"/>
          <w:szCs w:val="22"/>
        </w:rPr>
        <w:t>j</w:t>
      </w:r>
      <w:r w:rsidRPr="00D72200">
        <w:rPr>
          <w:color w:val="000000"/>
          <w:sz w:val="22"/>
          <w:szCs w:val="22"/>
        </w:rPr>
        <w:t>ena linearnog rasta (visina), t</w:t>
      </w:r>
      <w:r w:rsidR="00B553D9" w:rsidRPr="00D72200">
        <w:rPr>
          <w:color w:val="000000"/>
          <w:sz w:val="22"/>
          <w:szCs w:val="22"/>
        </w:rPr>
        <w:t>j</w:t>
      </w:r>
      <w:r w:rsidRPr="00D72200">
        <w:rPr>
          <w:color w:val="000000"/>
          <w:sz w:val="22"/>
          <w:szCs w:val="22"/>
        </w:rPr>
        <w:t xml:space="preserve">elesne mase, </w:t>
      </w:r>
      <w:r w:rsidRPr="00D72200">
        <w:rPr>
          <w:sz w:val="22"/>
          <w:szCs w:val="22"/>
        </w:rPr>
        <w:t>BMI</w:t>
      </w:r>
      <w:r w:rsidRPr="00D72200">
        <w:rPr>
          <w:color w:val="000000"/>
          <w:sz w:val="22"/>
          <w:szCs w:val="22"/>
        </w:rPr>
        <w:t xml:space="preserve"> (</w:t>
      </w:r>
      <w:r w:rsidR="0068008A" w:rsidRPr="00D72200">
        <w:rPr>
          <w:color w:val="000000"/>
          <w:sz w:val="22"/>
          <w:szCs w:val="22"/>
        </w:rPr>
        <w:t xml:space="preserve">engl. </w:t>
      </w:r>
      <w:r w:rsidR="0068008A" w:rsidRPr="00D72200">
        <w:rPr>
          <w:i/>
          <w:iCs/>
          <w:color w:val="000000"/>
          <w:sz w:val="22"/>
          <w:szCs w:val="22"/>
        </w:rPr>
        <w:t>body mass index</w:t>
      </w:r>
      <w:r w:rsidR="0068008A" w:rsidRPr="00D72200">
        <w:rPr>
          <w:color w:val="000000"/>
          <w:sz w:val="22"/>
          <w:szCs w:val="22"/>
        </w:rPr>
        <w:t xml:space="preserve"> - </w:t>
      </w:r>
      <w:r w:rsidRPr="00D72200">
        <w:rPr>
          <w:color w:val="000000"/>
          <w:sz w:val="22"/>
          <w:szCs w:val="22"/>
        </w:rPr>
        <w:t>indeks t</w:t>
      </w:r>
      <w:r w:rsidR="00B553D9" w:rsidRPr="00D72200">
        <w:rPr>
          <w:color w:val="000000"/>
          <w:sz w:val="22"/>
          <w:szCs w:val="22"/>
        </w:rPr>
        <w:t>j</w:t>
      </w:r>
      <w:r w:rsidRPr="00D72200">
        <w:rPr>
          <w:color w:val="000000"/>
          <w:sz w:val="22"/>
          <w:szCs w:val="22"/>
        </w:rPr>
        <w:t>elesne mase) i sekundarnih karakteristika polne zrelosti po Tanner-</w:t>
      </w:r>
      <w:r w:rsidR="00C84CDF" w:rsidRPr="00D72200">
        <w:rPr>
          <w:color w:val="000000"/>
          <w:sz w:val="22"/>
          <w:szCs w:val="22"/>
        </w:rPr>
        <w:t>ovo</w:t>
      </w:r>
      <w:r w:rsidR="00543170" w:rsidRPr="00D72200">
        <w:rPr>
          <w:color w:val="000000"/>
          <w:sz w:val="22"/>
          <w:szCs w:val="22"/>
        </w:rPr>
        <w:t>j</w:t>
      </w:r>
      <w:r w:rsidR="00C84CDF" w:rsidRPr="00D72200">
        <w:rPr>
          <w:color w:val="000000"/>
          <w:sz w:val="22"/>
          <w:szCs w:val="22"/>
        </w:rPr>
        <w:t xml:space="preserve"> skali</w:t>
      </w:r>
      <w:r w:rsidRPr="00D72200">
        <w:rPr>
          <w:color w:val="000000"/>
          <w:sz w:val="22"/>
          <w:szCs w:val="22"/>
        </w:rPr>
        <w:t xml:space="preserve"> kod pedijatrijskih pacijenata između 6 i 17 godina koji uzimaju rosuvastatin je ograničena na period od dv</w:t>
      </w:r>
      <w:r w:rsidR="00B553D9" w:rsidRPr="00D72200">
        <w:rPr>
          <w:color w:val="000000"/>
          <w:sz w:val="22"/>
          <w:szCs w:val="22"/>
        </w:rPr>
        <w:t>ij</w:t>
      </w:r>
      <w:r w:rsidRPr="00D72200">
        <w:rPr>
          <w:color w:val="000000"/>
          <w:sz w:val="22"/>
          <w:szCs w:val="22"/>
        </w:rPr>
        <w:t>e godine. Nakon 2 godine terapije tokom studije, nije prim</w:t>
      </w:r>
      <w:r w:rsidR="00B553D9" w:rsidRPr="00D72200">
        <w:rPr>
          <w:color w:val="000000"/>
          <w:sz w:val="22"/>
          <w:szCs w:val="22"/>
        </w:rPr>
        <w:t>ij</w:t>
      </w:r>
      <w:r w:rsidRPr="00D72200">
        <w:rPr>
          <w:color w:val="000000"/>
          <w:sz w:val="22"/>
          <w:szCs w:val="22"/>
        </w:rPr>
        <w:t>ećen uticaj na rast, t</w:t>
      </w:r>
      <w:r w:rsidR="00B553D9" w:rsidRPr="00D72200">
        <w:rPr>
          <w:color w:val="000000"/>
          <w:sz w:val="22"/>
          <w:szCs w:val="22"/>
        </w:rPr>
        <w:t>j</w:t>
      </w:r>
      <w:r w:rsidRPr="00D72200">
        <w:rPr>
          <w:color w:val="000000"/>
          <w:sz w:val="22"/>
          <w:szCs w:val="22"/>
        </w:rPr>
        <w:t xml:space="preserve">elesnu masu, </w:t>
      </w:r>
      <w:r w:rsidRPr="00D72200">
        <w:rPr>
          <w:sz w:val="22"/>
          <w:szCs w:val="22"/>
        </w:rPr>
        <w:t>BMI</w:t>
      </w:r>
      <w:r w:rsidRPr="00D72200">
        <w:rPr>
          <w:color w:val="000000"/>
          <w:sz w:val="22"/>
          <w:szCs w:val="22"/>
        </w:rPr>
        <w:t xml:space="preserve"> ili polnu zrelost (vid</w:t>
      </w:r>
      <w:r w:rsidR="00B553D9" w:rsidRPr="00D72200">
        <w:rPr>
          <w:color w:val="000000"/>
          <w:sz w:val="22"/>
          <w:szCs w:val="22"/>
        </w:rPr>
        <w:t>j</w:t>
      </w:r>
      <w:r w:rsidRPr="00D72200">
        <w:rPr>
          <w:color w:val="000000"/>
          <w:sz w:val="22"/>
          <w:szCs w:val="22"/>
        </w:rPr>
        <w:t xml:space="preserve">eti </w:t>
      </w:r>
      <w:r w:rsidR="00D82055" w:rsidRPr="00D72200">
        <w:rPr>
          <w:color w:val="000000"/>
          <w:sz w:val="22"/>
          <w:szCs w:val="22"/>
        </w:rPr>
        <w:t>d</w:t>
      </w:r>
      <w:r w:rsidR="007D3E25" w:rsidRPr="00D72200">
        <w:rPr>
          <w:color w:val="000000"/>
          <w:sz w:val="22"/>
          <w:szCs w:val="22"/>
        </w:rPr>
        <w:t>i</w:t>
      </w:r>
      <w:r w:rsidR="00D82055" w:rsidRPr="00D72200">
        <w:rPr>
          <w:color w:val="000000"/>
          <w:sz w:val="22"/>
          <w:szCs w:val="22"/>
        </w:rPr>
        <w:t xml:space="preserve">o </w:t>
      </w:r>
      <w:r w:rsidRPr="00D72200">
        <w:rPr>
          <w:color w:val="000000"/>
          <w:sz w:val="22"/>
          <w:szCs w:val="22"/>
        </w:rPr>
        <w:t>5.1).</w:t>
      </w:r>
    </w:p>
    <w:p w14:paraId="45D2837D" w14:textId="71878414" w:rsidR="00EB3030" w:rsidRPr="00D72200" w:rsidRDefault="00EB3030" w:rsidP="00E43D0A">
      <w:pPr>
        <w:pStyle w:val="Header"/>
        <w:tabs>
          <w:tab w:val="left" w:pos="284"/>
          <w:tab w:val="left" w:pos="9270"/>
        </w:tabs>
        <w:ind w:right="36"/>
        <w:jc w:val="both"/>
        <w:rPr>
          <w:color w:val="000000"/>
          <w:sz w:val="22"/>
          <w:szCs w:val="22"/>
        </w:rPr>
      </w:pPr>
      <w:r w:rsidRPr="00D72200">
        <w:rPr>
          <w:color w:val="000000"/>
          <w:sz w:val="22"/>
          <w:szCs w:val="22"/>
        </w:rPr>
        <w:t>U kliničkoj studiji u kojoj su d</w:t>
      </w:r>
      <w:r w:rsidR="00B553D9" w:rsidRPr="00D72200">
        <w:rPr>
          <w:color w:val="000000"/>
          <w:sz w:val="22"/>
          <w:szCs w:val="22"/>
        </w:rPr>
        <w:t>j</w:t>
      </w:r>
      <w:r w:rsidRPr="00D72200">
        <w:rPr>
          <w:color w:val="000000"/>
          <w:sz w:val="22"/>
          <w:szCs w:val="22"/>
        </w:rPr>
        <w:t>eca i adolescenti primali rosuvastatin tokom 52 ned</w:t>
      </w:r>
      <w:r w:rsidR="00B553D9" w:rsidRPr="00D72200">
        <w:rPr>
          <w:color w:val="000000"/>
          <w:sz w:val="22"/>
          <w:szCs w:val="22"/>
        </w:rPr>
        <w:t>j</w:t>
      </w:r>
      <w:r w:rsidRPr="00D72200">
        <w:rPr>
          <w:color w:val="000000"/>
          <w:sz w:val="22"/>
          <w:szCs w:val="22"/>
        </w:rPr>
        <w:t>elje, prim</w:t>
      </w:r>
      <w:r w:rsidR="00B553D9" w:rsidRPr="00D72200">
        <w:rPr>
          <w:color w:val="000000"/>
          <w:sz w:val="22"/>
          <w:szCs w:val="22"/>
        </w:rPr>
        <w:t>ij</w:t>
      </w:r>
      <w:r w:rsidRPr="00D72200">
        <w:rPr>
          <w:color w:val="000000"/>
          <w:sz w:val="22"/>
          <w:szCs w:val="22"/>
        </w:rPr>
        <w:t>ećeno je da se češče javljaju povišene vr</w:t>
      </w:r>
      <w:r w:rsidR="00B553D9" w:rsidRPr="00D72200">
        <w:rPr>
          <w:color w:val="000000"/>
          <w:sz w:val="22"/>
          <w:szCs w:val="22"/>
        </w:rPr>
        <w:t>ij</w:t>
      </w:r>
      <w:r w:rsidRPr="00D72200">
        <w:rPr>
          <w:color w:val="000000"/>
          <w:sz w:val="22"/>
          <w:szCs w:val="22"/>
        </w:rPr>
        <w:t>ednosti CK (</w:t>
      </w:r>
      <w:r w:rsidRPr="00D72200">
        <w:rPr>
          <w:sz w:val="22"/>
          <w:szCs w:val="22"/>
        </w:rPr>
        <w:t>više od deset puta od gornje granice normalnih vr</w:t>
      </w:r>
      <w:r w:rsidR="00B553D9" w:rsidRPr="00D72200">
        <w:rPr>
          <w:sz w:val="22"/>
          <w:szCs w:val="22"/>
        </w:rPr>
        <w:t>ij</w:t>
      </w:r>
      <w:r w:rsidRPr="00D72200">
        <w:rPr>
          <w:sz w:val="22"/>
          <w:szCs w:val="22"/>
        </w:rPr>
        <w:t>ednosti</w:t>
      </w:r>
      <w:r w:rsidRPr="00D72200">
        <w:rPr>
          <w:color w:val="000000"/>
          <w:sz w:val="22"/>
          <w:szCs w:val="22"/>
        </w:rPr>
        <w:t>) i simptomi u mišićima nakon v</w:t>
      </w:r>
      <w:r w:rsidR="00B553D9" w:rsidRPr="00D72200">
        <w:rPr>
          <w:color w:val="000000"/>
          <w:sz w:val="22"/>
          <w:szCs w:val="22"/>
        </w:rPr>
        <w:t>j</w:t>
      </w:r>
      <w:r w:rsidRPr="00D72200">
        <w:rPr>
          <w:color w:val="000000"/>
          <w:sz w:val="22"/>
          <w:szCs w:val="22"/>
        </w:rPr>
        <w:t>ežbanja ili pojačane fizičke aktivnosti u poređenju sa rezultatima kliničkih studija kod odraslih (vid</w:t>
      </w:r>
      <w:r w:rsidR="00B553D9" w:rsidRPr="00D72200">
        <w:rPr>
          <w:color w:val="000000"/>
          <w:sz w:val="22"/>
          <w:szCs w:val="22"/>
        </w:rPr>
        <w:t>j</w:t>
      </w:r>
      <w:r w:rsidRPr="00D72200">
        <w:rPr>
          <w:color w:val="000000"/>
          <w:sz w:val="22"/>
          <w:szCs w:val="22"/>
        </w:rPr>
        <w:t xml:space="preserve">eti </w:t>
      </w:r>
      <w:r w:rsidR="00D82055" w:rsidRPr="00D72200">
        <w:rPr>
          <w:color w:val="000000"/>
          <w:sz w:val="22"/>
          <w:szCs w:val="22"/>
        </w:rPr>
        <w:t>d</w:t>
      </w:r>
      <w:r w:rsidR="007D3E25" w:rsidRPr="00D72200">
        <w:rPr>
          <w:color w:val="000000"/>
          <w:sz w:val="22"/>
          <w:szCs w:val="22"/>
        </w:rPr>
        <w:t>i</w:t>
      </w:r>
      <w:r w:rsidR="00D82055" w:rsidRPr="00D72200">
        <w:rPr>
          <w:color w:val="000000"/>
          <w:sz w:val="22"/>
          <w:szCs w:val="22"/>
        </w:rPr>
        <w:t xml:space="preserve">o </w:t>
      </w:r>
      <w:r w:rsidRPr="00D72200">
        <w:rPr>
          <w:color w:val="000000"/>
          <w:sz w:val="22"/>
          <w:szCs w:val="22"/>
        </w:rPr>
        <w:t>4.8).</w:t>
      </w:r>
    </w:p>
    <w:p w14:paraId="20ADD646" w14:textId="0F26B1FF" w:rsidR="00143D01" w:rsidRPr="00D72200" w:rsidRDefault="00143D01" w:rsidP="00E43D0A">
      <w:pPr>
        <w:pStyle w:val="Header"/>
        <w:tabs>
          <w:tab w:val="left" w:pos="284"/>
          <w:tab w:val="left" w:pos="9270"/>
        </w:tabs>
        <w:ind w:right="36"/>
        <w:jc w:val="both"/>
        <w:rPr>
          <w:color w:val="000000"/>
          <w:sz w:val="22"/>
          <w:szCs w:val="22"/>
        </w:rPr>
      </w:pPr>
    </w:p>
    <w:p w14:paraId="380B2C7A" w14:textId="77777777" w:rsidR="00057E35" w:rsidRPr="00D72200" w:rsidRDefault="00057E35" w:rsidP="00E43D0A">
      <w:pPr>
        <w:tabs>
          <w:tab w:val="left" w:pos="540"/>
          <w:tab w:val="left" w:pos="569"/>
        </w:tabs>
        <w:jc w:val="both"/>
        <w:rPr>
          <w:bCs/>
          <w:sz w:val="22"/>
          <w:szCs w:val="22"/>
        </w:rPr>
      </w:pPr>
    </w:p>
    <w:p w14:paraId="24D8C8CC" w14:textId="6223CCA0" w:rsidR="00411B4B" w:rsidRPr="00D72200" w:rsidRDefault="00411B4B" w:rsidP="00E43D0A">
      <w:pPr>
        <w:tabs>
          <w:tab w:val="left" w:pos="540"/>
          <w:tab w:val="left" w:pos="569"/>
        </w:tabs>
        <w:jc w:val="both"/>
        <w:rPr>
          <w:b/>
          <w:bCs/>
          <w:sz w:val="22"/>
          <w:szCs w:val="22"/>
        </w:rPr>
      </w:pPr>
      <w:r w:rsidRPr="00D72200">
        <w:rPr>
          <w:b/>
          <w:bCs/>
          <w:sz w:val="22"/>
          <w:szCs w:val="22"/>
        </w:rPr>
        <w:t>4.5.</w:t>
      </w:r>
      <w:r w:rsidR="003F17FF">
        <w:rPr>
          <w:b/>
          <w:bCs/>
          <w:sz w:val="22"/>
          <w:szCs w:val="22"/>
        </w:rPr>
        <w:t xml:space="preserve"> </w:t>
      </w:r>
      <w:r w:rsidRPr="00D72200">
        <w:rPr>
          <w:b/>
          <w:bCs/>
          <w:sz w:val="22"/>
          <w:szCs w:val="22"/>
        </w:rPr>
        <w:t>Interakcije sa drugim ljekovima i druge vrste interakcija</w:t>
      </w:r>
    </w:p>
    <w:p w14:paraId="2B9C0976" w14:textId="77777777" w:rsidR="0072020E" w:rsidRPr="00D72200" w:rsidRDefault="0072020E" w:rsidP="00E43D0A">
      <w:pPr>
        <w:tabs>
          <w:tab w:val="left" w:pos="540"/>
          <w:tab w:val="left" w:pos="569"/>
        </w:tabs>
        <w:jc w:val="both"/>
        <w:rPr>
          <w:bCs/>
          <w:sz w:val="22"/>
          <w:szCs w:val="22"/>
        </w:rPr>
      </w:pPr>
    </w:p>
    <w:p w14:paraId="1C23B50F" w14:textId="2FBFE123" w:rsidR="00EB3030" w:rsidRPr="00D72200" w:rsidRDefault="00EB3030" w:rsidP="00E43D0A">
      <w:pPr>
        <w:jc w:val="both"/>
        <w:rPr>
          <w:b/>
          <w:sz w:val="22"/>
          <w:szCs w:val="22"/>
          <w:u w:val="single"/>
        </w:rPr>
      </w:pPr>
      <w:r w:rsidRPr="00D72200">
        <w:rPr>
          <w:b/>
          <w:sz w:val="22"/>
          <w:szCs w:val="22"/>
          <w:u w:val="single"/>
        </w:rPr>
        <w:t>Efekti istovremeno prim</w:t>
      </w:r>
      <w:r w:rsidR="00B553D9" w:rsidRPr="00D72200">
        <w:rPr>
          <w:b/>
          <w:sz w:val="22"/>
          <w:szCs w:val="22"/>
          <w:u w:val="single"/>
        </w:rPr>
        <w:t>ij</w:t>
      </w:r>
      <w:r w:rsidRPr="00D72200">
        <w:rPr>
          <w:b/>
          <w:sz w:val="22"/>
          <w:szCs w:val="22"/>
          <w:u w:val="single"/>
        </w:rPr>
        <w:t>enjenih l</w:t>
      </w:r>
      <w:r w:rsidR="00B553D9" w:rsidRPr="00D72200">
        <w:rPr>
          <w:b/>
          <w:sz w:val="22"/>
          <w:szCs w:val="22"/>
          <w:u w:val="single"/>
        </w:rPr>
        <w:t>j</w:t>
      </w:r>
      <w:r w:rsidRPr="00D72200">
        <w:rPr>
          <w:b/>
          <w:sz w:val="22"/>
          <w:szCs w:val="22"/>
          <w:u w:val="single"/>
        </w:rPr>
        <w:t>ekova na rosuvastatin</w:t>
      </w:r>
    </w:p>
    <w:p w14:paraId="20E5B4FA" w14:textId="77777777" w:rsidR="00EB3030" w:rsidRPr="00D72200" w:rsidRDefault="00EB3030" w:rsidP="00E43D0A">
      <w:pPr>
        <w:jc w:val="both"/>
        <w:rPr>
          <w:b/>
          <w:sz w:val="22"/>
          <w:szCs w:val="22"/>
          <w:u w:val="single"/>
        </w:rPr>
      </w:pPr>
    </w:p>
    <w:p w14:paraId="275C9AF6" w14:textId="2BAEAB92" w:rsidR="00EB3030" w:rsidRPr="00D72200" w:rsidRDefault="00EB3030" w:rsidP="00E43D0A">
      <w:pPr>
        <w:jc w:val="both"/>
        <w:rPr>
          <w:sz w:val="22"/>
          <w:szCs w:val="22"/>
        </w:rPr>
      </w:pPr>
      <w:r w:rsidRPr="00D72200">
        <w:rPr>
          <w:b/>
          <w:sz w:val="22"/>
          <w:szCs w:val="22"/>
        </w:rPr>
        <w:t>Inhibitori transportnih proteina</w:t>
      </w:r>
      <w:r w:rsidRPr="00D72200">
        <w:rPr>
          <w:sz w:val="22"/>
          <w:szCs w:val="22"/>
        </w:rPr>
        <w:t>: Rosuvastatin je supstrat određenih transportnih proteina uključujući i transportni protein za hepatičko preuzimanje OATP1B1 i efluksni transportni protein BCRP. Istovremena prim</w:t>
      </w:r>
      <w:r w:rsidR="00B553D9" w:rsidRPr="00D72200">
        <w:rPr>
          <w:sz w:val="22"/>
          <w:szCs w:val="22"/>
        </w:rPr>
        <w:t>j</w:t>
      </w:r>
      <w:r w:rsidRPr="00D72200">
        <w:rPr>
          <w:sz w:val="22"/>
          <w:szCs w:val="22"/>
        </w:rPr>
        <w:t>ena rosuvastatina sa l</w:t>
      </w:r>
      <w:r w:rsidR="00B553D9" w:rsidRPr="00D72200">
        <w:rPr>
          <w:sz w:val="22"/>
          <w:szCs w:val="22"/>
        </w:rPr>
        <w:t>j</w:t>
      </w:r>
      <w:r w:rsidRPr="00D72200">
        <w:rPr>
          <w:sz w:val="22"/>
          <w:szCs w:val="22"/>
        </w:rPr>
        <w:t>ekovima koji d</w:t>
      </w:r>
      <w:r w:rsidR="00B553D9" w:rsidRPr="00D72200">
        <w:rPr>
          <w:sz w:val="22"/>
          <w:szCs w:val="22"/>
        </w:rPr>
        <w:t>j</w:t>
      </w:r>
      <w:r w:rsidRPr="00D72200">
        <w:rPr>
          <w:sz w:val="22"/>
          <w:szCs w:val="22"/>
        </w:rPr>
        <w:t>eluju kao inhibitori ovih transportnih proteina može dovesti do povećanja koncentracija rosuvastatina u plazmi i povećanja rizika od miopatije (vid</w:t>
      </w:r>
      <w:r w:rsidR="00B553D9" w:rsidRPr="00D72200">
        <w:rPr>
          <w:sz w:val="22"/>
          <w:szCs w:val="22"/>
        </w:rPr>
        <w:t>j</w:t>
      </w:r>
      <w:r w:rsidRPr="00D72200">
        <w:rPr>
          <w:sz w:val="22"/>
          <w:szCs w:val="22"/>
        </w:rPr>
        <w:t xml:space="preserve">eti </w:t>
      </w:r>
      <w:r w:rsidR="00D82055" w:rsidRPr="00D72200">
        <w:rPr>
          <w:sz w:val="22"/>
          <w:szCs w:val="22"/>
        </w:rPr>
        <w:t>d</w:t>
      </w:r>
      <w:r w:rsidR="007D3E25" w:rsidRPr="00D72200">
        <w:rPr>
          <w:sz w:val="22"/>
          <w:szCs w:val="22"/>
        </w:rPr>
        <w:t>j</w:t>
      </w:r>
      <w:r w:rsidR="00D82055" w:rsidRPr="00D72200">
        <w:rPr>
          <w:sz w:val="22"/>
          <w:szCs w:val="22"/>
        </w:rPr>
        <w:t xml:space="preserve">elove </w:t>
      </w:r>
      <w:r w:rsidRPr="00D72200">
        <w:rPr>
          <w:sz w:val="22"/>
          <w:szCs w:val="22"/>
        </w:rPr>
        <w:t>4.2, 4.4 i 4.5 - Tabelu 1).</w:t>
      </w:r>
    </w:p>
    <w:p w14:paraId="26B1956D" w14:textId="77777777" w:rsidR="00EB3030" w:rsidRPr="00D72200" w:rsidRDefault="00EB3030" w:rsidP="00E43D0A">
      <w:pPr>
        <w:tabs>
          <w:tab w:val="left" w:pos="540"/>
          <w:tab w:val="left" w:pos="569"/>
        </w:tabs>
        <w:jc w:val="both"/>
        <w:rPr>
          <w:bCs/>
          <w:sz w:val="22"/>
          <w:szCs w:val="22"/>
        </w:rPr>
      </w:pPr>
    </w:p>
    <w:p w14:paraId="05BE4A12" w14:textId="6FBDD8DB" w:rsidR="00D0429D" w:rsidRPr="00D72200" w:rsidRDefault="00D0429D" w:rsidP="00E43D0A">
      <w:pPr>
        <w:jc w:val="both"/>
        <w:rPr>
          <w:sz w:val="22"/>
          <w:szCs w:val="22"/>
        </w:rPr>
      </w:pPr>
      <w:r w:rsidRPr="00D72200">
        <w:rPr>
          <w:i/>
          <w:sz w:val="22"/>
          <w:szCs w:val="22"/>
        </w:rPr>
        <w:t>Ciklosporin:</w:t>
      </w:r>
      <w:r w:rsidRPr="00D72200">
        <w:rPr>
          <w:sz w:val="22"/>
          <w:szCs w:val="22"/>
        </w:rPr>
        <w:t xml:space="preserve"> Tokom istovremene prim</w:t>
      </w:r>
      <w:r w:rsidR="00B553D9" w:rsidRPr="00D72200">
        <w:rPr>
          <w:sz w:val="22"/>
          <w:szCs w:val="22"/>
        </w:rPr>
        <w:t>j</w:t>
      </w:r>
      <w:r w:rsidRPr="00D72200">
        <w:rPr>
          <w:sz w:val="22"/>
          <w:szCs w:val="22"/>
        </w:rPr>
        <w:t>ene rosuvastaina i ciklosporina, prim</w:t>
      </w:r>
      <w:r w:rsidR="00B553D9" w:rsidRPr="00D72200">
        <w:rPr>
          <w:sz w:val="22"/>
          <w:szCs w:val="22"/>
        </w:rPr>
        <w:t>ij</w:t>
      </w:r>
      <w:r w:rsidRPr="00D72200">
        <w:rPr>
          <w:sz w:val="22"/>
          <w:szCs w:val="22"/>
        </w:rPr>
        <w:t>ećeno je da su PIK vr</w:t>
      </w:r>
      <w:r w:rsidR="00B553D9" w:rsidRPr="00D72200">
        <w:rPr>
          <w:sz w:val="22"/>
          <w:szCs w:val="22"/>
        </w:rPr>
        <w:t>ij</w:t>
      </w:r>
      <w:r w:rsidRPr="00D72200">
        <w:rPr>
          <w:sz w:val="22"/>
          <w:szCs w:val="22"/>
        </w:rPr>
        <w:t>ednosti rosuvastatina u pros</w:t>
      </w:r>
      <w:r w:rsidR="00B553D9" w:rsidRPr="00D72200">
        <w:rPr>
          <w:sz w:val="22"/>
          <w:szCs w:val="22"/>
        </w:rPr>
        <w:t>j</w:t>
      </w:r>
      <w:r w:rsidRPr="00D72200">
        <w:rPr>
          <w:sz w:val="22"/>
          <w:szCs w:val="22"/>
        </w:rPr>
        <w:t>eku 7 puta veće nego kod zdravih dobrovoljaca (vid</w:t>
      </w:r>
      <w:r w:rsidR="00B553D9" w:rsidRPr="00D72200">
        <w:rPr>
          <w:sz w:val="22"/>
          <w:szCs w:val="22"/>
        </w:rPr>
        <w:t>j</w:t>
      </w:r>
      <w:r w:rsidRPr="00D72200">
        <w:rPr>
          <w:sz w:val="22"/>
          <w:szCs w:val="22"/>
        </w:rPr>
        <w:t>eti Tabelu 1). Prim</w:t>
      </w:r>
      <w:r w:rsidR="00B553D9" w:rsidRPr="00D72200">
        <w:rPr>
          <w:sz w:val="22"/>
          <w:szCs w:val="22"/>
        </w:rPr>
        <w:t>j</w:t>
      </w:r>
      <w:r w:rsidRPr="00D72200">
        <w:rPr>
          <w:sz w:val="22"/>
          <w:szCs w:val="22"/>
        </w:rPr>
        <w:t>ena rosuvastatina je kontraindikovana kod pacijenata na istovremenoj terapiji ciklosporinom (vid</w:t>
      </w:r>
      <w:r w:rsidR="00990378" w:rsidRPr="00D72200">
        <w:rPr>
          <w:sz w:val="22"/>
          <w:szCs w:val="22"/>
        </w:rPr>
        <w:t>j</w:t>
      </w:r>
      <w:r w:rsidRPr="00D72200">
        <w:rPr>
          <w:sz w:val="22"/>
          <w:szCs w:val="22"/>
        </w:rPr>
        <w:t xml:space="preserve">eti </w:t>
      </w:r>
      <w:r w:rsidR="00D82055" w:rsidRPr="00D72200">
        <w:rPr>
          <w:sz w:val="22"/>
          <w:szCs w:val="22"/>
        </w:rPr>
        <w:t>d</w:t>
      </w:r>
      <w:r w:rsidR="007D3E25" w:rsidRPr="00D72200">
        <w:rPr>
          <w:sz w:val="22"/>
          <w:szCs w:val="22"/>
        </w:rPr>
        <w:t>j</w:t>
      </w:r>
      <w:r w:rsidR="00D82055" w:rsidRPr="00D72200">
        <w:rPr>
          <w:sz w:val="22"/>
          <w:szCs w:val="22"/>
        </w:rPr>
        <w:t xml:space="preserve">elove </w:t>
      </w:r>
      <w:r w:rsidRPr="00D72200">
        <w:rPr>
          <w:sz w:val="22"/>
          <w:szCs w:val="22"/>
        </w:rPr>
        <w:t>4.3).</w:t>
      </w:r>
    </w:p>
    <w:p w14:paraId="702C5559" w14:textId="798557B8" w:rsidR="00D0429D" w:rsidRPr="00D72200" w:rsidRDefault="00D0429D" w:rsidP="00E43D0A">
      <w:pPr>
        <w:jc w:val="both"/>
        <w:rPr>
          <w:sz w:val="22"/>
          <w:szCs w:val="22"/>
        </w:rPr>
      </w:pPr>
      <w:r w:rsidRPr="00D72200">
        <w:rPr>
          <w:sz w:val="22"/>
          <w:szCs w:val="22"/>
        </w:rPr>
        <w:t>Istovremena prim</w:t>
      </w:r>
      <w:r w:rsidR="00990378" w:rsidRPr="00D72200">
        <w:rPr>
          <w:sz w:val="22"/>
          <w:szCs w:val="22"/>
        </w:rPr>
        <w:t>j</w:t>
      </w:r>
      <w:r w:rsidRPr="00D72200">
        <w:rPr>
          <w:sz w:val="22"/>
          <w:szCs w:val="22"/>
        </w:rPr>
        <w:t>ena nije uticala na koncentracije ciklosporina u plazmi.</w:t>
      </w:r>
    </w:p>
    <w:p w14:paraId="6FD33C1A" w14:textId="77777777" w:rsidR="00D0429D" w:rsidRPr="00D72200" w:rsidRDefault="00D0429D" w:rsidP="00E43D0A">
      <w:pPr>
        <w:jc w:val="both"/>
        <w:rPr>
          <w:bCs/>
          <w:sz w:val="22"/>
          <w:szCs w:val="22"/>
        </w:rPr>
      </w:pPr>
    </w:p>
    <w:p w14:paraId="15B5AC8E" w14:textId="3841AA86" w:rsidR="00D0429D" w:rsidRPr="00D72200" w:rsidRDefault="00D0429D" w:rsidP="00E43D0A">
      <w:pPr>
        <w:jc w:val="both"/>
        <w:rPr>
          <w:bCs/>
          <w:sz w:val="22"/>
          <w:szCs w:val="22"/>
        </w:rPr>
      </w:pPr>
      <w:r w:rsidRPr="00D72200">
        <w:rPr>
          <w:bCs/>
          <w:i/>
          <w:sz w:val="22"/>
          <w:szCs w:val="22"/>
        </w:rPr>
        <w:t>Inhibitori proteaze:</w:t>
      </w:r>
      <w:r w:rsidRPr="00D72200">
        <w:rPr>
          <w:b/>
          <w:bCs/>
          <w:sz w:val="22"/>
          <w:szCs w:val="22"/>
        </w:rPr>
        <w:t xml:space="preserve"> </w:t>
      </w:r>
      <w:r w:rsidRPr="00D72200">
        <w:rPr>
          <w:bCs/>
          <w:sz w:val="22"/>
          <w:szCs w:val="22"/>
        </w:rPr>
        <w:t>Iako nije poznat tačan mehanizam interakcije, istovremena prim</w:t>
      </w:r>
      <w:r w:rsidR="00990378" w:rsidRPr="00D72200">
        <w:rPr>
          <w:bCs/>
          <w:sz w:val="22"/>
          <w:szCs w:val="22"/>
        </w:rPr>
        <w:t>j</w:t>
      </w:r>
      <w:r w:rsidRPr="00D72200">
        <w:rPr>
          <w:bCs/>
          <w:sz w:val="22"/>
          <w:szCs w:val="22"/>
        </w:rPr>
        <w:t xml:space="preserve">ena sa inhibitorima proteaze može značajno da poveća izloženost rosuvastatinu </w:t>
      </w:r>
      <w:r w:rsidRPr="00D72200">
        <w:rPr>
          <w:sz w:val="22"/>
          <w:szCs w:val="22"/>
        </w:rPr>
        <w:t>(vid</w:t>
      </w:r>
      <w:r w:rsidR="00581960" w:rsidRPr="00D72200">
        <w:rPr>
          <w:sz w:val="22"/>
          <w:szCs w:val="22"/>
        </w:rPr>
        <w:t>j</w:t>
      </w:r>
      <w:r w:rsidRPr="00D72200">
        <w:rPr>
          <w:sz w:val="22"/>
          <w:szCs w:val="22"/>
        </w:rPr>
        <w:t>eti Tabelu 1)</w:t>
      </w:r>
      <w:r w:rsidRPr="00D72200">
        <w:rPr>
          <w:bCs/>
          <w:sz w:val="22"/>
          <w:szCs w:val="22"/>
        </w:rPr>
        <w:t>. Na prim</w:t>
      </w:r>
      <w:r w:rsidR="00990378" w:rsidRPr="00D72200">
        <w:rPr>
          <w:bCs/>
          <w:sz w:val="22"/>
          <w:szCs w:val="22"/>
        </w:rPr>
        <w:t>j</w:t>
      </w:r>
      <w:r w:rsidRPr="00D72200">
        <w:rPr>
          <w:bCs/>
          <w:sz w:val="22"/>
          <w:szCs w:val="22"/>
        </w:rPr>
        <w:t>er, u jednoj farmakokinetičkoj studiji, istovremena prim</w:t>
      </w:r>
      <w:r w:rsidR="00990378" w:rsidRPr="00D72200">
        <w:rPr>
          <w:bCs/>
          <w:sz w:val="22"/>
          <w:szCs w:val="22"/>
        </w:rPr>
        <w:t>j</w:t>
      </w:r>
      <w:r w:rsidRPr="00D72200">
        <w:rPr>
          <w:bCs/>
          <w:sz w:val="22"/>
          <w:szCs w:val="22"/>
        </w:rPr>
        <w:t>ena 10 mg rosuvastatina i preparata koji sadrži kombinaciju dva inhibitora proteaze (300 mg atazanavir/100 mg ritonavir) kod zdravih dobrovoljaca, je dovedena u vezu sa približno trostrukim povećanjem vr</w:t>
      </w:r>
      <w:r w:rsidR="00990378" w:rsidRPr="00D72200">
        <w:rPr>
          <w:bCs/>
          <w:sz w:val="22"/>
          <w:szCs w:val="22"/>
        </w:rPr>
        <w:t>ij</w:t>
      </w:r>
      <w:r w:rsidRPr="00D72200">
        <w:rPr>
          <w:bCs/>
          <w:sz w:val="22"/>
          <w:szCs w:val="22"/>
        </w:rPr>
        <w:t>ednosti PIK</w:t>
      </w:r>
      <w:r w:rsidRPr="00D72200">
        <w:rPr>
          <w:bCs/>
          <w:sz w:val="22"/>
          <w:szCs w:val="22"/>
          <w:vertAlign w:val="subscript"/>
        </w:rPr>
        <w:t xml:space="preserve"> </w:t>
      </w:r>
      <w:r w:rsidRPr="00D72200">
        <w:rPr>
          <w:bCs/>
          <w:sz w:val="22"/>
          <w:szCs w:val="22"/>
        </w:rPr>
        <w:t>i sedmostrukim povećanjem vr</w:t>
      </w:r>
      <w:r w:rsidR="00990378" w:rsidRPr="00D72200">
        <w:rPr>
          <w:bCs/>
          <w:sz w:val="22"/>
          <w:szCs w:val="22"/>
        </w:rPr>
        <w:t>ij</w:t>
      </w:r>
      <w:r w:rsidRPr="00D72200">
        <w:rPr>
          <w:bCs/>
          <w:sz w:val="22"/>
          <w:szCs w:val="22"/>
        </w:rPr>
        <w:t>ednosti C</w:t>
      </w:r>
      <w:r w:rsidRPr="00D72200">
        <w:rPr>
          <w:bCs/>
          <w:sz w:val="22"/>
          <w:szCs w:val="22"/>
          <w:vertAlign w:val="subscript"/>
        </w:rPr>
        <w:t>max</w:t>
      </w:r>
      <w:r w:rsidRPr="00D72200">
        <w:rPr>
          <w:bCs/>
          <w:sz w:val="22"/>
          <w:szCs w:val="22"/>
        </w:rPr>
        <w:t xml:space="preserve"> rosuvastatina u stanju ravnoteže.</w:t>
      </w:r>
      <w:r w:rsidRPr="00D72200">
        <w:rPr>
          <w:sz w:val="22"/>
          <w:szCs w:val="22"/>
        </w:rPr>
        <w:t xml:space="preserve"> </w:t>
      </w:r>
      <w:r w:rsidRPr="00D72200">
        <w:rPr>
          <w:bCs/>
          <w:sz w:val="22"/>
          <w:szCs w:val="22"/>
        </w:rPr>
        <w:t>Prema tome, istovremena prim</w:t>
      </w:r>
      <w:r w:rsidR="00990378" w:rsidRPr="00D72200">
        <w:rPr>
          <w:bCs/>
          <w:sz w:val="22"/>
          <w:szCs w:val="22"/>
        </w:rPr>
        <w:t>j</w:t>
      </w:r>
      <w:r w:rsidRPr="00D72200">
        <w:rPr>
          <w:bCs/>
          <w:sz w:val="22"/>
          <w:szCs w:val="22"/>
        </w:rPr>
        <w:t>ena rosuvastatina i određenih kombinacija inhibitora proteaze, može se razmotriti samo posl</w:t>
      </w:r>
      <w:r w:rsidR="00990378" w:rsidRPr="00D72200">
        <w:rPr>
          <w:bCs/>
          <w:sz w:val="22"/>
          <w:szCs w:val="22"/>
        </w:rPr>
        <w:t>ij</w:t>
      </w:r>
      <w:r w:rsidRPr="00D72200">
        <w:rPr>
          <w:bCs/>
          <w:sz w:val="22"/>
          <w:szCs w:val="22"/>
        </w:rPr>
        <w:t>e pažljivog podešavanja doze rosuvastatina na osnovu očekivanog povećanja izloženosti rosuvastatinu (vid</w:t>
      </w:r>
      <w:r w:rsidR="00990378" w:rsidRPr="00D72200">
        <w:rPr>
          <w:bCs/>
          <w:sz w:val="22"/>
          <w:szCs w:val="22"/>
        </w:rPr>
        <w:t>j</w:t>
      </w:r>
      <w:r w:rsidRPr="00D72200">
        <w:rPr>
          <w:bCs/>
          <w:sz w:val="22"/>
          <w:szCs w:val="22"/>
        </w:rPr>
        <w:t xml:space="preserve">eti </w:t>
      </w:r>
      <w:r w:rsidR="00D82055" w:rsidRPr="00D72200">
        <w:rPr>
          <w:bCs/>
          <w:sz w:val="22"/>
          <w:szCs w:val="22"/>
        </w:rPr>
        <w:t>d</w:t>
      </w:r>
      <w:r w:rsidR="007D3E25" w:rsidRPr="00D72200">
        <w:rPr>
          <w:bCs/>
          <w:sz w:val="22"/>
          <w:szCs w:val="22"/>
        </w:rPr>
        <w:t>j</w:t>
      </w:r>
      <w:r w:rsidR="00D82055" w:rsidRPr="00D72200">
        <w:rPr>
          <w:bCs/>
          <w:sz w:val="22"/>
          <w:szCs w:val="22"/>
        </w:rPr>
        <w:t xml:space="preserve">elove </w:t>
      </w:r>
      <w:r w:rsidRPr="00D72200">
        <w:rPr>
          <w:bCs/>
          <w:sz w:val="22"/>
          <w:szCs w:val="22"/>
        </w:rPr>
        <w:t>4.2, 4.4 i 4.5 - Tabelu 1).</w:t>
      </w:r>
    </w:p>
    <w:p w14:paraId="75A987D8" w14:textId="77777777" w:rsidR="00D0429D" w:rsidRPr="00D72200" w:rsidRDefault="00D0429D" w:rsidP="00E43D0A">
      <w:pPr>
        <w:jc w:val="both"/>
        <w:rPr>
          <w:bCs/>
          <w:sz w:val="22"/>
          <w:szCs w:val="22"/>
        </w:rPr>
      </w:pPr>
    </w:p>
    <w:p w14:paraId="03CD5585" w14:textId="01559BDF" w:rsidR="00D0429D" w:rsidRPr="00D72200" w:rsidRDefault="00D0429D" w:rsidP="00E43D0A">
      <w:pPr>
        <w:jc w:val="both"/>
        <w:rPr>
          <w:bCs/>
          <w:sz w:val="22"/>
          <w:szCs w:val="22"/>
        </w:rPr>
      </w:pPr>
      <w:r w:rsidRPr="00D72200">
        <w:rPr>
          <w:b/>
          <w:bCs/>
          <w:sz w:val="22"/>
          <w:szCs w:val="22"/>
        </w:rPr>
        <w:t>Gemfibrozil i ostali proizvodi za smanjenje vr</w:t>
      </w:r>
      <w:r w:rsidR="00990378" w:rsidRPr="00D72200">
        <w:rPr>
          <w:b/>
          <w:bCs/>
          <w:sz w:val="22"/>
          <w:szCs w:val="22"/>
        </w:rPr>
        <w:t>ij</w:t>
      </w:r>
      <w:r w:rsidRPr="00D72200">
        <w:rPr>
          <w:b/>
          <w:bCs/>
          <w:sz w:val="22"/>
          <w:szCs w:val="22"/>
        </w:rPr>
        <w:t xml:space="preserve">ednosti lipida: </w:t>
      </w:r>
      <w:r w:rsidRPr="00D72200">
        <w:rPr>
          <w:bCs/>
          <w:sz w:val="22"/>
          <w:szCs w:val="22"/>
        </w:rPr>
        <w:t>Istovremena prim</w:t>
      </w:r>
      <w:r w:rsidR="00990378" w:rsidRPr="00D72200">
        <w:rPr>
          <w:bCs/>
          <w:sz w:val="22"/>
          <w:szCs w:val="22"/>
        </w:rPr>
        <w:t>j</w:t>
      </w:r>
      <w:r w:rsidRPr="00D72200">
        <w:rPr>
          <w:bCs/>
          <w:sz w:val="22"/>
          <w:szCs w:val="22"/>
        </w:rPr>
        <w:t>ena rosuvastatina i gemfibrozila dovodi do dvostrukog porasta PIK i C</w:t>
      </w:r>
      <w:r w:rsidRPr="00D72200">
        <w:rPr>
          <w:bCs/>
          <w:sz w:val="22"/>
          <w:szCs w:val="22"/>
          <w:vertAlign w:val="subscript"/>
        </w:rPr>
        <w:t>max</w:t>
      </w:r>
      <w:r w:rsidRPr="00D72200">
        <w:rPr>
          <w:bCs/>
          <w:sz w:val="22"/>
          <w:szCs w:val="22"/>
        </w:rPr>
        <w:t xml:space="preserve"> vr</w:t>
      </w:r>
      <w:r w:rsidR="00990378" w:rsidRPr="00D72200">
        <w:rPr>
          <w:bCs/>
          <w:sz w:val="22"/>
          <w:szCs w:val="22"/>
        </w:rPr>
        <w:t>ij</w:t>
      </w:r>
      <w:r w:rsidRPr="00D72200">
        <w:rPr>
          <w:bCs/>
          <w:sz w:val="22"/>
          <w:szCs w:val="22"/>
        </w:rPr>
        <w:t>ednosti rosuvastatina (vid</w:t>
      </w:r>
      <w:r w:rsidR="00990378" w:rsidRPr="00D72200">
        <w:rPr>
          <w:bCs/>
          <w:sz w:val="22"/>
          <w:szCs w:val="22"/>
        </w:rPr>
        <w:t>j</w:t>
      </w:r>
      <w:r w:rsidRPr="00D72200">
        <w:rPr>
          <w:bCs/>
          <w:sz w:val="22"/>
          <w:szCs w:val="22"/>
        </w:rPr>
        <w:t xml:space="preserve">eti </w:t>
      </w:r>
      <w:r w:rsidR="00D82055" w:rsidRPr="00D72200">
        <w:rPr>
          <w:bCs/>
          <w:sz w:val="22"/>
          <w:szCs w:val="22"/>
        </w:rPr>
        <w:t>d</w:t>
      </w:r>
      <w:r w:rsidR="007D3E25" w:rsidRPr="00D72200">
        <w:rPr>
          <w:bCs/>
          <w:sz w:val="22"/>
          <w:szCs w:val="22"/>
        </w:rPr>
        <w:t>i</w:t>
      </w:r>
      <w:r w:rsidR="00D82055" w:rsidRPr="00D72200">
        <w:rPr>
          <w:bCs/>
          <w:sz w:val="22"/>
          <w:szCs w:val="22"/>
        </w:rPr>
        <w:t xml:space="preserve">o </w:t>
      </w:r>
      <w:r w:rsidRPr="00D72200">
        <w:rPr>
          <w:bCs/>
          <w:sz w:val="22"/>
          <w:szCs w:val="22"/>
        </w:rPr>
        <w:t>4.4).</w:t>
      </w:r>
    </w:p>
    <w:p w14:paraId="77568017" w14:textId="77777777" w:rsidR="00D0429D" w:rsidRPr="00D72200" w:rsidRDefault="00D0429D" w:rsidP="00E43D0A">
      <w:pPr>
        <w:jc w:val="both"/>
        <w:rPr>
          <w:bCs/>
          <w:sz w:val="22"/>
          <w:szCs w:val="22"/>
        </w:rPr>
      </w:pPr>
    </w:p>
    <w:p w14:paraId="4C7CFC13" w14:textId="05D654EE" w:rsidR="00D0429D" w:rsidRPr="00D72200" w:rsidRDefault="00D0429D" w:rsidP="00E43D0A">
      <w:pPr>
        <w:jc w:val="both"/>
        <w:rPr>
          <w:bCs/>
          <w:sz w:val="22"/>
          <w:szCs w:val="22"/>
        </w:rPr>
      </w:pPr>
      <w:r w:rsidRPr="00D72200">
        <w:rPr>
          <w:bCs/>
          <w:sz w:val="22"/>
          <w:szCs w:val="22"/>
        </w:rPr>
        <w:t>Na osnovu podataka iz studija specifičnih interakcija, ne očekuje se značajna farmakokinetička interakcija sa fenofibratom; ipak, može doći do farmakodinamičke interakcije. Gemfibrozil, fenofibrat, ostali fibrati i niacin (nikotinska kiselina) u dozi korišćenoj za snižavanje vr</w:t>
      </w:r>
      <w:r w:rsidR="00990378" w:rsidRPr="00D72200">
        <w:rPr>
          <w:bCs/>
          <w:sz w:val="22"/>
          <w:szCs w:val="22"/>
        </w:rPr>
        <w:t>ij</w:t>
      </w:r>
      <w:r w:rsidRPr="00D72200">
        <w:rPr>
          <w:bCs/>
          <w:sz w:val="22"/>
          <w:szCs w:val="22"/>
        </w:rPr>
        <w:t>ednosti lipida (≥ 1g dnevno) povećavaju rizik od miopatije kada se prim</w:t>
      </w:r>
      <w:r w:rsidR="00990378" w:rsidRPr="00D72200">
        <w:rPr>
          <w:bCs/>
          <w:sz w:val="22"/>
          <w:szCs w:val="22"/>
        </w:rPr>
        <w:t>j</w:t>
      </w:r>
      <w:r w:rsidRPr="00D72200">
        <w:rPr>
          <w:bCs/>
          <w:sz w:val="22"/>
          <w:szCs w:val="22"/>
        </w:rPr>
        <w:t>enjuju istovremeno sa inhibitorima HMG-CoA reduktaze, v</w:t>
      </w:r>
      <w:r w:rsidR="00990378" w:rsidRPr="00D72200">
        <w:rPr>
          <w:bCs/>
          <w:sz w:val="22"/>
          <w:szCs w:val="22"/>
        </w:rPr>
        <w:t>j</w:t>
      </w:r>
      <w:r w:rsidRPr="00D72200">
        <w:rPr>
          <w:bCs/>
          <w:sz w:val="22"/>
          <w:szCs w:val="22"/>
        </w:rPr>
        <w:t>erovatno zato što oni mogu da izazovu miopatiju kada se samostalno koriste. Doza od 40</w:t>
      </w:r>
      <w:r w:rsidR="00DD432D" w:rsidRPr="00D72200">
        <w:rPr>
          <w:bCs/>
          <w:sz w:val="22"/>
          <w:szCs w:val="22"/>
        </w:rPr>
        <w:t xml:space="preserve"> </w:t>
      </w:r>
      <w:r w:rsidRPr="00D72200">
        <w:rPr>
          <w:bCs/>
          <w:sz w:val="22"/>
          <w:szCs w:val="22"/>
        </w:rPr>
        <w:t>mg rosuvastatina je kontraindikovana kod istovremene prim</w:t>
      </w:r>
      <w:r w:rsidR="00990378" w:rsidRPr="00D72200">
        <w:rPr>
          <w:bCs/>
          <w:sz w:val="22"/>
          <w:szCs w:val="22"/>
        </w:rPr>
        <w:t>j</w:t>
      </w:r>
      <w:r w:rsidRPr="00D72200">
        <w:rPr>
          <w:bCs/>
          <w:sz w:val="22"/>
          <w:szCs w:val="22"/>
        </w:rPr>
        <w:t>ene sa fibratima (vid</w:t>
      </w:r>
      <w:r w:rsidR="00990378" w:rsidRPr="00D72200">
        <w:rPr>
          <w:bCs/>
          <w:sz w:val="22"/>
          <w:szCs w:val="22"/>
        </w:rPr>
        <w:t>j</w:t>
      </w:r>
      <w:r w:rsidRPr="00D72200">
        <w:rPr>
          <w:bCs/>
          <w:sz w:val="22"/>
          <w:szCs w:val="22"/>
        </w:rPr>
        <w:t xml:space="preserve">eti </w:t>
      </w:r>
      <w:r w:rsidR="00D82055" w:rsidRPr="00D72200">
        <w:rPr>
          <w:bCs/>
          <w:sz w:val="22"/>
          <w:szCs w:val="22"/>
        </w:rPr>
        <w:t>d</w:t>
      </w:r>
      <w:r w:rsidR="007D3E25" w:rsidRPr="00D72200">
        <w:rPr>
          <w:bCs/>
          <w:sz w:val="22"/>
          <w:szCs w:val="22"/>
        </w:rPr>
        <w:t>j</w:t>
      </w:r>
      <w:r w:rsidR="00D82055" w:rsidRPr="00D72200">
        <w:rPr>
          <w:bCs/>
          <w:sz w:val="22"/>
          <w:szCs w:val="22"/>
        </w:rPr>
        <w:t xml:space="preserve">elove </w:t>
      </w:r>
      <w:r w:rsidRPr="00D72200">
        <w:rPr>
          <w:bCs/>
          <w:sz w:val="22"/>
          <w:szCs w:val="22"/>
        </w:rPr>
        <w:t>4.3 i 4.4). Kod ovih pacijenata terapiju treba započeti sa dozom od 5 mg rosuvastatina.</w:t>
      </w:r>
    </w:p>
    <w:p w14:paraId="71DF3958" w14:textId="77777777" w:rsidR="00D0429D" w:rsidRPr="00D72200" w:rsidRDefault="00D0429D" w:rsidP="00E43D0A">
      <w:pPr>
        <w:jc w:val="both"/>
        <w:rPr>
          <w:bCs/>
          <w:sz w:val="22"/>
          <w:szCs w:val="22"/>
        </w:rPr>
      </w:pPr>
    </w:p>
    <w:p w14:paraId="1BA7DA02" w14:textId="4EDA8097" w:rsidR="00D0429D" w:rsidRPr="00D72200" w:rsidRDefault="00D0429D" w:rsidP="00E43D0A">
      <w:pPr>
        <w:jc w:val="both"/>
        <w:rPr>
          <w:bCs/>
          <w:sz w:val="22"/>
          <w:szCs w:val="22"/>
        </w:rPr>
      </w:pPr>
      <w:r w:rsidRPr="00D72200">
        <w:rPr>
          <w:b/>
          <w:bCs/>
          <w:sz w:val="22"/>
          <w:szCs w:val="22"/>
        </w:rPr>
        <w:t xml:space="preserve">Ezetimib: </w:t>
      </w:r>
      <w:r w:rsidRPr="00D72200">
        <w:rPr>
          <w:bCs/>
          <w:sz w:val="22"/>
          <w:szCs w:val="22"/>
        </w:rPr>
        <w:t>Istovremena prim</w:t>
      </w:r>
      <w:r w:rsidR="00990378" w:rsidRPr="00D72200">
        <w:rPr>
          <w:bCs/>
          <w:sz w:val="22"/>
          <w:szCs w:val="22"/>
        </w:rPr>
        <w:t>j</w:t>
      </w:r>
      <w:r w:rsidRPr="00D72200">
        <w:rPr>
          <w:bCs/>
          <w:sz w:val="22"/>
          <w:szCs w:val="22"/>
        </w:rPr>
        <w:t>ena 10 mg rosuvastatina i 10 mg ezitimiba dovodi do povećanja PIK-a rosuvastatina 1, 2 puta kod osoba sa hiperholesterolemijom (vid</w:t>
      </w:r>
      <w:r w:rsidR="00990378" w:rsidRPr="00D72200">
        <w:rPr>
          <w:bCs/>
          <w:sz w:val="22"/>
          <w:szCs w:val="22"/>
        </w:rPr>
        <w:t>j</w:t>
      </w:r>
      <w:r w:rsidRPr="00D72200">
        <w:rPr>
          <w:bCs/>
          <w:sz w:val="22"/>
          <w:szCs w:val="22"/>
        </w:rPr>
        <w:t>eti Tabelu 1). Ne može se isključiti farmakodinamička interakcija između rosuvastatina i ezitimiba, u smislu neželjenih dejstava (vid</w:t>
      </w:r>
      <w:r w:rsidR="00990378" w:rsidRPr="00D72200">
        <w:rPr>
          <w:bCs/>
          <w:sz w:val="22"/>
          <w:szCs w:val="22"/>
        </w:rPr>
        <w:t>j</w:t>
      </w:r>
      <w:r w:rsidRPr="00D72200">
        <w:rPr>
          <w:bCs/>
          <w:sz w:val="22"/>
          <w:szCs w:val="22"/>
        </w:rPr>
        <w:t xml:space="preserve">eti </w:t>
      </w:r>
      <w:r w:rsidR="00D82055" w:rsidRPr="00D72200">
        <w:rPr>
          <w:bCs/>
          <w:sz w:val="22"/>
          <w:szCs w:val="22"/>
        </w:rPr>
        <w:t>d</w:t>
      </w:r>
      <w:r w:rsidR="007D3E25" w:rsidRPr="00D72200">
        <w:rPr>
          <w:bCs/>
          <w:sz w:val="22"/>
          <w:szCs w:val="22"/>
        </w:rPr>
        <w:t>i</w:t>
      </w:r>
      <w:r w:rsidR="00D82055" w:rsidRPr="00D72200">
        <w:rPr>
          <w:bCs/>
          <w:sz w:val="22"/>
          <w:szCs w:val="22"/>
        </w:rPr>
        <w:t xml:space="preserve">o </w:t>
      </w:r>
      <w:r w:rsidRPr="00D72200">
        <w:rPr>
          <w:bCs/>
          <w:sz w:val="22"/>
          <w:szCs w:val="22"/>
        </w:rPr>
        <w:t>4.4).</w:t>
      </w:r>
    </w:p>
    <w:p w14:paraId="11634E14" w14:textId="77777777" w:rsidR="00D0429D" w:rsidRPr="00D72200" w:rsidRDefault="00D0429D" w:rsidP="00E43D0A">
      <w:pPr>
        <w:jc w:val="both"/>
        <w:rPr>
          <w:bCs/>
          <w:sz w:val="22"/>
          <w:szCs w:val="22"/>
        </w:rPr>
      </w:pPr>
    </w:p>
    <w:p w14:paraId="29B71674" w14:textId="0836114F" w:rsidR="00D0429D" w:rsidRPr="00D72200" w:rsidRDefault="00D0429D" w:rsidP="00E43D0A">
      <w:pPr>
        <w:jc w:val="both"/>
        <w:rPr>
          <w:bCs/>
          <w:sz w:val="22"/>
          <w:szCs w:val="22"/>
        </w:rPr>
      </w:pPr>
      <w:r w:rsidRPr="00D72200">
        <w:rPr>
          <w:b/>
          <w:bCs/>
          <w:sz w:val="22"/>
          <w:szCs w:val="22"/>
        </w:rPr>
        <w:lastRenderedPageBreak/>
        <w:t xml:space="preserve">Antacidi: </w:t>
      </w:r>
      <w:r w:rsidRPr="00D72200">
        <w:rPr>
          <w:bCs/>
          <w:sz w:val="22"/>
          <w:szCs w:val="22"/>
        </w:rPr>
        <w:t>Istovremena prim</w:t>
      </w:r>
      <w:r w:rsidR="00990378" w:rsidRPr="00D72200">
        <w:rPr>
          <w:bCs/>
          <w:sz w:val="22"/>
          <w:szCs w:val="22"/>
        </w:rPr>
        <w:t>j</w:t>
      </w:r>
      <w:r w:rsidRPr="00D72200">
        <w:rPr>
          <w:bCs/>
          <w:sz w:val="22"/>
          <w:szCs w:val="22"/>
        </w:rPr>
        <w:t>ena rosuvastatina i suspenzije antacida koja sadrži aluminijum i magnezijum</w:t>
      </w:r>
      <w:r w:rsidR="00DD432D" w:rsidRPr="00D72200">
        <w:rPr>
          <w:bCs/>
          <w:sz w:val="22"/>
          <w:szCs w:val="22"/>
        </w:rPr>
        <w:t xml:space="preserve"> </w:t>
      </w:r>
      <w:r w:rsidRPr="00D72200">
        <w:rPr>
          <w:bCs/>
          <w:sz w:val="22"/>
          <w:szCs w:val="22"/>
        </w:rPr>
        <w:t>hidroksid dovodi do smanjenja koncentracije rosuvastatina u plazmi za oko 50 %. Ovaj efekat je ublažen prim</w:t>
      </w:r>
      <w:r w:rsidR="00990378" w:rsidRPr="00D72200">
        <w:rPr>
          <w:bCs/>
          <w:sz w:val="22"/>
          <w:szCs w:val="22"/>
        </w:rPr>
        <w:t>j</w:t>
      </w:r>
      <w:r w:rsidRPr="00D72200">
        <w:rPr>
          <w:bCs/>
          <w:sz w:val="22"/>
          <w:szCs w:val="22"/>
        </w:rPr>
        <w:t>enom antacida 2 sata nakon prim</w:t>
      </w:r>
      <w:r w:rsidR="00990378" w:rsidRPr="00D72200">
        <w:rPr>
          <w:bCs/>
          <w:sz w:val="22"/>
          <w:szCs w:val="22"/>
        </w:rPr>
        <w:t>j</w:t>
      </w:r>
      <w:r w:rsidRPr="00D72200">
        <w:rPr>
          <w:bCs/>
          <w:sz w:val="22"/>
          <w:szCs w:val="22"/>
        </w:rPr>
        <w:t>ene rosuvastatina. Klinički značaj ove interakcije nije proučavan.</w:t>
      </w:r>
    </w:p>
    <w:p w14:paraId="6FE53B07" w14:textId="77777777" w:rsidR="00D0429D" w:rsidRPr="00D72200" w:rsidRDefault="00D0429D" w:rsidP="00E43D0A">
      <w:pPr>
        <w:jc w:val="both"/>
        <w:rPr>
          <w:bCs/>
          <w:sz w:val="22"/>
          <w:szCs w:val="22"/>
        </w:rPr>
      </w:pPr>
    </w:p>
    <w:p w14:paraId="4816620B" w14:textId="56FDB3E9" w:rsidR="00D0429D" w:rsidRPr="00D72200" w:rsidRDefault="00D0429D" w:rsidP="00E43D0A">
      <w:pPr>
        <w:jc w:val="both"/>
        <w:rPr>
          <w:bCs/>
          <w:sz w:val="22"/>
          <w:szCs w:val="22"/>
        </w:rPr>
      </w:pPr>
      <w:r w:rsidRPr="00D72200">
        <w:rPr>
          <w:b/>
          <w:bCs/>
          <w:sz w:val="22"/>
          <w:szCs w:val="22"/>
        </w:rPr>
        <w:t xml:space="preserve">Eritromicin: </w:t>
      </w:r>
      <w:r w:rsidRPr="00D72200">
        <w:rPr>
          <w:bCs/>
          <w:sz w:val="22"/>
          <w:szCs w:val="22"/>
        </w:rPr>
        <w:t>Istovremena upotreba</w:t>
      </w:r>
      <w:r w:rsidRPr="00D72200">
        <w:rPr>
          <w:b/>
          <w:bCs/>
          <w:sz w:val="22"/>
          <w:szCs w:val="22"/>
        </w:rPr>
        <w:t xml:space="preserve"> </w:t>
      </w:r>
      <w:r w:rsidRPr="00D72200">
        <w:rPr>
          <w:bCs/>
          <w:sz w:val="22"/>
          <w:szCs w:val="22"/>
        </w:rPr>
        <w:t>rosuvastatina i eritromicina</w:t>
      </w:r>
      <w:r w:rsidRPr="00D72200">
        <w:rPr>
          <w:b/>
          <w:bCs/>
          <w:sz w:val="22"/>
          <w:szCs w:val="22"/>
        </w:rPr>
        <w:t xml:space="preserve"> </w:t>
      </w:r>
      <w:r w:rsidRPr="00D72200">
        <w:rPr>
          <w:bCs/>
          <w:sz w:val="22"/>
          <w:szCs w:val="22"/>
        </w:rPr>
        <w:t>dovela je do smanjenja vr</w:t>
      </w:r>
      <w:r w:rsidR="00990378" w:rsidRPr="00D72200">
        <w:rPr>
          <w:bCs/>
          <w:sz w:val="22"/>
          <w:szCs w:val="22"/>
        </w:rPr>
        <w:t>ij</w:t>
      </w:r>
      <w:r w:rsidRPr="00D72200">
        <w:rPr>
          <w:bCs/>
          <w:sz w:val="22"/>
          <w:szCs w:val="22"/>
        </w:rPr>
        <w:t>ednosti PIK za 20 % i smanjenja vr</w:t>
      </w:r>
      <w:r w:rsidR="00990378" w:rsidRPr="00D72200">
        <w:rPr>
          <w:bCs/>
          <w:sz w:val="22"/>
          <w:szCs w:val="22"/>
        </w:rPr>
        <w:t>ij</w:t>
      </w:r>
      <w:r w:rsidRPr="00D72200">
        <w:rPr>
          <w:bCs/>
          <w:sz w:val="22"/>
          <w:szCs w:val="22"/>
        </w:rPr>
        <w:t>ednosti C</w:t>
      </w:r>
      <w:r w:rsidRPr="00D72200">
        <w:rPr>
          <w:bCs/>
          <w:sz w:val="22"/>
          <w:szCs w:val="22"/>
          <w:vertAlign w:val="subscript"/>
        </w:rPr>
        <w:t>max</w:t>
      </w:r>
      <w:r w:rsidRPr="00D72200">
        <w:rPr>
          <w:bCs/>
          <w:sz w:val="22"/>
          <w:szCs w:val="22"/>
        </w:rPr>
        <w:t xml:space="preserve"> rosuvastatina za 30 %. Ova interakcija može biti izazvana povećanjem pokretljivosti cr</w:t>
      </w:r>
      <w:r w:rsidR="00990378" w:rsidRPr="00D72200">
        <w:rPr>
          <w:bCs/>
          <w:sz w:val="22"/>
          <w:szCs w:val="22"/>
        </w:rPr>
        <w:t>ij</w:t>
      </w:r>
      <w:r w:rsidRPr="00D72200">
        <w:rPr>
          <w:bCs/>
          <w:sz w:val="22"/>
          <w:szCs w:val="22"/>
        </w:rPr>
        <w:t>eva koje izaziva eritromicin.</w:t>
      </w:r>
    </w:p>
    <w:p w14:paraId="671DCA9D" w14:textId="77777777" w:rsidR="006D21DB" w:rsidRPr="00D72200" w:rsidRDefault="006D21DB" w:rsidP="00E43D0A">
      <w:pPr>
        <w:jc w:val="both"/>
        <w:rPr>
          <w:bCs/>
          <w:sz w:val="22"/>
          <w:szCs w:val="22"/>
        </w:rPr>
      </w:pPr>
    </w:p>
    <w:p w14:paraId="2FD38B43" w14:textId="70D10565" w:rsidR="0040610E" w:rsidRPr="00D72200" w:rsidRDefault="0040610E" w:rsidP="00571DA7">
      <w:pPr>
        <w:tabs>
          <w:tab w:val="left" w:pos="284"/>
        </w:tabs>
        <w:jc w:val="both"/>
        <w:rPr>
          <w:bCs/>
          <w:sz w:val="22"/>
          <w:szCs w:val="22"/>
        </w:rPr>
      </w:pPr>
      <w:r w:rsidRPr="00EA694D">
        <w:rPr>
          <w:b/>
          <w:i/>
          <w:iCs/>
          <w:sz w:val="22"/>
          <w:szCs w:val="22"/>
        </w:rPr>
        <w:t>Tikagrelor</w:t>
      </w:r>
      <w:r w:rsidRPr="00EA694D">
        <w:rPr>
          <w:bCs/>
          <w:sz w:val="22"/>
          <w:szCs w:val="22"/>
        </w:rPr>
        <w:t>: Tikagrelor može prouzrokovati bubrežnu insuficijenciju i može uticati na izlučivanje rosuvastatina putem bubrega, povećavajući rizik od akumulacije rosuvastatina. U nekim slučajevima, istovremena prim</w:t>
      </w:r>
      <w:r w:rsidR="009910FA" w:rsidRPr="00EA694D">
        <w:rPr>
          <w:bCs/>
          <w:sz w:val="22"/>
          <w:szCs w:val="22"/>
        </w:rPr>
        <w:t>j</w:t>
      </w:r>
      <w:r w:rsidRPr="00EA694D">
        <w:rPr>
          <w:bCs/>
          <w:sz w:val="22"/>
          <w:szCs w:val="22"/>
        </w:rPr>
        <w:t xml:space="preserve">ena tikagrelora i rosuvastatina dovela je do smanjenja funkcije bubrega, povećanja nivoa </w:t>
      </w:r>
      <w:r w:rsidR="00AB0522" w:rsidRPr="00EA694D">
        <w:rPr>
          <w:bCs/>
          <w:sz w:val="22"/>
          <w:szCs w:val="22"/>
        </w:rPr>
        <w:t>kreatin fosfokinaze</w:t>
      </w:r>
      <w:r w:rsidRPr="00EA694D">
        <w:rPr>
          <w:bCs/>
          <w:sz w:val="22"/>
          <w:szCs w:val="22"/>
        </w:rPr>
        <w:t xml:space="preserve"> i rabdomiolize. Preporučuje se kontrola funkcije bubrega i </w:t>
      </w:r>
      <w:r w:rsidR="00571DA7" w:rsidRPr="00EA694D">
        <w:rPr>
          <w:bCs/>
          <w:sz w:val="22"/>
          <w:szCs w:val="22"/>
        </w:rPr>
        <w:t>kreatin fosfokinaze</w:t>
      </w:r>
      <w:r w:rsidRPr="00EA694D">
        <w:rPr>
          <w:bCs/>
          <w:sz w:val="22"/>
          <w:szCs w:val="22"/>
        </w:rPr>
        <w:t xml:space="preserve"> tokom istovremene upotrebe tikagrelora i rosuvastatina</w:t>
      </w:r>
      <w:r w:rsidR="006D5896" w:rsidRPr="00EA694D">
        <w:rPr>
          <w:bCs/>
          <w:sz w:val="22"/>
          <w:szCs w:val="22"/>
        </w:rPr>
        <w:t>.</w:t>
      </w:r>
      <w:r w:rsidR="00D834E2" w:rsidRPr="000F132E">
        <w:rPr>
          <w:sz w:val="22"/>
          <w:szCs w:val="22"/>
        </w:rPr>
        <w:t xml:space="preserve"> </w:t>
      </w:r>
    </w:p>
    <w:p w14:paraId="65C98CB9" w14:textId="77777777" w:rsidR="00893CDF" w:rsidRPr="00D72200" w:rsidRDefault="00893CDF" w:rsidP="00E43D0A">
      <w:pPr>
        <w:jc w:val="both"/>
        <w:rPr>
          <w:bCs/>
          <w:sz w:val="22"/>
          <w:szCs w:val="22"/>
        </w:rPr>
      </w:pPr>
    </w:p>
    <w:p w14:paraId="5700D857" w14:textId="354091B0" w:rsidR="00D0429D" w:rsidRPr="00D72200" w:rsidRDefault="00D0429D" w:rsidP="00A851A8">
      <w:pPr>
        <w:jc w:val="both"/>
        <w:rPr>
          <w:bCs/>
          <w:sz w:val="22"/>
          <w:szCs w:val="22"/>
        </w:rPr>
      </w:pPr>
      <w:r w:rsidRPr="00D72200">
        <w:rPr>
          <w:b/>
          <w:bCs/>
          <w:sz w:val="22"/>
          <w:szCs w:val="22"/>
        </w:rPr>
        <w:t xml:space="preserve">Citohrom P450 enzimi: </w:t>
      </w:r>
      <w:r w:rsidRPr="00D72200">
        <w:rPr>
          <w:bCs/>
          <w:sz w:val="22"/>
          <w:szCs w:val="22"/>
        </w:rPr>
        <w:t xml:space="preserve">Rezultati </w:t>
      </w:r>
      <w:r w:rsidRPr="00D72200">
        <w:rPr>
          <w:bCs/>
          <w:i/>
          <w:sz w:val="22"/>
          <w:szCs w:val="22"/>
        </w:rPr>
        <w:t xml:space="preserve">in vitro </w:t>
      </w:r>
      <w:r w:rsidRPr="00D72200">
        <w:rPr>
          <w:bCs/>
          <w:sz w:val="22"/>
          <w:szCs w:val="22"/>
        </w:rPr>
        <w:t xml:space="preserve">i </w:t>
      </w:r>
      <w:r w:rsidRPr="00D72200">
        <w:rPr>
          <w:bCs/>
          <w:i/>
          <w:sz w:val="22"/>
          <w:szCs w:val="22"/>
        </w:rPr>
        <w:t xml:space="preserve">in vivo </w:t>
      </w:r>
      <w:r w:rsidRPr="00D72200">
        <w:rPr>
          <w:bCs/>
          <w:sz w:val="22"/>
          <w:szCs w:val="22"/>
        </w:rPr>
        <w:t xml:space="preserve">studija pokazuju da rosuvastatin ne inhibira niti indukuje citohrom P450 izoenzime. Pored toga, rosuvastatin je slab supstrat za ove izoenzime. </w:t>
      </w:r>
      <w:r w:rsidR="00C729EB" w:rsidRPr="00D72200">
        <w:rPr>
          <w:bCs/>
          <w:sz w:val="22"/>
          <w:szCs w:val="22"/>
        </w:rPr>
        <w:t>Zbog toga</w:t>
      </w:r>
      <w:r w:rsidR="00D03B76" w:rsidRPr="00D72200">
        <w:rPr>
          <w:bCs/>
          <w:sz w:val="22"/>
          <w:szCs w:val="22"/>
        </w:rPr>
        <w:t xml:space="preserve"> se ne očekuju interakcije usl</w:t>
      </w:r>
      <w:r w:rsidR="009910FA" w:rsidRPr="00D72200">
        <w:rPr>
          <w:bCs/>
          <w:sz w:val="22"/>
          <w:szCs w:val="22"/>
        </w:rPr>
        <w:t>j</w:t>
      </w:r>
      <w:r w:rsidR="00D03B76" w:rsidRPr="00D72200">
        <w:rPr>
          <w:bCs/>
          <w:sz w:val="22"/>
          <w:szCs w:val="22"/>
        </w:rPr>
        <w:t>ed metabolizma</w:t>
      </w:r>
      <w:r w:rsidR="006622F5" w:rsidRPr="00D72200">
        <w:rPr>
          <w:bCs/>
          <w:sz w:val="22"/>
          <w:szCs w:val="22"/>
        </w:rPr>
        <w:t xml:space="preserve"> posredovanog enzimima citohroma P450.</w:t>
      </w:r>
      <w:r w:rsidR="00A851A8" w:rsidRPr="00D72200">
        <w:rPr>
          <w:bCs/>
          <w:sz w:val="22"/>
          <w:szCs w:val="22"/>
        </w:rPr>
        <w:t xml:space="preserve"> </w:t>
      </w:r>
      <w:r w:rsidRPr="00D72200">
        <w:rPr>
          <w:bCs/>
          <w:sz w:val="22"/>
          <w:szCs w:val="22"/>
        </w:rPr>
        <w:t>Ni</w:t>
      </w:r>
      <w:r w:rsidR="00990378" w:rsidRPr="00D72200">
        <w:rPr>
          <w:bCs/>
          <w:sz w:val="22"/>
          <w:szCs w:val="22"/>
        </w:rPr>
        <w:t>je</w:t>
      </w:r>
      <w:r w:rsidRPr="00D72200">
        <w:rPr>
          <w:bCs/>
          <w:sz w:val="22"/>
          <w:szCs w:val="22"/>
        </w:rPr>
        <w:t>su prim</w:t>
      </w:r>
      <w:r w:rsidR="00990378" w:rsidRPr="00D72200">
        <w:rPr>
          <w:bCs/>
          <w:sz w:val="22"/>
          <w:szCs w:val="22"/>
        </w:rPr>
        <w:t>ij</w:t>
      </w:r>
      <w:r w:rsidRPr="00D72200">
        <w:rPr>
          <w:bCs/>
          <w:sz w:val="22"/>
          <w:szCs w:val="22"/>
        </w:rPr>
        <w:t xml:space="preserve">ećene klinički značajne interakcije između rosuvastatina i flukonazola (inhibitora CYP2C9 i CYP3A4) ili ketokonazola (inhibitora CYP2A6 i CYP3A4). </w:t>
      </w:r>
    </w:p>
    <w:p w14:paraId="567868C8" w14:textId="77777777" w:rsidR="00D0429D" w:rsidRPr="00D72200" w:rsidRDefault="00D0429D" w:rsidP="00E43D0A">
      <w:pPr>
        <w:jc w:val="both"/>
        <w:rPr>
          <w:color w:val="000000"/>
          <w:sz w:val="22"/>
          <w:szCs w:val="22"/>
        </w:rPr>
      </w:pPr>
    </w:p>
    <w:p w14:paraId="2EC949D1" w14:textId="77777777" w:rsidR="00B12B71" w:rsidRDefault="00D0429D" w:rsidP="00E43D0A">
      <w:pPr>
        <w:jc w:val="both"/>
        <w:rPr>
          <w:color w:val="000000"/>
          <w:sz w:val="22"/>
          <w:szCs w:val="22"/>
        </w:rPr>
      </w:pPr>
      <w:r w:rsidRPr="00D72200">
        <w:rPr>
          <w:b/>
          <w:color w:val="000000"/>
          <w:sz w:val="22"/>
          <w:szCs w:val="22"/>
        </w:rPr>
        <w:t>Interakcije koje zaht</w:t>
      </w:r>
      <w:r w:rsidR="00990378" w:rsidRPr="00D72200">
        <w:rPr>
          <w:b/>
          <w:color w:val="000000"/>
          <w:sz w:val="22"/>
          <w:szCs w:val="22"/>
        </w:rPr>
        <w:t>ij</w:t>
      </w:r>
      <w:r w:rsidRPr="00D72200">
        <w:rPr>
          <w:b/>
          <w:color w:val="000000"/>
          <w:sz w:val="22"/>
          <w:szCs w:val="22"/>
        </w:rPr>
        <w:t>evaju podešavanje doze rosuvastatina (vid</w:t>
      </w:r>
      <w:r w:rsidR="00990378" w:rsidRPr="00D72200">
        <w:rPr>
          <w:b/>
          <w:color w:val="000000"/>
          <w:sz w:val="22"/>
          <w:szCs w:val="22"/>
        </w:rPr>
        <w:t>j</w:t>
      </w:r>
      <w:r w:rsidRPr="00D72200">
        <w:rPr>
          <w:b/>
          <w:color w:val="000000"/>
          <w:sz w:val="22"/>
          <w:szCs w:val="22"/>
        </w:rPr>
        <w:t>eti Tabelu 1):</w:t>
      </w:r>
      <w:r w:rsidRPr="00D72200">
        <w:rPr>
          <w:color w:val="000000"/>
          <w:sz w:val="22"/>
          <w:szCs w:val="22"/>
        </w:rPr>
        <w:t xml:space="preserve"> U situacijama kada je neophodno prim</w:t>
      </w:r>
      <w:r w:rsidR="00DD432D" w:rsidRPr="00D72200">
        <w:rPr>
          <w:color w:val="000000"/>
          <w:sz w:val="22"/>
          <w:szCs w:val="22"/>
        </w:rPr>
        <w:t>i</w:t>
      </w:r>
      <w:r w:rsidR="00990378" w:rsidRPr="00D72200">
        <w:rPr>
          <w:color w:val="000000"/>
          <w:sz w:val="22"/>
          <w:szCs w:val="22"/>
        </w:rPr>
        <w:t>j</w:t>
      </w:r>
      <w:r w:rsidRPr="00D72200">
        <w:rPr>
          <w:color w:val="000000"/>
          <w:sz w:val="22"/>
          <w:szCs w:val="22"/>
        </w:rPr>
        <w:t>eniti rosuvastatin sa drugim l</w:t>
      </w:r>
      <w:r w:rsidR="00990378" w:rsidRPr="00D72200">
        <w:rPr>
          <w:color w:val="000000"/>
          <w:sz w:val="22"/>
          <w:szCs w:val="22"/>
        </w:rPr>
        <w:t>j</w:t>
      </w:r>
      <w:r w:rsidRPr="00D72200">
        <w:rPr>
          <w:color w:val="000000"/>
          <w:sz w:val="22"/>
          <w:szCs w:val="22"/>
        </w:rPr>
        <w:t>ekovima za koje je poznato da dovode do povećane izloženosti rosuvastatinu, treba podesiti dozu rosuvastatina. Ukoliko je očekivano povećanje izloženosti (PIK) dva i više puta treba započeti l</w:t>
      </w:r>
      <w:r w:rsidR="00990378" w:rsidRPr="00D72200">
        <w:rPr>
          <w:color w:val="000000"/>
          <w:sz w:val="22"/>
          <w:szCs w:val="22"/>
        </w:rPr>
        <w:t>ij</w:t>
      </w:r>
      <w:r w:rsidRPr="00D72200">
        <w:rPr>
          <w:color w:val="000000"/>
          <w:sz w:val="22"/>
          <w:szCs w:val="22"/>
        </w:rPr>
        <w:t>ečenje sa 5 mg rosuvastatina jednom dnevno.</w:t>
      </w:r>
    </w:p>
    <w:p w14:paraId="64589F10" w14:textId="18BE0460" w:rsidR="00D0429D" w:rsidRPr="00D72200" w:rsidRDefault="00D0429D" w:rsidP="00E43D0A">
      <w:pPr>
        <w:jc w:val="both"/>
        <w:rPr>
          <w:color w:val="000000"/>
          <w:sz w:val="22"/>
          <w:szCs w:val="22"/>
        </w:rPr>
      </w:pPr>
      <w:r w:rsidRPr="00D72200">
        <w:rPr>
          <w:color w:val="000000"/>
          <w:sz w:val="22"/>
          <w:szCs w:val="22"/>
        </w:rPr>
        <w:t>Maksimalnu dnevnu dozu rosuvastatina treba podesiti tako da očekivana izloženost rosuvastatinu ne pređe očekivanu izloženost prilikom prim</w:t>
      </w:r>
      <w:r w:rsidR="00990378" w:rsidRPr="00D72200">
        <w:rPr>
          <w:color w:val="000000"/>
          <w:sz w:val="22"/>
          <w:szCs w:val="22"/>
        </w:rPr>
        <w:t>j</w:t>
      </w:r>
      <w:r w:rsidRPr="00D72200">
        <w:rPr>
          <w:color w:val="000000"/>
          <w:sz w:val="22"/>
          <w:szCs w:val="22"/>
        </w:rPr>
        <w:t>ene 40 mg rosuvastatina bez l</w:t>
      </w:r>
      <w:r w:rsidR="00990378" w:rsidRPr="00D72200">
        <w:rPr>
          <w:color w:val="000000"/>
          <w:sz w:val="22"/>
          <w:szCs w:val="22"/>
        </w:rPr>
        <w:t>j</w:t>
      </w:r>
      <w:r w:rsidRPr="00D72200">
        <w:rPr>
          <w:color w:val="000000"/>
          <w:sz w:val="22"/>
          <w:szCs w:val="22"/>
        </w:rPr>
        <w:t>ekova sa kojima bi mogao da stupi u interakciju, na prim</w:t>
      </w:r>
      <w:r w:rsidR="00990378" w:rsidRPr="00D72200">
        <w:rPr>
          <w:color w:val="000000"/>
          <w:sz w:val="22"/>
          <w:szCs w:val="22"/>
        </w:rPr>
        <w:t>j</w:t>
      </w:r>
      <w:r w:rsidRPr="00D72200">
        <w:rPr>
          <w:color w:val="000000"/>
          <w:sz w:val="22"/>
          <w:szCs w:val="22"/>
        </w:rPr>
        <w:t>er: doza od 20 mg rosuvastatina sa gemfibrozilom (povećanje 1,9 puta) i doza od 10 mg rosuvastatina u kombinaciji sa ritonavir/atazanavir (povećanje 3,1 puta).</w:t>
      </w:r>
    </w:p>
    <w:p w14:paraId="1AC3D547" w14:textId="77777777" w:rsidR="00ED5F4D" w:rsidRPr="00D72200" w:rsidRDefault="00ED5F4D" w:rsidP="00E43D0A">
      <w:pPr>
        <w:jc w:val="both"/>
        <w:rPr>
          <w:color w:val="000000"/>
          <w:sz w:val="22"/>
          <w:szCs w:val="22"/>
        </w:rPr>
      </w:pPr>
    </w:p>
    <w:p w14:paraId="2F30410C" w14:textId="33485211" w:rsidR="00ED5F4D" w:rsidRPr="00D72200" w:rsidRDefault="002A4C5F" w:rsidP="000F132E">
      <w:pPr>
        <w:ind w:right="13"/>
        <w:jc w:val="both"/>
        <w:rPr>
          <w:color w:val="000000"/>
          <w:sz w:val="22"/>
          <w:szCs w:val="22"/>
        </w:rPr>
      </w:pPr>
      <w:r w:rsidRPr="000F132E">
        <w:rPr>
          <w:sz w:val="22"/>
          <w:szCs w:val="22"/>
        </w:rPr>
        <w:t>Ako se uoči da l</w:t>
      </w:r>
      <w:r w:rsidR="009910FA" w:rsidRPr="000F132E">
        <w:rPr>
          <w:sz w:val="22"/>
          <w:szCs w:val="22"/>
        </w:rPr>
        <w:t>ij</w:t>
      </w:r>
      <w:r w:rsidRPr="000F132E">
        <w:rPr>
          <w:sz w:val="22"/>
          <w:szCs w:val="22"/>
        </w:rPr>
        <w:t>ek povećava PIK rosuvastatina manje od 2 puta, početnu dozu ne treba</w:t>
      </w:r>
      <w:r w:rsidR="00B12B71">
        <w:rPr>
          <w:sz w:val="22"/>
          <w:szCs w:val="22"/>
        </w:rPr>
        <w:t xml:space="preserve"> </w:t>
      </w:r>
      <w:r w:rsidRPr="000F132E">
        <w:rPr>
          <w:sz w:val="22"/>
          <w:szCs w:val="22"/>
        </w:rPr>
        <w:t>smanjivati, ali je potreban oprez u slučaju povećanja doze l</w:t>
      </w:r>
      <w:r w:rsidR="009910FA" w:rsidRPr="000F132E">
        <w:rPr>
          <w:sz w:val="22"/>
          <w:szCs w:val="22"/>
        </w:rPr>
        <w:t>ij</w:t>
      </w:r>
      <w:r w:rsidRPr="000F132E">
        <w:rPr>
          <w:sz w:val="22"/>
          <w:szCs w:val="22"/>
        </w:rPr>
        <w:t>eka Rosuhol iznad 20 mg</w:t>
      </w:r>
      <w:r w:rsidR="00CF5FE5" w:rsidRPr="000F132E">
        <w:rPr>
          <w:sz w:val="22"/>
          <w:szCs w:val="22"/>
        </w:rPr>
        <w:t>.</w:t>
      </w:r>
    </w:p>
    <w:p w14:paraId="36DB23EC" w14:textId="77777777" w:rsidR="00D0429D" w:rsidRPr="00D72200" w:rsidRDefault="00D0429D" w:rsidP="00E43D0A">
      <w:pPr>
        <w:jc w:val="both"/>
        <w:rPr>
          <w:b/>
          <w:color w:val="000000"/>
          <w:sz w:val="22"/>
          <w:szCs w:val="22"/>
        </w:rPr>
      </w:pPr>
    </w:p>
    <w:p w14:paraId="0FFDD8EC" w14:textId="7349E308" w:rsidR="00D0429D" w:rsidRPr="00D72200" w:rsidRDefault="00D0429D" w:rsidP="00E43D0A">
      <w:pPr>
        <w:jc w:val="both"/>
        <w:rPr>
          <w:b/>
          <w:color w:val="000000"/>
          <w:sz w:val="22"/>
          <w:szCs w:val="22"/>
        </w:rPr>
      </w:pPr>
      <w:r w:rsidRPr="00D72200">
        <w:rPr>
          <w:b/>
          <w:color w:val="000000"/>
          <w:sz w:val="22"/>
          <w:szCs w:val="22"/>
        </w:rPr>
        <w:t>Tabela 1: Efekti istovremeno prim</w:t>
      </w:r>
      <w:r w:rsidR="00990378" w:rsidRPr="00D72200">
        <w:rPr>
          <w:b/>
          <w:color w:val="000000"/>
          <w:sz w:val="22"/>
          <w:szCs w:val="22"/>
        </w:rPr>
        <w:t>j</w:t>
      </w:r>
      <w:r w:rsidRPr="00D72200">
        <w:rPr>
          <w:b/>
          <w:color w:val="000000"/>
          <w:sz w:val="22"/>
          <w:szCs w:val="22"/>
        </w:rPr>
        <w:t>enjenih l</w:t>
      </w:r>
      <w:r w:rsidR="00990378" w:rsidRPr="00D72200">
        <w:rPr>
          <w:b/>
          <w:color w:val="000000"/>
          <w:sz w:val="22"/>
          <w:szCs w:val="22"/>
        </w:rPr>
        <w:t>j</w:t>
      </w:r>
      <w:r w:rsidRPr="00D72200">
        <w:rPr>
          <w:b/>
          <w:color w:val="000000"/>
          <w:sz w:val="22"/>
          <w:szCs w:val="22"/>
        </w:rPr>
        <w:t>ekova na izloženost rosuvastatinu (PIK; po opadajućem efektu) iz objavljenih kliničkih studija</w:t>
      </w:r>
    </w:p>
    <w:p w14:paraId="4BA689AA" w14:textId="77777777" w:rsidR="001B3485" w:rsidRPr="000F132E" w:rsidRDefault="001B3485" w:rsidP="00D0429D">
      <w:pPr>
        <w:rPr>
          <w:b/>
          <w:color w:val="000000"/>
          <w:sz w:val="22"/>
          <w:szCs w:val="22"/>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3059"/>
        <w:gridCol w:w="1894"/>
      </w:tblGrid>
      <w:tr w:rsidR="001B192B" w:rsidRPr="00D72200" w14:paraId="4EEE8610" w14:textId="77777777" w:rsidTr="000F132E">
        <w:trPr>
          <w:jc w:val="center"/>
        </w:trPr>
        <w:tc>
          <w:tcPr>
            <w:tcW w:w="9755" w:type="dxa"/>
            <w:gridSpan w:val="3"/>
            <w:shd w:val="clear" w:color="auto" w:fill="auto"/>
          </w:tcPr>
          <w:p w14:paraId="5FDA25F1" w14:textId="51595DB0" w:rsidR="001B192B" w:rsidRPr="00D72200" w:rsidRDefault="001B192B" w:rsidP="00376732">
            <w:pPr>
              <w:rPr>
                <w:b/>
                <w:color w:val="000000"/>
                <w:sz w:val="22"/>
                <w:szCs w:val="22"/>
              </w:rPr>
            </w:pPr>
            <w:r w:rsidRPr="00D72200">
              <w:rPr>
                <w:b/>
                <w:color w:val="000000"/>
                <w:sz w:val="22"/>
                <w:szCs w:val="22"/>
              </w:rPr>
              <w:t>Povećanje PIK-a rosuvastatina 2 pu</w:t>
            </w:r>
            <w:r w:rsidR="00A81796" w:rsidRPr="00D72200">
              <w:rPr>
                <w:b/>
                <w:color w:val="000000"/>
                <w:sz w:val="22"/>
                <w:szCs w:val="22"/>
              </w:rPr>
              <w:t>t</w:t>
            </w:r>
            <w:r w:rsidRPr="00D72200">
              <w:rPr>
                <w:b/>
                <w:color w:val="000000"/>
                <w:sz w:val="22"/>
                <w:szCs w:val="22"/>
              </w:rPr>
              <w:t>a ili više od 2 puta</w:t>
            </w:r>
          </w:p>
        </w:tc>
      </w:tr>
      <w:tr w:rsidR="00D0429D" w:rsidRPr="00D72200" w14:paraId="41EE1812" w14:textId="77777777" w:rsidTr="000F132E">
        <w:trPr>
          <w:jc w:val="center"/>
        </w:trPr>
        <w:tc>
          <w:tcPr>
            <w:tcW w:w="4802" w:type="dxa"/>
            <w:shd w:val="clear" w:color="auto" w:fill="auto"/>
          </w:tcPr>
          <w:p w14:paraId="18779474" w14:textId="7666485F" w:rsidR="00D0429D" w:rsidRPr="00D72200" w:rsidRDefault="00D0429D" w:rsidP="008246D3">
            <w:pPr>
              <w:rPr>
                <w:b/>
                <w:color w:val="000000"/>
                <w:sz w:val="22"/>
                <w:szCs w:val="22"/>
              </w:rPr>
            </w:pPr>
            <w:r w:rsidRPr="00D72200">
              <w:rPr>
                <w:b/>
                <w:color w:val="000000"/>
                <w:sz w:val="22"/>
                <w:szCs w:val="22"/>
              </w:rPr>
              <w:t>Režim doziranja l</w:t>
            </w:r>
            <w:r w:rsidR="00990378" w:rsidRPr="00D72200">
              <w:rPr>
                <w:b/>
                <w:color w:val="000000"/>
                <w:sz w:val="22"/>
                <w:szCs w:val="22"/>
              </w:rPr>
              <w:t>ij</w:t>
            </w:r>
            <w:r w:rsidRPr="00D72200">
              <w:rPr>
                <w:b/>
                <w:color w:val="000000"/>
                <w:sz w:val="22"/>
                <w:szCs w:val="22"/>
              </w:rPr>
              <w:t>eka koji stupa u interakciju sa rosuvastatinom</w:t>
            </w:r>
          </w:p>
        </w:tc>
        <w:tc>
          <w:tcPr>
            <w:tcW w:w="3059" w:type="dxa"/>
            <w:shd w:val="clear" w:color="auto" w:fill="auto"/>
          </w:tcPr>
          <w:p w14:paraId="3E86DAE4" w14:textId="77777777" w:rsidR="00D0429D" w:rsidRPr="00D72200" w:rsidRDefault="00D0429D" w:rsidP="008246D3">
            <w:pPr>
              <w:jc w:val="center"/>
              <w:rPr>
                <w:b/>
                <w:color w:val="000000"/>
                <w:sz w:val="22"/>
                <w:szCs w:val="22"/>
              </w:rPr>
            </w:pPr>
            <w:r w:rsidRPr="00D72200">
              <w:rPr>
                <w:b/>
                <w:color w:val="000000"/>
                <w:sz w:val="22"/>
                <w:szCs w:val="22"/>
              </w:rPr>
              <w:t>Režim doziranja rosuvastatina</w:t>
            </w:r>
          </w:p>
        </w:tc>
        <w:tc>
          <w:tcPr>
            <w:tcW w:w="1894" w:type="dxa"/>
            <w:shd w:val="clear" w:color="auto" w:fill="auto"/>
          </w:tcPr>
          <w:p w14:paraId="568831DF" w14:textId="4BA01DCC" w:rsidR="00D0429D" w:rsidRPr="00D72200" w:rsidRDefault="00D0429D" w:rsidP="008246D3">
            <w:pPr>
              <w:jc w:val="center"/>
              <w:rPr>
                <w:b/>
                <w:color w:val="000000"/>
                <w:sz w:val="22"/>
                <w:szCs w:val="22"/>
              </w:rPr>
            </w:pPr>
            <w:r w:rsidRPr="00D72200">
              <w:rPr>
                <w:b/>
                <w:color w:val="000000"/>
                <w:sz w:val="22"/>
                <w:szCs w:val="22"/>
              </w:rPr>
              <w:t>Prom</w:t>
            </w:r>
            <w:r w:rsidR="00990378" w:rsidRPr="00D72200">
              <w:rPr>
                <w:b/>
                <w:color w:val="000000"/>
                <w:sz w:val="22"/>
                <w:szCs w:val="22"/>
              </w:rPr>
              <w:t>j</w:t>
            </w:r>
            <w:r w:rsidRPr="00D72200">
              <w:rPr>
                <w:b/>
                <w:color w:val="000000"/>
                <w:sz w:val="22"/>
                <w:szCs w:val="22"/>
              </w:rPr>
              <w:t>ena u vr</w:t>
            </w:r>
            <w:r w:rsidR="00990378" w:rsidRPr="00D72200">
              <w:rPr>
                <w:b/>
                <w:color w:val="000000"/>
                <w:sz w:val="22"/>
                <w:szCs w:val="22"/>
              </w:rPr>
              <w:t>ij</w:t>
            </w:r>
            <w:r w:rsidRPr="00D72200">
              <w:rPr>
                <w:b/>
                <w:color w:val="000000"/>
                <w:sz w:val="22"/>
                <w:szCs w:val="22"/>
              </w:rPr>
              <w:t>ednosti PIK* rosuvastatina</w:t>
            </w:r>
          </w:p>
        </w:tc>
      </w:tr>
      <w:tr w:rsidR="00D80265" w:rsidRPr="00D72200" w14:paraId="36A1615D" w14:textId="77777777" w:rsidTr="000F132E">
        <w:trPr>
          <w:jc w:val="center"/>
        </w:trPr>
        <w:tc>
          <w:tcPr>
            <w:tcW w:w="4802" w:type="dxa"/>
            <w:shd w:val="clear" w:color="auto" w:fill="auto"/>
          </w:tcPr>
          <w:p w14:paraId="078540B5" w14:textId="2AC685A8" w:rsidR="00D80265" w:rsidRPr="00D72200" w:rsidRDefault="00D80265" w:rsidP="008246D3">
            <w:pPr>
              <w:rPr>
                <w:color w:val="000000"/>
                <w:sz w:val="22"/>
                <w:szCs w:val="22"/>
              </w:rPr>
            </w:pPr>
            <w:r w:rsidRPr="00D72200">
              <w:rPr>
                <w:color w:val="000000"/>
                <w:sz w:val="22"/>
                <w:szCs w:val="22"/>
              </w:rPr>
              <w:t>Sofosbuvir/velpatasvir/voxilaprevir (400 mg-100 mg-100 mg) + Voxilaprevir (100 mg) OD, 15 dana</w:t>
            </w:r>
          </w:p>
        </w:tc>
        <w:tc>
          <w:tcPr>
            <w:tcW w:w="3059" w:type="dxa"/>
            <w:shd w:val="clear" w:color="auto" w:fill="auto"/>
          </w:tcPr>
          <w:p w14:paraId="1E102391" w14:textId="6C2CFCA4" w:rsidR="00D80265" w:rsidRPr="00D72200" w:rsidRDefault="00D80265" w:rsidP="008246D3">
            <w:pPr>
              <w:jc w:val="center"/>
              <w:rPr>
                <w:color w:val="000000"/>
                <w:sz w:val="22"/>
                <w:szCs w:val="22"/>
              </w:rPr>
            </w:pPr>
            <w:r w:rsidRPr="00D72200">
              <w:rPr>
                <w:color w:val="000000"/>
                <w:sz w:val="22"/>
                <w:szCs w:val="22"/>
              </w:rPr>
              <w:t>10 mg, pojedinačna doza</w:t>
            </w:r>
          </w:p>
        </w:tc>
        <w:tc>
          <w:tcPr>
            <w:tcW w:w="1894" w:type="dxa"/>
            <w:shd w:val="clear" w:color="auto" w:fill="auto"/>
          </w:tcPr>
          <w:p w14:paraId="6C3133E9" w14:textId="3DDB1A46" w:rsidR="00D80265" w:rsidRPr="00D72200" w:rsidRDefault="00D80265" w:rsidP="008246D3">
            <w:pPr>
              <w:jc w:val="center"/>
              <w:rPr>
                <w:color w:val="000000"/>
                <w:sz w:val="22"/>
                <w:szCs w:val="22"/>
              </w:rPr>
            </w:pPr>
            <w:r w:rsidRPr="00D72200">
              <w:rPr>
                <w:color w:val="000000"/>
                <w:sz w:val="22"/>
                <w:szCs w:val="22"/>
              </w:rPr>
              <w:t>7,4 puta↑</w:t>
            </w:r>
          </w:p>
        </w:tc>
      </w:tr>
      <w:tr w:rsidR="00D0429D" w:rsidRPr="00D72200" w14:paraId="7B456B4C" w14:textId="77777777" w:rsidTr="000F132E">
        <w:trPr>
          <w:jc w:val="center"/>
        </w:trPr>
        <w:tc>
          <w:tcPr>
            <w:tcW w:w="4802" w:type="dxa"/>
            <w:shd w:val="clear" w:color="auto" w:fill="auto"/>
          </w:tcPr>
          <w:p w14:paraId="661E3F22" w14:textId="58A3F300" w:rsidR="00D0429D" w:rsidRPr="00D72200" w:rsidRDefault="00D0429D" w:rsidP="008246D3">
            <w:pPr>
              <w:rPr>
                <w:color w:val="000000"/>
                <w:sz w:val="22"/>
                <w:szCs w:val="22"/>
              </w:rPr>
            </w:pPr>
            <w:r w:rsidRPr="00D72200">
              <w:rPr>
                <w:color w:val="000000"/>
                <w:sz w:val="22"/>
                <w:szCs w:val="22"/>
              </w:rPr>
              <w:t>Ciklosporin 75 mg BID do 200 mg BID, 6 m</w:t>
            </w:r>
            <w:r w:rsidR="00990378" w:rsidRPr="00D72200">
              <w:rPr>
                <w:color w:val="000000"/>
                <w:sz w:val="22"/>
                <w:szCs w:val="22"/>
              </w:rPr>
              <w:t>j</w:t>
            </w:r>
            <w:r w:rsidRPr="00D72200">
              <w:rPr>
                <w:color w:val="000000"/>
                <w:sz w:val="22"/>
                <w:szCs w:val="22"/>
              </w:rPr>
              <w:t>eseci</w:t>
            </w:r>
          </w:p>
        </w:tc>
        <w:tc>
          <w:tcPr>
            <w:tcW w:w="3059" w:type="dxa"/>
            <w:shd w:val="clear" w:color="auto" w:fill="auto"/>
          </w:tcPr>
          <w:p w14:paraId="3168D7F7" w14:textId="77777777" w:rsidR="00D0429D" w:rsidRPr="00D72200" w:rsidRDefault="00D0429D" w:rsidP="008246D3">
            <w:pPr>
              <w:jc w:val="center"/>
              <w:rPr>
                <w:color w:val="000000"/>
                <w:sz w:val="22"/>
                <w:szCs w:val="22"/>
              </w:rPr>
            </w:pPr>
            <w:r w:rsidRPr="00D72200">
              <w:rPr>
                <w:color w:val="000000"/>
                <w:sz w:val="22"/>
                <w:szCs w:val="22"/>
              </w:rPr>
              <w:t>10 mg OD, 10 dana</w:t>
            </w:r>
          </w:p>
        </w:tc>
        <w:tc>
          <w:tcPr>
            <w:tcW w:w="1894" w:type="dxa"/>
            <w:shd w:val="clear" w:color="auto" w:fill="auto"/>
          </w:tcPr>
          <w:p w14:paraId="1E31E5B1" w14:textId="77777777" w:rsidR="00D0429D" w:rsidRPr="00D72200" w:rsidRDefault="00D0429D" w:rsidP="008246D3">
            <w:pPr>
              <w:jc w:val="center"/>
              <w:rPr>
                <w:color w:val="000000"/>
                <w:sz w:val="22"/>
                <w:szCs w:val="22"/>
              </w:rPr>
            </w:pPr>
            <w:r w:rsidRPr="00D72200">
              <w:rPr>
                <w:color w:val="000000"/>
                <w:sz w:val="22"/>
                <w:szCs w:val="22"/>
              </w:rPr>
              <w:t>7,1 puta↑</w:t>
            </w:r>
          </w:p>
        </w:tc>
      </w:tr>
      <w:tr w:rsidR="00D80265" w:rsidRPr="00D72200" w14:paraId="28A8C8D7" w14:textId="77777777" w:rsidTr="000F132E">
        <w:trPr>
          <w:jc w:val="center"/>
        </w:trPr>
        <w:tc>
          <w:tcPr>
            <w:tcW w:w="4802" w:type="dxa"/>
            <w:shd w:val="clear" w:color="auto" w:fill="auto"/>
          </w:tcPr>
          <w:p w14:paraId="6D9B8DE9" w14:textId="5C0FDB2F" w:rsidR="00D80265" w:rsidRPr="00D72200" w:rsidRDefault="00D80265" w:rsidP="008246D3">
            <w:pPr>
              <w:rPr>
                <w:color w:val="000000"/>
                <w:sz w:val="22"/>
                <w:szCs w:val="22"/>
              </w:rPr>
            </w:pPr>
            <w:r w:rsidRPr="00D72200">
              <w:rPr>
                <w:color w:val="000000"/>
                <w:sz w:val="22"/>
                <w:szCs w:val="22"/>
              </w:rPr>
              <w:t>Darolutamide 600 mg BID, 5 dana</w:t>
            </w:r>
          </w:p>
        </w:tc>
        <w:tc>
          <w:tcPr>
            <w:tcW w:w="3059" w:type="dxa"/>
            <w:shd w:val="clear" w:color="auto" w:fill="auto"/>
          </w:tcPr>
          <w:p w14:paraId="03A005CE" w14:textId="248CE8F3" w:rsidR="00D80265" w:rsidRPr="00D72200" w:rsidRDefault="00D80265" w:rsidP="008246D3">
            <w:pPr>
              <w:jc w:val="center"/>
              <w:rPr>
                <w:color w:val="000000"/>
                <w:sz w:val="22"/>
                <w:szCs w:val="22"/>
              </w:rPr>
            </w:pPr>
            <w:r w:rsidRPr="00D72200">
              <w:rPr>
                <w:color w:val="000000"/>
                <w:sz w:val="22"/>
                <w:szCs w:val="22"/>
              </w:rPr>
              <w:t>5 mg, pojedinačna doza</w:t>
            </w:r>
          </w:p>
        </w:tc>
        <w:tc>
          <w:tcPr>
            <w:tcW w:w="1894" w:type="dxa"/>
            <w:shd w:val="clear" w:color="auto" w:fill="auto"/>
          </w:tcPr>
          <w:p w14:paraId="2D0B6184" w14:textId="5CEB6954" w:rsidR="00D80265" w:rsidRPr="00D72200" w:rsidRDefault="00D80265" w:rsidP="008246D3">
            <w:pPr>
              <w:jc w:val="center"/>
              <w:rPr>
                <w:color w:val="000000"/>
                <w:sz w:val="22"/>
                <w:szCs w:val="22"/>
              </w:rPr>
            </w:pPr>
            <w:r w:rsidRPr="00D72200">
              <w:rPr>
                <w:color w:val="000000"/>
                <w:sz w:val="22"/>
                <w:szCs w:val="22"/>
              </w:rPr>
              <w:t>5,2 puta↑</w:t>
            </w:r>
          </w:p>
        </w:tc>
      </w:tr>
      <w:tr w:rsidR="002E14CF" w:rsidRPr="00D72200" w14:paraId="0F987F54" w14:textId="77777777" w:rsidTr="000F132E">
        <w:trPr>
          <w:jc w:val="center"/>
        </w:trPr>
        <w:tc>
          <w:tcPr>
            <w:tcW w:w="4802" w:type="dxa"/>
            <w:shd w:val="clear" w:color="auto" w:fill="auto"/>
          </w:tcPr>
          <w:p w14:paraId="1E0D2341" w14:textId="2E566F9E" w:rsidR="002E14CF" w:rsidRPr="00D72200" w:rsidRDefault="002E14CF" w:rsidP="008246D3">
            <w:pPr>
              <w:rPr>
                <w:color w:val="000000"/>
                <w:sz w:val="22"/>
                <w:szCs w:val="22"/>
              </w:rPr>
            </w:pPr>
            <w:r w:rsidRPr="00D72200">
              <w:rPr>
                <w:color w:val="000000"/>
                <w:sz w:val="22"/>
                <w:szCs w:val="22"/>
              </w:rPr>
              <w:t>Regorafenib 160 mg, OD, 14 dana</w:t>
            </w:r>
          </w:p>
        </w:tc>
        <w:tc>
          <w:tcPr>
            <w:tcW w:w="3059" w:type="dxa"/>
            <w:shd w:val="clear" w:color="auto" w:fill="auto"/>
          </w:tcPr>
          <w:p w14:paraId="790E4576" w14:textId="15EE253F" w:rsidR="002E14CF" w:rsidRPr="00D72200" w:rsidRDefault="002E14CF" w:rsidP="008246D3">
            <w:pPr>
              <w:jc w:val="center"/>
              <w:rPr>
                <w:color w:val="000000"/>
                <w:sz w:val="22"/>
                <w:szCs w:val="22"/>
              </w:rPr>
            </w:pPr>
            <w:r w:rsidRPr="00D72200">
              <w:rPr>
                <w:color w:val="000000"/>
                <w:sz w:val="22"/>
                <w:szCs w:val="22"/>
              </w:rPr>
              <w:t xml:space="preserve">5 mg, pojedinačna </w:t>
            </w:r>
            <w:r w:rsidR="001B3485" w:rsidRPr="00D72200">
              <w:rPr>
                <w:color w:val="000000"/>
                <w:sz w:val="22"/>
                <w:szCs w:val="22"/>
              </w:rPr>
              <w:t>doza</w:t>
            </w:r>
          </w:p>
        </w:tc>
        <w:tc>
          <w:tcPr>
            <w:tcW w:w="1894" w:type="dxa"/>
            <w:shd w:val="clear" w:color="auto" w:fill="auto"/>
          </w:tcPr>
          <w:p w14:paraId="338BA728" w14:textId="4EC40217" w:rsidR="002E14CF" w:rsidRPr="00D72200" w:rsidRDefault="001B3485" w:rsidP="008246D3">
            <w:pPr>
              <w:jc w:val="center"/>
              <w:rPr>
                <w:color w:val="000000"/>
                <w:sz w:val="22"/>
                <w:szCs w:val="22"/>
              </w:rPr>
            </w:pPr>
            <w:r w:rsidRPr="00D72200">
              <w:rPr>
                <w:color w:val="000000"/>
                <w:sz w:val="22"/>
                <w:szCs w:val="22"/>
              </w:rPr>
              <w:t>3,8 puta↑</w:t>
            </w:r>
          </w:p>
        </w:tc>
      </w:tr>
      <w:tr w:rsidR="00D0429D" w:rsidRPr="00D72200" w14:paraId="3302D9A3" w14:textId="77777777" w:rsidTr="000F132E">
        <w:trPr>
          <w:jc w:val="center"/>
        </w:trPr>
        <w:tc>
          <w:tcPr>
            <w:tcW w:w="4802" w:type="dxa"/>
            <w:shd w:val="clear" w:color="auto" w:fill="auto"/>
          </w:tcPr>
          <w:p w14:paraId="31324510" w14:textId="77777777" w:rsidR="00D0429D" w:rsidRPr="00D72200" w:rsidRDefault="00D0429D" w:rsidP="008246D3">
            <w:pPr>
              <w:rPr>
                <w:color w:val="000000"/>
                <w:sz w:val="22"/>
                <w:szCs w:val="22"/>
              </w:rPr>
            </w:pPr>
            <w:r w:rsidRPr="00D72200">
              <w:rPr>
                <w:color w:val="000000"/>
                <w:sz w:val="22"/>
                <w:szCs w:val="22"/>
              </w:rPr>
              <w:t>Atazanavir 300 mg/ritonavir 100 mg, OD, 8 dana</w:t>
            </w:r>
          </w:p>
        </w:tc>
        <w:tc>
          <w:tcPr>
            <w:tcW w:w="3059" w:type="dxa"/>
            <w:shd w:val="clear" w:color="auto" w:fill="auto"/>
          </w:tcPr>
          <w:p w14:paraId="7090336D" w14:textId="77777777" w:rsidR="00D0429D" w:rsidRPr="00D72200" w:rsidRDefault="00D0429D" w:rsidP="008246D3">
            <w:pPr>
              <w:jc w:val="center"/>
              <w:rPr>
                <w:color w:val="000000"/>
                <w:sz w:val="22"/>
                <w:szCs w:val="22"/>
              </w:rPr>
            </w:pPr>
            <w:r w:rsidRPr="00D72200">
              <w:rPr>
                <w:color w:val="000000"/>
                <w:sz w:val="22"/>
                <w:szCs w:val="22"/>
              </w:rPr>
              <w:t>10 mg, jedna doza</w:t>
            </w:r>
          </w:p>
        </w:tc>
        <w:tc>
          <w:tcPr>
            <w:tcW w:w="1894" w:type="dxa"/>
            <w:shd w:val="clear" w:color="auto" w:fill="auto"/>
          </w:tcPr>
          <w:p w14:paraId="6711DAC6" w14:textId="77777777" w:rsidR="00D0429D" w:rsidRPr="00D72200" w:rsidRDefault="00D0429D" w:rsidP="008246D3">
            <w:pPr>
              <w:jc w:val="center"/>
              <w:rPr>
                <w:color w:val="000000"/>
                <w:sz w:val="22"/>
                <w:szCs w:val="22"/>
              </w:rPr>
            </w:pPr>
            <w:r w:rsidRPr="00D72200">
              <w:rPr>
                <w:color w:val="000000"/>
                <w:sz w:val="22"/>
                <w:szCs w:val="22"/>
              </w:rPr>
              <w:t>3,1 puta↑</w:t>
            </w:r>
          </w:p>
        </w:tc>
      </w:tr>
      <w:tr w:rsidR="00D0429D" w:rsidRPr="00D72200" w14:paraId="6498DC50" w14:textId="77777777" w:rsidTr="000F132E">
        <w:trPr>
          <w:jc w:val="center"/>
        </w:trPr>
        <w:tc>
          <w:tcPr>
            <w:tcW w:w="4802" w:type="dxa"/>
            <w:shd w:val="clear" w:color="auto" w:fill="auto"/>
          </w:tcPr>
          <w:p w14:paraId="0F6417C9" w14:textId="15CC18A9" w:rsidR="00D0429D" w:rsidRPr="00D72200" w:rsidRDefault="001B3485" w:rsidP="008246D3">
            <w:pPr>
              <w:rPr>
                <w:color w:val="000000"/>
                <w:sz w:val="22"/>
                <w:szCs w:val="22"/>
              </w:rPr>
            </w:pPr>
            <w:r w:rsidRPr="00D72200">
              <w:rPr>
                <w:color w:val="000000"/>
                <w:sz w:val="22"/>
                <w:szCs w:val="22"/>
              </w:rPr>
              <w:t>Velpatasvir 100 mg OD</w:t>
            </w:r>
          </w:p>
        </w:tc>
        <w:tc>
          <w:tcPr>
            <w:tcW w:w="3059" w:type="dxa"/>
            <w:shd w:val="clear" w:color="auto" w:fill="auto"/>
          </w:tcPr>
          <w:p w14:paraId="0DF13E22" w14:textId="77777777" w:rsidR="00D0429D" w:rsidRPr="00D72200" w:rsidRDefault="00D0429D" w:rsidP="008246D3">
            <w:pPr>
              <w:jc w:val="center"/>
              <w:rPr>
                <w:color w:val="000000"/>
                <w:sz w:val="22"/>
                <w:szCs w:val="22"/>
              </w:rPr>
            </w:pPr>
            <w:r w:rsidRPr="00D72200">
              <w:rPr>
                <w:color w:val="000000"/>
                <w:sz w:val="22"/>
                <w:szCs w:val="22"/>
              </w:rPr>
              <w:t>10 mg, jedna doza</w:t>
            </w:r>
          </w:p>
        </w:tc>
        <w:tc>
          <w:tcPr>
            <w:tcW w:w="1894" w:type="dxa"/>
            <w:shd w:val="clear" w:color="auto" w:fill="auto"/>
          </w:tcPr>
          <w:p w14:paraId="7AE95618" w14:textId="1A05B6DF" w:rsidR="00D0429D" w:rsidRPr="00D72200" w:rsidRDefault="001B3485" w:rsidP="008246D3">
            <w:pPr>
              <w:jc w:val="center"/>
              <w:rPr>
                <w:color w:val="000000"/>
                <w:sz w:val="22"/>
                <w:szCs w:val="22"/>
              </w:rPr>
            </w:pPr>
            <w:r w:rsidRPr="00D72200">
              <w:rPr>
                <w:color w:val="000000"/>
                <w:sz w:val="22"/>
                <w:szCs w:val="22"/>
              </w:rPr>
              <w:t>2,7</w:t>
            </w:r>
            <w:r w:rsidR="00D0429D" w:rsidRPr="00D72200">
              <w:rPr>
                <w:color w:val="000000"/>
                <w:sz w:val="22"/>
                <w:szCs w:val="22"/>
              </w:rPr>
              <w:t xml:space="preserve"> puta↑</w:t>
            </w:r>
          </w:p>
        </w:tc>
      </w:tr>
      <w:tr w:rsidR="001B3485" w:rsidRPr="00D72200" w14:paraId="6F087B4A" w14:textId="77777777" w:rsidTr="000F132E">
        <w:trPr>
          <w:jc w:val="center"/>
        </w:trPr>
        <w:tc>
          <w:tcPr>
            <w:tcW w:w="4802" w:type="dxa"/>
            <w:shd w:val="clear" w:color="auto" w:fill="auto"/>
          </w:tcPr>
          <w:p w14:paraId="5F656A88" w14:textId="06293E2E" w:rsidR="001B3485" w:rsidRPr="00D72200" w:rsidRDefault="001B3485" w:rsidP="008246D3">
            <w:pPr>
              <w:rPr>
                <w:color w:val="000000"/>
                <w:sz w:val="22"/>
                <w:szCs w:val="22"/>
              </w:rPr>
            </w:pPr>
            <w:r w:rsidRPr="00D72200">
              <w:rPr>
                <w:color w:val="000000"/>
                <w:sz w:val="22"/>
                <w:szCs w:val="22"/>
              </w:rPr>
              <w:t>Ombitasvir 25 mg/paritaprevir 150 mg/ritonavir 100 mg OD/dasabuvir 400 mg BID, 14 dana</w:t>
            </w:r>
          </w:p>
        </w:tc>
        <w:tc>
          <w:tcPr>
            <w:tcW w:w="3059" w:type="dxa"/>
            <w:shd w:val="clear" w:color="auto" w:fill="auto"/>
          </w:tcPr>
          <w:p w14:paraId="50B4BB39" w14:textId="3081626C" w:rsidR="001B3485" w:rsidRPr="00D72200" w:rsidRDefault="001B3485" w:rsidP="008246D3">
            <w:pPr>
              <w:jc w:val="center"/>
              <w:rPr>
                <w:color w:val="000000"/>
                <w:sz w:val="22"/>
                <w:szCs w:val="22"/>
              </w:rPr>
            </w:pPr>
            <w:r w:rsidRPr="00D72200">
              <w:rPr>
                <w:color w:val="000000"/>
                <w:sz w:val="22"/>
                <w:szCs w:val="22"/>
              </w:rPr>
              <w:t>5 mg. pojedinačna doza</w:t>
            </w:r>
          </w:p>
        </w:tc>
        <w:tc>
          <w:tcPr>
            <w:tcW w:w="1894" w:type="dxa"/>
            <w:shd w:val="clear" w:color="auto" w:fill="auto"/>
          </w:tcPr>
          <w:p w14:paraId="407F4F0D" w14:textId="3ABF337D" w:rsidR="001B3485" w:rsidRPr="00D72200" w:rsidRDefault="001B3485" w:rsidP="008246D3">
            <w:pPr>
              <w:jc w:val="center"/>
              <w:rPr>
                <w:color w:val="000000"/>
                <w:sz w:val="22"/>
                <w:szCs w:val="22"/>
              </w:rPr>
            </w:pPr>
            <w:r w:rsidRPr="00D72200">
              <w:rPr>
                <w:color w:val="000000"/>
                <w:sz w:val="22"/>
                <w:szCs w:val="22"/>
              </w:rPr>
              <w:t>2,6 puta↑</w:t>
            </w:r>
          </w:p>
        </w:tc>
      </w:tr>
      <w:tr w:rsidR="001B3485" w:rsidRPr="00D72200" w14:paraId="7EE8D681" w14:textId="77777777" w:rsidTr="000F132E">
        <w:trPr>
          <w:jc w:val="center"/>
        </w:trPr>
        <w:tc>
          <w:tcPr>
            <w:tcW w:w="4802" w:type="dxa"/>
            <w:shd w:val="clear" w:color="auto" w:fill="auto"/>
          </w:tcPr>
          <w:p w14:paraId="600DD91E" w14:textId="34A3DEF8" w:rsidR="001B3485" w:rsidRPr="00D72200" w:rsidRDefault="001B3485" w:rsidP="008246D3">
            <w:pPr>
              <w:rPr>
                <w:color w:val="000000"/>
                <w:sz w:val="22"/>
                <w:szCs w:val="22"/>
              </w:rPr>
            </w:pPr>
            <w:r w:rsidRPr="00D72200">
              <w:rPr>
                <w:color w:val="000000"/>
                <w:sz w:val="22"/>
                <w:szCs w:val="22"/>
              </w:rPr>
              <w:t>Grazoprevir 200 mg/elbasvir 50 mg OD, 11 dana</w:t>
            </w:r>
          </w:p>
        </w:tc>
        <w:tc>
          <w:tcPr>
            <w:tcW w:w="3059" w:type="dxa"/>
            <w:shd w:val="clear" w:color="auto" w:fill="auto"/>
          </w:tcPr>
          <w:p w14:paraId="0E4F37DB" w14:textId="542163D1" w:rsidR="001B3485" w:rsidRPr="00D72200" w:rsidRDefault="001B3485" w:rsidP="008246D3">
            <w:pPr>
              <w:jc w:val="center"/>
              <w:rPr>
                <w:color w:val="000000"/>
                <w:sz w:val="22"/>
                <w:szCs w:val="22"/>
              </w:rPr>
            </w:pPr>
            <w:r w:rsidRPr="00D72200">
              <w:rPr>
                <w:color w:val="000000"/>
                <w:sz w:val="22"/>
                <w:szCs w:val="22"/>
              </w:rPr>
              <w:t>10 mg, jedna doza</w:t>
            </w:r>
          </w:p>
        </w:tc>
        <w:tc>
          <w:tcPr>
            <w:tcW w:w="1894" w:type="dxa"/>
            <w:shd w:val="clear" w:color="auto" w:fill="auto"/>
          </w:tcPr>
          <w:p w14:paraId="101E8BE0" w14:textId="3FC03570" w:rsidR="001B3485" w:rsidRPr="00D72200" w:rsidRDefault="001B3485" w:rsidP="008246D3">
            <w:pPr>
              <w:jc w:val="center"/>
              <w:rPr>
                <w:color w:val="000000"/>
                <w:sz w:val="22"/>
                <w:szCs w:val="22"/>
              </w:rPr>
            </w:pPr>
            <w:r w:rsidRPr="00D72200">
              <w:rPr>
                <w:color w:val="000000"/>
                <w:sz w:val="22"/>
                <w:szCs w:val="22"/>
              </w:rPr>
              <w:t>2,3 puta↑</w:t>
            </w:r>
          </w:p>
        </w:tc>
      </w:tr>
      <w:tr w:rsidR="001B3485" w:rsidRPr="00D72200" w14:paraId="78B9CDE3" w14:textId="77777777" w:rsidTr="000F132E">
        <w:trPr>
          <w:jc w:val="center"/>
        </w:trPr>
        <w:tc>
          <w:tcPr>
            <w:tcW w:w="4802" w:type="dxa"/>
            <w:shd w:val="clear" w:color="auto" w:fill="auto"/>
          </w:tcPr>
          <w:p w14:paraId="4CBF53AF" w14:textId="01C151C6" w:rsidR="001B3485" w:rsidRPr="00D72200" w:rsidRDefault="001B3485" w:rsidP="008246D3">
            <w:pPr>
              <w:rPr>
                <w:color w:val="000000"/>
                <w:sz w:val="22"/>
                <w:szCs w:val="22"/>
              </w:rPr>
            </w:pPr>
            <w:r w:rsidRPr="00D72200">
              <w:rPr>
                <w:color w:val="000000"/>
                <w:sz w:val="22"/>
                <w:szCs w:val="22"/>
              </w:rPr>
              <w:t>Glecaprevir 400 mg/pibrentasvir 120 mg OD, 7 dana</w:t>
            </w:r>
          </w:p>
        </w:tc>
        <w:tc>
          <w:tcPr>
            <w:tcW w:w="3059" w:type="dxa"/>
            <w:shd w:val="clear" w:color="auto" w:fill="auto"/>
          </w:tcPr>
          <w:p w14:paraId="62FA2CD9" w14:textId="00D25AA3" w:rsidR="001B3485" w:rsidRPr="00D72200" w:rsidRDefault="001B3485" w:rsidP="008246D3">
            <w:pPr>
              <w:jc w:val="center"/>
              <w:rPr>
                <w:color w:val="000000"/>
                <w:sz w:val="22"/>
                <w:szCs w:val="22"/>
              </w:rPr>
            </w:pPr>
            <w:r w:rsidRPr="00D72200">
              <w:rPr>
                <w:color w:val="000000"/>
                <w:sz w:val="22"/>
                <w:szCs w:val="22"/>
              </w:rPr>
              <w:t>5 mg OD, 7 dana</w:t>
            </w:r>
          </w:p>
        </w:tc>
        <w:tc>
          <w:tcPr>
            <w:tcW w:w="1894" w:type="dxa"/>
            <w:shd w:val="clear" w:color="auto" w:fill="auto"/>
          </w:tcPr>
          <w:p w14:paraId="32977D97" w14:textId="538C39F2" w:rsidR="001B3485" w:rsidRPr="00D72200" w:rsidRDefault="001B3485" w:rsidP="008246D3">
            <w:pPr>
              <w:jc w:val="center"/>
              <w:rPr>
                <w:color w:val="000000"/>
                <w:sz w:val="22"/>
                <w:szCs w:val="22"/>
              </w:rPr>
            </w:pPr>
            <w:r w:rsidRPr="00D72200">
              <w:rPr>
                <w:color w:val="000000"/>
                <w:sz w:val="22"/>
                <w:szCs w:val="22"/>
              </w:rPr>
              <w:t>2,2 puta↑</w:t>
            </w:r>
          </w:p>
        </w:tc>
      </w:tr>
      <w:tr w:rsidR="00D0429D" w:rsidRPr="00D72200" w14:paraId="139D9C25" w14:textId="77777777" w:rsidTr="000F132E">
        <w:trPr>
          <w:jc w:val="center"/>
        </w:trPr>
        <w:tc>
          <w:tcPr>
            <w:tcW w:w="4802" w:type="dxa"/>
            <w:shd w:val="clear" w:color="auto" w:fill="auto"/>
          </w:tcPr>
          <w:p w14:paraId="5748E42B" w14:textId="77777777" w:rsidR="00D0429D" w:rsidRPr="00D72200" w:rsidRDefault="00D0429D" w:rsidP="008246D3">
            <w:pPr>
              <w:rPr>
                <w:color w:val="000000"/>
                <w:sz w:val="22"/>
                <w:szCs w:val="22"/>
              </w:rPr>
            </w:pPr>
            <w:r w:rsidRPr="00D72200">
              <w:rPr>
                <w:color w:val="000000"/>
                <w:sz w:val="22"/>
                <w:szCs w:val="22"/>
              </w:rPr>
              <w:t>Lopinavir 400 mg/ritonavir 100 mg, BID, 17 dana</w:t>
            </w:r>
          </w:p>
        </w:tc>
        <w:tc>
          <w:tcPr>
            <w:tcW w:w="3059" w:type="dxa"/>
            <w:shd w:val="clear" w:color="auto" w:fill="auto"/>
          </w:tcPr>
          <w:p w14:paraId="2266302C" w14:textId="77777777" w:rsidR="00D0429D" w:rsidRPr="00D72200" w:rsidRDefault="00D0429D" w:rsidP="008246D3">
            <w:pPr>
              <w:jc w:val="center"/>
              <w:rPr>
                <w:color w:val="000000"/>
                <w:sz w:val="22"/>
                <w:szCs w:val="22"/>
              </w:rPr>
            </w:pPr>
            <w:r w:rsidRPr="00D72200">
              <w:rPr>
                <w:color w:val="000000"/>
                <w:sz w:val="22"/>
                <w:szCs w:val="22"/>
              </w:rPr>
              <w:t>20 mg OD, 7 dana</w:t>
            </w:r>
          </w:p>
        </w:tc>
        <w:tc>
          <w:tcPr>
            <w:tcW w:w="1894" w:type="dxa"/>
            <w:shd w:val="clear" w:color="auto" w:fill="auto"/>
          </w:tcPr>
          <w:p w14:paraId="4552C6B3" w14:textId="77777777" w:rsidR="00D0429D" w:rsidRPr="00D72200" w:rsidRDefault="00D0429D" w:rsidP="008246D3">
            <w:pPr>
              <w:jc w:val="center"/>
              <w:rPr>
                <w:color w:val="000000"/>
                <w:sz w:val="22"/>
                <w:szCs w:val="22"/>
              </w:rPr>
            </w:pPr>
            <w:r w:rsidRPr="00D72200">
              <w:rPr>
                <w:color w:val="000000"/>
                <w:sz w:val="22"/>
                <w:szCs w:val="22"/>
              </w:rPr>
              <w:t>2,1 puta↑</w:t>
            </w:r>
          </w:p>
        </w:tc>
      </w:tr>
      <w:tr w:rsidR="00D0429D" w:rsidRPr="00D72200" w14:paraId="18BD5D37" w14:textId="77777777" w:rsidTr="000F132E">
        <w:trPr>
          <w:jc w:val="center"/>
        </w:trPr>
        <w:tc>
          <w:tcPr>
            <w:tcW w:w="4802" w:type="dxa"/>
            <w:shd w:val="clear" w:color="auto" w:fill="auto"/>
          </w:tcPr>
          <w:p w14:paraId="207BE620" w14:textId="77777777" w:rsidR="00D0429D" w:rsidRPr="00D72200" w:rsidRDefault="00D0429D" w:rsidP="008246D3">
            <w:pPr>
              <w:rPr>
                <w:color w:val="000000"/>
                <w:sz w:val="22"/>
                <w:szCs w:val="22"/>
              </w:rPr>
            </w:pPr>
            <w:r w:rsidRPr="00D72200">
              <w:rPr>
                <w:color w:val="000000"/>
                <w:sz w:val="22"/>
                <w:szCs w:val="22"/>
              </w:rPr>
              <w:t>Klopidogrel 300 mg inicijalna doza, i 75 mg nakon 24 sata</w:t>
            </w:r>
          </w:p>
        </w:tc>
        <w:tc>
          <w:tcPr>
            <w:tcW w:w="3059" w:type="dxa"/>
            <w:shd w:val="clear" w:color="auto" w:fill="auto"/>
          </w:tcPr>
          <w:p w14:paraId="4C381352" w14:textId="77777777" w:rsidR="00D0429D" w:rsidRPr="00D72200" w:rsidRDefault="00D0429D" w:rsidP="008246D3">
            <w:pPr>
              <w:jc w:val="center"/>
              <w:rPr>
                <w:color w:val="000000"/>
                <w:sz w:val="22"/>
                <w:szCs w:val="22"/>
              </w:rPr>
            </w:pPr>
            <w:r w:rsidRPr="00D72200">
              <w:rPr>
                <w:color w:val="000000"/>
                <w:sz w:val="22"/>
                <w:szCs w:val="22"/>
              </w:rPr>
              <w:t>20 mg, pojedinačna doza</w:t>
            </w:r>
          </w:p>
        </w:tc>
        <w:tc>
          <w:tcPr>
            <w:tcW w:w="1894" w:type="dxa"/>
            <w:shd w:val="clear" w:color="auto" w:fill="auto"/>
          </w:tcPr>
          <w:p w14:paraId="1E4A0563" w14:textId="77777777" w:rsidR="00D0429D" w:rsidRPr="00D72200" w:rsidRDefault="00D0429D" w:rsidP="008246D3">
            <w:pPr>
              <w:jc w:val="center"/>
              <w:rPr>
                <w:color w:val="000000"/>
                <w:sz w:val="22"/>
                <w:szCs w:val="22"/>
              </w:rPr>
            </w:pPr>
            <w:r w:rsidRPr="00D72200">
              <w:rPr>
                <w:color w:val="000000"/>
                <w:sz w:val="22"/>
                <w:szCs w:val="22"/>
              </w:rPr>
              <w:t>2 puta↑</w:t>
            </w:r>
          </w:p>
        </w:tc>
      </w:tr>
      <w:tr w:rsidR="00D0429D" w:rsidRPr="00D72200" w14:paraId="162DBC9C" w14:textId="77777777" w:rsidTr="000F132E">
        <w:trPr>
          <w:jc w:val="center"/>
        </w:trPr>
        <w:tc>
          <w:tcPr>
            <w:tcW w:w="4802" w:type="dxa"/>
            <w:shd w:val="clear" w:color="auto" w:fill="auto"/>
          </w:tcPr>
          <w:p w14:paraId="33ADCDF0" w14:textId="77777777" w:rsidR="00D0429D" w:rsidRPr="00D72200" w:rsidRDefault="00D0429D" w:rsidP="008246D3">
            <w:pPr>
              <w:rPr>
                <w:color w:val="000000"/>
                <w:sz w:val="22"/>
                <w:szCs w:val="22"/>
              </w:rPr>
            </w:pPr>
            <w:r w:rsidRPr="00D72200">
              <w:rPr>
                <w:color w:val="000000"/>
                <w:sz w:val="22"/>
                <w:szCs w:val="22"/>
              </w:rPr>
              <w:t>Gemfibrozil 600 mg BID, 7 dana</w:t>
            </w:r>
          </w:p>
        </w:tc>
        <w:tc>
          <w:tcPr>
            <w:tcW w:w="3059" w:type="dxa"/>
            <w:shd w:val="clear" w:color="auto" w:fill="auto"/>
          </w:tcPr>
          <w:p w14:paraId="2DC24A8D" w14:textId="77777777" w:rsidR="00D0429D" w:rsidRPr="00D72200" w:rsidRDefault="00D0429D" w:rsidP="008246D3">
            <w:pPr>
              <w:jc w:val="center"/>
              <w:rPr>
                <w:color w:val="000000"/>
                <w:sz w:val="22"/>
                <w:szCs w:val="22"/>
              </w:rPr>
            </w:pPr>
            <w:r w:rsidRPr="00D72200">
              <w:rPr>
                <w:color w:val="000000"/>
                <w:sz w:val="22"/>
                <w:szCs w:val="22"/>
              </w:rPr>
              <w:t>80 mg, pojedinačna doza</w:t>
            </w:r>
          </w:p>
        </w:tc>
        <w:tc>
          <w:tcPr>
            <w:tcW w:w="1894" w:type="dxa"/>
            <w:shd w:val="clear" w:color="auto" w:fill="auto"/>
          </w:tcPr>
          <w:p w14:paraId="11B2DF50" w14:textId="77777777" w:rsidR="00D0429D" w:rsidRPr="00D72200" w:rsidRDefault="00D0429D" w:rsidP="008246D3">
            <w:pPr>
              <w:jc w:val="center"/>
              <w:rPr>
                <w:color w:val="000000"/>
                <w:sz w:val="22"/>
                <w:szCs w:val="22"/>
              </w:rPr>
            </w:pPr>
            <w:r w:rsidRPr="00D72200">
              <w:rPr>
                <w:color w:val="000000"/>
                <w:sz w:val="22"/>
                <w:szCs w:val="22"/>
              </w:rPr>
              <w:t>1,9 puta↑</w:t>
            </w:r>
          </w:p>
        </w:tc>
      </w:tr>
      <w:tr w:rsidR="001B192B" w:rsidRPr="00D72200" w14:paraId="15CA31C3" w14:textId="77777777" w:rsidTr="000F132E">
        <w:trPr>
          <w:jc w:val="center"/>
        </w:trPr>
        <w:tc>
          <w:tcPr>
            <w:tcW w:w="9755" w:type="dxa"/>
            <w:gridSpan w:val="3"/>
            <w:shd w:val="clear" w:color="auto" w:fill="auto"/>
          </w:tcPr>
          <w:p w14:paraId="30ED2C53" w14:textId="00DD029D" w:rsidR="001B192B" w:rsidRPr="00D72200" w:rsidRDefault="001B192B" w:rsidP="00376732">
            <w:pPr>
              <w:rPr>
                <w:b/>
                <w:bCs/>
                <w:color w:val="000000"/>
                <w:sz w:val="22"/>
                <w:szCs w:val="22"/>
              </w:rPr>
            </w:pPr>
            <w:r w:rsidRPr="00D72200">
              <w:rPr>
                <w:b/>
                <w:bCs/>
                <w:color w:val="000000"/>
                <w:sz w:val="22"/>
                <w:szCs w:val="22"/>
              </w:rPr>
              <w:lastRenderedPageBreak/>
              <w:t>Povećanje PIK-a rosuvastatina manje od 2 puta</w:t>
            </w:r>
          </w:p>
        </w:tc>
      </w:tr>
      <w:tr w:rsidR="00D0429D" w:rsidRPr="00D72200" w14:paraId="672BF3C0" w14:textId="77777777" w:rsidTr="000F132E">
        <w:trPr>
          <w:jc w:val="center"/>
        </w:trPr>
        <w:tc>
          <w:tcPr>
            <w:tcW w:w="4802" w:type="dxa"/>
            <w:shd w:val="clear" w:color="auto" w:fill="auto"/>
          </w:tcPr>
          <w:p w14:paraId="73A95727" w14:textId="77777777" w:rsidR="00D0429D" w:rsidRPr="00D72200" w:rsidRDefault="00D0429D" w:rsidP="008246D3">
            <w:pPr>
              <w:rPr>
                <w:color w:val="000000"/>
                <w:sz w:val="22"/>
                <w:szCs w:val="22"/>
              </w:rPr>
            </w:pPr>
            <w:r w:rsidRPr="00D72200">
              <w:rPr>
                <w:color w:val="000000"/>
                <w:sz w:val="22"/>
                <w:szCs w:val="22"/>
              </w:rPr>
              <w:t>Eltrombopag 75 mg OD, 5 dana</w:t>
            </w:r>
          </w:p>
        </w:tc>
        <w:tc>
          <w:tcPr>
            <w:tcW w:w="3059" w:type="dxa"/>
            <w:shd w:val="clear" w:color="auto" w:fill="auto"/>
          </w:tcPr>
          <w:p w14:paraId="428172FF" w14:textId="77777777" w:rsidR="00D0429D" w:rsidRPr="00D72200" w:rsidRDefault="00D0429D" w:rsidP="008246D3">
            <w:pPr>
              <w:jc w:val="center"/>
              <w:rPr>
                <w:color w:val="000000"/>
                <w:sz w:val="22"/>
                <w:szCs w:val="22"/>
              </w:rPr>
            </w:pPr>
            <w:r w:rsidRPr="00D72200">
              <w:rPr>
                <w:color w:val="000000"/>
                <w:sz w:val="22"/>
                <w:szCs w:val="22"/>
              </w:rPr>
              <w:t>10 mg, pojedinačna doza</w:t>
            </w:r>
          </w:p>
        </w:tc>
        <w:tc>
          <w:tcPr>
            <w:tcW w:w="1894" w:type="dxa"/>
            <w:shd w:val="clear" w:color="auto" w:fill="auto"/>
          </w:tcPr>
          <w:p w14:paraId="7B2575FA" w14:textId="77777777" w:rsidR="00D0429D" w:rsidRPr="00D72200" w:rsidRDefault="00D0429D" w:rsidP="008246D3">
            <w:pPr>
              <w:jc w:val="center"/>
              <w:rPr>
                <w:color w:val="000000"/>
                <w:sz w:val="22"/>
                <w:szCs w:val="22"/>
              </w:rPr>
            </w:pPr>
            <w:r w:rsidRPr="00D72200">
              <w:rPr>
                <w:color w:val="000000"/>
                <w:sz w:val="22"/>
                <w:szCs w:val="22"/>
              </w:rPr>
              <w:t>1,6 puta↑</w:t>
            </w:r>
          </w:p>
        </w:tc>
      </w:tr>
      <w:tr w:rsidR="00D0429D" w:rsidRPr="00D72200" w14:paraId="2C8CE1F8" w14:textId="77777777" w:rsidTr="000F132E">
        <w:trPr>
          <w:jc w:val="center"/>
        </w:trPr>
        <w:tc>
          <w:tcPr>
            <w:tcW w:w="4802" w:type="dxa"/>
            <w:shd w:val="clear" w:color="auto" w:fill="auto"/>
          </w:tcPr>
          <w:p w14:paraId="1C32F760" w14:textId="77777777" w:rsidR="00D0429D" w:rsidRPr="00D72200" w:rsidRDefault="00D0429D" w:rsidP="008246D3">
            <w:pPr>
              <w:rPr>
                <w:color w:val="000000"/>
                <w:sz w:val="22"/>
                <w:szCs w:val="22"/>
              </w:rPr>
            </w:pPr>
            <w:r w:rsidRPr="00D72200">
              <w:rPr>
                <w:color w:val="000000"/>
                <w:sz w:val="22"/>
                <w:szCs w:val="22"/>
              </w:rPr>
              <w:t>Darunavir 600 mg/ritonavir 100 mg BID, 7 dana</w:t>
            </w:r>
          </w:p>
        </w:tc>
        <w:tc>
          <w:tcPr>
            <w:tcW w:w="3059" w:type="dxa"/>
            <w:shd w:val="clear" w:color="auto" w:fill="auto"/>
          </w:tcPr>
          <w:p w14:paraId="6A48E38E" w14:textId="77777777" w:rsidR="00D0429D" w:rsidRPr="00D72200" w:rsidRDefault="00D0429D" w:rsidP="008246D3">
            <w:pPr>
              <w:jc w:val="center"/>
              <w:rPr>
                <w:color w:val="000000"/>
                <w:sz w:val="22"/>
                <w:szCs w:val="22"/>
              </w:rPr>
            </w:pPr>
            <w:r w:rsidRPr="00D72200">
              <w:rPr>
                <w:color w:val="000000"/>
                <w:sz w:val="22"/>
                <w:szCs w:val="22"/>
              </w:rPr>
              <w:t>10 mg OD, 7 dana</w:t>
            </w:r>
          </w:p>
        </w:tc>
        <w:tc>
          <w:tcPr>
            <w:tcW w:w="1894" w:type="dxa"/>
            <w:shd w:val="clear" w:color="auto" w:fill="auto"/>
          </w:tcPr>
          <w:p w14:paraId="094EBBF2" w14:textId="77777777" w:rsidR="00D0429D" w:rsidRPr="00D72200" w:rsidRDefault="00D0429D" w:rsidP="008246D3">
            <w:pPr>
              <w:jc w:val="center"/>
              <w:rPr>
                <w:color w:val="000000"/>
                <w:sz w:val="22"/>
                <w:szCs w:val="22"/>
              </w:rPr>
            </w:pPr>
            <w:r w:rsidRPr="00D72200">
              <w:rPr>
                <w:color w:val="000000"/>
                <w:sz w:val="22"/>
                <w:szCs w:val="22"/>
              </w:rPr>
              <w:t>1,5 puta↑</w:t>
            </w:r>
          </w:p>
        </w:tc>
      </w:tr>
      <w:tr w:rsidR="00D0429D" w:rsidRPr="00D72200" w14:paraId="077CFF92" w14:textId="77777777" w:rsidTr="000F132E">
        <w:trPr>
          <w:jc w:val="center"/>
        </w:trPr>
        <w:tc>
          <w:tcPr>
            <w:tcW w:w="4802" w:type="dxa"/>
            <w:shd w:val="clear" w:color="auto" w:fill="auto"/>
          </w:tcPr>
          <w:p w14:paraId="33C5C3A2" w14:textId="77777777" w:rsidR="00D0429D" w:rsidRPr="00D72200" w:rsidRDefault="00D0429D" w:rsidP="008246D3">
            <w:pPr>
              <w:rPr>
                <w:color w:val="000000"/>
                <w:sz w:val="22"/>
                <w:szCs w:val="22"/>
              </w:rPr>
            </w:pPr>
            <w:r w:rsidRPr="00D72200">
              <w:rPr>
                <w:color w:val="000000"/>
                <w:sz w:val="22"/>
                <w:szCs w:val="22"/>
              </w:rPr>
              <w:t>Tipranavir 500 mg/ritonavir 200 mg, BID, 11 dana</w:t>
            </w:r>
          </w:p>
        </w:tc>
        <w:tc>
          <w:tcPr>
            <w:tcW w:w="3059" w:type="dxa"/>
            <w:shd w:val="clear" w:color="auto" w:fill="auto"/>
          </w:tcPr>
          <w:p w14:paraId="44EEDDD7" w14:textId="77777777" w:rsidR="00D0429D" w:rsidRPr="00D72200" w:rsidRDefault="00D0429D" w:rsidP="008246D3">
            <w:pPr>
              <w:jc w:val="center"/>
              <w:rPr>
                <w:color w:val="000000"/>
                <w:sz w:val="22"/>
                <w:szCs w:val="22"/>
              </w:rPr>
            </w:pPr>
            <w:r w:rsidRPr="00D72200">
              <w:rPr>
                <w:color w:val="000000"/>
                <w:sz w:val="22"/>
                <w:szCs w:val="22"/>
              </w:rPr>
              <w:t>10 mg, pojedinačna doza</w:t>
            </w:r>
          </w:p>
        </w:tc>
        <w:tc>
          <w:tcPr>
            <w:tcW w:w="1894" w:type="dxa"/>
            <w:shd w:val="clear" w:color="auto" w:fill="auto"/>
          </w:tcPr>
          <w:p w14:paraId="1AC15F98" w14:textId="77777777" w:rsidR="00D0429D" w:rsidRPr="00D72200" w:rsidRDefault="00D0429D" w:rsidP="008246D3">
            <w:pPr>
              <w:jc w:val="center"/>
              <w:rPr>
                <w:color w:val="000000"/>
                <w:sz w:val="22"/>
                <w:szCs w:val="22"/>
              </w:rPr>
            </w:pPr>
            <w:r w:rsidRPr="00D72200">
              <w:rPr>
                <w:color w:val="000000"/>
                <w:sz w:val="22"/>
                <w:szCs w:val="22"/>
              </w:rPr>
              <w:t>1,4 puta↑</w:t>
            </w:r>
          </w:p>
        </w:tc>
      </w:tr>
      <w:tr w:rsidR="00D0429D" w:rsidRPr="00D72200" w14:paraId="6C67133E" w14:textId="77777777" w:rsidTr="000F132E">
        <w:trPr>
          <w:jc w:val="center"/>
        </w:trPr>
        <w:tc>
          <w:tcPr>
            <w:tcW w:w="4802" w:type="dxa"/>
            <w:shd w:val="clear" w:color="auto" w:fill="auto"/>
          </w:tcPr>
          <w:p w14:paraId="6165441A" w14:textId="77777777" w:rsidR="00D0429D" w:rsidRPr="00D72200" w:rsidRDefault="00D0429D" w:rsidP="008246D3">
            <w:pPr>
              <w:rPr>
                <w:color w:val="000000"/>
                <w:sz w:val="22"/>
                <w:szCs w:val="22"/>
              </w:rPr>
            </w:pPr>
            <w:r w:rsidRPr="00D72200">
              <w:rPr>
                <w:color w:val="000000"/>
                <w:sz w:val="22"/>
                <w:szCs w:val="22"/>
              </w:rPr>
              <w:t>Dronedaron 400 mg BID</w:t>
            </w:r>
          </w:p>
        </w:tc>
        <w:tc>
          <w:tcPr>
            <w:tcW w:w="3059" w:type="dxa"/>
            <w:shd w:val="clear" w:color="auto" w:fill="auto"/>
          </w:tcPr>
          <w:p w14:paraId="04F27EE7" w14:textId="77777777" w:rsidR="00D0429D" w:rsidRPr="00D72200" w:rsidRDefault="00D0429D" w:rsidP="008246D3">
            <w:pPr>
              <w:jc w:val="center"/>
              <w:rPr>
                <w:color w:val="000000"/>
                <w:sz w:val="22"/>
                <w:szCs w:val="22"/>
              </w:rPr>
            </w:pPr>
            <w:r w:rsidRPr="00D72200">
              <w:rPr>
                <w:color w:val="000000"/>
                <w:sz w:val="22"/>
                <w:szCs w:val="22"/>
              </w:rPr>
              <w:t>Nije dostupno</w:t>
            </w:r>
          </w:p>
        </w:tc>
        <w:tc>
          <w:tcPr>
            <w:tcW w:w="1894" w:type="dxa"/>
            <w:shd w:val="clear" w:color="auto" w:fill="auto"/>
          </w:tcPr>
          <w:p w14:paraId="65FB1525" w14:textId="77777777" w:rsidR="00D0429D" w:rsidRPr="00D72200" w:rsidRDefault="00D0429D" w:rsidP="008246D3">
            <w:pPr>
              <w:jc w:val="center"/>
              <w:rPr>
                <w:color w:val="000000"/>
                <w:sz w:val="22"/>
                <w:szCs w:val="22"/>
              </w:rPr>
            </w:pPr>
            <w:r w:rsidRPr="00D72200">
              <w:rPr>
                <w:color w:val="000000"/>
                <w:sz w:val="22"/>
                <w:szCs w:val="22"/>
              </w:rPr>
              <w:t>1,4 puta↑</w:t>
            </w:r>
          </w:p>
        </w:tc>
      </w:tr>
      <w:tr w:rsidR="00D0429D" w:rsidRPr="00D72200" w14:paraId="29EF5C35" w14:textId="77777777" w:rsidTr="000F132E">
        <w:trPr>
          <w:jc w:val="center"/>
        </w:trPr>
        <w:tc>
          <w:tcPr>
            <w:tcW w:w="4802" w:type="dxa"/>
            <w:shd w:val="clear" w:color="auto" w:fill="auto"/>
          </w:tcPr>
          <w:p w14:paraId="495A1374" w14:textId="77777777" w:rsidR="00D0429D" w:rsidRPr="00D72200" w:rsidRDefault="00D0429D" w:rsidP="008246D3">
            <w:pPr>
              <w:rPr>
                <w:color w:val="000000"/>
                <w:sz w:val="22"/>
                <w:szCs w:val="22"/>
              </w:rPr>
            </w:pPr>
            <w:r w:rsidRPr="00D72200">
              <w:rPr>
                <w:color w:val="000000"/>
                <w:sz w:val="22"/>
                <w:szCs w:val="22"/>
              </w:rPr>
              <w:t>Itrakonazol 200 mg OD, 5 dana</w:t>
            </w:r>
          </w:p>
        </w:tc>
        <w:tc>
          <w:tcPr>
            <w:tcW w:w="3059" w:type="dxa"/>
            <w:shd w:val="clear" w:color="auto" w:fill="auto"/>
          </w:tcPr>
          <w:p w14:paraId="1FA93291" w14:textId="77777777" w:rsidR="00D0429D" w:rsidRPr="00D72200" w:rsidRDefault="00D0429D" w:rsidP="008246D3">
            <w:pPr>
              <w:jc w:val="center"/>
              <w:rPr>
                <w:color w:val="000000"/>
                <w:sz w:val="22"/>
                <w:szCs w:val="22"/>
              </w:rPr>
            </w:pPr>
            <w:r w:rsidRPr="00D72200">
              <w:rPr>
                <w:color w:val="000000"/>
                <w:sz w:val="22"/>
                <w:szCs w:val="22"/>
              </w:rPr>
              <w:t>10 mg, pojedinačna doza</w:t>
            </w:r>
          </w:p>
        </w:tc>
        <w:tc>
          <w:tcPr>
            <w:tcW w:w="1894" w:type="dxa"/>
            <w:shd w:val="clear" w:color="auto" w:fill="auto"/>
          </w:tcPr>
          <w:p w14:paraId="3905ADF5" w14:textId="77777777" w:rsidR="00D0429D" w:rsidRPr="00D72200" w:rsidRDefault="00D0429D" w:rsidP="008246D3">
            <w:pPr>
              <w:jc w:val="center"/>
              <w:rPr>
                <w:color w:val="000000"/>
                <w:sz w:val="22"/>
                <w:szCs w:val="22"/>
              </w:rPr>
            </w:pPr>
            <w:r w:rsidRPr="00D72200">
              <w:rPr>
                <w:color w:val="000000"/>
                <w:sz w:val="22"/>
                <w:szCs w:val="22"/>
              </w:rPr>
              <w:t>1,4 puta↑ **</w:t>
            </w:r>
          </w:p>
        </w:tc>
      </w:tr>
      <w:tr w:rsidR="00D0429D" w:rsidRPr="00D72200" w14:paraId="610682E2" w14:textId="77777777" w:rsidTr="000F132E">
        <w:trPr>
          <w:jc w:val="center"/>
        </w:trPr>
        <w:tc>
          <w:tcPr>
            <w:tcW w:w="4802" w:type="dxa"/>
            <w:shd w:val="clear" w:color="auto" w:fill="auto"/>
          </w:tcPr>
          <w:p w14:paraId="5EB12CAD" w14:textId="77777777" w:rsidR="00D0429D" w:rsidRPr="00D72200" w:rsidRDefault="00D0429D" w:rsidP="008246D3">
            <w:pPr>
              <w:rPr>
                <w:color w:val="000000"/>
                <w:sz w:val="22"/>
                <w:szCs w:val="22"/>
              </w:rPr>
            </w:pPr>
            <w:r w:rsidRPr="00D72200">
              <w:rPr>
                <w:color w:val="000000"/>
                <w:sz w:val="22"/>
                <w:szCs w:val="22"/>
              </w:rPr>
              <w:t>Ezetimib 10 mg OD, 14 dana</w:t>
            </w:r>
          </w:p>
        </w:tc>
        <w:tc>
          <w:tcPr>
            <w:tcW w:w="3059" w:type="dxa"/>
            <w:shd w:val="clear" w:color="auto" w:fill="auto"/>
          </w:tcPr>
          <w:p w14:paraId="4E0BD75E" w14:textId="77777777" w:rsidR="00D0429D" w:rsidRPr="00D72200" w:rsidRDefault="00D0429D" w:rsidP="008246D3">
            <w:pPr>
              <w:jc w:val="center"/>
              <w:rPr>
                <w:color w:val="000000"/>
                <w:sz w:val="22"/>
                <w:szCs w:val="22"/>
              </w:rPr>
            </w:pPr>
            <w:r w:rsidRPr="00D72200">
              <w:rPr>
                <w:color w:val="000000"/>
                <w:sz w:val="22"/>
                <w:szCs w:val="22"/>
              </w:rPr>
              <w:t>10 mg OD, 14 dana</w:t>
            </w:r>
          </w:p>
        </w:tc>
        <w:tc>
          <w:tcPr>
            <w:tcW w:w="1894" w:type="dxa"/>
            <w:shd w:val="clear" w:color="auto" w:fill="auto"/>
          </w:tcPr>
          <w:p w14:paraId="375207EB" w14:textId="77777777" w:rsidR="00D0429D" w:rsidRPr="00D72200" w:rsidRDefault="00D0429D" w:rsidP="008246D3">
            <w:pPr>
              <w:jc w:val="center"/>
              <w:rPr>
                <w:color w:val="000000"/>
                <w:sz w:val="22"/>
                <w:szCs w:val="22"/>
              </w:rPr>
            </w:pPr>
            <w:r w:rsidRPr="00D72200">
              <w:rPr>
                <w:color w:val="000000"/>
                <w:sz w:val="22"/>
                <w:szCs w:val="22"/>
              </w:rPr>
              <w:t>1,2 puta↑ **</w:t>
            </w:r>
          </w:p>
        </w:tc>
      </w:tr>
      <w:tr w:rsidR="001B192B" w:rsidRPr="00D72200" w14:paraId="7DBCA016" w14:textId="77777777" w:rsidTr="000F132E">
        <w:trPr>
          <w:jc w:val="center"/>
        </w:trPr>
        <w:tc>
          <w:tcPr>
            <w:tcW w:w="9755" w:type="dxa"/>
            <w:gridSpan w:val="3"/>
            <w:shd w:val="clear" w:color="auto" w:fill="auto"/>
          </w:tcPr>
          <w:p w14:paraId="1D87CC7D" w14:textId="281BCDEA" w:rsidR="001B192B" w:rsidRPr="00D72200" w:rsidRDefault="001B192B" w:rsidP="00376732">
            <w:pPr>
              <w:rPr>
                <w:b/>
                <w:bCs/>
                <w:color w:val="000000"/>
                <w:sz w:val="22"/>
                <w:szCs w:val="22"/>
              </w:rPr>
            </w:pPr>
            <w:r w:rsidRPr="00D72200">
              <w:rPr>
                <w:b/>
                <w:bCs/>
                <w:color w:val="000000"/>
                <w:sz w:val="22"/>
                <w:szCs w:val="22"/>
              </w:rPr>
              <w:t>Smanjenje PIK-a rosuvastatina</w:t>
            </w:r>
          </w:p>
        </w:tc>
      </w:tr>
      <w:tr w:rsidR="00D0429D" w:rsidRPr="00D72200" w14:paraId="5CA7B666" w14:textId="77777777" w:rsidTr="000F132E">
        <w:trPr>
          <w:jc w:val="center"/>
        </w:trPr>
        <w:tc>
          <w:tcPr>
            <w:tcW w:w="4802" w:type="dxa"/>
            <w:shd w:val="clear" w:color="auto" w:fill="auto"/>
          </w:tcPr>
          <w:p w14:paraId="10A457EA" w14:textId="77777777" w:rsidR="00D0429D" w:rsidRPr="00D72200" w:rsidRDefault="00D0429D" w:rsidP="008246D3">
            <w:pPr>
              <w:rPr>
                <w:color w:val="000000"/>
                <w:sz w:val="22"/>
                <w:szCs w:val="22"/>
              </w:rPr>
            </w:pPr>
            <w:r w:rsidRPr="00D72200">
              <w:rPr>
                <w:color w:val="000000"/>
                <w:sz w:val="22"/>
                <w:szCs w:val="22"/>
              </w:rPr>
              <w:t>Eritromicin 500 mg QID, 7 dana</w:t>
            </w:r>
          </w:p>
        </w:tc>
        <w:tc>
          <w:tcPr>
            <w:tcW w:w="3059" w:type="dxa"/>
            <w:shd w:val="clear" w:color="auto" w:fill="auto"/>
          </w:tcPr>
          <w:p w14:paraId="0BCD749E" w14:textId="77777777" w:rsidR="00D0429D" w:rsidRPr="00D72200" w:rsidRDefault="00D0429D" w:rsidP="008246D3">
            <w:pPr>
              <w:jc w:val="center"/>
              <w:rPr>
                <w:color w:val="000000"/>
                <w:sz w:val="22"/>
                <w:szCs w:val="22"/>
              </w:rPr>
            </w:pPr>
            <w:r w:rsidRPr="00D72200">
              <w:rPr>
                <w:color w:val="000000"/>
                <w:sz w:val="22"/>
                <w:szCs w:val="22"/>
              </w:rPr>
              <w:t>80 mg, pojedinačna doza</w:t>
            </w:r>
          </w:p>
        </w:tc>
        <w:tc>
          <w:tcPr>
            <w:tcW w:w="1894" w:type="dxa"/>
            <w:shd w:val="clear" w:color="auto" w:fill="auto"/>
          </w:tcPr>
          <w:p w14:paraId="63FF853F" w14:textId="77777777" w:rsidR="00D0429D" w:rsidRPr="00D72200" w:rsidRDefault="00D0429D" w:rsidP="008246D3">
            <w:pPr>
              <w:jc w:val="center"/>
              <w:rPr>
                <w:color w:val="000000"/>
                <w:sz w:val="22"/>
                <w:szCs w:val="22"/>
              </w:rPr>
            </w:pPr>
            <w:r w:rsidRPr="00D72200">
              <w:rPr>
                <w:color w:val="000000"/>
                <w:sz w:val="22"/>
                <w:szCs w:val="22"/>
              </w:rPr>
              <w:t>20 % ↓</w:t>
            </w:r>
          </w:p>
        </w:tc>
      </w:tr>
      <w:tr w:rsidR="00D0429D" w:rsidRPr="00D72200" w14:paraId="30BDC6EA" w14:textId="77777777" w:rsidTr="000F132E">
        <w:trPr>
          <w:jc w:val="center"/>
        </w:trPr>
        <w:tc>
          <w:tcPr>
            <w:tcW w:w="4802" w:type="dxa"/>
            <w:shd w:val="clear" w:color="auto" w:fill="auto"/>
          </w:tcPr>
          <w:p w14:paraId="290D5234" w14:textId="77777777" w:rsidR="00D0429D" w:rsidRPr="00D72200" w:rsidRDefault="00D0429D" w:rsidP="008246D3">
            <w:pPr>
              <w:rPr>
                <w:color w:val="000000"/>
                <w:sz w:val="22"/>
                <w:szCs w:val="22"/>
              </w:rPr>
            </w:pPr>
            <w:r w:rsidRPr="00D72200">
              <w:rPr>
                <w:color w:val="000000"/>
                <w:sz w:val="22"/>
                <w:szCs w:val="22"/>
              </w:rPr>
              <w:t>Baikalin 50 mg TID, 14 dana</w:t>
            </w:r>
          </w:p>
        </w:tc>
        <w:tc>
          <w:tcPr>
            <w:tcW w:w="3059" w:type="dxa"/>
            <w:shd w:val="clear" w:color="auto" w:fill="auto"/>
          </w:tcPr>
          <w:p w14:paraId="7F1764FC" w14:textId="77777777" w:rsidR="00D0429D" w:rsidRPr="00D72200" w:rsidRDefault="00D0429D" w:rsidP="008246D3">
            <w:pPr>
              <w:jc w:val="center"/>
              <w:rPr>
                <w:color w:val="000000"/>
                <w:sz w:val="22"/>
                <w:szCs w:val="22"/>
              </w:rPr>
            </w:pPr>
            <w:r w:rsidRPr="00D72200">
              <w:rPr>
                <w:color w:val="000000"/>
                <w:sz w:val="22"/>
                <w:szCs w:val="22"/>
              </w:rPr>
              <w:t>20 mg, pojedinačna doza</w:t>
            </w:r>
          </w:p>
        </w:tc>
        <w:tc>
          <w:tcPr>
            <w:tcW w:w="1894" w:type="dxa"/>
            <w:shd w:val="clear" w:color="auto" w:fill="auto"/>
          </w:tcPr>
          <w:p w14:paraId="3F8A1E6B" w14:textId="77777777" w:rsidR="00D0429D" w:rsidRPr="00D72200" w:rsidRDefault="00D0429D" w:rsidP="008246D3">
            <w:pPr>
              <w:jc w:val="center"/>
              <w:rPr>
                <w:color w:val="000000"/>
                <w:sz w:val="22"/>
                <w:szCs w:val="22"/>
              </w:rPr>
            </w:pPr>
            <w:r w:rsidRPr="00D72200">
              <w:rPr>
                <w:spacing w:val="-1"/>
                <w:w w:val="105"/>
                <w:sz w:val="22"/>
                <w:szCs w:val="22"/>
              </w:rPr>
              <w:t xml:space="preserve">47 </w:t>
            </w:r>
            <w:r w:rsidRPr="00D72200">
              <w:rPr>
                <w:w w:val="105"/>
                <w:sz w:val="22"/>
                <w:szCs w:val="22"/>
              </w:rPr>
              <w:t>%</w:t>
            </w:r>
            <w:r w:rsidRPr="00D72200">
              <w:rPr>
                <w:spacing w:val="-15"/>
                <w:w w:val="105"/>
                <w:sz w:val="22"/>
                <w:szCs w:val="22"/>
              </w:rPr>
              <w:t xml:space="preserve"> </w:t>
            </w:r>
            <w:r w:rsidRPr="00D72200">
              <w:rPr>
                <w:w w:val="105"/>
                <w:sz w:val="22"/>
                <w:szCs w:val="22"/>
              </w:rPr>
              <w:t>↓</w:t>
            </w:r>
          </w:p>
        </w:tc>
      </w:tr>
      <w:tr w:rsidR="00D0429D" w:rsidRPr="00D72200" w14:paraId="6957CE83" w14:textId="77777777" w:rsidTr="000F132E">
        <w:trPr>
          <w:jc w:val="center"/>
        </w:trPr>
        <w:tc>
          <w:tcPr>
            <w:tcW w:w="9755" w:type="dxa"/>
            <w:gridSpan w:val="3"/>
            <w:shd w:val="clear" w:color="auto" w:fill="auto"/>
          </w:tcPr>
          <w:p w14:paraId="2F359466" w14:textId="784760CD" w:rsidR="00D0429D" w:rsidRPr="00D72200" w:rsidRDefault="00D0429D" w:rsidP="00560921">
            <w:pPr>
              <w:jc w:val="both"/>
              <w:rPr>
                <w:color w:val="000000"/>
                <w:sz w:val="22"/>
                <w:szCs w:val="22"/>
              </w:rPr>
            </w:pPr>
            <w:r w:rsidRPr="00D72200">
              <w:rPr>
                <w:color w:val="000000"/>
                <w:sz w:val="22"/>
                <w:szCs w:val="22"/>
              </w:rPr>
              <w:t>* Podaci dati u formatu x-puta prom</w:t>
            </w:r>
            <w:r w:rsidR="00990378" w:rsidRPr="00D72200">
              <w:rPr>
                <w:color w:val="000000"/>
                <w:sz w:val="22"/>
                <w:szCs w:val="22"/>
              </w:rPr>
              <w:t>j</w:t>
            </w:r>
            <w:r w:rsidRPr="00D72200">
              <w:rPr>
                <w:color w:val="000000"/>
                <w:sz w:val="22"/>
                <w:szCs w:val="22"/>
              </w:rPr>
              <w:t>ena predstavlja jednostavan odnos između ko</w:t>
            </w:r>
            <w:r w:rsidR="00DD432D" w:rsidRPr="00D72200">
              <w:rPr>
                <w:color w:val="000000"/>
                <w:sz w:val="22"/>
                <w:szCs w:val="22"/>
              </w:rPr>
              <w:t>-</w:t>
            </w:r>
            <w:r w:rsidRPr="00D72200">
              <w:rPr>
                <w:color w:val="000000"/>
                <w:sz w:val="22"/>
                <w:szCs w:val="22"/>
              </w:rPr>
              <w:t xml:space="preserve">administracije </w:t>
            </w:r>
            <w:r w:rsidR="00990378" w:rsidRPr="00D72200">
              <w:rPr>
                <w:color w:val="000000"/>
                <w:sz w:val="22"/>
                <w:szCs w:val="22"/>
              </w:rPr>
              <w:t xml:space="preserve">i </w:t>
            </w:r>
            <w:r w:rsidRPr="00D72200">
              <w:rPr>
                <w:color w:val="000000"/>
                <w:sz w:val="22"/>
                <w:szCs w:val="22"/>
              </w:rPr>
              <w:t>prim</w:t>
            </w:r>
            <w:r w:rsidR="00990378" w:rsidRPr="00D72200">
              <w:rPr>
                <w:color w:val="000000"/>
                <w:sz w:val="22"/>
                <w:szCs w:val="22"/>
              </w:rPr>
              <w:t>j</w:t>
            </w:r>
            <w:r w:rsidRPr="00D72200">
              <w:rPr>
                <w:color w:val="000000"/>
                <w:sz w:val="22"/>
                <w:szCs w:val="22"/>
              </w:rPr>
              <w:t>ene samo rosuvastatina. Podaci prikazani kao % prom</w:t>
            </w:r>
            <w:r w:rsidR="00990378" w:rsidRPr="00D72200">
              <w:rPr>
                <w:color w:val="000000"/>
                <w:sz w:val="22"/>
                <w:szCs w:val="22"/>
              </w:rPr>
              <w:t>j</w:t>
            </w:r>
            <w:r w:rsidRPr="00D72200">
              <w:rPr>
                <w:color w:val="000000"/>
                <w:sz w:val="22"/>
                <w:szCs w:val="22"/>
              </w:rPr>
              <w:t>ena predstavljaju % relativne razlike u odnosu na prim</w:t>
            </w:r>
            <w:r w:rsidR="00990378" w:rsidRPr="00D72200">
              <w:rPr>
                <w:color w:val="000000"/>
                <w:sz w:val="22"/>
                <w:szCs w:val="22"/>
              </w:rPr>
              <w:t>j</w:t>
            </w:r>
            <w:r w:rsidRPr="00D72200">
              <w:rPr>
                <w:color w:val="000000"/>
                <w:sz w:val="22"/>
                <w:szCs w:val="22"/>
              </w:rPr>
              <w:t>enu samo rosuvastatina. Povećanje je označeno kao “↑“,</w:t>
            </w:r>
            <w:r w:rsidR="001B192B" w:rsidRPr="00D72200">
              <w:rPr>
                <w:color w:val="000000"/>
                <w:sz w:val="22"/>
                <w:szCs w:val="22"/>
              </w:rPr>
              <w:t xml:space="preserve"> </w:t>
            </w:r>
            <w:r w:rsidRPr="00D72200">
              <w:rPr>
                <w:color w:val="000000"/>
                <w:sz w:val="22"/>
                <w:szCs w:val="22"/>
              </w:rPr>
              <w:t>smanjenje “↓“</w:t>
            </w:r>
          </w:p>
          <w:p w14:paraId="358AD25D" w14:textId="77777777" w:rsidR="00D0429D" w:rsidRPr="00D72200" w:rsidRDefault="00D0429D" w:rsidP="00560921">
            <w:pPr>
              <w:jc w:val="both"/>
              <w:rPr>
                <w:color w:val="000000"/>
                <w:sz w:val="22"/>
                <w:szCs w:val="22"/>
              </w:rPr>
            </w:pPr>
            <w:r w:rsidRPr="00D72200">
              <w:rPr>
                <w:color w:val="000000"/>
                <w:sz w:val="22"/>
                <w:szCs w:val="22"/>
              </w:rPr>
              <w:t>** Nekoliko studija interakcija izvedeno je sa različitim dozama rosuvastatina, tabela prikazuje najznačajniji odnos.</w:t>
            </w:r>
          </w:p>
          <w:p w14:paraId="29B5144D" w14:textId="77777777" w:rsidR="00D0429D" w:rsidRPr="00D72200" w:rsidRDefault="00D0429D" w:rsidP="00560921">
            <w:pPr>
              <w:jc w:val="both"/>
              <w:rPr>
                <w:color w:val="000000"/>
                <w:sz w:val="22"/>
                <w:szCs w:val="22"/>
              </w:rPr>
            </w:pPr>
          </w:p>
          <w:p w14:paraId="22D891A3" w14:textId="149A068F" w:rsidR="00D0429D" w:rsidRPr="00D72200" w:rsidRDefault="00D74A92" w:rsidP="00560921">
            <w:pPr>
              <w:jc w:val="both"/>
              <w:rPr>
                <w:color w:val="000000"/>
                <w:sz w:val="22"/>
                <w:szCs w:val="22"/>
              </w:rPr>
            </w:pPr>
            <w:r w:rsidRPr="000F132E">
              <w:rPr>
                <w:sz w:val="22"/>
                <w:szCs w:val="22"/>
              </w:rPr>
              <w:t>PIK</w:t>
            </w:r>
            <w:r w:rsidR="007274CE" w:rsidRPr="000F132E">
              <w:rPr>
                <w:sz w:val="22"/>
                <w:szCs w:val="22"/>
              </w:rPr>
              <w:t xml:space="preserve">= </w:t>
            </w:r>
            <w:r w:rsidRPr="000F132E">
              <w:rPr>
                <w:sz w:val="22"/>
                <w:szCs w:val="22"/>
              </w:rPr>
              <w:t>površina ispod krive</w:t>
            </w:r>
            <w:r w:rsidR="006E5A13" w:rsidRPr="000F132E">
              <w:rPr>
                <w:sz w:val="22"/>
                <w:szCs w:val="22"/>
              </w:rPr>
              <w:t xml:space="preserve">; </w:t>
            </w:r>
            <w:r w:rsidR="00D0429D" w:rsidRPr="00D72200">
              <w:rPr>
                <w:color w:val="000000"/>
                <w:sz w:val="22"/>
                <w:szCs w:val="22"/>
              </w:rPr>
              <w:t>OD= jednom dnevno; BID= dva puta dnevno; TID= tri puta dnevno; QID=četiri puta dnevno</w:t>
            </w:r>
          </w:p>
        </w:tc>
      </w:tr>
    </w:tbl>
    <w:p w14:paraId="689A6F8C" w14:textId="617B6C2C" w:rsidR="00D0429D" w:rsidRPr="000F132E" w:rsidRDefault="00D0429D" w:rsidP="00D0429D">
      <w:pPr>
        <w:rPr>
          <w:b/>
          <w:color w:val="000000"/>
          <w:sz w:val="22"/>
          <w:szCs w:val="22"/>
        </w:rPr>
      </w:pPr>
    </w:p>
    <w:p w14:paraId="56F1AE0C" w14:textId="2112C19C" w:rsidR="001B192B" w:rsidRPr="000F132E" w:rsidRDefault="001B192B" w:rsidP="00376732">
      <w:pPr>
        <w:jc w:val="both"/>
        <w:rPr>
          <w:bCs/>
          <w:color w:val="000000"/>
          <w:sz w:val="22"/>
          <w:szCs w:val="22"/>
        </w:rPr>
      </w:pPr>
      <w:r w:rsidRPr="000F132E">
        <w:rPr>
          <w:bCs/>
          <w:color w:val="000000"/>
          <w:sz w:val="22"/>
          <w:szCs w:val="22"/>
        </w:rPr>
        <w:t>Sl</w:t>
      </w:r>
      <w:r w:rsidR="009910FA" w:rsidRPr="000F132E">
        <w:rPr>
          <w:bCs/>
          <w:color w:val="000000"/>
          <w:sz w:val="22"/>
          <w:szCs w:val="22"/>
        </w:rPr>
        <w:t>j</w:t>
      </w:r>
      <w:r w:rsidRPr="000F132E">
        <w:rPr>
          <w:bCs/>
          <w:color w:val="000000"/>
          <w:sz w:val="22"/>
          <w:szCs w:val="22"/>
        </w:rPr>
        <w:t>edeći l</w:t>
      </w:r>
      <w:r w:rsidR="009910FA" w:rsidRPr="000F132E">
        <w:rPr>
          <w:bCs/>
          <w:color w:val="000000"/>
          <w:sz w:val="22"/>
          <w:szCs w:val="22"/>
        </w:rPr>
        <w:t>j</w:t>
      </w:r>
      <w:r w:rsidRPr="000F132E">
        <w:rPr>
          <w:bCs/>
          <w:color w:val="000000"/>
          <w:sz w:val="22"/>
          <w:szCs w:val="22"/>
        </w:rPr>
        <w:t>ekovi/kombinacije nisu imali značajno dejstvo na odnos vr</w:t>
      </w:r>
      <w:r w:rsidR="009910FA" w:rsidRPr="000F132E">
        <w:rPr>
          <w:bCs/>
          <w:color w:val="000000"/>
          <w:sz w:val="22"/>
          <w:szCs w:val="22"/>
        </w:rPr>
        <w:t>ij</w:t>
      </w:r>
      <w:r w:rsidRPr="000F132E">
        <w:rPr>
          <w:bCs/>
          <w:color w:val="000000"/>
          <w:sz w:val="22"/>
          <w:szCs w:val="22"/>
        </w:rPr>
        <w:t>ednosti PIK-a rosuvastatina pri istovremenoj prim</w:t>
      </w:r>
      <w:r w:rsidR="009910FA" w:rsidRPr="000F132E">
        <w:rPr>
          <w:bCs/>
          <w:color w:val="000000"/>
          <w:sz w:val="22"/>
          <w:szCs w:val="22"/>
        </w:rPr>
        <w:t>j</w:t>
      </w:r>
      <w:r w:rsidRPr="000F132E">
        <w:rPr>
          <w:bCs/>
          <w:color w:val="000000"/>
          <w:sz w:val="22"/>
          <w:szCs w:val="22"/>
        </w:rPr>
        <w:t>eni:</w:t>
      </w:r>
    </w:p>
    <w:p w14:paraId="7A760D62" w14:textId="57DA819E" w:rsidR="001B192B" w:rsidRPr="000F132E" w:rsidRDefault="001B192B" w:rsidP="00376732">
      <w:pPr>
        <w:jc w:val="both"/>
        <w:rPr>
          <w:bCs/>
          <w:color w:val="000000"/>
          <w:sz w:val="22"/>
          <w:szCs w:val="22"/>
        </w:rPr>
      </w:pPr>
      <w:r w:rsidRPr="000F132E">
        <w:rPr>
          <w:bCs/>
          <w:color w:val="000000"/>
          <w:sz w:val="22"/>
          <w:szCs w:val="22"/>
        </w:rPr>
        <w:t>Aleglitazar 0.3 mg, 7 dana doziranja; Fenofibrat 67 mg, 7 dana TID doziranja; Flukonazol 200 mg, 11 dana OD doziranja; Fosamprenavir 700 mg/ritonavir 100 mg, 8 dana BID doziranja; Ketokonazol 200 mg, 7 dana BID doziranja; Rifampin 450 mg, 7 dana OD doziranja; Silimarin 140 mg, 5 dana TID doziranja.</w:t>
      </w:r>
    </w:p>
    <w:p w14:paraId="58B99B96" w14:textId="0653D25B" w:rsidR="001B192B" w:rsidRPr="000F132E" w:rsidRDefault="001B192B" w:rsidP="00D0429D">
      <w:pPr>
        <w:rPr>
          <w:bCs/>
          <w:color w:val="000000"/>
          <w:sz w:val="22"/>
          <w:szCs w:val="22"/>
        </w:rPr>
      </w:pPr>
    </w:p>
    <w:p w14:paraId="07B646A6" w14:textId="408F8F8D" w:rsidR="00D0429D" w:rsidRPr="00D72200" w:rsidRDefault="00D0429D" w:rsidP="00560921">
      <w:pPr>
        <w:jc w:val="both"/>
        <w:rPr>
          <w:b/>
          <w:color w:val="000000"/>
          <w:sz w:val="22"/>
          <w:szCs w:val="22"/>
          <w:u w:val="single"/>
        </w:rPr>
      </w:pPr>
      <w:r w:rsidRPr="00D72200">
        <w:rPr>
          <w:b/>
          <w:color w:val="000000"/>
          <w:sz w:val="22"/>
          <w:szCs w:val="22"/>
          <w:u w:val="single"/>
        </w:rPr>
        <w:t>Efekti rosuvastatina na istovremeno prim</w:t>
      </w:r>
      <w:r w:rsidR="00990378" w:rsidRPr="00D72200">
        <w:rPr>
          <w:b/>
          <w:color w:val="000000"/>
          <w:sz w:val="22"/>
          <w:szCs w:val="22"/>
          <w:u w:val="single"/>
        </w:rPr>
        <w:t>j</w:t>
      </w:r>
      <w:r w:rsidRPr="00D72200">
        <w:rPr>
          <w:b/>
          <w:color w:val="000000"/>
          <w:sz w:val="22"/>
          <w:szCs w:val="22"/>
          <w:u w:val="single"/>
        </w:rPr>
        <w:t>enjene l</w:t>
      </w:r>
      <w:r w:rsidR="00990378" w:rsidRPr="00D72200">
        <w:rPr>
          <w:b/>
          <w:color w:val="000000"/>
          <w:sz w:val="22"/>
          <w:szCs w:val="22"/>
          <w:u w:val="single"/>
        </w:rPr>
        <w:t>j</w:t>
      </w:r>
      <w:r w:rsidRPr="00D72200">
        <w:rPr>
          <w:b/>
          <w:color w:val="000000"/>
          <w:sz w:val="22"/>
          <w:szCs w:val="22"/>
          <w:u w:val="single"/>
        </w:rPr>
        <w:t>ekove</w:t>
      </w:r>
    </w:p>
    <w:p w14:paraId="76C0FA49" w14:textId="77777777" w:rsidR="00D0429D" w:rsidRPr="00D72200" w:rsidRDefault="00D0429D" w:rsidP="00560921">
      <w:pPr>
        <w:jc w:val="both"/>
        <w:rPr>
          <w:b/>
          <w:color w:val="000000"/>
          <w:sz w:val="22"/>
          <w:szCs w:val="22"/>
          <w:u w:val="single"/>
        </w:rPr>
      </w:pPr>
    </w:p>
    <w:p w14:paraId="644EB442" w14:textId="662EA9F7" w:rsidR="00D0429D" w:rsidRPr="00D72200" w:rsidRDefault="00D0429D" w:rsidP="00560921">
      <w:pPr>
        <w:jc w:val="both"/>
        <w:rPr>
          <w:bCs/>
          <w:sz w:val="22"/>
          <w:szCs w:val="22"/>
        </w:rPr>
      </w:pPr>
      <w:r w:rsidRPr="00D72200">
        <w:rPr>
          <w:b/>
          <w:bCs/>
          <w:sz w:val="22"/>
          <w:szCs w:val="22"/>
        </w:rPr>
        <w:t>Antagonisti vitamina K:</w:t>
      </w:r>
      <w:r w:rsidRPr="00D72200">
        <w:rPr>
          <w:bCs/>
          <w:sz w:val="22"/>
          <w:szCs w:val="22"/>
        </w:rPr>
        <w:t xml:space="preserve"> Kao i sa drugim inhibitorima HMG-CoA reduktaze, započinjanje terapije ili titriranje doze rosuvastatina kod pacijenata koji istovremeno primaju antagoniste vitamina K (npr. varfarin ili drugi kumarinski antikoagulansi) može da dovede do povećanja internacionalnog normalizovanog koeficijenta (INR). Obustava ili smanjivanje doze rosuvastatina može da dovede do smanjenja vr</w:t>
      </w:r>
      <w:r w:rsidR="00990378" w:rsidRPr="00D72200">
        <w:rPr>
          <w:bCs/>
          <w:sz w:val="22"/>
          <w:szCs w:val="22"/>
        </w:rPr>
        <w:t>ij</w:t>
      </w:r>
      <w:r w:rsidRPr="00D72200">
        <w:rPr>
          <w:bCs/>
          <w:sz w:val="22"/>
          <w:szCs w:val="22"/>
        </w:rPr>
        <w:t>ednosti INR. U takvim situacijama poželjno je praćenje vr</w:t>
      </w:r>
      <w:r w:rsidR="00990378" w:rsidRPr="00D72200">
        <w:rPr>
          <w:bCs/>
          <w:sz w:val="22"/>
          <w:szCs w:val="22"/>
        </w:rPr>
        <w:t>ij</w:t>
      </w:r>
      <w:r w:rsidRPr="00D72200">
        <w:rPr>
          <w:bCs/>
          <w:sz w:val="22"/>
          <w:szCs w:val="22"/>
        </w:rPr>
        <w:t xml:space="preserve">ednosti INR. </w:t>
      </w:r>
    </w:p>
    <w:p w14:paraId="3A663DFD" w14:textId="77777777" w:rsidR="00D0429D" w:rsidRPr="00D72200" w:rsidRDefault="00D0429D" w:rsidP="00560921">
      <w:pPr>
        <w:jc w:val="both"/>
        <w:rPr>
          <w:bCs/>
          <w:sz w:val="22"/>
          <w:szCs w:val="22"/>
        </w:rPr>
      </w:pPr>
    </w:p>
    <w:p w14:paraId="7F64EFF8" w14:textId="3B341C98" w:rsidR="00D0429D" w:rsidRPr="00D72200" w:rsidRDefault="00D0429D" w:rsidP="00560921">
      <w:pPr>
        <w:jc w:val="both"/>
        <w:rPr>
          <w:bCs/>
          <w:sz w:val="22"/>
          <w:szCs w:val="22"/>
        </w:rPr>
      </w:pPr>
      <w:r w:rsidRPr="00D72200">
        <w:rPr>
          <w:b/>
          <w:bCs/>
          <w:sz w:val="22"/>
          <w:szCs w:val="22"/>
        </w:rPr>
        <w:t xml:space="preserve">Oralni kontraceptivi/hormonska supstituciona terapija (HST): </w:t>
      </w:r>
      <w:r w:rsidRPr="00D72200">
        <w:rPr>
          <w:bCs/>
          <w:sz w:val="22"/>
          <w:szCs w:val="22"/>
        </w:rPr>
        <w:t>Istovremena prim</w:t>
      </w:r>
      <w:r w:rsidR="00990378" w:rsidRPr="00D72200">
        <w:rPr>
          <w:bCs/>
          <w:sz w:val="22"/>
          <w:szCs w:val="22"/>
        </w:rPr>
        <w:t>j</w:t>
      </w:r>
      <w:r w:rsidRPr="00D72200">
        <w:rPr>
          <w:bCs/>
          <w:sz w:val="22"/>
          <w:szCs w:val="22"/>
        </w:rPr>
        <w:t>ena rosuvastatina i oralnih kontraceptiva dovodi do povećanja PIK vr</w:t>
      </w:r>
      <w:r w:rsidR="00990378" w:rsidRPr="00D72200">
        <w:rPr>
          <w:bCs/>
          <w:sz w:val="22"/>
          <w:szCs w:val="22"/>
        </w:rPr>
        <w:t>ij</w:t>
      </w:r>
      <w:r w:rsidRPr="00D72200">
        <w:rPr>
          <w:bCs/>
          <w:sz w:val="22"/>
          <w:szCs w:val="22"/>
        </w:rPr>
        <w:t>ednosti etinilestradiola i norgestrela za 26 %, odn. 34 %. Ovo povećanje vr</w:t>
      </w:r>
      <w:r w:rsidR="00990378" w:rsidRPr="00D72200">
        <w:rPr>
          <w:bCs/>
          <w:sz w:val="22"/>
          <w:szCs w:val="22"/>
        </w:rPr>
        <w:t>ij</w:t>
      </w:r>
      <w:r w:rsidRPr="00D72200">
        <w:rPr>
          <w:bCs/>
          <w:sz w:val="22"/>
          <w:szCs w:val="22"/>
        </w:rPr>
        <w:t>ednosti u plazmi treba uzeti u obzir pri izboru doze oralnih kontraceptiva. Nema dostupnih farmakokinetičkih podataka o pacijentima kod kojih su istovremeno prim</w:t>
      </w:r>
      <w:r w:rsidR="00990378" w:rsidRPr="00D72200">
        <w:rPr>
          <w:bCs/>
          <w:sz w:val="22"/>
          <w:szCs w:val="22"/>
        </w:rPr>
        <w:t>j</w:t>
      </w:r>
      <w:r w:rsidRPr="00D72200">
        <w:rPr>
          <w:bCs/>
          <w:sz w:val="22"/>
          <w:szCs w:val="22"/>
        </w:rPr>
        <w:t>enjivani rosuvastatin i HST; stoga se ne može isključiti sličan efekat. Ipak, ova kombinacija je u velikoj m</w:t>
      </w:r>
      <w:r w:rsidR="00990378" w:rsidRPr="00D72200">
        <w:rPr>
          <w:bCs/>
          <w:sz w:val="22"/>
          <w:szCs w:val="22"/>
        </w:rPr>
        <w:t>j</w:t>
      </w:r>
      <w:r w:rsidRPr="00D72200">
        <w:rPr>
          <w:bCs/>
          <w:sz w:val="22"/>
          <w:szCs w:val="22"/>
        </w:rPr>
        <w:t xml:space="preserve">eri korišćena kod žena u kliničkim studijama i </w:t>
      </w:r>
      <w:r w:rsidR="00E54545" w:rsidRPr="00D72200">
        <w:rPr>
          <w:bCs/>
          <w:sz w:val="22"/>
          <w:szCs w:val="22"/>
        </w:rPr>
        <w:t>podnošljivost je bila dobra</w:t>
      </w:r>
      <w:r w:rsidRPr="00D72200">
        <w:rPr>
          <w:bCs/>
          <w:sz w:val="22"/>
          <w:szCs w:val="22"/>
        </w:rPr>
        <w:t>.</w:t>
      </w:r>
    </w:p>
    <w:p w14:paraId="5E56EDDC" w14:textId="77777777" w:rsidR="00EB3030" w:rsidRPr="00D72200" w:rsidRDefault="00EB3030" w:rsidP="00560921">
      <w:pPr>
        <w:tabs>
          <w:tab w:val="left" w:pos="540"/>
          <w:tab w:val="left" w:pos="569"/>
        </w:tabs>
        <w:jc w:val="both"/>
        <w:rPr>
          <w:bCs/>
          <w:sz w:val="22"/>
          <w:szCs w:val="22"/>
        </w:rPr>
      </w:pPr>
    </w:p>
    <w:p w14:paraId="47EFF8FF" w14:textId="251CE85E" w:rsidR="00D0429D" w:rsidRPr="00D72200" w:rsidRDefault="00D0429D" w:rsidP="00560921">
      <w:pPr>
        <w:jc w:val="both"/>
        <w:rPr>
          <w:b/>
          <w:bCs/>
          <w:sz w:val="22"/>
          <w:szCs w:val="22"/>
        </w:rPr>
      </w:pPr>
      <w:r w:rsidRPr="00D72200">
        <w:rPr>
          <w:b/>
          <w:bCs/>
          <w:sz w:val="22"/>
          <w:szCs w:val="22"/>
        </w:rPr>
        <w:t>Drugi l</w:t>
      </w:r>
      <w:r w:rsidR="00990378" w:rsidRPr="00D72200">
        <w:rPr>
          <w:b/>
          <w:bCs/>
          <w:sz w:val="22"/>
          <w:szCs w:val="22"/>
        </w:rPr>
        <w:t>j</w:t>
      </w:r>
      <w:r w:rsidRPr="00D72200">
        <w:rPr>
          <w:b/>
          <w:bCs/>
          <w:sz w:val="22"/>
          <w:szCs w:val="22"/>
        </w:rPr>
        <w:t xml:space="preserve">ekovi: </w:t>
      </w:r>
    </w:p>
    <w:p w14:paraId="5C3033F0" w14:textId="77777777" w:rsidR="00D0429D" w:rsidRPr="00D72200" w:rsidRDefault="00D0429D" w:rsidP="00560921">
      <w:pPr>
        <w:jc w:val="both"/>
        <w:rPr>
          <w:bCs/>
          <w:i/>
          <w:sz w:val="22"/>
          <w:szCs w:val="22"/>
        </w:rPr>
      </w:pPr>
    </w:p>
    <w:p w14:paraId="40456E35" w14:textId="77777777" w:rsidR="00D0429D" w:rsidRPr="00D72200" w:rsidRDefault="00D0429D" w:rsidP="00560921">
      <w:pPr>
        <w:jc w:val="both"/>
        <w:rPr>
          <w:bCs/>
          <w:sz w:val="22"/>
          <w:szCs w:val="22"/>
          <w:lang w:val="sr-Latn-RS"/>
        </w:rPr>
      </w:pPr>
      <w:r w:rsidRPr="00D72200">
        <w:rPr>
          <w:b/>
          <w:bCs/>
          <w:sz w:val="22"/>
          <w:szCs w:val="22"/>
        </w:rPr>
        <w:t>Digoksin:</w:t>
      </w:r>
      <w:r w:rsidRPr="00D72200">
        <w:rPr>
          <w:bCs/>
          <w:sz w:val="22"/>
          <w:szCs w:val="22"/>
        </w:rPr>
        <w:t xml:space="preserve"> </w:t>
      </w:r>
      <w:r w:rsidRPr="00D72200">
        <w:rPr>
          <w:sz w:val="22"/>
          <w:szCs w:val="22"/>
          <w:lang w:val="sr-Latn-CS"/>
        </w:rPr>
        <w:t>Na osnovu podataka iz specifičnih studija interakcije, ne očekuje se klinički relevantna</w:t>
      </w:r>
      <w:r w:rsidRPr="00D72200">
        <w:rPr>
          <w:bCs/>
          <w:sz w:val="22"/>
          <w:szCs w:val="22"/>
        </w:rPr>
        <w:t xml:space="preserve"> </w:t>
      </w:r>
      <w:r w:rsidRPr="00D72200">
        <w:rPr>
          <w:bCs/>
          <w:sz w:val="22"/>
          <w:szCs w:val="22"/>
          <w:lang w:val="sr-Latn-RS"/>
        </w:rPr>
        <w:t xml:space="preserve">interakcija sa digoksinom. </w:t>
      </w:r>
    </w:p>
    <w:p w14:paraId="42A1AFEF" w14:textId="77777777" w:rsidR="00D0429D" w:rsidRPr="00D72200" w:rsidRDefault="00D0429D" w:rsidP="00560921">
      <w:pPr>
        <w:jc w:val="both"/>
        <w:rPr>
          <w:bCs/>
          <w:sz w:val="22"/>
          <w:szCs w:val="22"/>
        </w:rPr>
      </w:pPr>
    </w:p>
    <w:p w14:paraId="764F27C1" w14:textId="0E77AADB" w:rsidR="00D0429D" w:rsidRPr="00D72200" w:rsidRDefault="00D0429D" w:rsidP="00560921">
      <w:pPr>
        <w:jc w:val="both"/>
        <w:rPr>
          <w:bCs/>
          <w:sz w:val="22"/>
          <w:szCs w:val="22"/>
        </w:rPr>
      </w:pPr>
      <w:r w:rsidRPr="00D72200">
        <w:rPr>
          <w:b/>
          <w:bCs/>
          <w:sz w:val="22"/>
          <w:szCs w:val="22"/>
        </w:rPr>
        <w:t>Fusidinska kiselina</w:t>
      </w:r>
      <w:r w:rsidRPr="00D72200">
        <w:rPr>
          <w:bCs/>
          <w:sz w:val="22"/>
          <w:szCs w:val="22"/>
        </w:rPr>
        <w:t>:</w:t>
      </w:r>
      <w:r w:rsidRPr="00D72200">
        <w:rPr>
          <w:sz w:val="22"/>
          <w:szCs w:val="22"/>
        </w:rPr>
        <w:t xml:space="preserve"> </w:t>
      </w:r>
      <w:r w:rsidR="004C0FD7" w:rsidRPr="00D72200">
        <w:rPr>
          <w:sz w:val="22"/>
          <w:szCs w:val="22"/>
        </w:rPr>
        <w:t>Studije interakcije sa rosuvastatinom i fu</w:t>
      </w:r>
      <w:r w:rsidR="00084CFB" w:rsidRPr="00D72200">
        <w:rPr>
          <w:sz w:val="22"/>
          <w:szCs w:val="22"/>
        </w:rPr>
        <w:t>s</w:t>
      </w:r>
      <w:r w:rsidR="004C0FD7" w:rsidRPr="00D72200">
        <w:rPr>
          <w:sz w:val="22"/>
          <w:szCs w:val="22"/>
        </w:rPr>
        <w:t xml:space="preserve">idinskom kiselinom nisu sprovedene. </w:t>
      </w:r>
      <w:r w:rsidRPr="00D72200">
        <w:rPr>
          <w:bCs/>
          <w:sz w:val="22"/>
          <w:szCs w:val="22"/>
        </w:rPr>
        <w:t>Rizik od miopatije (uključujući rabdomiolizu) može biti povećan istovremenom prim</w:t>
      </w:r>
      <w:r w:rsidR="00990378" w:rsidRPr="00D72200">
        <w:rPr>
          <w:bCs/>
          <w:sz w:val="22"/>
          <w:szCs w:val="22"/>
        </w:rPr>
        <w:t>j</w:t>
      </w:r>
      <w:r w:rsidRPr="00D72200">
        <w:rPr>
          <w:bCs/>
          <w:sz w:val="22"/>
          <w:szCs w:val="22"/>
        </w:rPr>
        <w:t xml:space="preserve">enom </w:t>
      </w:r>
      <w:r w:rsidR="003A0D60" w:rsidRPr="00D72200">
        <w:rPr>
          <w:bCs/>
          <w:sz w:val="22"/>
          <w:szCs w:val="22"/>
        </w:rPr>
        <w:t>sistem</w:t>
      </w:r>
      <w:r w:rsidR="00642806" w:rsidRPr="00D72200">
        <w:rPr>
          <w:bCs/>
          <w:sz w:val="22"/>
          <w:szCs w:val="22"/>
        </w:rPr>
        <w:t xml:space="preserve">skog oblika </w:t>
      </w:r>
      <w:r w:rsidRPr="00D72200">
        <w:rPr>
          <w:bCs/>
          <w:sz w:val="22"/>
          <w:szCs w:val="22"/>
        </w:rPr>
        <w:t>fusidinske kiseline sa statinima. Mehanizam ove interakcije (bilo da je farmakodinamička, farmakokinetička, ili ob</w:t>
      </w:r>
      <w:r w:rsidR="00990378" w:rsidRPr="00D72200">
        <w:rPr>
          <w:bCs/>
          <w:sz w:val="22"/>
          <w:szCs w:val="22"/>
        </w:rPr>
        <w:t>j</w:t>
      </w:r>
      <w:r w:rsidRPr="00D72200">
        <w:rPr>
          <w:bCs/>
          <w:sz w:val="22"/>
          <w:szCs w:val="22"/>
        </w:rPr>
        <w:t>e) još uv</w:t>
      </w:r>
      <w:r w:rsidR="00990378" w:rsidRPr="00D72200">
        <w:rPr>
          <w:bCs/>
          <w:sz w:val="22"/>
          <w:szCs w:val="22"/>
        </w:rPr>
        <w:t>ij</w:t>
      </w:r>
      <w:r w:rsidRPr="00D72200">
        <w:rPr>
          <w:bCs/>
          <w:sz w:val="22"/>
          <w:szCs w:val="22"/>
        </w:rPr>
        <w:t xml:space="preserve">ek nije poznat. Prijavljeni su slučajevi rabdomiolize (uključujući i slučajeve </w:t>
      </w:r>
      <w:r w:rsidRPr="00D72200">
        <w:rPr>
          <w:sz w:val="22"/>
          <w:szCs w:val="22"/>
        </w:rPr>
        <w:t>sa smrtnim ishodom</w:t>
      </w:r>
      <w:r w:rsidRPr="00D72200">
        <w:rPr>
          <w:bCs/>
          <w:sz w:val="22"/>
          <w:szCs w:val="22"/>
        </w:rPr>
        <w:t>) kod pacijenata koji su primali ovu kombinaciju.</w:t>
      </w:r>
    </w:p>
    <w:p w14:paraId="55B502A2" w14:textId="77777777" w:rsidR="00D0429D" w:rsidRPr="00D72200" w:rsidRDefault="00D0429D" w:rsidP="00560921">
      <w:pPr>
        <w:jc w:val="both"/>
        <w:rPr>
          <w:bCs/>
          <w:sz w:val="22"/>
          <w:szCs w:val="22"/>
        </w:rPr>
      </w:pPr>
    </w:p>
    <w:p w14:paraId="1C32F3DE" w14:textId="0B96FF41" w:rsidR="00D0429D" w:rsidRPr="00D72200" w:rsidRDefault="00D0429D" w:rsidP="00560921">
      <w:pPr>
        <w:jc w:val="both"/>
        <w:rPr>
          <w:bCs/>
          <w:sz w:val="22"/>
          <w:szCs w:val="22"/>
        </w:rPr>
      </w:pPr>
      <w:r w:rsidRPr="00D72200">
        <w:rPr>
          <w:bCs/>
          <w:sz w:val="22"/>
          <w:szCs w:val="22"/>
        </w:rPr>
        <w:t>Ukoliko je neophodn</w:t>
      </w:r>
      <w:r w:rsidR="00997DEA" w:rsidRPr="00D72200">
        <w:rPr>
          <w:bCs/>
          <w:sz w:val="22"/>
          <w:szCs w:val="22"/>
        </w:rPr>
        <w:t>o l</w:t>
      </w:r>
      <w:r w:rsidR="009910FA" w:rsidRPr="00D72200">
        <w:rPr>
          <w:bCs/>
          <w:sz w:val="22"/>
          <w:szCs w:val="22"/>
        </w:rPr>
        <w:t>ij</w:t>
      </w:r>
      <w:r w:rsidR="00997DEA" w:rsidRPr="00D72200">
        <w:rPr>
          <w:bCs/>
          <w:sz w:val="22"/>
          <w:szCs w:val="22"/>
        </w:rPr>
        <w:t>ečenje</w:t>
      </w:r>
      <w:r w:rsidRPr="00D72200">
        <w:rPr>
          <w:bCs/>
          <w:sz w:val="22"/>
          <w:szCs w:val="22"/>
        </w:rPr>
        <w:t xml:space="preserve"> sistemsk</w:t>
      </w:r>
      <w:r w:rsidR="00997DEA" w:rsidRPr="00D72200">
        <w:rPr>
          <w:bCs/>
          <w:sz w:val="22"/>
          <w:szCs w:val="22"/>
        </w:rPr>
        <w:t>om</w:t>
      </w:r>
      <w:r w:rsidRPr="00D72200">
        <w:rPr>
          <w:bCs/>
          <w:sz w:val="22"/>
          <w:szCs w:val="22"/>
        </w:rPr>
        <w:t xml:space="preserve"> fusidinsk</w:t>
      </w:r>
      <w:r w:rsidR="00997DEA" w:rsidRPr="00D72200">
        <w:rPr>
          <w:bCs/>
          <w:sz w:val="22"/>
          <w:szCs w:val="22"/>
        </w:rPr>
        <w:t>om</w:t>
      </w:r>
      <w:r w:rsidRPr="00D72200">
        <w:rPr>
          <w:bCs/>
          <w:sz w:val="22"/>
          <w:szCs w:val="22"/>
        </w:rPr>
        <w:t xml:space="preserve"> kiselin</w:t>
      </w:r>
      <w:r w:rsidR="00997DEA" w:rsidRPr="00D72200">
        <w:rPr>
          <w:bCs/>
          <w:sz w:val="22"/>
          <w:szCs w:val="22"/>
        </w:rPr>
        <w:t>om</w:t>
      </w:r>
      <w:r w:rsidRPr="00D72200">
        <w:rPr>
          <w:bCs/>
          <w:sz w:val="22"/>
          <w:szCs w:val="22"/>
        </w:rPr>
        <w:t>, treba prekinuti terapiju rosuvastatinom tokom trajanja terapije fusidinskom kiselinom</w:t>
      </w:r>
      <w:r w:rsidR="00D17ACA" w:rsidRPr="00D72200">
        <w:rPr>
          <w:bCs/>
          <w:sz w:val="22"/>
          <w:szCs w:val="22"/>
        </w:rPr>
        <w:t xml:space="preserve">. Takođe </w:t>
      </w:r>
      <w:r w:rsidRPr="00D72200">
        <w:rPr>
          <w:bCs/>
          <w:sz w:val="22"/>
          <w:szCs w:val="22"/>
        </w:rPr>
        <w:t>vid</w:t>
      </w:r>
      <w:r w:rsidR="00990378" w:rsidRPr="00D72200">
        <w:rPr>
          <w:bCs/>
          <w:sz w:val="22"/>
          <w:szCs w:val="22"/>
        </w:rPr>
        <w:t>j</w:t>
      </w:r>
      <w:r w:rsidRPr="00D72200">
        <w:rPr>
          <w:bCs/>
          <w:sz w:val="22"/>
          <w:szCs w:val="22"/>
        </w:rPr>
        <w:t xml:space="preserve">eti </w:t>
      </w:r>
      <w:r w:rsidR="00D82055" w:rsidRPr="00D72200">
        <w:rPr>
          <w:bCs/>
          <w:sz w:val="22"/>
          <w:szCs w:val="22"/>
        </w:rPr>
        <w:t>d</w:t>
      </w:r>
      <w:r w:rsidR="007D3E25" w:rsidRPr="00D72200">
        <w:rPr>
          <w:bCs/>
          <w:sz w:val="22"/>
          <w:szCs w:val="22"/>
        </w:rPr>
        <w:t>i</w:t>
      </w:r>
      <w:r w:rsidR="00D82055" w:rsidRPr="00D72200">
        <w:rPr>
          <w:bCs/>
          <w:sz w:val="22"/>
          <w:szCs w:val="22"/>
        </w:rPr>
        <w:t xml:space="preserve">o </w:t>
      </w:r>
      <w:r w:rsidRPr="00D72200">
        <w:rPr>
          <w:bCs/>
          <w:sz w:val="22"/>
          <w:szCs w:val="22"/>
        </w:rPr>
        <w:t>4.4.</w:t>
      </w:r>
    </w:p>
    <w:p w14:paraId="69C25E84" w14:textId="77777777" w:rsidR="00D0429D" w:rsidRPr="00D72200" w:rsidRDefault="00D0429D" w:rsidP="00560921">
      <w:pPr>
        <w:jc w:val="both"/>
        <w:rPr>
          <w:bCs/>
          <w:sz w:val="22"/>
          <w:szCs w:val="22"/>
        </w:rPr>
      </w:pPr>
    </w:p>
    <w:p w14:paraId="60B0EA1C" w14:textId="77777777" w:rsidR="00D0429D" w:rsidRPr="00D72200" w:rsidRDefault="00D0429D" w:rsidP="00560921">
      <w:pPr>
        <w:jc w:val="both"/>
        <w:rPr>
          <w:b/>
          <w:bCs/>
          <w:sz w:val="22"/>
          <w:szCs w:val="22"/>
        </w:rPr>
      </w:pPr>
      <w:r w:rsidRPr="00D72200">
        <w:rPr>
          <w:b/>
          <w:bCs/>
          <w:sz w:val="22"/>
          <w:szCs w:val="22"/>
        </w:rPr>
        <w:t>Pedijatrijska populacija:</w:t>
      </w:r>
    </w:p>
    <w:p w14:paraId="7E120D2F" w14:textId="77777777" w:rsidR="00D0429D" w:rsidRPr="00D72200" w:rsidRDefault="00D0429D" w:rsidP="00560921">
      <w:pPr>
        <w:jc w:val="both"/>
        <w:rPr>
          <w:b/>
          <w:bCs/>
          <w:sz w:val="22"/>
          <w:szCs w:val="22"/>
        </w:rPr>
      </w:pPr>
      <w:r w:rsidRPr="00D72200">
        <w:rPr>
          <w:bCs/>
          <w:sz w:val="22"/>
          <w:szCs w:val="22"/>
        </w:rPr>
        <w:lastRenderedPageBreak/>
        <w:t>Studije interakcija sprovedene su samo kod odraslih. Stepen interakcija kod pedijatrijske populacije nije poznat.</w:t>
      </w:r>
    </w:p>
    <w:p w14:paraId="1590BC30" w14:textId="77777777" w:rsidR="00D0429D" w:rsidRPr="00D72200" w:rsidRDefault="00D0429D" w:rsidP="00560921">
      <w:pPr>
        <w:tabs>
          <w:tab w:val="left" w:pos="540"/>
          <w:tab w:val="left" w:pos="569"/>
        </w:tabs>
        <w:jc w:val="both"/>
        <w:rPr>
          <w:bCs/>
          <w:sz w:val="22"/>
          <w:szCs w:val="22"/>
        </w:rPr>
      </w:pPr>
    </w:p>
    <w:p w14:paraId="6C903781" w14:textId="77777777" w:rsidR="0072020E" w:rsidRPr="00D72200" w:rsidRDefault="0072020E" w:rsidP="00560921">
      <w:pPr>
        <w:tabs>
          <w:tab w:val="left" w:pos="540"/>
          <w:tab w:val="left" w:pos="569"/>
        </w:tabs>
        <w:jc w:val="both"/>
        <w:rPr>
          <w:b/>
          <w:sz w:val="22"/>
          <w:szCs w:val="22"/>
          <w:lang w:val="sr-Latn-CS"/>
        </w:rPr>
      </w:pPr>
      <w:r w:rsidRPr="00D72200">
        <w:rPr>
          <w:b/>
          <w:bCs/>
          <w:sz w:val="22"/>
          <w:szCs w:val="22"/>
        </w:rPr>
        <w:t xml:space="preserve">4.6. </w:t>
      </w:r>
      <w:r w:rsidR="00480FB1" w:rsidRPr="00D72200">
        <w:rPr>
          <w:b/>
          <w:bCs/>
          <w:sz w:val="22"/>
          <w:szCs w:val="22"/>
        </w:rPr>
        <w:tab/>
      </w:r>
      <w:r w:rsidR="006D20A5" w:rsidRPr="00D72200">
        <w:rPr>
          <w:b/>
          <w:sz w:val="22"/>
          <w:szCs w:val="22"/>
          <w:lang w:val="sr-Latn-CS"/>
        </w:rPr>
        <w:t>Plodnost, trudnoća i dojenje</w:t>
      </w:r>
    </w:p>
    <w:p w14:paraId="73AE474C" w14:textId="77777777" w:rsidR="002031B3" w:rsidRPr="00D72200" w:rsidRDefault="002031B3" w:rsidP="00560921">
      <w:pPr>
        <w:tabs>
          <w:tab w:val="left" w:pos="540"/>
          <w:tab w:val="left" w:pos="569"/>
        </w:tabs>
        <w:jc w:val="both"/>
        <w:rPr>
          <w:sz w:val="22"/>
          <w:szCs w:val="22"/>
          <w:u w:val="single"/>
        </w:rPr>
      </w:pPr>
    </w:p>
    <w:p w14:paraId="7FF21D20" w14:textId="09A6FD86" w:rsidR="00585DEC" w:rsidRPr="00D72200" w:rsidRDefault="00585DEC" w:rsidP="00560921">
      <w:pPr>
        <w:shd w:val="clear" w:color="auto" w:fill="FFFFFF"/>
        <w:tabs>
          <w:tab w:val="left" w:pos="9270"/>
        </w:tabs>
        <w:spacing w:line="259" w:lineRule="exact"/>
        <w:ind w:right="36"/>
        <w:jc w:val="both"/>
        <w:rPr>
          <w:iCs/>
          <w:sz w:val="22"/>
          <w:szCs w:val="22"/>
        </w:rPr>
      </w:pPr>
      <w:r w:rsidRPr="00D72200">
        <w:rPr>
          <w:iCs/>
          <w:sz w:val="22"/>
          <w:szCs w:val="22"/>
        </w:rPr>
        <w:t>Prim</w:t>
      </w:r>
      <w:r w:rsidR="00990378" w:rsidRPr="00D72200">
        <w:rPr>
          <w:iCs/>
          <w:sz w:val="22"/>
          <w:szCs w:val="22"/>
        </w:rPr>
        <w:t>j</w:t>
      </w:r>
      <w:r w:rsidRPr="00D72200">
        <w:rPr>
          <w:iCs/>
          <w:sz w:val="22"/>
          <w:szCs w:val="22"/>
        </w:rPr>
        <w:t xml:space="preserve">ena rosuvastatina je kontraindikovana u trudnoći i tokom perioda dojenja. </w:t>
      </w:r>
    </w:p>
    <w:p w14:paraId="065451D6" w14:textId="176C818B" w:rsidR="00585DEC" w:rsidRPr="00D72200" w:rsidRDefault="00585DEC" w:rsidP="00560921">
      <w:pPr>
        <w:shd w:val="clear" w:color="auto" w:fill="FFFFFF"/>
        <w:tabs>
          <w:tab w:val="left" w:pos="9270"/>
        </w:tabs>
        <w:spacing w:line="259" w:lineRule="exact"/>
        <w:ind w:right="36"/>
        <w:jc w:val="both"/>
        <w:rPr>
          <w:iCs/>
          <w:sz w:val="22"/>
          <w:szCs w:val="22"/>
        </w:rPr>
      </w:pPr>
      <w:r w:rsidRPr="00D72200">
        <w:rPr>
          <w:iCs/>
          <w:sz w:val="22"/>
          <w:szCs w:val="22"/>
        </w:rPr>
        <w:t xml:space="preserve">Žene u reproduktivnom periodu treba da koriste </w:t>
      </w:r>
      <w:r w:rsidR="00160E55" w:rsidRPr="00D72200">
        <w:rPr>
          <w:iCs/>
          <w:sz w:val="22"/>
          <w:szCs w:val="22"/>
        </w:rPr>
        <w:t>adekvatn</w:t>
      </w:r>
      <w:r w:rsidR="0036371F" w:rsidRPr="00D72200">
        <w:rPr>
          <w:iCs/>
          <w:sz w:val="22"/>
          <w:szCs w:val="22"/>
        </w:rPr>
        <w:t>e m</w:t>
      </w:r>
      <w:r w:rsidR="009910FA" w:rsidRPr="00D72200">
        <w:rPr>
          <w:iCs/>
          <w:sz w:val="22"/>
          <w:szCs w:val="22"/>
        </w:rPr>
        <w:t>j</w:t>
      </w:r>
      <w:r w:rsidR="0036371F" w:rsidRPr="00D72200">
        <w:rPr>
          <w:iCs/>
          <w:sz w:val="22"/>
          <w:szCs w:val="22"/>
        </w:rPr>
        <w:t>ere</w:t>
      </w:r>
      <w:r w:rsidR="00BE77C9" w:rsidRPr="00D72200">
        <w:rPr>
          <w:iCs/>
          <w:sz w:val="22"/>
          <w:szCs w:val="22"/>
        </w:rPr>
        <w:t xml:space="preserve"> </w:t>
      </w:r>
      <w:r w:rsidRPr="00D72200">
        <w:rPr>
          <w:iCs/>
          <w:sz w:val="22"/>
          <w:szCs w:val="22"/>
        </w:rPr>
        <w:t>kontracep</w:t>
      </w:r>
      <w:r w:rsidR="00160E55" w:rsidRPr="00D72200">
        <w:rPr>
          <w:iCs/>
          <w:sz w:val="22"/>
          <w:szCs w:val="22"/>
        </w:rPr>
        <w:t>cij</w:t>
      </w:r>
      <w:r w:rsidR="0036371F" w:rsidRPr="00D72200">
        <w:rPr>
          <w:iCs/>
          <w:sz w:val="22"/>
          <w:szCs w:val="22"/>
        </w:rPr>
        <w:t>e</w:t>
      </w:r>
      <w:r w:rsidRPr="00D72200">
        <w:rPr>
          <w:iCs/>
          <w:sz w:val="22"/>
          <w:szCs w:val="22"/>
        </w:rPr>
        <w:t>.</w:t>
      </w:r>
    </w:p>
    <w:p w14:paraId="43D9FF92" w14:textId="6C533055" w:rsidR="00585DEC" w:rsidRPr="00D72200" w:rsidRDefault="00585DEC" w:rsidP="00560921">
      <w:pPr>
        <w:shd w:val="clear" w:color="auto" w:fill="FFFFFF"/>
        <w:tabs>
          <w:tab w:val="left" w:pos="9270"/>
        </w:tabs>
        <w:spacing w:line="259" w:lineRule="exact"/>
        <w:ind w:right="36"/>
        <w:jc w:val="both"/>
        <w:rPr>
          <w:iCs/>
          <w:sz w:val="22"/>
          <w:szCs w:val="22"/>
        </w:rPr>
      </w:pPr>
      <w:r w:rsidRPr="00D72200">
        <w:rPr>
          <w:iCs/>
          <w:sz w:val="22"/>
          <w:szCs w:val="22"/>
        </w:rPr>
        <w:t>Pošto su holesterol i ostali proizvodi biosinteze holesterola neophodni za razvoj fetusa, potencijalni rizik od inhibicije HMG-CoA reduktaze je veći od koristi terapije tokom trudnoće. Studije na životinjama pružaju ograničene dokaze o reproduktivnoj toksičnosti (vid</w:t>
      </w:r>
      <w:r w:rsidR="00990378" w:rsidRPr="00D72200">
        <w:rPr>
          <w:iCs/>
          <w:sz w:val="22"/>
          <w:szCs w:val="22"/>
        </w:rPr>
        <w:t>j</w:t>
      </w:r>
      <w:r w:rsidRPr="00D72200">
        <w:rPr>
          <w:iCs/>
          <w:sz w:val="22"/>
          <w:szCs w:val="22"/>
        </w:rPr>
        <w:t xml:space="preserve">eti </w:t>
      </w:r>
      <w:r w:rsidR="00D82055" w:rsidRPr="00D72200">
        <w:rPr>
          <w:iCs/>
          <w:sz w:val="22"/>
          <w:szCs w:val="22"/>
        </w:rPr>
        <w:t>d</w:t>
      </w:r>
      <w:r w:rsidR="007D3E25" w:rsidRPr="00D72200">
        <w:rPr>
          <w:iCs/>
          <w:sz w:val="22"/>
          <w:szCs w:val="22"/>
        </w:rPr>
        <w:t>i</w:t>
      </w:r>
      <w:r w:rsidR="00D82055" w:rsidRPr="00D72200">
        <w:rPr>
          <w:iCs/>
          <w:sz w:val="22"/>
          <w:szCs w:val="22"/>
        </w:rPr>
        <w:t xml:space="preserve">o </w:t>
      </w:r>
      <w:r w:rsidRPr="00D72200">
        <w:rPr>
          <w:iCs/>
          <w:sz w:val="22"/>
          <w:szCs w:val="22"/>
        </w:rPr>
        <w:t>5.3). Ako pacijentkinja zatrudni tokom prim</w:t>
      </w:r>
      <w:r w:rsidR="00990378" w:rsidRPr="00D72200">
        <w:rPr>
          <w:iCs/>
          <w:sz w:val="22"/>
          <w:szCs w:val="22"/>
        </w:rPr>
        <w:t>j</w:t>
      </w:r>
      <w:r w:rsidRPr="00D72200">
        <w:rPr>
          <w:iCs/>
          <w:sz w:val="22"/>
          <w:szCs w:val="22"/>
        </w:rPr>
        <w:t>ene ovog l</w:t>
      </w:r>
      <w:r w:rsidR="00990378" w:rsidRPr="00D72200">
        <w:rPr>
          <w:iCs/>
          <w:sz w:val="22"/>
          <w:szCs w:val="22"/>
        </w:rPr>
        <w:t>ij</w:t>
      </w:r>
      <w:r w:rsidRPr="00D72200">
        <w:rPr>
          <w:iCs/>
          <w:sz w:val="22"/>
          <w:szCs w:val="22"/>
        </w:rPr>
        <w:t>eka, terapiju treba odmah prekinuti.</w:t>
      </w:r>
    </w:p>
    <w:p w14:paraId="1D2E65AC" w14:textId="10C0F4C6" w:rsidR="00585DEC" w:rsidRPr="00D72200" w:rsidRDefault="00585DEC" w:rsidP="00560921">
      <w:pPr>
        <w:shd w:val="clear" w:color="auto" w:fill="FFFFFF"/>
        <w:tabs>
          <w:tab w:val="left" w:pos="9270"/>
        </w:tabs>
        <w:spacing w:line="259" w:lineRule="exact"/>
        <w:ind w:right="36"/>
        <w:jc w:val="both"/>
        <w:rPr>
          <w:iCs/>
          <w:sz w:val="22"/>
          <w:szCs w:val="22"/>
        </w:rPr>
      </w:pPr>
    </w:p>
    <w:p w14:paraId="17FF44F7" w14:textId="01FCA161" w:rsidR="00585DEC" w:rsidRPr="00D72200" w:rsidRDefault="00585DEC" w:rsidP="00560921">
      <w:pPr>
        <w:shd w:val="clear" w:color="auto" w:fill="FFFFFF"/>
        <w:tabs>
          <w:tab w:val="left" w:pos="9270"/>
        </w:tabs>
        <w:spacing w:line="259" w:lineRule="exact"/>
        <w:ind w:right="36"/>
        <w:jc w:val="both"/>
        <w:rPr>
          <w:iCs/>
          <w:sz w:val="22"/>
          <w:szCs w:val="22"/>
        </w:rPr>
      </w:pPr>
      <w:r w:rsidRPr="00D72200">
        <w:rPr>
          <w:iCs/>
          <w:sz w:val="22"/>
          <w:szCs w:val="22"/>
        </w:rPr>
        <w:t>Rosuvastatin se kod pacova izlučuje u majčino ml</w:t>
      </w:r>
      <w:r w:rsidR="00451426" w:rsidRPr="00D72200">
        <w:rPr>
          <w:iCs/>
          <w:sz w:val="22"/>
          <w:szCs w:val="22"/>
        </w:rPr>
        <w:t>ij</w:t>
      </w:r>
      <w:r w:rsidRPr="00D72200">
        <w:rPr>
          <w:iCs/>
          <w:sz w:val="22"/>
          <w:szCs w:val="22"/>
        </w:rPr>
        <w:t>ek</w:t>
      </w:r>
      <w:r w:rsidR="00BE77C9" w:rsidRPr="00D72200">
        <w:rPr>
          <w:iCs/>
          <w:sz w:val="22"/>
          <w:szCs w:val="22"/>
        </w:rPr>
        <w:t>o</w:t>
      </w:r>
      <w:r w:rsidRPr="00D72200">
        <w:rPr>
          <w:iCs/>
          <w:sz w:val="22"/>
          <w:szCs w:val="22"/>
        </w:rPr>
        <w:t xml:space="preserve">. Nema podataka o izlučivanju </w:t>
      </w:r>
      <w:r w:rsidR="00BE77C9" w:rsidRPr="00D72200">
        <w:rPr>
          <w:iCs/>
          <w:sz w:val="22"/>
          <w:szCs w:val="22"/>
        </w:rPr>
        <w:t xml:space="preserve">lijeka </w:t>
      </w:r>
      <w:r w:rsidRPr="00D72200">
        <w:rPr>
          <w:iCs/>
          <w:sz w:val="22"/>
          <w:szCs w:val="22"/>
        </w:rPr>
        <w:t>u majčinom ml</w:t>
      </w:r>
      <w:r w:rsidR="00451426" w:rsidRPr="00D72200">
        <w:rPr>
          <w:iCs/>
          <w:sz w:val="22"/>
          <w:szCs w:val="22"/>
        </w:rPr>
        <w:t>ij</w:t>
      </w:r>
      <w:r w:rsidRPr="00D72200">
        <w:rPr>
          <w:iCs/>
          <w:sz w:val="22"/>
          <w:szCs w:val="22"/>
        </w:rPr>
        <w:t>eku kod ljudi (vid</w:t>
      </w:r>
      <w:r w:rsidR="00451426" w:rsidRPr="00D72200">
        <w:rPr>
          <w:iCs/>
          <w:sz w:val="22"/>
          <w:szCs w:val="22"/>
        </w:rPr>
        <w:t>j</w:t>
      </w:r>
      <w:r w:rsidRPr="00D72200">
        <w:rPr>
          <w:iCs/>
          <w:sz w:val="22"/>
          <w:szCs w:val="22"/>
        </w:rPr>
        <w:t xml:space="preserve">eti </w:t>
      </w:r>
      <w:r w:rsidR="00D82055" w:rsidRPr="00D72200">
        <w:rPr>
          <w:iCs/>
          <w:sz w:val="22"/>
          <w:szCs w:val="22"/>
        </w:rPr>
        <w:t>d</w:t>
      </w:r>
      <w:r w:rsidR="007D3E25" w:rsidRPr="00D72200">
        <w:rPr>
          <w:iCs/>
          <w:sz w:val="22"/>
          <w:szCs w:val="22"/>
        </w:rPr>
        <w:t>i</w:t>
      </w:r>
      <w:r w:rsidR="00D82055" w:rsidRPr="00D72200">
        <w:rPr>
          <w:iCs/>
          <w:sz w:val="22"/>
          <w:szCs w:val="22"/>
        </w:rPr>
        <w:t xml:space="preserve">o </w:t>
      </w:r>
      <w:r w:rsidRPr="00D72200">
        <w:rPr>
          <w:iCs/>
          <w:sz w:val="22"/>
          <w:szCs w:val="22"/>
        </w:rPr>
        <w:t>4.3).</w:t>
      </w:r>
    </w:p>
    <w:p w14:paraId="3705642A" w14:textId="77777777" w:rsidR="00227BDB" w:rsidRPr="00D72200" w:rsidRDefault="00227BDB" w:rsidP="00560921">
      <w:pPr>
        <w:tabs>
          <w:tab w:val="left" w:pos="540"/>
          <w:tab w:val="left" w:pos="569"/>
        </w:tabs>
        <w:ind w:left="540" w:hanging="540"/>
        <w:jc w:val="both"/>
        <w:rPr>
          <w:b/>
          <w:bCs/>
          <w:sz w:val="22"/>
          <w:szCs w:val="22"/>
        </w:rPr>
      </w:pPr>
    </w:p>
    <w:p w14:paraId="64E06E15" w14:textId="77777777" w:rsidR="0072020E" w:rsidRPr="00D72200" w:rsidRDefault="0072020E" w:rsidP="00560921">
      <w:pPr>
        <w:tabs>
          <w:tab w:val="left" w:pos="540"/>
          <w:tab w:val="left" w:pos="569"/>
        </w:tabs>
        <w:ind w:left="540" w:hanging="540"/>
        <w:jc w:val="both"/>
        <w:rPr>
          <w:b/>
          <w:bCs/>
          <w:sz w:val="22"/>
          <w:szCs w:val="22"/>
        </w:rPr>
      </w:pPr>
      <w:r w:rsidRPr="00D72200">
        <w:rPr>
          <w:b/>
          <w:bCs/>
          <w:sz w:val="22"/>
          <w:szCs w:val="22"/>
        </w:rPr>
        <w:t xml:space="preserve">4.7. </w:t>
      </w:r>
      <w:r w:rsidR="00480FB1" w:rsidRPr="00D72200">
        <w:rPr>
          <w:b/>
          <w:bCs/>
          <w:sz w:val="22"/>
          <w:szCs w:val="22"/>
        </w:rPr>
        <w:tab/>
      </w:r>
      <w:r w:rsidRPr="00D72200">
        <w:rPr>
          <w:b/>
          <w:bCs/>
          <w:sz w:val="22"/>
          <w:szCs w:val="22"/>
        </w:rPr>
        <w:t xml:space="preserve">Uticaj na </w:t>
      </w:r>
      <w:r w:rsidR="002031B3" w:rsidRPr="00D72200">
        <w:rPr>
          <w:b/>
          <w:bCs/>
          <w:sz w:val="22"/>
          <w:szCs w:val="22"/>
        </w:rPr>
        <w:t xml:space="preserve">sposobnost </w:t>
      </w:r>
      <w:r w:rsidR="00F34554" w:rsidRPr="00D72200">
        <w:rPr>
          <w:b/>
          <w:bCs/>
          <w:sz w:val="22"/>
          <w:szCs w:val="22"/>
        </w:rPr>
        <w:t>upravljanja vozili</w:t>
      </w:r>
      <w:r w:rsidRPr="00D72200">
        <w:rPr>
          <w:b/>
          <w:bCs/>
          <w:sz w:val="22"/>
          <w:szCs w:val="22"/>
        </w:rPr>
        <w:t>m</w:t>
      </w:r>
      <w:r w:rsidR="00F34554" w:rsidRPr="00D72200">
        <w:rPr>
          <w:b/>
          <w:bCs/>
          <w:sz w:val="22"/>
          <w:szCs w:val="22"/>
        </w:rPr>
        <w:t>a</w:t>
      </w:r>
      <w:r w:rsidRPr="00D72200">
        <w:rPr>
          <w:b/>
          <w:bCs/>
          <w:sz w:val="22"/>
          <w:szCs w:val="22"/>
        </w:rPr>
        <w:t xml:space="preserve"> i </w:t>
      </w:r>
      <w:r w:rsidR="000D3449" w:rsidRPr="00D72200">
        <w:rPr>
          <w:b/>
          <w:bCs/>
          <w:sz w:val="22"/>
          <w:szCs w:val="22"/>
        </w:rPr>
        <w:t xml:space="preserve">rukovanje </w:t>
      </w:r>
      <w:r w:rsidRPr="00D72200">
        <w:rPr>
          <w:b/>
          <w:bCs/>
          <w:sz w:val="22"/>
          <w:szCs w:val="22"/>
        </w:rPr>
        <w:t>mašinama</w:t>
      </w:r>
    </w:p>
    <w:p w14:paraId="10EBF8C5" w14:textId="77777777" w:rsidR="0072020E" w:rsidRPr="00D72200" w:rsidRDefault="0072020E" w:rsidP="00560921">
      <w:pPr>
        <w:tabs>
          <w:tab w:val="left" w:pos="540"/>
          <w:tab w:val="left" w:pos="569"/>
        </w:tabs>
        <w:jc w:val="both"/>
        <w:rPr>
          <w:b/>
          <w:bCs/>
          <w:sz w:val="22"/>
          <w:szCs w:val="22"/>
        </w:rPr>
      </w:pPr>
    </w:p>
    <w:p w14:paraId="47B34893" w14:textId="77777777" w:rsidR="00585DEC" w:rsidRPr="00D72200" w:rsidRDefault="00585DEC" w:rsidP="00560921">
      <w:pPr>
        <w:pStyle w:val="Header"/>
        <w:tabs>
          <w:tab w:val="left" w:pos="284"/>
          <w:tab w:val="left" w:pos="9270"/>
        </w:tabs>
        <w:ind w:right="36"/>
        <w:jc w:val="both"/>
        <w:rPr>
          <w:sz w:val="22"/>
          <w:szCs w:val="22"/>
        </w:rPr>
      </w:pPr>
      <w:r w:rsidRPr="00D72200">
        <w:rPr>
          <w:sz w:val="22"/>
          <w:szCs w:val="22"/>
        </w:rPr>
        <w:t>Nije sprovedeno ispitivanje uticaja rosuvastatina na sposobnost upravljanja vozilima i rukovanja mašinama. Ipak, na osnovu njegovih farmakodinamičkih svojstava, može se smatrati da rosuvastatin ne utiče na ovu sposobnost. Tokom upravljanja vozilima</w:t>
      </w:r>
      <w:r w:rsidRPr="000F132E">
        <w:rPr>
          <w:sz w:val="22"/>
          <w:szCs w:val="22"/>
        </w:rPr>
        <w:t xml:space="preserve"> </w:t>
      </w:r>
      <w:r w:rsidRPr="00D72200">
        <w:rPr>
          <w:sz w:val="22"/>
          <w:szCs w:val="22"/>
        </w:rPr>
        <w:t>i rukovanja mašinama treba uzeti u obzir moguću pojavu vrtoglavice tokom terapije.</w:t>
      </w:r>
    </w:p>
    <w:p w14:paraId="43F41348" w14:textId="77777777" w:rsidR="00585DEC" w:rsidRPr="00D72200" w:rsidRDefault="00585DEC" w:rsidP="00480FB1">
      <w:pPr>
        <w:tabs>
          <w:tab w:val="left" w:pos="540"/>
          <w:tab w:val="left" w:pos="569"/>
        </w:tabs>
        <w:rPr>
          <w:b/>
          <w:bCs/>
          <w:sz w:val="22"/>
          <w:szCs w:val="22"/>
        </w:rPr>
      </w:pPr>
    </w:p>
    <w:p w14:paraId="05948FDF" w14:textId="77777777" w:rsidR="0072020E" w:rsidRPr="00D72200" w:rsidRDefault="0072020E" w:rsidP="00480FB1">
      <w:pPr>
        <w:tabs>
          <w:tab w:val="left" w:pos="540"/>
          <w:tab w:val="left" w:pos="569"/>
        </w:tabs>
        <w:rPr>
          <w:b/>
          <w:bCs/>
          <w:sz w:val="22"/>
          <w:szCs w:val="22"/>
        </w:rPr>
      </w:pPr>
      <w:r w:rsidRPr="00D72200">
        <w:rPr>
          <w:b/>
          <w:bCs/>
          <w:sz w:val="22"/>
          <w:szCs w:val="22"/>
        </w:rPr>
        <w:t xml:space="preserve">4.8. </w:t>
      </w:r>
      <w:r w:rsidR="00480FB1" w:rsidRPr="00D72200">
        <w:rPr>
          <w:b/>
          <w:bCs/>
          <w:sz w:val="22"/>
          <w:szCs w:val="22"/>
        </w:rPr>
        <w:tab/>
      </w:r>
      <w:r w:rsidRPr="00D72200">
        <w:rPr>
          <w:b/>
          <w:bCs/>
          <w:sz w:val="22"/>
          <w:szCs w:val="22"/>
        </w:rPr>
        <w:t>Neželjena dejstva</w:t>
      </w:r>
    </w:p>
    <w:p w14:paraId="2F6001E7" w14:textId="77777777" w:rsidR="00361CD7" w:rsidRPr="00D72200" w:rsidRDefault="00361CD7" w:rsidP="00560921">
      <w:pPr>
        <w:tabs>
          <w:tab w:val="left" w:pos="540"/>
          <w:tab w:val="left" w:pos="569"/>
        </w:tabs>
        <w:jc w:val="both"/>
        <w:rPr>
          <w:b/>
          <w:bCs/>
          <w:sz w:val="22"/>
          <w:szCs w:val="22"/>
        </w:rPr>
      </w:pPr>
    </w:p>
    <w:p w14:paraId="1135D4FC" w14:textId="6F420605" w:rsidR="00361CD7" w:rsidRPr="00D72200" w:rsidRDefault="00361CD7" w:rsidP="00560921">
      <w:pPr>
        <w:pStyle w:val="Header"/>
        <w:tabs>
          <w:tab w:val="left" w:pos="284"/>
          <w:tab w:val="left" w:pos="9270"/>
        </w:tabs>
        <w:ind w:right="36"/>
        <w:jc w:val="both"/>
        <w:rPr>
          <w:sz w:val="22"/>
          <w:szCs w:val="22"/>
        </w:rPr>
      </w:pPr>
      <w:r w:rsidRPr="00D72200">
        <w:rPr>
          <w:sz w:val="22"/>
          <w:szCs w:val="22"/>
        </w:rPr>
        <w:t>Neželjen</w:t>
      </w:r>
      <w:r w:rsidR="004A40CA" w:rsidRPr="00D72200">
        <w:rPr>
          <w:sz w:val="22"/>
          <w:szCs w:val="22"/>
        </w:rPr>
        <w:t>a</w:t>
      </w:r>
      <w:r w:rsidRPr="00D72200">
        <w:rPr>
          <w:sz w:val="22"/>
          <w:szCs w:val="22"/>
        </w:rPr>
        <w:t xml:space="preserve"> d</w:t>
      </w:r>
      <w:r w:rsidR="004A40CA" w:rsidRPr="00D72200">
        <w:rPr>
          <w:sz w:val="22"/>
          <w:szCs w:val="22"/>
        </w:rPr>
        <w:t>ejstva</w:t>
      </w:r>
      <w:r w:rsidRPr="00D72200">
        <w:rPr>
          <w:sz w:val="22"/>
          <w:szCs w:val="22"/>
        </w:rPr>
        <w:t xml:space="preserve"> koj</w:t>
      </w:r>
      <w:r w:rsidR="004A40CA" w:rsidRPr="00D72200">
        <w:rPr>
          <w:sz w:val="22"/>
          <w:szCs w:val="22"/>
        </w:rPr>
        <w:t>a</w:t>
      </w:r>
      <w:r w:rsidRPr="00D72200">
        <w:rPr>
          <w:sz w:val="22"/>
          <w:szCs w:val="22"/>
        </w:rPr>
        <w:t xml:space="preserve"> se javljaju usl</w:t>
      </w:r>
      <w:r w:rsidR="00451426" w:rsidRPr="00D72200">
        <w:rPr>
          <w:sz w:val="22"/>
          <w:szCs w:val="22"/>
        </w:rPr>
        <w:t>j</w:t>
      </w:r>
      <w:r w:rsidRPr="00D72200">
        <w:rPr>
          <w:sz w:val="22"/>
          <w:szCs w:val="22"/>
        </w:rPr>
        <w:t>ed prim</w:t>
      </w:r>
      <w:r w:rsidR="00451426" w:rsidRPr="00D72200">
        <w:rPr>
          <w:sz w:val="22"/>
          <w:szCs w:val="22"/>
        </w:rPr>
        <w:t>j</w:t>
      </w:r>
      <w:r w:rsidRPr="00D72200">
        <w:rPr>
          <w:sz w:val="22"/>
          <w:szCs w:val="22"/>
        </w:rPr>
        <w:t>ene rosuvastatina su uglavnom blag</w:t>
      </w:r>
      <w:r w:rsidR="004A40CA" w:rsidRPr="00D72200">
        <w:rPr>
          <w:sz w:val="22"/>
          <w:szCs w:val="22"/>
        </w:rPr>
        <w:t>a</w:t>
      </w:r>
      <w:r w:rsidRPr="00D72200">
        <w:rPr>
          <w:sz w:val="22"/>
          <w:szCs w:val="22"/>
        </w:rPr>
        <w:t xml:space="preserve"> i </w:t>
      </w:r>
      <w:r w:rsidR="00917731" w:rsidRPr="00D72200">
        <w:rPr>
          <w:sz w:val="22"/>
          <w:szCs w:val="22"/>
        </w:rPr>
        <w:t>prolaznog karaktera</w:t>
      </w:r>
      <w:r w:rsidRPr="00D72200">
        <w:rPr>
          <w:sz w:val="22"/>
          <w:szCs w:val="22"/>
        </w:rPr>
        <w:t>. U kontrolisanim kliničkim ispitivanjima, kod manje od 4% pacijenata kod kojih je prim</w:t>
      </w:r>
      <w:r w:rsidR="00451426" w:rsidRPr="00D72200">
        <w:rPr>
          <w:sz w:val="22"/>
          <w:szCs w:val="22"/>
        </w:rPr>
        <w:t>j</w:t>
      </w:r>
      <w:r w:rsidRPr="00D72200">
        <w:rPr>
          <w:sz w:val="22"/>
          <w:szCs w:val="22"/>
        </w:rPr>
        <w:t>enjivan rosuvastatin</w:t>
      </w:r>
      <w:r w:rsidR="00BC735C" w:rsidRPr="00D72200">
        <w:rPr>
          <w:sz w:val="22"/>
          <w:szCs w:val="22"/>
        </w:rPr>
        <w:t>,</w:t>
      </w:r>
      <w:r w:rsidRPr="00D72200">
        <w:rPr>
          <w:sz w:val="22"/>
          <w:szCs w:val="22"/>
        </w:rPr>
        <w:t xml:space="preserve"> prekinuta </w:t>
      </w:r>
      <w:r w:rsidR="00BC735C" w:rsidRPr="00D72200">
        <w:rPr>
          <w:sz w:val="22"/>
          <w:szCs w:val="22"/>
        </w:rPr>
        <w:t xml:space="preserve">je </w:t>
      </w:r>
      <w:r w:rsidRPr="00D72200">
        <w:rPr>
          <w:sz w:val="22"/>
          <w:szCs w:val="22"/>
        </w:rPr>
        <w:t>terapija zbog neželjenih d</w:t>
      </w:r>
      <w:r w:rsidR="004A40CA" w:rsidRPr="00D72200">
        <w:rPr>
          <w:sz w:val="22"/>
          <w:szCs w:val="22"/>
        </w:rPr>
        <w:t>ejstava</w:t>
      </w:r>
      <w:r w:rsidRPr="00D72200">
        <w:rPr>
          <w:sz w:val="22"/>
          <w:szCs w:val="22"/>
        </w:rPr>
        <w:t>.</w:t>
      </w:r>
    </w:p>
    <w:p w14:paraId="593887C2" w14:textId="77777777" w:rsidR="00361CD7" w:rsidRPr="00D72200" w:rsidRDefault="00361CD7" w:rsidP="00361CD7">
      <w:pPr>
        <w:pStyle w:val="Header"/>
        <w:tabs>
          <w:tab w:val="left" w:pos="284"/>
          <w:tab w:val="left" w:pos="9270"/>
        </w:tabs>
        <w:ind w:right="36"/>
        <w:rPr>
          <w:sz w:val="22"/>
          <w:szCs w:val="22"/>
        </w:rPr>
      </w:pPr>
    </w:p>
    <w:p w14:paraId="68BD10DD" w14:textId="77777777" w:rsidR="00361CD7" w:rsidRPr="00D72200" w:rsidRDefault="00361CD7" w:rsidP="00361CD7">
      <w:pPr>
        <w:pStyle w:val="Header"/>
        <w:tabs>
          <w:tab w:val="left" w:pos="9270"/>
        </w:tabs>
        <w:ind w:right="36"/>
        <w:rPr>
          <w:sz w:val="22"/>
          <w:szCs w:val="22"/>
          <w:u w:val="single"/>
        </w:rPr>
      </w:pPr>
      <w:r w:rsidRPr="00D72200">
        <w:rPr>
          <w:sz w:val="22"/>
          <w:szCs w:val="22"/>
          <w:u w:val="single"/>
        </w:rPr>
        <w:t>Tabelarni prikaz neželjenih reakcija</w:t>
      </w:r>
    </w:p>
    <w:p w14:paraId="383CE400" w14:textId="6789A005" w:rsidR="00361CD7" w:rsidRPr="00D72200" w:rsidRDefault="00361CD7" w:rsidP="00560921">
      <w:pPr>
        <w:pStyle w:val="Header"/>
        <w:tabs>
          <w:tab w:val="left" w:pos="284"/>
          <w:tab w:val="left" w:pos="9270"/>
        </w:tabs>
        <w:ind w:right="36"/>
        <w:jc w:val="both"/>
        <w:rPr>
          <w:sz w:val="22"/>
          <w:szCs w:val="22"/>
        </w:rPr>
      </w:pPr>
      <w:r w:rsidRPr="00D72200">
        <w:rPr>
          <w:sz w:val="22"/>
          <w:szCs w:val="22"/>
        </w:rPr>
        <w:t xml:space="preserve">Na osnovu podataka dobijenih u kliničkim studijama i obimnog post-marketinškog iskustva, naredna tabela daje pregled profila neželjenih reakcija rosuvastatina. Navedene neželjene reakcije klasifikovane su na osnovu učestalosti </w:t>
      </w:r>
      <w:r w:rsidR="005B2806" w:rsidRPr="00D72200">
        <w:rPr>
          <w:sz w:val="22"/>
          <w:szCs w:val="22"/>
        </w:rPr>
        <w:t xml:space="preserve">ispoljavanja </w:t>
      </w:r>
      <w:r w:rsidR="00005B64" w:rsidRPr="00D72200">
        <w:rPr>
          <w:sz w:val="22"/>
          <w:szCs w:val="22"/>
        </w:rPr>
        <w:t>i klas</w:t>
      </w:r>
      <w:r w:rsidR="005B2806" w:rsidRPr="00D72200">
        <w:rPr>
          <w:sz w:val="22"/>
          <w:szCs w:val="22"/>
        </w:rPr>
        <w:t>e</w:t>
      </w:r>
      <w:r w:rsidRPr="00D72200">
        <w:rPr>
          <w:sz w:val="22"/>
          <w:szCs w:val="22"/>
        </w:rPr>
        <w:t xml:space="preserve"> sistema organa.</w:t>
      </w:r>
    </w:p>
    <w:p w14:paraId="13039531" w14:textId="77777777" w:rsidR="00361CD7" w:rsidRPr="00D72200" w:rsidRDefault="00361CD7" w:rsidP="00560921">
      <w:pPr>
        <w:pStyle w:val="Header"/>
        <w:tabs>
          <w:tab w:val="left" w:pos="284"/>
          <w:tab w:val="left" w:pos="9270"/>
        </w:tabs>
        <w:ind w:right="36"/>
        <w:jc w:val="both"/>
        <w:rPr>
          <w:sz w:val="22"/>
          <w:szCs w:val="22"/>
        </w:rPr>
      </w:pPr>
    </w:p>
    <w:p w14:paraId="0B7F2D54" w14:textId="7616D032" w:rsidR="00361CD7" w:rsidRPr="00D72200" w:rsidRDefault="00361CD7" w:rsidP="00560921">
      <w:pPr>
        <w:pStyle w:val="Header"/>
        <w:tabs>
          <w:tab w:val="left" w:pos="284"/>
          <w:tab w:val="left" w:pos="9270"/>
        </w:tabs>
        <w:ind w:right="36"/>
        <w:jc w:val="both"/>
        <w:rPr>
          <w:color w:val="000000"/>
          <w:sz w:val="22"/>
          <w:szCs w:val="22"/>
        </w:rPr>
      </w:pPr>
      <w:r w:rsidRPr="00D72200">
        <w:rPr>
          <w:sz w:val="22"/>
          <w:szCs w:val="22"/>
        </w:rPr>
        <w:t>Učestalost neželjenih reakcija je klasifikovana na sl</w:t>
      </w:r>
      <w:r w:rsidR="00451426" w:rsidRPr="00D72200">
        <w:rPr>
          <w:sz w:val="22"/>
          <w:szCs w:val="22"/>
        </w:rPr>
        <w:t>j</w:t>
      </w:r>
      <w:r w:rsidRPr="00D72200">
        <w:rPr>
          <w:sz w:val="22"/>
          <w:szCs w:val="22"/>
        </w:rPr>
        <w:t xml:space="preserve">edeći način: </w:t>
      </w:r>
      <w:r w:rsidR="005B2806" w:rsidRPr="00D72200">
        <w:rPr>
          <w:sz w:val="22"/>
          <w:szCs w:val="22"/>
        </w:rPr>
        <w:t>č</w:t>
      </w:r>
      <w:r w:rsidRPr="00D72200">
        <w:rPr>
          <w:sz w:val="22"/>
          <w:szCs w:val="22"/>
        </w:rPr>
        <w:t xml:space="preserve">esta (≥1/100 do &lt; 1/10), </w:t>
      </w:r>
      <w:r w:rsidR="005B2806" w:rsidRPr="00D72200">
        <w:rPr>
          <w:sz w:val="22"/>
          <w:szCs w:val="22"/>
        </w:rPr>
        <w:t>p</w:t>
      </w:r>
      <w:r w:rsidRPr="00D72200">
        <w:rPr>
          <w:sz w:val="22"/>
          <w:szCs w:val="22"/>
        </w:rPr>
        <w:t xml:space="preserve">ovremena (≥ 1/1000 do &lt; 1/100), </w:t>
      </w:r>
      <w:r w:rsidR="005B2806" w:rsidRPr="00D72200">
        <w:rPr>
          <w:sz w:val="22"/>
          <w:szCs w:val="22"/>
        </w:rPr>
        <w:t>r</w:t>
      </w:r>
      <w:r w:rsidR="00451426" w:rsidRPr="00D72200">
        <w:rPr>
          <w:sz w:val="22"/>
          <w:szCs w:val="22"/>
        </w:rPr>
        <w:t>ij</w:t>
      </w:r>
      <w:r w:rsidRPr="00D72200">
        <w:rPr>
          <w:sz w:val="22"/>
          <w:szCs w:val="22"/>
        </w:rPr>
        <w:t xml:space="preserve">etka </w:t>
      </w:r>
      <w:r w:rsidRPr="00D72200">
        <w:rPr>
          <w:color w:val="000000"/>
          <w:sz w:val="22"/>
          <w:szCs w:val="22"/>
        </w:rPr>
        <w:t xml:space="preserve">(≥1/10000 do &lt;1/1000), </w:t>
      </w:r>
      <w:r w:rsidR="005B2806" w:rsidRPr="00D72200">
        <w:rPr>
          <w:color w:val="000000"/>
          <w:sz w:val="22"/>
          <w:szCs w:val="22"/>
        </w:rPr>
        <w:t>v</w:t>
      </w:r>
      <w:r w:rsidRPr="00D72200">
        <w:rPr>
          <w:color w:val="000000"/>
          <w:sz w:val="22"/>
          <w:szCs w:val="22"/>
        </w:rPr>
        <w:t>eoma r</w:t>
      </w:r>
      <w:r w:rsidR="00451426" w:rsidRPr="00D72200">
        <w:rPr>
          <w:color w:val="000000"/>
          <w:sz w:val="22"/>
          <w:szCs w:val="22"/>
        </w:rPr>
        <w:t>ij</w:t>
      </w:r>
      <w:r w:rsidRPr="00D72200">
        <w:rPr>
          <w:color w:val="000000"/>
          <w:sz w:val="22"/>
          <w:szCs w:val="22"/>
        </w:rPr>
        <w:t xml:space="preserve">etka (&lt;1/10000), </w:t>
      </w:r>
      <w:r w:rsidR="005B2806" w:rsidRPr="00D72200">
        <w:rPr>
          <w:color w:val="000000"/>
          <w:sz w:val="22"/>
          <w:szCs w:val="22"/>
        </w:rPr>
        <w:t>n</w:t>
      </w:r>
      <w:r w:rsidRPr="00D72200">
        <w:rPr>
          <w:color w:val="000000"/>
          <w:sz w:val="22"/>
          <w:szCs w:val="22"/>
        </w:rPr>
        <w:t>epoznat</w:t>
      </w:r>
      <w:r w:rsidR="005B2806" w:rsidRPr="00D72200">
        <w:rPr>
          <w:color w:val="000000"/>
          <w:sz w:val="22"/>
          <w:szCs w:val="22"/>
        </w:rPr>
        <w:t>a</w:t>
      </w:r>
      <w:r w:rsidRPr="00D72200">
        <w:rPr>
          <w:color w:val="000000"/>
          <w:sz w:val="22"/>
          <w:szCs w:val="22"/>
        </w:rPr>
        <w:t xml:space="preserve"> (ne može se proc</w:t>
      </w:r>
      <w:r w:rsidR="00451426" w:rsidRPr="00D72200">
        <w:rPr>
          <w:color w:val="000000"/>
          <w:sz w:val="22"/>
          <w:szCs w:val="22"/>
        </w:rPr>
        <w:t>ij</w:t>
      </w:r>
      <w:r w:rsidRPr="00D72200">
        <w:rPr>
          <w:color w:val="000000"/>
          <w:sz w:val="22"/>
          <w:szCs w:val="22"/>
        </w:rPr>
        <w:t>eniti na osnovu postojećih podataka).</w:t>
      </w:r>
    </w:p>
    <w:p w14:paraId="28FAAFA8" w14:textId="77777777" w:rsidR="00361CD7" w:rsidRPr="00D72200" w:rsidRDefault="00361CD7" w:rsidP="00480FB1">
      <w:pPr>
        <w:tabs>
          <w:tab w:val="left" w:pos="540"/>
          <w:tab w:val="left" w:pos="569"/>
        </w:tabs>
        <w:rPr>
          <w:b/>
          <w:bCs/>
          <w:sz w:val="22"/>
          <w:szCs w:val="22"/>
        </w:rPr>
      </w:pPr>
    </w:p>
    <w:p w14:paraId="34318617" w14:textId="643E09B8" w:rsidR="00361CD7" w:rsidRPr="00D72200" w:rsidRDefault="00361CD7" w:rsidP="00376732">
      <w:pPr>
        <w:pStyle w:val="Header"/>
        <w:tabs>
          <w:tab w:val="left" w:pos="284"/>
          <w:tab w:val="left" w:pos="9270"/>
        </w:tabs>
        <w:ind w:right="36"/>
        <w:jc w:val="both"/>
        <w:rPr>
          <w:b/>
          <w:color w:val="000000"/>
          <w:sz w:val="22"/>
          <w:szCs w:val="22"/>
        </w:rPr>
      </w:pPr>
      <w:r w:rsidRPr="00D72200">
        <w:rPr>
          <w:b/>
          <w:color w:val="000000"/>
          <w:sz w:val="22"/>
          <w:szCs w:val="22"/>
        </w:rPr>
        <w:t>Tabela 2. Neželjene reakcije na osnovu podataka iz kliničkih studija i postmarketinškog</w:t>
      </w:r>
      <w:r w:rsidR="00BC735C" w:rsidRPr="00D72200">
        <w:rPr>
          <w:b/>
          <w:color w:val="000000"/>
          <w:sz w:val="22"/>
          <w:szCs w:val="22"/>
        </w:rPr>
        <w:t xml:space="preserve"> </w:t>
      </w:r>
      <w:r w:rsidRPr="00D72200">
        <w:rPr>
          <w:b/>
          <w:color w:val="000000"/>
          <w:sz w:val="22"/>
          <w:szCs w:val="22"/>
        </w:rPr>
        <w:t>iskustva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275"/>
        <w:gridCol w:w="1985"/>
        <w:gridCol w:w="1701"/>
        <w:gridCol w:w="1701"/>
      </w:tblGrid>
      <w:tr w:rsidR="00361CD7" w:rsidRPr="00D72200" w14:paraId="3577013D" w14:textId="77777777" w:rsidTr="000F132E">
        <w:trPr>
          <w:trHeight w:val="144"/>
          <w:jc w:val="center"/>
        </w:trPr>
        <w:tc>
          <w:tcPr>
            <w:tcW w:w="1696" w:type="dxa"/>
            <w:shd w:val="clear" w:color="auto" w:fill="auto"/>
          </w:tcPr>
          <w:p w14:paraId="6AF1F3D3" w14:textId="3B07C5EA" w:rsidR="00361CD7" w:rsidRPr="00D72200" w:rsidRDefault="00E031F3" w:rsidP="008246D3">
            <w:pPr>
              <w:rPr>
                <w:color w:val="000000"/>
                <w:sz w:val="22"/>
                <w:szCs w:val="22"/>
              </w:rPr>
            </w:pPr>
            <w:r w:rsidRPr="00D72200">
              <w:rPr>
                <w:w w:val="105"/>
                <w:sz w:val="22"/>
                <w:szCs w:val="22"/>
              </w:rPr>
              <w:t>Klasifikacija</w:t>
            </w:r>
            <w:r w:rsidR="00005B64" w:rsidRPr="00D72200">
              <w:rPr>
                <w:w w:val="105"/>
                <w:sz w:val="22"/>
                <w:szCs w:val="22"/>
              </w:rPr>
              <w:t xml:space="preserve"> s</w:t>
            </w:r>
            <w:r w:rsidR="00361CD7" w:rsidRPr="00D72200">
              <w:rPr>
                <w:w w:val="105"/>
                <w:sz w:val="22"/>
                <w:szCs w:val="22"/>
              </w:rPr>
              <w:t>istem</w:t>
            </w:r>
            <w:r w:rsidR="00005B64" w:rsidRPr="00D72200">
              <w:rPr>
                <w:w w:val="105"/>
                <w:sz w:val="22"/>
                <w:szCs w:val="22"/>
              </w:rPr>
              <w:t>a</w:t>
            </w:r>
            <w:r w:rsidR="00361CD7" w:rsidRPr="00D72200">
              <w:rPr>
                <w:spacing w:val="-25"/>
                <w:w w:val="105"/>
                <w:sz w:val="22"/>
                <w:szCs w:val="22"/>
              </w:rPr>
              <w:t xml:space="preserve"> </w:t>
            </w:r>
            <w:r w:rsidR="00361CD7" w:rsidRPr="00D72200">
              <w:rPr>
                <w:w w:val="105"/>
                <w:sz w:val="22"/>
                <w:szCs w:val="22"/>
              </w:rPr>
              <w:t>organa</w:t>
            </w:r>
          </w:p>
        </w:tc>
        <w:tc>
          <w:tcPr>
            <w:tcW w:w="1560" w:type="dxa"/>
            <w:shd w:val="clear" w:color="auto" w:fill="auto"/>
          </w:tcPr>
          <w:p w14:paraId="5F23CCD4" w14:textId="77777777" w:rsidR="00361CD7" w:rsidRPr="00D72200" w:rsidRDefault="00361CD7" w:rsidP="008246D3">
            <w:pPr>
              <w:rPr>
                <w:color w:val="000000"/>
                <w:sz w:val="22"/>
                <w:szCs w:val="22"/>
              </w:rPr>
            </w:pPr>
            <w:r w:rsidRPr="00D72200">
              <w:rPr>
                <w:w w:val="105"/>
                <w:sz w:val="22"/>
                <w:szCs w:val="22"/>
              </w:rPr>
              <w:t>Česta</w:t>
            </w:r>
          </w:p>
        </w:tc>
        <w:tc>
          <w:tcPr>
            <w:tcW w:w="1275" w:type="dxa"/>
            <w:shd w:val="clear" w:color="auto" w:fill="auto"/>
          </w:tcPr>
          <w:p w14:paraId="7B75BF7F" w14:textId="77777777" w:rsidR="00361CD7" w:rsidRPr="00D72200" w:rsidRDefault="00361CD7" w:rsidP="008246D3">
            <w:pPr>
              <w:rPr>
                <w:color w:val="000000"/>
                <w:sz w:val="22"/>
                <w:szCs w:val="22"/>
              </w:rPr>
            </w:pPr>
            <w:r w:rsidRPr="00D72200">
              <w:rPr>
                <w:w w:val="105"/>
                <w:sz w:val="22"/>
                <w:szCs w:val="22"/>
              </w:rPr>
              <w:t>Povremena</w:t>
            </w:r>
          </w:p>
        </w:tc>
        <w:tc>
          <w:tcPr>
            <w:tcW w:w="1985" w:type="dxa"/>
            <w:shd w:val="clear" w:color="auto" w:fill="auto"/>
          </w:tcPr>
          <w:p w14:paraId="6F406D36" w14:textId="7C0ABA9B" w:rsidR="00361CD7" w:rsidRPr="00D72200" w:rsidRDefault="00361CD7" w:rsidP="008246D3">
            <w:pPr>
              <w:rPr>
                <w:color w:val="000000"/>
                <w:sz w:val="22"/>
                <w:szCs w:val="22"/>
              </w:rPr>
            </w:pPr>
            <w:r w:rsidRPr="00D72200">
              <w:rPr>
                <w:w w:val="105"/>
                <w:sz w:val="22"/>
                <w:szCs w:val="22"/>
              </w:rPr>
              <w:t>R</w:t>
            </w:r>
            <w:r w:rsidR="00451426" w:rsidRPr="00D72200">
              <w:rPr>
                <w:w w:val="105"/>
                <w:sz w:val="22"/>
                <w:szCs w:val="22"/>
              </w:rPr>
              <w:t>ij</w:t>
            </w:r>
            <w:r w:rsidRPr="00D72200">
              <w:rPr>
                <w:w w:val="105"/>
                <w:sz w:val="22"/>
                <w:szCs w:val="22"/>
              </w:rPr>
              <w:t>etka</w:t>
            </w:r>
          </w:p>
        </w:tc>
        <w:tc>
          <w:tcPr>
            <w:tcW w:w="1701" w:type="dxa"/>
            <w:shd w:val="clear" w:color="auto" w:fill="auto"/>
          </w:tcPr>
          <w:p w14:paraId="15AA970C" w14:textId="2D6AC3E7" w:rsidR="00361CD7" w:rsidRPr="00D72200" w:rsidRDefault="00361CD7" w:rsidP="008246D3">
            <w:pPr>
              <w:rPr>
                <w:color w:val="000000"/>
                <w:sz w:val="22"/>
                <w:szCs w:val="22"/>
              </w:rPr>
            </w:pPr>
            <w:r w:rsidRPr="00D72200">
              <w:rPr>
                <w:w w:val="105"/>
                <w:sz w:val="22"/>
                <w:szCs w:val="22"/>
              </w:rPr>
              <w:t>Veoma</w:t>
            </w:r>
            <w:r w:rsidRPr="00D72200">
              <w:rPr>
                <w:spacing w:val="-23"/>
                <w:w w:val="105"/>
                <w:sz w:val="22"/>
                <w:szCs w:val="22"/>
              </w:rPr>
              <w:t xml:space="preserve"> </w:t>
            </w:r>
            <w:r w:rsidRPr="00D72200">
              <w:rPr>
                <w:w w:val="105"/>
                <w:sz w:val="22"/>
                <w:szCs w:val="22"/>
              </w:rPr>
              <w:t>r</w:t>
            </w:r>
            <w:r w:rsidR="00451426" w:rsidRPr="00D72200">
              <w:rPr>
                <w:w w:val="105"/>
                <w:sz w:val="22"/>
                <w:szCs w:val="22"/>
              </w:rPr>
              <w:t>ij</w:t>
            </w:r>
            <w:r w:rsidRPr="00D72200">
              <w:rPr>
                <w:w w:val="105"/>
                <w:sz w:val="22"/>
                <w:szCs w:val="22"/>
              </w:rPr>
              <w:t>etka</w:t>
            </w:r>
          </w:p>
        </w:tc>
        <w:tc>
          <w:tcPr>
            <w:tcW w:w="1701" w:type="dxa"/>
            <w:shd w:val="clear" w:color="auto" w:fill="auto"/>
          </w:tcPr>
          <w:p w14:paraId="4C716686" w14:textId="21DE02C4" w:rsidR="00361CD7" w:rsidRPr="00D72200" w:rsidRDefault="00361CD7" w:rsidP="005B2806">
            <w:pPr>
              <w:rPr>
                <w:color w:val="000000"/>
                <w:sz w:val="22"/>
                <w:szCs w:val="22"/>
              </w:rPr>
            </w:pPr>
            <w:r w:rsidRPr="00D72200">
              <w:rPr>
                <w:w w:val="105"/>
                <w:sz w:val="22"/>
                <w:szCs w:val="22"/>
              </w:rPr>
              <w:t>Nepoznat</w:t>
            </w:r>
            <w:r w:rsidR="005B2806" w:rsidRPr="00D72200">
              <w:rPr>
                <w:w w:val="105"/>
                <w:sz w:val="22"/>
                <w:szCs w:val="22"/>
              </w:rPr>
              <w:t>a</w:t>
            </w:r>
          </w:p>
        </w:tc>
      </w:tr>
      <w:tr w:rsidR="00361CD7" w:rsidRPr="00D72200" w14:paraId="7CFB7D78" w14:textId="77777777" w:rsidTr="000F132E">
        <w:trPr>
          <w:trHeight w:val="144"/>
          <w:jc w:val="center"/>
        </w:trPr>
        <w:tc>
          <w:tcPr>
            <w:tcW w:w="1696" w:type="dxa"/>
            <w:shd w:val="clear" w:color="auto" w:fill="auto"/>
          </w:tcPr>
          <w:p w14:paraId="317763D8" w14:textId="77777777" w:rsidR="00361CD7" w:rsidRPr="00D72200" w:rsidRDefault="00361CD7" w:rsidP="008246D3">
            <w:pPr>
              <w:pStyle w:val="TableParagraph"/>
              <w:kinsoku w:val="0"/>
              <w:overflowPunct w:val="0"/>
              <w:spacing w:line="229" w:lineRule="exact"/>
              <w:rPr>
                <w:sz w:val="22"/>
                <w:szCs w:val="22"/>
              </w:rPr>
            </w:pPr>
            <w:r w:rsidRPr="00D72200">
              <w:rPr>
                <w:i/>
                <w:iCs/>
                <w:spacing w:val="-1"/>
                <w:w w:val="105"/>
                <w:sz w:val="22"/>
                <w:szCs w:val="22"/>
              </w:rPr>
              <w:t>Poremećaj</w:t>
            </w:r>
            <w:r w:rsidRPr="00D72200">
              <w:rPr>
                <w:i/>
                <w:iCs/>
                <w:w w:val="105"/>
                <w:sz w:val="22"/>
                <w:szCs w:val="22"/>
              </w:rPr>
              <w:t>i</w:t>
            </w:r>
            <w:r w:rsidRPr="00D72200">
              <w:rPr>
                <w:i/>
                <w:iCs/>
                <w:spacing w:val="-19"/>
                <w:w w:val="105"/>
                <w:sz w:val="22"/>
                <w:szCs w:val="22"/>
              </w:rPr>
              <w:t xml:space="preserve"> </w:t>
            </w:r>
            <w:r w:rsidRPr="00D72200">
              <w:rPr>
                <w:i/>
                <w:iCs/>
                <w:spacing w:val="-16"/>
                <w:w w:val="105"/>
                <w:sz w:val="22"/>
                <w:szCs w:val="22"/>
              </w:rPr>
              <w:t xml:space="preserve"> </w:t>
            </w:r>
            <w:r w:rsidRPr="00D72200">
              <w:rPr>
                <w:i/>
                <w:iCs/>
                <w:spacing w:val="-1"/>
                <w:w w:val="105"/>
                <w:sz w:val="22"/>
                <w:szCs w:val="22"/>
              </w:rPr>
              <w:t xml:space="preserve">krvi </w:t>
            </w:r>
            <w:r w:rsidRPr="00D72200">
              <w:rPr>
                <w:i/>
                <w:iCs/>
                <w:w w:val="105"/>
                <w:sz w:val="22"/>
                <w:szCs w:val="22"/>
              </w:rPr>
              <w:t>i</w:t>
            </w:r>
            <w:r w:rsidRPr="00D72200">
              <w:rPr>
                <w:i/>
                <w:iCs/>
                <w:spacing w:val="-14"/>
                <w:w w:val="105"/>
                <w:sz w:val="22"/>
                <w:szCs w:val="22"/>
              </w:rPr>
              <w:t xml:space="preserve"> </w:t>
            </w:r>
            <w:r w:rsidRPr="00D72200">
              <w:rPr>
                <w:i/>
                <w:iCs/>
                <w:w w:val="105"/>
                <w:sz w:val="22"/>
                <w:szCs w:val="22"/>
              </w:rPr>
              <w:t>limfnog</w:t>
            </w:r>
            <w:r w:rsidRPr="00D72200">
              <w:rPr>
                <w:i/>
                <w:iCs/>
                <w:spacing w:val="-13"/>
                <w:w w:val="105"/>
                <w:sz w:val="22"/>
                <w:szCs w:val="22"/>
              </w:rPr>
              <w:t xml:space="preserve"> </w:t>
            </w:r>
            <w:r w:rsidRPr="00D72200">
              <w:rPr>
                <w:i/>
                <w:iCs/>
                <w:w w:val="105"/>
                <w:sz w:val="22"/>
                <w:szCs w:val="22"/>
              </w:rPr>
              <w:t>sistema</w:t>
            </w:r>
          </w:p>
        </w:tc>
        <w:tc>
          <w:tcPr>
            <w:tcW w:w="1560" w:type="dxa"/>
            <w:shd w:val="clear" w:color="auto" w:fill="auto"/>
          </w:tcPr>
          <w:p w14:paraId="4C3E1169" w14:textId="77777777" w:rsidR="00361CD7" w:rsidRPr="00D72200" w:rsidRDefault="00361CD7" w:rsidP="008246D3">
            <w:pPr>
              <w:pStyle w:val="Header"/>
              <w:tabs>
                <w:tab w:val="left" w:pos="284"/>
                <w:tab w:val="left" w:pos="9270"/>
              </w:tabs>
              <w:ind w:right="36"/>
              <w:rPr>
                <w:color w:val="000000"/>
                <w:sz w:val="22"/>
                <w:szCs w:val="22"/>
              </w:rPr>
            </w:pPr>
          </w:p>
        </w:tc>
        <w:tc>
          <w:tcPr>
            <w:tcW w:w="1275" w:type="dxa"/>
            <w:shd w:val="clear" w:color="auto" w:fill="auto"/>
          </w:tcPr>
          <w:p w14:paraId="042ECEFA"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12C6FA88" w14:textId="77777777" w:rsidR="00361CD7" w:rsidRPr="00D72200" w:rsidRDefault="00361CD7" w:rsidP="008246D3">
            <w:pPr>
              <w:pStyle w:val="Header"/>
              <w:tabs>
                <w:tab w:val="left" w:pos="284"/>
                <w:tab w:val="left" w:pos="9270"/>
              </w:tabs>
              <w:ind w:right="36"/>
              <w:rPr>
                <w:color w:val="000000"/>
                <w:sz w:val="22"/>
                <w:szCs w:val="22"/>
              </w:rPr>
            </w:pPr>
            <w:r w:rsidRPr="00D72200">
              <w:rPr>
                <w:spacing w:val="-1"/>
                <w:w w:val="105"/>
                <w:sz w:val="22"/>
                <w:szCs w:val="22"/>
              </w:rPr>
              <w:t>Trombocitop</w:t>
            </w:r>
            <w:r w:rsidRPr="00D72200">
              <w:rPr>
                <w:spacing w:val="-8"/>
                <w:w w:val="105"/>
                <w:sz w:val="22"/>
                <w:szCs w:val="22"/>
              </w:rPr>
              <w:t>e</w:t>
            </w:r>
            <w:r w:rsidRPr="00D72200">
              <w:rPr>
                <w:spacing w:val="-1"/>
                <w:w w:val="105"/>
                <w:sz w:val="22"/>
                <w:szCs w:val="22"/>
              </w:rPr>
              <w:t>nija</w:t>
            </w:r>
          </w:p>
        </w:tc>
        <w:tc>
          <w:tcPr>
            <w:tcW w:w="1701" w:type="dxa"/>
            <w:shd w:val="clear" w:color="auto" w:fill="auto"/>
          </w:tcPr>
          <w:p w14:paraId="7685DF3C"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08D20AF8" w14:textId="77777777" w:rsidR="00361CD7" w:rsidRPr="00D72200" w:rsidRDefault="00361CD7" w:rsidP="008246D3">
            <w:pPr>
              <w:pStyle w:val="Header"/>
              <w:tabs>
                <w:tab w:val="left" w:pos="284"/>
                <w:tab w:val="left" w:pos="9270"/>
              </w:tabs>
              <w:ind w:right="36"/>
              <w:rPr>
                <w:color w:val="000000"/>
                <w:sz w:val="22"/>
                <w:szCs w:val="22"/>
              </w:rPr>
            </w:pPr>
          </w:p>
        </w:tc>
      </w:tr>
      <w:tr w:rsidR="00361CD7" w:rsidRPr="00D72200" w14:paraId="0F9B8D5E" w14:textId="77777777" w:rsidTr="000F132E">
        <w:trPr>
          <w:trHeight w:val="144"/>
          <w:jc w:val="center"/>
        </w:trPr>
        <w:tc>
          <w:tcPr>
            <w:tcW w:w="1696" w:type="dxa"/>
            <w:shd w:val="clear" w:color="auto" w:fill="auto"/>
          </w:tcPr>
          <w:p w14:paraId="57095955" w14:textId="6DFB38AC" w:rsidR="00361CD7" w:rsidRPr="00D72200" w:rsidRDefault="00361CD7" w:rsidP="005B2806">
            <w:pPr>
              <w:pStyle w:val="TableParagraph"/>
              <w:kinsoku w:val="0"/>
              <w:overflowPunct w:val="0"/>
              <w:spacing w:line="225" w:lineRule="exact"/>
              <w:rPr>
                <w:color w:val="000000"/>
                <w:sz w:val="22"/>
                <w:szCs w:val="22"/>
              </w:rPr>
            </w:pPr>
            <w:r w:rsidRPr="00D72200">
              <w:rPr>
                <w:i/>
                <w:iCs/>
                <w:spacing w:val="-3"/>
                <w:w w:val="105"/>
                <w:sz w:val="22"/>
                <w:szCs w:val="22"/>
              </w:rPr>
              <w:t>Poremećaji i</w:t>
            </w:r>
            <w:r w:rsidRPr="00D72200">
              <w:rPr>
                <w:i/>
                <w:iCs/>
                <w:spacing w:val="-1"/>
                <w:w w:val="105"/>
                <w:sz w:val="22"/>
                <w:szCs w:val="22"/>
              </w:rPr>
              <w:t>mun</w:t>
            </w:r>
            <w:r w:rsidRPr="00D72200">
              <w:rPr>
                <w:i/>
                <w:iCs/>
                <w:w w:val="105"/>
                <w:sz w:val="22"/>
                <w:szCs w:val="22"/>
              </w:rPr>
              <w:t xml:space="preserve">og </w:t>
            </w:r>
            <w:r w:rsidRPr="00D72200">
              <w:rPr>
                <w:i/>
                <w:iCs/>
                <w:spacing w:val="-1"/>
                <w:w w:val="105"/>
                <w:sz w:val="22"/>
                <w:szCs w:val="22"/>
              </w:rPr>
              <w:t>sistema</w:t>
            </w:r>
          </w:p>
        </w:tc>
        <w:tc>
          <w:tcPr>
            <w:tcW w:w="1560" w:type="dxa"/>
            <w:shd w:val="clear" w:color="auto" w:fill="auto"/>
          </w:tcPr>
          <w:p w14:paraId="1CB4EBB8" w14:textId="77777777" w:rsidR="00361CD7" w:rsidRPr="00D72200" w:rsidRDefault="00361CD7" w:rsidP="008246D3">
            <w:pPr>
              <w:pStyle w:val="Header"/>
              <w:tabs>
                <w:tab w:val="left" w:pos="284"/>
                <w:tab w:val="left" w:pos="9270"/>
              </w:tabs>
              <w:ind w:right="36"/>
              <w:rPr>
                <w:color w:val="000000"/>
                <w:sz w:val="22"/>
                <w:szCs w:val="22"/>
              </w:rPr>
            </w:pPr>
          </w:p>
        </w:tc>
        <w:tc>
          <w:tcPr>
            <w:tcW w:w="1275" w:type="dxa"/>
            <w:shd w:val="clear" w:color="auto" w:fill="auto"/>
          </w:tcPr>
          <w:p w14:paraId="63C3C384"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68307857" w14:textId="77777777" w:rsidR="00361CD7" w:rsidRPr="00D72200" w:rsidRDefault="00361CD7" w:rsidP="008246D3">
            <w:pPr>
              <w:pStyle w:val="TableParagraph"/>
              <w:kinsoku w:val="0"/>
              <w:overflowPunct w:val="0"/>
              <w:spacing w:line="225" w:lineRule="exact"/>
              <w:rPr>
                <w:sz w:val="22"/>
                <w:szCs w:val="22"/>
              </w:rPr>
            </w:pPr>
            <w:r w:rsidRPr="00D72200">
              <w:rPr>
                <w:w w:val="105"/>
                <w:sz w:val="22"/>
                <w:szCs w:val="22"/>
              </w:rPr>
              <w:t>R</w:t>
            </w:r>
            <w:r w:rsidRPr="00D72200">
              <w:rPr>
                <w:spacing w:val="-3"/>
                <w:w w:val="105"/>
                <w:sz w:val="22"/>
                <w:szCs w:val="22"/>
              </w:rPr>
              <w:t>eakcije</w:t>
            </w:r>
          </w:p>
          <w:p w14:paraId="26859632" w14:textId="42A5CAB6" w:rsidR="00361CD7" w:rsidRPr="00D72200" w:rsidRDefault="00361CD7" w:rsidP="008246D3">
            <w:pPr>
              <w:pStyle w:val="Header"/>
              <w:tabs>
                <w:tab w:val="left" w:pos="284"/>
                <w:tab w:val="left" w:pos="9270"/>
              </w:tabs>
              <w:ind w:right="36"/>
              <w:rPr>
                <w:color w:val="000000"/>
                <w:sz w:val="22"/>
                <w:szCs w:val="22"/>
              </w:rPr>
            </w:pPr>
            <w:r w:rsidRPr="00D72200">
              <w:rPr>
                <w:spacing w:val="-3"/>
                <w:sz w:val="22"/>
                <w:szCs w:val="22"/>
              </w:rPr>
              <w:t>p</w:t>
            </w:r>
            <w:r w:rsidRPr="00D72200">
              <w:rPr>
                <w:spacing w:val="6"/>
                <w:sz w:val="22"/>
                <w:szCs w:val="22"/>
              </w:rPr>
              <w:t>r</w:t>
            </w:r>
            <w:r w:rsidRPr="00D72200">
              <w:rPr>
                <w:spacing w:val="-7"/>
                <w:sz w:val="22"/>
                <w:szCs w:val="22"/>
              </w:rPr>
              <w:t>eo</w:t>
            </w:r>
            <w:r w:rsidRPr="00D72200">
              <w:rPr>
                <w:spacing w:val="4"/>
                <w:sz w:val="22"/>
                <w:szCs w:val="22"/>
              </w:rPr>
              <w:t>s</w:t>
            </w:r>
            <w:r w:rsidR="00451426" w:rsidRPr="00D72200">
              <w:rPr>
                <w:spacing w:val="4"/>
                <w:sz w:val="22"/>
                <w:szCs w:val="22"/>
              </w:rPr>
              <w:t>j</w:t>
            </w:r>
            <w:r w:rsidRPr="00D72200">
              <w:rPr>
                <w:spacing w:val="-1"/>
                <w:sz w:val="22"/>
                <w:szCs w:val="22"/>
              </w:rPr>
              <w:t>etljivosti</w:t>
            </w:r>
            <w:r w:rsidRPr="00D72200">
              <w:rPr>
                <w:spacing w:val="-1"/>
                <w:w w:val="103"/>
                <w:sz w:val="22"/>
                <w:szCs w:val="22"/>
              </w:rPr>
              <w:t xml:space="preserve"> </w:t>
            </w:r>
            <w:r w:rsidRPr="00D72200">
              <w:rPr>
                <w:spacing w:val="-1"/>
                <w:w w:val="105"/>
                <w:sz w:val="22"/>
                <w:szCs w:val="22"/>
              </w:rPr>
              <w:t>uključujući</w:t>
            </w:r>
            <w:r w:rsidRPr="00D72200">
              <w:rPr>
                <w:spacing w:val="-1"/>
                <w:w w:val="103"/>
                <w:sz w:val="22"/>
                <w:szCs w:val="22"/>
              </w:rPr>
              <w:t xml:space="preserve"> </w:t>
            </w:r>
            <w:r w:rsidRPr="00D72200">
              <w:rPr>
                <w:spacing w:val="-1"/>
                <w:w w:val="105"/>
                <w:sz w:val="22"/>
                <w:szCs w:val="22"/>
              </w:rPr>
              <w:t>angioedem</w:t>
            </w:r>
          </w:p>
        </w:tc>
        <w:tc>
          <w:tcPr>
            <w:tcW w:w="1701" w:type="dxa"/>
            <w:shd w:val="clear" w:color="auto" w:fill="auto"/>
          </w:tcPr>
          <w:p w14:paraId="6DDFC7EA"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3D054E59" w14:textId="77777777" w:rsidR="00361CD7" w:rsidRPr="00D72200" w:rsidRDefault="00361CD7" w:rsidP="008246D3">
            <w:pPr>
              <w:pStyle w:val="Header"/>
              <w:tabs>
                <w:tab w:val="left" w:pos="284"/>
                <w:tab w:val="left" w:pos="9270"/>
              </w:tabs>
              <w:ind w:right="36"/>
              <w:rPr>
                <w:color w:val="000000"/>
                <w:sz w:val="22"/>
                <w:szCs w:val="22"/>
              </w:rPr>
            </w:pPr>
          </w:p>
        </w:tc>
      </w:tr>
      <w:tr w:rsidR="00361CD7" w:rsidRPr="00D72200" w14:paraId="143172B1" w14:textId="77777777" w:rsidTr="000F132E">
        <w:trPr>
          <w:trHeight w:val="144"/>
          <w:jc w:val="center"/>
        </w:trPr>
        <w:tc>
          <w:tcPr>
            <w:tcW w:w="1696" w:type="dxa"/>
            <w:shd w:val="clear" w:color="auto" w:fill="auto"/>
          </w:tcPr>
          <w:p w14:paraId="5D8B0B3D" w14:textId="77777777" w:rsidR="00361CD7" w:rsidRPr="00D72200" w:rsidRDefault="00361CD7" w:rsidP="008246D3">
            <w:pPr>
              <w:pStyle w:val="TableParagraph"/>
              <w:kinsoku w:val="0"/>
              <w:overflowPunct w:val="0"/>
              <w:spacing w:line="225" w:lineRule="exact"/>
              <w:rPr>
                <w:sz w:val="22"/>
                <w:szCs w:val="22"/>
              </w:rPr>
            </w:pPr>
            <w:r w:rsidRPr="00D72200">
              <w:rPr>
                <w:i/>
                <w:iCs/>
                <w:spacing w:val="-1"/>
                <w:w w:val="105"/>
                <w:sz w:val="22"/>
                <w:szCs w:val="22"/>
              </w:rPr>
              <w:t>Endokrini</w:t>
            </w:r>
          </w:p>
          <w:p w14:paraId="3A3B16ED" w14:textId="77777777" w:rsidR="00361CD7" w:rsidRPr="00D72200" w:rsidRDefault="00361CD7" w:rsidP="008246D3">
            <w:pPr>
              <w:pStyle w:val="Header"/>
              <w:tabs>
                <w:tab w:val="left" w:pos="284"/>
                <w:tab w:val="left" w:pos="9270"/>
              </w:tabs>
              <w:ind w:right="36"/>
              <w:rPr>
                <w:color w:val="000000"/>
                <w:sz w:val="22"/>
                <w:szCs w:val="22"/>
              </w:rPr>
            </w:pPr>
            <w:r w:rsidRPr="00D72200">
              <w:rPr>
                <w:i/>
                <w:iCs/>
                <w:spacing w:val="-1"/>
                <w:w w:val="105"/>
                <w:sz w:val="22"/>
                <w:szCs w:val="22"/>
              </w:rPr>
              <w:t>poremećaji</w:t>
            </w:r>
          </w:p>
        </w:tc>
        <w:tc>
          <w:tcPr>
            <w:tcW w:w="1560" w:type="dxa"/>
            <w:shd w:val="clear" w:color="auto" w:fill="auto"/>
          </w:tcPr>
          <w:p w14:paraId="07EB4DEE" w14:textId="0C124203" w:rsidR="00361CD7" w:rsidRPr="00D72200" w:rsidRDefault="00361CD7" w:rsidP="008246D3">
            <w:pPr>
              <w:pStyle w:val="Header"/>
              <w:tabs>
                <w:tab w:val="left" w:pos="284"/>
                <w:tab w:val="left" w:pos="9270"/>
              </w:tabs>
              <w:ind w:right="36"/>
              <w:rPr>
                <w:color w:val="000000"/>
                <w:sz w:val="22"/>
                <w:szCs w:val="22"/>
              </w:rPr>
            </w:pPr>
            <w:r w:rsidRPr="00D72200">
              <w:rPr>
                <w:sz w:val="22"/>
                <w:szCs w:val="22"/>
              </w:rPr>
              <w:t>Dijabet</w:t>
            </w:r>
            <w:r w:rsidR="00E570D1" w:rsidRPr="00D72200">
              <w:rPr>
                <w:sz w:val="22"/>
                <w:szCs w:val="22"/>
              </w:rPr>
              <w:t>e</w:t>
            </w:r>
            <w:r w:rsidRPr="00D72200">
              <w:rPr>
                <w:sz w:val="22"/>
                <w:szCs w:val="22"/>
              </w:rPr>
              <w:t xml:space="preserve">s </w:t>
            </w:r>
            <w:r w:rsidRPr="00D72200">
              <w:rPr>
                <w:spacing w:val="-3"/>
                <w:w w:val="105"/>
                <w:sz w:val="22"/>
                <w:szCs w:val="22"/>
              </w:rPr>
              <w:t>melitu</w:t>
            </w:r>
            <w:r w:rsidRPr="00D72200">
              <w:rPr>
                <w:w w:val="105"/>
                <w:sz w:val="22"/>
                <w:szCs w:val="22"/>
              </w:rPr>
              <w:t>s</w:t>
            </w:r>
            <w:r w:rsidRPr="00D72200">
              <w:rPr>
                <w:w w:val="105"/>
                <w:sz w:val="22"/>
                <w:szCs w:val="22"/>
                <w:vertAlign w:val="superscript"/>
              </w:rPr>
              <w:t>1</w:t>
            </w:r>
          </w:p>
        </w:tc>
        <w:tc>
          <w:tcPr>
            <w:tcW w:w="1275" w:type="dxa"/>
            <w:shd w:val="clear" w:color="auto" w:fill="auto"/>
          </w:tcPr>
          <w:p w14:paraId="6919500B"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0B2092C3"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7BAAF15E"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67FA9BA2" w14:textId="77777777" w:rsidR="00361CD7" w:rsidRPr="00D72200" w:rsidRDefault="00361CD7" w:rsidP="008246D3">
            <w:pPr>
              <w:pStyle w:val="Header"/>
              <w:tabs>
                <w:tab w:val="left" w:pos="284"/>
                <w:tab w:val="left" w:pos="9270"/>
              </w:tabs>
              <w:ind w:right="36"/>
              <w:rPr>
                <w:color w:val="000000"/>
                <w:sz w:val="22"/>
                <w:szCs w:val="22"/>
              </w:rPr>
            </w:pPr>
          </w:p>
        </w:tc>
      </w:tr>
      <w:tr w:rsidR="00361CD7" w:rsidRPr="00D72200" w14:paraId="45F9166F" w14:textId="77777777" w:rsidTr="000F132E">
        <w:trPr>
          <w:trHeight w:val="144"/>
          <w:jc w:val="center"/>
        </w:trPr>
        <w:tc>
          <w:tcPr>
            <w:tcW w:w="1696" w:type="dxa"/>
            <w:shd w:val="clear" w:color="auto" w:fill="auto"/>
          </w:tcPr>
          <w:p w14:paraId="4809A5CD" w14:textId="77777777" w:rsidR="00361CD7" w:rsidRPr="00D72200" w:rsidRDefault="00361CD7" w:rsidP="008246D3">
            <w:pPr>
              <w:pStyle w:val="TableParagraph"/>
              <w:kinsoku w:val="0"/>
              <w:overflowPunct w:val="0"/>
              <w:spacing w:line="229" w:lineRule="exact"/>
              <w:rPr>
                <w:sz w:val="22"/>
                <w:szCs w:val="22"/>
              </w:rPr>
            </w:pPr>
            <w:r w:rsidRPr="00D72200">
              <w:rPr>
                <w:i/>
                <w:iCs/>
                <w:w w:val="105"/>
                <w:sz w:val="22"/>
                <w:szCs w:val="22"/>
              </w:rPr>
              <w:t>Psihijatrijski</w:t>
            </w:r>
          </w:p>
          <w:p w14:paraId="352A7779" w14:textId="77777777" w:rsidR="00361CD7" w:rsidRPr="00D72200" w:rsidRDefault="00361CD7" w:rsidP="008246D3">
            <w:pPr>
              <w:pStyle w:val="Header"/>
              <w:tabs>
                <w:tab w:val="left" w:pos="284"/>
                <w:tab w:val="left" w:pos="9270"/>
              </w:tabs>
              <w:ind w:right="36"/>
              <w:rPr>
                <w:color w:val="000000"/>
                <w:sz w:val="22"/>
                <w:szCs w:val="22"/>
              </w:rPr>
            </w:pPr>
            <w:r w:rsidRPr="00D72200">
              <w:rPr>
                <w:i/>
                <w:iCs/>
                <w:spacing w:val="-1"/>
                <w:w w:val="105"/>
                <w:sz w:val="22"/>
                <w:szCs w:val="22"/>
              </w:rPr>
              <w:t>poremećaji</w:t>
            </w:r>
          </w:p>
        </w:tc>
        <w:tc>
          <w:tcPr>
            <w:tcW w:w="1560" w:type="dxa"/>
            <w:shd w:val="clear" w:color="auto" w:fill="auto"/>
          </w:tcPr>
          <w:p w14:paraId="39363A2B" w14:textId="77777777" w:rsidR="00361CD7" w:rsidRPr="00D72200" w:rsidRDefault="00361CD7" w:rsidP="008246D3">
            <w:pPr>
              <w:pStyle w:val="Header"/>
              <w:tabs>
                <w:tab w:val="left" w:pos="284"/>
                <w:tab w:val="left" w:pos="9270"/>
              </w:tabs>
              <w:ind w:right="36"/>
              <w:rPr>
                <w:color w:val="000000"/>
                <w:sz w:val="22"/>
                <w:szCs w:val="22"/>
              </w:rPr>
            </w:pPr>
          </w:p>
        </w:tc>
        <w:tc>
          <w:tcPr>
            <w:tcW w:w="1275" w:type="dxa"/>
            <w:shd w:val="clear" w:color="auto" w:fill="auto"/>
          </w:tcPr>
          <w:p w14:paraId="70625BF5"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086ECC21"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1D99C6DC"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2F6EBA98" w14:textId="77777777" w:rsidR="00361CD7" w:rsidRPr="00D72200" w:rsidRDefault="00361CD7" w:rsidP="008246D3">
            <w:pPr>
              <w:pStyle w:val="Header"/>
              <w:tabs>
                <w:tab w:val="left" w:pos="284"/>
                <w:tab w:val="left" w:pos="9270"/>
              </w:tabs>
              <w:ind w:right="36"/>
              <w:rPr>
                <w:color w:val="000000"/>
                <w:sz w:val="22"/>
                <w:szCs w:val="22"/>
              </w:rPr>
            </w:pPr>
            <w:r w:rsidRPr="00D72200">
              <w:rPr>
                <w:spacing w:val="-5"/>
                <w:w w:val="105"/>
                <w:sz w:val="22"/>
                <w:szCs w:val="22"/>
              </w:rPr>
              <w:t>De</w:t>
            </w:r>
            <w:r w:rsidRPr="00D72200">
              <w:rPr>
                <w:spacing w:val="6"/>
                <w:w w:val="105"/>
                <w:sz w:val="22"/>
                <w:szCs w:val="22"/>
              </w:rPr>
              <w:t>p</w:t>
            </w:r>
            <w:r w:rsidRPr="00D72200">
              <w:rPr>
                <w:spacing w:val="-1"/>
                <w:w w:val="105"/>
                <w:sz w:val="22"/>
                <w:szCs w:val="22"/>
              </w:rPr>
              <w:t>resija</w:t>
            </w:r>
          </w:p>
        </w:tc>
      </w:tr>
      <w:tr w:rsidR="00361CD7" w:rsidRPr="00D72200" w14:paraId="3EF11CEB" w14:textId="77777777" w:rsidTr="000F132E">
        <w:trPr>
          <w:trHeight w:val="144"/>
          <w:jc w:val="center"/>
        </w:trPr>
        <w:tc>
          <w:tcPr>
            <w:tcW w:w="1696" w:type="dxa"/>
            <w:shd w:val="clear" w:color="auto" w:fill="auto"/>
          </w:tcPr>
          <w:p w14:paraId="7FDE8985" w14:textId="77777777" w:rsidR="00361CD7" w:rsidRPr="00D72200" w:rsidRDefault="00361CD7" w:rsidP="008246D3">
            <w:pPr>
              <w:pStyle w:val="TableParagraph"/>
              <w:kinsoku w:val="0"/>
              <w:overflowPunct w:val="0"/>
              <w:spacing w:line="225" w:lineRule="exact"/>
              <w:rPr>
                <w:sz w:val="22"/>
                <w:szCs w:val="22"/>
              </w:rPr>
            </w:pPr>
            <w:r w:rsidRPr="00D72200">
              <w:rPr>
                <w:i/>
                <w:iCs/>
                <w:spacing w:val="-1"/>
                <w:w w:val="105"/>
                <w:sz w:val="22"/>
                <w:szCs w:val="22"/>
              </w:rPr>
              <w:t>Poremećaji</w:t>
            </w:r>
          </w:p>
          <w:p w14:paraId="174EB46C" w14:textId="77777777" w:rsidR="00361CD7" w:rsidRPr="00D72200" w:rsidRDefault="00361CD7" w:rsidP="008246D3">
            <w:pPr>
              <w:pStyle w:val="Header"/>
              <w:tabs>
                <w:tab w:val="left" w:pos="284"/>
                <w:tab w:val="left" w:pos="9270"/>
              </w:tabs>
              <w:ind w:right="36"/>
              <w:rPr>
                <w:color w:val="000000"/>
                <w:sz w:val="22"/>
                <w:szCs w:val="22"/>
              </w:rPr>
            </w:pPr>
            <w:r w:rsidRPr="00D72200">
              <w:rPr>
                <w:i/>
                <w:iCs/>
                <w:spacing w:val="-1"/>
                <w:w w:val="105"/>
                <w:sz w:val="22"/>
                <w:szCs w:val="22"/>
              </w:rPr>
              <w:t>nervno</w:t>
            </w:r>
            <w:r w:rsidRPr="00D72200">
              <w:rPr>
                <w:i/>
                <w:iCs/>
                <w:w w:val="105"/>
                <w:sz w:val="22"/>
                <w:szCs w:val="22"/>
              </w:rPr>
              <w:t>g</w:t>
            </w:r>
            <w:r w:rsidRPr="00D72200">
              <w:rPr>
                <w:i/>
                <w:iCs/>
                <w:spacing w:val="-27"/>
                <w:w w:val="105"/>
                <w:sz w:val="22"/>
                <w:szCs w:val="22"/>
              </w:rPr>
              <w:t xml:space="preserve"> </w:t>
            </w:r>
            <w:r w:rsidRPr="00D72200">
              <w:rPr>
                <w:i/>
                <w:iCs/>
                <w:spacing w:val="-1"/>
                <w:w w:val="105"/>
                <w:sz w:val="22"/>
                <w:szCs w:val="22"/>
              </w:rPr>
              <w:t>sistema</w:t>
            </w:r>
          </w:p>
        </w:tc>
        <w:tc>
          <w:tcPr>
            <w:tcW w:w="1560" w:type="dxa"/>
            <w:shd w:val="clear" w:color="auto" w:fill="auto"/>
          </w:tcPr>
          <w:p w14:paraId="416C4583" w14:textId="77777777" w:rsidR="00361CD7" w:rsidRPr="00D72200" w:rsidRDefault="00361CD7" w:rsidP="008246D3">
            <w:pPr>
              <w:pStyle w:val="TableParagraph"/>
              <w:kinsoku w:val="0"/>
              <w:overflowPunct w:val="0"/>
              <w:spacing w:line="225" w:lineRule="exact"/>
              <w:rPr>
                <w:sz w:val="22"/>
                <w:szCs w:val="22"/>
              </w:rPr>
            </w:pPr>
            <w:r w:rsidRPr="00D72200">
              <w:rPr>
                <w:spacing w:val="-1"/>
                <w:w w:val="105"/>
                <w:sz w:val="22"/>
                <w:szCs w:val="22"/>
              </w:rPr>
              <w:t>Glavobolj</w:t>
            </w:r>
            <w:r w:rsidRPr="00D72200">
              <w:rPr>
                <w:spacing w:val="-3"/>
                <w:w w:val="105"/>
                <w:sz w:val="22"/>
                <w:szCs w:val="22"/>
              </w:rPr>
              <w:t>a,</w:t>
            </w:r>
          </w:p>
          <w:p w14:paraId="71B387DB" w14:textId="77777777" w:rsidR="00361CD7" w:rsidRPr="00D72200" w:rsidRDefault="00361CD7" w:rsidP="008246D3">
            <w:pPr>
              <w:pStyle w:val="Header"/>
              <w:tabs>
                <w:tab w:val="left" w:pos="284"/>
                <w:tab w:val="left" w:pos="9270"/>
              </w:tabs>
              <w:ind w:right="36"/>
              <w:rPr>
                <w:color w:val="000000"/>
                <w:sz w:val="22"/>
                <w:szCs w:val="22"/>
              </w:rPr>
            </w:pPr>
            <w:r w:rsidRPr="00D72200">
              <w:rPr>
                <w:spacing w:val="-1"/>
                <w:w w:val="105"/>
                <w:sz w:val="22"/>
                <w:szCs w:val="22"/>
              </w:rPr>
              <w:t>Vrtoglavica</w:t>
            </w:r>
          </w:p>
        </w:tc>
        <w:tc>
          <w:tcPr>
            <w:tcW w:w="1275" w:type="dxa"/>
            <w:shd w:val="clear" w:color="auto" w:fill="auto"/>
          </w:tcPr>
          <w:p w14:paraId="0F6FD186"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4FC5C9FC"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71E2AD3F" w14:textId="09B4FFE4" w:rsidR="00361CD7" w:rsidRPr="00D72200" w:rsidRDefault="00361CD7" w:rsidP="008246D3">
            <w:pPr>
              <w:pStyle w:val="TableParagraph"/>
              <w:kinsoku w:val="0"/>
              <w:overflowPunct w:val="0"/>
              <w:spacing w:line="225" w:lineRule="exact"/>
              <w:rPr>
                <w:sz w:val="22"/>
                <w:szCs w:val="22"/>
              </w:rPr>
            </w:pPr>
            <w:r w:rsidRPr="00D72200">
              <w:rPr>
                <w:spacing w:val="-1"/>
                <w:w w:val="105"/>
                <w:sz w:val="22"/>
                <w:szCs w:val="22"/>
              </w:rPr>
              <w:t>Polineuropatij</w:t>
            </w:r>
            <w:r w:rsidRPr="00D72200">
              <w:rPr>
                <w:spacing w:val="-3"/>
                <w:w w:val="105"/>
                <w:sz w:val="22"/>
                <w:szCs w:val="22"/>
              </w:rPr>
              <w:t>a</w:t>
            </w:r>
            <w:r w:rsidR="005B2806" w:rsidRPr="00D72200">
              <w:rPr>
                <w:spacing w:val="-3"/>
                <w:w w:val="105"/>
                <w:sz w:val="22"/>
                <w:szCs w:val="22"/>
              </w:rPr>
              <w:t>,</w:t>
            </w:r>
          </w:p>
          <w:p w14:paraId="201D4EE3" w14:textId="77777777" w:rsidR="00361CD7" w:rsidRPr="00D72200" w:rsidRDefault="00361CD7" w:rsidP="008246D3">
            <w:pPr>
              <w:pStyle w:val="Header"/>
              <w:tabs>
                <w:tab w:val="left" w:pos="284"/>
                <w:tab w:val="left" w:pos="9270"/>
              </w:tabs>
              <w:ind w:right="36"/>
              <w:rPr>
                <w:color w:val="000000"/>
                <w:sz w:val="22"/>
                <w:szCs w:val="22"/>
              </w:rPr>
            </w:pPr>
            <w:r w:rsidRPr="00D72200">
              <w:rPr>
                <w:spacing w:val="-1"/>
                <w:w w:val="105"/>
                <w:sz w:val="22"/>
                <w:szCs w:val="22"/>
              </w:rPr>
              <w:t>Gubitak</w:t>
            </w:r>
            <w:r w:rsidRPr="00D72200">
              <w:rPr>
                <w:spacing w:val="-1"/>
                <w:w w:val="103"/>
                <w:sz w:val="22"/>
                <w:szCs w:val="22"/>
              </w:rPr>
              <w:t xml:space="preserve"> </w:t>
            </w:r>
            <w:r w:rsidRPr="00D72200">
              <w:rPr>
                <w:spacing w:val="-3"/>
                <w:sz w:val="22"/>
                <w:szCs w:val="22"/>
              </w:rPr>
              <w:t>m</w:t>
            </w:r>
            <w:r w:rsidRPr="00D72200">
              <w:rPr>
                <w:spacing w:val="2"/>
                <w:sz w:val="22"/>
                <w:szCs w:val="22"/>
              </w:rPr>
              <w:t>e</w:t>
            </w:r>
            <w:r w:rsidRPr="00D72200">
              <w:rPr>
                <w:sz w:val="22"/>
                <w:szCs w:val="22"/>
              </w:rPr>
              <w:t>morije</w:t>
            </w:r>
          </w:p>
        </w:tc>
        <w:tc>
          <w:tcPr>
            <w:tcW w:w="1701" w:type="dxa"/>
            <w:shd w:val="clear" w:color="auto" w:fill="auto"/>
          </w:tcPr>
          <w:p w14:paraId="1F681DD4" w14:textId="77777777" w:rsidR="00361CD7" w:rsidRPr="00D72200" w:rsidRDefault="00361CD7" w:rsidP="008246D3">
            <w:pPr>
              <w:pStyle w:val="TableParagraph"/>
              <w:kinsoku w:val="0"/>
              <w:overflowPunct w:val="0"/>
              <w:spacing w:line="225" w:lineRule="exact"/>
              <w:rPr>
                <w:sz w:val="22"/>
                <w:szCs w:val="22"/>
              </w:rPr>
            </w:pPr>
            <w:r w:rsidRPr="00D72200">
              <w:rPr>
                <w:spacing w:val="4"/>
                <w:w w:val="105"/>
                <w:sz w:val="22"/>
                <w:szCs w:val="22"/>
              </w:rPr>
              <w:t>P</w:t>
            </w:r>
            <w:r w:rsidRPr="00D72200">
              <w:rPr>
                <w:spacing w:val="-7"/>
                <w:w w:val="105"/>
                <w:sz w:val="22"/>
                <w:szCs w:val="22"/>
              </w:rPr>
              <w:t>e</w:t>
            </w:r>
            <w:r w:rsidRPr="00D72200">
              <w:rPr>
                <w:spacing w:val="-1"/>
                <w:w w:val="105"/>
                <w:sz w:val="22"/>
                <w:szCs w:val="22"/>
              </w:rPr>
              <w:t>riferna</w:t>
            </w:r>
          </w:p>
          <w:p w14:paraId="784D0CCD" w14:textId="77777777" w:rsidR="00361CD7" w:rsidRPr="00D72200" w:rsidRDefault="00361CD7" w:rsidP="008246D3">
            <w:pPr>
              <w:pStyle w:val="Header"/>
              <w:tabs>
                <w:tab w:val="left" w:pos="284"/>
                <w:tab w:val="left" w:pos="9270"/>
              </w:tabs>
              <w:ind w:right="36"/>
              <w:rPr>
                <w:color w:val="000000"/>
                <w:sz w:val="22"/>
                <w:szCs w:val="22"/>
              </w:rPr>
            </w:pPr>
            <w:r w:rsidRPr="00D72200">
              <w:rPr>
                <w:spacing w:val="-1"/>
                <w:w w:val="105"/>
                <w:sz w:val="22"/>
                <w:szCs w:val="22"/>
              </w:rPr>
              <w:t>neuropatij</w:t>
            </w:r>
            <w:r w:rsidRPr="00D72200">
              <w:rPr>
                <w:spacing w:val="-8"/>
                <w:w w:val="105"/>
                <w:sz w:val="22"/>
                <w:szCs w:val="22"/>
              </w:rPr>
              <w:t>a</w:t>
            </w:r>
            <w:r w:rsidRPr="00D72200">
              <w:rPr>
                <w:w w:val="105"/>
                <w:sz w:val="22"/>
                <w:szCs w:val="22"/>
              </w:rPr>
              <w:t>,</w:t>
            </w:r>
            <w:r w:rsidRPr="00D72200">
              <w:rPr>
                <w:w w:val="103"/>
                <w:sz w:val="22"/>
                <w:szCs w:val="22"/>
              </w:rPr>
              <w:t xml:space="preserve"> </w:t>
            </w:r>
            <w:r w:rsidRPr="00D72200">
              <w:rPr>
                <w:spacing w:val="4"/>
                <w:w w:val="105"/>
                <w:sz w:val="22"/>
                <w:szCs w:val="22"/>
              </w:rPr>
              <w:t>P</w:t>
            </w:r>
            <w:r w:rsidRPr="00D72200">
              <w:rPr>
                <w:spacing w:val="-9"/>
                <w:w w:val="105"/>
                <w:sz w:val="22"/>
                <w:szCs w:val="22"/>
              </w:rPr>
              <w:t>o</w:t>
            </w:r>
            <w:r w:rsidRPr="00D72200">
              <w:rPr>
                <w:spacing w:val="-1"/>
                <w:w w:val="105"/>
                <w:sz w:val="22"/>
                <w:szCs w:val="22"/>
              </w:rPr>
              <w:t>remećaji</w:t>
            </w:r>
            <w:r w:rsidRPr="00D72200">
              <w:rPr>
                <w:spacing w:val="-1"/>
                <w:w w:val="103"/>
                <w:sz w:val="22"/>
                <w:szCs w:val="22"/>
              </w:rPr>
              <w:t xml:space="preserve"> </w:t>
            </w:r>
            <w:r w:rsidRPr="00D72200">
              <w:rPr>
                <w:spacing w:val="-3"/>
                <w:w w:val="105"/>
                <w:sz w:val="22"/>
                <w:szCs w:val="22"/>
              </w:rPr>
              <w:t>spavanja</w:t>
            </w:r>
            <w:r w:rsidRPr="00D72200">
              <w:rPr>
                <w:spacing w:val="-2"/>
                <w:w w:val="103"/>
                <w:sz w:val="22"/>
                <w:szCs w:val="22"/>
              </w:rPr>
              <w:t xml:space="preserve"> </w:t>
            </w:r>
            <w:r w:rsidRPr="00D72200">
              <w:rPr>
                <w:spacing w:val="-1"/>
                <w:w w:val="105"/>
                <w:sz w:val="22"/>
                <w:szCs w:val="22"/>
              </w:rPr>
              <w:t>(uključuju</w:t>
            </w:r>
            <w:r w:rsidRPr="00D72200">
              <w:rPr>
                <w:spacing w:val="-12"/>
                <w:w w:val="105"/>
                <w:sz w:val="22"/>
                <w:szCs w:val="22"/>
              </w:rPr>
              <w:t>ć</w:t>
            </w:r>
            <w:r w:rsidRPr="00D72200">
              <w:rPr>
                <w:w w:val="105"/>
                <w:sz w:val="22"/>
                <w:szCs w:val="22"/>
              </w:rPr>
              <w:t>i</w:t>
            </w:r>
            <w:r w:rsidRPr="00D72200">
              <w:rPr>
                <w:w w:val="103"/>
                <w:sz w:val="22"/>
                <w:szCs w:val="22"/>
              </w:rPr>
              <w:t xml:space="preserve"> </w:t>
            </w:r>
            <w:r w:rsidRPr="00D72200">
              <w:rPr>
                <w:spacing w:val="-1"/>
                <w:w w:val="105"/>
                <w:sz w:val="22"/>
                <w:szCs w:val="22"/>
              </w:rPr>
              <w:lastRenderedPageBreak/>
              <w:t>insomnij</w:t>
            </w:r>
            <w:r w:rsidRPr="00D72200">
              <w:rPr>
                <w:w w:val="105"/>
                <w:sz w:val="22"/>
                <w:szCs w:val="22"/>
              </w:rPr>
              <w:t>u</w:t>
            </w:r>
            <w:r w:rsidRPr="00D72200">
              <w:rPr>
                <w:spacing w:val="-20"/>
                <w:w w:val="105"/>
                <w:sz w:val="22"/>
                <w:szCs w:val="22"/>
              </w:rPr>
              <w:t xml:space="preserve"> </w:t>
            </w:r>
            <w:r w:rsidRPr="00D72200">
              <w:rPr>
                <w:w w:val="105"/>
                <w:sz w:val="22"/>
                <w:szCs w:val="22"/>
              </w:rPr>
              <w:t>i</w:t>
            </w:r>
            <w:r w:rsidRPr="00D72200">
              <w:rPr>
                <w:w w:val="103"/>
                <w:sz w:val="22"/>
                <w:szCs w:val="22"/>
              </w:rPr>
              <w:t xml:space="preserve"> </w:t>
            </w:r>
            <w:r w:rsidRPr="00D72200">
              <w:rPr>
                <w:spacing w:val="-1"/>
                <w:w w:val="105"/>
                <w:sz w:val="22"/>
                <w:szCs w:val="22"/>
              </w:rPr>
              <w:t>noćn</w:t>
            </w:r>
            <w:r w:rsidRPr="00D72200">
              <w:rPr>
                <w:w w:val="105"/>
                <w:sz w:val="22"/>
                <w:szCs w:val="22"/>
              </w:rPr>
              <w:t>e</w:t>
            </w:r>
            <w:r w:rsidRPr="00D72200">
              <w:rPr>
                <w:spacing w:val="-20"/>
                <w:w w:val="105"/>
                <w:sz w:val="22"/>
                <w:szCs w:val="22"/>
              </w:rPr>
              <w:t xml:space="preserve"> </w:t>
            </w:r>
            <w:r w:rsidRPr="00D72200">
              <w:rPr>
                <w:spacing w:val="-9"/>
                <w:w w:val="105"/>
                <w:sz w:val="22"/>
                <w:szCs w:val="22"/>
              </w:rPr>
              <w:t>m</w:t>
            </w:r>
            <w:r w:rsidRPr="00D72200">
              <w:rPr>
                <w:spacing w:val="-1"/>
                <w:w w:val="105"/>
                <w:sz w:val="22"/>
                <w:szCs w:val="22"/>
              </w:rPr>
              <w:t>ore)</w:t>
            </w:r>
          </w:p>
        </w:tc>
      </w:tr>
      <w:tr w:rsidR="00361CD7" w:rsidRPr="00D72200" w14:paraId="7FF12694" w14:textId="77777777" w:rsidTr="000F132E">
        <w:trPr>
          <w:trHeight w:val="144"/>
          <w:jc w:val="center"/>
        </w:trPr>
        <w:tc>
          <w:tcPr>
            <w:tcW w:w="1696" w:type="dxa"/>
            <w:shd w:val="clear" w:color="auto" w:fill="auto"/>
          </w:tcPr>
          <w:p w14:paraId="42EF345E" w14:textId="77777777" w:rsidR="00361CD7" w:rsidRPr="00D72200" w:rsidRDefault="00361CD7" w:rsidP="008246D3">
            <w:pPr>
              <w:pStyle w:val="TableParagraph"/>
              <w:kinsoku w:val="0"/>
              <w:overflowPunct w:val="0"/>
              <w:spacing w:line="225" w:lineRule="exact"/>
              <w:rPr>
                <w:sz w:val="22"/>
                <w:szCs w:val="22"/>
              </w:rPr>
            </w:pPr>
            <w:r w:rsidRPr="00D72200">
              <w:rPr>
                <w:i/>
                <w:iCs/>
                <w:spacing w:val="-1"/>
                <w:w w:val="105"/>
                <w:sz w:val="22"/>
                <w:szCs w:val="22"/>
              </w:rPr>
              <w:lastRenderedPageBreak/>
              <w:t>Respiratorni,</w:t>
            </w:r>
          </w:p>
          <w:p w14:paraId="6DB8E18C" w14:textId="77777777" w:rsidR="00361CD7" w:rsidRPr="00D72200" w:rsidRDefault="00361CD7" w:rsidP="008246D3">
            <w:pPr>
              <w:pStyle w:val="Header"/>
              <w:tabs>
                <w:tab w:val="left" w:pos="284"/>
                <w:tab w:val="left" w:pos="9270"/>
              </w:tabs>
              <w:ind w:right="36"/>
              <w:rPr>
                <w:color w:val="000000"/>
                <w:sz w:val="22"/>
                <w:szCs w:val="22"/>
              </w:rPr>
            </w:pPr>
            <w:r w:rsidRPr="00D72200">
              <w:rPr>
                <w:i/>
                <w:iCs/>
                <w:w w:val="105"/>
                <w:sz w:val="22"/>
                <w:szCs w:val="22"/>
              </w:rPr>
              <w:t>torakalni</w:t>
            </w:r>
            <w:r w:rsidRPr="00D72200">
              <w:rPr>
                <w:i/>
                <w:iCs/>
                <w:spacing w:val="-17"/>
                <w:w w:val="105"/>
                <w:sz w:val="22"/>
                <w:szCs w:val="22"/>
              </w:rPr>
              <w:t xml:space="preserve"> </w:t>
            </w:r>
            <w:r w:rsidRPr="00D72200">
              <w:rPr>
                <w:i/>
                <w:iCs/>
                <w:w w:val="105"/>
                <w:sz w:val="22"/>
                <w:szCs w:val="22"/>
              </w:rPr>
              <w:t>i</w:t>
            </w:r>
            <w:r w:rsidRPr="00D72200">
              <w:rPr>
                <w:i/>
                <w:iCs/>
                <w:w w:val="103"/>
                <w:sz w:val="22"/>
                <w:szCs w:val="22"/>
              </w:rPr>
              <w:t xml:space="preserve"> </w:t>
            </w:r>
            <w:r w:rsidRPr="00D72200">
              <w:rPr>
                <w:i/>
                <w:iCs/>
                <w:spacing w:val="-1"/>
                <w:sz w:val="22"/>
                <w:szCs w:val="22"/>
              </w:rPr>
              <w:t>medijastinalni</w:t>
            </w:r>
            <w:r w:rsidRPr="00D72200">
              <w:rPr>
                <w:i/>
                <w:iCs/>
                <w:spacing w:val="-1"/>
                <w:w w:val="103"/>
                <w:sz w:val="22"/>
                <w:szCs w:val="22"/>
              </w:rPr>
              <w:t xml:space="preserve"> </w:t>
            </w:r>
            <w:r w:rsidRPr="00D72200">
              <w:rPr>
                <w:i/>
                <w:iCs/>
                <w:spacing w:val="-1"/>
                <w:w w:val="105"/>
                <w:sz w:val="22"/>
                <w:szCs w:val="22"/>
              </w:rPr>
              <w:t>poremećaji</w:t>
            </w:r>
          </w:p>
        </w:tc>
        <w:tc>
          <w:tcPr>
            <w:tcW w:w="1560" w:type="dxa"/>
            <w:shd w:val="clear" w:color="auto" w:fill="auto"/>
          </w:tcPr>
          <w:p w14:paraId="68B1AB2C" w14:textId="77777777" w:rsidR="00361CD7" w:rsidRPr="00D72200" w:rsidRDefault="00361CD7" w:rsidP="008246D3">
            <w:pPr>
              <w:pStyle w:val="Header"/>
              <w:tabs>
                <w:tab w:val="left" w:pos="284"/>
                <w:tab w:val="left" w:pos="9270"/>
              </w:tabs>
              <w:ind w:right="36"/>
              <w:rPr>
                <w:color w:val="000000"/>
                <w:sz w:val="22"/>
                <w:szCs w:val="22"/>
              </w:rPr>
            </w:pPr>
          </w:p>
        </w:tc>
        <w:tc>
          <w:tcPr>
            <w:tcW w:w="1275" w:type="dxa"/>
            <w:shd w:val="clear" w:color="auto" w:fill="auto"/>
          </w:tcPr>
          <w:p w14:paraId="0300A5CF"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4AE59C1D"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65A2DAEE"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33B5B780" w14:textId="77777777" w:rsidR="00361CD7" w:rsidRPr="00D72200" w:rsidRDefault="00361CD7" w:rsidP="008246D3">
            <w:pPr>
              <w:pStyle w:val="TableParagraph"/>
              <w:kinsoku w:val="0"/>
              <w:overflowPunct w:val="0"/>
              <w:spacing w:line="225" w:lineRule="exact"/>
              <w:rPr>
                <w:sz w:val="22"/>
                <w:szCs w:val="22"/>
              </w:rPr>
            </w:pPr>
            <w:r w:rsidRPr="00D72200">
              <w:rPr>
                <w:spacing w:val="-1"/>
                <w:w w:val="105"/>
                <w:sz w:val="22"/>
                <w:szCs w:val="22"/>
              </w:rPr>
              <w:t>Kašalj</w:t>
            </w:r>
            <w:r w:rsidRPr="00D72200">
              <w:rPr>
                <w:w w:val="105"/>
                <w:sz w:val="22"/>
                <w:szCs w:val="22"/>
              </w:rPr>
              <w:t>,</w:t>
            </w:r>
          </w:p>
          <w:p w14:paraId="5D4D7793" w14:textId="77777777" w:rsidR="00361CD7" w:rsidRPr="00D72200" w:rsidRDefault="00361CD7" w:rsidP="008246D3">
            <w:pPr>
              <w:pStyle w:val="Header"/>
              <w:tabs>
                <w:tab w:val="left" w:pos="284"/>
                <w:tab w:val="left" w:pos="9270"/>
              </w:tabs>
              <w:ind w:right="36"/>
              <w:rPr>
                <w:color w:val="000000"/>
                <w:sz w:val="22"/>
                <w:szCs w:val="22"/>
              </w:rPr>
            </w:pPr>
            <w:r w:rsidRPr="00D72200">
              <w:rPr>
                <w:spacing w:val="-1"/>
                <w:w w:val="105"/>
                <w:sz w:val="22"/>
                <w:szCs w:val="22"/>
              </w:rPr>
              <w:t>Dispnea</w:t>
            </w:r>
          </w:p>
        </w:tc>
      </w:tr>
      <w:tr w:rsidR="00361CD7" w:rsidRPr="00D72200" w14:paraId="5749E84C" w14:textId="77777777" w:rsidTr="000F132E">
        <w:trPr>
          <w:trHeight w:val="1198"/>
          <w:jc w:val="center"/>
        </w:trPr>
        <w:tc>
          <w:tcPr>
            <w:tcW w:w="1696" w:type="dxa"/>
            <w:shd w:val="clear" w:color="auto" w:fill="auto"/>
          </w:tcPr>
          <w:p w14:paraId="6161F659" w14:textId="77777777" w:rsidR="00361CD7" w:rsidRPr="00D72200" w:rsidRDefault="00361CD7" w:rsidP="008246D3">
            <w:pPr>
              <w:pStyle w:val="TableParagraph"/>
              <w:kinsoku w:val="0"/>
              <w:overflowPunct w:val="0"/>
              <w:spacing w:line="225" w:lineRule="exact"/>
              <w:rPr>
                <w:sz w:val="22"/>
                <w:szCs w:val="22"/>
              </w:rPr>
            </w:pPr>
            <w:r w:rsidRPr="00D72200">
              <w:rPr>
                <w:i/>
                <w:iCs/>
                <w:w w:val="105"/>
                <w:sz w:val="22"/>
                <w:szCs w:val="22"/>
              </w:rPr>
              <w:t>Gastro-intestinalni</w:t>
            </w:r>
          </w:p>
          <w:p w14:paraId="06349478" w14:textId="77777777" w:rsidR="00361CD7" w:rsidRPr="00D72200" w:rsidRDefault="00361CD7" w:rsidP="008246D3">
            <w:pPr>
              <w:pStyle w:val="Header"/>
              <w:tabs>
                <w:tab w:val="left" w:pos="284"/>
                <w:tab w:val="left" w:pos="9270"/>
              </w:tabs>
              <w:ind w:right="36"/>
              <w:rPr>
                <w:color w:val="000000"/>
                <w:sz w:val="22"/>
                <w:szCs w:val="22"/>
              </w:rPr>
            </w:pPr>
            <w:r w:rsidRPr="00D72200">
              <w:rPr>
                <w:i/>
                <w:iCs/>
                <w:w w:val="105"/>
                <w:sz w:val="22"/>
                <w:szCs w:val="22"/>
              </w:rPr>
              <w:t>poremaćaji</w:t>
            </w:r>
          </w:p>
        </w:tc>
        <w:tc>
          <w:tcPr>
            <w:tcW w:w="1560" w:type="dxa"/>
            <w:shd w:val="clear" w:color="auto" w:fill="auto"/>
          </w:tcPr>
          <w:p w14:paraId="2A3074CB" w14:textId="77777777" w:rsidR="00361CD7" w:rsidRPr="00D72200" w:rsidRDefault="00361CD7" w:rsidP="008246D3">
            <w:pPr>
              <w:pStyle w:val="TableParagraph"/>
              <w:kinsoku w:val="0"/>
              <w:overflowPunct w:val="0"/>
              <w:spacing w:line="225" w:lineRule="exact"/>
              <w:rPr>
                <w:sz w:val="22"/>
                <w:szCs w:val="22"/>
              </w:rPr>
            </w:pPr>
            <w:r w:rsidRPr="00D72200">
              <w:rPr>
                <w:spacing w:val="-1"/>
                <w:w w:val="105"/>
                <w:sz w:val="22"/>
                <w:szCs w:val="22"/>
              </w:rPr>
              <w:t>Konstipacij</w:t>
            </w:r>
            <w:r w:rsidRPr="00D72200">
              <w:rPr>
                <w:spacing w:val="-3"/>
                <w:w w:val="105"/>
                <w:sz w:val="22"/>
                <w:szCs w:val="22"/>
              </w:rPr>
              <w:t>a</w:t>
            </w:r>
            <w:r w:rsidRPr="00D72200">
              <w:rPr>
                <w:w w:val="105"/>
                <w:sz w:val="22"/>
                <w:szCs w:val="22"/>
              </w:rPr>
              <w:t>,</w:t>
            </w:r>
          </w:p>
          <w:p w14:paraId="1FFD683D" w14:textId="77777777" w:rsidR="00361CD7" w:rsidRPr="00D72200" w:rsidRDefault="00361CD7" w:rsidP="008246D3">
            <w:pPr>
              <w:pStyle w:val="Header"/>
              <w:tabs>
                <w:tab w:val="left" w:pos="284"/>
                <w:tab w:val="left" w:pos="9270"/>
              </w:tabs>
              <w:ind w:right="36"/>
              <w:rPr>
                <w:color w:val="000000"/>
                <w:sz w:val="22"/>
                <w:szCs w:val="22"/>
              </w:rPr>
            </w:pPr>
            <w:r w:rsidRPr="00D72200">
              <w:rPr>
                <w:w w:val="105"/>
                <w:sz w:val="22"/>
                <w:szCs w:val="22"/>
              </w:rPr>
              <w:t>Nauz</w:t>
            </w:r>
            <w:r w:rsidRPr="00D72200">
              <w:rPr>
                <w:spacing w:val="-12"/>
                <w:w w:val="105"/>
                <w:sz w:val="22"/>
                <w:szCs w:val="22"/>
              </w:rPr>
              <w:t>e</w:t>
            </w:r>
            <w:r w:rsidRPr="00D72200">
              <w:rPr>
                <w:spacing w:val="4"/>
                <w:w w:val="105"/>
                <w:sz w:val="22"/>
                <w:szCs w:val="22"/>
              </w:rPr>
              <w:t>j</w:t>
            </w:r>
            <w:r w:rsidRPr="00D72200">
              <w:rPr>
                <w:spacing w:val="-7"/>
                <w:w w:val="105"/>
                <w:sz w:val="22"/>
                <w:szCs w:val="22"/>
              </w:rPr>
              <w:t>a</w:t>
            </w:r>
            <w:r w:rsidRPr="00D72200">
              <w:rPr>
                <w:w w:val="105"/>
                <w:sz w:val="22"/>
                <w:szCs w:val="22"/>
              </w:rPr>
              <w:t>,</w:t>
            </w:r>
            <w:r w:rsidRPr="00D72200">
              <w:rPr>
                <w:w w:val="103"/>
                <w:sz w:val="22"/>
                <w:szCs w:val="22"/>
              </w:rPr>
              <w:t xml:space="preserve"> </w:t>
            </w:r>
            <w:r w:rsidRPr="00D72200">
              <w:rPr>
                <w:spacing w:val="-6"/>
                <w:sz w:val="22"/>
                <w:szCs w:val="22"/>
              </w:rPr>
              <w:t>A</w:t>
            </w:r>
            <w:r w:rsidRPr="00D72200">
              <w:rPr>
                <w:spacing w:val="5"/>
                <w:sz w:val="22"/>
                <w:szCs w:val="22"/>
              </w:rPr>
              <w:t>b</w:t>
            </w:r>
            <w:r w:rsidRPr="00D72200">
              <w:rPr>
                <w:spacing w:val="-1"/>
                <w:sz w:val="22"/>
                <w:szCs w:val="22"/>
              </w:rPr>
              <w:t>dominalni</w:t>
            </w:r>
            <w:r w:rsidRPr="00D72200">
              <w:rPr>
                <w:spacing w:val="-1"/>
                <w:w w:val="103"/>
                <w:sz w:val="22"/>
                <w:szCs w:val="22"/>
              </w:rPr>
              <w:t xml:space="preserve"> </w:t>
            </w:r>
            <w:r w:rsidRPr="00D72200">
              <w:rPr>
                <w:spacing w:val="-1"/>
                <w:w w:val="105"/>
                <w:sz w:val="22"/>
                <w:szCs w:val="22"/>
              </w:rPr>
              <w:t>bol</w:t>
            </w:r>
          </w:p>
        </w:tc>
        <w:tc>
          <w:tcPr>
            <w:tcW w:w="1275" w:type="dxa"/>
            <w:shd w:val="clear" w:color="auto" w:fill="auto"/>
          </w:tcPr>
          <w:p w14:paraId="5794B37E"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7EB6BF9D" w14:textId="77777777" w:rsidR="00361CD7" w:rsidRPr="00D72200" w:rsidRDefault="00361CD7" w:rsidP="008246D3">
            <w:pPr>
              <w:pStyle w:val="Header"/>
              <w:tabs>
                <w:tab w:val="left" w:pos="284"/>
                <w:tab w:val="left" w:pos="9270"/>
              </w:tabs>
              <w:ind w:right="36"/>
              <w:rPr>
                <w:color w:val="000000"/>
                <w:sz w:val="22"/>
                <w:szCs w:val="22"/>
              </w:rPr>
            </w:pPr>
            <w:r w:rsidRPr="00D72200">
              <w:rPr>
                <w:spacing w:val="-1"/>
                <w:w w:val="105"/>
                <w:sz w:val="22"/>
                <w:szCs w:val="22"/>
              </w:rPr>
              <w:t>Pankreatitis</w:t>
            </w:r>
          </w:p>
        </w:tc>
        <w:tc>
          <w:tcPr>
            <w:tcW w:w="1701" w:type="dxa"/>
            <w:shd w:val="clear" w:color="auto" w:fill="auto"/>
          </w:tcPr>
          <w:p w14:paraId="43E1D7E1"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4A23B7AB" w14:textId="77777777" w:rsidR="00361CD7" w:rsidRPr="00D72200" w:rsidRDefault="00361CD7" w:rsidP="008246D3">
            <w:pPr>
              <w:pStyle w:val="Header"/>
              <w:tabs>
                <w:tab w:val="left" w:pos="284"/>
                <w:tab w:val="left" w:pos="9270"/>
              </w:tabs>
              <w:ind w:right="36"/>
              <w:rPr>
                <w:color w:val="000000"/>
                <w:sz w:val="22"/>
                <w:szCs w:val="22"/>
              </w:rPr>
            </w:pPr>
            <w:r w:rsidRPr="00D72200">
              <w:rPr>
                <w:w w:val="105"/>
                <w:sz w:val="22"/>
                <w:szCs w:val="22"/>
              </w:rPr>
              <w:t>Dija</w:t>
            </w:r>
            <w:r w:rsidRPr="00D72200">
              <w:rPr>
                <w:spacing w:val="-4"/>
                <w:w w:val="105"/>
                <w:sz w:val="22"/>
                <w:szCs w:val="22"/>
              </w:rPr>
              <w:t>r</w:t>
            </w:r>
            <w:r w:rsidRPr="00D72200">
              <w:rPr>
                <w:spacing w:val="-12"/>
                <w:w w:val="105"/>
                <w:sz w:val="22"/>
                <w:szCs w:val="22"/>
              </w:rPr>
              <w:t>e</w:t>
            </w:r>
            <w:r w:rsidRPr="00D72200">
              <w:rPr>
                <w:spacing w:val="9"/>
                <w:w w:val="105"/>
                <w:sz w:val="22"/>
                <w:szCs w:val="22"/>
              </w:rPr>
              <w:t>j</w:t>
            </w:r>
            <w:r w:rsidRPr="00D72200">
              <w:rPr>
                <w:w w:val="105"/>
                <w:sz w:val="22"/>
                <w:szCs w:val="22"/>
              </w:rPr>
              <w:t>a</w:t>
            </w:r>
          </w:p>
        </w:tc>
      </w:tr>
      <w:tr w:rsidR="00361CD7" w:rsidRPr="00D72200" w14:paraId="4F495B11" w14:textId="77777777" w:rsidTr="000F132E">
        <w:trPr>
          <w:trHeight w:val="734"/>
          <w:jc w:val="center"/>
        </w:trPr>
        <w:tc>
          <w:tcPr>
            <w:tcW w:w="1696" w:type="dxa"/>
            <w:shd w:val="clear" w:color="auto" w:fill="auto"/>
          </w:tcPr>
          <w:p w14:paraId="496188E5" w14:textId="77777777" w:rsidR="00361CD7" w:rsidRPr="00D72200" w:rsidRDefault="00361CD7" w:rsidP="008246D3">
            <w:pPr>
              <w:pStyle w:val="TableParagraph"/>
              <w:kinsoku w:val="0"/>
              <w:overflowPunct w:val="0"/>
              <w:spacing w:line="229" w:lineRule="exact"/>
              <w:rPr>
                <w:sz w:val="22"/>
                <w:szCs w:val="22"/>
              </w:rPr>
            </w:pPr>
            <w:r w:rsidRPr="00D72200">
              <w:rPr>
                <w:i/>
                <w:iCs/>
                <w:w w:val="105"/>
                <w:sz w:val="22"/>
                <w:szCs w:val="22"/>
              </w:rPr>
              <w:t>Hepatobilijarni</w:t>
            </w:r>
          </w:p>
          <w:p w14:paraId="3DCD9880" w14:textId="77777777" w:rsidR="00361CD7" w:rsidRPr="00D72200" w:rsidRDefault="00361CD7" w:rsidP="008246D3">
            <w:pPr>
              <w:pStyle w:val="Header"/>
              <w:tabs>
                <w:tab w:val="left" w:pos="284"/>
                <w:tab w:val="left" w:pos="9270"/>
              </w:tabs>
              <w:ind w:right="36"/>
              <w:rPr>
                <w:color w:val="000000"/>
                <w:sz w:val="22"/>
                <w:szCs w:val="22"/>
              </w:rPr>
            </w:pPr>
            <w:r w:rsidRPr="00D72200">
              <w:rPr>
                <w:i/>
                <w:iCs/>
                <w:spacing w:val="-1"/>
                <w:w w:val="105"/>
                <w:sz w:val="22"/>
                <w:szCs w:val="22"/>
              </w:rPr>
              <w:t>poremećaji</w:t>
            </w:r>
          </w:p>
        </w:tc>
        <w:tc>
          <w:tcPr>
            <w:tcW w:w="1560" w:type="dxa"/>
            <w:shd w:val="clear" w:color="auto" w:fill="auto"/>
          </w:tcPr>
          <w:p w14:paraId="13604224" w14:textId="77777777" w:rsidR="00361CD7" w:rsidRPr="00D72200" w:rsidRDefault="00361CD7" w:rsidP="008246D3">
            <w:pPr>
              <w:pStyle w:val="Header"/>
              <w:tabs>
                <w:tab w:val="left" w:pos="284"/>
                <w:tab w:val="left" w:pos="9270"/>
              </w:tabs>
              <w:ind w:right="36"/>
              <w:rPr>
                <w:color w:val="000000"/>
                <w:sz w:val="22"/>
                <w:szCs w:val="22"/>
              </w:rPr>
            </w:pPr>
          </w:p>
        </w:tc>
        <w:tc>
          <w:tcPr>
            <w:tcW w:w="1275" w:type="dxa"/>
            <w:shd w:val="clear" w:color="auto" w:fill="auto"/>
          </w:tcPr>
          <w:p w14:paraId="6ED6182C"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266A398F" w14:textId="77777777" w:rsidR="00361CD7" w:rsidRPr="00D72200" w:rsidRDefault="00361CD7" w:rsidP="008246D3">
            <w:pPr>
              <w:pStyle w:val="TableParagraph"/>
              <w:kinsoku w:val="0"/>
              <w:overflowPunct w:val="0"/>
              <w:spacing w:line="229" w:lineRule="exact"/>
              <w:rPr>
                <w:sz w:val="22"/>
                <w:szCs w:val="22"/>
              </w:rPr>
            </w:pPr>
            <w:r w:rsidRPr="00D72200">
              <w:rPr>
                <w:spacing w:val="-3"/>
                <w:w w:val="105"/>
                <w:sz w:val="22"/>
                <w:szCs w:val="22"/>
              </w:rPr>
              <w:t>Povišene</w:t>
            </w:r>
          </w:p>
          <w:p w14:paraId="542EFA3D" w14:textId="6024C939" w:rsidR="00361CD7" w:rsidRPr="00D72200" w:rsidRDefault="00361CD7" w:rsidP="008246D3">
            <w:pPr>
              <w:pStyle w:val="Header"/>
              <w:tabs>
                <w:tab w:val="left" w:pos="284"/>
                <w:tab w:val="left" w:pos="9270"/>
              </w:tabs>
              <w:ind w:right="36"/>
              <w:rPr>
                <w:color w:val="000000"/>
                <w:sz w:val="22"/>
                <w:szCs w:val="22"/>
              </w:rPr>
            </w:pPr>
            <w:r w:rsidRPr="00D72200">
              <w:rPr>
                <w:spacing w:val="-1"/>
                <w:w w:val="105"/>
                <w:sz w:val="22"/>
                <w:szCs w:val="22"/>
              </w:rPr>
              <w:t>vr</w:t>
            </w:r>
            <w:r w:rsidR="00451426" w:rsidRPr="00D72200">
              <w:rPr>
                <w:spacing w:val="-1"/>
                <w:w w:val="105"/>
                <w:sz w:val="22"/>
                <w:szCs w:val="22"/>
              </w:rPr>
              <w:t>ij</w:t>
            </w:r>
            <w:r w:rsidRPr="00D72200">
              <w:rPr>
                <w:spacing w:val="-1"/>
                <w:w w:val="105"/>
                <w:sz w:val="22"/>
                <w:szCs w:val="22"/>
              </w:rPr>
              <w:t>ednosti</w:t>
            </w:r>
            <w:r w:rsidRPr="00D72200">
              <w:rPr>
                <w:spacing w:val="-1"/>
                <w:w w:val="103"/>
                <w:sz w:val="22"/>
                <w:szCs w:val="22"/>
              </w:rPr>
              <w:t xml:space="preserve"> </w:t>
            </w:r>
            <w:r w:rsidRPr="00D72200">
              <w:rPr>
                <w:spacing w:val="-1"/>
                <w:sz w:val="22"/>
                <w:szCs w:val="22"/>
              </w:rPr>
              <w:t>transaminaza</w:t>
            </w:r>
          </w:p>
        </w:tc>
        <w:tc>
          <w:tcPr>
            <w:tcW w:w="1701" w:type="dxa"/>
            <w:shd w:val="clear" w:color="auto" w:fill="auto"/>
          </w:tcPr>
          <w:p w14:paraId="2942E774" w14:textId="77777777" w:rsidR="00361CD7" w:rsidRPr="00D72200" w:rsidRDefault="00361CD7" w:rsidP="008246D3">
            <w:pPr>
              <w:pStyle w:val="TableParagraph"/>
              <w:kinsoku w:val="0"/>
              <w:overflowPunct w:val="0"/>
              <w:spacing w:line="229" w:lineRule="exact"/>
              <w:rPr>
                <w:sz w:val="22"/>
                <w:szCs w:val="22"/>
              </w:rPr>
            </w:pPr>
            <w:r w:rsidRPr="00D72200">
              <w:rPr>
                <w:spacing w:val="2"/>
                <w:w w:val="105"/>
                <w:sz w:val="22"/>
                <w:szCs w:val="22"/>
              </w:rPr>
              <w:t>Ž</w:t>
            </w:r>
            <w:r w:rsidRPr="00D72200">
              <w:rPr>
                <w:spacing w:val="-9"/>
                <w:w w:val="105"/>
                <w:sz w:val="22"/>
                <w:szCs w:val="22"/>
              </w:rPr>
              <w:t>u</w:t>
            </w:r>
            <w:r w:rsidRPr="00D72200">
              <w:rPr>
                <w:spacing w:val="4"/>
                <w:w w:val="105"/>
                <w:sz w:val="22"/>
                <w:szCs w:val="22"/>
              </w:rPr>
              <w:t>ti</w:t>
            </w:r>
            <w:r w:rsidRPr="00D72200">
              <w:rPr>
                <w:spacing w:val="-7"/>
                <w:w w:val="105"/>
                <w:sz w:val="22"/>
                <w:szCs w:val="22"/>
              </w:rPr>
              <w:t>c</w:t>
            </w:r>
            <w:r w:rsidRPr="00D72200">
              <w:rPr>
                <w:spacing w:val="-1"/>
                <w:w w:val="105"/>
                <w:sz w:val="22"/>
                <w:szCs w:val="22"/>
              </w:rPr>
              <w:t>a</w:t>
            </w:r>
            <w:r w:rsidRPr="00D72200">
              <w:rPr>
                <w:w w:val="105"/>
                <w:sz w:val="22"/>
                <w:szCs w:val="22"/>
              </w:rPr>
              <w:t>,</w:t>
            </w:r>
          </w:p>
          <w:p w14:paraId="06B61932" w14:textId="77777777" w:rsidR="00361CD7" w:rsidRPr="00D72200" w:rsidRDefault="00361CD7" w:rsidP="008246D3">
            <w:pPr>
              <w:pStyle w:val="Header"/>
              <w:tabs>
                <w:tab w:val="left" w:pos="284"/>
                <w:tab w:val="left" w:pos="9270"/>
              </w:tabs>
              <w:ind w:right="36"/>
              <w:rPr>
                <w:color w:val="000000"/>
                <w:sz w:val="22"/>
                <w:szCs w:val="22"/>
              </w:rPr>
            </w:pPr>
            <w:r w:rsidRPr="00D72200">
              <w:rPr>
                <w:spacing w:val="-5"/>
                <w:w w:val="105"/>
                <w:sz w:val="22"/>
                <w:szCs w:val="22"/>
              </w:rPr>
              <w:t>He</w:t>
            </w:r>
            <w:r w:rsidRPr="00D72200">
              <w:rPr>
                <w:spacing w:val="6"/>
                <w:w w:val="105"/>
                <w:sz w:val="22"/>
                <w:szCs w:val="22"/>
              </w:rPr>
              <w:t>p</w:t>
            </w:r>
            <w:r w:rsidRPr="00D72200">
              <w:rPr>
                <w:w w:val="105"/>
                <w:sz w:val="22"/>
                <w:szCs w:val="22"/>
              </w:rPr>
              <w:t>atitis</w:t>
            </w:r>
          </w:p>
        </w:tc>
        <w:tc>
          <w:tcPr>
            <w:tcW w:w="1701" w:type="dxa"/>
            <w:shd w:val="clear" w:color="auto" w:fill="auto"/>
          </w:tcPr>
          <w:p w14:paraId="12F154A8" w14:textId="77777777" w:rsidR="00361CD7" w:rsidRPr="00D72200" w:rsidRDefault="00361CD7" w:rsidP="008246D3">
            <w:pPr>
              <w:pStyle w:val="Header"/>
              <w:tabs>
                <w:tab w:val="left" w:pos="284"/>
                <w:tab w:val="left" w:pos="9270"/>
              </w:tabs>
              <w:ind w:right="36"/>
              <w:rPr>
                <w:color w:val="000000"/>
                <w:sz w:val="22"/>
                <w:szCs w:val="22"/>
              </w:rPr>
            </w:pPr>
          </w:p>
        </w:tc>
      </w:tr>
      <w:tr w:rsidR="00361CD7" w:rsidRPr="00D72200" w14:paraId="69798FA7" w14:textId="77777777" w:rsidTr="000F132E">
        <w:trPr>
          <w:trHeight w:val="749"/>
          <w:jc w:val="center"/>
        </w:trPr>
        <w:tc>
          <w:tcPr>
            <w:tcW w:w="1696" w:type="dxa"/>
            <w:shd w:val="clear" w:color="auto" w:fill="auto"/>
          </w:tcPr>
          <w:p w14:paraId="4C377131" w14:textId="77777777" w:rsidR="00361CD7" w:rsidRPr="00D72200" w:rsidRDefault="00361CD7" w:rsidP="008246D3">
            <w:pPr>
              <w:pStyle w:val="TableParagraph"/>
              <w:kinsoku w:val="0"/>
              <w:overflowPunct w:val="0"/>
              <w:spacing w:line="228" w:lineRule="exact"/>
              <w:rPr>
                <w:i/>
                <w:iCs/>
                <w:spacing w:val="-1"/>
                <w:w w:val="105"/>
                <w:sz w:val="22"/>
                <w:szCs w:val="22"/>
              </w:rPr>
            </w:pPr>
            <w:r w:rsidRPr="00D72200">
              <w:rPr>
                <w:i/>
                <w:iCs/>
                <w:spacing w:val="-1"/>
                <w:w w:val="105"/>
                <w:sz w:val="22"/>
                <w:szCs w:val="22"/>
              </w:rPr>
              <w:t>Poremaćaj</w:t>
            </w:r>
            <w:r w:rsidRPr="00D72200">
              <w:rPr>
                <w:i/>
                <w:iCs/>
                <w:w w:val="105"/>
                <w:sz w:val="22"/>
                <w:szCs w:val="22"/>
              </w:rPr>
              <w:t>i</w:t>
            </w:r>
            <w:r w:rsidRPr="00D72200">
              <w:rPr>
                <w:i/>
                <w:iCs/>
                <w:spacing w:val="-20"/>
                <w:w w:val="105"/>
                <w:sz w:val="22"/>
                <w:szCs w:val="22"/>
              </w:rPr>
              <w:t xml:space="preserve"> </w:t>
            </w:r>
            <w:r w:rsidRPr="00D72200">
              <w:rPr>
                <w:i/>
                <w:iCs/>
                <w:spacing w:val="-1"/>
                <w:w w:val="105"/>
                <w:sz w:val="22"/>
                <w:szCs w:val="22"/>
              </w:rPr>
              <w:t xml:space="preserve"> </w:t>
            </w:r>
            <w:r w:rsidRPr="00D72200">
              <w:rPr>
                <w:i/>
                <w:sz w:val="22"/>
                <w:szCs w:val="22"/>
              </w:rPr>
              <w:t xml:space="preserve"> kože i potkožnog tkiva</w:t>
            </w:r>
          </w:p>
        </w:tc>
        <w:tc>
          <w:tcPr>
            <w:tcW w:w="1560" w:type="dxa"/>
            <w:shd w:val="clear" w:color="auto" w:fill="auto"/>
          </w:tcPr>
          <w:p w14:paraId="05FE52B9" w14:textId="77777777" w:rsidR="00361CD7" w:rsidRPr="00D72200" w:rsidRDefault="00361CD7" w:rsidP="008246D3">
            <w:pPr>
              <w:pStyle w:val="Header"/>
              <w:tabs>
                <w:tab w:val="left" w:pos="284"/>
                <w:tab w:val="left" w:pos="9270"/>
              </w:tabs>
              <w:ind w:right="36"/>
              <w:rPr>
                <w:color w:val="000000"/>
                <w:sz w:val="22"/>
                <w:szCs w:val="22"/>
              </w:rPr>
            </w:pPr>
          </w:p>
        </w:tc>
        <w:tc>
          <w:tcPr>
            <w:tcW w:w="1275" w:type="dxa"/>
            <w:shd w:val="clear" w:color="auto" w:fill="auto"/>
          </w:tcPr>
          <w:p w14:paraId="08B84898" w14:textId="77777777" w:rsidR="00361CD7" w:rsidRPr="00D72200" w:rsidRDefault="00361CD7" w:rsidP="008246D3">
            <w:pPr>
              <w:pStyle w:val="Header"/>
              <w:tabs>
                <w:tab w:val="left" w:pos="284"/>
                <w:tab w:val="left" w:pos="9270"/>
              </w:tabs>
              <w:ind w:right="36"/>
              <w:rPr>
                <w:color w:val="000000"/>
                <w:sz w:val="22"/>
                <w:szCs w:val="22"/>
              </w:rPr>
            </w:pPr>
            <w:r w:rsidRPr="00D72200">
              <w:rPr>
                <w:spacing w:val="-3"/>
                <w:w w:val="105"/>
                <w:sz w:val="22"/>
                <w:szCs w:val="22"/>
              </w:rPr>
              <w:t>Pruritu</w:t>
            </w:r>
            <w:r w:rsidRPr="00D72200">
              <w:rPr>
                <w:w w:val="105"/>
                <w:sz w:val="22"/>
                <w:szCs w:val="22"/>
              </w:rPr>
              <w:t>s, Osip,</w:t>
            </w:r>
            <w:r w:rsidRPr="00D72200">
              <w:rPr>
                <w:w w:val="103"/>
                <w:sz w:val="22"/>
                <w:szCs w:val="22"/>
              </w:rPr>
              <w:t xml:space="preserve"> </w:t>
            </w:r>
            <w:r w:rsidRPr="00D72200">
              <w:rPr>
                <w:spacing w:val="-3"/>
                <w:w w:val="105"/>
                <w:sz w:val="22"/>
                <w:szCs w:val="22"/>
              </w:rPr>
              <w:t>Urtikarija</w:t>
            </w:r>
          </w:p>
        </w:tc>
        <w:tc>
          <w:tcPr>
            <w:tcW w:w="1985" w:type="dxa"/>
            <w:shd w:val="clear" w:color="auto" w:fill="auto"/>
          </w:tcPr>
          <w:p w14:paraId="20C5AA57"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5A248B25"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46FAE57B" w14:textId="77777777" w:rsidR="00361CD7" w:rsidRPr="00D72200" w:rsidRDefault="00361CD7" w:rsidP="008246D3">
            <w:pPr>
              <w:pStyle w:val="TableParagraph"/>
              <w:kinsoku w:val="0"/>
              <w:overflowPunct w:val="0"/>
              <w:spacing w:before="16"/>
              <w:rPr>
                <w:i/>
                <w:iCs/>
                <w:spacing w:val="-1"/>
                <w:w w:val="105"/>
                <w:sz w:val="22"/>
                <w:szCs w:val="22"/>
              </w:rPr>
            </w:pPr>
            <w:r w:rsidRPr="00D72200">
              <w:rPr>
                <w:i/>
                <w:iCs/>
                <w:spacing w:val="-1"/>
                <w:w w:val="105"/>
                <w:sz w:val="22"/>
                <w:szCs w:val="22"/>
              </w:rPr>
              <w:t>Steven</w:t>
            </w:r>
            <w:r w:rsidRPr="00D72200">
              <w:rPr>
                <w:i/>
                <w:iCs/>
                <w:w w:val="105"/>
                <w:sz w:val="22"/>
                <w:szCs w:val="22"/>
              </w:rPr>
              <w:t>s-</w:t>
            </w:r>
            <w:r w:rsidRPr="00D72200">
              <w:rPr>
                <w:i/>
                <w:iCs/>
                <w:spacing w:val="-1"/>
                <w:w w:val="105"/>
                <w:sz w:val="22"/>
                <w:szCs w:val="22"/>
              </w:rPr>
              <w:t>Johnson</w:t>
            </w:r>
          </w:p>
          <w:p w14:paraId="3B7DDD0D" w14:textId="52588C59" w:rsidR="00361CD7" w:rsidRDefault="001F6212" w:rsidP="008246D3">
            <w:pPr>
              <w:pStyle w:val="TableParagraph"/>
              <w:kinsoku w:val="0"/>
              <w:overflowPunct w:val="0"/>
              <w:spacing w:before="16"/>
              <w:rPr>
                <w:iCs/>
                <w:spacing w:val="-1"/>
                <w:w w:val="105"/>
                <w:sz w:val="22"/>
                <w:szCs w:val="22"/>
              </w:rPr>
            </w:pPr>
            <w:r w:rsidRPr="00D72200">
              <w:rPr>
                <w:iCs/>
                <w:spacing w:val="-1"/>
                <w:w w:val="105"/>
                <w:sz w:val="22"/>
                <w:szCs w:val="22"/>
              </w:rPr>
              <w:t>S</w:t>
            </w:r>
            <w:r w:rsidR="00361CD7" w:rsidRPr="00D72200">
              <w:rPr>
                <w:iCs/>
                <w:spacing w:val="-1"/>
                <w:w w:val="105"/>
                <w:sz w:val="22"/>
                <w:szCs w:val="22"/>
              </w:rPr>
              <w:t>indrom</w:t>
            </w:r>
            <w:r w:rsidR="00FA0800">
              <w:rPr>
                <w:iCs/>
                <w:spacing w:val="-1"/>
                <w:w w:val="105"/>
                <w:sz w:val="22"/>
                <w:szCs w:val="22"/>
              </w:rPr>
              <w:t>,</w:t>
            </w:r>
          </w:p>
          <w:p w14:paraId="2A0D0BCC" w14:textId="77777777" w:rsidR="00FA0800" w:rsidRPr="00D72200" w:rsidRDefault="00FA0800" w:rsidP="008246D3">
            <w:pPr>
              <w:pStyle w:val="TableParagraph"/>
              <w:kinsoku w:val="0"/>
              <w:overflowPunct w:val="0"/>
              <w:spacing w:before="16"/>
              <w:rPr>
                <w:iCs/>
                <w:spacing w:val="-1"/>
                <w:w w:val="105"/>
                <w:sz w:val="22"/>
                <w:szCs w:val="22"/>
              </w:rPr>
            </w:pPr>
          </w:p>
          <w:p w14:paraId="2F2089B1" w14:textId="63C56CD0" w:rsidR="001F6212" w:rsidRPr="00D72200" w:rsidRDefault="001F6212" w:rsidP="001F6212">
            <w:pPr>
              <w:widowControl w:val="0"/>
              <w:kinsoku w:val="0"/>
              <w:overflowPunct w:val="0"/>
              <w:autoSpaceDE w:val="0"/>
              <w:autoSpaceDN w:val="0"/>
              <w:adjustRightInd w:val="0"/>
              <w:spacing w:before="16"/>
              <w:rPr>
                <w:iCs/>
                <w:spacing w:val="-1"/>
                <w:w w:val="105"/>
                <w:sz w:val="22"/>
                <w:szCs w:val="22"/>
              </w:rPr>
            </w:pPr>
            <w:r w:rsidRPr="00D72200">
              <w:rPr>
                <w:iCs/>
                <w:spacing w:val="-1"/>
                <w:w w:val="105"/>
                <w:sz w:val="22"/>
                <w:szCs w:val="22"/>
              </w:rPr>
              <w:t>Reakcija na l</w:t>
            </w:r>
            <w:r w:rsidR="009910FA" w:rsidRPr="00D72200">
              <w:rPr>
                <w:iCs/>
                <w:spacing w:val="-1"/>
                <w:w w:val="105"/>
                <w:sz w:val="22"/>
                <w:szCs w:val="22"/>
              </w:rPr>
              <w:t>ij</w:t>
            </w:r>
            <w:r w:rsidRPr="00D72200">
              <w:rPr>
                <w:iCs/>
                <w:spacing w:val="-1"/>
                <w:w w:val="105"/>
                <w:sz w:val="22"/>
                <w:szCs w:val="22"/>
              </w:rPr>
              <w:t>ek sa eozinofilijom i sistemskim simptomima (DRESS)</w:t>
            </w:r>
          </w:p>
          <w:p w14:paraId="22426DC3" w14:textId="0858388B" w:rsidR="001F6212" w:rsidRPr="00D72200" w:rsidRDefault="001F6212" w:rsidP="008246D3">
            <w:pPr>
              <w:pStyle w:val="TableParagraph"/>
              <w:kinsoku w:val="0"/>
              <w:overflowPunct w:val="0"/>
              <w:spacing w:before="16"/>
              <w:rPr>
                <w:color w:val="000000"/>
                <w:sz w:val="22"/>
                <w:szCs w:val="22"/>
              </w:rPr>
            </w:pPr>
          </w:p>
        </w:tc>
      </w:tr>
      <w:tr w:rsidR="00361CD7" w:rsidRPr="00D72200" w14:paraId="1E6D8C81" w14:textId="77777777" w:rsidTr="000F132E">
        <w:trPr>
          <w:trHeight w:val="2621"/>
          <w:jc w:val="center"/>
        </w:trPr>
        <w:tc>
          <w:tcPr>
            <w:tcW w:w="1696" w:type="dxa"/>
            <w:shd w:val="clear" w:color="auto" w:fill="auto"/>
          </w:tcPr>
          <w:p w14:paraId="7788F43F" w14:textId="77777777" w:rsidR="00361CD7" w:rsidRPr="00D72200" w:rsidRDefault="00361CD7" w:rsidP="008246D3">
            <w:pPr>
              <w:pStyle w:val="TableParagraph"/>
              <w:kinsoku w:val="0"/>
              <w:overflowPunct w:val="0"/>
              <w:spacing w:line="228" w:lineRule="exact"/>
              <w:rPr>
                <w:i/>
                <w:iCs/>
                <w:spacing w:val="-1"/>
                <w:w w:val="105"/>
                <w:sz w:val="22"/>
                <w:szCs w:val="22"/>
              </w:rPr>
            </w:pPr>
            <w:r w:rsidRPr="00D72200">
              <w:rPr>
                <w:i/>
                <w:iCs/>
                <w:spacing w:val="-1"/>
                <w:w w:val="105"/>
                <w:sz w:val="22"/>
                <w:szCs w:val="22"/>
              </w:rPr>
              <w:t>Poremećaji</w:t>
            </w:r>
          </w:p>
          <w:p w14:paraId="5C0F1B62" w14:textId="77777777" w:rsidR="00361CD7" w:rsidRPr="00D72200" w:rsidRDefault="00361CD7" w:rsidP="008246D3">
            <w:pPr>
              <w:pStyle w:val="TableParagraph"/>
              <w:kinsoku w:val="0"/>
              <w:overflowPunct w:val="0"/>
              <w:spacing w:line="228" w:lineRule="exact"/>
              <w:rPr>
                <w:i/>
                <w:iCs/>
                <w:spacing w:val="-1"/>
                <w:w w:val="105"/>
                <w:sz w:val="22"/>
                <w:szCs w:val="22"/>
              </w:rPr>
            </w:pPr>
            <w:r w:rsidRPr="00D72200">
              <w:rPr>
                <w:i/>
                <w:iCs/>
                <w:spacing w:val="-1"/>
                <w:w w:val="105"/>
                <w:sz w:val="22"/>
                <w:szCs w:val="22"/>
              </w:rPr>
              <w:t>mišično-</w:t>
            </w:r>
          </w:p>
          <w:p w14:paraId="4A9A5A3D" w14:textId="77777777" w:rsidR="00361CD7" w:rsidRPr="00D72200" w:rsidRDefault="00361CD7" w:rsidP="008246D3">
            <w:pPr>
              <w:pStyle w:val="TableParagraph"/>
              <w:kinsoku w:val="0"/>
              <w:overflowPunct w:val="0"/>
              <w:spacing w:line="228" w:lineRule="exact"/>
              <w:rPr>
                <w:i/>
                <w:iCs/>
                <w:spacing w:val="-1"/>
                <w:w w:val="105"/>
                <w:sz w:val="22"/>
                <w:szCs w:val="22"/>
              </w:rPr>
            </w:pPr>
            <w:r w:rsidRPr="00D72200">
              <w:rPr>
                <w:i/>
                <w:iCs/>
                <w:spacing w:val="-1"/>
                <w:w w:val="105"/>
                <w:sz w:val="22"/>
                <w:szCs w:val="22"/>
              </w:rPr>
              <w:t>koštanog sistema i vezivnog tkiva</w:t>
            </w:r>
          </w:p>
        </w:tc>
        <w:tc>
          <w:tcPr>
            <w:tcW w:w="1560" w:type="dxa"/>
            <w:shd w:val="clear" w:color="auto" w:fill="auto"/>
          </w:tcPr>
          <w:p w14:paraId="1E84B59F" w14:textId="77777777" w:rsidR="00361CD7" w:rsidRPr="00D72200" w:rsidRDefault="00361CD7" w:rsidP="008246D3">
            <w:pPr>
              <w:pStyle w:val="Header"/>
              <w:tabs>
                <w:tab w:val="left" w:pos="284"/>
                <w:tab w:val="left" w:pos="9270"/>
              </w:tabs>
              <w:ind w:right="36"/>
              <w:rPr>
                <w:color w:val="000000"/>
                <w:sz w:val="22"/>
                <w:szCs w:val="22"/>
              </w:rPr>
            </w:pPr>
            <w:r w:rsidRPr="00D72200">
              <w:rPr>
                <w:color w:val="000000"/>
                <w:sz w:val="22"/>
                <w:szCs w:val="22"/>
              </w:rPr>
              <w:t>Mialgija</w:t>
            </w:r>
          </w:p>
          <w:p w14:paraId="643857F8" w14:textId="77777777" w:rsidR="00361CD7" w:rsidRPr="00D72200" w:rsidRDefault="00361CD7" w:rsidP="008246D3">
            <w:pPr>
              <w:jc w:val="center"/>
              <w:rPr>
                <w:sz w:val="22"/>
                <w:szCs w:val="22"/>
              </w:rPr>
            </w:pPr>
          </w:p>
        </w:tc>
        <w:tc>
          <w:tcPr>
            <w:tcW w:w="1275" w:type="dxa"/>
            <w:shd w:val="clear" w:color="auto" w:fill="auto"/>
          </w:tcPr>
          <w:p w14:paraId="6093C2AC" w14:textId="77777777" w:rsidR="00361CD7" w:rsidRPr="00D72200" w:rsidRDefault="00361CD7" w:rsidP="008246D3">
            <w:pPr>
              <w:pStyle w:val="Header"/>
              <w:tabs>
                <w:tab w:val="left" w:pos="284"/>
                <w:tab w:val="left" w:pos="9270"/>
              </w:tabs>
              <w:ind w:right="36"/>
              <w:rPr>
                <w:spacing w:val="-3"/>
                <w:w w:val="105"/>
                <w:sz w:val="22"/>
                <w:szCs w:val="22"/>
              </w:rPr>
            </w:pPr>
          </w:p>
        </w:tc>
        <w:tc>
          <w:tcPr>
            <w:tcW w:w="1985" w:type="dxa"/>
            <w:shd w:val="clear" w:color="auto" w:fill="auto"/>
          </w:tcPr>
          <w:p w14:paraId="1FA02ACF" w14:textId="77777777" w:rsidR="00361CD7" w:rsidRPr="00D72200" w:rsidRDefault="00361CD7" w:rsidP="008246D3">
            <w:pPr>
              <w:pStyle w:val="Header"/>
              <w:tabs>
                <w:tab w:val="left" w:pos="9270"/>
              </w:tabs>
              <w:ind w:right="36"/>
              <w:rPr>
                <w:color w:val="000000"/>
                <w:sz w:val="22"/>
                <w:szCs w:val="22"/>
              </w:rPr>
            </w:pPr>
            <w:r w:rsidRPr="00D72200">
              <w:rPr>
                <w:color w:val="000000"/>
                <w:sz w:val="22"/>
                <w:szCs w:val="22"/>
              </w:rPr>
              <w:t>Miopatija</w:t>
            </w:r>
          </w:p>
          <w:p w14:paraId="5E97175F" w14:textId="77777777" w:rsidR="00361CD7" w:rsidRPr="00D72200" w:rsidRDefault="00361CD7" w:rsidP="008246D3">
            <w:pPr>
              <w:pStyle w:val="Header"/>
              <w:tabs>
                <w:tab w:val="left" w:pos="9270"/>
              </w:tabs>
              <w:ind w:right="36"/>
              <w:rPr>
                <w:color w:val="000000"/>
                <w:sz w:val="22"/>
                <w:szCs w:val="22"/>
              </w:rPr>
            </w:pPr>
            <w:r w:rsidRPr="00D72200">
              <w:rPr>
                <w:color w:val="000000"/>
                <w:sz w:val="22"/>
                <w:szCs w:val="22"/>
              </w:rPr>
              <w:t>(uključujući</w:t>
            </w:r>
          </w:p>
          <w:p w14:paraId="65687EFC" w14:textId="530837CD" w:rsidR="00361CD7" w:rsidRPr="00D72200" w:rsidRDefault="00361CD7" w:rsidP="008246D3">
            <w:pPr>
              <w:pStyle w:val="Header"/>
              <w:tabs>
                <w:tab w:val="left" w:pos="9270"/>
              </w:tabs>
              <w:ind w:right="36"/>
              <w:rPr>
                <w:color w:val="000000"/>
                <w:sz w:val="22"/>
                <w:szCs w:val="22"/>
              </w:rPr>
            </w:pPr>
            <w:r w:rsidRPr="00D72200">
              <w:rPr>
                <w:color w:val="000000"/>
                <w:sz w:val="22"/>
                <w:szCs w:val="22"/>
              </w:rPr>
              <w:t>miozitis),</w:t>
            </w:r>
          </w:p>
          <w:p w14:paraId="7D51994C" w14:textId="77777777" w:rsidR="009D0A8D" w:rsidRPr="00D72200" w:rsidRDefault="009D0A8D" w:rsidP="008246D3">
            <w:pPr>
              <w:pStyle w:val="Header"/>
              <w:tabs>
                <w:tab w:val="left" w:pos="9270"/>
              </w:tabs>
              <w:ind w:right="36"/>
              <w:rPr>
                <w:color w:val="000000"/>
                <w:sz w:val="22"/>
                <w:szCs w:val="22"/>
              </w:rPr>
            </w:pPr>
          </w:p>
          <w:p w14:paraId="293C5161" w14:textId="2A83E6EC" w:rsidR="00361CD7" w:rsidRPr="00D72200" w:rsidRDefault="00361CD7" w:rsidP="008246D3">
            <w:pPr>
              <w:pStyle w:val="Header"/>
              <w:tabs>
                <w:tab w:val="left" w:pos="284"/>
                <w:tab w:val="left" w:pos="9270"/>
              </w:tabs>
              <w:ind w:right="36"/>
              <w:rPr>
                <w:color w:val="000000"/>
                <w:sz w:val="22"/>
                <w:szCs w:val="22"/>
              </w:rPr>
            </w:pPr>
            <w:r w:rsidRPr="00D72200">
              <w:rPr>
                <w:color w:val="000000"/>
                <w:sz w:val="22"/>
                <w:szCs w:val="22"/>
              </w:rPr>
              <w:t>Rabdomioliza</w:t>
            </w:r>
            <w:r w:rsidR="002E14CF" w:rsidRPr="00D72200">
              <w:rPr>
                <w:color w:val="000000"/>
                <w:sz w:val="22"/>
                <w:szCs w:val="22"/>
              </w:rPr>
              <w:t>,</w:t>
            </w:r>
          </w:p>
          <w:p w14:paraId="591760E1" w14:textId="77777777" w:rsidR="00E829FE" w:rsidRPr="00D72200" w:rsidRDefault="00E829FE" w:rsidP="008246D3">
            <w:pPr>
              <w:pStyle w:val="Header"/>
              <w:tabs>
                <w:tab w:val="left" w:pos="284"/>
                <w:tab w:val="left" w:pos="9270"/>
              </w:tabs>
              <w:ind w:right="36"/>
              <w:rPr>
                <w:color w:val="000000"/>
                <w:sz w:val="22"/>
                <w:szCs w:val="22"/>
              </w:rPr>
            </w:pPr>
          </w:p>
          <w:p w14:paraId="65F3EE5A" w14:textId="23EC88FD" w:rsidR="00E829FE" w:rsidRPr="00D72200" w:rsidRDefault="00E829FE" w:rsidP="008246D3">
            <w:pPr>
              <w:pStyle w:val="Header"/>
              <w:tabs>
                <w:tab w:val="left" w:pos="284"/>
                <w:tab w:val="left" w:pos="9270"/>
              </w:tabs>
              <w:ind w:right="36"/>
              <w:rPr>
                <w:color w:val="000000"/>
                <w:sz w:val="22"/>
                <w:szCs w:val="22"/>
                <w:lang w:val="sr-Latn-RS"/>
              </w:rPr>
            </w:pPr>
            <w:r w:rsidRPr="00D72200">
              <w:rPr>
                <w:color w:val="000000"/>
                <w:sz w:val="22"/>
                <w:szCs w:val="22"/>
              </w:rPr>
              <w:t>S</w:t>
            </w:r>
            <w:r w:rsidR="00232353" w:rsidRPr="00D72200">
              <w:rPr>
                <w:color w:val="000000"/>
                <w:sz w:val="22"/>
                <w:szCs w:val="22"/>
                <w:lang w:val="sr-Latn-RS"/>
              </w:rPr>
              <w:t>indrom sličan lupusu</w:t>
            </w:r>
            <w:r w:rsidR="002E14CF" w:rsidRPr="00D72200">
              <w:rPr>
                <w:color w:val="000000"/>
                <w:sz w:val="22"/>
                <w:szCs w:val="22"/>
                <w:lang w:val="sr-Latn-RS"/>
              </w:rPr>
              <w:t>,</w:t>
            </w:r>
          </w:p>
          <w:p w14:paraId="1472B5C2" w14:textId="77777777" w:rsidR="00232353" w:rsidRPr="00D72200" w:rsidRDefault="00232353" w:rsidP="008246D3">
            <w:pPr>
              <w:pStyle w:val="Header"/>
              <w:tabs>
                <w:tab w:val="left" w:pos="284"/>
                <w:tab w:val="left" w:pos="9270"/>
              </w:tabs>
              <w:ind w:right="36"/>
              <w:rPr>
                <w:color w:val="000000"/>
                <w:sz w:val="22"/>
                <w:szCs w:val="22"/>
                <w:lang w:val="sr-Latn-RS"/>
              </w:rPr>
            </w:pPr>
          </w:p>
          <w:p w14:paraId="74DC83D4" w14:textId="3F94B732" w:rsidR="00232353" w:rsidRPr="00D72200" w:rsidRDefault="00232353" w:rsidP="008246D3">
            <w:pPr>
              <w:pStyle w:val="Header"/>
              <w:tabs>
                <w:tab w:val="left" w:pos="284"/>
                <w:tab w:val="left" w:pos="9270"/>
              </w:tabs>
              <w:ind w:right="36"/>
              <w:rPr>
                <w:color w:val="000000"/>
                <w:sz w:val="22"/>
                <w:szCs w:val="22"/>
                <w:lang w:val="sr-Latn-RS"/>
              </w:rPr>
            </w:pPr>
            <w:r w:rsidRPr="00D72200">
              <w:rPr>
                <w:color w:val="000000"/>
                <w:sz w:val="22"/>
                <w:szCs w:val="22"/>
                <w:lang w:val="sr-Latn-RS"/>
              </w:rPr>
              <w:t>Ruptura mišića</w:t>
            </w:r>
          </w:p>
        </w:tc>
        <w:tc>
          <w:tcPr>
            <w:tcW w:w="1701" w:type="dxa"/>
            <w:shd w:val="clear" w:color="auto" w:fill="auto"/>
          </w:tcPr>
          <w:p w14:paraId="4ABA46A3" w14:textId="77777777" w:rsidR="00361CD7" w:rsidRPr="00D72200" w:rsidRDefault="00361CD7" w:rsidP="008246D3">
            <w:pPr>
              <w:pStyle w:val="Header"/>
              <w:tabs>
                <w:tab w:val="left" w:pos="284"/>
                <w:tab w:val="left" w:pos="9270"/>
              </w:tabs>
              <w:ind w:right="36"/>
              <w:rPr>
                <w:color w:val="000000"/>
                <w:sz w:val="22"/>
                <w:szCs w:val="22"/>
              </w:rPr>
            </w:pPr>
            <w:r w:rsidRPr="00D72200">
              <w:rPr>
                <w:color w:val="000000"/>
                <w:sz w:val="22"/>
                <w:szCs w:val="22"/>
              </w:rPr>
              <w:t>Artralgija</w:t>
            </w:r>
          </w:p>
        </w:tc>
        <w:tc>
          <w:tcPr>
            <w:tcW w:w="1701" w:type="dxa"/>
            <w:shd w:val="clear" w:color="auto" w:fill="auto"/>
          </w:tcPr>
          <w:p w14:paraId="6734C756" w14:textId="77777777" w:rsidR="00361CD7" w:rsidRPr="00D72200" w:rsidRDefault="00361CD7" w:rsidP="008246D3">
            <w:pPr>
              <w:pStyle w:val="TableParagraph"/>
              <w:kinsoku w:val="0"/>
              <w:overflowPunct w:val="0"/>
              <w:spacing w:before="16"/>
              <w:rPr>
                <w:iCs/>
                <w:spacing w:val="-1"/>
                <w:w w:val="105"/>
                <w:sz w:val="22"/>
                <w:szCs w:val="22"/>
              </w:rPr>
            </w:pPr>
            <w:r w:rsidRPr="00D72200">
              <w:rPr>
                <w:iCs/>
                <w:spacing w:val="-1"/>
                <w:w w:val="105"/>
                <w:sz w:val="22"/>
                <w:szCs w:val="22"/>
              </w:rPr>
              <w:t>Poremećaji na nivou tetiva, ponekad</w:t>
            </w:r>
          </w:p>
          <w:p w14:paraId="6ED00C33" w14:textId="77777777" w:rsidR="00361CD7" w:rsidRPr="00D72200" w:rsidRDefault="00361CD7" w:rsidP="008246D3">
            <w:pPr>
              <w:pStyle w:val="TableParagraph"/>
              <w:kinsoku w:val="0"/>
              <w:overflowPunct w:val="0"/>
              <w:spacing w:before="16"/>
              <w:rPr>
                <w:iCs/>
                <w:spacing w:val="-1"/>
                <w:w w:val="105"/>
                <w:sz w:val="22"/>
                <w:szCs w:val="22"/>
              </w:rPr>
            </w:pPr>
            <w:r w:rsidRPr="00D72200">
              <w:rPr>
                <w:iCs/>
                <w:spacing w:val="-1"/>
                <w:w w:val="105"/>
                <w:sz w:val="22"/>
                <w:szCs w:val="22"/>
              </w:rPr>
              <w:t>komplikovani</w:t>
            </w:r>
          </w:p>
          <w:p w14:paraId="3E70F830" w14:textId="77777777" w:rsidR="00361CD7" w:rsidRPr="00D72200" w:rsidRDefault="00361CD7" w:rsidP="008246D3">
            <w:pPr>
              <w:pStyle w:val="TableParagraph"/>
              <w:kinsoku w:val="0"/>
              <w:overflowPunct w:val="0"/>
              <w:spacing w:before="16"/>
              <w:rPr>
                <w:iCs/>
                <w:spacing w:val="-1"/>
                <w:w w:val="105"/>
                <w:sz w:val="22"/>
                <w:szCs w:val="22"/>
              </w:rPr>
            </w:pPr>
            <w:r w:rsidRPr="00D72200">
              <w:rPr>
                <w:iCs/>
                <w:spacing w:val="-1"/>
                <w:w w:val="105"/>
                <w:sz w:val="22"/>
                <w:szCs w:val="22"/>
              </w:rPr>
              <w:t>rupturama</w:t>
            </w:r>
          </w:p>
          <w:p w14:paraId="0EEE266D" w14:textId="77777777" w:rsidR="00361CD7" w:rsidRPr="00D72200" w:rsidRDefault="00361CD7" w:rsidP="008246D3">
            <w:pPr>
              <w:pStyle w:val="TableParagraph"/>
              <w:kinsoku w:val="0"/>
              <w:overflowPunct w:val="0"/>
              <w:spacing w:before="16"/>
              <w:rPr>
                <w:iCs/>
                <w:spacing w:val="-1"/>
                <w:w w:val="105"/>
                <w:sz w:val="22"/>
                <w:szCs w:val="22"/>
              </w:rPr>
            </w:pPr>
          </w:p>
          <w:p w14:paraId="6144E708" w14:textId="77777777" w:rsidR="00361CD7" w:rsidRPr="00D72200" w:rsidRDefault="00361CD7" w:rsidP="008246D3">
            <w:pPr>
              <w:pStyle w:val="TableParagraph"/>
              <w:kinsoku w:val="0"/>
              <w:overflowPunct w:val="0"/>
              <w:spacing w:before="16"/>
              <w:rPr>
                <w:iCs/>
                <w:spacing w:val="-1"/>
                <w:w w:val="105"/>
                <w:sz w:val="22"/>
                <w:szCs w:val="22"/>
              </w:rPr>
            </w:pPr>
            <w:r w:rsidRPr="00D72200">
              <w:rPr>
                <w:iCs/>
                <w:spacing w:val="-1"/>
                <w:w w:val="105"/>
                <w:sz w:val="22"/>
                <w:szCs w:val="22"/>
              </w:rPr>
              <w:t>Imuno-posredovana</w:t>
            </w:r>
          </w:p>
          <w:p w14:paraId="2B600A08" w14:textId="77777777" w:rsidR="00361CD7" w:rsidRPr="00D72200" w:rsidRDefault="00361CD7" w:rsidP="008246D3">
            <w:pPr>
              <w:pStyle w:val="TableParagraph"/>
              <w:kinsoku w:val="0"/>
              <w:overflowPunct w:val="0"/>
              <w:spacing w:before="16"/>
              <w:rPr>
                <w:iCs/>
                <w:spacing w:val="-1"/>
                <w:w w:val="105"/>
                <w:sz w:val="22"/>
                <w:szCs w:val="22"/>
              </w:rPr>
            </w:pPr>
            <w:r w:rsidRPr="00D72200">
              <w:rPr>
                <w:iCs/>
                <w:spacing w:val="-1"/>
                <w:w w:val="105"/>
                <w:sz w:val="22"/>
                <w:szCs w:val="22"/>
              </w:rPr>
              <w:t>nekrotizirajuća  miopatija</w:t>
            </w:r>
          </w:p>
        </w:tc>
      </w:tr>
      <w:tr w:rsidR="00361CD7" w:rsidRPr="00D72200" w14:paraId="2CAD126B" w14:textId="77777777" w:rsidTr="000F132E">
        <w:trPr>
          <w:trHeight w:val="973"/>
          <w:jc w:val="center"/>
        </w:trPr>
        <w:tc>
          <w:tcPr>
            <w:tcW w:w="1696" w:type="dxa"/>
            <w:shd w:val="clear" w:color="auto" w:fill="auto"/>
          </w:tcPr>
          <w:p w14:paraId="6BB40228" w14:textId="77777777" w:rsidR="00361CD7" w:rsidRPr="00D72200" w:rsidRDefault="00361CD7" w:rsidP="008246D3">
            <w:pPr>
              <w:pStyle w:val="TableParagraph"/>
              <w:kinsoku w:val="0"/>
              <w:overflowPunct w:val="0"/>
              <w:spacing w:line="225" w:lineRule="exact"/>
              <w:rPr>
                <w:color w:val="000000"/>
                <w:sz w:val="22"/>
                <w:szCs w:val="22"/>
              </w:rPr>
            </w:pPr>
            <w:r w:rsidRPr="00D72200">
              <w:rPr>
                <w:i/>
                <w:iCs/>
                <w:spacing w:val="-8"/>
                <w:w w:val="105"/>
                <w:sz w:val="22"/>
                <w:szCs w:val="22"/>
              </w:rPr>
              <w:t>P</w:t>
            </w:r>
            <w:r w:rsidRPr="00D72200">
              <w:rPr>
                <w:i/>
                <w:iCs/>
                <w:w w:val="105"/>
                <w:sz w:val="22"/>
                <w:szCs w:val="22"/>
              </w:rPr>
              <w:t>oremećaji</w:t>
            </w:r>
            <w:r w:rsidRPr="00D72200">
              <w:rPr>
                <w:i/>
                <w:iCs/>
                <w:spacing w:val="-17"/>
                <w:w w:val="105"/>
                <w:sz w:val="22"/>
                <w:szCs w:val="22"/>
              </w:rPr>
              <w:t xml:space="preserve"> </w:t>
            </w:r>
            <w:r w:rsidRPr="00D72200">
              <w:rPr>
                <w:i/>
                <w:iCs/>
                <w:spacing w:val="-13"/>
                <w:w w:val="105"/>
                <w:sz w:val="22"/>
                <w:szCs w:val="22"/>
              </w:rPr>
              <w:t xml:space="preserve"> </w:t>
            </w:r>
            <w:r w:rsidRPr="00D72200">
              <w:rPr>
                <w:i/>
                <w:iCs/>
                <w:w w:val="105"/>
                <w:sz w:val="22"/>
                <w:szCs w:val="22"/>
              </w:rPr>
              <w:t>bubrega</w:t>
            </w:r>
            <w:r w:rsidRPr="00D72200">
              <w:rPr>
                <w:i/>
                <w:iCs/>
                <w:spacing w:val="-12"/>
                <w:w w:val="105"/>
                <w:sz w:val="22"/>
                <w:szCs w:val="22"/>
              </w:rPr>
              <w:t xml:space="preserve"> </w:t>
            </w:r>
            <w:r w:rsidRPr="00D72200">
              <w:rPr>
                <w:i/>
                <w:iCs/>
                <w:w w:val="105"/>
                <w:sz w:val="22"/>
                <w:szCs w:val="22"/>
              </w:rPr>
              <w:t>i</w:t>
            </w:r>
            <w:r w:rsidRPr="00D72200">
              <w:rPr>
                <w:i/>
                <w:iCs/>
                <w:w w:val="103"/>
                <w:sz w:val="22"/>
                <w:szCs w:val="22"/>
              </w:rPr>
              <w:t xml:space="preserve"> </w:t>
            </w:r>
            <w:r w:rsidRPr="00D72200">
              <w:rPr>
                <w:i/>
                <w:iCs/>
                <w:spacing w:val="-1"/>
                <w:w w:val="105"/>
                <w:sz w:val="22"/>
                <w:szCs w:val="22"/>
              </w:rPr>
              <w:t>urinarnog</w:t>
            </w:r>
            <w:r w:rsidRPr="00D72200">
              <w:rPr>
                <w:i/>
                <w:iCs/>
                <w:spacing w:val="-1"/>
                <w:w w:val="103"/>
                <w:sz w:val="22"/>
                <w:szCs w:val="22"/>
              </w:rPr>
              <w:t xml:space="preserve"> </w:t>
            </w:r>
            <w:r w:rsidRPr="00D72200">
              <w:rPr>
                <w:i/>
                <w:iCs/>
                <w:spacing w:val="-1"/>
                <w:w w:val="105"/>
                <w:sz w:val="22"/>
                <w:szCs w:val="22"/>
              </w:rPr>
              <w:t>sistema</w:t>
            </w:r>
          </w:p>
        </w:tc>
        <w:tc>
          <w:tcPr>
            <w:tcW w:w="1560" w:type="dxa"/>
            <w:shd w:val="clear" w:color="auto" w:fill="auto"/>
          </w:tcPr>
          <w:p w14:paraId="73C3BBCE" w14:textId="77777777" w:rsidR="00361CD7" w:rsidRPr="00D72200" w:rsidRDefault="00361CD7" w:rsidP="008246D3">
            <w:pPr>
              <w:pStyle w:val="Header"/>
              <w:tabs>
                <w:tab w:val="left" w:pos="284"/>
                <w:tab w:val="left" w:pos="9270"/>
              </w:tabs>
              <w:ind w:right="36"/>
              <w:rPr>
                <w:color w:val="000000"/>
                <w:sz w:val="22"/>
                <w:szCs w:val="22"/>
              </w:rPr>
            </w:pPr>
          </w:p>
        </w:tc>
        <w:tc>
          <w:tcPr>
            <w:tcW w:w="1275" w:type="dxa"/>
            <w:shd w:val="clear" w:color="auto" w:fill="auto"/>
          </w:tcPr>
          <w:p w14:paraId="3708B0AB"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636E5A13"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1B826F75" w14:textId="77777777" w:rsidR="00361CD7" w:rsidRPr="00D72200" w:rsidRDefault="00361CD7" w:rsidP="008246D3">
            <w:pPr>
              <w:pStyle w:val="Header"/>
              <w:tabs>
                <w:tab w:val="left" w:pos="284"/>
                <w:tab w:val="left" w:pos="9270"/>
              </w:tabs>
              <w:ind w:right="36"/>
              <w:rPr>
                <w:color w:val="000000"/>
                <w:sz w:val="22"/>
                <w:szCs w:val="22"/>
              </w:rPr>
            </w:pPr>
            <w:r w:rsidRPr="00D72200">
              <w:rPr>
                <w:sz w:val="22"/>
                <w:szCs w:val="22"/>
              </w:rPr>
              <w:t>Hematurija</w:t>
            </w:r>
          </w:p>
        </w:tc>
        <w:tc>
          <w:tcPr>
            <w:tcW w:w="1701" w:type="dxa"/>
            <w:shd w:val="clear" w:color="auto" w:fill="auto"/>
          </w:tcPr>
          <w:p w14:paraId="75FAAC33" w14:textId="77777777" w:rsidR="00361CD7" w:rsidRPr="00D72200" w:rsidRDefault="00361CD7" w:rsidP="008246D3">
            <w:pPr>
              <w:pStyle w:val="Header"/>
              <w:tabs>
                <w:tab w:val="left" w:pos="284"/>
                <w:tab w:val="left" w:pos="9270"/>
              </w:tabs>
              <w:ind w:right="36"/>
              <w:rPr>
                <w:color w:val="000000"/>
                <w:sz w:val="22"/>
                <w:szCs w:val="22"/>
              </w:rPr>
            </w:pPr>
          </w:p>
        </w:tc>
      </w:tr>
      <w:tr w:rsidR="00361CD7" w:rsidRPr="00D72200" w14:paraId="733DAEA4" w14:textId="77777777" w:rsidTr="000F132E">
        <w:trPr>
          <w:trHeight w:val="988"/>
          <w:jc w:val="center"/>
        </w:trPr>
        <w:tc>
          <w:tcPr>
            <w:tcW w:w="1696" w:type="dxa"/>
            <w:shd w:val="clear" w:color="auto" w:fill="auto"/>
          </w:tcPr>
          <w:p w14:paraId="06A8704F" w14:textId="77777777" w:rsidR="00361CD7" w:rsidRPr="00D72200" w:rsidRDefault="00361CD7" w:rsidP="008246D3">
            <w:pPr>
              <w:pStyle w:val="TableParagraph"/>
              <w:kinsoku w:val="0"/>
              <w:overflowPunct w:val="0"/>
              <w:spacing w:line="229" w:lineRule="exact"/>
              <w:rPr>
                <w:sz w:val="22"/>
                <w:szCs w:val="22"/>
              </w:rPr>
            </w:pPr>
            <w:r w:rsidRPr="00D72200">
              <w:rPr>
                <w:i/>
                <w:iCs/>
                <w:spacing w:val="-1"/>
                <w:w w:val="105"/>
                <w:sz w:val="22"/>
                <w:szCs w:val="22"/>
              </w:rPr>
              <w:t>Poremaćaji</w:t>
            </w:r>
          </w:p>
          <w:p w14:paraId="06E94D96" w14:textId="77777777" w:rsidR="00361CD7" w:rsidRPr="00D72200" w:rsidRDefault="00361CD7" w:rsidP="008246D3">
            <w:pPr>
              <w:pStyle w:val="Header"/>
              <w:tabs>
                <w:tab w:val="left" w:pos="284"/>
                <w:tab w:val="left" w:pos="9270"/>
              </w:tabs>
              <w:ind w:right="36"/>
              <w:rPr>
                <w:color w:val="000000"/>
                <w:sz w:val="22"/>
                <w:szCs w:val="22"/>
              </w:rPr>
            </w:pPr>
            <w:r w:rsidRPr="00D72200">
              <w:rPr>
                <w:i/>
                <w:iCs/>
                <w:spacing w:val="-1"/>
                <w:w w:val="105"/>
                <w:sz w:val="22"/>
                <w:szCs w:val="22"/>
              </w:rPr>
              <w:t>reproduktivnog</w:t>
            </w:r>
            <w:r w:rsidRPr="00D72200">
              <w:rPr>
                <w:i/>
                <w:iCs/>
                <w:spacing w:val="-1"/>
                <w:w w:val="103"/>
                <w:sz w:val="22"/>
                <w:szCs w:val="22"/>
              </w:rPr>
              <w:t xml:space="preserve"> </w:t>
            </w:r>
            <w:r w:rsidRPr="00D72200">
              <w:rPr>
                <w:i/>
                <w:iCs/>
                <w:w w:val="105"/>
                <w:sz w:val="22"/>
                <w:szCs w:val="22"/>
              </w:rPr>
              <w:t>sis</w:t>
            </w:r>
            <w:r w:rsidRPr="00D72200">
              <w:rPr>
                <w:i/>
                <w:iCs/>
                <w:spacing w:val="-1"/>
                <w:w w:val="105"/>
                <w:sz w:val="22"/>
                <w:szCs w:val="22"/>
              </w:rPr>
              <w:t>tem</w:t>
            </w:r>
            <w:r w:rsidRPr="00D72200">
              <w:rPr>
                <w:i/>
                <w:iCs/>
                <w:w w:val="105"/>
                <w:sz w:val="22"/>
                <w:szCs w:val="22"/>
              </w:rPr>
              <w:t>a</w:t>
            </w:r>
            <w:r w:rsidRPr="00D72200">
              <w:rPr>
                <w:i/>
                <w:iCs/>
                <w:spacing w:val="-11"/>
                <w:w w:val="105"/>
                <w:sz w:val="22"/>
                <w:szCs w:val="22"/>
              </w:rPr>
              <w:t xml:space="preserve"> </w:t>
            </w:r>
            <w:r w:rsidRPr="00D72200">
              <w:rPr>
                <w:i/>
                <w:iCs/>
                <w:w w:val="105"/>
                <w:sz w:val="22"/>
                <w:szCs w:val="22"/>
              </w:rPr>
              <w:t>i</w:t>
            </w:r>
            <w:r w:rsidRPr="00D72200">
              <w:rPr>
                <w:i/>
                <w:iCs/>
                <w:spacing w:val="-6"/>
                <w:w w:val="105"/>
                <w:sz w:val="22"/>
                <w:szCs w:val="22"/>
              </w:rPr>
              <w:t xml:space="preserve"> </w:t>
            </w:r>
            <w:r w:rsidRPr="00D72200">
              <w:rPr>
                <w:i/>
                <w:iCs/>
                <w:spacing w:val="-1"/>
                <w:w w:val="105"/>
                <w:sz w:val="22"/>
                <w:szCs w:val="22"/>
              </w:rPr>
              <w:t>dojki</w:t>
            </w:r>
          </w:p>
        </w:tc>
        <w:tc>
          <w:tcPr>
            <w:tcW w:w="1560" w:type="dxa"/>
            <w:shd w:val="clear" w:color="auto" w:fill="auto"/>
          </w:tcPr>
          <w:p w14:paraId="3F522086" w14:textId="77777777" w:rsidR="00361CD7" w:rsidRPr="00D72200" w:rsidRDefault="00361CD7" w:rsidP="008246D3">
            <w:pPr>
              <w:pStyle w:val="Header"/>
              <w:tabs>
                <w:tab w:val="left" w:pos="284"/>
                <w:tab w:val="left" w:pos="9270"/>
              </w:tabs>
              <w:ind w:right="36"/>
              <w:rPr>
                <w:color w:val="000000"/>
                <w:sz w:val="22"/>
                <w:szCs w:val="22"/>
              </w:rPr>
            </w:pPr>
          </w:p>
        </w:tc>
        <w:tc>
          <w:tcPr>
            <w:tcW w:w="1275" w:type="dxa"/>
            <w:shd w:val="clear" w:color="auto" w:fill="auto"/>
          </w:tcPr>
          <w:p w14:paraId="4CB694E3"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137AAB00"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63FECD01" w14:textId="77777777" w:rsidR="00361CD7" w:rsidRPr="00D72200" w:rsidRDefault="00361CD7" w:rsidP="008246D3">
            <w:pPr>
              <w:pStyle w:val="Header"/>
              <w:tabs>
                <w:tab w:val="left" w:pos="284"/>
                <w:tab w:val="left" w:pos="9270"/>
              </w:tabs>
              <w:ind w:right="36"/>
              <w:rPr>
                <w:color w:val="000000"/>
                <w:sz w:val="22"/>
                <w:szCs w:val="22"/>
              </w:rPr>
            </w:pPr>
            <w:r w:rsidRPr="00D72200">
              <w:rPr>
                <w:w w:val="105"/>
                <w:sz w:val="22"/>
                <w:szCs w:val="22"/>
              </w:rPr>
              <w:t>Ginekomastija</w:t>
            </w:r>
          </w:p>
        </w:tc>
        <w:tc>
          <w:tcPr>
            <w:tcW w:w="1701" w:type="dxa"/>
            <w:shd w:val="clear" w:color="auto" w:fill="auto"/>
          </w:tcPr>
          <w:p w14:paraId="410B8D6F" w14:textId="77777777" w:rsidR="00361CD7" w:rsidRPr="00D72200" w:rsidRDefault="00361CD7" w:rsidP="008246D3">
            <w:pPr>
              <w:pStyle w:val="Header"/>
              <w:tabs>
                <w:tab w:val="left" w:pos="284"/>
                <w:tab w:val="left" w:pos="9270"/>
              </w:tabs>
              <w:ind w:right="36"/>
              <w:rPr>
                <w:color w:val="000000"/>
                <w:sz w:val="22"/>
                <w:szCs w:val="22"/>
              </w:rPr>
            </w:pPr>
          </w:p>
        </w:tc>
      </w:tr>
      <w:tr w:rsidR="00361CD7" w:rsidRPr="00D72200" w14:paraId="411E1BC9" w14:textId="77777777" w:rsidTr="000F132E">
        <w:trPr>
          <w:trHeight w:val="958"/>
          <w:jc w:val="center"/>
        </w:trPr>
        <w:tc>
          <w:tcPr>
            <w:tcW w:w="1696" w:type="dxa"/>
            <w:shd w:val="clear" w:color="auto" w:fill="auto"/>
          </w:tcPr>
          <w:p w14:paraId="2061C92F" w14:textId="77777777" w:rsidR="00361CD7" w:rsidRPr="00D72200" w:rsidRDefault="00361CD7" w:rsidP="008246D3">
            <w:pPr>
              <w:pStyle w:val="TableParagraph"/>
              <w:kinsoku w:val="0"/>
              <w:overflowPunct w:val="0"/>
              <w:spacing w:line="229" w:lineRule="exact"/>
              <w:rPr>
                <w:sz w:val="22"/>
                <w:szCs w:val="22"/>
              </w:rPr>
            </w:pPr>
            <w:r w:rsidRPr="00D72200">
              <w:rPr>
                <w:i/>
                <w:iCs/>
                <w:spacing w:val="-1"/>
                <w:w w:val="105"/>
                <w:sz w:val="22"/>
                <w:szCs w:val="22"/>
              </w:rPr>
              <w:t>Opšt</w:t>
            </w:r>
            <w:r w:rsidRPr="00D72200">
              <w:rPr>
                <w:i/>
                <w:iCs/>
                <w:w w:val="105"/>
                <w:sz w:val="22"/>
                <w:szCs w:val="22"/>
              </w:rPr>
              <w:t>i</w:t>
            </w:r>
            <w:r w:rsidRPr="00D72200">
              <w:rPr>
                <w:i/>
                <w:iCs/>
                <w:spacing w:val="-29"/>
                <w:w w:val="105"/>
                <w:sz w:val="22"/>
                <w:szCs w:val="22"/>
              </w:rPr>
              <w:t xml:space="preserve"> </w:t>
            </w:r>
            <w:r w:rsidRPr="00D72200">
              <w:rPr>
                <w:i/>
                <w:iCs/>
                <w:spacing w:val="-1"/>
                <w:w w:val="105"/>
                <w:sz w:val="22"/>
                <w:szCs w:val="22"/>
              </w:rPr>
              <w:t>poremećaji</w:t>
            </w:r>
          </w:p>
          <w:p w14:paraId="626FD070" w14:textId="3D16D9BC" w:rsidR="00361CD7" w:rsidRPr="00D72200" w:rsidRDefault="00361CD7" w:rsidP="008246D3">
            <w:pPr>
              <w:pStyle w:val="Header"/>
              <w:tabs>
                <w:tab w:val="left" w:pos="284"/>
                <w:tab w:val="left" w:pos="9270"/>
              </w:tabs>
              <w:ind w:right="36"/>
              <w:rPr>
                <w:color w:val="000000"/>
                <w:sz w:val="22"/>
                <w:szCs w:val="22"/>
              </w:rPr>
            </w:pPr>
            <w:r w:rsidRPr="00D72200">
              <w:rPr>
                <w:i/>
                <w:iCs/>
                <w:w w:val="105"/>
                <w:sz w:val="22"/>
                <w:szCs w:val="22"/>
              </w:rPr>
              <w:t>i</w:t>
            </w:r>
            <w:r w:rsidRPr="00D72200">
              <w:rPr>
                <w:i/>
                <w:iCs/>
                <w:spacing w:val="-10"/>
                <w:w w:val="105"/>
                <w:sz w:val="22"/>
                <w:szCs w:val="22"/>
              </w:rPr>
              <w:t xml:space="preserve"> </w:t>
            </w:r>
            <w:r w:rsidRPr="00D72200">
              <w:rPr>
                <w:i/>
                <w:iCs/>
                <w:spacing w:val="-1"/>
                <w:w w:val="105"/>
                <w:sz w:val="22"/>
                <w:szCs w:val="22"/>
              </w:rPr>
              <w:t>reakcij</w:t>
            </w:r>
            <w:r w:rsidRPr="00D72200">
              <w:rPr>
                <w:i/>
                <w:iCs/>
                <w:w w:val="105"/>
                <w:sz w:val="22"/>
                <w:szCs w:val="22"/>
              </w:rPr>
              <w:t>e</w:t>
            </w:r>
            <w:r w:rsidRPr="00D72200">
              <w:rPr>
                <w:i/>
                <w:iCs/>
                <w:spacing w:val="-10"/>
                <w:w w:val="105"/>
                <w:sz w:val="22"/>
                <w:szCs w:val="22"/>
              </w:rPr>
              <w:t xml:space="preserve"> </w:t>
            </w:r>
            <w:r w:rsidRPr="00D72200">
              <w:rPr>
                <w:i/>
                <w:iCs/>
                <w:spacing w:val="1"/>
                <w:w w:val="105"/>
                <w:sz w:val="22"/>
                <w:szCs w:val="22"/>
              </w:rPr>
              <w:t>na</w:t>
            </w:r>
            <w:r w:rsidRPr="00D72200">
              <w:rPr>
                <w:i/>
                <w:iCs/>
                <w:spacing w:val="1"/>
                <w:w w:val="103"/>
                <w:sz w:val="22"/>
                <w:szCs w:val="22"/>
              </w:rPr>
              <w:t xml:space="preserve"> </w:t>
            </w:r>
            <w:r w:rsidRPr="00D72200">
              <w:rPr>
                <w:i/>
                <w:iCs/>
                <w:spacing w:val="-1"/>
                <w:w w:val="105"/>
                <w:sz w:val="22"/>
                <w:szCs w:val="22"/>
              </w:rPr>
              <w:t>m</w:t>
            </w:r>
            <w:r w:rsidR="00451426" w:rsidRPr="00D72200">
              <w:rPr>
                <w:i/>
                <w:iCs/>
                <w:spacing w:val="-1"/>
                <w:w w:val="105"/>
                <w:sz w:val="22"/>
                <w:szCs w:val="22"/>
              </w:rPr>
              <w:t>j</w:t>
            </w:r>
            <w:r w:rsidRPr="00D72200">
              <w:rPr>
                <w:i/>
                <w:iCs/>
                <w:spacing w:val="-1"/>
                <w:w w:val="105"/>
                <w:sz w:val="22"/>
                <w:szCs w:val="22"/>
              </w:rPr>
              <w:t>est</w:t>
            </w:r>
            <w:r w:rsidRPr="00D72200">
              <w:rPr>
                <w:i/>
                <w:iCs/>
                <w:w w:val="105"/>
                <w:sz w:val="22"/>
                <w:szCs w:val="22"/>
              </w:rPr>
              <w:t>u</w:t>
            </w:r>
            <w:r w:rsidRPr="00D72200">
              <w:rPr>
                <w:i/>
                <w:iCs/>
                <w:spacing w:val="-24"/>
                <w:w w:val="105"/>
                <w:sz w:val="22"/>
                <w:szCs w:val="22"/>
              </w:rPr>
              <w:t xml:space="preserve"> </w:t>
            </w:r>
            <w:r w:rsidRPr="00D72200">
              <w:rPr>
                <w:i/>
                <w:iCs/>
                <w:spacing w:val="-1"/>
                <w:w w:val="105"/>
                <w:sz w:val="22"/>
                <w:szCs w:val="22"/>
              </w:rPr>
              <w:t>prim</w:t>
            </w:r>
            <w:r w:rsidR="00451426" w:rsidRPr="00D72200">
              <w:rPr>
                <w:i/>
                <w:iCs/>
                <w:spacing w:val="-1"/>
                <w:w w:val="105"/>
                <w:sz w:val="22"/>
                <w:szCs w:val="22"/>
              </w:rPr>
              <w:t>j</w:t>
            </w:r>
            <w:r w:rsidRPr="00D72200">
              <w:rPr>
                <w:i/>
                <w:iCs/>
                <w:spacing w:val="-1"/>
                <w:w w:val="105"/>
                <w:sz w:val="22"/>
                <w:szCs w:val="22"/>
              </w:rPr>
              <w:t>ene</w:t>
            </w:r>
          </w:p>
        </w:tc>
        <w:tc>
          <w:tcPr>
            <w:tcW w:w="1560" w:type="dxa"/>
            <w:shd w:val="clear" w:color="auto" w:fill="auto"/>
          </w:tcPr>
          <w:p w14:paraId="769C33A6" w14:textId="77777777" w:rsidR="00361CD7" w:rsidRPr="00D72200" w:rsidRDefault="00361CD7" w:rsidP="008246D3">
            <w:pPr>
              <w:pStyle w:val="Header"/>
              <w:tabs>
                <w:tab w:val="left" w:pos="284"/>
                <w:tab w:val="left" w:pos="9270"/>
              </w:tabs>
              <w:ind w:right="36"/>
              <w:rPr>
                <w:color w:val="000000"/>
                <w:sz w:val="22"/>
                <w:szCs w:val="22"/>
              </w:rPr>
            </w:pPr>
            <w:r w:rsidRPr="00D72200">
              <w:rPr>
                <w:sz w:val="22"/>
                <w:szCs w:val="22"/>
              </w:rPr>
              <w:t>Astenija</w:t>
            </w:r>
          </w:p>
        </w:tc>
        <w:tc>
          <w:tcPr>
            <w:tcW w:w="1275" w:type="dxa"/>
            <w:shd w:val="clear" w:color="auto" w:fill="auto"/>
          </w:tcPr>
          <w:p w14:paraId="617654C6" w14:textId="77777777" w:rsidR="00361CD7" w:rsidRPr="00D72200" w:rsidRDefault="00361CD7" w:rsidP="008246D3">
            <w:pPr>
              <w:pStyle w:val="Header"/>
              <w:tabs>
                <w:tab w:val="left" w:pos="284"/>
                <w:tab w:val="left" w:pos="9270"/>
              </w:tabs>
              <w:ind w:right="36"/>
              <w:rPr>
                <w:color w:val="000000"/>
                <w:sz w:val="22"/>
                <w:szCs w:val="22"/>
              </w:rPr>
            </w:pPr>
          </w:p>
        </w:tc>
        <w:tc>
          <w:tcPr>
            <w:tcW w:w="1985" w:type="dxa"/>
            <w:shd w:val="clear" w:color="auto" w:fill="auto"/>
          </w:tcPr>
          <w:p w14:paraId="139F184F"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59744326" w14:textId="77777777" w:rsidR="00361CD7" w:rsidRPr="00D72200" w:rsidRDefault="00361CD7" w:rsidP="008246D3">
            <w:pPr>
              <w:pStyle w:val="Header"/>
              <w:tabs>
                <w:tab w:val="left" w:pos="284"/>
                <w:tab w:val="left" w:pos="9270"/>
              </w:tabs>
              <w:ind w:right="36"/>
              <w:rPr>
                <w:color w:val="000000"/>
                <w:sz w:val="22"/>
                <w:szCs w:val="22"/>
              </w:rPr>
            </w:pPr>
          </w:p>
        </w:tc>
        <w:tc>
          <w:tcPr>
            <w:tcW w:w="1701" w:type="dxa"/>
            <w:shd w:val="clear" w:color="auto" w:fill="auto"/>
          </w:tcPr>
          <w:p w14:paraId="5C40E856" w14:textId="77777777" w:rsidR="00361CD7" w:rsidRPr="00D72200" w:rsidRDefault="00361CD7" w:rsidP="008246D3">
            <w:pPr>
              <w:pStyle w:val="Header"/>
              <w:tabs>
                <w:tab w:val="left" w:pos="284"/>
                <w:tab w:val="left" w:pos="9270"/>
              </w:tabs>
              <w:ind w:right="36"/>
              <w:rPr>
                <w:color w:val="000000"/>
                <w:sz w:val="22"/>
                <w:szCs w:val="22"/>
              </w:rPr>
            </w:pPr>
            <w:r w:rsidRPr="00D72200">
              <w:rPr>
                <w:iCs/>
                <w:spacing w:val="-1"/>
                <w:w w:val="105"/>
                <w:sz w:val="22"/>
                <w:szCs w:val="22"/>
              </w:rPr>
              <w:t>Edem</w:t>
            </w:r>
          </w:p>
        </w:tc>
      </w:tr>
      <w:tr w:rsidR="00361CD7" w:rsidRPr="00D72200" w14:paraId="5929603B" w14:textId="77777777" w:rsidTr="000F132E">
        <w:trPr>
          <w:trHeight w:val="958"/>
          <w:jc w:val="center"/>
        </w:trPr>
        <w:tc>
          <w:tcPr>
            <w:tcW w:w="9918" w:type="dxa"/>
            <w:gridSpan w:val="6"/>
            <w:shd w:val="clear" w:color="auto" w:fill="auto"/>
          </w:tcPr>
          <w:p w14:paraId="3B1CC11E" w14:textId="66E50815" w:rsidR="00361CD7" w:rsidRPr="00D72200" w:rsidRDefault="00361CD7" w:rsidP="008246D3">
            <w:pPr>
              <w:rPr>
                <w:spacing w:val="29"/>
                <w:w w:val="105"/>
                <w:sz w:val="22"/>
                <w:szCs w:val="22"/>
              </w:rPr>
            </w:pPr>
            <w:r w:rsidRPr="00D72200">
              <w:rPr>
                <w:w w:val="105"/>
                <w:position w:val="10"/>
                <w:sz w:val="22"/>
                <w:szCs w:val="22"/>
                <w:vertAlign w:val="superscript"/>
              </w:rPr>
              <w:t>1</w:t>
            </w:r>
            <w:r w:rsidRPr="00D72200">
              <w:rPr>
                <w:spacing w:val="29"/>
                <w:w w:val="105"/>
                <w:position w:val="10"/>
                <w:sz w:val="22"/>
                <w:szCs w:val="22"/>
              </w:rPr>
              <w:t xml:space="preserve"> </w:t>
            </w:r>
            <w:r w:rsidRPr="00D72200">
              <w:rPr>
                <w:sz w:val="22"/>
                <w:szCs w:val="22"/>
              </w:rPr>
              <w:t>Učestalost će zavisiti od prisustva ili odsustva faktora rizika (nivo glukoze u krvi pr</w:t>
            </w:r>
            <w:r w:rsidR="00451426" w:rsidRPr="00D72200">
              <w:rPr>
                <w:sz w:val="22"/>
                <w:szCs w:val="22"/>
              </w:rPr>
              <w:t>ij</w:t>
            </w:r>
            <w:r w:rsidRPr="00D72200">
              <w:rPr>
                <w:sz w:val="22"/>
                <w:szCs w:val="22"/>
              </w:rPr>
              <w:t xml:space="preserve">e obroka ≥ 5,6 mmol/L, </w:t>
            </w:r>
            <w:r w:rsidR="00A91EEB" w:rsidRPr="00D72200">
              <w:rPr>
                <w:sz w:val="22"/>
                <w:szCs w:val="22"/>
              </w:rPr>
              <w:t xml:space="preserve">BMI </w:t>
            </w:r>
            <w:r w:rsidRPr="00D72200">
              <w:rPr>
                <w:sz w:val="22"/>
                <w:szCs w:val="22"/>
              </w:rPr>
              <w:t>&gt; 30kg/m2, povišeni trigliceridi, hipertenzija u istoriji bolesti).</w:t>
            </w:r>
          </w:p>
        </w:tc>
      </w:tr>
    </w:tbl>
    <w:p w14:paraId="235DAA73" w14:textId="77777777" w:rsidR="00361CD7" w:rsidRPr="00D72200" w:rsidRDefault="00361CD7" w:rsidP="00480FB1">
      <w:pPr>
        <w:tabs>
          <w:tab w:val="left" w:pos="540"/>
          <w:tab w:val="left" w:pos="569"/>
        </w:tabs>
        <w:rPr>
          <w:b/>
          <w:bCs/>
          <w:sz w:val="22"/>
          <w:szCs w:val="22"/>
        </w:rPr>
      </w:pPr>
    </w:p>
    <w:p w14:paraId="5B60D0A6" w14:textId="4D2932CE" w:rsidR="00065CE2" w:rsidRPr="00D72200" w:rsidRDefault="00065CE2" w:rsidP="00D73AAE">
      <w:pPr>
        <w:pStyle w:val="Header"/>
        <w:tabs>
          <w:tab w:val="left" w:pos="284"/>
          <w:tab w:val="left" w:pos="9270"/>
        </w:tabs>
        <w:ind w:right="36"/>
        <w:jc w:val="both"/>
        <w:rPr>
          <w:color w:val="000000"/>
          <w:sz w:val="22"/>
          <w:szCs w:val="22"/>
        </w:rPr>
      </w:pPr>
      <w:r w:rsidRPr="00D72200">
        <w:rPr>
          <w:color w:val="000000"/>
          <w:sz w:val="22"/>
          <w:szCs w:val="22"/>
        </w:rPr>
        <w:t>Kao i kod ostalih inhibitora HMG-CoA reduktaze, incidenca neželjenih reakcija na l</w:t>
      </w:r>
      <w:r w:rsidR="00451426" w:rsidRPr="00D72200">
        <w:rPr>
          <w:color w:val="000000"/>
          <w:sz w:val="22"/>
          <w:szCs w:val="22"/>
        </w:rPr>
        <w:t>ij</w:t>
      </w:r>
      <w:r w:rsidRPr="00D72200">
        <w:rPr>
          <w:color w:val="000000"/>
          <w:sz w:val="22"/>
          <w:szCs w:val="22"/>
        </w:rPr>
        <w:t>ek zavisi od doze.</w:t>
      </w:r>
    </w:p>
    <w:p w14:paraId="2C314619" w14:textId="77777777" w:rsidR="00065CE2" w:rsidRPr="00D72200" w:rsidRDefault="00065CE2" w:rsidP="00D73AAE">
      <w:pPr>
        <w:pStyle w:val="Header"/>
        <w:tabs>
          <w:tab w:val="left" w:pos="284"/>
          <w:tab w:val="left" w:pos="9270"/>
        </w:tabs>
        <w:ind w:right="36"/>
        <w:jc w:val="both"/>
        <w:rPr>
          <w:color w:val="000000"/>
          <w:sz w:val="22"/>
          <w:szCs w:val="22"/>
        </w:rPr>
      </w:pPr>
    </w:p>
    <w:p w14:paraId="795B0618" w14:textId="6BE33713" w:rsidR="00065CE2" w:rsidRPr="00D72200" w:rsidRDefault="00065CE2" w:rsidP="00D73AAE">
      <w:pPr>
        <w:pStyle w:val="Header"/>
        <w:tabs>
          <w:tab w:val="left" w:pos="284"/>
          <w:tab w:val="left" w:pos="9270"/>
        </w:tabs>
        <w:ind w:right="36"/>
        <w:jc w:val="both"/>
        <w:rPr>
          <w:color w:val="000000"/>
          <w:sz w:val="22"/>
          <w:szCs w:val="22"/>
        </w:rPr>
      </w:pPr>
      <w:r w:rsidRPr="00D72200">
        <w:rPr>
          <w:b/>
          <w:i/>
          <w:color w:val="000000"/>
          <w:sz w:val="22"/>
          <w:szCs w:val="22"/>
        </w:rPr>
        <w:t>Uticaj na funkciju bubrega:</w:t>
      </w:r>
      <w:r w:rsidRPr="00D72200">
        <w:rPr>
          <w:b/>
          <w:color w:val="000000"/>
          <w:sz w:val="22"/>
          <w:szCs w:val="22"/>
        </w:rPr>
        <w:t xml:space="preserve"> </w:t>
      </w:r>
      <w:r w:rsidR="000329FC" w:rsidRPr="00D72200">
        <w:rPr>
          <w:color w:val="000000"/>
          <w:sz w:val="22"/>
          <w:szCs w:val="22"/>
        </w:rPr>
        <w:t>K</w:t>
      </w:r>
      <w:r w:rsidRPr="00D72200">
        <w:rPr>
          <w:color w:val="000000"/>
          <w:sz w:val="22"/>
          <w:szCs w:val="22"/>
        </w:rPr>
        <w:t>od pacijenata kod kojih je prim</w:t>
      </w:r>
      <w:r w:rsidR="00451426" w:rsidRPr="00D72200">
        <w:rPr>
          <w:color w:val="000000"/>
          <w:sz w:val="22"/>
          <w:szCs w:val="22"/>
        </w:rPr>
        <w:t>j</w:t>
      </w:r>
      <w:r w:rsidRPr="00D72200">
        <w:rPr>
          <w:color w:val="000000"/>
          <w:sz w:val="22"/>
          <w:szCs w:val="22"/>
        </w:rPr>
        <w:t>enjivan rosuvastatin, prim</w:t>
      </w:r>
      <w:r w:rsidR="005B2806" w:rsidRPr="00D72200">
        <w:rPr>
          <w:color w:val="000000"/>
          <w:sz w:val="22"/>
          <w:szCs w:val="22"/>
        </w:rPr>
        <w:t>i</w:t>
      </w:r>
      <w:r w:rsidR="00451426" w:rsidRPr="00D72200">
        <w:rPr>
          <w:color w:val="000000"/>
          <w:sz w:val="22"/>
          <w:szCs w:val="22"/>
        </w:rPr>
        <w:t>j</w:t>
      </w:r>
      <w:r w:rsidRPr="00D72200">
        <w:rPr>
          <w:color w:val="000000"/>
          <w:sz w:val="22"/>
          <w:szCs w:val="22"/>
        </w:rPr>
        <w:t>ećena je prote</w:t>
      </w:r>
      <w:r w:rsidR="009B609D" w:rsidRPr="00D72200">
        <w:rPr>
          <w:color w:val="000000"/>
          <w:sz w:val="22"/>
          <w:szCs w:val="22"/>
        </w:rPr>
        <w:t xml:space="preserve">inurija, detektovana „dipstick“ </w:t>
      </w:r>
      <w:r w:rsidRPr="00D72200">
        <w:rPr>
          <w:color w:val="000000"/>
          <w:sz w:val="22"/>
          <w:szCs w:val="22"/>
        </w:rPr>
        <w:t>metodom, pretežno tubularnog por</w:t>
      </w:r>
      <w:r w:rsidR="00451426" w:rsidRPr="00D72200">
        <w:rPr>
          <w:color w:val="000000"/>
          <w:sz w:val="22"/>
          <w:szCs w:val="22"/>
        </w:rPr>
        <w:t>ij</w:t>
      </w:r>
      <w:r w:rsidRPr="00D72200">
        <w:rPr>
          <w:color w:val="000000"/>
          <w:sz w:val="22"/>
          <w:szCs w:val="22"/>
        </w:rPr>
        <w:t>ekla. Prom</w:t>
      </w:r>
      <w:r w:rsidR="00451426" w:rsidRPr="00D72200">
        <w:rPr>
          <w:color w:val="000000"/>
          <w:sz w:val="22"/>
          <w:szCs w:val="22"/>
        </w:rPr>
        <w:t>j</w:t>
      </w:r>
      <w:r w:rsidRPr="00D72200">
        <w:rPr>
          <w:color w:val="000000"/>
          <w:sz w:val="22"/>
          <w:szCs w:val="22"/>
        </w:rPr>
        <w:t>ene vr</w:t>
      </w:r>
      <w:r w:rsidR="00451426" w:rsidRPr="00D72200">
        <w:rPr>
          <w:color w:val="000000"/>
          <w:sz w:val="22"/>
          <w:szCs w:val="22"/>
        </w:rPr>
        <w:t>ij</w:t>
      </w:r>
      <w:r w:rsidRPr="00D72200">
        <w:rPr>
          <w:color w:val="000000"/>
          <w:sz w:val="22"/>
          <w:szCs w:val="22"/>
        </w:rPr>
        <w:t xml:space="preserve">ednosti </w:t>
      </w:r>
      <w:r w:rsidRPr="00D72200">
        <w:rPr>
          <w:color w:val="000000"/>
          <w:sz w:val="22"/>
          <w:szCs w:val="22"/>
        </w:rPr>
        <w:lastRenderedPageBreak/>
        <w:t>proteina u urinu od „nema“ ili „u tragovima“ do „++“ ili više, prim</w:t>
      </w:r>
      <w:r w:rsidR="005B2806" w:rsidRPr="00D72200">
        <w:rPr>
          <w:color w:val="000000"/>
          <w:sz w:val="22"/>
          <w:szCs w:val="22"/>
        </w:rPr>
        <w:t>i</w:t>
      </w:r>
      <w:r w:rsidR="00451426" w:rsidRPr="00D72200">
        <w:rPr>
          <w:color w:val="000000"/>
          <w:sz w:val="22"/>
          <w:szCs w:val="22"/>
        </w:rPr>
        <w:t>j</w:t>
      </w:r>
      <w:r w:rsidRPr="00D72200">
        <w:rPr>
          <w:color w:val="000000"/>
          <w:sz w:val="22"/>
          <w:szCs w:val="22"/>
        </w:rPr>
        <w:t>ećene su kod &lt; 1 % pacijenata tokom terapije dozama od 10 mg i 20 mg, i kod oko 3 % pacijenata koji su primali dozu od 40 mg. Manji  porast vr</w:t>
      </w:r>
      <w:r w:rsidR="00451426" w:rsidRPr="00D72200">
        <w:rPr>
          <w:color w:val="000000"/>
          <w:sz w:val="22"/>
          <w:szCs w:val="22"/>
        </w:rPr>
        <w:t>ij</w:t>
      </w:r>
      <w:r w:rsidRPr="00D72200">
        <w:rPr>
          <w:color w:val="000000"/>
          <w:sz w:val="22"/>
          <w:szCs w:val="22"/>
        </w:rPr>
        <w:t>ednosti  od „nema“ ili „u tragovima“ do „+“, prim</w:t>
      </w:r>
      <w:r w:rsidR="005B2806" w:rsidRPr="00D72200">
        <w:rPr>
          <w:color w:val="000000"/>
          <w:sz w:val="22"/>
          <w:szCs w:val="22"/>
        </w:rPr>
        <w:t>i</w:t>
      </w:r>
      <w:r w:rsidR="00451426" w:rsidRPr="00D72200">
        <w:rPr>
          <w:color w:val="000000"/>
          <w:sz w:val="22"/>
          <w:szCs w:val="22"/>
        </w:rPr>
        <w:t>j</w:t>
      </w:r>
      <w:r w:rsidRPr="00D72200">
        <w:rPr>
          <w:color w:val="000000"/>
          <w:sz w:val="22"/>
          <w:szCs w:val="22"/>
        </w:rPr>
        <w:t>ećen je pri dozi od 20 mg. U većini slučajeva, proteinurija se smanjuje ili nestaje spontano tokom nastavka terapije. Podaci iz kliničkih studija i postmarketinškog iskustva ne ukazuju na povezanost između proteinurije i akutnog ili progresivnog oboljenja bubrega.</w:t>
      </w:r>
    </w:p>
    <w:p w14:paraId="3405BED4" w14:textId="5F13B60C" w:rsidR="00065CE2" w:rsidRPr="00D72200" w:rsidRDefault="00065CE2" w:rsidP="00D73AAE">
      <w:pPr>
        <w:pStyle w:val="Header"/>
        <w:tabs>
          <w:tab w:val="left" w:pos="284"/>
          <w:tab w:val="left" w:pos="9270"/>
        </w:tabs>
        <w:ind w:right="36"/>
        <w:jc w:val="both"/>
        <w:rPr>
          <w:color w:val="000000"/>
          <w:sz w:val="22"/>
          <w:szCs w:val="22"/>
        </w:rPr>
      </w:pPr>
      <w:r w:rsidRPr="00D72200">
        <w:rPr>
          <w:color w:val="000000"/>
          <w:sz w:val="22"/>
          <w:szCs w:val="22"/>
        </w:rPr>
        <w:t>Kod pacijenata kod kojih je prim</w:t>
      </w:r>
      <w:r w:rsidR="00451426" w:rsidRPr="00D72200">
        <w:rPr>
          <w:color w:val="000000"/>
          <w:sz w:val="22"/>
          <w:szCs w:val="22"/>
        </w:rPr>
        <w:t>j</w:t>
      </w:r>
      <w:r w:rsidRPr="00D72200">
        <w:rPr>
          <w:color w:val="000000"/>
          <w:sz w:val="22"/>
          <w:szCs w:val="22"/>
        </w:rPr>
        <w:t>enjivan rosuvastatin, prim</w:t>
      </w:r>
      <w:r w:rsidR="000329FC" w:rsidRPr="00D72200">
        <w:rPr>
          <w:color w:val="000000"/>
          <w:sz w:val="22"/>
          <w:szCs w:val="22"/>
        </w:rPr>
        <w:t>i</w:t>
      </w:r>
      <w:r w:rsidR="00451426" w:rsidRPr="00D72200">
        <w:rPr>
          <w:color w:val="000000"/>
          <w:sz w:val="22"/>
          <w:szCs w:val="22"/>
        </w:rPr>
        <w:t>j</w:t>
      </w:r>
      <w:r w:rsidRPr="00D72200">
        <w:rPr>
          <w:color w:val="000000"/>
          <w:sz w:val="22"/>
          <w:szCs w:val="22"/>
        </w:rPr>
        <w:t>ećena je pojava hematurije, a podaci iz kliničkih studija pokazuju da je ova pojava r</w:t>
      </w:r>
      <w:r w:rsidR="00451426" w:rsidRPr="00D72200">
        <w:rPr>
          <w:color w:val="000000"/>
          <w:sz w:val="22"/>
          <w:szCs w:val="22"/>
        </w:rPr>
        <w:t>ij</w:t>
      </w:r>
      <w:r w:rsidRPr="00D72200">
        <w:rPr>
          <w:color w:val="000000"/>
          <w:sz w:val="22"/>
          <w:szCs w:val="22"/>
        </w:rPr>
        <w:t>etka.</w:t>
      </w:r>
    </w:p>
    <w:p w14:paraId="5B76AB72" w14:textId="77777777" w:rsidR="00065CE2" w:rsidRPr="00D72200" w:rsidRDefault="00065CE2" w:rsidP="00D73AAE">
      <w:pPr>
        <w:pStyle w:val="Header"/>
        <w:tabs>
          <w:tab w:val="left" w:pos="284"/>
          <w:tab w:val="left" w:pos="9270"/>
        </w:tabs>
        <w:ind w:right="36"/>
        <w:jc w:val="both"/>
        <w:rPr>
          <w:color w:val="000000"/>
          <w:sz w:val="22"/>
          <w:szCs w:val="22"/>
        </w:rPr>
      </w:pPr>
    </w:p>
    <w:p w14:paraId="729C2BD9" w14:textId="24E25947" w:rsidR="00065CE2" w:rsidRPr="00D72200" w:rsidRDefault="00065CE2" w:rsidP="00D73AAE">
      <w:pPr>
        <w:pStyle w:val="Header"/>
        <w:tabs>
          <w:tab w:val="left" w:pos="284"/>
          <w:tab w:val="left" w:pos="9270"/>
        </w:tabs>
        <w:ind w:right="36"/>
        <w:jc w:val="both"/>
        <w:rPr>
          <w:color w:val="000000"/>
          <w:sz w:val="22"/>
          <w:szCs w:val="22"/>
        </w:rPr>
      </w:pPr>
      <w:r w:rsidRPr="00D72200">
        <w:rPr>
          <w:b/>
          <w:i/>
          <w:color w:val="000000"/>
          <w:sz w:val="22"/>
          <w:szCs w:val="22"/>
        </w:rPr>
        <w:t>Uticaj na skeletn</w:t>
      </w:r>
      <w:r w:rsidR="009B3373" w:rsidRPr="00D72200">
        <w:rPr>
          <w:b/>
          <w:i/>
          <w:color w:val="000000"/>
          <w:sz w:val="22"/>
          <w:szCs w:val="22"/>
        </w:rPr>
        <w:t xml:space="preserve">e </w:t>
      </w:r>
      <w:r w:rsidRPr="00D72200">
        <w:rPr>
          <w:b/>
          <w:i/>
          <w:color w:val="000000"/>
          <w:sz w:val="22"/>
          <w:szCs w:val="22"/>
        </w:rPr>
        <w:t>mišić</w:t>
      </w:r>
      <w:r w:rsidR="009B3373" w:rsidRPr="00D72200">
        <w:rPr>
          <w:b/>
          <w:i/>
          <w:color w:val="000000"/>
          <w:sz w:val="22"/>
          <w:szCs w:val="22"/>
        </w:rPr>
        <w:t>e</w:t>
      </w:r>
      <w:r w:rsidRPr="00D72200">
        <w:rPr>
          <w:i/>
          <w:color w:val="000000"/>
          <w:sz w:val="22"/>
          <w:szCs w:val="22"/>
        </w:rPr>
        <w:t>:</w:t>
      </w:r>
      <w:r w:rsidRPr="00D72200">
        <w:rPr>
          <w:b/>
          <w:color w:val="000000"/>
          <w:sz w:val="22"/>
          <w:szCs w:val="22"/>
        </w:rPr>
        <w:t xml:space="preserve"> </w:t>
      </w:r>
      <w:r w:rsidR="004E2FDE" w:rsidRPr="00D72200">
        <w:rPr>
          <w:color w:val="000000"/>
          <w:sz w:val="22"/>
          <w:szCs w:val="22"/>
        </w:rPr>
        <w:t>U</w:t>
      </w:r>
      <w:r w:rsidRPr="00D72200">
        <w:rPr>
          <w:color w:val="000000"/>
          <w:sz w:val="22"/>
          <w:szCs w:val="22"/>
        </w:rPr>
        <w:t>ticaj na skeletne mišiće, npr. mijalgija, miopatija (uključujući miozitis) i r</w:t>
      </w:r>
      <w:r w:rsidR="00451426" w:rsidRPr="00D72200">
        <w:rPr>
          <w:color w:val="000000"/>
          <w:sz w:val="22"/>
          <w:szCs w:val="22"/>
        </w:rPr>
        <w:t>ij</w:t>
      </w:r>
      <w:r w:rsidRPr="00D72200">
        <w:rPr>
          <w:color w:val="000000"/>
          <w:sz w:val="22"/>
          <w:szCs w:val="22"/>
        </w:rPr>
        <w:t>etko, rabdomioliza, sa ili bez akutne bubrežne insuficijencije, prijavljeni su kod pacijenata pri prim</w:t>
      </w:r>
      <w:r w:rsidR="00451426" w:rsidRPr="00D72200">
        <w:rPr>
          <w:color w:val="000000"/>
          <w:sz w:val="22"/>
          <w:szCs w:val="22"/>
        </w:rPr>
        <w:t>j</w:t>
      </w:r>
      <w:r w:rsidRPr="00D72200">
        <w:rPr>
          <w:color w:val="000000"/>
          <w:sz w:val="22"/>
          <w:szCs w:val="22"/>
        </w:rPr>
        <w:t>eni svake doze rosuvastatina, posebno kod doza ˃ 20mg. Porast koncentracije CK koji zavisi od doze, prim</w:t>
      </w:r>
      <w:r w:rsidR="00CC4F3C" w:rsidRPr="00D72200">
        <w:rPr>
          <w:color w:val="000000"/>
          <w:sz w:val="22"/>
          <w:szCs w:val="22"/>
        </w:rPr>
        <w:t>i</w:t>
      </w:r>
      <w:r w:rsidR="00451426" w:rsidRPr="00D72200">
        <w:rPr>
          <w:color w:val="000000"/>
          <w:sz w:val="22"/>
          <w:szCs w:val="22"/>
        </w:rPr>
        <w:t>j</w:t>
      </w:r>
      <w:r w:rsidRPr="00D72200">
        <w:rPr>
          <w:color w:val="000000"/>
          <w:sz w:val="22"/>
          <w:szCs w:val="22"/>
        </w:rPr>
        <w:t>ećen je kod pacijenata koji primaju rosuvastatin; ali je u većini slučajeva ta pojava bila blaga, bez simptoma i kratkotrajna. Ukoliko su vr</w:t>
      </w:r>
      <w:r w:rsidR="00451426" w:rsidRPr="00D72200">
        <w:rPr>
          <w:color w:val="000000"/>
          <w:sz w:val="22"/>
          <w:szCs w:val="22"/>
        </w:rPr>
        <w:t>ij</w:t>
      </w:r>
      <w:r w:rsidRPr="00D72200">
        <w:rPr>
          <w:color w:val="000000"/>
          <w:sz w:val="22"/>
          <w:szCs w:val="22"/>
        </w:rPr>
        <w:t xml:space="preserve">ednosti CK povišene u </w:t>
      </w:r>
      <w:r w:rsidRPr="00D72200">
        <w:rPr>
          <w:sz w:val="22"/>
          <w:szCs w:val="22"/>
        </w:rPr>
        <w:t>početku (više od pet puta od gornje granice normalnih vr</w:t>
      </w:r>
      <w:r w:rsidR="00451426" w:rsidRPr="00D72200">
        <w:rPr>
          <w:sz w:val="22"/>
          <w:szCs w:val="22"/>
        </w:rPr>
        <w:t>ij</w:t>
      </w:r>
      <w:r w:rsidRPr="00D72200">
        <w:rPr>
          <w:sz w:val="22"/>
          <w:szCs w:val="22"/>
        </w:rPr>
        <w:t xml:space="preserve">ednosti), </w:t>
      </w:r>
      <w:r w:rsidRPr="00D72200">
        <w:rPr>
          <w:color w:val="000000"/>
          <w:sz w:val="22"/>
          <w:szCs w:val="22"/>
        </w:rPr>
        <w:t>terapiju treba prekinuti (vid</w:t>
      </w:r>
      <w:r w:rsidR="00451426" w:rsidRPr="00D72200">
        <w:rPr>
          <w:color w:val="000000"/>
          <w:sz w:val="22"/>
          <w:szCs w:val="22"/>
        </w:rPr>
        <w:t>j</w:t>
      </w:r>
      <w:r w:rsidRPr="00D72200">
        <w:rPr>
          <w:color w:val="000000"/>
          <w:sz w:val="22"/>
          <w:szCs w:val="22"/>
        </w:rPr>
        <w:t xml:space="preserve">eti </w:t>
      </w:r>
      <w:r w:rsidR="00D82055" w:rsidRPr="00D72200">
        <w:rPr>
          <w:color w:val="000000"/>
          <w:sz w:val="22"/>
          <w:szCs w:val="22"/>
        </w:rPr>
        <w:t>d</w:t>
      </w:r>
      <w:r w:rsidR="007D3E25" w:rsidRPr="00D72200">
        <w:rPr>
          <w:color w:val="000000"/>
          <w:sz w:val="22"/>
          <w:szCs w:val="22"/>
        </w:rPr>
        <w:t>i</w:t>
      </w:r>
      <w:r w:rsidR="00D82055" w:rsidRPr="00D72200">
        <w:rPr>
          <w:color w:val="000000"/>
          <w:sz w:val="22"/>
          <w:szCs w:val="22"/>
        </w:rPr>
        <w:t xml:space="preserve">o </w:t>
      </w:r>
      <w:r w:rsidRPr="00D72200">
        <w:rPr>
          <w:color w:val="000000"/>
          <w:sz w:val="22"/>
          <w:szCs w:val="22"/>
        </w:rPr>
        <w:t>4.4).</w:t>
      </w:r>
    </w:p>
    <w:p w14:paraId="6C4B1233" w14:textId="77777777" w:rsidR="00065CE2" w:rsidRPr="00D72200" w:rsidRDefault="00065CE2" w:rsidP="00D73AAE">
      <w:pPr>
        <w:pStyle w:val="Header"/>
        <w:tabs>
          <w:tab w:val="left" w:pos="284"/>
          <w:tab w:val="left" w:pos="9270"/>
        </w:tabs>
        <w:ind w:right="36"/>
        <w:jc w:val="both"/>
        <w:rPr>
          <w:i/>
          <w:color w:val="000000"/>
          <w:sz w:val="22"/>
          <w:szCs w:val="22"/>
        </w:rPr>
      </w:pPr>
    </w:p>
    <w:p w14:paraId="17061DCC" w14:textId="7EABCF94" w:rsidR="00065CE2" w:rsidRPr="00D72200" w:rsidRDefault="00065CE2" w:rsidP="00D73AAE">
      <w:pPr>
        <w:pStyle w:val="Header"/>
        <w:tabs>
          <w:tab w:val="left" w:pos="284"/>
          <w:tab w:val="left" w:pos="9270"/>
        </w:tabs>
        <w:ind w:right="36"/>
        <w:jc w:val="both"/>
        <w:rPr>
          <w:color w:val="000000"/>
          <w:sz w:val="22"/>
          <w:szCs w:val="22"/>
        </w:rPr>
      </w:pPr>
      <w:r w:rsidRPr="00D72200">
        <w:rPr>
          <w:b/>
          <w:i/>
          <w:color w:val="000000"/>
          <w:sz w:val="22"/>
          <w:szCs w:val="22"/>
        </w:rPr>
        <w:t>Uticaj na funkciju jetre:</w:t>
      </w:r>
      <w:r w:rsidRPr="00D72200">
        <w:rPr>
          <w:b/>
          <w:color w:val="000000"/>
          <w:sz w:val="22"/>
          <w:szCs w:val="22"/>
        </w:rPr>
        <w:t xml:space="preserve"> </w:t>
      </w:r>
      <w:r w:rsidRPr="00D72200">
        <w:rPr>
          <w:color w:val="000000"/>
          <w:sz w:val="22"/>
          <w:szCs w:val="22"/>
        </w:rPr>
        <w:t>Kao i kod ostalih inhibitora HMG-CoA reduktaze, porast transaminaza u zavisnosti od doze, prim</w:t>
      </w:r>
      <w:r w:rsidR="007555E6" w:rsidRPr="00D72200">
        <w:rPr>
          <w:color w:val="000000"/>
          <w:sz w:val="22"/>
          <w:szCs w:val="22"/>
        </w:rPr>
        <w:t>i</w:t>
      </w:r>
      <w:r w:rsidR="00451426" w:rsidRPr="00D72200">
        <w:rPr>
          <w:color w:val="000000"/>
          <w:sz w:val="22"/>
          <w:szCs w:val="22"/>
        </w:rPr>
        <w:t>j</w:t>
      </w:r>
      <w:r w:rsidRPr="00D72200">
        <w:rPr>
          <w:color w:val="000000"/>
          <w:sz w:val="22"/>
          <w:szCs w:val="22"/>
        </w:rPr>
        <w:t>ećen je kod malog broja pacijenata koji su primali rosuvastatin; ali je u većini slučajeva ta pojava bila blaga, bez simptoma i kratkotrajna.</w:t>
      </w:r>
    </w:p>
    <w:p w14:paraId="60B1EAE8" w14:textId="77777777" w:rsidR="00065CE2" w:rsidRPr="00D72200" w:rsidRDefault="00065CE2" w:rsidP="00D73AAE">
      <w:pPr>
        <w:pStyle w:val="Header"/>
        <w:tabs>
          <w:tab w:val="left" w:pos="284"/>
          <w:tab w:val="left" w:pos="9270"/>
        </w:tabs>
        <w:ind w:right="36"/>
        <w:jc w:val="both"/>
        <w:rPr>
          <w:color w:val="000000"/>
          <w:sz w:val="22"/>
          <w:szCs w:val="22"/>
        </w:rPr>
      </w:pPr>
    </w:p>
    <w:p w14:paraId="248DB148" w14:textId="18A9F5B8" w:rsidR="00065CE2" w:rsidRPr="00D72200" w:rsidRDefault="00065CE2" w:rsidP="00D73AAE">
      <w:pPr>
        <w:jc w:val="both"/>
        <w:rPr>
          <w:sz w:val="22"/>
          <w:szCs w:val="22"/>
        </w:rPr>
      </w:pPr>
      <w:r w:rsidRPr="00D72200">
        <w:rPr>
          <w:sz w:val="22"/>
          <w:szCs w:val="22"/>
        </w:rPr>
        <w:t>Prijavljen</w:t>
      </w:r>
      <w:r w:rsidR="00C56876" w:rsidRPr="00D72200">
        <w:rPr>
          <w:sz w:val="22"/>
          <w:szCs w:val="22"/>
        </w:rPr>
        <w:t>i</w:t>
      </w:r>
      <w:r w:rsidRPr="00D72200">
        <w:rPr>
          <w:sz w:val="22"/>
          <w:szCs w:val="22"/>
        </w:rPr>
        <w:t xml:space="preserve"> su sl</w:t>
      </w:r>
      <w:r w:rsidR="00451426" w:rsidRPr="00D72200">
        <w:rPr>
          <w:sz w:val="22"/>
          <w:szCs w:val="22"/>
        </w:rPr>
        <w:t>j</w:t>
      </w:r>
      <w:r w:rsidRPr="00D72200">
        <w:rPr>
          <w:sz w:val="22"/>
          <w:szCs w:val="22"/>
        </w:rPr>
        <w:t>edeć</w:t>
      </w:r>
      <w:r w:rsidR="00C56876" w:rsidRPr="00D72200">
        <w:rPr>
          <w:sz w:val="22"/>
          <w:szCs w:val="22"/>
        </w:rPr>
        <w:t>i</w:t>
      </w:r>
      <w:r w:rsidRPr="00D72200">
        <w:rPr>
          <w:sz w:val="22"/>
          <w:szCs w:val="22"/>
        </w:rPr>
        <w:t xml:space="preserve"> neželjen</w:t>
      </w:r>
      <w:r w:rsidR="00C56876" w:rsidRPr="00D72200">
        <w:rPr>
          <w:sz w:val="22"/>
          <w:szCs w:val="22"/>
        </w:rPr>
        <w:t>i</w:t>
      </w:r>
      <w:r w:rsidRPr="00D72200">
        <w:rPr>
          <w:sz w:val="22"/>
          <w:szCs w:val="22"/>
        </w:rPr>
        <w:t xml:space="preserve"> </w:t>
      </w:r>
      <w:r w:rsidR="00C56876" w:rsidRPr="00D72200">
        <w:rPr>
          <w:sz w:val="22"/>
          <w:szCs w:val="22"/>
        </w:rPr>
        <w:t>događaji</w:t>
      </w:r>
      <w:r w:rsidRPr="00D72200">
        <w:rPr>
          <w:sz w:val="22"/>
          <w:szCs w:val="22"/>
        </w:rPr>
        <w:t xml:space="preserve"> pri prim</w:t>
      </w:r>
      <w:r w:rsidR="00451426" w:rsidRPr="00D72200">
        <w:rPr>
          <w:sz w:val="22"/>
          <w:szCs w:val="22"/>
        </w:rPr>
        <w:t>j</w:t>
      </w:r>
      <w:r w:rsidRPr="00D72200">
        <w:rPr>
          <w:sz w:val="22"/>
          <w:szCs w:val="22"/>
        </w:rPr>
        <w:t xml:space="preserve">eni nekih statina: </w:t>
      </w:r>
    </w:p>
    <w:p w14:paraId="6AD6D951" w14:textId="77777777" w:rsidR="00065CE2" w:rsidRPr="00D72200" w:rsidRDefault="00065CE2" w:rsidP="005B2806">
      <w:pPr>
        <w:numPr>
          <w:ilvl w:val="0"/>
          <w:numId w:val="12"/>
        </w:numPr>
        <w:tabs>
          <w:tab w:val="left" w:pos="284"/>
        </w:tabs>
        <w:jc w:val="both"/>
        <w:rPr>
          <w:sz w:val="22"/>
          <w:szCs w:val="22"/>
        </w:rPr>
      </w:pPr>
      <w:r w:rsidRPr="00D72200">
        <w:rPr>
          <w:sz w:val="22"/>
          <w:szCs w:val="22"/>
        </w:rPr>
        <w:t>Seksualna disfunkcija.</w:t>
      </w:r>
    </w:p>
    <w:p w14:paraId="4F5BE12D" w14:textId="7B796CED" w:rsidR="00065CE2" w:rsidRPr="00D72200" w:rsidRDefault="00065CE2" w:rsidP="000329FC">
      <w:pPr>
        <w:numPr>
          <w:ilvl w:val="0"/>
          <w:numId w:val="12"/>
        </w:numPr>
        <w:tabs>
          <w:tab w:val="left" w:pos="284"/>
        </w:tabs>
        <w:jc w:val="both"/>
        <w:rPr>
          <w:sz w:val="22"/>
          <w:szCs w:val="22"/>
        </w:rPr>
      </w:pPr>
      <w:r w:rsidRPr="00D72200">
        <w:rPr>
          <w:color w:val="000000"/>
          <w:sz w:val="22"/>
          <w:szCs w:val="22"/>
        </w:rPr>
        <w:t>R</w:t>
      </w:r>
      <w:r w:rsidR="00451426" w:rsidRPr="00D72200">
        <w:rPr>
          <w:color w:val="000000"/>
          <w:sz w:val="22"/>
          <w:szCs w:val="22"/>
        </w:rPr>
        <w:t>ij</w:t>
      </w:r>
      <w:r w:rsidRPr="00D72200">
        <w:rPr>
          <w:color w:val="000000"/>
          <w:sz w:val="22"/>
          <w:szCs w:val="22"/>
        </w:rPr>
        <w:t>etki slučajevi intersticijalne bolesti pluća, posebno usl</w:t>
      </w:r>
      <w:r w:rsidR="00451426" w:rsidRPr="00D72200">
        <w:rPr>
          <w:color w:val="000000"/>
          <w:sz w:val="22"/>
          <w:szCs w:val="22"/>
        </w:rPr>
        <w:t>j</w:t>
      </w:r>
      <w:r w:rsidRPr="00D72200">
        <w:rPr>
          <w:color w:val="000000"/>
          <w:sz w:val="22"/>
          <w:szCs w:val="22"/>
        </w:rPr>
        <w:t>ed dugotrajne terapije (vid</w:t>
      </w:r>
      <w:r w:rsidR="00451426" w:rsidRPr="00D72200">
        <w:rPr>
          <w:color w:val="000000"/>
          <w:sz w:val="22"/>
          <w:szCs w:val="22"/>
        </w:rPr>
        <w:t>j</w:t>
      </w:r>
      <w:r w:rsidRPr="00D72200">
        <w:rPr>
          <w:color w:val="000000"/>
          <w:sz w:val="22"/>
          <w:szCs w:val="22"/>
        </w:rPr>
        <w:t xml:space="preserve">eti </w:t>
      </w:r>
      <w:r w:rsidR="00D82055" w:rsidRPr="00D72200">
        <w:rPr>
          <w:color w:val="000000"/>
          <w:sz w:val="22"/>
          <w:szCs w:val="22"/>
        </w:rPr>
        <w:t>d</w:t>
      </w:r>
      <w:r w:rsidR="007D3E25" w:rsidRPr="00D72200">
        <w:rPr>
          <w:color w:val="000000"/>
          <w:sz w:val="22"/>
          <w:szCs w:val="22"/>
        </w:rPr>
        <w:t>i</w:t>
      </w:r>
      <w:r w:rsidR="00D82055" w:rsidRPr="00D72200">
        <w:rPr>
          <w:color w:val="000000"/>
          <w:sz w:val="22"/>
          <w:szCs w:val="22"/>
        </w:rPr>
        <w:t xml:space="preserve">o </w:t>
      </w:r>
      <w:r w:rsidRPr="00D72200">
        <w:rPr>
          <w:color w:val="000000"/>
          <w:sz w:val="22"/>
          <w:szCs w:val="22"/>
        </w:rPr>
        <w:t>4.4).</w:t>
      </w:r>
    </w:p>
    <w:p w14:paraId="12DA52CB" w14:textId="77777777" w:rsidR="00065CE2" w:rsidRPr="00D72200" w:rsidRDefault="00065CE2" w:rsidP="00D73AAE">
      <w:pPr>
        <w:pStyle w:val="Header"/>
        <w:tabs>
          <w:tab w:val="left" w:pos="284"/>
          <w:tab w:val="left" w:pos="9270"/>
        </w:tabs>
        <w:ind w:right="36"/>
        <w:jc w:val="both"/>
        <w:rPr>
          <w:color w:val="000000"/>
          <w:sz w:val="22"/>
          <w:szCs w:val="22"/>
        </w:rPr>
      </w:pPr>
    </w:p>
    <w:p w14:paraId="5CA6E83F" w14:textId="5F185A75" w:rsidR="00065CE2" w:rsidRPr="00D72200" w:rsidRDefault="00065CE2" w:rsidP="00D73AAE">
      <w:pPr>
        <w:pStyle w:val="Header"/>
        <w:tabs>
          <w:tab w:val="left" w:pos="284"/>
          <w:tab w:val="left" w:pos="9270"/>
        </w:tabs>
        <w:ind w:right="36"/>
        <w:jc w:val="both"/>
        <w:rPr>
          <w:color w:val="000000"/>
          <w:sz w:val="22"/>
          <w:szCs w:val="22"/>
        </w:rPr>
      </w:pPr>
      <w:r w:rsidRPr="00D72200">
        <w:rPr>
          <w:color w:val="000000"/>
          <w:sz w:val="22"/>
          <w:szCs w:val="22"/>
        </w:rPr>
        <w:t>Stope prijavljivanja rabdomiolize, teških poremeć</w:t>
      </w:r>
      <w:r w:rsidR="009B609D" w:rsidRPr="00D72200">
        <w:rPr>
          <w:color w:val="000000"/>
          <w:sz w:val="22"/>
          <w:szCs w:val="22"/>
        </w:rPr>
        <w:t xml:space="preserve">aja bubrežne funkcije i teških </w:t>
      </w:r>
      <w:r w:rsidRPr="00D72200">
        <w:rPr>
          <w:color w:val="000000"/>
          <w:sz w:val="22"/>
          <w:szCs w:val="22"/>
        </w:rPr>
        <w:t xml:space="preserve">poremećaja funkcije jetre (koji se uglavnom </w:t>
      </w:r>
      <w:r w:rsidR="00330FD3" w:rsidRPr="00D72200">
        <w:rPr>
          <w:color w:val="000000"/>
          <w:sz w:val="22"/>
          <w:szCs w:val="22"/>
        </w:rPr>
        <w:t xml:space="preserve">ispoljavaju </w:t>
      </w:r>
      <w:r w:rsidR="004506DF" w:rsidRPr="00D72200">
        <w:rPr>
          <w:color w:val="000000"/>
          <w:sz w:val="22"/>
          <w:szCs w:val="22"/>
        </w:rPr>
        <w:t>povećanjem</w:t>
      </w:r>
      <w:r w:rsidRPr="00D72200">
        <w:rPr>
          <w:color w:val="000000"/>
          <w:sz w:val="22"/>
          <w:szCs w:val="22"/>
        </w:rPr>
        <w:t xml:space="preserve"> vr</w:t>
      </w:r>
      <w:r w:rsidR="00451426" w:rsidRPr="00D72200">
        <w:rPr>
          <w:color w:val="000000"/>
          <w:sz w:val="22"/>
          <w:szCs w:val="22"/>
        </w:rPr>
        <w:t>ij</w:t>
      </w:r>
      <w:r w:rsidRPr="00D72200">
        <w:rPr>
          <w:color w:val="000000"/>
          <w:sz w:val="22"/>
          <w:szCs w:val="22"/>
        </w:rPr>
        <w:t>ednosti transaminaza jetre) su veće pri dozi od 40 mg.</w:t>
      </w:r>
    </w:p>
    <w:p w14:paraId="0A28A310" w14:textId="77777777" w:rsidR="00361CD7" w:rsidRPr="00D72200" w:rsidRDefault="00361CD7" w:rsidP="00D73AAE">
      <w:pPr>
        <w:tabs>
          <w:tab w:val="left" w:pos="540"/>
          <w:tab w:val="left" w:pos="569"/>
        </w:tabs>
        <w:jc w:val="both"/>
        <w:rPr>
          <w:b/>
          <w:bCs/>
          <w:sz w:val="22"/>
          <w:szCs w:val="22"/>
        </w:rPr>
      </w:pPr>
    </w:p>
    <w:p w14:paraId="54045F0C" w14:textId="1D656DDA" w:rsidR="008246D3" w:rsidRPr="00D72200" w:rsidRDefault="008246D3" w:rsidP="00D73AAE">
      <w:pPr>
        <w:pStyle w:val="Header"/>
        <w:tabs>
          <w:tab w:val="left" w:pos="284"/>
          <w:tab w:val="left" w:pos="9270"/>
        </w:tabs>
        <w:ind w:right="36"/>
        <w:jc w:val="both"/>
        <w:rPr>
          <w:color w:val="000000"/>
          <w:sz w:val="22"/>
          <w:szCs w:val="22"/>
        </w:rPr>
      </w:pPr>
      <w:r w:rsidRPr="00D72200">
        <w:rPr>
          <w:b/>
          <w:i/>
          <w:color w:val="000000"/>
          <w:sz w:val="22"/>
          <w:szCs w:val="22"/>
        </w:rPr>
        <w:t>Pedijatrijska populacija:</w:t>
      </w:r>
      <w:r w:rsidRPr="00D72200">
        <w:rPr>
          <w:b/>
          <w:color w:val="000000"/>
          <w:sz w:val="22"/>
          <w:szCs w:val="22"/>
        </w:rPr>
        <w:t xml:space="preserve"> </w:t>
      </w:r>
      <w:r w:rsidRPr="00D72200">
        <w:rPr>
          <w:color w:val="000000"/>
          <w:sz w:val="22"/>
          <w:szCs w:val="22"/>
        </w:rPr>
        <w:t>U jednom kliničkom ispitivanju koje je trajalo 52 ned</w:t>
      </w:r>
      <w:r w:rsidR="00451426" w:rsidRPr="00D72200">
        <w:rPr>
          <w:color w:val="000000"/>
          <w:sz w:val="22"/>
          <w:szCs w:val="22"/>
        </w:rPr>
        <w:t>j</w:t>
      </w:r>
      <w:r w:rsidRPr="00D72200">
        <w:rPr>
          <w:color w:val="000000"/>
          <w:sz w:val="22"/>
          <w:szCs w:val="22"/>
        </w:rPr>
        <w:t>elje, prim</w:t>
      </w:r>
      <w:r w:rsidR="007555E6" w:rsidRPr="00D72200">
        <w:rPr>
          <w:color w:val="000000"/>
          <w:sz w:val="22"/>
          <w:szCs w:val="22"/>
        </w:rPr>
        <w:t>i</w:t>
      </w:r>
      <w:r w:rsidR="00451426" w:rsidRPr="00D72200">
        <w:rPr>
          <w:color w:val="000000"/>
          <w:sz w:val="22"/>
          <w:szCs w:val="22"/>
        </w:rPr>
        <w:t>j</w:t>
      </w:r>
      <w:r w:rsidRPr="00D72200">
        <w:rPr>
          <w:color w:val="000000"/>
          <w:sz w:val="22"/>
          <w:szCs w:val="22"/>
        </w:rPr>
        <w:t>ećeno je da se porast vr</w:t>
      </w:r>
      <w:r w:rsidR="00451426" w:rsidRPr="00D72200">
        <w:rPr>
          <w:color w:val="000000"/>
          <w:sz w:val="22"/>
          <w:szCs w:val="22"/>
        </w:rPr>
        <w:t>ij</w:t>
      </w:r>
      <w:r w:rsidRPr="00D72200">
        <w:rPr>
          <w:color w:val="000000"/>
          <w:sz w:val="22"/>
          <w:szCs w:val="22"/>
        </w:rPr>
        <w:t>ednosti</w:t>
      </w:r>
      <w:r w:rsidRPr="00D72200">
        <w:rPr>
          <w:b/>
          <w:color w:val="000000"/>
          <w:sz w:val="22"/>
          <w:szCs w:val="22"/>
        </w:rPr>
        <w:t xml:space="preserve"> </w:t>
      </w:r>
      <w:r w:rsidRPr="00D72200">
        <w:rPr>
          <w:color w:val="000000"/>
          <w:sz w:val="22"/>
          <w:szCs w:val="22"/>
        </w:rPr>
        <w:t>kreatin kinaze (</w:t>
      </w:r>
      <w:r w:rsidRPr="00D72200">
        <w:rPr>
          <w:sz w:val="22"/>
          <w:szCs w:val="22"/>
        </w:rPr>
        <w:t>više od deset puta od gornje granice normalnih vr</w:t>
      </w:r>
      <w:r w:rsidR="00451426" w:rsidRPr="00D72200">
        <w:rPr>
          <w:sz w:val="22"/>
          <w:szCs w:val="22"/>
        </w:rPr>
        <w:t>ij</w:t>
      </w:r>
      <w:r w:rsidRPr="00D72200">
        <w:rPr>
          <w:sz w:val="22"/>
          <w:szCs w:val="22"/>
        </w:rPr>
        <w:t>ednosti)</w:t>
      </w:r>
      <w:r w:rsidRPr="00D72200">
        <w:rPr>
          <w:color w:val="000000"/>
          <w:sz w:val="22"/>
          <w:szCs w:val="22"/>
        </w:rPr>
        <w:t xml:space="preserve"> i simptomi u mišićima nakon v</w:t>
      </w:r>
      <w:r w:rsidR="00451426" w:rsidRPr="00D72200">
        <w:rPr>
          <w:color w:val="000000"/>
          <w:sz w:val="22"/>
          <w:szCs w:val="22"/>
        </w:rPr>
        <w:t>j</w:t>
      </w:r>
      <w:r w:rsidRPr="00D72200">
        <w:rPr>
          <w:color w:val="000000"/>
          <w:sz w:val="22"/>
          <w:szCs w:val="22"/>
        </w:rPr>
        <w:t>ežbanja i povećane fizičke aktivnosti češće javljaju kod d</w:t>
      </w:r>
      <w:r w:rsidR="00451426" w:rsidRPr="00D72200">
        <w:rPr>
          <w:color w:val="000000"/>
          <w:sz w:val="22"/>
          <w:szCs w:val="22"/>
        </w:rPr>
        <w:t>j</w:t>
      </w:r>
      <w:r w:rsidRPr="00D72200">
        <w:rPr>
          <w:color w:val="000000"/>
          <w:sz w:val="22"/>
          <w:szCs w:val="22"/>
        </w:rPr>
        <w:t>ece i adolescenata nego kod odraslih (vid</w:t>
      </w:r>
      <w:r w:rsidR="00451426" w:rsidRPr="00D72200">
        <w:rPr>
          <w:color w:val="000000"/>
          <w:sz w:val="22"/>
          <w:szCs w:val="22"/>
        </w:rPr>
        <w:t>j</w:t>
      </w:r>
      <w:r w:rsidRPr="00D72200">
        <w:rPr>
          <w:color w:val="000000"/>
          <w:sz w:val="22"/>
          <w:szCs w:val="22"/>
        </w:rPr>
        <w:t xml:space="preserve">eti </w:t>
      </w:r>
      <w:r w:rsidR="00D82055" w:rsidRPr="00D72200">
        <w:rPr>
          <w:color w:val="000000"/>
          <w:sz w:val="22"/>
          <w:szCs w:val="22"/>
        </w:rPr>
        <w:t>d</w:t>
      </w:r>
      <w:r w:rsidR="007D3E25" w:rsidRPr="00D72200">
        <w:rPr>
          <w:color w:val="000000"/>
          <w:sz w:val="22"/>
          <w:szCs w:val="22"/>
        </w:rPr>
        <w:t>i</w:t>
      </w:r>
      <w:r w:rsidR="00D82055" w:rsidRPr="00D72200">
        <w:rPr>
          <w:color w:val="000000"/>
          <w:sz w:val="22"/>
          <w:szCs w:val="22"/>
        </w:rPr>
        <w:t xml:space="preserve">o </w:t>
      </w:r>
      <w:r w:rsidRPr="00D72200">
        <w:rPr>
          <w:color w:val="000000"/>
          <w:sz w:val="22"/>
          <w:szCs w:val="22"/>
        </w:rPr>
        <w:t xml:space="preserve">4.4). </w:t>
      </w:r>
      <w:r w:rsidR="004506DF" w:rsidRPr="00D72200">
        <w:rPr>
          <w:color w:val="000000"/>
          <w:sz w:val="22"/>
          <w:szCs w:val="22"/>
        </w:rPr>
        <w:t>U svakom drugom pogledu</w:t>
      </w:r>
      <w:r w:rsidRPr="00D72200">
        <w:rPr>
          <w:color w:val="000000"/>
          <w:sz w:val="22"/>
          <w:szCs w:val="22"/>
        </w:rPr>
        <w:t>, bezb</w:t>
      </w:r>
      <w:r w:rsidR="00451426" w:rsidRPr="00D72200">
        <w:rPr>
          <w:color w:val="000000"/>
          <w:sz w:val="22"/>
          <w:szCs w:val="22"/>
        </w:rPr>
        <w:t>j</w:t>
      </w:r>
      <w:r w:rsidRPr="00D72200">
        <w:rPr>
          <w:color w:val="000000"/>
          <w:sz w:val="22"/>
          <w:szCs w:val="22"/>
        </w:rPr>
        <w:t>ednosni profil rosuvastatina kod d</w:t>
      </w:r>
      <w:r w:rsidR="00451426" w:rsidRPr="00D72200">
        <w:rPr>
          <w:color w:val="000000"/>
          <w:sz w:val="22"/>
          <w:szCs w:val="22"/>
        </w:rPr>
        <w:t>j</w:t>
      </w:r>
      <w:r w:rsidRPr="00D72200">
        <w:rPr>
          <w:color w:val="000000"/>
          <w:sz w:val="22"/>
          <w:szCs w:val="22"/>
        </w:rPr>
        <w:t>ece i adolescenata je sličan bezb</w:t>
      </w:r>
      <w:r w:rsidR="00451426" w:rsidRPr="00D72200">
        <w:rPr>
          <w:color w:val="000000"/>
          <w:sz w:val="22"/>
          <w:szCs w:val="22"/>
        </w:rPr>
        <w:t>j</w:t>
      </w:r>
      <w:r w:rsidRPr="00D72200">
        <w:rPr>
          <w:color w:val="000000"/>
          <w:sz w:val="22"/>
          <w:szCs w:val="22"/>
        </w:rPr>
        <w:t>ednosnom profilu kod odraslih.</w:t>
      </w:r>
    </w:p>
    <w:p w14:paraId="46BF3F14" w14:textId="77777777" w:rsidR="00361CD7" w:rsidRPr="00D72200" w:rsidRDefault="00361CD7" w:rsidP="00D73AAE">
      <w:pPr>
        <w:tabs>
          <w:tab w:val="left" w:pos="540"/>
          <w:tab w:val="left" w:pos="569"/>
        </w:tabs>
        <w:jc w:val="both"/>
        <w:rPr>
          <w:b/>
          <w:bCs/>
          <w:sz w:val="22"/>
          <w:szCs w:val="22"/>
        </w:rPr>
      </w:pPr>
    </w:p>
    <w:p w14:paraId="16EDD5E0" w14:textId="77777777" w:rsidR="0008293B" w:rsidRPr="00D72200" w:rsidRDefault="0008293B" w:rsidP="0008293B">
      <w:pPr>
        <w:spacing w:after="200" w:line="276" w:lineRule="auto"/>
        <w:rPr>
          <w:rFonts w:eastAsia="Calibri"/>
          <w:sz w:val="22"/>
          <w:szCs w:val="22"/>
          <w:u w:val="single"/>
          <w:lang w:val="sr-Latn-RS"/>
        </w:rPr>
      </w:pPr>
      <w:r w:rsidRPr="00D72200">
        <w:rPr>
          <w:rFonts w:eastAsia="Calibri"/>
          <w:sz w:val="22"/>
          <w:szCs w:val="22"/>
          <w:u w:val="single"/>
          <w:lang w:val="sr-Latn-RS"/>
        </w:rPr>
        <w:t>Prijavljivanje sumnji na neželjena dejstva</w:t>
      </w:r>
    </w:p>
    <w:p w14:paraId="3D329D4F" w14:textId="77777777" w:rsidR="0008293B" w:rsidRPr="00D72200" w:rsidRDefault="0008293B" w:rsidP="0008293B">
      <w:pPr>
        <w:spacing w:after="200"/>
        <w:jc w:val="both"/>
        <w:rPr>
          <w:rFonts w:eastAsia="Calibri"/>
          <w:sz w:val="22"/>
          <w:szCs w:val="22"/>
          <w:lang w:val="sr-Latn-RS"/>
        </w:rPr>
      </w:pPr>
      <w:r w:rsidRPr="00D72200">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9C9BC9C" w14:textId="77777777" w:rsidR="0008293B" w:rsidRPr="00D72200" w:rsidRDefault="0008293B" w:rsidP="0008293B">
      <w:pPr>
        <w:pStyle w:val="NoSpacing"/>
        <w:jc w:val="both"/>
        <w:rPr>
          <w:rFonts w:eastAsia="Calibri"/>
          <w:sz w:val="22"/>
          <w:szCs w:val="22"/>
          <w:lang w:val="sr-Latn-RS"/>
        </w:rPr>
      </w:pPr>
      <w:r w:rsidRPr="00D72200">
        <w:rPr>
          <w:rFonts w:eastAsia="Calibri"/>
          <w:sz w:val="22"/>
          <w:szCs w:val="22"/>
          <w:lang w:val="sr-Latn-RS"/>
        </w:rPr>
        <w:t xml:space="preserve">Institut za ljekove i medicinska sredstva </w:t>
      </w:r>
    </w:p>
    <w:p w14:paraId="2B558F81" w14:textId="77777777" w:rsidR="0008293B" w:rsidRPr="00D72200" w:rsidRDefault="0008293B" w:rsidP="0008293B">
      <w:pPr>
        <w:pStyle w:val="NoSpacing"/>
        <w:jc w:val="both"/>
        <w:rPr>
          <w:rFonts w:eastAsia="Calibri"/>
          <w:sz w:val="22"/>
          <w:szCs w:val="22"/>
          <w:lang w:val="sr-Latn-RS"/>
        </w:rPr>
      </w:pPr>
      <w:r w:rsidRPr="00D72200">
        <w:rPr>
          <w:rFonts w:eastAsia="Calibri"/>
          <w:sz w:val="22"/>
          <w:szCs w:val="22"/>
          <w:lang w:val="sr-Latn-RS"/>
        </w:rPr>
        <w:t>Odjeljenje za farmakovigilancu</w:t>
      </w:r>
    </w:p>
    <w:p w14:paraId="0C6F11BF" w14:textId="77777777" w:rsidR="0008293B" w:rsidRPr="00D72200" w:rsidRDefault="0008293B" w:rsidP="0008293B">
      <w:pPr>
        <w:pStyle w:val="NoSpacing"/>
        <w:jc w:val="both"/>
        <w:rPr>
          <w:rFonts w:eastAsia="Calibri"/>
          <w:sz w:val="22"/>
          <w:szCs w:val="22"/>
          <w:lang w:val="sr-Latn-RS"/>
        </w:rPr>
      </w:pPr>
      <w:r w:rsidRPr="00D72200">
        <w:rPr>
          <w:rFonts w:eastAsia="Calibri"/>
          <w:sz w:val="22"/>
          <w:szCs w:val="22"/>
          <w:lang w:val="sr-Latn-RS"/>
        </w:rPr>
        <w:t>Bulevar Ivana Crnojevića 64a, 81000 Podgorica</w:t>
      </w:r>
    </w:p>
    <w:p w14:paraId="1C08839D" w14:textId="77777777" w:rsidR="0008293B" w:rsidRPr="00D72200" w:rsidRDefault="0008293B" w:rsidP="0008293B">
      <w:pPr>
        <w:pStyle w:val="NoSpacing"/>
        <w:rPr>
          <w:rFonts w:eastAsia="Calibri"/>
          <w:sz w:val="22"/>
          <w:szCs w:val="22"/>
          <w:lang w:val="sr-Latn-RS"/>
        </w:rPr>
      </w:pPr>
    </w:p>
    <w:p w14:paraId="0DADCC7E" w14:textId="77777777" w:rsidR="0008293B" w:rsidRPr="00D72200" w:rsidRDefault="0008293B" w:rsidP="0008293B">
      <w:pPr>
        <w:pStyle w:val="NoSpacing"/>
        <w:jc w:val="both"/>
        <w:rPr>
          <w:rFonts w:eastAsia="Calibri"/>
          <w:sz w:val="22"/>
          <w:szCs w:val="22"/>
          <w:lang w:val="sr-Latn-RS"/>
        </w:rPr>
      </w:pPr>
      <w:r w:rsidRPr="00D72200">
        <w:rPr>
          <w:rFonts w:eastAsia="Calibri"/>
          <w:sz w:val="22"/>
          <w:szCs w:val="22"/>
          <w:lang w:val="sr-Latn-RS"/>
        </w:rPr>
        <w:t>tel: +382 (0) 20 310 280</w:t>
      </w:r>
    </w:p>
    <w:p w14:paraId="5F8AC8ED" w14:textId="77777777" w:rsidR="0008293B" w:rsidRPr="00D72200" w:rsidRDefault="0008293B" w:rsidP="0008293B">
      <w:pPr>
        <w:pStyle w:val="NoSpacing"/>
        <w:tabs>
          <w:tab w:val="left" w:pos="6720"/>
        </w:tabs>
        <w:jc w:val="both"/>
        <w:rPr>
          <w:rFonts w:eastAsia="Calibri"/>
          <w:sz w:val="22"/>
          <w:szCs w:val="22"/>
          <w:lang w:val="sr-Latn-RS"/>
        </w:rPr>
      </w:pPr>
      <w:r w:rsidRPr="00D72200">
        <w:rPr>
          <w:rFonts w:eastAsia="Calibri"/>
          <w:sz w:val="22"/>
          <w:szCs w:val="22"/>
          <w:lang w:val="sr-Latn-RS"/>
        </w:rPr>
        <w:t>fax: +382 (0) 20 310 581</w:t>
      </w:r>
      <w:r w:rsidRPr="00D72200">
        <w:rPr>
          <w:rFonts w:eastAsia="Calibri"/>
          <w:sz w:val="22"/>
          <w:szCs w:val="22"/>
          <w:lang w:val="sr-Latn-RS"/>
        </w:rPr>
        <w:tab/>
      </w:r>
    </w:p>
    <w:p w14:paraId="6A4B0D0D" w14:textId="77777777" w:rsidR="0008293B" w:rsidRPr="00D72200" w:rsidRDefault="001563F9" w:rsidP="0008293B">
      <w:pPr>
        <w:pStyle w:val="NoSpacing"/>
        <w:jc w:val="both"/>
        <w:rPr>
          <w:rFonts w:eastAsia="Calibri"/>
          <w:sz w:val="22"/>
          <w:szCs w:val="22"/>
          <w:lang w:val="sr-Latn-RS"/>
        </w:rPr>
      </w:pPr>
      <w:hyperlink r:id="rId8" w:history="1">
        <w:r w:rsidR="0008293B" w:rsidRPr="00D72200">
          <w:rPr>
            <w:rStyle w:val="Hyperlink"/>
            <w:rFonts w:eastAsia="Calibri"/>
            <w:sz w:val="22"/>
            <w:szCs w:val="22"/>
            <w:lang w:val="sr-Latn-RS"/>
          </w:rPr>
          <w:t>www.cinmed.me</w:t>
        </w:r>
      </w:hyperlink>
    </w:p>
    <w:p w14:paraId="5C40AD92" w14:textId="77777777" w:rsidR="0008293B" w:rsidRPr="00D72200" w:rsidRDefault="001563F9" w:rsidP="0008293B">
      <w:pPr>
        <w:pStyle w:val="NoSpacing"/>
        <w:jc w:val="both"/>
        <w:rPr>
          <w:rFonts w:eastAsia="Calibri"/>
          <w:color w:val="0000FF"/>
          <w:sz w:val="22"/>
          <w:szCs w:val="22"/>
          <w:u w:val="single"/>
          <w:lang w:val="sr-Latn-RS"/>
        </w:rPr>
      </w:pPr>
      <w:hyperlink r:id="rId9" w:history="1">
        <w:r w:rsidR="0008293B" w:rsidRPr="00D72200">
          <w:rPr>
            <w:rStyle w:val="Hyperlink"/>
            <w:rFonts w:eastAsia="Calibri"/>
            <w:sz w:val="22"/>
            <w:szCs w:val="22"/>
            <w:lang w:val="sr-Latn-RS"/>
          </w:rPr>
          <w:t>nezeljenadejstva@cinmed.me</w:t>
        </w:r>
      </w:hyperlink>
    </w:p>
    <w:p w14:paraId="384FB1ED" w14:textId="77777777" w:rsidR="0008293B" w:rsidRPr="00D72200" w:rsidRDefault="0008293B" w:rsidP="0008293B">
      <w:pPr>
        <w:pStyle w:val="NoSpacing"/>
        <w:jc w:val="both"/>
        <w:rPr>
          <w:rFonts w:eastAsia="Calibri"/>
          <w:sz w:val="22"/>
          <w:szCs w:val="22"/>
          <w:lang w:val="sr-Latn-RS"/>
        </w:rPr>
      </w:pPr>
      <w:r w:rsidRPr="00D72200">
        <w:rPr>
          <w:rFonts w:eastAsia="Calibri"/>
          <w:sz w:val="22"/>
          <w:szCs w:val="22"/>
          <w:lang w:val="sr-Latn-RS"/>
        </w:rPr>
        <w:t>putem IS zdravstvene zaštite</w:t>
      </w:r>
    </w:p>
    <w:p w14:paraId="64699C8C" w14:textId="77777777" w:rsidR="0008293B" w:rsidRPr="00D72200" w:rsidRDefault="0008293B" w:rsidP="0008293B">
      <w:pPr>
        <w:pStyle w:val="NoSpacing"/>
        <w:jc w:val="both"/>
        <w:rPr>
          <w:rFonts w:eastAsia="Calibri"/>
          <w:sz w:val="22"/>
          <w:szCs w:val="22"/>
          <w:lang w:val="sr-Latn-RS"/>
        </w:rPr>
      </w:pPr>
      <w:r w:rsidRPr="00D72200">
        <w:rPr>
          <w:rFonts w:eastAsia="Calibri"/>
          <w:sz w:val="22"/>
          <w:szCs w:val="22"/>
          <w:lang w:val="sr-Latn-RS"/>
        </w:rPr>
        <w:t>QR kod za online prijavu sumnje na neželjeno dejstvo lijeka:</w:t>
      </w:r>
    </w:p>
    <w:p w14:paraId="42A7A3B1" w14:textId="77777777" w:rsidR="0008293B" w:rsidRPr="00D72200" w:rsidRDefault="0008293B" w:rsidP="0008293B">
      <w:pPr>
        <w:pStyle w:val="NoSpacing"/>
        <w:jc w:val="both"/>
        <w:rPr>
          <w:rFonts w:eastAsia="Calibri"/>
          <w:sz w:val="22"/>
          <w:szCs w:val="22"/>
          <w:lang w:val="sr-Latn-RS"/>
        </w:rPr>
      </w:pPr>
    </w:p>
    <w:p w14:paraId="343F884E" w14:textId="77777777" w:rsidR="0008293B" w:rsidRPr="00D72200" w:rsidRDefault="0008293B" w:rsidP="0008293B">
      <w:pPr>
        <w:pStyle w:val="NoSpacing"/>
        <w:rPr>
          <w:rFonts w:eastAsia="Calibri"/>
          <w:sz w:val="22"/>
          <w:szCs w:val="22"/>
          <w:lang w:val="sr-Latn-RS"/>
        </w:rPr>
      </w:pPr>
      <w:r w:rsidRPr="000F132E">
        <w:rPr>
          <w:noProof/>
          <w:sz w:val="22"/>
          <w:szCs w:val="22"/>
        </w:rPr>
        <w:drawing>
          <wp:inline distT="0" distB="0" distL="0" distR="0" wp14:anchorId="7BBDE5C9" wp14:editId="3F254728">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45CEB5C" w14:textId="77777777" w:rsidR="0008293B" w:rsidRPr="00D72200" w:rsidRDefault="0008293B" w:rsidP="0008293B">
      <w:pPr>
        <w:tabs>
          <w:tab w:val="left" w:pos="540"/>
          <w:tab w:val="left" w:pos="569"/>
        </w:tabs>
        <w:rPr>
          <w:b/>
          <w:bCs/>
          <w:sz w:val="22"/>
          <w:szCs w:val="22"/>
        </w:rPr>
      </w:pPr>
    </w:p>
    <w:p w14:paraId="5AC72CDD" w14:textId="02F4E9D6" w:rsidR="005A23D2" w:rsidRPr="00D72200" w:rsidRDefault="005A23D2" w:rsidP="00A46C9A">
      <w:pPr>
        <w:pStyle w:val="NoSpacing"/>
        <w:jc w:val="both"/>
        <w:rPr>
          <w:rFonts w:eastAsia="Calibri"/>
          <w:sz w:val="22"/>
          <w:szCs w:val="22"/>
          <w:lang w:val="sr-Latn-RS"/>
        </w:rPr>
      </w:pPr>
    </w:p>
    <w:p w14:paraId="26110B34" w14:textId="77777777" w:rsidR="00836B35" w:rsidRPr="00D72200" w:rsidRDefault="00836B35" w:rsidP="00480FB1">
      <w:pPr>
        <w:tabs>
          <w:tab w:val="left" w:pos="540"/>
          <w:tab w:val="left" w:pos="569"/>
        </w:tabs>
        <w:rPr>
          <w:b/>
          <w:bCs/>
          <w:sz w:val="22"/>
          <w:szCs w:val="22"/>
        </w:rPr>
      </w:pPr>
    </w:p>
    <w:p w14:paraId="76E79976" w14:textId="77777777" w:rsidR="00CD6F02" w:rsidRPr="00D72200" w:rsidRDefault="0072020E" w:rsidP="00D73AAE">
      <w:pPr>
        <w:tabs>
          <w:tab w:val="left" w:pos="540"/>
          <w:tab w:val="left" w:pos="569"/>
        </w:tabs>
        <w:jc w:val="both"/>
        <w:rPr>
          <w:b/>
          <w:bCs/>
          <w:sz w:val="22"/>
          <w:szCs w:val="22"/>
        </w:rPr>
      </w:pPr>
      <w:r w:rsidRPr="00D72200">
        <w:rPr>
          <w:b/>
          <w:bCs/>
          <w:sz w:val="22"/>
          <w:szCs w:val="22"/>
        </w:rPr>
        <w:t xml:space="preserve">4.9. </w:t>
      </w:r>
      <w:r w:rsidR="00480FB1" w:rsidRPr="00D72200">
        <w:rPr>
          <w:b/>
          <w:bCs/>
          <w:sz w:val="22"/>
          <w:szCs w:val="22"/>
        </w:rPr>
        <w:tab/>
      </w:r>
      <w:r w:rsidRPr="00D72200">
        <w:rPr>
          <w:b/>
          <w:bCs/>
          <w:sz w:val="22"/>
          <w:szCs w:val="22"/>
        </w:rPr>
        <w:t>Predoziranje</w:t>
      </w:r>
      <w:r w:rsidR="002846DB" w:rsidRPr="00D72200">
        <w:rPr>
          <w:b/>
          <w:bCs/>
          <w:sz w:val="22"/>
          <w:szCs w:val="22"/>
        </w:rPr>
        <w:t xml:space="preserve"> </w:t>
      </w:r>
    </w:p>
    <w:p w14:paraId="2DF74053" w14:textId="5D59F528" w:rsidR="008246D3" w:rsidRPr="00D72200" w:rsidRDefault="008246D3">
      <w:pPr>
        <w:shd w:val="clear" w:color="auto" w:fill="FFFFFF"/>
        <w:tabs>
          <w:tab w:val="left" w:pos="9270"/>
        </w:tabs>
        <w:spacing w:line="269" w:lineRule="exact"/>
        <w:ind w:right="36"/>
        <w:jc w:val="both"/>
        <w:rPr>
          <w:spacing w:val="-3"/>
          <w:sz w:val="22"/>
          <w:szCs w:val="22"/>
        </w:rPr>
      </w:pPr>
      <w:r w:rsidRPr="00D72200">
        <w:rPr>
          <w:spacing w:val="-3"/>
          <w:sz w:val="22"/>
          <w:szCs w:val="22"/>
        </w:rPr>
        <w:t>Ne postoji posebna terapija u slučaju predoziranja. U slučaju predoziranja, pacijente treba l</w:t>
      </w:r>
      <w:r w:rsidR="00451426" w:rsidRPr="00D72200">
        <w:rPr>
          <w:spacing w:val="-3"/>
          <w:sz w:val="22"/>
          <w:szCs w:val="22"/>
        </w:rPr>
        <w:t>ij</w:t>
      </w:r>
      <w:r w:rsidRPr="00D72200">
        <w:rPr>
          <w:spacing w:val="-3"/>
          <w:sz w:val="22"/>
          <w:szCs w:val="22"/>
        </w:rPr>
        <w:t>ečiti simptomatski i ako je potrebno uvesti i druge suportivne m</w:t>
      </w:r>
      <w:r w:rsidR="00451426" w:rsidRPr="00D72200">
        <w:rPr>
          <w:spacing w:val="-3"/>
          <w:sz w:val="22"/>
          <w:szCs w:val="22"/>
        </w:rPr>
        <w:t>j</w:t>
      </w:r>
      <w:r w:rsidRPr="00D72200">
        <w:rPr>
          <w:spacing w:val="-3"/>
          <w:sz w:val="22"/>
          <w:szCs w:val="22"/>
        </w:rPr>
        <w:t>ere. Potrebno je pratiti fukciju jetre i vr</w:t>
      </w:r>
      <w:r w:rsidR="00451426" w:rsidRPr="00D72200">
        <w:rPr>
          <w:spacing w:val="-3"/>
          <w:sz w:val="22"/>
          <w:szCs w:val="22"/>
        </w:rPr>
        <w:t>ij</w:t>
      </w:r>
      <w:r w:rsidRPr="00D72200">
        <w:rPr>
          <w:spacing w:val="-3"/>
          <w:sz w:val="22"/>
          <w:szCs w:val="22"/>
        </w:rPr>
        <w:t>ednosti CK. Hemodijaliza nije od koristi u ovom slučaju.</w:t>
      </w:r>
    </w:p>
    <w:p w14:paraId="016B7EC2" w14:textId="77777777" w:rsidR="00227BDB" w:rsidRPr="00D72200" w:rsidRDefault="00227BDB">
      <w:pPr>
        <w:tabs>
          <w:tab w:val="left" w:pos="540"/>
          <w:tab w:val="left" w:pos="569"/>
        </w:tabs>
        <w:jc w:val="both"/>
        <w:rPr>
          <w:b/>
          <w:bCs/>
          <w:sz w:val="22"/>
          <w:szCs w:val="22"/>
        </w:rPr>
      </w:pPr>
    </w:p>
    <w:p w14:paraId="13EA7A59" w14:textId="77777777" w:rsidR="0072020E" w:rsidRPr="00D72200" w:rsidRDefault="0072020E" w:rsidP="00D73AAE">
      <w:pPr>
        <w:tabs>
          <w:tab w:val="left" w:pos="540"/>
          <w:tab w:val="left" w:pos="569"/>
        </w:tabs>
        <w:jc w:val="both"/>
        <w:rPr>
          <w:b/>
          <w:bCs/>
          <w:sz w:val="22"/>
          <w:szCs w:val="22"/>
        </w:rPr>
      </w:pPr>
      <w:r w:rsidRPr="00D72200">
        <w:rPr>
          <w:b/>
          <w:bCs/>
          <w:sz w:val="22"/>
          <w:szCs w:val="22"/>
        </w:rPr>
        <w:t xml:space="preserve">5. </w:t>
      </w:r>
      <w:r w:rsidR="00480FB1" w:rsidRPr="00D72200">
        <w:rPr>
          <w:b/>
          <w:bCs/>
          <w:sz w:val="22"/>
          <w:szCs w:val="22"/>
        </w:rPr>
        <w:tab/>
      </w:r>
      <w:r w:rsidRPr="00D72200">
        <w:rPr>
          <w:b/>
          <w:bCs/>
          <w:sz w:val="22"/>
          <w:szCs w:val="22"/>
        </w:rPr>
        <w:t>FARMAKOLOŠK</w:t>
      </w:r>
      <w:r w:rsidR="000D425A" w:rsidRPr="00D72200">
        <w:rPr>
          <w:b/>
          <w:bCs/>
          <w:sz w:val="22"/>
          <w:szCs w:val="22"/>
        </w:rPr>
        <w:t>I</w:t>
      </w:r>
      <w:r w:rsidRPr="00D72200">
        <w:rPr>
          <w:b/>
          <w:bCs/>
          <w:sz w:val="22"/>
          <w:szCs w:val="22"/>
        </w:rPr>
        <w:t xml:space="preserve"> PODACI</w:t>
      </w:r>
    </w:p>
    <w:p w14:paraId="25645FB5" w14:textId="77777777" w:rsidR="0072020E" w:rsidRPr="00D72200" w:rsidRDefault="0072020E" w:rsidP="00D73AAE">
      <w:pPr>
        <w:tabs>
          <w:tab w:val="left" w:pos="540"/>
          <w:tab w:val="left" w:pos="569"/>
        </w:tabs>
        <w:jc w:val="both"/>
        <w:rPr>
          <w:b/>
          <w:bCs/>
          <w:sz w:val="22"/>
          <w:szCs w:val="22"/>
        </w:rPr>
      </w:pPr>
    </w:p>
    <w:p w14:paraId="16B86AA7" w14:textId="77777777" w:rsidR="0072020E" w:rsidRPr="00D72200" w:rsidRDefault="0072020E" w:rsidP="00D73AAE">
      <w:pPr>
        <w:tabs>
          <w:tab w:val="left" w:pos="540"/>
          <w:tab w:val="left" w:pos="569"/>
        </w:tabs>
        <w:jc w:val="both"/>
        <w:rPr>
          <w:b/>
          <w:bCs/>
          <w:sz w:val="22"/>
          <w:szCs w:val="22"/>
        </w:rPr>
      </w:pPr>
      <w:r w:rsidRPr="00D72200">
        <w:rPr>
          <w:b/>
          <w:bCs/>
          <w:sz w:val="22"/>
          <w:szCs w:val="22"/>
        </w:rPr>
        <w:t xml:space="preserve">5.1. </w:t>
      </w:r>
      <w:r w:rsidR="00480FB1" w:rsidRPr="00D72200">
        <w:rPr>
          <w:b/>
          <w:bCs/>
          <w:sz w:val="22"/>
          <w:szCs w:val="22"/>
        </w:rPr>
        <w:tab/>
      </w:r>
      <w:r w:rsidRPr="00D72200">
        <w:rPr>
          <w:b/>
          <w:bCs/>
          <w:sz w:val="22"/>
          <w:szCs w:val="22"/>
        </w:rPr>
        <w:t>Farmakodinamski podaci</w:t>
      </w:r>
      <w:r w:rsidR="003A7059" w:rsidRPr="00D72200">
        <w:rPr>
          <w:b/>
          <w:bCs/>
          <w:sz w:val="22"/>
          <w:szCs w:val="22"/>
        </w:rPr>
        <w:t xml:space="preserve"> </w:t>
      </w:r>
    </w:p>
    <w:p w14:paraId="3BE033DD" w14:textId="77777777" w:rsidR="00F45F77" w:rsidRPr="00D72200" w:rsidRDefault="00F45F77" w:rsidP="00D73AAE">
      <w:pPr>
        <w:tabs>
          <w:tab w:val="left" w:pos="540"/>
          <w:tab w:val="left" w:pos="569"/>
        </w:tabs>
        <w:jc w:val="both"/>
        <w:rPr>
          <w:b/>
          <w:bCs/>
          <w:sz w:val="22"/>
          <w:szCs w:val="22"/>
        </w:rPr>
      </w:pPr>
    </w:p>
    <w:p w14:paraId="23328768" w14:textId="2E40D609" w:rsidR="0072020E" w:rsidRPr="00D72200" w:rsidRDefault="0072020E" w:rsidP="00D73AAE">
      <w:pPr>
        <w:tabs>
          <w:tab w:val="left" w:pos="540"/>
          <w:tab w:val="left" w:pos="569"/>
        </w:tabs>
        <w:jc w:val="both"/>
        <w:rPr>
          <w:bCs/>
          <w:sz w:val="22"/>
          <w:szCs w:val="22"/>
        </w:rPr>
      </w:pPr>
      <w:r w:rsidRPr="00D72200">
        <w:rPr>
          <w:sz w:val="22"/>
          <w:szCs w:val="22"/>
        </w:rPr>
        <w:t>Farmakoterapijska grupa:</w:t>
      </w:r>
      <w:r w:rsidR="008246D3" w:rsidRPr="00D72200">
        <w:rPr>
          <w:bCs/>
          <w:sz w:val="22"/>
          <w:szCs w:val="22"/>
        </w:rPr>
        <w:t xml:space="preserve"> </w:t>
      </w:r>
      <w:r w:rsidR="008246D3" w:rsidRPr="00D72200">
        <w:rPr>
          <w:spacing w:val="-5"/>
          <w:sz w:val="22"/>
          <w:szCs w:val="22"/>
        </w:rPr>
        <w:t>inhibitori HMG-CoA reduktaze</w:t>
      </w:r>
    </w:p>
    <w:p w14:paraId="648161F8" w14:textId="77777777" w:rsidR="0072020E" w:rsidRPr="00D72200" w:rsidRDefault="0072020E" w:rsidP="00D73AAE">
      <w:pPr>
        <w:tabs>
          <w:tab w:val="left" w:pos="540"/>
          <w:tab w:val="left" w:pos="569"/>
        </w:tabs>
        <w:jc w:val="both"/>
        <w:rPr>
          <w:bCs/>
          <w:sz w:val="22"/>
          <w:szCs w:val="22"/>
        </w:rPr>
      </w:pPr>
    </w:p>
    <w:p w14:paraId="529841FB" w14:textId="77777777" w:rsidR="008246D3" w:rsidRPr="00D72200" w:rsidRDefault="0072020E" w:rsidP="00D73AAE">
      <w:pPr>
        <w:jc w:val="both"/>
        <w:rPr>
          <w:b/>
          <w:bCs/>
          <w:sz w:val="22"/>
          <w:szCs w:val="22"/>
        </w:rPr>
      </w:pPr>
      <w:r w:rsidRPr="00D72200">
        <w:rPr>
          <w:sz w:val="22"/>
          <w:szCs w:val="22"/>
        </w:rPr>
        <w:t>ATC kod:</w:t>
      </w:r>
      <w:r w:rsidR="008246D3" w:rsidRPr="00D72200">
        <w:rPr>
          <w:b/>
          <w:bCs/>
          <w:sz w:val="22"/>
          <w:szCs w:val="22"/>
        </w:rPr>
        <w:t xml:space="preserve"> </w:t>
      </w:r>
      <w:r w:rsidR="008246D3" w:rsidRPr="00D72200">
        <w:rPr>
          <w:sz w:val="22"/>
          <w:szCs w:val="22"/>
        </w:rPr>
        <w:t>C10AA07</w:t>
      </w:r>
    </w:p>
    <w:p w14:paraId="362820B0" w14:textId="77777777" w:rsidR="0072020E" w:rsidRPr="00D72200" w:rsidRDefault="0072020E" w:rsidP="00D73AAE">
      <w:pPr>
        <w:tabs>
          <w:tab w:val="left" w:pos="540"/>
          <w:tab w:val="left" w:pos="569"/>
        </w:tabs>
        <w:jc w:val="both"/>
        <w:rPr>
          <w:b/>
          <w:bCs/>
          <w:sz w:val="22"/>
          <w:szCs w:val="22"/>
        </w:rPr>
      </w:pPr>
    </w:p>
    <w:p w14:paraId="3C7AC5FF" w14:textId="77777777" w:rsidR="008246D3" w:rsidRPr="00D72200" w:rsidRDefault="008246D3" w:rsidP="00D73AAE">
      <w:pPr>
        <w:shd w:val="clear" w:color="auto" w:fill="FFFFFF"/>
        <w:tabs>
          <w:tab w:val="left" w:pos="9270"/>
        </w:tabs>
        <w:spacing w:before="5"/>
        <w:ind w:right="36"/>
        <w:jc w:val="both"/>
        <w:rPr>
          <w:b/>
          <w:spacing w:val="-1"/>
          <w:sz w:val="22"/>
          <w:szCs w:val="22"/>
        </w:rPr>
      </w:pPr>
      <w:r w:rsidRPr="00D72200">
        <w:rPr>
          <w:b/>
          <w:spacing w:val="-1"/>
          <w:sz w:val="22"/>
          <w:szCs w:val="22"/>
        </w:rPr>
        <w:t>Mehanizam dejstva</w:t>
      </w:r>
    </w:p>
    <w:p w14:paraId="4D0A9B1B" w14:textId="42311E51" w:rsidR="008246D3" w:rsidRPr="00D72200" w:rsidRDefault="008246D3">
      <w:pPr>
        <w:shd w:val="clear" w:color="auto" w:fill="FFFFFF"/>
        <w:tabs>
          <w:tab w:val="left" w:pos="9270"/>
        </w:tabs>
        <w:spacing w:before="5"/>
        <w:ind w:right="36"/>
        <w:jc w:val="both"/>
        <w:rPr>
          <w:sz w:val="22"/>
          <w:szCs w:val="22"/>
        </w:rPr>
      </w:pPr>
      <w:r w:rsidRPr="00D72200">
        <w:rPr>
          <w:sz w:val="22"/>
          <w:szCs w:val="22"/>
        </w:rPr>
        <w:t>Rosuvastatin je selektivni i kompetitivni inhibitor HMG-CoA reduktaze, „rate-limiting“</w:t>
      </w:r>
      <w:r w:rsidR="00865D29" w:rsidRPr="00D72200">
        <w:rPr>
          <w:sz w:val="22"/>
          <w:szCs w:val="22"/>
        </w:rPr>
        <w:t xml:space="preserve"> </w:t>
      </w:r>
      <w:r w:rsidRPr="00D72200">
        <w:rPr>
          <w:sz w:val="22"/>
          <w:szCs w:val="22"/>
        </w:rPr>
        <w:t>enzima koji konvertuje 3-hidroksi-3-metilglutaril koenzim A u mevalonat, koji je prekursor holesterola. Primarno m</w:t>
      </w:r>
      <w:r w:rsidR="00451426" w:rsidRPr="00D72200">
        <w:rPr>
          <w:sz w:val="22"/>
          <w:szCs w:val="22"/>
        </w:rPr>
        <w:t>j</w:t>
      </w:r>
      <w:r w:rsidRPr="00D72200">
        <w:rPr>
          <w:sz w:val="22"/>
          <w:szCs w:val="22"/>
        </w:rPr>
        <w:t>esto d</w:t>
      </w:r>
      <w:r w:rsidR="00451426" w:rsidRPr="00D72200">
        <w:rPr>
          <w:sz w:val="22"/>
          <w:szCs w:val="22"/>
        </w:rPr>
        <w:t>j</w:t>
      </w:r>
      <w:r w:rsidRPr="00D72200">
        <w:rPr>
          <w:sz w:val="22"/>
          <w:szCs w:val="22"/>
        </w:rPr>
        <w:t>elovanja rosuvastatina je jetra, ciljni organ za snižavanje holesterola.</w:t>
      </w:r>
    </w:p>
    <w:p w14:paraId="630788A4" w14:textId="77777777" w:rsidR="00C22558" w:rsidRPr="00D72200" w:rsidRDefault="00C22558">
      <w:pPr>
        <w:shd w:val="clear" w:color="auto" w:fill="FFFFFF"/>
        <w:tabs>
          <w:tab w:val="left" w:pos="9270"/>
        </w:tabs>
        <w:spacing w:before="5"/>
        <w:ind w:right="36"/>
        <w:jc w:val="both"/>
        <w:rPr>
          <w:sz w:val="22"/>
          <w:szCs w:val="22"/>
        </w:rPr>
      </w:pPr>
    </w:p>
    <w:p w14:paraId="2AED41FD" w14:textId="240631F4" w:rsidR="008246D3" w:rsidRPr="00D72200" w:rsidRDefault="008246D3">
      <w:pPr>
        <w:shd w:val="clear" w:color="auto" w:fill="FFFFFF"/>
        <w:tabs>
          <w:tab w:val="left" w:pos="9270"/>
        </w:tabs>
        <w:spacing w:before="5"/>
        <w:ind w:right="36"/>
        <w:jc w:val="both"/>
        <w:rPr>
          <w:color w:val="000000"/>
          <w:sz w:val="22"/>
          <w:szCs w:val="22"/>
        </w:rPr>
      </w:pPr>
      <w:r w:rsidRPr="00D72200">
        <w:rPr>
          <w:sz w:val="22"/>
          <w:szCs w:val="22"/>
        </w:rPr>
        <w:t>Rosuvastatin poveća</w:t>
      </w:r>
      <w:r w:rsidR="00065BC7" w:rsidRPr="00D72200">
        <w:rPr>
          <w:sz w:val="22"/>
          <w:szCs w:val="22"/>
        </w:rPr>
        <w:t>v</w:t>
      </w:r>
      <w:r w:rsidRPr="00D72200">
        <w:rPr>
          <w:sz w:val="22"/>
          <w:szCs w:val="22"/>
        </w:rPr>
        <w:t>a broj hepatičkih LDL receptora na površini ćelij</w:t>
      </w:r>
      <w:r w:rsidR="00065BC7" w:rsidRPr="00D72200">
        <w:rPr>
          <w:sz w:val="22"/>
          <w:szCs w:val="22"/>
        </w:rPr>
        <w:t>a</w:t>
      </w:r>
      <w:r w:rsidRPr="00D72200">
        <w:rPr>
          <w:sz w:val="22"/>
          <w:szCs w:val="22"/>
        </w:rPr>
        <w:t xml:space="preserve"> </w:t>
      </w:r>
      <w:r w:rsidRPr="00D72200">
        <w:rPr>
          <w:color w:val="000000"/>
          <w:sz w:val="22"/>
          <w:szCs w:val="22"/>
        </w:rPr>
        <w:t>pojačava</w:t>
      </w:r>
      <w:r w:rsidR="00FB1FDB" w:rsidRPr="00D72200">
        <w:rPr>
          <w:color w:val="000000"/>
          <w:sz w:val="22"/>
          <w:szCs w:val="22"/>
        </w:rPr>
        <w:t>jući</w:t>
      </w:r>
      <w:r w:rsidRPr="00D72200">
        <w:rPr>
          <w:color w:val="000000"/>
          <w:sz w:val="22"/>
          <w:szCs w:val="22"/>
        </w:rPr>
        <w:t xml:space="preserve"> preuzimanje i katabolizam LDL čestica i inhibira hepatičku sintezu VLDL čestica, i na taj način smanjuje ukupan broj VLDL i LDL čestica.</w:t>
      </w:r>
    </w:p>
    <w:p w14:paraId="6B093EF4" w14:textId="77777777" w:rsidR="008246D3" w:rsidRPr="00D72200" w:rsidRDefault="008246D3" w:rsidP="00D73AAE">
      <w:pPr>
        <w:shd w:val="clear" w:color="auto" w:fill="FFFFFF"/>
        <w:tabs>
          <w:tab w:val="left" w:pos="9270"/>
        </w:tabs>
        <w:spacing w:before="5"/>
        <w:ind w:right="36"/>
        <w:jc w:val="both"/>
        <w:rPr>
          <w:color w:val="000000"/>
          <w:sz w:val="22"/>
          <w:szCs w:val="22"/>
        </w:rPr>
      </w:pPr>
    </w:p>
    <w:p w14:paraId="5CC111BF" w14:textId="77777777" w:rsidR="008246D3" w:rsidRPr="00D72200" w:rsidRDefault="008246D3">
      <w:pPr>
        <w:pStyle w:val="nospace"/>
        <w:spacing w:line="240" w:lineRule="auto"/>
        <w:ind w:left="0"/>
        <w:jc w:val="both"/>
        <w:rPr>
          <w:sz w:val="22"/>
          <w:szCs w:val="22"/>
          <w:lang w:val="sr-Latn-CS"/>
        </w:rPr>
      </w:pPr>
      <w:r w:rsidRPr="00D72200">
        <w:rPr>
          <w:sz w:val="22"/>
          <w:szCs w:val="22"/>
          <w:lang w:val="sr-Latn-CS"/>
        </w:rPr>
        <w:t>Farmakodinamska dejstva</w:t>
      </w:r>
    </w:p>
    <w:p w14:paraId="75D2B702" w14:textId="77777777" w:rsidR="008246D3" w:rsidRPr="00D72200" w:rsidRDefault="008246D3">
      <w:pPr>
        <w:shd w:val="clear" w:color="auto" w:fill="FFFFFF"/>
        <w:tabs>
          <w:tab w:val="left" w:pos="284"/>
          <w:tab w:val="left" w:pos="9270"/>
        </w:tabs>
        <w:spacing w:before="5"/>
        <w:ind w:right="36"/>
        <w:jc w:val="both"/>
        <w:rPr>
          <w:color w:val="000000"/>
          <w:sz w:val="22"/>
          <w:szCs w:val="22"/>
          <w:lang w:val="sr-Latn-RS"/>
        </w:rPr>
      </w:pPr>
      <w:r w:rsidRPr="00D72200">
        <w:rPr>
          <w:color w:val="000000"/>
          <w:sz w:val="22"/>
          <w:szCs w:val="22"/>
          <w:lang w:val="sr-Latn-RS"/>
        </w:rPr>
        <w:t>Rosuvastatin snižava vrijednosti povišenog LDL holesterola, ukupnog holesterola i triglicerida i povećava vrijednosti  HDL holesterola. Rosuvastatin takođe snižava vrijednosti apolipoproteina B, n</w:t>
      </w:r>
      <w:r w:rsidR="00216AB2" w:rsidRPr="00D72200">
        <w:rPr>
          <w:color w:val="000000"/>
          <w:sz w:val="22"/>
          <w:szCs w:val="22"/>
          <w:lang w:val="sr-Latn-RS"/>
        </w:rPr>
        <w:t>e</w:t>
      </w:r>
      <w:r w:rsidRPr="00D72200">
        <w:rPr>
          <w:color w:val="000000"/>
          <w:sz w:val="22"/>
          <w:szCs w:val="22"/>
          <w:lang w:val="sr-Latn-RS"/>
        </w:rPr>
        <w:t xml:space="preserve">-HDL holesterola, VLDL-holesterola, VLDL triglicerida, i podiže vrijednosti apolipoproteina A-I (vidjeti tabelu </w:t>
      </w:r>
      <w:r w:rsidR="00216AB2" w:rsidRPr="00D72200">
        <w:rPr>
          <w:color w:val="000000"/>
          <w:sz w:val="22"/>
          <w:szCs w:val="22"/>
          <w:lang w:val="sr-Latn-RS"/>
        </w:rPr>
        <w:t>3</w:t>
      </w:r>
      <w:r w:rsidRPr="00D72200">
        <w:rPr>
          <w:color w:val="000000"/>
          <w:sz w:val="22"/>
          <w:szCs w:val="22"/>
          <w:lang w:val="sr-Latn-RS"/>
        </w:rPr>
        <w:t xml:space="preserve">). </w:t>
      </w:r>
      <w:r w:rsidRPr="00D72200">
        <w:rPr>
          <w:sz w:val="22"/>
          <w:szCs w:val="22"/>
          <w:lang w:val="sr-Latn-RS"/>
        </w:rPr>
        <w:t>Rosuvastatin</w:t>
      </w:r>
      <w:r w:rsidRPr="00D72200">
        <w:rPr>
          <w:color w:val="000000"/>
          <w:sz w:val="22"/>
          <w:szCs w:val="22"/>
          <w:lang w:val="sr-Latn-RS"/>
        </w:rPr>
        <w:t xml:space="preserve"> smanjuje i odnose LDL holesterol/HDL holesterol, ukupni holesterol/HDL holesterol,  n</w:t>
      </w:r>
      <w:r w:rsidR="00216AB2" w:rsidRPr="00D72200">
        <w:rPr>
          <w:color w:val="000000"/>
          <w:sz w:val="22"/>
          <w:szCs w:val="22"/>
          <w:lang w:val="sr-Latn-RS"/>
        </w:rPr>
        <w:t>e</w:t>
      </w:r>
      <w:r w:rsidRPr="00D72200">
        <w:rPr>
          <w:color w:val="000000"/>
          <w:sz w:val="22"/>
          <w:szCs w:val="22"/>
          <w:lang w:val="sr-Latn-RS"/>
        </w:rPr>
        <w:t>-HDL holesterol/HDL holesterol i ApoB/ApoA-I.</w:t>
      </w:r>
    </w:p>
    <w:p w14:paraId="2FC3B3C6" w14:textId="77777777" w:rsidR="002E37A5" w:rsidRPr="00D72200" w:rsidRDefault="002E37A5" w:rsidP="00D73AAE">
      <w:pPr>
        <w:tabs>
          <w:tab w:val="left" w:pos="540"/>
          <w:tab w:val="left" w:pos="569"/>
        </w:tabs>
        <w:jc w:val="both"/>
        <w:rPr>
          <w:b/>
          <w:bCs/>
          <w:sz w:val="22"/>
          <w:szCs w:val="22"/>
        </w:rPr>
      </w:pPr>
    </w:p>
    <w:p w14:paraId="0FB8A07E" w14:textId="58623785" w:rsidR="008246D3" w:rsidRPr="00D72200" w:rsidRDefault="008246D3" w:rsidP="00D73AAE">
      <w:pPr>
        <w:shd w:val="clear" w:color="auto" w:fill="FFFFFF"/>
        <w:tabs>
          <w:tab w:val="left" w:pos="9270"/>
        </w:tabs>
        <w:spacing w:before="5"/>
        <w:ind w:right="36"/>
        <w:jc w:val="both"/>
        <w:rPr>
          <w:color w:val="000000"/>
          <w:sz w:val="22"/>
          <w:szCs w:val="22"/>
        </w:rPr>
      </w:pPr>
      <w:r w:rsidRPr="00D72200">
        <w:rPr>
          <w:color w:val="000000"/>
          <w:sz w:val="22"/>
          <w:szCs w:val="22"/>
        </w:rPr>
        <w:t>Tabela 3. Terapijski odgovor kod pacijenata sa primarnom hiperholesterolemijom (tip IIa i IIb) u zavisnosti od doze (prilagođena srednja vr</w:t>
      </w:r>
      <w:r w:rsidR="0081710C" w:rsidRPr="00D72200">
        <w:rPr>
          <w:color w:val="000000"/>
          <w:sz w:val="22"/>
          <w:szCs w:val="22"/>
        </w:rPr>
        <w:t>ij</w:t>
      </w:r>
      <w:r w:rsidRPr="00D72200">
        <w:rPr>
          <w:color w:val="000000"/>
          <w:sz w:val="22"/>
          <w:szCs w:val="22"/>
        </w:rPr>
        <w:t>ednost prom</w:t>
      </w:r>
      <w:r w:rsidR="0081710C" w:rsidRPr="00D72200">
        <w:rPr>
          <w:color w:val="000000"/>
          <w:sz w:val="22"/>
          <w:szCs w:val="22"/>
        </w:rPr>
        <w:t>j</w:t>
      </w:r>
      <w:r w:rsidRPr="00D72200">
        <w:rPr>
          <w:color w:val="000000"/>
          <w:sz w:val="22"/>
          <w:szCs w:val="22"/>
        </w:rPr>
        <w:t>ene u procentima u odnosu na početne vr</w:t>
      </w:r>
      <w:r w:rsidR="0081710C" w:rsidRPr="00D72200">
        <w:rPr>
          <w:color w:val="000000"/>
          <w:sz w:val="22"/>
          <w:szCs w:val="22"/>
        </w:rPr>
        <w:t>ij</w:t>
      </w:r>
      <w:r w:rsidRPr="00D72200">
        <w:rPr>
          <w:color w:val="000000"/>
          <w:sz w:val="22"/>
          <w:szCs w:val="22"/>
        </w:rPr>
        <w:t>ednosti)</w:t>
      </w:r>
    </w:p>
    <w:tbl>
      <w:tblPr>
        <w:tblW w:w="9053" w:type="dxa"/>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205"/>
        <w:gridCol w:w="603"/>
        <w:gridCol w:w="1111"/>
        <w:gridCol w:w="1293"/>
        <w:gridCol w:w="1101"/>
        <w:gridCol w:w="665"/>
        <w:gridCol w:w="1331"/>
        <w:gridCol w:w="797"/>
        <w:gridCol w:w="947"/>
      </w:tblGrid>
      <w:tr w:rsidR="008246D3" w:rsidRPr="00D72200" w14:paraId="14101806" w14:textId="77777777" w:rsidTr="00D73AAE">
        <w:trPr>
          <w:trHeight w:val="551"/>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38F1B327" w14:textId="77777777" w:rsidR="008246D3" w:rsidRPr="00D72200" w:rsidRDefault="008246D3" w:rsidP="00D73AAE">
            <w:pPr>
              <w:spacing w:before="100" w:beforeAutospacing="1" w:after="75"/>
              <w:jc w:val="center"/>
              <w:rPr>
                <w:color w:val="000000"/>
                <w:sz w:val="22"/>
                <w:szCs w:val="22"/>
              </w:rPr>
            </w:pPr>
            <w:r w:rsidRPr="00D72200">
              <w:rPr>
                <w:bCs/>
                <w:color w:val="000000"/>
                <w:sz w:val="22"/>
                <w:szCs w:val="22"/>
              </w:rPr>
              <w:t>Doza</w:t>
            </w:r>
          </w:p>
        </w:tc>
        <w:tc>
          <w:tcPr>
            <w:tcW w:w="603" w:type="dxa"/>
            <w:tcBorders>
              <w:top w:val="outset" w:sz="6" w:space="0" w:color="auto"/>
              <w:left w:val="outset" w:sz="6" w:space="0" w:color="auto"/>
              <w:bottom w:val="outset" w:sz="6" w:space="0" w:color="auto"/>
              <w:right w:val="outset" w:sz="6" w:space="0" w:color="auto"/>
            </w:tcBorders>
            <w:hideMark/>
          </w:tcPr>
          <w:p w14:paraId="2B72AD8B" w14:textId="77777777" w:rsidR="008246D3" w:rsidRPr="00D72200" w:rsidRDefault="008246D3" w:rsidP="00D73AAE">
            <w:pPr>
              <w:spacing w:before="100" w:beforeAutospacing="1" w:after="75"/>
              <w:jc w:val="center"/>
              <w:rPr>
                <w:color w:val="000000"/>
                <w:sz w:val="22"/>
                <w:szCs w:val="22"/>
              </w:rPr>
            </w:pPr>
            <w:r w:rsidRPr="00D72200">
              <w:rPr>
                <w:bCs/>
                <w:color w:val="000000"/>
                <w:sz w:val="22"/>
                <w:szCs w:val="22"/>
              </w:rPr>
              <w:t>Br.</w:t>
            </w:r>
          </w:p>
        </w:tc>
        <w:tc>
          <w:tcPr>
            <w:tcW w:w="1111" w:type="dxa"/>
            <w:tcBorders>
              <w:top w:val="outset" w:sz="6" w:space="0" w:color="auto"/>
              <w:left w:val="outset" w:sz="6" w:space="0" w:color="auto"/>
              <w:bottom w:val="outset" w:sz="6" w:space="0" w:color="auto"/>
              <w:right w:val="outset" w:sz="6" w:space="0" w:color="auto"/>
            </w:tcBorders>
            <w:hideMark/>
          </w:tcPr>
          <w:p w14:paraId="6978872F" w14:textId="4F465066" w:rsidR="008246D3" w:rsidRPr="00D72200" w:rsidRDefault="008246D3" w:rsidP="00D73AAE">
            <w:pPr>
              <w:spacing w:before="100" w:beforeAutospacing="1" w:after="75"/>
              <w:jc w:val="center"/>
              <w:rPr>
                <w:bCs/>
                <w:color w:val="000000"/>
                <w:sz w:val="22"/>
                <w:szCs w:val="22"/>
              </w:rPr>
            </w:pPr>
            <w:r w:rsidRPr="00D72200">
              <w:rPr>
                <w:bCs/>
                <w:color w:val="000000"/>
                <w:sz w:val="22"/>
                <w:szCs w:val="22"/>
              </w:rPr>
              <w:t>LDL-</w:t>
            </w:r>
            <w:r w:rsidR="00945B82" w:rsidRPr="00D72200">
              <w:rPr>
                <w:bCs/>
                <w:color w:val="000000"/>
                <w:sz w:val="22"/>
                <w:szCs w:val="22"/>
              </w:rPr>
              <w:t>holesterol</w:t>
            </w:r>
          </w:p>
        </w:tc>
        <w:tc>
          <w:tcPr>
            <w:tcW w:w="1293" w:type="dxa"/>
            <w:tcBorders>
              <w:top w:val="outset" w:sz="6" w:space="0" w:color="auto"/>
              <w:left w:val="outset" w:sz="6" w:space="0" w:color="auto"/>
              <w:bottom w:val="outset" w:sz="6" w:space="0" w:color="auto"/>
              <w:right w:val="outset" w:sz="6" w:space="0" w:color="auto"/>
            </w:tcBorders>
            <w:hideMark/>
          </w:tcPr>
          <w:p w14:paraId="4FE7002C" w14:textId="77777777" w:rsidR="008246D3" w:rsidRPr="00D72200" w:rsidRDefault="008246D3" w:rsidP="00D73AAE">
            <w:pPr>
              <w:spacing w:before="100" w:beforeAutospacing="1" w:after="75"/>
              <w:jc w:val="center"/>
              <w:rPr>
                <w:color w:val="000000"/>
                <w:sz w:val="22"/>
                <w:szCs w:val="22"/>
              </w:rPr>
            </w:pPr>
            <w:r w:rsidRPr="00D72200">
              <w:rPr>
                <w:bCs/>
                <w:color w:val="000000"/>
                <w:sz w:val="22"/>
                <w:szCs w:val="22"/>
              </w:rPr>
              <w:t>Ukupan holesterol</w:t>
            </w:r>
          </w:p>
        </w:tc>
        <w:tc>
          <w:tcPr>
            <w:tcW w:w="1101" w:type="dxa"/>
            <w:tcBorders>
              <w:top w:val="outset" w:sz="6" w:space="0" w:color="auto"/>
              <w:left w:val="outset" w:sz="6" w:space="0" w:color="auto"/>
              <w:bottom w:val="outset" w:sz="6" w:space="0" w:color="auto"/>
              <w:right w:val="outset" w:sz="6" w:space="0" w:color="auto"/>
            </w:tcBorders>
            <w:hideMark/>
          </w:tcPr>
          <w:p w14:paraId="6BFE799D" w14:textId="5599B23A" w:rsidR="008246D3" w:rsidRPr="00D72200" w:rsidRDefault="008246D3" w:rsidP="00D73AAE">
            <w:pPr>
              <w:spacing w:before="100" w:beforeAutospacing="1" w:after="75"/>
              <w:jc w:val="center"/>
              <w:rPr>
                <w:color w:val="000000"/>
                <w:sz w:val="22"/>
                <w:szCs w:val="22"/>
              </w:rPr>
            </w:pPr>
            <w:r w:rsidRPr="00D72200">
              <w:rPr>
                <w:bCs/>
                <w:color w:val="000000"/>
                <w:sz w:val="22"/>
                <w:szCs w:val="22"/>
              </w:rPr>
              <w:t>HDL-</w:t>
            </w:r>
            <w:r w:rsidR="00945B82" w:rsidRPr="00D72200">
              <w:rPr>
                <w:bCs/>
                <w:color w:val="000000"/>
                <w:sz w:val="22"/>
                <w:szCs w:val="22"/>
              </w:rPr>
              <w:t>holesterol</w:t>
            </w:r>
          </w:p>
        </w:tc>
        <w:tc>
          <w:tcPr>
            <w:tcW w:w="665" w:type="dxa"/>
            <w:tcBorders>
              <w:top w:val="outset" w:sz="6" w:space="0" w:color="auto"/>
              <w:left w:val="outset" w:sz="6" w:space="0" w:color="auto"/>
              <w:bottom w:val="outset" w:sz="6" w:space="0" w:color="auto"/>
              <w:right w:val="outset" w:sz="6" w:space="0" w:color="auto"/>
            </w:tcBorders>
            <w:hideMark/>
          </w:tcPr>
          <w:p w14:paraId="1C8C6FE0" w14:textId="77777777" w:rsidR="008246D3" w:rsidRPr="00D72200" w:rsidRDefault="008246D3" w:rsidP="00D73AAE">
            <w:pPr>
              <w:spacing w:before="100" w:beforeAutospacing="1" w:after="75"/>
              <w:jc w:val="center"/>
              <w:rPr>
                <w:color w:val="000000"/>
                <w:sz w:val="22"/>
                <w:szCs w:val="22"/>
              </w:rPr>
            </w:pPr>
            <w:r w:rsidRPr="00D72200">
              <w:rPr>
                <w:bCs/>
                <w:color w:val="000000"/>
                <w:sz w:val="22"/>
                <w:szCs w:val="22"/>
              </w:rPr>
              <w:t>TG</w:t>
            </w:r>
          </w:p>
        </w:tc>
        <w:tc>
          <w:tcPr>
            <w:tcW w:w="1331" w:type="dxa"/>
            <w:tcBorders>
              <w:top w:val="outset" w:sz="6" w:space="0" w:color="auto"/>
              <w:left w:val="outset" w:sz="6" w:space="0" w:color="auto"/>
              <w:bottom w:val="outset" w:sz="6" w:space="0" w:color="auto"/>
              <w:right w:val="outset" w:sz="6" w:space="0" w:color="auto"/>
            </w:tcBorders>
            <w:hideMark/>
          </w:tcPr>
          <w:p w14:paraId="52ACB752" w14:textId="0B7AB454" w:rsidR="008246D3" w:rsidRPr="00D72200" w:rsidRDefault="008246D3" w:rsidP="00D73AAE">
            <w:pPr>
              <w:spacing w:before="100" w:beforeAutospacing="1" w:after="75"/>
              <w:jc w:val="center"/>
              <w:rPr>
                <w:color w:val="000000"/>
                <w:sz w:val="22"/>
                <w:szCs w:val="22"/>
              </w:rPr>
            </w:pPr>
            <w:r w:rsidRPr="00D72200">
              <w:rPr>
                <w:bCs/>
                <w:color w:val="000000"/>
                <w:sz w:val="22"/>
                <w:szCs w:val="22"/>
              </w:rPr>
              <w:t>Ne-HDL-</w:t>
            </w:r>
            <w:r w:rsidR="00945B82" w:rsidRPr="00D72200">
              <w:rPr>
                <w:bCs/>
                <w:color w:val="000000"/>
                <w:sz w:val="22"/>
                <w:szCs w:val="22"/>
              </w:rPr>
              <w:t>holesterol</w:t>
            </w:r>
          </w:p>
        </w:tc>
        <w:tc>
          <w:tcPr>
            <w:tcW w:w="797" w:type="dxa"/>
            <w:tcBorders>
              <w:top w:val="outset" w:sz="6" w:space="0" w:color="auto"/>
              <w:left w:val="outset" w:sz="6" w:space="0" w:color="auto"/>
              <w:bottom w:val="outset" w:sz="6" w:space="0" w:color="auto"/>
              <w:right w:val="outset" w:sz="6" w:space="0" w:color="auto"/>
            </w:tcBorders>
            <w:hideMark/>
          </w:tcPr>
          <w:p w14:paraId="4701A18D" w14:textId="77777777" w:rsidR="008246D3" w:rsidRPr="00D72200" w:rsidRDefault="008246D3" w:rsidP="00D73AAE">
            <w:pPr>
              <w:spacing w:before="100" w:beforeAutospacing="1" w:after="75"/>
              <w:jc w:val="center"/>
              <w:rPr>
                <w:color w:val="000000"/>
                <w:sz w:val="22"/>
                <w:szCs w:val="22"/>
              </w:rPr>
            </w:pPr>
            <w:r w:rsidRPr="00D72200">
              <w:rPr>
                <w:bCs/>
                <w:color w:val="000000"/>
                <w:sz w:val="22"/>
                <w:szCs w:val="22"/>
              </w:rPr>
              <w:t>ApoB</w:t>
            </w:r>
          </w:p>
        </w:tc>
        <w:tc>
          <w:tcPr>
            <w:tcW w:w="947" w:type="dxa"/>
            <w:tcBorders>
              <w:top w:val="outset" w:sz="6" w:space="0" w:color="auto"/>
              <w:left w:val="outset" w:sz="6" w:space="0" w:color="auto"/>
              <w:bottom w:val="outset" w:sz="6" w:space="0" w:color="auto"/>
              <w:right w:val="outset" w:sz="6" w:space="0" w:color="auto"/>
            </w:tcBorders>
            <w:hideMark/>
          </w:tcPr>
          <w:p w14:paraId="249F731E" w14:textId="77777777" w:rsidR="008246D3" w:rsidRPr="00D72200" w:rsidRDefault="008246D3" w:rsidP="00D73AAE">
            <w:pPr>
              <w:spacing w:before="100" w:beforeAutospacing="1" w:after="75"/>
              <w:jc w:val="center"/>
              <w:rPr>
                <w:color w:val="000000"/>
                <w:sz w:val="22"/>
                <w:szCs w:val="22"/>
              </w:rPr>
            </w:pPr>
            <w:r w:rsidRPr="00D72200">
              <w:rPr>
                <w:bCs/>
                <w:color w:val="000000"/>
                <w:sz w:val="22"/>
                <w:szCs w:val="22"/>
              </w:rPr>
              <w:t>ApoA-I</w:t>
            </w:r>
          </w:p>
        </w:tc>
      </w:tr>
      <w:tr w:rsidR="008246D3" w:rsidRPr="00D72200" w14:paraId="0E0786C1" w14:textId="77777777" w:rsidTr="00D73AAE">
        <w:trPr>
          <w:trHeight w:val="326"/>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487654A7"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Placebo</w:t>
            </w:r>
          </w:p>
        </w:tc>
        <w:tc>
          <w:tcPr>
            <w:tcW w:w="603" w:type="dxa"/>
            <w:tcBorders>
              <w:top w:val="outset" w:sz="6" w:space="0" w:color="auto"/>
              <w:left w:val="outset" w:sz="6" w:space="0" w:color="auto"/>
              <w:bottom w:val="outset" w:sz="6" w:space="0" w:color="auto"/>
              <w:right w:val="outset" w:sz="6" w:space="0" w:color="auto"/>
            </w:tcBorders>
            <w:hideMark/>
          </w:tcPr>
          <w:p w14:paraId="7E9A6687"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13</w:t>
            </w:r>
          </w:p>
        </w:tc>
        <w:tc>
          <w:tcPr>
            <w:tcW w:w="1111" w:type="dxa"/>
            <w:tcBorders>
              <w:top w:val="outset" w:sz="6" w:space="0" w:color="auto"/>
              <w:left w:val="outset" w:sz="6" w:space="0" w:color="auto"/>
              <w:bottom w:val="outset" w:sz="6" w:space="0" w:color="auto"/>
              <w:right w:val="outset" w:sz="6" w:space="0" w:color="auto"/>
            </w:tcBorders>
            <w:hideMark/>
          </w:tcPr>
          <w:p w14:paraId="045C3D69"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-7</w:t>
            </w:r>
          </w:p>
        </w:tc>
        <w:tc>
          <w:tcPr>
            <w:tcW w:w="1293" w:type="dxa"/>
            <w:tcBorders>
              <w:top w:val="outset" w:sz="6" w:space="0" w:color="auto"/>
              <w:left w:val="outset" w:sz="6" w:space="0" w:color="auto"/>
              <w:bottom w:val="outset" w:sz="6" w:space="0" w:color="auto"/>
              <w:right w:val="outset" w:sz="6" w:space="0" w:color="auto"/>
            </w:tcBorders>
            <w:hideMark/>
          </w:tcPr>
          <w:p w14:paraId="61AC9C11"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-5</w:t>
            </w:r>
          </w:p>
        </w:tc>
        <w:tc>
          <w:tcPr>
            <w:tcW w:w="1101" w:type="dxa"/>
            <w:tcBorders>
              <w:top w:val="outset" w:sz="6" w:space="0" w:color="auto"/>
              <w:left w:val="outset" w:sz="6" w:space="0" w:color="auto"/>
              <w:bottom w:val="outset" w:sz="6" w:space="0" w:color="auto"/>
              <w:right w:val="outset" w:sz="6" w:space="0" w:color="auto"/>
            </w:tcBorders>
            <w:hideMark/>
          </w:tcPr>
          <w:p w14:paraId="35EC177C"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3</w:t>
            </w:r>
          </w:p>
        </w:tc>
        <w:tc>
          <w:tcPr>
            <w:tcW w:w="665" w:type="dxa"/>
            <w:tcBorders>
              <w:top w:val="outset" w:sz="6" w:space="0" w:color="auto"/>
              <w:left w:val="outset" w:sz="6" w:space="0" w:color="auto"/>
              <w:bottom w:val="outset" w:sz="6" w:space="0" w:color="auto"/>
              <w:right w:val="outset" w:sz="6" w:space="0" w:color="auto"/>
            </w:tcBorders>
            <w:hideMark/>
          </w:tcPr>
          <w:p w14:paraId="3D4DCBAF"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-3</w:t>
            </w:r>
          </w:p>
        </w:tc>
        <w:tc>
          <w:tcPr>
            <w:tcW w:w="1331" w:type="dxa"/>
            <w:tcBorders>
              <w:top w:val="outset" w:sz="6" w:space="0" w:color="auto"/>
              <w:left w:val="outset" w:sz="6" w:space="0" w:color="auto"/>
              <w:bottom w:val="outset" w:sz="6" w:space="0" w:color="auto"/>
              <w:right w:val="outset" w:sz="6" w:space="0" w:color="auto"/>
            </w:tcBorders>
            <w:hideMark/>
          </w:tcPr>
          <w:p w14:paraId="6C8BD808"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-7</w:t>
            </w:r>
          </w:p>
        </w:tc>
        <w:tc>
          <w:tcPr>
            <w:tcW w:w="797" w:type="dxa"/>
            <w:tcBorders>
              <w:top w:val="outset" w:sz="6" w:space="0" w:color="auto"/>
              <w:left w:val="outset" w:sz="6" w:space="0" w:color="auto"/>
              <w:bottom w:val="outset" w:sz="6" w:space="0" w:color="auto"/>
              <w:right w:val="outset" w:sz="6" w:space="0" w:color="auto"/>
            </w:tcBorders>
            <w:hideMark/>
          </w:tcPr>
          <w:p w14:paraId="4BEB947B"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-3</w:t>
            </w:r>
          </w:p>
        </w:tc>
        <w:tc>
          <w:tcPr>
            <w:tcW w:w="947" w:type="dxa"/>
            <w:tcBorders>
              <w:top w:val="outset" w:sz="6" w:space="0" w:color="auto"/>
              <w:left w:val="outset" w:sz="6" w:space="0" w:color="auto"/>
              <w:bottom w:val="outset" w:sz="6" w:space="0" w:color="auto"/>
              <w:right w:val="outset" w:sz="6" w:space="0" w:color="auto"/>
            </w:tcBorders>
            <w:hideMark/>
          </w:tcPr>
          <w:p w14:paraId="27AC09FA"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0</w:t>
            </w:r>
          </w:p>
        </w:tc>
      </w:tr>
      <w:tr w:rsidR="008246D3" w:rsidRPr="00D72200" w14:paraId="718351D2" w14:textId="77777777" w:rsidTr="00D73AAE">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51C93FCD"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5</w:t>
            </w:r>
          </w:p>
        </w:tc>
        <w:tc>
          <w:tcPr>
            <w:tcW w:w="603" w:type="dxa"/>
            <w:tcBorders>
              <w:top w:val="outset" w:sz="6" w:space="0" w:color="auto"/>
              <w:left w:val="outset" w:sz="6" w:space="0" w:color="auto"/>
              <w:bottom w:val="outset" w:sz="6" w:space="0" w:color="auto"/>
              <w:right w:val="outset" w:sz="6" w:space="0" w:color="auto"/>
            </w:tcBorders>
            <w:hideMark/>
          </w:tcPr>
          <w:p w14:paraId="30A18353"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17</w:t>
            </w:r>
          </w:p>
        </w:tc>
        <w:tc>
          <w:tcPr>
            <w:tcW w:w="1111" w:type="dxa"/>
            <w:tcBorders>
              <w:top w:val="outset" w:sz="6" w:space="0" w:color="auto"/>
              <w:left w:val="outset" w:sz="6" w:space="0" w:color="auto"/>
              <w:bottom w:val="outset" w:sz="6" w:space="0" w:color="auto"/>
              <w:right w:val="outset" w:sz="6" w:space="0" w:color="auto"/>
            </w:tcBorders>
            <w:hideMark/>
          </w:tcPr>
          <w:p w14:paraId="3F37D78D"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-45</w:t>
            </w:r>
          </w:p>
        </w:tc>
        <w:tc>
          <w:tcPr>
            <w:tcW w:w="1293" w:type="dxa"/>
            <w:tcBorders>
              <w:top w:val="outset" w:sz="6" w:space="0" w:color="auto"/>
              <w:left w:val="outset" w:sz="6" w:space="0" w:color="auto"/>
              <w:bottom w:val="outset" w:sz="6" w:space="0" w:color="auto"/>
              <w:right w:val="outset" w:sz="6" w:space="0" w:color="auto"/>
            </w:tcBorders>
            <w:hideMark/>
          </w:tcPr>
          <w:p w14:paraId="5C55123D"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-33</w:t>
            </w:r>
          </w:p>
        </w:tc>
        <w:tc>
          <w:tcPr>
            <w:tcW w:w="1101" w:type="dxa"/>
            <w:tcBorders>
              <w:top w:val="outset" w:sz="6" w:space="0" w:color="auto"/>
              <w:left w:val="outset" w:sz="6" w:space="0" w:color="auto"/>
              <w:bottom w:val="outset" w:sz="6" w:space="0" w:color="auto"/>
              <w:right w:val="outset" w:sz="6" w:space="0" w:color="auto"/>
            </w:tcBorders>
            <w:hideMark/>
          </w:tcPr>
          <w:p w14:paraId="46A99C14"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13</w:t>
            </w:r>
          </w:p>
        </w:tc>
        <w:tc>
          <w:tcPr>
            <w:tcW w:w="665" w:type="dxa"/>
            <w:tcBorders>
              <w:top w:val="outset" w:sz="6" w:space="0" w:color="auto"/>
              <w:left w:val="outset" w:sz="6" w:space="0" w:color="auto"/>
              <w:bottom w:val="outset" w:sz="6" w:space="0" w:color="auto"/>
              <w:right w:val="outset" w:sz="6" w:space="0" w:color="auto"/>
            </w:tcBorders>
            <w:hideMark/>
          </w:tcPr>
          <w:p w14:paraId="73D59702"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-35</w:t>
            </w:r>
          </w:p>
        </w:tc>
        <w:tc>
          <w:tcPr>
            <w:tcW w:w="1331" w:type="dxa"/>
            <w:tcBorders>
              <w:top w:val="outset" w:sz="6" w:space="0" w:color="auto"/>
              <w:left w:val="outset" w:sz="6" w:space="0" w:color="auto"/>
              <w:bottom w:val="outset" w:sz="6" w:space="0" w:color="auto"/>
              <w:right w:val="outset" w:sz="6" w:space="0" w:color="auto"/>
            </w:tcBorders>
            <w:hideMark/>
          </w:tcPr>
          <w:p w14:paraId="640F2F92"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-44</w:t>
            </w:r>
          </w:p>
        </w:tc>
        <w:tc>
          <w:tcPr>
            <w:tcW w:w="797" w:type="dxa"/>
            <w:tcBorders>
              <w:top w:val="outset" w:sz="6" w:space="0" w:color="auto"/>
              <w:left w:val="outset" w:sz="6" w:space="0" w:color="auto"/>
              <w:bottom w:val="outset" w:sz="6" w:space="0" w:color="auto"/>
              <w:right w:val="outset" w:sz="6" w:space="0" w:color="auto"/>
            </w:tcBorders>
            <w:hideMark/>
          </w:tcPr>
          <w:p w14:paraId="35A0DA04"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-38</w:t>
            </w:r>
          </w:p>
        </w:tc>
        <w:tc>
          <w:tcPr>
            <w:tcW w:w="947" w:type="dxa"/>
            <w:tcBorders>
              <w:top w:val="outset" w:sz="6" w:space="0" w:color="auto"/>
              <w:left w:val="outset" w:sz="6" w:space="0" w:color="auto"/>
              <w:bottom w:val="outset" w:sz="6" w:space="0" w:color="auto"/>
              <w:right w:val="outset" w:sz="6" w:space="0" w:color="auto"/>
            </w:tcBorders>
            <w:hideMark/>
          </w:tcPr>
          <w:p w14:paraId="76D8AD75"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4</w:t>
            </w:r>
          </w:p>
        </w:tc>
      </w:tr>
      <w:tr w:rsidR="008246D3" w:rsidRPr="00D72200" w14:paraId="4D702A0C" w14:textId="77777777" w:rsidTr="00D73AAE">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55E6C9EB"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10</w:t>
            </w:r>
          </w:p>
        </w:tc>
        <w:tc>
          <w:tcPr>
            <w:tcW w:w="603" w:type="dxa"/>
            <w:tcBorders>
              <w:top w:val="outset" w:sz="6" w:space="0" w:color="auto"/>
              <w:left w:val="outset" w:sz="6" w:space="0" w:color="auto"/>
              <w:bottom w:val="outset" w:sz="6" w:space="0" w:color="auto"/>
              <w:right w:val="outset" w:sz="6" w:space="0" w:color="auto"/>
            </w:tcBorders>
            <w:hideMark/>
          </w:tcPr>
          <w:p w14:paraId="11DD141E"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17</w:t>
            </w:r>
          </w:p>
        </w:tc>
        <w:tc>
          <w:tcPr>
            <w:tcW w:w="1111" w:type="dxa"/>
            <w:tcBorders>
              <w:top w:val="outset" w:sz="6" w:space="0" w:color="auto"/>
              <w:left w:val="outset" w:sz="6" w:space="0" w:color="auto"/>
              <w:bottom w:val="outset" w:sz="6" w:space="0" w:color="auto"/>
              <w:right w:val="outset" w:sz="6" w:space="0" w:color="auto"/>
            </w:tcBorders>
            <w:hideMark/>
          </w:tcPr>
          <w:p w14:paraId="69596AE8"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-52</w:t>
            </w:r>
          </w:p>
        </w:tc>
        <w:tc>
          <w:tcPr>
            <w:tcW w:w="1293" w:type="dxa"/>
            <w:tcBorders>
              <w:top w:val="outset" w:sz="6" w:space="0" w:color="auto"/>
              <w:left w:val="outset" w:sz="6" w:space="0" w:color="auto"/>
              <w:bottom w:val="outset" w:sz="6" w:space="0" w:color="auto"/>
              <w:right w:val="outset" w:sz="6" w:space="0" w:color="auto"/>
            </w:tcBorders>
            <w:hideMark/>
          </w:tcPr>
          <w:p w14:paraId="26674656"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-36</w:t>
            </w:r>
          </w:p>
        </w:tc>
        <w:tc>
          <w:tcPr>
            <w:tcW w:w="1101" w:type="dxa"/>
            <w:tcBorders>
              <w:top w:val="outset" w:sz="6" w:space="0" w:color="auto"/>
              <w:left w:val="outset" w:sz="6" w:space="0" w:color="auto"/>
              <w:bottom w:val="outset" w:sz="6" w:space="0" w:color="auto"/>
              <w:right w:val="outset" w:sz="6" w:space="0" w:color="auto"/>
            </w:tcBorders>
            <w:hideMark/>
          </w:tcPr>
          <w:p w14:paraId="630214FA"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14</w:t>
            </w:r>
          </w:p>
        </w:tc>
        <w:tc>
          <w:tcPr>
            <w:tcW w:w="665" w:type="dxa"/>
            <w:tcBorders>
              <w:top w:val="outset" w:sz="6" w:space="0" w:color="auto"/>
              <w:left w:val="outset" w:sz="6" w:space="0" w:color="auto"/>
              <w:bottom w:val="outset" w:sz="6" w:space="0" w:color="auto"/>
              <w:right w:val="outset" w:sz="6" w:space="0" w:color="auto"/>
            </w:tcBorders>
            <w:hideMark/>
          </w:tcPr>
          <w:p w14:paraId="61EB9C73"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-10</w:t>
            </w:r>
          </w:p>
        </w:tc>
        <w:tc>
          <w:tcPr>
            <w:tcW w:w="1331" w:type="dxa"/>
            <w:tcBorders>
              <w:top w:val="outset" w:sz="6" w:space="0" w:color="auto"/>
              <w:left w:val="outset" w:sz="6" w:space="0" w:color="auto"/>
              <w:bottom w:val="outset" w:sz="6" w:space="0" w:color="auto"/>
              <w:right w:val="outset" w:sz="6" w:space="0" w:color="auto"/>
            </w:tcBorders>
            <w:hideMark/>
          </w:tcPr>
          <w:p w14:paraId="26DDDB9E"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-48</w:t>
            </w:r>
          </w:p>
        </w:tc>
        <w:tc>
          <w:tcPr>
            <w:tcW w:w="797" w:type="dxa"/>
            <w:tcBorders>
              <w:top w:val="outset" w:sz="6" w:space="0" w:color="auto"/>
              <w:left w:val="outset" w:sz="6" w:space="0" w:color="auto"/>
              <w:bottom w:val="outset" w:sz="6" w:space="0" w:color="auto"/>
              <w:right w:val="outset" w:sz="6" w:space="0" w:color="auto"/>
            </w:tcBorders>
            <w:hideMark/>
          </w:tcPr>
          <w:p w14:paraId="283F0F32"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-42</w:t>
            </w:r>
          </w:p>
        </w:tc>
        <w:tc>
          <w:tcPr>
            <w:tcW w:w="947" w:type="dxa"/>
            <w:tcBorders>
              <w:top w:val="outset" w:sz="6" w:space="0" w:color="auto"/>
              <w:left w:val="outset" w:sz="6" w:space="0" w:color="auto"/>
              <w:bottom w:val="outset" w:sz="6" w:space="0" w:color="auto"/>
              <w:right w:val="outset" w:sz="6" w:space="0" w:color="auto"/>
            </w:tcBorders>
            <w:hideMark/>
          </w:tcPr>
          <w:p w14:paraId="1636BFFE"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4</w:t>
            </w:r>
          </w:p>
        </w:tc>
      </w:tr>
      <w:tr w:rsidR="008246D3" w:rsidRPr="00D72200" w14:paraId="623D9F2B" w14:textId="77777777" w:rsidTr="00D73AAE">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6309DFBB"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20</w:t>
            </w:r>
          </w:p>
        </w:tc>
        <w:tc>
          <w:tcPr>
            <w:tcW w:w="603" w:type="dxa"/>
            <w:tcBorders>
              <w:top w:val="outset" w:sz="6" w:space="0" w:color="auto"/>
              <w:left w:val="outset" w:sz="6" w:space="0" w:color="auto"/>
              <w:bottom w:val="outset" w:sz="6" w:space="0" w:color="auto"/>
              <w:right w:val="outset" w:sz="6" w:space="0" w:color="auto"/>
            </w:tcBorders>
            <w:hideMark/>
          </w:tcPr>
          <w:p w14:paraId="0CD8ECD1"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17</w:t>
            </w:r>
          </w:p>
        </w:tc>
        <w:tc>
          <w:tcPr>
            <w:tcW w:w="1111" w:type="dxa"/>
            <w:tcBorders>
              <w:top w:val="outset" w:sz="6" w:space="0" w:color="auto"/>
              <w:left w:val="outset" w:sz="6" w:space="0" w:color="auto"/>
              <w:bottom w:val="outset" w:sz="6" w:space="0" w:color="auto"/>
              <w:right w:val="outset" w:sz="6" w:space="0" w:color="auto"/>
            </w:tcBorders>
            <w:hideMark/>
          </w:tcPr>
          <w:p w14:paraId="7901C645"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-55</w:t>
            </w:r>
          </w:p>
        </w:tc>
        <w:tc>
          <w:tcPr>
            <w:tcW w:w="1293" w:type="dxa"/>
            <w:tcBorders>
              <w:top w:val="outset" w:sz="6" w:space="0" w:color="auto"/>
              <w:left w:val="outset" w:sz="6" w:space="0" w:color="auto"/>
              <w:bottom w:val="outset" w:sz="6" w:space="0" w:color="auto"/>
              <w:right w:val="outset" w:sz="6" w:space="0" w:color="auto"/>
            </w:tcBorders>
            <w:hideMark/>
          </w:tcPr>
          <w:p w14:paraId="542035AF"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-40</w:t>
            </w:r>
          </w:p>
        </w:tc>
        <w:tc>
          <w:tcPr>
            <w:tcW w:w="1101" w:type="dxa"/>
            <w:tcBorders>
              <w:top w:val="outset" w:sz="6" w:space="0" w:color="auto"/>
              <w:left w:val="outset" w:sz="6" w:space="0" w:color="auto"/>
              <w:bottom w:val="outset" w:sz="6" w:space="0" w:color="auto"/>
              <w:right w:val="outset" w:sz="6" w:space="0" w:color="auto"/>
            </w:tcBorders>
            <w:hideMark/>
          </w:tcPr>
          <w:p w14:paraId="72B854B6"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8</w:t>
            </w:r>
          </w:p>
        </w:tc>
        <w:tc>
          <w:tcPr>
            <w:tcW w:w="665" w:type="dxa"/>
            <w:tcBorders>
              <w:top w:val="outset" w:sz="6" w:space="0" w:color="auto"/>
              <w:left w:val="outset" w:sz="6" w:space="0" w:color="auto"/>
              <w:bottom w:val="outset" w:sz="6" w:space="0" w:color="auto"/>
              <w:right w:val="outset" w:sz="6" w:space="0" w:color="auto"/>
            </w:tcBorders>
            <w:hideMark/>
          </w:tcPr>
          <w:p w14:paraId="2496B7AA"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-23</w:t>
            </w:r>
          </w:p>
        </w:tc>
        <w:tc>
          <w:tcPr>
            <w:tcW w:w="1331" w:type="dxa"/>
            <w:tcBorders>
              <w:top w:val="outset" w:sz="6" w:space="0" w:color="auto"/>
              <w:left w:val="outset" w:sz="6" w:space="0" w:color="auto"/>
              <w:bottom w:val="outset" w:sz="6" w:space="0" w:color="auto"/>
              <w:right w:val="outset" w:sz="6" w:space="0" w:color="auto"/>
            </w:tcBorders>
            <w:hideMark/>
          </w:tcPr>
          <w:p w14:paraId="4510BDD0"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-51</w:t>
            </w:r>
          </w:p>
        </w:tc>
        <w:tc>
          <w:tcPr>
            <w:tcW w:w="797" w:type="dxa"/>
            <w:tcBorders>
              <w:top w:val="outset" w:sz="6" w:space="0" w:color="auto"/>
              <w:left w:val="outset" w:sz="6" w:space="0" w:color="auto"/>
              <w:bottom w:val="outset" w:sz="6" w:space="0" w:color="auto"/>
              <w:right w:val="outset" w:sz="6" w:space="0" w:color="auto"/>
            </w:tcBorders>
            <w:hideMark/>
          </w:tcPr>
          <w:p w14:paraId="2E4EB239"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-46</w:t>
            </w:r>
          </w:p>
        </w:tc>
        <w:tc>
          <w:tcPr>
            <w:tcW w:w="947" w:type="dxa"/>
            <w:tcBorders>
              <w:top w:val="outset" w:sz="6" w:space="0" w:color="auto"/>
              <w:left w:val="outset" w:sz="6" w:space="0" w:color="auto"/>
              <w:bottom w:val="outset" w:sz="6" w:space="0" w:color="auto"/>
              <w:right w:val="outset" w:sz="6" w:space="0" w:color="auto"/>
            </w:tcBorders>
            <w:hideMark/>
          </w:tcPr>
          <w:p w14:paraId="1C18107F"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5</w:t>
            </w:r>
          </w:p>
        </w:tc>
      </w:tr>
      <w:tr w:rsidR="008246D3" w:rsidRPr="00D72200" w14:paraId="2F61F771" w14:textId="77777777" w:rsidTr="00D73AAE">
        <w:trPr>
          <w:trHeight w:val="318"/>
          <w:tblCellSpacing w:w="0" w:type="dxa"/>
        </w:trPr>
        <w:tc>
          <w:tcPr>
            <w:tcW w:w="1205" w:type="dxa"/>
            <w:tcBorders>
              <w:top w:val="outset" w:sz="6" w:space="0" w:color="auto"/>
              <w:left w:val="outset" w:sz="6" w:space="0" w:color="auto"/>
              <w:bottom w:val="outset" w:sz="6" w:space="0" w:color="auto"/>
              <w:right w:val="outset" w:sz="6" w:space="0" w:color="auto"/>
            </w:tcBorders>
            <w:hideMark/>
          </w:tcPr>
          <w:p w14:paraId="711015F3"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40</w:t>
            </w:r>
          </w:p>
        </w:tc>
        <w:tc>
          <w:tcPr>
            <w:tcW w:w="603" w:type="dxa"/>
            <w:tcBorders>
              <w:top w:val="outset" w:sz="6" w:space="0" w:color="auto"/>
              <w:left w:val="outset" w:sz="6" w:space="0" w:color="auto"/>
              <w:bottom w:val="outset" w:sz="6" w:space="0" w:color="auto"/>
              <w:right w:val="outset" w:sz="6" w:space="0" w:color="auto"/>
            </w:tcBorders>
            <w:hideMark/>
          </w:tcPr>
          <w:p w14:paraId="1127099C"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18</w:t>
            </w:r>
          </w:p>
        </w:tc>
        <w:tc>
          <w:tcPr>
            <w:tcW w:w="1111" w:type="dxa"/>
            <w:tcBorders>
              <w:top w:val="outset" w:sz="6" w:space="0" w:color="auto"/>
              <w:left w:val="outset" w:sz="6" w:space="0" w:color="auto"/>
              <w:bottom w:val="outset" w:sz="6" w:space="0" w:color="auto"/>
              <w:right w:val="outset" w:sz="6" w:space="0" w:color="auto"/>
            </w:tcBorders>
            <w:hideMark/>
          </w:tcPr>
          <w:p w14:paraId="21A862BE"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-63</w:t>
            </w:r>
          </w:p>
        </w:tc>
        <w:tc>
          <w:tcPr>
            <w:tcW w:w="1293" w:type="dxa"/>
            <w:tcBorders>
              <w:top w:val="outset" w:sz="6" w:space="0" w:color="auto"/>
              <w:left w:val="outset" w:sz="6" w:space="0" w:color="auto"/>
              <w:bottom w:val="outset" w:sz="6" w:space="0" w:color="auto"/>
              <w:right w:val="outset" w:sz="6" w:space="0" w:color="auto"/>
            </w:tcBorders>
            <w:hideMark/>
          </w:tcPr>
          <w:p w14:paraId="53E0C7EC"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-46</w:t>
            </w:r>
          </w:p>
        </w:tc>
        <w:tc>
          <w:tcPr>
            <w:tcW w:w="1101" w:type="dxa"/>
            <w:tcBorders>
              <w:top w:val="outset" w:sz="6" w:space="0" w:color="auto"/>
              <w:left w:val="outset" w:sz="6" w:space="0" w:color="auto"/>
              <w:bottom w:val="outset" w:sz="6" w:space="0" w:color="auto"/>
              <w:right w:val="outset" w:sz="6" w:space="0" w:color="auto"/>
            </w:tcBorders>
            <w:hideMark/>
          </w:tcPr>
          <w:p w14:paraId="71628BB6"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10</w:t>
            </w:r>
          </w:p>
        </w:tc>
        <w:tc>
          <w:tcPr>
            <w:tcW w:w="665" w:type="dxa"/>
            <w:tcBorders>
              <w:top w:val="outset" w:sz="6" w:space="0" w:color="auto"/>
              <w:left w:val="outset" w:sz="6" w:space="0" w:color="auto"/>
              <w:bottom w:val="outset" w:sz="6" w:space="0" w:color="auto"/>
              <w:right w:val="outset" w:sz="6" w:space="0" w:color="auto"/>
            </w:tcBorders>
            <w:hideMark/>
          </w:tcPr>
          <w:p w14:paraId="6C96C34B"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-28</w:t>
            </w:r>
          </w:p>
        </w:tc>
        <w:tc>
          <w:tcPr>
            <w:tcW w:w="1331" w:type="dxa"/>
            <w:tcBorders>
              <w:top w:val="outset" w:sz="6" w:space="0" w:color="auto"/>
              <w:left w:val="outset" w:sz="6" w:space="0" w:color="auto"/>
              <w:bottom w:val="outset" w:sz="6" w:space="0" w:color="auto"/>
              <w:right w:val="outset" w:sz="6" w:space="0" w:color="auto"/>
            </w:tcBorders>
            <w:hideMark/>
          </w:tcPr>
          <w:p w14:paraId="6ECF0FF3"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-60</w:t>
            </w:r>
          </w:p>
        </w:tc>
        <w:tc>
          <w:tcPr>
            <w:tcW w:w="797" w:type="dxa"/>
            <w:tcBorders>
              <w:top w:val="outset" w:sz="6" w:space="0" w:color="auto"/>
              <w:left w:val="outset" w:sz="6" w:space="0" w:color="auto"/>
              <w:bottom w:val="outset" w:sz="6" w:space="0" w:color="auto"/>
              <w:right w:val="outset" w:sz="6" w:space="0" w:color="auto"/>
            </w:tcBorders>
            <w:hideMark/>
          </w:tcPr>
          <w:p w14:paraId="18A3D949"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-54</w:t>
            </w:r>
          </w:p>
        </w:tc>
        <w:tc>
          <w:tcPr>
            <w:tcW w:w="947" w:type="dxa"/>
            <w:tcBorders>
              <w:top w:val="outset" w:sz="6" w:space="0" w:color="auto"/>
              <w:left w:val="outset" w:sz="6" w:space="0" w:color="auto"/>
              <w:bottom w:val="outset" w:sz="6" w:space="0" w:color="auto"/>
              <w:right w:val="outset" w:sz="6" w:space="0" w:color="auto"/>
            </w:tcBorders>
            <w:hideMark/>
          </w:tcPr>
          <w:p w14:paraId="60D390AC" w14:textId="77777777" w:rsidR="008246D3" w:rsidRPr="00D72200" w:rsidRDefault="008246D3" w:rsidP="00D73AAE">
            <w:pPr>
              <w:spacing w:before="100" w:beforeAutospacing="1" w:after="75"/>
              <w:jc w:val="center"/>
              <w:rPr>
                <w:color w:val="000000"/>
                <w:sz w:val="22"/>
                <w:szCs w:val="22"/>
              </w:rPr>
            </w:pPr>
            <w:r w:rsidRPr="00D72200">
              <w:rPr>
                <w:color w:val="000000"/>
                <w:sz w:val="22"/>
                <w:szCs w:val="22"/>
              </w:rPr>
              <w:t>0</w:t>
            </w:r>
          </w:p>
        </w:tc>
      </w:tr>
    </w:tbl>
    <w:p w14:paraId="5C5E8589" w14:textId="77777777" w:rsidR="008246D3" w:rsidRPr="00D72200" w:rsidRDefault="008246D3" w:rsidP="00480FB1">
      <w:pPr>
        <w:tabs>
          <w:tab w:val="left" w:pos="540"/>
          <w:tab w:val="left" w:pos="569"/>
        </w:tabs>
        <w:rPr>
          <w:b/>
          <w:bCs/>
          <w:sz w:val="22"/>
          <w:szCs w:val="22"/>
        </w:rPr>
      </w:pPr>
    </w:p>
    <w:p w14:paraId="3135D0A8" w14:textId="55617479" w:rsidR="008246D3" w:rsidRPr="00D72200" w:rsidRDefault="008246D3">
      <w:pPr>
        <w:shd w:val="clear" w:color="auto" w:fill="FFFFFF"/>
        <w:tabs>
          <w:tab w:val="left" w:pos="284"/>
          <w:tab w:val="left" w:pos="9270"/>
        </w:tabs>
        <w:spacing w:before="5"/>
        <w:ind w:left="67" w:right="36"/>
        <w:jc w:val="both"/>
        <w:rPr>
          <w:color w:val="000000"/>
          <w:sz w:val="22"/>
          <w:szCs w:val="22"/>
        </w:rPr>
      </w:pPr>
      <w:r w:rsidRPr="00D72200">
        <w:rPr>
          <w:color w:val="000000"/>
          <w:sz w:val="22"/>
          <w:szCs w:val="22"/>
        </w:rPr>
        <w:t>Terapijski efekat je postignut tokom prve ned</w:t>
      </w:r>
      <w:r w:rsidR="0081710C" w:rsidRPr="00D72200">
        <w:rPr>
          <w:color w:val="000000"/>
          <w:sz w:val="22"/>
          <w:szCs w:val="22"/>
        </w:rPr>
        <w:t>j</w:t>
      </w:r>
      <w:r w:rsidRPr="00D72200">
        <w:rPr>
          <w:color w:val="000000"/>
          <w:sz w:val="22"/>
          <w:szCs w:val="22"/>
        </w:rPr>
        <w:t>elje od započinjanja terapije, a 90% maksimalnog odgovora je postignuto za 2 ned</w:t>
      </w:r>
      <w:r w:rsidR="0081710C" w:rsidRPr="00D72200">
        <w:rPr>
          <w:color w:val="000000"/>
          <w:sz w:val="22"/>
          <w:szCs w:val="22"/>
        </w:rPr>
        <w:t>j</w:t>
      </w:r>
      <w:r w:rsidRPr="00D72200">
        <w:rPr>
          <w:color w:val="000000"/>
          <w:sz w:val="22"/>
          <w:szCs w:val="22"/>
        </w:rPr>
        <w:t>elje. Maksimalan odgovor se obično postiže nakon 4 ned</w:t>
      </w:r>
      <w:r w:rsidR="0081710C" w:rsidRPr="00D72200">
        <w:rPr>
          <w:color w:val="000000"/>
          <w:sz w:val="22"/>
          <w:szCs w:val="22"/>
        </w:rPr>
        <w:t>j</w:t>
      </w:r>
      <w:r w:rsidRPr="00D72200">
        <w:rPr>
          <w:color w:val="000000"/>
          <w:sz w:val="22"/>
          <w:szCs w:val="22"/>
        </w:rPr>
        <w:t>elje i nakon toga se održava.</w:t>
      </w:r>
    </w:p>
    <w:p w14:paraId="7892887B" w14:textId="77777777" w:rsidR="008246D3" w:rsidRPr="00D72200" w:rsidRDefault="008246D3" w:rsidP="00D73AAE">
      <w:pPr>
        <w:tabs>
          <w:tab w:val="left" w:pos="540"/>
          <w:tab w:val="left" w:pos="569"/>
        </w:tabs>
        <w:jc w:val="both"/>
        <w:rPr>
          <w:b/>
          <w:bCs/>
          <w:sz w:val="22"/>
          <w:szCs w:val="22"/>
        </w:rPr>
      </w:pPr>
    </w:p>
    <w:p w14:paraId="288AD384" w14:textId="16BE2E43" w:rsidR="008246D3" w:rsidRPr="00D72200" w:rsidRDefault="008246D3" w:rsidP="00D73AAE">
      <w:pPr>
        <w:shd w:val="clear" w:color="auto" w:fill="FFFFFF"/>
        <w:tabs>
          <w:tab w:val="left" w:pos="284"/>
          <w:tab w:val="left" w:pos="9270"/>
        </w:tabs>
        <w:spacing w:before="5"/>
        <w:ind w:right="36"/>
        <w:jc w:val="both"/>
        <w:rPr>
          <w:b/>
          <w:sz w:val="22"/>
          <w:szCs w:val="22"/>
        </w:rPr>
      </w:pPr>
      <w:r w:rsidRPr="00D72200">
        <w:rPr>
          <w:b/>
          <w:sz w:val="22"/>
          <w:szCs w:val="22"/>
        </w:rPr>
        <w:t>Klinička efikasnost i bezb</w:t>
      </w:r>
      <w:r w:rsidR="0081710C" w:rsidRPr="00D72200">
        <w:rPr>
          <w:b/>
          <w:sz w:val="22"/>
          <w:szCs w:val="22"/>
        </w:rPr>
        <w:t>j</w:t>
      </w:r>
      <w:r w:rsidRPr="00D72200">
        <w:rPr>
          <w:b/>
          <w:sz w:val="22"/>
          <w:szCs w:val="22"/>
        </w:rPr>
        <w:t>ednost</w:t>
      </w:r>
    </w:p>
    <w:p w14:paraId="70E13A1B" w14:textId="77777777" w:rsidR="008246D3" w:rsidRPr="00D72200" w:rsidRDefault="008246D3">
      <w:pPr>
        <w:shd w:val="clear" w:color="auto" w:fill="FFFFFF"/>
        <w:tabs>
          <w:tab w:val="left" w:pos="284"/>
          <w:tab w:val="left" w:pos="9270"/>
        </w:tabs>
        <w:spacing w:before="5"/>
        <w:ind w:right="36"/>
        <w:jc w:val="both"/>
        <w:rPr>
          <w:sz w:val="22"/>
          <w:szCs w:val="22"/>
        </w:rPr>
      </w:pPr>
      <w:r w:rsidRPr="00D72200">
        <w:rPr>
          <w:sz w:val="22"/>
          <w:szCs w:val="22"/>
        </w:rPr>
        <w:t xml:space="preserve">Rosuvastatin je efikasan kod odraslih pacijenata sa hiperholesterolemijom, sa ili bez </w:t>
      </w:r>
      <w:r w:rsidR="00EC49F7" w:rsidRPr="00D72200">
        <w:rPr>
          <w:sz w:val="22"/>
          <w:szCs w:val="22"/>
        </w:rPr>
        <w:t>h</w:t>
      </w:r>
      <w:r w:rsidRPr="00D72200">
        <w:rPr>
          <w:sz w:val="22"/>
          <w:szCs w:val="22"/>
        </w:rPr>
        <w:t>ipertrigliceridemije, nezavisno od rase, pola, starosti i kod posebnih grupa pacijanata kao što su dijabetičari ili pacijenti sa porodičnom hiperholesterolemijom.</w:t>
      </w:r>
    </w:p>
    <w:p w14:paraId="0B7EFEC5" w14:textId="385EFF93" w:rsidR="008246D3" w:rsidRPr="00D72200" w:rsidRDefault="008246D3" w:rsidP="00D73AAE">
      <w:pPr>
        <w:tabs>
          <w:tab w:val="left" w:pos="284"/>
        </w:tabs>
        <w:spacing w:before="100" w:beforeAutospacing="1" w:after="75"/>
        <w:jc w:val="both"/>
        <w:rPr>
          <w:color w:val="000000"/>
          <w:sz w:val="22"/>
          <w:szCs w:val="22"/>
        </w:rPr>
      </w:pPr>
      <w:r w:rsidRPr="00D72200">
        <w:rPr>
          <w:sz w:val="22"/>
          <w:szCs w:val="22"/>
        </w:rPr>
        <w:lastRenderedPageBreak/>
        <w:t>Podaci koji su dobijeni na osnovu faze III kliničkog ispitivanja, pokazuju da je rosuvastatin efikasan u postizanju ciljnih vr</w:t>
      </w:r>
      <w:r w:rsidR="0081710C" w:rsidRPr="00D72200">
        <w:rPr>
          <w:sz w:val="22"/>
          <w:szCs w:val="22"/>
        </w:rPr>
        <w:t>ij</w:t>
      </w:r>
      <w:r w:rsidRPr="00D72200">
        <w:rPr>
          <w:sz w:val="22"/>
          <w:szCs w:val="22"/>
        </w:rPr>
        <w:t>ednosti definisanih od strane Evropskog udruženja za aterosklerozu (EAS;1998) u l</w:t>
      </w:r>
      <w:r w:rsidR="0081710C" w:rsidRPr="00D72200">
        <w:rPr>
          <w:sz w:val="22"/>
          <w:szCs w:val="22"/>
        </w:rPr>
        <w:t>ij</w:t>
      </w:r>
      <w:r w:rsidRPr="00D72200">
        <w:rPr>
          <w:sz w:val="22"/>
          <w:szCs w:val="22"/>
        </w:rPr>
        <w:t>ečenju većine pacijenata sa hiperholesterolemijom tipa IIa i IIb (</w:t>
      </w:r>
      <w:r w:rsidRPr="00D72200">
        <w:rPr>
          <w:color w:val="000000"/>
          <w:sz w:val="22"/>
          <w:szCs w:val="22"/>
        </w:rPr>
        <w:t>sa srednjom početnom vr</w:t>
      </w:r>
      <w:r w:rsidR="0081710C" w:rsidRPr="00D72200">
        <w:rPr>
          <w:color w:val="000000"/>
          <w:sz w:val="22"/>
          <w:szCs w:val="22"/>
        </w:rPr>
        <w:t>ij</w:t>
      </w:r>
      <w:r w:rsidRPr="00D72200">
        <w:rPr>
          <w:color w:val="000000"/>
          <w:sz w:val="22"/>
          <w:szCs w:val="22"/>
        </w:rPr>
        <w:t>ednošću LDL-holesterola oko 4.8 mmol/</w:t>
      </w:r>
      <w:r w:rsidR="001F7F12" w:rsidRPr="00D72200">
        <w:rPr>
          <w:color w:val="000000"/>
          <w:sz w:val="22"/>
          <w:szCs w:val="22"/>
        </w:rPr>
        <w:t>l</w:t>
      </w:r>
      <w:r w:rsidRPr="00D72200">
        <w:rPr>
          <w:color w:val="000000"/>
          <w:sz w:val="22"/>
          <w:szCs w:val="22"/>
        </w:rPr>
        <w:t>); oko 80% pacijenata koji su dobijali dozu od 10 mg je postiglo  EAS ciljne vr</w:t>
      </w:r>
      <w:r w:rsidR="0081710C" w:rsidRPr="00D72200">
        <w:rPr>
          <w:color w:val="000000"/>
          <w:sz w:val="22"/>
          <w:szCs w:val="22"/>
        </w:rPr>
        <w:t>ij</w:t>
      </w:r>
      <w:r w:rsidRPr="00D72200">
        <w:rPr>
          <w:color w:val="000000"/>
          <w:sz w:val="22"/>
          <w:szCs w:val="22"/>
        </w:rPr>
        <w:t>ednosti za  LDL-holesterol (&lt; 3 mmol/</w:t>
      </w:r>
      <w:r w:rsidR="001F7F12" w:rsidRPr="00D72200">
        <w:rPr>
          <w:color w:val="000000"/>
          <w:sz w:val="22"/>
          <w:szCs w:val="22"/>
        </w:rPr>
        <w:t>l</w:t>
      </w:r>
      <w:r w:rsidRPr="00D72200">
        <w:rPr>
          <w:color w:val="000000"/>
          <w:sz w:val="22"/>
          <w:szCs w:val="22"/>
        </w:rPr>
        <w:t xml:space="preserve">). </w:t>
      </w:r>
    </w:p>
    <w:p w14:paraId="220080D8" w14:textId="62A4B03B" w:rsidR="00EC49F7" w:rsidRPr="00D72200" w:rsidRDefault="00EC49F7">
      <w:pPr>
        <w:tabs>
          <w:tab w:val="left" w:pos="284"/>
        </w:tabs>
        <w:spacing w:before="100" w:beforeAutospacing="1" w:after="75"/>
        <w:jc w:val="both"/>
        <w:rPr>
          <w:color w:val="000000"/>
          <w:sz w:val="22"/>
          <w:szCs w:val="22"/>
          <w:lang w:val="sr-Latn-RS"/>
        </w:rPr>
      </w:pPr>
      <w:r w:rsidRPr="00D72200">
        <w:rPr>
          <w:color w:val="000000"/>
          <w:sz w:val="22"/>
          <w:szCs w:val="22"/>
          <w:lang w:val="sr-Latn-RS"/>
        </w:rPr>
        <w:t xml:space="preserve">U jednoj obimnoj studiji sa dizajnom ubrzanog titriranja doze, kod 435 pacijenata sa heterozigotnom porodičnom hiperholesterolemijom su primjenjivane doze </w:t>
      </w:r>
      <w:r w:rsidRPr="00D72200">
        <w:rPr>
          <w:sz w:val="22"/>
          <w:szCs w:val="22"/>
          <w:lang w:val="sr-Latn-RS"/>
        </w:rPr>
        <w:t>rosuvastatina</w:t>
      </w:r>
      <w:r w:rsidRPr="00D72200">
        <w:rPr>
          <w:color w:val="000000"/>
          <w:sz w:val="22"/>
          <w:szCs w:val="22"/>
          <w:lang w:val="sr-Latn-RS"/>
        </w:rPr>
        <w:t xml:space="preserve"> od 20</w:t>
      </w:r>
      <w:r w:rsidR="001F7F12" w:rsidRPr="00D72200">
        <w:rPr>
          <w:color w:val="000000"/>
          <w:sz w:val="22"/>
          <w:szCs w:val="22"/>
          <w:lang w:val="sr-Latn-RS"/>
        </w:rPr>
        <w:t xml:space="preserve"> </w:t>
      </w:r>
      <w:r w:rsidRPr="00D72200">
        <w:rPr>
          <w:color w:val="000000"/>
          <w:sz w:val="22"/>
          <w:szCs w:val="22"/>
          <w:lang w:val="sr-Latn-RS"/>
        </w:rPr>
        <w:t>mg do 80</w:t>
      </w:r>
      <w:r w:rsidR="001F7F12" w:rsidRPr="00D72200">
        <w:rPr>
          <w:color w:val="000000"/>
          <w:sz w:val="22"/>
          <w:szCs w:val="22"/>
          <w:lang w:val="sr-Latn-RS"/>
        </w:rPr>
        <w:t xml:space="preserve"> </w:t>
      </w:r>
      <w:r w:rsidRPr="00D72200">
        <w:rPr>
          <w:color w:val="000000"/>
          <w:sz w:val="22"/>
          <w:szCs w:val="22"/>
          <w:lang w:val="sr-Latn-RS"/>
        </w:rPr>
        <w:t>mg. Sve doze su imale povoljan efekat na lipidne parametre i ostvareni su terapijski ciljevi. Nakon titriranja do dnevne doze od 40</w:t>
      </w:r>
      <w:r w:rsidR="001F7F12" w:rsidRPr="00D72200">
        <w:rPr>
          <w:color w:val="000000"/>
          <w:sz w:val="22"/>
          <w:szCs w:val="22"/>
          <w:lang w:val="sr-Latn-RS"/>
        </w:rPr>
        <w:t xml:space="preserve"> </w:t>
      </w:r>
      <w:r w:rsidRPr="00D72200">
        <w:rPr>
          <w:color w:val="000000"/>
          <w:sz w:val="22"/>
          <w:szCs w:val="22"/>
          <w:lang w:val="sr-Latn-RS"/>
        </w:rPr>
        <w:t>mg (12 nedjelja terapije), nivo LDL holesterola je smanjen za 53%. 33% pacijenata je dostiglo EAS ciljne vrijednosti za LDL-holesterol (&lt;3 mmol/l).</w:t>
      </w:r>
    </w:p>
    <w:p w14:paraId="085B9791" w14:textId="6309BB59" w:rsidR="00EC49F7" w:rsidRPr="00D72200" w:rsidRDefault="00EC49F7">
      <w:pPr>
        <w:tabs>
          <w:tab w:val="left" w:pos="284"/>
        </w:tabs>
        <w:spacing w:before="100" w:beforeAutospacing="1" w:after="75"/>
        <w:jc w:val="both"/>
        <w:rPr>
          <w:color w:val="000000"/>
          <w:sz w:val="22"/>
          <w:szCs w:val="22"/>
          <w:lang w:val="sr-Latn-RS"/>
        </w:rPr>
      </w:pPr>
      <w:r w:rsidRPr="00D72200">
        <w:rPr>
          <w:color w:val="000000"/>
          <w:sz w:val="22"/>
          <w:szCs w:val="22"/>
          <w:lang w:val="sr-Latn-RS"/>
        </w:rPr>
        <w:t xml:space="preserve">U otvorenom ispitivanju sa dizajnom ubrzanog titriranja doze, kod 42 pacijenta (uključujući 8 pedijatrijskih pacijenata) sa homozigotnom porodičnom hiperholesterolemijom je vršena procjena odgovora na </w:t>
      </w:r>
      <w:r w:rsidRPr="00D72200">
        <w:rPr>
          <w:sz w:val="22"/>
          <w:szCs w:val="22"/>
          <w:lang w:val="sr-Latn-RS"/>
        </w:rPr>
        <w:t>rosuvastatin</w:t>
      </w:r>
      <w:r w:rsidRPr="00D72200">
        <w:rPr>
          <w:color w:val="000000"/>
          <w:sz w:val="22"/>
          <w:szCs w:val="22"/>
          <w:lang w:val="sr-Latn-RS"/>
        </w:rPr>
        <w:t xml:space="preserve"> od 20-40</w:t>
      </w:r>
      <w:r w:rsidR="001F7F12" w:rsidRPr="00D72200">
        <w:rPr>
          <w:color w:val="000000"/>
          <w:sz w:val="22"/>
          <w:szCs w:val="22"/>
          <w:lang w:val="sr-Latn-RS"/>
        </w:rPr>
        <w:t xml:space="preserve"> </w:t>
      </w:r>
      <w:r w:rsidRPr="00D72200">
        <w:rPr>
          <w:color w:val="000000"/>
          <w:sz w:val="22"/>
          <w:szCs w:val="22"/>
          <w:lang w:val="sr-Latn-RS"/>
        </w:rPr>
        <w:t>mg. Kod ukupne populacije ispitanika, prosječna redukcija LDL holesterola je iznosila 22%.</w:t>
      </w:r>
    </w:p>
    <w:p w14:paraId="3CD258E3" w14:textId="6C9D15C2" w:rsidR="00EC49F7" w:rsidRPr="00D72200" w:rsidRDefault="00EC49F7">
      <w:pPr>
        <w:tabs>
          <w:tab w:val="left" w:pos="284"/>
        </w:tabs>
        <w:spacing w:before="100" w:beforeAutospacing="1" w:after="75"/>
        <w:jc w:val="both"/>
        <w:rPr>
          <w:color w:val="000000"/>
          <w:sz w:val="22"/>
          <w:szCs w:val="22"/>
          <w:lang w:val="sr-Latn-RS"/>
        </w:rPr>
      </w:pPr>
      <w:r w:rsidRPr="00D72200">
        <w:rPr>
          <w:color w:val="000000"/>
          <w:sz w:val="22"/>
          <w:szCs w:val="22"/>
          <w:lang w:val="sr-Latn-RS"/>
        </w:rPr>
        <w:t xml:space="preserve">U kliničkim studijama sa ograničenim brojem pacijenata, pokazalo se da </w:t>
      </w:r>
      <w:r w:rsidRPr="00D72200">
        <w:rPr>
          <w:sz w:val="22"/>
          <w:szCs w:val="22"/>
          <w:lang w:val="sr-Latn-RS"/>
        </w:rPr>
        <w:t>rosuvastatin</w:t>
      </w:r>
      <w:r w:rsidRPr="00D72200">
        <w:rPr>
          <w:color w:val="000000"/>
          <w:sz w:val="22"/>
          <w:szCs w:val="22"/>
          <w:lang w:val="sr-Latn-RS"/>
        </w:rPr>
        <w:t xml:space="preserve"> ima dodatnu efikasnost u sniženju triglicerida kada se primjenjuje u kombinaciji sa fenofibratom i povećanju vrijednosti HDL holesterola kada se primjenjuje u kombinaciji sa niacinom (vidjeti </w:t>
      </w:r>
      <w:r w:rsidR="00D82055" w:rsidRPr="00D72200">
        <w:rPr>
          <w:color w:val="000000"/>
          <w:sz w:val="22"/>
          <w:szCs w:val="22"/>
          <w:lang w:val="sr-Latn-RS"/>
        </w:rPr>
        <w:t>d</w:t>
      </w:r>
      <w:r w:rsidR="007D3E25" w:rsidRPr="00D72200">
        <w:rPr>
          <w:color w:val="000000"/>
          <w:sz w:val="22"/>
          <w:szCs w:val="22"/>
          <w:lang w:val="sr-Latn-RS"/>
        </w:rPr>
        <w:t>i</w:t>
      </w:r>
      <w:r w:rsidR="00D82055" w:rsidRPr="00D72200">
        <w:rPr>
          <w:color w:val="000000"/>
          <w:sz w:val="22"/>
          <w:szCs w:val="22"/>
          <w:lang w:val="sr-Latn-RS"/>
        </w:rPr>
        <w:t xml:space="preserve">o </w:t>
      </w:r>
      <w:r w:rsidRPr="00D72200">
        <w:rPr>
          <w:color w:val="000000"/>
          <w:sz w:val="22"/>
          <w:szCs w:val="22"/>
          <w:lang w:val="sr-Latn-RS"/>
        </w:rPr>
        <w:t>4.4).</w:t>
      </w:r>
    </w:p>
    <w:p w14:paraId="23CDA489" w14:textId="75677449" w:rsidR="00EC49F7" w:rsidRPr="00D72200" w:rsidRDefault="00EC49F7" w:rsidP="00D73AAE">
      <w:pPr>
        <w:spacing w:before="100" w:beforeAutospacing="1" w:after="75"/>
        <w:jc w:val="both"/>
        <w:rPr>
          <w:color w:val="000000"/>
          <w:sz w:val="22"/>
          <w:szCs w:val="22"/>
          <w:lang w:val="sr-Latn-RS"/>
        </w:rPr>
      </w:pPr>
      <w:r w:rsidRPr="00D72200">
        <w:rPr>
          <w:color w:val="000000"/>
          <w:sz w:val="22"/>
          <w:szCs w:val="22"/>
          <w:lang w:val="sr-Latn-RS"/>
        </w:rPr>
        <w:t xml:space="preserve">U multicentričnoj, dvostruko slijepoj, placebom kontrolisanoj kliničkoj studiji (METEOR), 984 pacijenta između 45 i 70 godina, sa niskim rizikom od koronarne bolesti srca (definisanim kao </w:t>
      </w:r>
      <w:r w:rsidRPr="00D72200">
        <w:rPr>
          <w:i/>
          <w:color w:val="000000"/>
          <w:sz w:val="22"/>
          <w:szCs w:val="22"/>
          <w:lang w:val="sr-Latn-RS"/>
        </w:rPr>
        <w:t>Framingham</w:t>
      </w:r>
      <w:r w:rsidRPr="00D72200">
        <w:rPr>
          <w:color w:val="000000"/>
          <w:sz w:val="22"/>
          <w:szCs w:val="22"/>
          <w:lang w:val="sr-Latn-RS"/>
        </w:rPr>
        <w:t xml:space="preserve"> rizik  &lt;10% za 10 godina) sa pros</w:t>
      </w:r>
      <w:r w:rsidR="0081710C" w:rsidRPr="00D72200">
        <w:rPr>
          <w:color w:val="000000"/>
          <w:sz w:val="22"/>
          <w:szCs w:val="22"/>
          <w:lang w:val="sr-Latn-RS"/>
        </w:rPr>
        <w:t>j</w:t>
      </w:r>
      <w:r w:rsidRPr="00D72200">
        <w:rPr>
          <w:color w:val="000000"/>
          <w:sz w:val="22"/>
          <w:szCs w:val="22"/>
          <w:lang w:val="sr-Latn-RS"/>
        </w:rPr>
        <w:t>ečnom vrijednošću LDL holesterola od 4,0 mmol/l (154,5 mg/d</w:t>
      </w:r>
      <w:r w:rsidR="001F7F12" w:rsidRPr="00D72200">
        <w:rPr>
          <w:color w:val="000000"/>
          <w:sz w:val="22"/>
          <w:szCs w:val="22"/>
          <w:lang w:val="sr-Latn-RS"/>
        </w:rPr>
        <w:t>l</w:t>
      </w:r>
      <w:r w:rsidRPr="00D72200">
        <w:rPr>
          <w:color w:val="000000"/>
          <w:sz w:val="22"/>
          <w:szCs w:val="22"/>
          <w:lang w:val="sr-Latn-RS"/>
        </w:rPr>
        <w:t>), ali sa subkliničkom aterosklerozom (detektovanom na osnovu debljine karotidne intima medije (</w:t>
      </w:r>
      <w:r w:rsidR="0018254D" w:rsidRPr="00D72200">
        <w:rPr>
          <w:color w:val="000000"/>
          <w:sz w:val="22"/>
          <w:szCs w:val="22"/>
          <w:lang w:val="sr-Latn-RS"/>
        </w:rPr>
        <w:t xml:space="preserve">engl. </w:t>
      </w:r>
      <w:r w:rsidR="0018254D" w:rsidRPr="00D72200">
        <w:rPr>
          <w:i/>
          <w:iCs/>
          <w:color w:val="000000"/>
          <w:sz w:val="22"/>
          <w:szCs w:val="22"/>
          <w:lang w:val="sr-Latn-RS"/>
        </w:rPr>
        <w:t>Carotid Intima Media Thickness</w:t>
      </w:r>
      <w:r w:rsidR="0018254D" w:rsidRPr="00D72200">
        <w:rPr>
          <w:color w:val="000000"/>
          <w:sz w:val="22"/>
          <w:szCs w:val="22"/>
          <w:lang w:val="sr-Latn-RS"/>
        </w:rPr>
        <w:t xml:space="preserve">, </w:t>
      </w:r>
      <w:r w:rsidRPr="00D72200">
        <w:rPr>
          <w:color w:val="000000"/>
          <w:sz w:val="22"/>
          <w:szCs w:val="22"/>
          <w:lang w:val="sr-Latn-RS"/>
        </w:rPr>
        <w:t>CIMT)) su randomizovani u grupu koja je dobijala rosuvastatin od 40</w:t>
      </w:r>
      <w:r w:rsidR="001F7F12" w:rsidRPr="00D72200">
        <w:rPr>
          <w:color w:val="000000"/>
          <w:sz w:val="22"/>
          <w:szCs w:val="22"/>
          <w:lang w:val="sr-Latn-RS"/>
        </w:rPr>
        <w:t xml:space="preserve"> </w:t>
      </w:r>
      <w:r w:rsidRPr="00D72200">
        <w:rPr>
          <w:color w:val="000000"/>
          <w:sz w:val="22"/>
          <w:szCs w:val="22"/>
          <w:lang w:val="sr-Latn-RS"/>
        </w:rPr>
        <w:t xml:space="preserve">mg jednom dnevno i placebo grupu, tokom 2 godine. Rosuvastatin je značajno usporio stopu progresije maksimalne CIMT vrijednosti (na  12 tačaka  na karotidnoj arteriji) u odnosu na placebo, za -0,0145 mm godišnje [95% interval poverenja -0,0196, -0,0093; p&lt;0,0001]. Promjena u odnosu na početne vrijednosti je bila -0,0014 mm godišnje (-0,12% godišnje (nije značajna)) pri primjeni rosuvastatina u poređenju sa progresijom od +0,0131 mm godišnje (1,12% godišnje (p&lt;0,0001) kod placeba. Nije dokazana direktna povezanost između smanjenja vrijednosti CIMT i smanjenja rizika od pojave kardiovaskularnih događaja. Populacija ispitanika iz METEOR studije ima nizak rizik od pojave koronarne bolesti srca i ne predstavlja ciljnu populaciju za </w:t>
      </w:r>
      <w:r w:rsidRPr="00D72200">
        <w:rPr>
          <w:sz w:val="22"/>
          <w:szCs w:val="22"/>
          <w:lang w:val="sr-Latn-RS"/>
        </w:rPr>
        <w:t>rosuvastatin od 40</w:t>
      </w:r>
      <w:r w:rsidR="001F7F12" w:rsidRPr="00D72200">
        <w:rPr>
          <w:sz w:val="22"/>
          <w:szCs w:val="22"/>
          <w:lang w:val="sr-Latn-RS"/>
        </w:rPr>
        <w:t xml:space="preserve"> </w:t>
      </w:r>
      <w:r w:rsidRPr="00D72200">
        <w:rPr>
          <w:sz w:val="22"/>
          <w:szCs w:val="22"/>
          <w:lang w:val="sr-Latn-RS"/>
        </w:rPr>
        <w:t>mg. Doza od 40</w:t>
      </w:r>
      <w:r w:rsidR="001F7F12" w:rsidRPr="00D72200">
        <w:rPr>
          <w:sz w:val="22"/>
          <w:szCs w:val="22"/>
          <w:lang w:val="sr-Latn-RS"/>
        </w:rPr>
        <w:t xml:space="preserve"> </w:t>
      </w:r>
      <w:r w:rsidRPr="00D72200">
        <w:rPr>
          <w:sz w:val="22"/>
          <w:szCs w:val="22"/>
          <w:lang w:val="sr-Latn-RS"/>
        </w:rPr>
        <w:t xml:space="preserve">mg treba da se propisuje samo pacijentima </w:t>
      </w:r>
      <w:r w:rsidRPr="00D72200">
        <w:rPr>
          <w:color w:val="000000"/>
          <w:sz w:val="22"/>
          <w:szCs w:val="22"/>
          <w:lang w:val="sr-Latn-RS"/>
        </w:rPr>
        <w:t xml:space="preserve">sa teškom hiperholesterolemijom koji imaju visok kardiovaskularni rizik (vidjeti </w:t>
      </w:r>
      <w:r w:rsidR="00D82055" w:rsidRPr="00D72200">
        <w:rPr>
          <w:color w:val="000000"/>
          <w:sz w:val="22"/>
          <w:szCs w:val="22"/>
          <w:lang w:val="sr-Latn-RS"/>
        </w:rPr>
        <w:t>d</w:t>
      </w:r>
      <w:r w:rsidR="007D3E25" w:rsidRPr="00D72200">
        <w:rPr>
          <w:color w:val="000000"/>
          <w:sz w:val="22"/>
          <w:szCs w:val="22"/>
          <w:lang w:val="sr-Latn-RS"/>
        </w:rPr>
        <w:t>i</w:t>
      </w:r>
      <w:r w:rsidR="00D82055" w:rsidRPr="00D72200">
        <w:rPr>
          <w:color w:val="000000"/>
          <w:sz w:val="22"/>
          <w:szCs w:val="22"/>
          <w:lang w:val="sr-Latn-RS"/>
        </w:rPr>
        <w:t xml:space="preserve">o </w:t>
      </w:r>
      <w:r w:rsidRPr="00D72200">
        <w:rPr>
          <w:color w:val="000000"/>
          <w:sz w:val="22"/>
          <w:szCs w:val="22"/>
          <w:lang w:val="sr-Latn-RS"/>
        </w:rPr>
        <w:t>4.2).</w:t>
      </w:r>
    </w:p>
    <w:p w14:paraId="232DEC05" w14:textId="51293A2D" w:rsidR="00EC49F7" w:rsidRPr="00D72200" w:rsidRDefault="00EC49F7">
      <w:pPr>
        <w:tabs>
          <w:tab w:val="left" w:pos="284"/>
        </w:tabs>
        <w:spacing w:before="100" w:beforeAutospacing="1" w:after="75"/>
        <w:jc w:val="both"/>
        <w:rPr>
          <w:color w:val="000000"/>
          <w:sz w:val="22"/>
          <w:szCs w:val="22"/>
          <w:lang w:val="sr-Latn-RS"/>
        </w:rPr>
      </w:pPr>
      <w:r w:rsidRPr="00D72200">
        <w:rPr>
          <w:color w:val="000000"/>
          <w:sz w:val="22"/>
          <w:szCs w:val="22"/>
          <w:lang w:val="sr-Latn-RS"/>
        </w:rPr>
        <w:t>U studiji</w:t>
      </w:r>
      <w:r w:rsidR="00F93FC4" w:rsidRPr="00D72200">
        <w:rPr>
          <w:color w:val="000000"/>
          <w:sz w:val="22"/>
          <w:szCs w:val="22"/>
          <w:lang w:val="sr-Latn-RS"/>
        </w:rPr>
        <w:t xml:space="preserve"> </w:t>
      </w:r>
      <w:r w:rsidRPr="00D72200">
        <w:rPr>
          <w:color w:val="000000"/>
          <w:sz w:val="22"/>
          <w:szCs w:val="22"/>
          <w:lang w:val="sr-Latn-RS"/>
        </w:rPr>
        <w:t>Opravdanost primjene statina u primarnoj prevenciji: intervenciona studija procjene rosuvastatina (</w:t>
      </w:r>
      <w:r w:rsidR="001B165F" w:rsidRPr="00D72200">
        <w:rPr>
          <w:color w:val="000000"/>
          <w:sz w:val="22"/>
          <w:szCs w:val="22"/>
          <w:lang w:val="sr-Latn-RS"/>
        </w:rPr>
        <w:t xml:space="preserve">engl. </w:t>
      </w:r>
      <w:r w:rsidR="001B165F" w:rsidRPr="00D72200">
        <w:rPr>
          <w:i/>
          <w:iCs/>
          <w:color w:val="000000"/>
          <w:sz w:val="22"/>
          <w:szCs w:val="22"/>
          <w:lang w:val="sr-Latn-RS"/>
        </w:rPr>
        <w:t>Justification for the Use of Statins in Primary Prevention: An Intervention Trial Evaluating Rosuvastatin</w:t>
      </w:r>
      <w:r w:rsidR="001B165F" w:rsidRPr="00D72200">
        <w:rPr>
          <w:color w:val="000000"/>
          <w:sz w:val="22"/>
          <w:szCs w:val="22"/>
          <w:lang w:val="sr-Latn-RS"/>
        </w:rPr>
        <w:t xml:space="preserve">, </w:t>
      </w:r>
      <w:r w:rsidRPr="00D72200">
        <w:rPr>
          <w:color w:val="000000"/>
          <w:sz w:val="22"/>
          <w:szCs w:val="22"/>
          <w:lang w:val="sr-Latn-RS"/>
        </w:rPr>
        <w:t>JUPITER), vršena je procjena uticaja rosuvastatina na pojavu većih aterosklerotskih kardiovaskularnih događaja kod 17.802 muškaraca (≥</w:t>
      </w:r>
      <w:r w:rsidR="00F93FC4" w:rsidRPr="00D72200">
        <w:rPr>
          <w:color w:val="000000"/>
          <w:sz w:val="22"/>
          <w:szCs w:val="22"/>
          <w:lang w:val="sr-Latn-RS"/>
        </w:rPr>
        <w:t xml:space="preserve"> </w:t>
      </w:r>
      <w:r w:rsidRPr="00D72200">
        <w:rPr>
          <w:color w:val="000000"/>
          <w:sz w:val="22"/>
          <w:szCs w:val="22"/>
          <w:lang w:val="sr-Latn-RS"/>
        </w:rPr>
        <w:t>50 godina) i žena (≥</w:t>
      </w:r>
      <w:r w:rsidR="00F93FC4" w:rsidRPr="00D72200">
        <w:rPr>
          <w:color w:val="000000"/>
          <w:sz w:val="22"/>
          <w:szCs w:val="22"/>
          <w:lang w:val="sr-Latn-RS"/>
        </w:rPr>
        <w:t xml:space="preserve"> </w:t>
      </w:r>
      <w:r w:rsidRPr="00D72200">
        <w:rPr>
          <w:color w:val="000000"/>
          <w:sz w:val="22"/>
          <w:szCs w:val="22"/>
          <w:lang w:val="sr-Latn-RS"/>
        </w:rPr>
        <w:t>60godina).</w:t>
      </w:r>
    </w:p>
    <w:p w14:paraId="33C443E6" w14:textId="5886F170" w:rsidR="00EC49F7" w:rsidRPr="00D72200" w:rsidRDefault="00EC49F7">
      <w:pPr>
        <w:tabs>
          <w:tab w:val="left" w:pos="284"/>
        </w:tabs>
        <w:spacing w:before="100" w:beforeAutospacing="1" w:after="75"/>
        <w:jc w:val="both"/>
        <w:rPr>
          <w:color w:val="000000"/>
          <w:sz w:val="22"/>
          <w:szCs w:val="22"/>
          <w:lang w:val="sr-Latn-RS"/>
        </w:rPr>
      </w:pPr>
      <w:r w:rsidRPr="00D72200">
        <w:rPr>
          <w:color w:val="000000"/>
          <w:sz w:val="22"/>
          <w:szCs w:val="22"/>
          <w:lang w:val="sr-Latn-RS"/>
        </w:rPr>
        <w:t>Ispitanici su randomizovani u placebo grupu (n=8901) ili grupu koja je primala rosuvastatin od 20</w:t>
      </w:r>
      <w:r w:rsidR="00F93FC4" w:rsidRPr="00D72200">
        <w:rPr>
          <w:color w:val="000000"/>
          <w:sz w:val="22"/>
          <w:szCs w:val="22"/>
          <w:lang w:val="sr-Latn-RS"/>
        </w:rPr>
        <w:t xml:space="preserve"> </w:t>
      </w:r>
      <w:r w:rsidRPr="00D72200">
        <w:rPr>
          <w:color w:val="000000"/>
          <w:sz w:val="22"/>
          <w:szCs w:val="22"/>
          <w:lang w:val="sr-Latn-RS"/>
        </w:rPr>
        <w:t>mg jednom dnevno (n=8901) i praćeni su u prosjeku 2 godine.</w:t>
      </w:r>
      <w:r w:rsidR="00F93FC4" w:rsidRPr="00D72200">
        <w:rPr>
          <w:color w:val="000000"/>
          <w:sz w:val="22"/>
          <w:szCs w:val="22"/>
          <w:lang w:val="sr-Latn-RS"/>
        </w:rPr>
        <w:t xml:space="preserve"> </w:t>
      </w:r>
      <w:r w:rsidRPr="00D72200">
        <w:rPr>
          <w:color w:val="000000"/>
          <w:sz w:val="22"/>
          <w:szCs w:val="22"/>
          <w:lang w:val="sr-Latn-RS"/>
        </w:rPr>
        <w:t>Koncentracija LDL holesterola je smanjena za 45% (p&lt;</w:t>
      </w:r>
      <w:r w:rsidR="00F93FC4" w:rsidRPr="00D72200">
        <w:rPr>
          <w:color w:val="000000"/>
          <w:sz w:val="22"/>
          <w:szCs w:val="22"/>
          <w:lang w:val="sr-Latn-RS"/>
        </w:rPr>
        <w:t xml:space="preserve"> </w:t>
      </w:r>
      <w:r w:rsidRPr="00D72200">
        <w:rPr>
          <w:color w:val="000000"/>
          <w:sz w:val="22"/>
          <w:szCs w:val="22"/>
          <w:lang w:val="sr-Latn-RS"/>
        </w:rPr>
        <w:t>0,001) kod pacijenata koji su primali rosuvastatin u odnosu na pacijente iz placebo grupe.</w:t>
      </w:r>
    </w:p>
    <w:p w14:paraId="0B6D9E5B" w14:textId="4733F158" w:rsidR="00EC49F7" w:rsidRPr="00D72200" w:rsidRDefault="00EC49F7">
      <w:pPr>
        <w:tabs>
          <w:tab w:val="left" w:pos="284"/>
        </w:tabs>
        <w:spacing w:before="100" w:beforeAutospacing="1" w:after="75"/>
        <w:jc w:val="both"/>
        <w:rPr>
          <w:color w:val="000000"/>
          <w:sz w:val="22"/>
          <w:szCs w:val="22"/>
          <w:lang w:val="sr-Latn-RS"/>
        </w:rPr>
      </w:pPr>
      <w:r w:rsidRPr="00D72200">
        <w:rPr>
          <w:color w:val="000000"/>
          <w:sz w:val="22"/>
          <w:szCs w:val="22"/>
          <w:lang w:val="sr-Latn-RS"/>
        </w:rPr>
        <w:t xml:space="preserve">U </w:t>
      </w:r>
      <w:r w:rsidRPr="00D72200">
        <w:rPr>
          <w:i/>
          <w:color w:val="000000"/>
          <w:sz w:val="22"/>
          <w:szCs w:val="22"/>
          <w:lang w:val="sr-Latn-RS"/>
        </w:rPr>
        <w:t xml:space="preserve">post hoc </w:t>
      </w:r>
      <w:r w:rsidRPr="00D72200">
        <w:rPr>
          <w:color w:val="000000"/>
          <w:sz w:val="22"/>
          <w:szCs w:val="22"/>
          <w:lang w:val="sr-Latn-RS"/>
        </w:rPr>
        <w:t xml:space="preserve">analizi podgrupe subjekata sa visokim rizikom, sa početnom procjenom rizika po </w:t>
      </w:r>
      <w:r w:rsidRPr="00D72200">
        <w:rPr>
          <w:i/>
          <w:color w:val="000000"/>
          <w:sz w:val="22"/>
          <w:szCs w:val="22"/>
          <w:lang w:val="sr-Latn-RS"/>
        </w:rPr>
        <w:t>Framingham</w:t>
      </w:r>
      <w:r w:rsidRPr="00D72200">
        <w:rPr>
          <w:color w:val="000000"/>
          <w:sz w:val="22"/>
          <w:szCs w:val="22"/>
          <w:lang w:val="sr-Latn-RS"/>
        </w:rPr>
        <w:t xml:space="preserve"> skoru ˃20% (1558 pacijenata), ustanovljeno je značajno smanjenje  kombinovanog ishoda  kardiovaskularne smrti, moždanog udara i infarkta miokarda (p=0,028) pri primjeni rosuvastatina u odnosu na placebo. Redukcija apsolutnog rizika izražena kao stopa događaja na 1000 pacijent</w:t>
      </w:r>
      <w:r w:rsidR="007E6869" w:rsidRPr="00D72200">
        <w:rPr>
          <w:color w:val="000000"/>
          <w:sz w:val="22"/>
          <w:szCs w:val="22"/>
          <w:lang w:val="sr-Latn-RS"/>
        </w:rPr>
        <w:t>-</w:t>
      </w:r>
      <w:r w:rsidRPr="00D72200">
        <w:rPr>
          <w:color w:val="000000"/>
          <w:sz w:val="22"/>
          <w:szCs w:val="22"/>
          <w:lang w:val="sr-Latn-RS"/>
        </w:rPr>
        <w:t xml:space="preserve">godina je bila 8,8. Ukupan mortalitet je ostao nepromijenjen u ovoj grupi visokog rizika (p=0,193). U </w:t>
      </w:r>
      <w:r w:rsidRPr="00D72200">
        <w:rPr>
          <w:i/>
          <w:color w:val="000000"/>
          <w:sz w:val="22"/>
          <w:szCs w:val="22"/>
          <w:lang w:val="sr-Latn-RS"/>
        </w:rPr>
        <w:t xml:space="preserve">post hoc </w:t>
      </w:r>
      <w:r w:rsidRPr="00D72200">
        <w:rPr>
          <w:color w:val="000000"/>
          <w:sz w:val="22"/>
          <w:szCs w:val="22"/>
          <w:lang w:val="sr-Latn-RS"/>
        </w:rPr>
        <w:t>analizi podgrupe pacijenata sa visokim rizikom (ukupno 9302 pacijenta) sa početnom vrijednošću SCORE rizika ≥</w:t>
      </w:r>
      <w:r w:rsidR="00F93FC4" w:rsidRPr="00D72200">
        <w:rPr>
          <w:color w:val="000000"/>
          <w:sz w:val="22"/>
          <w:szCs w:val="22"/>
          <w:lang w:val="sr-Latn-RS"/>
        </w:rPr>
        <w:t xml:space="preserve"> </w:t>
      </w:r>
      <w:r w:rsidRPr="00D72200">
        <w:rPr>
          <w:color w:val="000000"/>
          <w:sz w:val="22"/>
          <w:szCs w:val="22"/>
          <w:lang w:val="sr-Latn-RS"/>
        </w:rPr>
        <w:t>5% (predviđenom da obuhvati pacijente iznad 65 godina), došlo</w:t>
      </w:r>
      <w:r w:rsidR="00405A60" w:rsidRPr="00D72200">
        <w:rPr>
          <w:color w:val="000000"/>
          <w:sz w:val="22"/>
          <w:szCs w:val="22"/>
          <w:lang w:val="sr-Latn-RS"/>
        </w:rPr>
        <w:t xml:space="preserve"> je</w:t>
      </w:r>
      <w:r w:rsidRPr="00D72200">
        <w:rPr>
          <w:color w:val="000000"/>
          <w:sz w:val="22"/>
          <w:szCs w:val="22"/>
          <w:lang w:val="sr-Latn-RS"/>
        </w:rPr>
        <w:t xml:space="preserve"> do značajnog smanjenja kombinovanog ishoda kardiovaskularne smrti, moždanog udara i infarkta miokarda (p=0.0003) pri primjeni rosuvastatina u odnosu na placebo. Redukcija apsolutnog rizika izražena kao </w:t>
      </w:r>
      <w:r w:rsidRPr="00D72200">
        <w:rPr>
          <w:color w:val="000000"/>
          <w:sz w:val="22"/>
          <w:szCs w:val="22"/>
          <w:lang w:val="sr-Latn-RS"/>
        </w:rPr>
        <w:lastRenderedPageBreak/>
        <w:t>stopa događaja na 1000 pacijent</w:t>
      </w:r>
      <w:r w:rsidR="00CA3391" w:rsidRPr="00D72200">
        <w:rPr>
          <w:color w:val="000000"/>
          <w:sz w:val="22"/>
          <w:szCs w:val="22"/>
          <w:lang w:val="sr-Latn-RS"/>
        </w:rPr>
        <w:t>-</w:t>
      </w:r>
      <w:r w:rsidRPr="00D72200">
        <w:rPr>
          <w:color w:val="000000"/>
          <w:sz w:val="22"/>
          <w:szCs w:val="22"/>
          <w:lang w:val="sr-Latn-RS"/>
        </w:rPr>
        <w:t>godina je bila 5,1. Ukupan mortalitet je ostao nepromijenjen u ovoj grupi visokog rizika (p=0,076).</w:t>
      </w:r>
    </w:p>
    <w:p w14:paraId="0760CDB2" w14:textId="2C4A4D27" w:rsidR="00EC49F7" w:rsidRPr="00D72200" w:rsidRDefault="00EC49F7">
      <w:pPr>
        <w:tabs>
          <w:tab w:val="left" w:pos="284"/>
        </w:tabs>
        <w:spacing w:before="100" w:beforeAutospacing="1" w:after="75"/>
        <w:jc w:val="both"/>
        <w:rPr>
          <w:color w:val="000000"/>
          <w:sz w:val="22"/>
          <w:szCs w:val="22"/>
          <w:lang w:val="sr-Latn-RS"/>
        </w:rPr>
      </w:pPr>
      <w:r w:rsidRPr="00D72200">
        <w:rPr>
          <w:color w:val="000000"/>
          <w:sz w:val="22"/>
          <w:szCs w:val="22"/>
          <w:lang w:val="sr-Latn-RS"/>
        </w:rPr>
        <w:t>U JUPITER studiji, 6,6% pacijenata koji su primali rosuvastatin i 6,2% pacijenata koji su primali placebo, prekinulo je terapiju zbog neželjenih događaja. Najčešći neželjeni događaji koji su doveli do prekida terapije su bili: mijalgija (0</w:t>
      </w:r>
      <w:r w:rsidR="00CA3391" w:rsidRPr="00D72200">
        <w:rPr>
          <w:color w:val="000000"/>
          <w:sz w:val="22"/>
          <w:szCs w:val="22"/>
          <w:lang w:val="sr-Latn-RS"/>
        </w:rPr>
        <w:t>,</w:t>
      </w:r>
      <w:r w:rsidRPr="00D72200">
        <w:rPr>
          <w:color w:val="000000"/>
          <w:sz w:val="22"/>
          <w:szCs w:val="22"/>
          <w:lang w:val="sr-Latn-RS"/>
        </w:rPr>
        <w:t>3% rosuvastatin, 0</w:t>
      </w:r>
      <w:r w:rsidR="00CA3391" w:rsidRPr="00D72200">
        <w:rPr>
          <w:color w:val="000000"/>
          <w:sz w:val="22"/>
          <w:szCs w:val="22"/>
          <w:lang w:val="sr-Latn-RS"/>
        </w:rPr>
        <w:t>,</w:t>
      </w:r>
      <w:r w:rsidRPr="00D72200">
        <w:rPr>
          <w:color w:val="000000"/>
          <w:sz w:val="22"/>
          <w:szCs w:val="22"/>
          <w:lang w:val="sr-Latn-RS"/>
        </w:rPr>
        <w:t>2% placebo), bol u abdomenu (0</w:t>
      </w:r>
      <w:r w:rsidR="00CA3391" w:rsidRPr="00D72200">
        <w:rPr>
          <w:color w:val="000000"/>
          <w:sz w:val="22"/>
          <w:szCs w:val="22"/>
          <w:lang w:val="sr-Latn-RS"/>
        </w:rPr>
        <w:t>,</w:t>
      </w:r>
      <w:r w:rsidRPr="00D72200">
        <w:rPr>
          <w:color w:val="000000"/>
          <w:sz w:val="22"/>
          <w:szCs w:val="22"/>
          <w:lang w:val="sr-Latn-RS"/>
        </w:rPr>
        <w:t>03% rosuvastatin, 0</w:t>
      </w:r>
      <w:r w:rsidR="00CA3391" w:rsidRPr="00D72200">
        <w:rPr>
          <w:color w:val="000000"/>
          <w:sz w:val="22"/>
          <w:szCs w:val="22"/>
          <w:lang w:val="sr-Latn-RS"/>
        </w:rPr>
        <w:t>,</w:t>
      </w:r>
      <w:r w:rsidRPr="00D72200">
        <w:rPr>
          <w:color w:val="000000"/>
          <w:sz w:val="22"/>
          <w:szCs w:val="22"/>
          <w:lang w:val="sr-Latn-RS"/>
        </w:rPr>
        <w:t>02%  placebo) i osip (0</w:t>
      </w:r>
      <w:r w:rsidR="00CA3391" w:rsidRPr="00D72200">
        <w:rPr>
          <w:color w:val="000000"/>
          <w:sz w:val="22"/>
          <w:szCs w:val="22"/>
          <w:lang w:val="sr-Latn-RS"/>
        </w:rPr>
        <w:t>,</w:t>
      </w:r>
      <w:r w:rsidRPr="00D72200">
        <w:rPr>
          <w:color w:val="000000"/>
          <w:sz w:val="22"/>
          <w:szCs w:val="22"/>
          <w:lang w:val="sr-Latn-RS"/>
        </w:rPr>
        <w:t>02% rosuvastatin, 0</w:t>
      </w:r>
      <w:r w:rsidR="00CA3391" w:rsidRPr="00D72200">
        <w:rPr>
          <w:color w:val="000000"/>
          <w:sz w:val="22"/>
          <w:szCs w:val="22"/>
          <w:lang w:val="sr-Latn-RS"/>
        </w:rPr>
        <w:t>,</w:t>
      </w:r>
      <w:r w:rsidRPr="00D72200">
        <w:rPr>
          <w:color w:val="000000"/>
          <w:sz w:val="22"/>
          <w:szCs w:val="22"/>
          <w:lang w:val="sr-Latn-RS"/>
        </w:rPr>
        <w:t>03%  placebo). Najčešći neželjeni događaji čija je stopa veća ili jednaka onoj u placebo grupi su bili: infekcija urinarnog trakta (8</w:t>
      </w:r>
      <w:r w:rsidR="00CA3391" w:rsidRPr="00D72200">
        <w:rPr>
          <w:color w:val="000000"/>
          <w:sz w:val="22"/>
          <w:szCs w:val="22"/>
          <w:lang w:val="sr-Latn-RS"/>
        </w:rPr>
        <w:t>,</w:t>
      </w:r>
      <w:r w:rsidRPr="00D72200">
        <w:rPr>
          <w:color w:val="000000"/>
          <w:sz w:val="22"/>
          <w:szCs w:val="22"/>
          <w:lang w:val="sr-Latn-RS"/>
        </w:rPr>
        <w:t>7% rosuvastatin, 8</w:t>
      </w:r>
      <w:r w:rsidR="00CA3391" w:rsidRPr="00D72200">
        <w:rPr>
          <w:color w:val="000000"/>
          <w:sz w:val="22"/>
          <w:szCs w:val="22"/>
          <w:lang w:val="sr-Latn-RS"/>
        </w:rPr>
        <w:t>,</w:t>
      </w:r>
      <w:r w:rsidRPr="00D72200">
        <w:rPr>
          <w:color w:val="000000"/>
          <w:sz w:val="22"/>
          <w:szCs w:val="22"/>
          <w:lang w:val="sr-Latn-RS"/>
        </w:rPr>
        <w:t>6% placebo), nazofaringitis (7</w:t>
      </w:r>
      <w:r w:rsidR="00CA3391" w:rsidRPr="00D72200">
        <w:rPr>
          <w:color w:val="000000"/>
          <w:sz w:val="22"/>
          <w:szCs w:val="22"/>
          <w:lang w:val="sr-Latn-RS"/>
        </w:rPr>
        <w:t>,</w:t>
      </w:r>
      <w:r w:rsidRPr="00D72200">
        <w:rPr>
          <w:color w:val="000000"/>
          <w:sz w:val="22"/>
          <w:szCs w:val="22"/>
          <w:lang w:val="sr-Latn-RS"/>
        </w:rPr>
        <w:t>6% rosuvastatin, 7</w:t>
      </w:r>
      <w:r w:rsidR="00CA3391" w:rsidRPr="00D72200">
        <w:rPr>
          <w:color w:val="000000"/>
          <w:sz w:val="22"/>
          <w:szCs w:val="22"/>
          <w:lang w:val="sr-Latn-RS"/>
        </w:rPr>
        <w:t>,</w:t>
      </w:r>
      <w:r w:rsidRPr="00D72200">
        <w:rPr>
          <w:color w:val="000000"/>
          <w:sz w:val="22"/>
          <w:szCs w:val="22"/>
          <w:lang w:val="sr-Latn-RS"/>
        </w:rPr>
        <w:t>2% placebo), bol u leđima (7</w:t>
      </w:r>
      <w:r w:rsidR="00CA3391" w:rsidRPr="00D72200">
        <w:rPr>
          <w:color w:val="000000"/>
          <w:sz w:val="22"/>
          <w:szCs w:val="22"/>
          <w:lang w:val="sr-Latn-RS"/>
        </w:rPr>
        <w:t>,</w:t>
      </w:r>
      <w:r w:rsidRPr="00D72200">
        <w:rPr>
          <w:color w:val="000000"/>
          <w:sz w:val="22"/>
          <w:szCs w:val="22"/>
          <w:lang w:val="sr-Latn-RS"/>
        </w:rPr>
        <w:t>6% rosuvastatin, 6</w:t>
      </w:r>
      <w:r w:rsidR="00CA3391" w:rsidRPr="00D72200">
        <w:rPr>
          <w:color w:val="000000"/>
          <w:sz w:val="22"/>
          <w:szCs w:val="22"/>
          <w:lang w:val="sr-Latn-RS"/>
        </w:rPr>
        <w:t>,</w:t>
      </w:r>
      <w:r w:rsidRPr="00D72200">
        <w:rPr>
          <w:color w:val="000000"/>
          <w:sz w:val="22"/>
          <w:szCs w:val="22"/>
          <w:lang w:val="sr-Latn-RS"/>
        </w:rPr>
        <w:t>9% placebo) i mijalgija (7</w:t>
      </w:r>
      <w:r w:rsidR="00CA3391" w:rsidRPr="00D72200">
        <w:rPr>
          <w:color w:val="000000"/>
          <w:sz w:val="22"/>
          <w:szCs w:val="22"/>
          <w:lang w:val="sr-Latn-RS"/>
        </w:rPr>
        <w:t>,</w:t>
      </w:r>
      <w:r w:rsidRPr="00D72200">
        <w:rPr>
          <w:color w:val="000000"/>
          <w:sz w:val="22"/>
          <w:szCs w:val="22"/>
          <w:lang w:val="sr-Latn-RS"/>
        </w:rPr>
        <w:t>6% rosuvastatin, 6</w:t>
      </w:r>
      <w:r w:rsidR="00CA3391" w:rsidRPr="00D72200">
        <w:rPr>
          <w:color w:val="000000"/>
          <w:sz w:val="22"/>
          <w:szCs w:val="22"/>
          <w:lang w:val="sr-Latn-RS"/>
        </w:rPr>
        <w:t>,</w:t>
      </w:r>
      <w:r w:rsidRPr="00D72200">
        <w:rPr>
          <w:color w:val="000000"/>
          <w:sz w:val="22"/>
          <w:szCs w:val="22"/>
          <w:lang w:val="sr-Latn-RS"/>
        </w:rPr>
        <w:t>6% placebo).</w:t>
      </w:r>
    </w:p>
    <w:p w14:paraId="27BFE7D4" w14:textId="77777777" w:rsidR="00EC49F7" w:rsidRPr="00D72200" w:rsidRDefault="00EC49F7">
      <w:pPr>
        <w:tabs>
          <w:tab w:val="left" w:pos="284"/>
        </w:tabs>
        <w:spacing w:before="100" w:beforeAutospacing="1" w:after="75"/>
        <w:jc w:val="both"/>
        <w:rPr>
          <w:i/>
          <w:sz w:val="22"/>
          <w:szCs w:val="22"/>
          <w:lang w:val="sr-Latn-RS"/>
        </w:rPr>
      </w:pPr>
      <w:r w:rsidRPr="00D72200">
        <w:rPr>
          <w:i/>
          <w:sz w:val="22"/>
          <w:szCs w:val="22"/>
          <w:lang w:val="sr-Latn-RS"/>
        </w:rPr>
        <w:t>Pedijatrijska populacija</w:t>
      </w:r>
    </w:p>
    <w:p w14:paraId="082D7268" w14:textId="6F23762C" w:rsidR="00EC49F7" w:rsidRPr="00D72200" w:rsidRDefault="00EC49F7">
      <w:pPr>
        <w:tabs>
          <w:tab w:val="left" w:pos="284"/>
        </w:tabs>
        <w:jc w:val="both"/>
        <w:rPr>
          <w:sz w:val="22"/>
          <w:szCs w:val="22"/>
          <w:lang w:val="sr-Latn-RS"/>
        </w:rPr>
      </w:pPr>
      <w:r w:rsidRPr="00D72200">
        <w:rPr>
          <w:sz w:val="22"/>
          <w:szCs w:val="22"/>
          <w:lang w:val="sr-Latn-RS"/>
        </w:rPr>
        <w:t>U dvostruko slijepoj, randomizovanoj, multicentričnoj, placebom kontrolisanoj 12-nedjeljnoj studiji (n=176,</w:t>
      </w:r>
      <w:r w:rsidR="00405A60" w:rsidRPr="00D72200">
        <w:rPr>
          <w:sz w:val="22"/>
          <w:szCs w:val="22"/>
          <w:lang w:val="sr-Latn-RS"/>
        </w:rPr>
        <w:t xml:space="preserve"> </w:t>
      </w:r>
      <w:r w:rsidRPr="00D72200">
        <w:rPr>
          <w:sz w:val="22"/>
          <w:szCs w:val="22"/>
          <w:lang w:val="sr-Latn-RS"/>
        </w:rPr>
        <w:t xml:space="preserve">97 </w:t>
      </w:r>
      <w:r w:rsidR="00F93FC4" w:rsidRPr="00D72200">
        <w:rPr>
          <w:sz w:val="22"/>
          <w:szCs w:val="22"/>
          <w:lang w:val="sr-Latn-RS"/>
        </w:rPr>
        <w:t xml:space="preserve">dječaka </w:t>
      </w:r>
      <w:r w:rsidRPr="00D72200">
        <w:rPr>
          <w:sz w:val="22"/>
          <w:szCs w:val="22"/>
          <w:lang w:val="sr-Latn-RS"/>
        </w:rPr>
        <w:t xml:space="preserve">i 79 </w:t>
      </w:r>
      <w:r w:rsidR="00F93FC4" w:rsidRPr="00D72200">
        <w:rPr>
          <w:sz w:val="22"/>
          <w:szCs w:val="22"/>
          <w:lang w:val="sr-Latn-RS"/>
        </w:rPr>
        <w:t>djevojčica</w:t>
      </w:r>
      <w:r w:rsidRPr="00D72200">
        <w:rPr>
          <w:sz w:val="22"/>
          <w:szCs w:val="22"/>
          <w:lang w:val="sr-Latn-RS"/>
        </w:rPr>
        <w:t>) praćenoj 40-nedjeljnom (n=173,</w:t>
      </w:r>
      <w:r w:rsidR="00F93FC4" w:rsidRPr="00D72200">
        <w:rPr>
          <w:sz w:val="22"/>
          <w:szCs w:val="22"/>
          <w:lang w:val="sr-Latn-RS"/>
        </w:rPr>
        <w:t xml:space="preserve"> </w:t>
      </w:r>
      <w:r w:rsidRPr="00D72200">
        <w:rPr>
          <w:sz w:val="22"/>
          <w:szCs w:val="22"/>
          <w:lang w:val="sr-Latn-RS"/>
        </w:rPr>
        <w:t xml:space="preserve">96 </w:t>
      </w:r>
      <w:r w:rsidR="00F93FC4" w:rsidRPr="00D72200">
        <w:rPr>
          <w:sz w:val="22"/>
          <w:szCs w:val="22"/>
          <w:lang w:val="sr-Latn-RS"/>
        </w:rPr>
        <w:t xml:space="preserve">dječaka </w:t>
      </w:r>
      <w:r w:rsidRPr="00D72200">
        <w:rPr>
          <w:sz w:val="22"/>
          <w:szCs w:val="22"/>
          <w:lang w:val="sr-Latn-RS"/>
        </w:rPr>
        <w:t xml:space="preserve">i 77 </w:t>
      </w:r>
      <w:r w:rsidR="00F93FC4" w:rsidRPr="00D72200">
        <w:rPr>
          <w:sz w:val="22"/>
          <w:szCs w:val="22"/>
          <w:lang w:val="sr-Latn-RS"/>
        </w:rPr>
        <w:t>djevojčica</w:t>
      </w:r>
      <w:r w:rsidRPr="00D72200">
        <w:rPr>
          <w:sz w:val="22"/>
          <w:szCs w:val="22"/>
          <w:lang w:val="sr-Latn-RS"/>
        </w:rPr>
        <w:t xml:space="preserve">) otvorenom fazom titriranja doze rosuvastatina, pacijenti starosti između 10 i 17 godina (stadijumi II-V po Tanner-u, djevojčice kod kojih je prošlo najmanje godinu dana od </w:t>
      </w:r>
      <w:r w:rsidR="0019294A" w:rsidRPr="00D72200">
        <w:rPr>
          <w:sz w:val="22"/>
          <w:szCs w:val="22"/>
          <w:lang w:val="sr-Latn-RS"/>
        </w:rPr>
        <w:t>prvog menstrualnog ciklusa</w:t>
      </w:r>
      <w:r w:rsidRPr="00D72200">
        <w:rPr>
          <w:sz w:val="22"/>
          <w:szCs w:val="22"/>
          <w:lang w:val="sr-Latn-RS"/>
        </w:rPr>
        <w:t>) sa heterozigotnom porodičnom hiperholesterolemijom primali su doze od 5</w:t>
      </w:r>
      <w:r w:rsidR="00F93FC4" w:rsidRPr="00D72200">
        <w:rPr>
          <w:sz w:val="22"/>
          <w:szCs w:val="22"/>
          <w:lang w:val="sr-Latn-RS"/>
        </w:rPr>
        <w:t xml:space="preserve"> </w:t>
      </w:r>
      <w:r w:rsidRPr="00D72200">
        <w:rPr>
          <w:sz w:val="22"/>
          <w:szCs w:val="22"/>
          <w:lang w:val="sr-Latn-RS"/>
        </w:rPr>
        <w:t>mg, 10</w:t>
      </w:r>
      <w:r w:rsidR="00F93FC4" w:rsidRPr="00D72200">
        <w:rPr>
          <w:sz w:val="22"/>
          <w:szCs w:val="22"/>
          <w:lang w:val="sr-Latn-RS"/>
        </w:rPr>
        <w:t xml:space="preserve"> </w:t>
      </w:r>
      <w:r w:rsidRPr="00D72200">
        <w:rPr>
          <w:sz w:val="22"/>
          <w:szCs w:val="22"/>
          <w:lang w:val="sr-Latn-RS"/>
        </w:rPr>
        <w:t>mg ili 20</w:t>
      </w:r>
      <w:r w:rsidR="00F93FC4" w:rsidRPr="00D72200">
        <w:rPr>
          <w:sz w:val="22"/>
          <w:szCs w:val="22"/>
          <w:lang w:val="sr-Latn-RS"/>
        </w:rPr>
        <w:t xml:space="preserve"> </w:t>
      </w:r>
      <w:r w:rsidRPr="00D72200">
        <w:rPr>
          <w:sz w:val="22"/>
          <w:szCs w:val="22"/>
          <w:lang w:val="sr-Latn-RS"/>
        </w:rPr>
        <w:t>mg rosuvastatina ili placebo</w:t>
      </w:r>
      <w:r w:rsidR="00EF2D09" w:rsidRPr="00D72200">
        <w:rPr>
          <w:sz w:val="22"/>
          <w:szCs w:val="22"/>
          <w:lang w:val="sr-Latn-RS"/>
        </w:rPr>
        <w:t xml:space="preserve"> jednom dnevno</w:t>
      </w:r>
      <w:r w:rsidRPr="00D72200">
        <w:rPr>
          <w:sz w:val="22"/>
          <w:szCs w:val="22"/>
          <w:lang w:val="sr-Latn-RS"/>
        </w:rPr>
        <w:t xml:space="preserve"> tokom 12 nedjelja, a zatim su svi primali rosuvastatin svaki dan tokom 40 nedjelja. Na početku studije, oko 30% pacijenata su imali između 10 i 13 godina i oko 17%</w:t>
      </w:r>
      <w:r w:rsidR="007F50C2" w:rsidRPr="00D72200">
        <w:rPr>
          <w:sz w:val="22"/>
          <w:szCs w:val="22"/>
          <w:lang w:val="sr-Latn-RS"/>
        </w:rPr>
        <w:t xml:space="preserve"> ih je bilo u Tanner </w:t>
      </w:r>
      <w:r w:rsidR="00E844B8" w:rsidRPr="00D72200">
        <w:rPr>
          <w:sz w:val="22"/>
          <w:szCs w:val="22"/>
          <w:lang w:val="sr-Latn-RS"/>
        </w:rPr>
        <w:t>stadijumu</w:t>
      </w:r>
      <w:r w:rsidR="007F50C2" w:rsidRPr="00D72200">
        <w:rPr>
          <w:sz w:val="22"/>
          <w:szCs w:val="22"/>
          <w:lang w:val="sr-Latn-RS"/>
        </w:rPr>
        <w:t xml:space="preserve"> II</w:t>
      </w:r>
      <w:r w:rsidRPr="00D72200">
        <w:rPr>
          <w:sz w:val="22"/>
          <w:szCs w:val="22"/>
          <w:lang w:val="sr-Latn-RS"/>
        </w:rPr>
        <w:t>, 18%</w:t>
      </w:r>
      <w:r w:rsidR="007F50C2" w:rsidRPr="00D72200">
        <w:rPr>
          <w:sz w:val="22"/>
          <w:szCs w:val="22"/>
          <w:lang w:val="sr-Latn-RS"/>
        </w:rPr>
        <w:t xml:space="preserve"> u Tanner </w:t>
      </w:r>
      <w:r w:rsidR="00E844B8" w:rsidRPr="00D72200">
        <w:rPr>
          <w:sz w:val="22"/>
          <w:szCs w:val="22"/>
          <w:lang w:val="sr-Latn-RS"/>
        </w:rPr>
        <w:t xml:space="preserve">stadijumu </w:t>
      </w:r>
      <w:r w:rsidR="007F50C2" w:rsidRPr="00D72200">
        <w:rPr>
          <w:sz w:val="22"/>
          <w:szCs w:val="22"/>
          <w:lang w:val="sr-Latn-RS"/>
        </w:rPr>
        <w:t>III</w:t>
      </w:r>
      <w:r w:rsidRPr="00D72200">
        <w:rPr>
          <w:sz w:val="22"/>
          <w:szCs w:val="22"/>
          <w:lang w:val="sr-Latn-RS"/>
        </w:rPr>
        <w:t>,</w:t>
      </w:r>
      <w:r w:rsidR="00F93FC4" w:rsidRPr="00D72200">
        <w:rPr>
          <w:sz w:val="22"/>
          <w:szCs w:val="22"/>
          <w:lang w:val="sr-Latn-RS"/>
        </w:rPr>
        <w:t xml:space="preserve"> </w:t>
      </w:r>
      <w:r w:rsidRPr="00D72200">
        <w:rPr>
          <w:sz w:val="22"/>
          <w:szCs w:val="22"/>
          <w:lang w:val="sr-Latn-RS"/>
        </w:rPr>
        <w:t xml:space="preserve">40% </w:t>
      </w:r>
      <w:r w:rsidR="007F50C2" w:rsidRPr="00D72200">
        <w:rPr>
          <w:sz w:val="22"/>
          <w:szCs w:val="22"/>
          <w:lang w:val="sr-Latn-RS"/>
        </w:rPr>
        <w:t xml:space="preserve">u Tanner </w:t>
      </w:r>
      <w:r w:rsidR="00E844B8" w:rsidRPr="00D72200">
        <w:rPr>
          <w:sz w:val="22"/>
          <w:szCs w:val="22"/>
          <w:lang w:val="sr-Latn-RS"/>
        </w:rPr>
        <w:t xml:space="preserve">stadijumu </w:t>
      </w:r>
      <w:r w:rsidR="007F50C2" w:rsidRPr="00D72200">
        <w:rPr>
          <w:sz w:val="22"/>
          <w:szCs w:val="22"/>
          <w:lang w:val="sr-Latn-RS"/>
        </w:rPr>
        <w:t xml:space="preserve">IV </w:t>
      </w:r>
      <w:r w:rsidRPr="00D72200">
        <w:rPr>
          <w:sz w:val="22"/>
          <w:szCs w:val="22"/>
          <w:lang w:val="sr-Latn-RS"/>
        </w:rPr>
        <w:t>i 25%</w:t>
      </w:r>
      <w:r w:rsidR="007F50C2" w:rsidRPr="00D72200">
        <w:rPr>
          <w:sz w:val="22"/>
          <w:szCs w:val="22"/>
          <w:lang w:val="sr-Latn-RS"/>
        </w:rPr>
        <w:t xml:space="preserve"> u Tanner </w:t>
      </w:r>
      <w:r w:rsidR="00E844B8" w:rsidRPr="00D72200">
        <w:rPr>
          <w:sz w:val="22"/>
          <w:szCs w:val="22"/>
          <w:lang w:val="sr-Latn-RS"/>
        </w:rPr>
        <w:t xml:space="preserve">stadijumu </w:t>
      </w:r>
      <w:r w:rsidR="007F50C2" w:rsidRPr="00D72200">
        <w:rPr>
          <w:sz w:val="22"/>
          <w:szCs w:val="22"/>
          <w:lang w:val="sr-Latn-RS"/>
        </w:rPr>
        <w:t>V.</w:t>
      </w:r>
      <w:r w:rsidRPr="00D72200">
        <w:rPr>
          <w:sz w:val="22"/>
          <w:szCs w:val="22"/>
          <w:lang w:val="sr-Latn-RS"/>
        </w:rPr>
        <w:t xml:space="preserve"> </w:t>
      </w:r>
    </w:p>
    <w:p w14:paraId="2BAC5D2F" w14:textId="77777777" w:rsidR="00F93FC4" w:rsidRPr="00D72200" w:rsidRDefault="00F93FC4">
      <w:pPr>
        <w:tabs>
          <w:tab w:val="left" w:pos="284"/>
        </w:tabs>
        <w:jc w:val="both"/>
        <w:rPr>
          <w:sz w:val="22"/>
          <w:szCs w:val="22"/>
          <w:lang w:val="sr-Latn-RS"/>
        </w:rPr>
      </w:pPr>
    </w:p>
    <w:p w14:paraId="528AB0B5" w14:textId="26169F74" w:rsidR="00EC49F7" w:rsidRPr="00D72200" w:rsidRDefault="00EC49F7">
      <w:pPr>
        <w:tabs>
          <w:tab w:val="left" w:pos="284"/>
        </w:tabs>
        <w:jc w:val="both"/>
        <w:rPr>
          <w:sz w:val="22"/>
          <w:szCs w:val="22"/>
          <w:lang w:val="sr-Latn-RS"/>
        </w:rPr>
      </w:pPr>
      <w:r w:rsidRPr="00D72200">
        <w:rPr>
          <w:sz w:val="22"/>
          <w:szCs w:val="22"/>
          <w:lang w:val="sr-Latn-RS"/>
        </w:rPr>
        <w:t>Nivo LDL holesterola je snižen za 38,3% pri dozi od 5</w:t>
      </w:r>
      <w:r w:rsidR="007F50C2" w:rsidRPr="00D72200">
        <w:rPr>
          <w:sz w:val="22"/>
          <w:szCs w:val="22"/>
          <w:lang w:val="sr-Latn-RS"/>
        </w:rPr>
        <w:t xml:space="preserve"> </w:t>
      </w:r>
      <w:r w:rsidRPr="00D72200">
        <w:rPr>
          <w:sz w:val="22"/>
          <w:szCs w:val="22"/>
          <w:lang w:val="sr-Latn-RS"/>
        </w:rPr>
        <w:t>mg rosuvastatina, za 44,6% pri dozi od 10</w:t>
      </w:r>
      <w:r w:rsidR="007F50C2" w:rsidRPr="00D72200">
        <w:rPr>
          <w:sz w:val="22"/>
          <w:szCs w:val="22"/>
          <w:lang w:val="sr-Latn-RS"/>
        </w:rPr>
        <w:t xml:space="preserve"> </w:t>
      </w:r>
      <w:r w:rsidRPr="00D72200">
        <w:rPr>
          <w:sz w:val="22"/>
          <w:szCs w:val="22"/>
          <w:lang w:val="sr-Latn-RS"/>
        </w:rPr>
        <w:t>mg i za 50% pri dozi od 20</w:t>
      </w:r>
      <w:r w:rsidR="007F50C2" w:rsidRPr="00D72200">
        <w:rPr>
          <w:sz w:val="22"/>
          <w:szCs w:val="22"/>
          <w:lang w:val="sr-Latn-RS"/>
        </w:rPr>
        <w:t xml:space="preserve"> </w:t>
      </w:r>
      <w:r w:rsidRPr="00D72200">
        <w:rPr>
          <w:sz w:val="22"/>
          <w:szCs w:val="22"/>
          <w:lang w:val="sr-Latn-RS"/>
        </w:rPr>
        <w:t>mg rosuvastatina, u poređenju sa sniženjem od 0</w:t>
      </w:r>
      <w:r w:rsidR="0046176E" w:rsidRPr="00D72200">
        <w:rPr>
          <w:sz w:val="22"/>
          <w:szCs w:val="22"/>
          <w:lang w:val="sr-Latn-RS"/>
        </w:rPr>
        <w:t>,</w:t>
      </w:r>
      <w:r w:rsidRPr="00D72200">
        <w:rPr>
          <w:sz w:val="22"/>
          <w:szCs w:val="22"/>
          <w:lang w:val="sr-Latn-RS"/>
        </w:rPr>
        <w:t>7% kod placeba.</w:t>
      </w:r>
    </w:p>
    <w:p w14:paraId="0E7F9D22" w14:textId="77777777" w:rsidR="00F93FC4" w:rsidRPr="00D72200" w:rsidRDefault="00F93FC4">
      <w:pPr>
        <w:tabs>
          <w:tab w:val="left" w:pos="284"/>
        </w:tabs>
        <w:jc w:val="both"/>
        <w:rPr>
          <w:sz w:val="22"/>
          <w:szCs w:val="22"/>
          <w:lang w:val="sr-Latn-RS"/>
        </w:rPr>
      </w:pPr>
    </w:p>
    <w:p w14:paraId="2DAA010C" w14:textId="06F4C7D0" w:rsidR="00EC49F7" w:rsidRPr="00D72200" w:rsidRDefault="00EC49F7">
      <w:pPr>
        <w:tabs>
          <w:tab w:val="left" w:pos="284"/>
        </w:tabs>
        <w:jc w:val="both"/>
        <w:rPr>
          <w:sz w:val="22"/>
          <w:szCs w:val="22"/>
          <w:lang w:val="sr-Latn-RS"/>
        </w:rPr>
      </w:pPr>
      <w:r w:rsidRPr="00D72200">
        <w:rPr>
          <w:sz w:val="22"/>
          <w:szCs w:val="22"/>
          <w:lang w:val="sr-Latn-RS"/>
        </w:rPr>
        <w:t>Na kraju 40-nedjeljnog, otvorenog titriranja doze do postizanja ciljnih vrijednosti, do maksimalnih 20</w:t>
      </w:r>
      <w:r w:rsidR="007F50C2" w:rsidRPr="00D72200">
        <w:rPr>
          <w:sz w:val="22"/>
          <w:szCs w:val="22"/>
          <w:lang w:val="sr-Latn-RS"/>
        </w:rPr>
        <w:t xml:space="preserve"> </w:t>
      </w:r>
      <w:r w:rsidRPr="00D72200">
        <w:rPr>
          <w:sz w:val="22"/>
          <w:szCs w:val="22"/>
          <w:lang w:val="sr-Latn-RS"/>
        </w:rPr>
        <w:t>mg</w:t>
      </w:r>
      <w:r w:rsidR="00DD2F14" w:rsidRPr="00D72200">
        <w:rPr>
          <w:sz w:val="22"/>
          <w:szCs w:val="22"/>
          <w:lang w:val="sr-Latn-RS"/>
        </w:rPr>
        <w:t xml:space="preserve"> jednom</w:t>
      </w:r>
      <w:r w:rsidRPr="00D72200">
        <w:rPr>
          <w:sz w:val="22"/>
          <w:szCs w:val="22"/>
          <w:lang w:val="sr-Latn-RS"/>
        </w:rPr>
        <w:t xml:space="preserve"> dnevno, 70 od 173 pacijenta (40</w:t>
      </w:r>
      <w:r w:rsidR="00345CEF" w:rsidRPr="00D72200">
        <w:rPr>
          <w:sz w:val="22"/>
          <w:szCs w:val="22"/>
          <w:lang w:val="sr-Latn-RS"/>
        </w:rPr>
        <w:t>,</w:t>
      </w:r>
      <w:r w:rsidRPr="00D72200">
        <w:rPr>
          <w:sz w:val="22"/>
          <w:szCs w:val="22"/>
          <w:lang w:val="sr-Latn-RS"/>
        </w:rPr>
        <w:t xml:space="preserve">5%) je postiglo ciljne vrijednosti LDL holesterola </w:t>
      </w:r>
      <w:r w:rsidR="00345CEF" w:rsidRPr="00D72200">
        <w:rPr>
          <w:sz w:val="22"/>
          <w:szCs w:val="22"/>
          <w:lang w:val="sr-Latn-RS"/>
        </w:rPr>
        <w:t xml:space="preserve">manje od </w:t>
      </w:r>
      <w:r w:rsidRPr="00D72200">
        <w:rPr>
          <w:sz w:val="22"/>
          <w:szCs w:val="22"/>
          <w:lang w:val="sr-Latn-RS"/>
        </w:rPr>
        <w:t>2</w:t>
      </w:r>
      <w:r w:rsidR="00345CEF" w:rsidRPr="00D72200">
        <w:rPr>
          <w:sz w:val="22"/>
          <w:szCs w:val="22"/>
          <w:lang w:val="sr-Latn-RS"/>
        </w:rPr>
        <w:t>,</w:t>
      </w:r>
      <w:r w:rsidRPr="00D72200">
        <w:rPr>
          <w:sz w:val="22"/>
          <w:szCs w:val="22"/>
          <w:lang w:val="sr-Latn-RS"/>
        </w:rPr>
        <w:t>8 mmol/l.</w:t>
      </w:r>
    </w:p>
    <w:p w14:paraId="6DF6F569" w14:textId="2AA0575F" w:rsidR="00EC49F7" w:rsidRPr="00D72200" w:rsidRDefault="00EC49F7">
      <w:pPr>
        <w:tabs>
          <w:tab w:val="left" w:pos="284"/>
        </w:tabs>
        <w:jc w:val="both"/>
        <w:rPr>
          <w:sz w:val="22"/>
          <w:szCs w:val="22"/>
          <w:lang w:val="sr-Latn-RS"/>
        </w:rPr>
      </w:pPr>
      <w:r w:rsidRPr="00D72200">
        <w:rPr>
          <w:sz w:val="22"/>
          <w:szCs w:val="22"/>
          <w:lang w:val="sr-Latn-RS"/>
        </w:rPr>
        <w:t>Nakon 52 nedjelje terapije tokom studije, nije prim</w:t>
      </w:r>
      <w:r w:rsidR="007F50C2" w:rsidRPr="00D72200">
        <w:rPr>
          <w:sz w:val="22"/>
          <w:szCs w:val="22"/>
          <w:lang w:val="sr-Latn-RS"/>
        </w:rPr>
        <w:t>i</w:t>
      </w:r>
      <w:r w:rsidRPr="00D72200">
        <w:rPr>
          <w:sz w:val="22"/>
          <w:szCs w:val="22"/>
          <w:lang w:val="sr-Latn-RS"/>
        </w:rPr>
        <w:t xml:space="preserve">jećen uticaj na rast, tjelesnu masu, </w:t>
      </w:r>
      <w:r w:rsidR="00F841C8" w:rsidRPr="00D72200">
        <w:rPr>
          <w:sz w:val="22"/>
          <w:szCs w:val="22"/>
          <w:lang w:val="sr-Latn-RS"/>
        </w:rPr>
        <w:t xml:space="preserve">BMI </w:t>
      </w:r>
      <w:r w:rsidRPr="00D72200">
        <w:rPr>
          <w:sz w:val="22"/>
          <w:szCs w:val="22"/>
          <w:lang w:val="sr-Latn-RS"/>
        </w:rPr>
        <w:t xml:space="preserve">ili polnu zrelost (vidjeti </w:t>
      </w:r>
      <w:r w:rsidR="00D82055" w:rsidRPr="00D72200">
        <w:rPr>
          <w:sz w:val="22"/>
          <w:szCs w:val="22"/>
          <w:lang w:val="sr-Latn-RS"/>
        </w:rPr>
        <w:t>d</w:t>
      </w:r>
      <w:r w:rsidR="004B0CEB" w:rsidRPr="00D72200">
        <w:rPr>
          <w:sz w:val="22"/>
          <w:szCs w:val="22"/>
          <w:lang w:val="sr-Latn-RS"/>
        </w:rPr>
        <w:t>i</w:t>
      </w:r>
      <w:r w:rsidR="00D82055" w:rsidRPr="00D72200">
        <w:rPr>
          <w:sz w:val="22"/>
          <w:szCs w:val="22"/>
          <w:lang w:val="sr-Latn-RS"/>
        </w:rPr>
        <w:t xml:space="preserve">o </w:t>
      </w:r>
      <w:r w:rsidRPr="00D72200">
        <w:rPr>
          <w:sz w:val="22"/>
          <w:szCs w:val="22"/>
          <w:lang w:val="sr-Latn-RS"/>
        </w:rPr>
        <w:t>4.4). Ovo ispitivanje (n=176) nije pogodno za poređenje rijetkih neželjenih reakcija na lijek.</w:t>
      </w:r>
    </w:p>
    <w:p w14:paraId="3631A4FF" w14:textId="77777777" w:rsidR="00EC49F7" w:rsidRPr="00D72200" w:rsidRDefault="00EC49F7" w:rsidP="0014112C">
      <w:pPr>
        <w:tabs>
          <w:tab w:val="left" w:pos="540"/>
          <w:tab w:val="left" w:pos="569"/>
        </w:tabs>
        <w:jc w:val="both"/>
        <w:rPr>
          <w:b/>
          <w:bCs/>
          <w:sz w:val="22"/>
          <w:szCs w:val="22"/>
        </w:rPr>
      </w:pPr>
    </w:p>
    <w:p w14:paraId="29939B30" w14:textId="34D19014" w:rsidR="00EC49F7" w:rsidRPr="00D72200" w:rsidRDefault="00EC49F7" w:rsidP="0014112C">
      <w:pPr>
        <w:tabs>
          <w:tab w:val="left" w:pos="284"/>
        </w:tabs>
        <w:jc w:val="both"/>
        <w:rPr>
          <w:sz w:val="22"/>
          <w:szCs w:val="22"/>
        </w:rPr>
      </w:pPr>
      <w:r w:rsidRPr="00D72200">
        <w:rPr>
          <w:sz w:val="22"/>
          <w:szCs w:val="22"/>
        </w:rPr>
        <w:t>Rosuvastatin je ispitivan i u dvogodišnjem, otvorenom ispitivanju titriranja do ciljnih vr</w:t>
      </w:r>
      <w:r w:rsidR="0081710C" w:rsidRPr="00D72200">
        <w:rPr>
          <w:sz w:val="22"/>
          <w:szCs w:val="22"/>
        </w:rPr>
        <w:t>ij</w:t>
      </w:r>
      <w:r w:rsidRPr="00D72200">
        <w:rPr>
          <w:sz w:val="22"/>
          <w:szCs w:val="22"/>
        </w:rPr>
        <w:t>ednosti, kod 198 d</w:t>
      </w:r>
      <w:r w:rsidR="0081710C" w:rsidRPr="00D72200">
        <w:rPr>
          <w:sz w:val="22"/>
          <w:szCs w:val="22"/>
        </w:rPr>
        <w:t>j</w:t>
      </w:r>
      <w:r w:rsidRPr="00D72200">
        <w:rPr>
          <w:sz w:val="22"/>
          <w:szCs w:val="22"/>
        </w:rPr>
        <w:t>ece sa heterozigotnom porodičnom hiperholesterolemijom starosti između 6 i 17 godina (88 d</w:t>
      </w:r>
      <w:r w:rsidR="0081710C" w:rsidRPr="00D72200">
        <w:rPr>
          <w:sz w:val="22"/>
          <w:szCs w:val="22"/>
        </w:rPr>
        <w:t>ječaka i 110 dj</w:t>
      </w:r>
      <w:r w:rsidRPr="00D72200">
        <w:rPr>
          <w:sz w:val="22"/>
          <w:szCs w:val="22"/>
        </w:rPr>
        <w:t>evojčica, stadijum po Tanner-u &lt; II-V). Početna doza za sve pacijente bila je 5 mg rosuvastatina jednom dnevno. Kod pacijenata starosti između 6 i 9 godina (n=64) doza se mogla titrirati do maksimalne doze od 10 mg jednom dnevno, a kod pacijenata starosti između 10 i 17 godina (n=134) do maksimalne doze od 20 mg jednom dnevno.</w:t>
      </w:r>
    </w:p>
    <w:p w14:paraId="1EB53E08" w14:textId="77777777" w:rsidR="00EC49F7" w:rsidRPr="00D72200" w:rsidRDefault="00EC49F7" w:rsidP="0014112C">
      <w:pPr>
        <w:tabs>
          <w:tab w:val="left" w:pos="284"/>
        </w:tabs>
        <w:jc w:val="both"/>
        <w:rPr>
          <w:sz w:val="22"/>
          <w:szCs w:val="22"/>
        </w:rPr>
      </w:pPr>
    </w:p>
    <w:p w14:paraId="2A197839" w14:textId="09947807" w:rsidR="00EC49F7" w:rsidRPr="00D72200" w:rsidRDefault="00EC49F7" w:rsidP="0014112C">
      <w:pPr>
        <w:tabs>
          <w:tab w:val="left" w:pos="284"/>
        </w:tabs>
        <w:jc w:val="both"/>
        <w:rPr>
          <w:sz w:val="22"/>
          <w:szCs w:val="22"/>
        </w:rPr>
      </w:pPr>
      <w:r w:rsidRPr="00D72200">
        <w:rPr>
          <w:sz w:val="22"/>
          <w:szCs w:val="22"/>
        </w:rPr>
        <w:t>Posl</w:t>
      </w:r>
      <w:r w:rsidR="0081710C" w:rsidRPr="00D72200">
        <w:rPr>
          <w:sz w:val="22"/>
          <w:szCs w:val="22"/>
        </w:rPr>
        <w:t>ij</w:t>
      </w:r>
      <w:r w:rsidRPr="00D72200">
        <w:rPr>
          <w:sz w:val="22"/>
          <w:szCs w:val="22"/>
        </w:rPr>
        <w:t>e 24 m</w:t>
      </w:r>
      <w:r w:rsidR="0081710C" w:rsidRPr="00D72200">
        <w:rPr>
          <w:sz w:val="22"/>
          <w:szCs w:val="22"/>
        </w:rPr>
        <w:t>j</w:t>
      </w:r>
      <w:r w:rsidRPr="00D72200">
        <w:rPr>
          <w:sz w:val="22"/>
          <w:szCs w:val="22"/>
        </w:rPr>
        <w:t>eseca terapije rosuvastatinom, srednja vr</w:t>
      </w:r>
      <w:r w:rsidR="0081710C" w:rsidRPr="00D72200">
        <w:rPr>
          <w:sz w:val="22"/>
          <w:szCs w:val="22"/>
        </w:rPr>
        <w:t>ij</w:t>
      </w:r>
      <w:r w:rsidRPr="00D72200">
        <w:rPr>
          <w:sz w:val="22"/>
          <w:szCs w:val="22"/>
        </w:rPr>
        <w:t>ednost smanjenja LDL holesterola od početne vr</w:t>
      </w:r>
      <w:r w:rsidR="0081710C" w:rsidRPr="00D72200">
        <w:rPr>
          <w:sz w:val="22"/>
          <w:szCs w:val="22"/>
        </w:rPr>
        <w:t>ij</w:t>
      </w:r>
      <w:r w:rsidRPr="00D72200">
        <w:rPr>
          <w:sz w:val="22"/>
          <w:szCs w:val="22"/>
        </w:rPr>
        <w:t>ednosti, izražena u procentima, izračunato metodom najmanjih kvadrata iznosila je -43 % (početna vr</w:t>
      </w:r>
      <w:r w:rsidR="0081710C" w:rsidRPr="00D72200">
        <w:rPr>
          <w:sz w:val="22"/>
          <w:szCs w:val="22"/>
        </w:rPr>
        <w:t>ij</w:t>
      </w:r>
      <w:r w:rsidRPr="00D72200">
        <w:rPr>
          <w:sz w:val="22"/>
          <w:szCs w:val="22"/>
        </w:rPr>
        <w:t>ednost: 236 mg/d</w:t>
      </w:r>
      <w:r w:rsidR="007F50C2" w:rsidRPr="00D72200">
        <w:rPr>
          <w:sz w:val="22"/>
          <w:szCs w:val="22"/>
        </w:rPr>
        <w:t>l</w:t>
      </w:r>
      <w:r w:rsidRPr="00D72200">
        <w:rPr>
          <w:sz w:val="22"/>
          <w:szCs w:val="22"/>
        </w:rPr>
        <w:t>, 24. m</w:t>
      </w:r>
      <w:r w:rsidR="0081710C" w:rsidRPr="00D72200">
        <w:rPr>
          <w:sz w:val="22"/>
          <w:szCs w:val="22"/>
        </w:rPr>
        <w:t>j</w:t>
      </w:r>
      <w:r w:rsidRPr="00D72200">
        <w:rPr>
          <w:sz w:val="22"/>
          <w:szCs w:val="22"/>
        </w:rPr>
        <w:t>esec: 133 mg/d</w:t>
      </w:r>
      <w:r w:rsidR="007F50C2" w:rsidRPr="00D72200">
        <w:rPr>
          <w:sz w:val="22"/>
          <w:szCs w:val="22"/>
        </w:rPr>
        <w:t>l</w:t>
      </w:r>
      <w:r w:rsidRPr="00D72200">
        <w:rPr>
          <w:sz w:val="22"/>
          <w:szCs w:val="22"/>
        </w:rPr>
        <w:t>). Za svaku starosnu grupu, srednja vr</w:t>
      </w:r>
      <w:r w:rsidR="0081710C" w:rsidRPr="00D72200">
        <w:rPr>
          <w:sz w:val="22"/>
          <w:szCs w:val="22"/>
        </w:rPr>
        <w:t>ij</w:t>
      </w:r>
      <w:r w:rsidRPr="00D72200">
        <w:rPr>
          <w:sz w:val="22"/>
          <w:szCs w:val="22"/>
        </w:rPr>
        <w:t>ednost smanjenja LDL holesterola od početne vr</w:t>
      </w:r>
      <w:r w:rsidR="0081710C" w:rsidRPr="00D72200">
        <w:rPr>
          <w:sz w:val="22"/>
          <w:szCs w:val="22"/>
        </w:rPr>
        <w:t>ij</w:t>
      </w:r>
      <w:r w:rsidRPr="00D72200">
        <w:rPr>
          <w:sz w:val="22"/>
          <w:szCs w:val="22"/>
        </w:rPr>
        <w:t>ednosti, izražena u procentima, izračunato metodom najmanjih kvadrata iznosila je: -43 % u starosnoj grupi od 6 do &lt; 10 godina (početna vr</w:t>
      </w:r>
      <w:r w:rsidR="0081710C" w:rsidRPr="00D72200">
        <w:rPr>
          <w:sz w:val="22"/>
          <w:szCs w:val="22"/>
        </w:rPr>
        <w:t>ij</w:t>
      </w:r>
      <w:r w:rsidRPr="00D72200">
        <w:rPr>
          <w:sz w:val="22"/>
          <w:szCs w:val="22"/>
        </w:rPr>
        <w:t>ednost: 234 mg/d</w:t>
      </w:r>
      <w:r w:rsidR="007F50C2" w:rsidRPr="00D72200">
        <w:rPr>
          <w:sz w:val="22"/>
          <w:szCs w:val="22"/>
        </w:rPr>
        <w:t>l</w:t>
      </w:r>
      <w:r w:rsidRPr="00D72200">
        <w:rPr>
          <w:sz w:val="22"/>
          <w:szCs w:val="22"/>
        </w:rPr>
        <w:t>, 24. m</w:t>
      </w:r>
      <w:r w:rsidR="0081710C" w:rsidRPr="00D72200">
        <w:rPr>
          <w:sz w:val="22"/>
          <w:szCs w:val="22"/>
        </w:rPr>
        <w:t>j</w:t>
      </w:r>
      <w:r w:rsidRPr="00D72200">
        <w:rPr>
          <w:sz w:val="22"/>
          <w:szCs w:val="22"/>
        </w:rPr>
        <w:t>esec: 124 mg/d</w:t>
      </w:r>
      <w:r w:rsidR="007F50C2" w:rsidRPr="00D72200">
        <w:rPr>
          <w:sz w:val="22"/>
          <w:szCs w:val="22"/>
        </w:rPr>
        <w:t>l</w:t>
      </w:r>
      <w:r w:rsidRPr="00D72200">
        <w:rPr>
          <w:sz w:val="22"/>
          <w:szCs w:val="22"/>
        </w:rPr>
        <w:t>), -45 % u starosnoj grupi od 10 do &lt; 14 godina (početna vr</w:t>
      </w:r>
      <w:r w:rsidR="0081710C" w:rsidRPr="00D72200">
        <w:rPr>
          <w:sz w:val="22"/>
          <w:szCs w:val="22"/>
        </w:rPr>
        <w:t>ij</w:t>
      </w:r>
      <w:r w:rsidRPr="00D72200">
        <w:rPr>
          <w:sz w:val="22"/>
          <w:szCs w:val="22"/>
        </w:rPr>
        <w:t>ednost: 234 mg/d</w:t>
      </w:r>
      <w:r w:rsidR="007F50C2" w:rsidRPr="00D72200">
        <w:rPr>
          <w:sz w:val="22"/>
          <w:szCs w:val="22"/>
        </w:rPr>
        <w:t>l</w:t>
      </w:r>
      <w:r w:rsidRPr="00D72200">
        <w:rPr>
          <w:sz w:val="22"/>
          <w:szCs w:val="22"/>
        </w:rPr>
        <w:t>, 24. m</w:t>
      </w:r>
      <w:r w:rsidR="0081710C" w:rsidRPr="00D72200">
        <w:rPr>
          <w:sz w:val="22"/>
          <w:szCs w:val="22"/>
        </w:rPr>
        <w:t>j</w:t>
      </w:r>
      <w:r w:rsidRPr="00D72200">
        <w:rPr>
          <w:sz w:val="22"/>
          <w:szCs w:val="22"/>
        </w:rPr>
        <w:t>esec: 124 mg/d</w:t>
      </w:r>
      <w:r w:rsidR="007F50C2" w:rsidRPr="00D72200">
        <w:rPr>
          <w:sz w:val="22"/>
          <w:szCs w:val="22"/>
        </w:rPr>
        <w:t>l</w:t>
      </w:r>
      <w:r w:rsidRPr="00D72200">
        <w:rPr>
          <w:sz w:val="22"/>
          <w:szCs w:val="22"/>
        </w:rPr>
        <w:t xml:space="preserve"> ) i -35 % u starosnoj grupi od 14 do &lt; 18 godina (početna vr</w:t>
      </w:r>
      <w:r w:rsidR="0081710C" w:rsidRPr="00D72200">
        <w:rPr>
          <w:sz w:val="22"/>
          <w:szCs w:val="22"/>
        </w:rPr>
        <w:t>ij</w:t>
      </w:r>
      <w:r w:rsidRPr="00D72200">
        <w:rPr>
          <w:sz w:val="22"/>
          <w:szCs w:val="22"/>
        </w:rPr>
        <w:t>ednost: 241 mg/d</w:t>
      </w:r>
      <w:r w:rsidR="007F50C2" w:rsidRPr="00D72200">
        <w:rPr>
          <w:sz w:val="22"/>
          <w:szCs w:val="22"/>
        </w:rPr>
        <w:t>l</w:t>
      </w:r>
      <w:r w:rsidRPr="00D72200">
        <w:rPr>
          <w:sz w:val="22"/>
          <w:szCs w:val="22"/>
        </w:rPr>
        <w:t>, 24. m</w:t>
      </w:r>
      <w:r w:rsidR="0081710C" w:rsidRPr="00D72200">
        <w:rPr>
          <w:sz w:val="22"/>
          <w:szCs w:val="22"/>
        </w:rPr>
        <w:t>j</w:t>
      </w:r>
      <w:r w:rsidRPr="00D72200">
        <w:rPr>
          <w:sz w:val="22"/>
          <w:szCs w:val="22"/>
        </w:rPr>
        <w:t>esec: 153 mg/d</w:t>
      </w:r>
      <w:r w:rsidR="007F50C2" w:rsidRPr="00D72200">
        <w:rPr>
          <w:sz w:val="22"/>
          <w:szCs w:val="22"/>
        </w:rPr>
        <w:t>l</w:t>
      </w:r>
      <w:r w:rsidRPr="00D72200">
        <w:rPr>
          <w:sz w:val="22"/>
          <w:szCs w:val="22"/>
        </w:rPr>
        <w:t>).</w:t>
      </w:r>
    </w:p>
    <w:p w14:paraId="2E25E8D7" w14:textId="77777777" w:rsidR="00EC49F7" w:rsidRPr="00D72200" w:rsidRDefault="00EC49F7" w:rsidP="0014112C">
      <w:pPr>
        <w:tabs>
          <w:tab w:val="left" w:pos="284"/>
        </w:tabs>
        <w:jc w:val="both"/>
        <w:rPr>
          <w:sz w:val="22"/>
          <w:szCs w:val="22"/>
        </w:rPr>
      </w:pPr>
    </w:p>
    <w:p w14:paraId="7F625A8A" w14:textId="6EB534C6" w:rsidR="00EC49F7" w:rsidRPr="00D72200" w:rsidRDefault="00EC49F7" w:rsidP="0014112C">
      <w:pPr>
        <w:tabs>
          <w:tab w:val="left" w:pos="284"/>
        </w:tabs>
        <w:jc w:val="both"/>
        <w:rPr>
          <w:sz w:val="22"/>
          <w:szCs w:val="22"/>
        </w:rPr>
      </w:pPr>
      <w:r w:rsidRPr="00D72200">
        <w:rPr>
          <w:sz w:val="22"/>
          <w:szCs w:val="22"/>
        </w:rPr>
        <w:t>Prim</w:t>
      </w:r>
      <w:r w:rsidR="0081710C" w:rsidRPr="00D72200">
        <w:rPr>
          <w:sz w:val="22"/>
          <w:szCs w:val="22"/>
        </w:rPr>
        <w:t>j</w:t>
      </w:r>
      <w:r w:rsidRPr="00D72200">
        <w:rPr>
          <w:sz w:val="22"/>
          <w:szCs w:val="22"/>
        </w:rPr>
        <w:t>enom 5 m</w:t>
      </w:r>
      <w:r w:rsidR="00014AB0" w:rsidRPr="00D72200">
        <w:rPr>
          <w:sz w:val="22"/>
          <w:szCs w:val="22"/>
        </w:rPr>
        <w:t xml:space="preserve">g, 10 mg i 20 mg rosuvastatina </w:t>
      </w:r>
      <w:r w:rsidRPr="00D72200">
        <w:rPr>
          <w:sz w:val="22"/>
          <w:szCs w:val="22"/>
        </w:rPr>
        <w:t>postignute su statistički značajne srednje vr</w:t>
      </w:r>
      <w:r w:rsidR="0081710C" w:rsidRPr="00D72200">
        <w:rPr>
          <w:sz w:val="22"/>
          <w:szCs w:val="22"/>
        </w:rPr>
        <w:t>ij</w:t>
      </w:r>
      <w:r w:rsidRPr="00D72200">
        <w:rPr>
          <w:sz w:val="22"/>
          <w:szCs w:val="22"/>
        </w:rPr>
        <w:t>ednosti prom</w:t>
      </w:r>
      <w:r w:rsidR="0081710C" w:rsidRPr="00D72200">
        <w:rPr>
          <w:sz w:val="22"/>
          <w:szCs w:val="22"/>
        </w:rPr>
        <w:t>j</w:t>
      </w:r>
      <w:r w:rsidRPr="00D72200">
        <w:rPr>
          <w:sz w:val="22"/>
          <w:szCs w:val="22"/>
        </w:rPr>
        <w:t>ene u odnosu na početnu vr</w:t>
      </w:r>
      <w:r w:rsidR="0081710C" w:rsidRPr="00D72200">
        <w:rPr>
          <w:sz w:val="22"/>
          <w:szCs w:val="22"/>
        </w:rPr>
        <w:t>ij</w:t>
      </w:r>
      <w:r w:rsidRPr="00D72200">
        <w:rPr>
          <w:sz w:val="22"/>
          <w:szCs w:val="22"/>
        </w:rPr>
        <w:t>ednost za sl</w:t>
      </w:r>
      <w:r w:rsidR="0081710C" w:rsidRPr="00D72200">
        <w:rPr>
          <w:sz w:val="22"/>
          <w:szCs w:val="22"/>
        </w:rPr>
        <w:t>j</w:t>
      </w:r>
      <w:r w:rsidRPr="00D72200">
        <w:rPr>
          <w:sz w:val="22"/>
          <w:szCs w:val="22"/>
        </w:rPr>
        <w:t xml:space="preserve">edeće sekundarne lipidne i lipoproteinske varijable: HDL holesterol, ukupni holesterol, ne-HDL holesterol, odnos LDL i HDL holesterola, odnos ukupnog i HDL holesterola, odnos triglicerida i HDL holesterola, </w:t>
      </w:r>
      <w:r w:rsidR="0081710C" w:rsidRPr="00D72200">
        <w:rPr>
          <w:sz w:val="22"/>
          <w:szCs w:val="22"/>
        </w:rPr>
        <w:t>odnos ne-HDL i HDL holesterola,</w:t>
      </w:r>
      <w:r w:rsidRPr="00D72200">
        <w:rPr>
          <w:sz w:val="22"/>
          <w:szCs w:val="22"/>
        </w:rPr>
        <w:t xml:space="preserve"> Apo</w:t>
      </w:r>
      <w:r w:rsidR="00014AB0" w:rsidRPr="00D72200">
        <w:rPr>
          <w:sz w:val="22"/>
          <w:szCs w:val="22"/>
        </w:rPr>
        <w:t>B, odnos ApoB i ApoA-1. Sve ove</w:t>
      </w:r>
      <w:r w:rsidRPr="00D72200">
        <w:rPr>
          <w:sz w:val="22"/>
          <w:szCs w:val="22"/>
        </w:rPr>
        <w:t xml:space="preserve"> prom</w:t>
      </w:r>
      <w:r w:rsidR="0081710C" w:rsidRPr="00D72200">
        <w:rPr>
          <w:sz w:val="22"/>
          <w:szCs w:val="22"/>
        </w:rPr>
        <w:t>j</w:t>
      </w:r>
      <w:r w:rsidRPr="00D72200">
        <w:rPr>
          <w:sz w:val="22"/>
          <w:szCs w:val="22"/>
        </w:rPr>
        <w:t>ene su ukazale na poboljšanje lipidnih odgovora i održale su se tokom 2 godine.</w:t>
      </w:r>
    </w:p>
    <w:p w14:paraId="7B38698C" w14:textId="0E39D737" w:rsidR="00EC49F7" w:rsidRPr="00D72200" w:rsidRDefault="00EC49F7" w:rsidP="0014112C">
      <w:pPr>
        <w:tabs>
          <w:tab w:val="left" w:pos="284"/>
        </w:tabs>
        <w:jc w:val="both"/>
        <w:rPr>
          <w:sz w:val="22"/>
          <w:szCs w:val="22"/>
        </w:rPr>
      </w:pPr>
      <w:r w:rsidRPr="00D72200">
        <w:rPr>
          <w:sz w:val="22"/>
          <w:szCs w:val="22"/>
        </w:rPr>
        <w:t>Nakon 24 m</w:t>
      </w:r>
      <w:r w:rsidR="0081710C" w:rsidRPr="00D72200">
        <w:rPr>
          <w:sz w:val="22"/>
          <w:szCs w:val="22"/>
        </w:rPr>
        <w:t>j</w:t>
      </w:r>
      <w:r w:rsidRPr="00D72200">
        <w:rPr>
          <w:sz w:val="22"/>
          <w:szCs w:val="22"/>
        </w:rPr>
        <w:t>eseca terapije ni</w:t>
      </w:r>
      <w:r w:rsidR="0081710C" w:rsidRPr="00D72200">
        <w:rPr>
          <w:sz w:val="22"/>
          <w:szCs w:val="22"/>
        </w:rPr>
        <w:t>je</w:t>
      </w:r>
      <w:r w:rsidRPr="00D72200">
        <w:rPr>
          <w:sz w:val="22"/>
          <w:szCs w:val="22"/>
        </w:rPr>
        <w:t>su prim</w:t>
      </w:r>
      <w:r w:rsidR="0081710C" w:rsidRPr="00D72200">
        <w:rPr>
          <w:sz w:val="22"/>
          <w:szCs w:val="22"/>
        </w:rPr>
        <w:t>j</w:t>
      </w:r>
      <w:r w:rsidRPr="00D72200">
        <w:rPr>
          <w:sz w:val="22"/>
          <w:szCs w:val="22"/>
        </w:rPr>
        <w:t>ećeni uticaji na rast, t</w:t>
      </w:r>
      <w:r w:rsidR="0081710C" w:rsidRPr="00D72200">
        <w:rPr>
          <w:sz w:val="22"/>
          <w:szCs w:val="22"/>
        </w:rPr>
        <w:t>j</w:t>
      </w:r>
      <w:r w:rsidRPr="00D72200">
        <w:rPr>
          <w:sz w:val="22"/>
          <w:szCs w:val="22"/>
        </w:rPr>
        <w:t xml:space="preserve">elesnu </w:t>
      </w:r>
      <w:r w:rsidR="007F50C2" w:rsidRPr="00D72200">
        <w:rPr>
          <w:sz w:val="22"/>
          <w:szCs w:val="22"/>
        </w:rPr>
        <w:t>masu</w:t>
      </w:r>
      <w:r w:rsidRPr="00D72200">
        <w:rPr>
          <w:sz w:val="22"/>
          <w:szCs w:val="22"/>
        </w:rPr>
        <w:t xml:space="preserve">, </w:t>
      </w:r>
      <w:r w:rsidR="006F378A" w:rsidRPr="00D72200">
        <w:rPr>
          <w:sz w:val="22"/>
          <w:szCs w:val="22"/>
        </w:rPr>
        <w:t xml:space="preserve">BMI </w:t>
      </w:r>
      <w:r w:rsidRPr="00D72200">
        <w:rPr>
          <w:sz w:val="22"/>
          <w:szCs w:val="22"/>
        </w:rPr>
        <w:t>ili polno sazr</w:t>
      </w:r>
      <w:r w:rsidR="0081710C" w:rsidRPr="00D72200">
        <w:rPr>
          <w:sz w:val="22"/>
          <w:szCs w:val="22"/>
        </w:rPr>
        <w:t>ij</w:t>
      </w:r>
      <w:r w:rsidRPr="00D72200">
        <w:rPr>
          <w:sz w:val="22"/>
          <w:szCs w:val="22"/>
        </w:rPr>
        <w:t>evanje (vid</w:t>
      </w:r>
      <w:r w:rsidR="0081710C" w:rsidRPr="00D72200">
        <w:rPr>
          <w:sz w:val="22"/>
          <w:szCs w:val="22"/>
        </w:rPr>
        <w:t>j</w:t>
      </w:r>
      <w:r w:rsidRPr="00D72200">
        <w:rPr>
          <w:sz w:val="22"/>
          <w:szCs w:val="22"/>
        </w:rPr>
        <w:t xml:space="preserve">eti </w:t>
      </w:r>
      <w:r w:rsidR="00D82055" w:rsidRPr="00D72200">
        <w:rPr>
          <w:sz w:val="22"/>
          <w:szCs w:val="22"/>
        </w:rPr>
        <w:t>d</w:t>
      </w:r>
      <w:r w:rsidR="004B0CEB" w:rsidRPr="00D72200">
        <w:rPr>
          <w:sz w:val="22"/>
          <w:szCs w:val="22"/>
        </w:rPr>
        <w:t>i</w:t>
      </w:r>
      <w:r w:rsidR="00D82055" w:rsidRPr="00D72200">
        <w:rPr>
          <w:sz w:val="22"/>
          <w:szCs w:val="22"/>
        </w:rPr>
        <w:t xml:space="preserve">o </w:t>
      </w:r>
      <w:r w:rsidRPr="00D72200">
        <w:rPr>
          <w:sz w:val="22"/>
          <w:szCs w:val="22"/>
        </w:rPr>
        <w:t>4.4).</w:t>
      </w:r>
    </w:p>
    <w:p w14:paraId="3E362528" w14:textId="77777777" w:rsidR="00EC49F7" w:rsidRPr="00D72200" w:rsidRDefault="00EC49F7" w:rsidP="0014112C">
      <w:pPr>
        <w:tabs>
          <w:tab w:val="left" w:pos="540"/>
          <w:tab w:val="left" w:pos="569"/>
        </w:tabs>
        <w:jc w:val="both"/>
        <w:rPr>
          <w:b/>
          <w:bCs/>
          <w:sz w:val="22"/>
          <w:szCs w:val="22"/>
        </w:rPr>
      </w:pPr>
    </w:p>
    <w:p w14:paraId="3E3C4EC4" w14:textId="1318D3CC" w:rsidR="00EC49F7" w:rsidRPr="00D72200" w:rsidRDefault="00EC49F7" w:rsidP="0014112C">
      <w:pPr>
        <w:tabs>
          <w:tab w:val="left" w:pos="540"/>
          <w:tab w:val="left" w:pos="569"/>
        </w:tabs>
        <w:jc w:val="both"/>
        <w:rPr>
          <w:bCs/>
          <w:sz w:val="22"/>
          <w:szCs w:val="22"/>
          <w:lang w:val="sr-Latn-RS"/>
        </w:rPr>
      </w:pPr>
      <w:r w:rsidRPr="00D72200">
        <w:rPr>
          <w:bCs/>
          <w:sz w:val="22"/>
          <w:szCs w:val="22"/>
          <w:lang w:val="sr-Latn-RS"/>
        </w:rPr>
        <w:lastRenderedPageBreak/>
        <w:t>Rosuvastatin je ispitivan u randomiz</w:t>
      </w:r>
      <w:r w:rsidR="00400F3C">
        <w:rPr>
          <w:bCs/>
          <w:sz w:val="22"/>
          <w:szCs w:val="22"/>
          <w:lang w:val="sr-Latn-RS"/>
        </w:rPr>
        <w:t>ov</w:t>
      </w:r>
      <w:r w:rsidRPr="00D72200">
        <w:rPr>
          <w:bCs/>
          <w:sz w:val="22"/>
          <w:szCs w:val="22"/>
          <w:lang w:val="sr-Latn-RS"/>
        </w:rPr>
        <w:t>anom, dvost</w:t>
      </w:r>
      <w:r w:rsidR="0005502D" w:rsidRPr="00D72200">
        <w:rPr>
          <w:bCs/>
          <w:sz w:val="22"/>
          <w:szCs w:val="22"/>
          <w:lang w:val="sr-Latn-RS"/>
        </w:rPr>
        <w:t>ruko slijepom, placebom kontrolisanom</w:t>
      </w:r>
      <w:r w:rsidRPr="00D72200">
        <w:rPr>
          <w:bCs/>
          <w:sz w:val="22"/>
          <w:szCs w:val="22"/>
          <w:lang w:val="sr-Latn-RS"/>
        </w:rPr>
        <w:t>, multi</w:t>
      </w:r>
      <w:r w:rsidR="0005502D" w:rsidRPr="00D72200">
        <w:rPr>
          <w:bCs/>
          <w:sz w:val="22"/>
          <w:szCs w:val="22"/>
          <w:lang w:val="sr-Latn-RS"/>
        </w:rPr>
        <w:t>centričnom,</w:t>
      </w:r>
      <w:r w:rsidR="007F50C2" w:rsidRPr="00D72200">
        <w:rPr>
          <w:bCs/>
          <w:sz w:val="22"/>
          <w:szCs w:val="22"/>
          <w:lang w:val="sr-Latn-RS"/>
        </w:rPr>
        <w:t xml:space="preserve"> </w:t>
      </w:r>
      <w:r w:rsidR="0005502D" w:rsidRPr="00D72200">
        <w:rPr>
          <w:bCs/>
          <w:sz w:val="22"/>
          <w:szCs w:val="22"/>
          <w:lang w:val="sr-Latn-RS"/>
        </w:rPr>
        <w:t>ispitivanju ukrštenog</w:t>
      </w:r>
      <w:r w:rsidRPr="00D72200">
        <w:rPr>
          <w:bCs/>
          <w:sz w:val="22"/>
          <w:szCs w:val="22"/>
          <w:lang w:val="sr-Latn-RS"/>
        </w:rPr>
        <w:t xml:space="preserve"> dizajna (engl. </w:t>
      </w:r>
      <w:r w:rsidRPr="00D72200">
        <w:rPr>
          <w:bCs/>
          <w:i/>
          <w:sz w:val="22"/>
          <w:szCs w:val="22"/>
          <w:lang w:val="sr-Latn-RS"/>
        </w:rPr>
        <w:t>cross-over</w:t>
      </w:r>
      <w:r w:rsidRPr="00D72200">
        <w:rPr>
          <w:bCs/>
          <w:sz w:val="22"/>
          <w:szCs w:val="22"/>
          <w:lang w:val="sr-Latn-RS"/>
        </w:rPr>
        <w:t>) u dozi od 20 mg jed</w:t>
      </w:r>
      <w:r w:rsidR="007F50C2" w:rsidRPr="00D72200">
        <w:rPr>
          <w:bCs/>
          <w:sz w:val="22"/>
          <w:szCs w:val="22"/>
          <w:lang w:val="sr-Latn-RS"/>
        </w:rPr>
        <w:t>nom</w:t>
      </w:r>
      <w:r w:rsidRPr="00D72200">
        <w:rPr>
          <w:bCs/>
          <w:sz w:val="22"/>
          <w:szCs w:val="22"/>
          <w:lang w:val="sr-Latn-RS"/>
        </w:rPr>
        <w:t xml:space="preserve"> dnevno u </w:t>
      </w:r>
      <w:r w:rsidR="0005502D" w:rsidRPr="00D72200">
        <w:rPr>
          <w:bCs/>
          <w:sz w:val="22"/>
          <w:szCs w:val="22"/>
          <w:lang w:val="sr-Latn-RS"/>
        </w:rPr>
        <w:t xml:space="preserve">poređenju </w:t>
      </w:r>
      <w:r w:rsidRPr="00D72200">
        <w:rPr>
          <w:bCs/>
          <w:sz w:val="22"/>
          <w:szCs w:val="22"/>
          <w:lang w:val="sr-Latn-RS"/>
        </w:rPr>
        <w:t>s placebom,</w:t>
      </w:r>
      <w:r w:rsidR="00400F3C">
        <w:rPr>
          <w:bCs/>
          <w:sz w:val="22"/>
          <w:szCs w:val="22"/>
          <w:lang w:val="sr-Latn-RS"/>
        </w:rPr>
        <w:t xml:space="preserve"> kod</w:t>
      </w:r>
      <w:r w:rsidRPr="00D72200">
        <w:rPr>
          <w:bCs/>
          <w:sz w:val="22"/>
          <w:szCs w:val="22"/>
          <w:lang w:val="sr-Latn-RS"/>
        </w:rPr>
        <w:t xml:space="preserve"> 14 djece i adolescenata (u dobi od 6 do 17 godina) s homozigotnom </w:t>
      </w:r>
      <w:r w:rsidR="0005502D" w:rsidRPr="00D72200">
        <w:rPr>
          <w:bCs/>
          <w:sz w:val="22"/>
          <w:szCs w:val="22"/>
          <w:lang w:val="sr-Latn-RS"/>
        </w:rPr>
        <w:t>porodičnom hiperh</w:t>
      </w:r>
      <w:r w:rsidRPr="00D72200">
        <w:rPr>
          <w:bCs/>
          <w:sz w:val="22"/>
          <w:szCs w:val="22"/>
          <w:lang w:val="sr-Latn-RS"/>
        </w:rPr>
        <w:t xml:space="preserve">olesterolemijom. Ispitivanje je uključivalo aktivnu uvodnu dijetalnu fazu u trajanju od 4 </w:t>
      </w:r>
      <w:r w:rsidR="0005502D" w:rsidRPr="00D72200">
        <w:rPr>
          <w:bCs/>
          <w:sz w:val="22"/>
          <w:szCs w:val="22"/>
          <w:lang w:val="sr-Latn-RS"/>
        </w:rPr>
        <w:t>ned</w:t>
      </w:r>
      <w:r w:rsidR="0081710C" w:rsidRPr="00D72200">
        <w:rPr>
          <w:bCs/>
          <w:sz w:val="22"/>
          <w:szCs w:val="22"/>
          <w:lang w:val="sr-Latn-RS"/>
        </w:rPr>
        <w:t>j</w:t>
      </w:r>
      <w:r w:rsidR="0005502D" w:rsidRPr="00D72200">
        <w:rPr>
          <w:bCs/>
          <w:sz w:val="22"/>
          <w:szCs w:val="22"/>
          <w:lang w:val="sr-Latn-RS"/>
        </w:rPr>
        <w:t xml:space="preserve">elje </w:t>
      </w:r>
      <w:r w:rsidRPr="00D72200">
        <w:rPr>
          <w:bCs/>
          <w:sz w:val="22"/>
          <w:szCs w:val="22"/>
          <w:lang w:val="sr-Latn-RS"/>
        </w:rPr>
        <w:t>t</w:t>
      </w:r>
      <w:r w:rsidR="0005502D" w:rsidRPr="00D72200">
        <w:rPr>
          <w:bCs/>
          <w:sz w:val="22"/>
          <w:szCs w:val="22"/>
          <w:lang w:val="sr-Latn-RS"/>
        </w:rPr>
        <w:t xml:space="preserve">okom koje su pacijenti </w:t>
      </w:r>
      <w:r w:rsidR="00D9331E" w:rsidRPr="00D72200">
        <w:rPr>
          <w:bCs/>
          <w:sz w:val="22"/>
          <w:szCs w:val="22"/>
          <w:lang w:val="sr-Latn-RS"/>
        </w:rPr>
        <w:t>primali</w:t>
      </w:r>
      <w:r w:rsidRPr="00D72200">
        <w:rPr>
          <w:bCs/>
          <w:sz w:val="22"/>
          <w:szCs w:val="22"/>
          <w:lang w:val="sr-Latn-RS"/>
        </w:rPr>
        <w:t xml:space="preserve"> rosuvastatin u dozi od 10 mg, ukr</w:t>
      </w:r>
      <w:r w:rsidR="0005502D" w:rsidRPr="00D72200">
        <w:rPr>
          <w:bCs/>
          <w:sz w:val="22"/>
          <w:szCs w:val="22"/>
          <w:lang w:val="sr-Latn-RS"/>
        </w:rPr>
        <w:t>štenu</w:t>
      </w:r>
      <w:r w:rsidRPr="00D72200">
        <w:rPr>
          <w:bCs/>
          <w:sz w:val="22"/>
          <w:szCs w:val="22"/>
          <w:lang w:val="sr-Latn-RS"/>
        </w:rPr>
        <w:t xml:space="preserve"> fazu koja se sastojala od 6-</w:t>
      </w:r>
      <w:r w:rsidR="0005502D" w:rsidRPr="00D72200">
        <w:rPr>
          <w:bCs/>
          <w:sz w:val="22"/>
          <w:szCs w:val="22"/>
          <w:lang w:val="sr-Latn-RS"/>
        </w:rPr>
        <w:t>ned</w:t>
      </w:r>
      <w:r w:rsidR="0081710C" w:rsidRPr="00D72200">
        <w:rPr>
          <w:bCs/>
          <w:sz w:val="22"/>
          <w:szCs w:val="22"/>
          <w:lang w:val="sr-Latn-RS"/>
        </w:rPr>
        <w:t>j</w:t>
      </w:r>
      <w:r w:rsidR="0005502D" w:rsidRPr="00D72200">
        <w:rPr>
          <w:bCs/>
          <w:sz w:val="22"/>
          <w:szCs w:val="22"/>
          <w:lang w:val="sr-Latn-RS"/>
        </w:rPr>
        <w:t>eljnog</w:t>
      </w:r>
      <w:r w:rsidRPr="00D72200">
        <w:rPr>
          <w:bCs/>
          <w:sz w:val="22"/>
          <w:szCs w:val="22"/>
          <w:lang w:val="sr-Latn-RS"/>
        </w:rPr>
        <w:t xml:space="preserve"> perioda </w:t>
      </w:r>
      <w:r w:rsidR="00D9331E" w:rsidRPr="00D72200">
        <w:rPr>
          <w:bCs/>
          <w:sz w:val="22"/>
          <w:szCs w:val="22"/>
          <w:lang w:val="sr-Latn-RS"/>
        </w:rPr>
        <w:t xml:space="preserve">terapije </w:t>
      </w:r>
      <w:r w:rsidRPr="00D72200">
        <w:rPr>
          <w:bCs/>
          <w:sz w:val="22"/>
          <w:szCs w:val="22"/>
          <w:lang w:val="sr-Latn-RS"/>
        </w:rPr>
        <w:t>rosu</w:t>
      </w:r>
      <w:r w:rsidR="00D9331E" w:rsidRPr="00D72200">
        <w:rPr>
          <w:bCs/>
          <w:sz w:val="22"/>
          <w:szCs w:val="22"/>
          <w:lang w:val="sr-Latn-RS"/>
        </w:rPr>
        <w:t>vastatinom u dozi od 20 mg, kojoj je prethodila</w:t>
      </w:r>
      <w:r w:rsidRPr="00D72200">
        <w:rPr>
          <w:bCs/>
          <w:sz w:val="22"/>
          <w:szCs w:val="22"/>
          <w:lang w:val="sr-Latn-RS"/>
        </w:rPr>
        <w:t xml:space="preserve"> ili koj</w:t>
      </w:r>
      <w:r w:rsidR="00D9331E" w:rsidRPr="00D72200">
        <w:rPr>
          <w:bCs/>
          <w:sz w:val="22"/>
          <w:szCs w:val="22"/>
          <w:lang w:val="sr-Latn-RS"/>
        </w:rPr>
        <w:t>u je sl</w:t>
      </w:r>
      <w:r w:rsidR="007F50C2" w:rsidRPr="00D72200">
        <w:rPr>
          <w:bCs/>
          <w:sz w:val="22"/>
          <w:szCs w:val="22"/>
          <w:lang w:val="sr-Latn-RS"/>
        </w:rPr>
        <w:t>ij</w:t>
      </w:r>
      <w:r w:rsidRPr="00D72200">
        <w:rPr>
          <w:bCs/>
          <w:sz w:val="22"/>
          <w:szCs w:val="22"/>
          <w:lang w:val="sr-Latn-RS"/>
        </w:rPr>
        <w:t>edio 6-</w:t>
      </w:r>
      <w:r w:rsidR="00D9331E" w:rsidRPr="00D72200">
        <w:rPr>
          <w:bCs/>
          <w:sz w:val="22"/>
          <w:szCs w:val="22"/>
          <w:lang w:val="sr-Latn-RS"/>
        </w:rPr>
        <w:t>ned</w:t>
      </w:r>
      <w:r w:rsidR="0081710C" w:rsidRPr="00D72200">
        <w:rPr>
          <w:bCs/>
          <w:sz w:val="22"/>
          <w:szCs w:val="22"/>
          <w:lang w:val="sr-Latn-RS"/>
        </w:rPr>
        <w:t>j</w:t>
      </w:r>
      <w:r w:rsidR="00D9331E" w:rsidRPr="00D72200">
        <w:rPr>
          <w:bCs/>
          <w:sz w:val="22"/>
          <w:szCs w:val="22"/>
          <w:lang w:val="sr-Latn-RS"/>
        </w:rPr>
        <w:t xml:space="preserve">eljni </w:t>
      </w:r>
      <w:r w:rsidRPr="00D72200">
        <w:rPr>
          <w:bCs/>
          <w:sz w:val="22"/>
          <w:szCs w:val="22"/>
          <w:lang w:val="sr-Latn-RS"/>
        </w:rPr>
        <w:t>period liječenja placebom</w:t>
      </w:r>
      <w:r w:rsidR="00D9331E" w:rsidRPr="00D72200">
        <w:rPr>
          <w:bCs/>
          <w:sz w:val="22"/>
          <w:szCs w:val="22"/>
          <w:lang w:val="sr-Latn-RS"/>
        </w:rPr>
        <w:t xml:space="preserve"> i</w:t>
      </w:r>
      <w:r w:rsidRPr="00D72200">
        <w:rPr>
          <w:bCs/>
          <w:sz w:val="22"/>
          <w:szCs w:val="22"/>
          <w:lang w:val="sr-Latn-RS"/>
        </w:rPr>
        <w:t xml:space="preserve"> faz</w:t>
      </w:r>
      <w:r w:rsidR="00D9331E" w:rsidRPr="00D72200">
        <w:rPr>
          <w:bCs/>
          <w:sz w:val="22"/>
          <w:szCs w:val="22"/>
          <w:lang w:val="sr-Latn-RS"/>
        </w:rPr>
        <w:t>a</w:t>
      </w:r>
      <w:r w:rsidRPr="00D72200">
        <w:rPr>
          <w:bCs/>
          <w:sz w:val="22"/>
          <w:szCs w:val="22"/>
          <w:lang w:val="sr-Latn-RS"/>
        </w:rPr>
        <w:t xml:space="preserve"> održavanja u trajanju od 12 </w:t>
      </w:r>
      <w:r w:rsidR="00D9331E" w:rsidRPr="00D72200">
        <w:rPr>
          <w:bCs/>
          <w:sz w:val="22"/>
          <w:szCs w:val="22"/>
          <w:lang w:val="sr-Latn-RS"/>
        </w:rPr>
        <w:t>ned</w:t>
      </w:r>
      <w:r w:rsidR="0081710C" w:rsidRPr="00D72200">
        <w:rPr>
          <w:bCs/>
          <w:sz w:val="22"/>
          <w:szCs w:val="22"/>
          <w:lang w:val="sr-Latn-RS"/>
        </w:rPr>
        <w:t>j</w:t>
      </w:r>
      <w:r w:rsidR="00D9331E" w:rsidRPr="00D72200">
        <w:rPr>
          <w:bCs/>
          <w:sz w:val="22"/>
          <w:szCs w:val="22"/>
          <w:lang w:val="sr-Latn-RS"/>
        </w:rPr>
        <w:t>elja</w:t>
      </w:r>
      <w:r w:rsidRPr="00D72200">
        <w:rPr>
          <w:bCs/>
          <w:sz w:val="22"/>
          <w:szCs w:val="22"/>
          <w:lang w:val="sr-Latn-RS"/>
        </w:rPr>
        <w:t xml:space="preserve"> t</w:t>
      </w:r>
      <w:r w:rsidR="00D9331E" w:rsidRPr="00D72200">
        <w:rPr>
          <w:bCs/>
          <w:sz w:val="22"/>
          <w:szCs w:val="22"/>
          <w:lang w:val="sr-Latn-RS"/>
        </w:rPr>
        <w:t>o</w:t>
      </w:r>
      <w:r w:rsidRPr="00D72200">
        <w:rPr>
          <w:bCs/>
          <w:sz w:val="22"/>
          <w:szCs w:val="22"/>
          <w:lang w:val="sr-Latn-RS"/>
        </w:rPr>
        <w:t xml:space="preserve">kom koje su svi </w:t>
      </w:r>
      <w:r w:rsidR="00D9331E" w:rsidRPr="00D72200">
        <w:rPr>
          <w:bCs/>
          <w:sz w:val="22"/>
          <w:szCs w:val="22"/>
          <w:lang w:val="sr-Latn-RS"/>
        </w:rPr>
        <w:t xml:space="preserve">pacijenti primali </w:t>
      </w:r>
      <w:r w:rsidRPr="00D72200">
        <w:rPr>
          <w:bCs/>
          <w:sz w:val="22"/>
          <w:szCs w:val="22"/>
          <w:lang w:val="sr-Latn-RS"/>
        </w:rPr>
        <w:t>rosuvastatin</w:t>
      </w:r>
      <w:r w:rsidR="00D9331E" w:rsidRPr="00D72200">
        <w:rPr>
          <w:bCs/>
          <w:sz w:val="22"/>
          <w:szCs w:val="22"/>
          <w:lang w:val="sr-Latn-RS"/>
        </w:rPr>
        <w:t xml:space="preserve"> </w:t>
      </w:r>
      <w:r w:rsidRPr="00D72200">
        <w:rPr>
          <w:bCs/>
          <w:sz w:val="22"/>
          <w:szCs w:val="22"/>
          <w:lang w:val="sr-Latn-RS"/>
        </w:rPr>
        <w:t xml:space="preserve">u dozi od 20 mg. </w:t>
      </w:r>
      <w:r w:rsidR="00D9331E" w:rsidRPr="00D72200">
        <w:rPr>
          <w:bCs/>
          <w:sz w:val="22"/>
          <w:szCs w:val="22"/>
          <w:lang w:val="sr-Latn-RS"/>
        </w:rPr>
        <w:t xml:space="preserve">Pacijenti </w:t>
      </w:r>
      <w:r w:rsidRPr="00D72200">
        <w:rPr>
          <w:bCs/>
          <w:sz w:val="22"/>
          <w:szCs w:val="22"/>
          <w:lang w:val="sr-Latn-RS"/>
        </w:rPr>
        <w:t xml:space="preserve">koji su pri uključivanju u ispitivanje bili </w:t>
      </w:r>
      <w:r w:rsidR="00D9331E" w:rsidRPr="00D72200">
        <w:rPr>
          <w:bCs/>
          <w:sz w:val="22"/>
          <w:szCs w:val="22"/>
          <w:lang w:val="sr-Latn-RS"/>
        </w:rPr>
        <w:t xml:space="preserve">na terapiji </w:t>
      </w:r>
      <w:r w:rsidRPr="00D72200">
        <w:rPr>
          <w:bCs/>
          <w:sz w:val="22"/>
          <w:szCs w:val="22"/>
          <w:lang w:val="sr-Latn-RS"/>
        </w:rPr>
        <w:t>ezetimibom ili bili na aferezi,</w:t>
      </w:r>
      <w:r w:rsidR="007F50C2" w:rsidRPr="00D72200">
        <w:rPr>
          <w:bCs/>
          <w:sz w:val="22"/>
          <w:szCs w:val="22"/>
          <w:lang w:val="sr-Latn-RS"/>
        </w:rPr>
        <w:t xml:space="preserve"> </w:t>
      </w:r>
      <w:r w:rsidRPr="00D72200">
        <w:rPr>
          <w:bCs/>
          <w:sz w:val="22"/>
          <w:szCs w:val="22"/>
          <w:lang w:val="sr-Latn-RS"/>
        </w:rPr>
        <w:t>nastavili su t</w:t>
      </w:r>
      <w:r w:rsidR="00D9331E" w:rsidRPr="00D72200">
        <w:rPr>
          <w:bCs/>
          <w:sz w:val="22"/>
          <w:szCs w:val="22"/>
          <w:lang w:val="sr-Latn-RS"/>
        </w:rPr>
        <w:t xml:space="preserve">u terapiju </w:t>
      </w:r>
      <w:r w:rsidRPr="00D72200">
        <w:rPr>
          <w:bCs/>
          <w:sz w:val="22"/>
          <w:szCs w:val="22"/>
          <w:lang w:val="sr-Latn-RS"/>
        </w:rPr>
        <w:t>t</w:t>
      </w:r>
      <w:r w:rsidR="00D9331E" w:rsidRPr="00D72200">
        <w:rPr>
          <w:bCs/>
          <w:sz w:val="22"/>
          <w:szCs w:val="22"/>
          <w:lang w:val="sr-Latn-RS"/>
        </w:rPr>
        <w:t>o</w:t>
      </w:r>
      <w:r w:rsidRPr="00D72200">
        <w:rPr>
          <w:bCs/>
          <w:sz w:val="22"/>
          <w:szCs w:val="22"/>
          <w:lang w:val="sr-Latn-RS"/>
        </w:rPr>
        <w:t xml:space="preserve">kom cijelog ispitivanja. </w:t>
      </w:r>
    </w:p>
    <w:p w14:paraId="5C012326" w14:textId="77777777" w:rsidR="007F50C2" w:rsidRPr="00D72200" w:rsidRDefault="007F50C2" w:rsidP="0014112C">
      <w:pPr>
        <w:tabs>
          <w:tab w:val="left" w:pos="540"/>
          <w:tab w:val="left" w:pos="569"/>
        </w:tabs>
        <w:jc w:val="both"/>
        <w:rPr>
          <w:bCs/>
          <w:sz w:val="22"/>
          <w:szCs w:val="22"/>
          <w:lang w:val="sr-Latn-RS"/>
        </w:rPr>
      </w:pPr>
    </w:p>
    <w:p w14:paraId="05A01AF8" w14:textId="45DD4DA8" w:rsidR="00DB2D7D" w:rsidRPr="00D72200" w:rsidRDefault="00EC49F7" w:rsidP="0014112C">
      <w:pPr>
        <w:autoSpaceDE w:val="0"/>
        <w:autoSpaceDN w:val="0"/>
        <w:adjustRightInd w:val="0"/>
        <w:jc w:val="both"/>
        <w:rPr>
          <w:sz w:val="22"/>
          <w:szCs w:val="22"/>
          <w:lang w:eastAsia="sr-Latn-ME"/>
        </w:rPr>
      </w:pPr>
      <w:r w:rsidRPr="00D72200">
        <w:rPr>
          <w:bCs/>
          <w:sz w:val="22"/>
          <w:szCs w:val="22"/>
          <w:lang w:val="sr-Latn-RS"/>
        </w:rPr>
        <w:t xml:space="preserve">Statistički značajna (p = 0,005) redukcija </w:t>
      </w:r>
      <w:r w:rsidR="00D9331E" w:rsidRPr="00D72200">
        <w:rPr>
          <w:bCs/>
          <w:sz w:val="22"/>
          <w:szCs w:val="22"/>
          <w:lang w:val="sr-Latn-RS"/>
        </w:rPr>
        <w:t xml:space="preserve">nivoa </w:t>
      </w:r>
      <w:r w:rsidRPr="00D72200">
        <w:rPr>
          <w:bCs/>
          <w:sz w:val="22"/>
          <w:szCs w:val="22"/>
          <w:lang w:val="sr-Latn-RS"/>
        </w:rPr>
        <w:t xml:space="preserve">LDL </w:t>
      </w:r>
      <w:r w:rsidR="00D9331E" w:rsidRPr="00D72200">
        <w:rPr>
          <w:bCs/>
          <w:sz w:val="22"/>
          <w:szCs w:val="22"/>
          <w:lang w:val="sr-Latn-RS"/>
        </w:rPr>
        <w:t>h</w:t>
      </w:r>
      <w:r w:rsidRPr="00D72200">
        <w:rPr>
          <w:bCs/>
          <w:sz w:val="22"/>
          <w:szCs w:val="22"/>
          <w:lang w:val="sr-Latn-RS"/>
        </w:rPr>
        <w:t xml:space="preserve">olesterola (22,3 %, 85,4 mg/dl ili 2,2 mmol/l) </w:t>
      </w:r>
      <w:r w:rsidR="00D9331E" w:rsidRPr="00D72200">
        <w:rPr>
          <w:bCs/>
          <w:sz w:val="22"/>
          <w:szCs w:val="22"/>
          <w:lang w:val="sr-Latn-RS"/>
        </w:rPr>
        <w:t>prim</w:t>
      </w:r>
      <w:r w:rsidR="0081710C" w:rsidRPr="00D72200">
        <w:rPr>
          <w:bCs/>
          <w:sz w:val="22"/>
          <w:szCs w:val="22"/>
          <w:lang w:val="sr-Latn-RS"/>
        </w:rPr>
        <w:t>j</w:t>
      </w:r>
      <w:r w:rsidR="00D9331E" w:rsidRPr="00D72200">
        <w:rPr>
          <w:bCs/>
          <w:sz w:val="22"/>
          <w:szCs w:val="22"/>
          <w:lang w:val="sr-Latn-RS"/>
        </w:rPr>
        <w:t>ećena je n</w:t>
      </w:r>
      <w:r w:rsidRPr="00D72200">
        <w:rPr>
          <w:bCs/>
          <w:sz w:val="22"/>
          <w:szCs w:val="22"/>
          <w:lang w:val="sr-Latn-RS"/>
        </w:rPr>
        <w:t xml:space="preserve">akon 6 </w:t>
      </w:r>
      <w:r w:rsidR="00D9331E" w:rsidRPr="00D72200">
        <w:rPr>
          <w:bCs/>
          <w:sz w:val="22"/>
          <w:szCs w:val="22"/>
          <w:lang w:val="sr-Latn-RS"/>
        </w:rPr>
        <w:t>ned</w:t>
      </w:r>
      <w:r w:rsidR="0081710C" w:rsidRPr="00D72200">
        <w:rPr>
          <w:bCs/>
          <w:sz w:val="22"/>
          <w:szCs w:val="22"/>
          <w:lang w:val="sr-Latn-RS"/>
        </w:rPr>
        <w:t>j</w:t>
      </w:r>
      <w:r w:rsidR="00D9331E" w:rsidRPr="00D72200">
        <w:rPr>
          <w:bCs/>
          <w:sz w:val="22"/>
          <w:szCs w:val="22"/>
          <w:lang w:val="sr-Latn-RS"/>
        </w:rPr>
        <w:t xml:space="preserve">elja terapije </w:t>
      </w:r>
      <w:r w:rsidRPr="00D72200">
        <w:rPr>
          <w:bCs/>
          <w:sz w:val="22"/>
          <w:szCs w:val="22"/>
          <w:lang w:val="sr-Latn-RS"/>
        </w:rPr>
        <w:t xml:space="preserve">rosuvastatinom u dozi od 20 mg u </w:t>
      </w:r>
      <w:r w:rsidR="00D9331E" w:rsidRPr="00D72200">
        <w:rPr>
          <w:bCs/>
          <w:sz w:val="22"/>
          <w:szCs w:val="22"/>
          <w:lang w:val="sr-Latn-RS"/>
        </w:rPr>
        <w:t>poređenju</w:t>
      </w:r>
      <w:r w:rsidRPr="00D72200">
        <w:rPr>
          <w:bCs/>
          <w:sz w:val="22"/>
          <w:szCs w:val="22"/>
          <w:lang w:val="sr-Latn-RS"/>
        </w:rPr>
        <w:t xml:space="preserve"> s placebom. </w:t>
      </w:r>
      <w:r w:rsidR="00D9331E" w:rsidRPr="00D72200">
        <w:rPr>
          <w:bCs/>
          <w:sz w:val="22"/>
          <w:szCs w:val="22"/>
          <w:lang w:val="sr-Latn-RS"/>
        </w:rPr>
        <w:t>Prim</w:t>
      </w:r>
      <w:r w:rsidR="0081710C" w:rsidRPr="00D72200">
        <w:rPr>
          <w:bCs/>
          <w:sz w:val="22"/>
          <w:szCs w:val="22"/>
          <w:lang w:val="sr-Latn-RS"/>
        </w:rPr>
        <w:t>j</w:t>
      </w:r>
      <w:r w:rsidR="00D9331E" w:rsidRPr="00D72200">
        <w:rPr>
          <w:bCs/>
          <w:sz w:val="22"/>
          <w:szCs w:val="22"/>
          <w:lang w:val="sr-Latn-RS"/>
        </w:rPr>
        <w:t xml:space="preserve">ećene su </w:t>
      </w:r>
      <w:r w:rsidRPr="00D72200">
        <w:rPr>
          <w:bCs/>
          <w:sz w:val="22"/>
          <w:szCs w:val="22"/>
          <w:lang w:val="sr-Latn-RS"/>
        </w:rPr>
        <w:t xml:space="preserve">statistički značajne redukcije ukupnog </w:t>
      </w:r>
      <w:r w:rsidR="00D9331E" w:rsidRPr="00D72200">
        <w:rPr>
          <w:bCs/>
          <w:sz w:val="22"/>
          <w:szCs w:val="22"/>
          <w:lang w:val="sr-Latn-RS"/>
        </w:rPr>
        <w:t>h</w:t>
      </w:r>
      <w:r w:rsidRPr="00D72200">
        <w:rPr>
          <w:bCs/>
          <w:sz w:val="22"/>
          <w:szCs w:val="22"/>
          <w:lang w:val="sr-Latn-RS"/>
        </w:rPr>
        <w:t>olestero</w:t>
      </w:r>
      <w:r w:rsidR="00216AB2" w:rsidRPr="00D72200">
        <w:rPr>
          <w:bCs/>
          <w:sz w:val="22"/>
          <w:szCs w:val="22"/>
          <w:lang w:val="sr-Latn-RS"/>
        </w:rPr>
        <w:t>la (20,1 %, p = 0,003), ne-HDL h</w:t>
      </w:r>
      <w:r w:rsidRPr="00D72200">
        <w:rPr>
          <w:bCs/>
          <w:sz w:val="22"/>
          <w:szCs w:val="22"/>
          <w:lang w:val="sr-Latn-RS"/>
        </w:rPr>
        <w:t>olesterola (22,9 %,p = 0,003) i ApoB-a (17,1 %, p = 0,024). Tako</w:t>
      </w:r>
      <w:r w:rsidR="00216AB2" w:rsidRPr="00D72200">
        <w:rPr>
          <w:bCs/>
          <w:sz w:val="22"/>
          <w:szCs w:val="22"/>
          <w:lang w:val="sr-Latn-RS"/>
        </w:rPr>
        <w:t>đe</w:t>
      </w:r>
      <w:r w:rsidRPr="00D72200">
        <w:rPr>
          <w:bCs/>
          <w:sz w:val="22"/>
          <w:szCs w:val="22"/>
          <w:lang w:val="sr-Latn-RS"/>
        </w:rPr>
        <w:t xml:space="preserve"> su </w:t>
      </w:r>
      <w:r w:rsidR="00216AB2" w:rsidRPr="00D72200">
        <w:rPr>
          <w:bCs/>
          <w:sz w:val="22"/>
          <w:szCs w:val="22"/>
          <w:lang w:val="sr-Latn-RS"/>
        </w:rPr>
        <w:t>prim</w:t>
      </w:r>
      <w:r w:rsidR="00A36C74" w:rsidRPr="00D72200">
        <w:rPr>
          <w:bCs/>
          <w:sz w:val="22"/>
          <w:szCs w:val="22"/>
          <w:lang w:val="sr-Latn-RS"/>
        </w:rPr>
        <w:t>j</w:t>
      </w:r>
      <w:r w:rsidR="00216AB2" w:rsidRPr="00D72200">
        <w:rPr>
          <w:bCs/>
          <w:sz w:val="22"/>
          <w:szCs w:val="22"/>
          <w:lang w:val="sr-Latn-RS"/>
        </w:rPr>
        <w:t>ećene redukcije TG-a, LDL holesterola/HDL</w:t>
      </w:r>
      <w:r w:rsidR="00DB2D7D" w:rsidRPr="00D72200">
        <w:rPr>
          <w:bCs/>
          <w:sz w:val="22"/>
          <w:szCs w:val="22"/>
          <w:lang w:val="sr-Latn-RS"/>
        </w:rPr>
        <w:t xml:space="preserve"> </w:t>
      </w:r>
      <w:r w:rsidR="00216AB2" w:rsidRPr="00D72200">
        <w:rPr>
          <w:bCs/>
          <w:sz w:val="22"/>
          <w:szCs w:val="22"/>
          <w:lang w:val="sr-Latn-RS"/>
        </w:rPr>
        <w:t>holesterola, ukupnog h</w:t>
      </w:r>
      <w:r w:rsidRPr="00D72200">
        <w:rPr>
          <w:bCs/>
          <w:sz w:val="22"/>
          <w:szCs w:val="22"/>
          <w:lang w:val="sr-Latn-RS"/>
        </w:rPr>
        <w:t>oles</w:t>
      </w:r>
      <w:r w:rsidR="00216AB2" w:rsidRPr="00D72200">
        <w:rPr>
          <w:bCs/>
          <w:sz w:val="22"/>
          <w:szCs w:val="22"/>
          <w:lang w:val="sr-Latn-RS"/>
        </w:rPr>
        <w:t>terola/HDL h</w:t>
      </w:r>
      <w:r w:rsidR="00D9331E" w:rsidRPr="00D72200">
        <w:rPr>
          <w:bCs/>
          <w:sz w:val="22"/>
          <w:szCs w:val="22"/>
          <w:lang w:val="sr-Latn-RS"/>
        </w:rPr>
        <w:t>olesterola, ne-HDL holesterola/HDL h</w:t>
      </w:r>
      <w:r w:rsidRPr="00D72200">
        <w:rPr>
          <w:bCs/>
          <w:sz w:val="22"/>
          <w:szCs w:val="22"/>
          <w:lang w:val="sr-Latn-RS"/>
        </w:rPr>
        <w:t xml:space="preserve">olesterola te ApoB/ApoA-1 nakon 6 </w:t>
      </w:r>
      <w:r w:rsidR="00D9331E" w:rsidRPr="00D72200">
        <w:rPr>
          <w:bCs/>
          <w:sz w:val="22"/>
          <w:szCs w:val="22"/>
          <w:lang w:val="sr-Latn-RS"/>
        </w:rPr>
        <w:t>ned</w:t>
      </w:r>
      <w:r w:rsidR="00A36C74" w:rsidRPr="00D72200">
        <w:rPr>
          <w:bCs/>
          <w:sz w:val="22"/>
          <w:szCs w:val="22"/>
          <w:lang w:val="sr-Latn-RS"/>
        </w:rPr>
        <w:t>j</w:t>
      </w:r>
      <w:r w:rsidR="00D9331E" w:rsidRPr="00D72200">
        <w:rPr>
          <w:bCs/>
          <w:sz w:val="22"/>
          <w:szCs w:val="22"/>
          <w:lang w:val="sr-Latn-RS"/>
        </w:rPr>
        <w:t xml:space="preserve">elja terapije </w:t>
      </w:r>
      <w:r w:rsidRPr="00D72200">
        <w:rPr>
          <w:bCs/>
          <w:sz w:val="22"/>
          <w:szCs w:val="22"/>
          <w:lang w:val="sr-Latn-RS"/>
        </w:rPr>
        <w:t xml:space="preserve">rosuvastatinom u dozi od 20 mg u </w:t>
      </w:r>
      <w:r w:rsidR="00D9331E" w:rsidRPr="00D72200">
        <w:rPr>
          <w:bCs/>
          <w:sz w:val="22"/>
          <w:szCs w:val="22"/>
          <w:lang w:val="sr-Latn-RS"/>
        </w:rPr>
        <w:t>porerđenju s placebom. Redukcija LDL h</w:t>
      </w:r>
      <w:r w:rsidRPr="00D72200">
        <w:rPr>
          <w:bCs/>
          <w:sz w:val="22"/>
          <w:szCs w:val="22"/>
          <w:lang w:val="sr-Latn-RS"/>
        </w:rPr>
        <w:t xml:space="preserve">olesterola nakon 6 </w:t>
      </w:r>
      <w:r w:rsidR="00D9331E" w:rsidRPr="00D72200">
        <w:rPr>
          <w:bCs/>
          <w:sz w:val="22"/>
          <w:szCs w:val="22"/>
          <w:lang w:val="sr-Latn-RS"/>
        </w:rPr>
        <w:t>ned</w:t>
      </w:r>
      <w:r w:rsidR="00A36C74" w:rsidRPr="00D72200">
        <w:rPr>
          <w:bCs/>
          <w:sz w:val="22"/>
          <w:szCs w:val="22"/>
          <w:lang w:val="sr-Latn-RS"/>
        </w:rPr>
        <w:t>j</w:t>
      </w:r>
      <w:r w:rsidR="00D9331E" w:rsidRPr="00D72200">
        <w:rPr>
          <w:bCs/>
          <w:sz w:val="22"/>
          <w:szCs w:val="22"/>
          <w:lang w:val="sr-Latn-RS"/>
        </w:rPr>
        <w:t xml:space="preserve">elja terapije </w:t>
      </w:r>
      <w:r w:rsidRPr="00D72200">
        <w:rPr>
          <w:bCs/>
          <w:sz w:val="22"/>
          <w:szCs w:val="22"/>
          <w:lang w:val="sr-Latn-RS"/>
        </w:rPr>
        <w:t>rosuvastati</w:t>
      </w:r>
      <w:r w:rsidR="00CD5ECE" w:rsidRPr="00D72200">
        <w:rPr>
          <w:bCs/>
          <w:sz w:val="22"/>
          <w:szCs w:val="22"/>
          <w:lang w:val="sr-Latn-RS"/>
        </w:rPr>
        <w:t>nom u dozi od 20 mg, koji je slij</w:t>
      </w:r>
      <w:r w:rsidRPr="00D72200">
        <w:rPr>
          <w:bCs/>
          <w:sz w:val="22"/>
          <w:szCs w:val="22"/>
          <w:lang w:val="sr-Latn-RS"/>
        </w:rPr>
        <w:t xml:space="preserve">edio nakon 6 </w:t>
      </w:r>
      <w:r w:rsidR="00D9331E" w:rsidRPr="00D72200">
        <w:rPr>
          <w:bCs/>
          <w:sz w:val="22"/>
          <w:szCs w:val="22"/>
          <w:lang w:val="sr-Latn-RS"/>
        </w:rPr>
        <w:t>ned</w:t>
      </w:r>
      <w:r w:rsidR="00A36C74" w:rsidRPr="00D72200">
        <w:rPr>
          <w:bCs/>
          <w:sz w:val="22"/>
          <w:szCs w:val="22"/>
          <w:lang w:val="sr-Latn-RS"/>
        </w:rPr>
        <w:t>j</w:t>
      </w:r>
      <w:r w:rsidR="00D9331E" w:rsidRPr="00D72200">
        <w:rPr>
          <w:bCs/>
          <w:sz w:val="22"/>
          <w:szCs w:val="22"/>
          <w:lang w:val="sr-Latn-RS"/>
        </w:rPr>
        <w:t>elja terapije placebom, održana je i to</w:t>
      </w:r>
      <w:r w:rsidRPr="00D72200">
        <w:rPr>
          <w:bCs/>
          <w:sz w:val="22"/>
          <w:szCs w:val="22"/>
          <w:lang w:val="sr-Latn-RS"/>
        </w:rPr>
        <w:t xml:space="preserve">kom 12 </w:t>
      </w:r>
      <w:r w:rsidR="00D9331E" w:rsidRPr="00D72200">
        <w:rPr>
          <w:bCs/>
          <w:sz w:val="22"/>
          <w:szCs w:val="22"/>
          <w:lang w:val="sr-Latn-RS"/>
        </w:rPr>
        <w:t>ned</w:t>
      </w:r>
      <w:r w:rsidR="00A36C74" w:rsidRPr="00D72200">
        <w:rPr>
          <w:bCs/>
          <w:sz w:val="22"/>
          <w:szCs w:val="22"/>
          <w:lang w:val="sr-Latn-RS"/>
        </w:rPr>
        <w:t>j</w:t>
      </w:r>
      <w:r w:rsidR="00D9331E" w:rsidRPr="00D72200">
        <w:rPr>
          <w:bCs/>
          <w:sz w:val="22"/>
          <w:szCs w:val="22"/>
          <w:lang w:val="sr-Latn-RS"/>
        </w:rPr>
        <w:t>elja kontinuirane terapije</w:t>
      </w:r>
      <w:r w:rsidRPr="00D72200">
        <w:rPr>
          <w:bCs/>
          <w:sz w:val="22"/>
          <w:szCs w:val="22"/>
          <w:lang w:val="sr-Latn-RS"/>
        </w:rPr>
        <w:t xml:space="preserve">. </w:t>
      </w:r>
      <w:r w:rsidR="00DB2D7D" w:rsidRPr="00D72200">
        <w:rPr>
          <w:bCs/>
          <w:sz w:val="22"/>
          <w:szCs w:val="22"/>
          <w:lang w:val="sr-Latn-RS"/>
        </w:rPr>
        <w:t xml:space="preserve">Kod jednog pacijenta dodatno je snižen </w:t>
      </w:r>
      <w:r w:rsidR="001A5447" w:rsidRPr="00D72200">
        <w:rPr>
          <w:sz w:val="22"/>
          <w:szCs w:val="22"/>
          <w:lang w:eastAsia="sr-Latn-ME"/>
        </w:rPr>
        <w:t xml:space="preserve">LDL-holesterol </w:t>
      </w:r>
      <w:r w:rsidR="00DB2D7D" w:rsidRPr="00D72200">
        <w:rPr>
          <w:sz w:val="22"/>
          <w:szCs w:val="22"/>
          <w:lang w:eastAsia="sr-Latn-ME"/>
        </w:rPr>
        <w:t>(8.0%), ukupni</w:t>
      </w:r>
      <w:r w:rsidR="001A5447" w:rsidRPr="00D72200">
        <w:rPr>
          <w:sz w:val="22"/>
          <w:szCs w:val="22"/>
          <w:lang w:eastAsia="sr-Latn-ME"/>
        </w:rPr>
        <w:t>-holesterol</w:t>
      </w:r>
      <w:r w:rsidR="00DB2D7D" w:rsidRPr="00D72200">
        <w:rPr>
          <w:sz w:val="22"/>
          <w:szCs w:val="22"/>
          <w:lang w:eastAsia="sr-Latn-ME"/>
        </w:rPr>
        <w:t xml:space="preserve"> (6.7%) i ne</w:t>
      </w:r>
      <w:r w:rsidR="001A5447" w:rsidRPr="00D72200">
        <w:rPr>
          <w:sz w:val="22"/>
          <w:szCs w:val="22"/>
          <w:lang w:eastAsia="sr-Latn-ME"/>
        </w:rPr>
        <w:t xml:space="preserve">-HDL-holesterol </w:t>
      </w:r>
      <w:r w:rsidR="00DB2D7D" w:rsidRPr="00D72200">
        <w:rPr>
          <w:sz w:val="22"/>
          <w:szCs w:val="22"/>
          <w:lang w:eastAsia="sr-Latn-ME"/>
        </w:rPr>
        <w:t xml:space="preserve">(7.4%) nakon 6 nedjelja tretmana sa 40 mg nakon </w:t>
      </w:r>
      <w:r w:rsidR="0064476E" w:rsidRPr="00D72200">
        <w:rPr>
          <w:i/>
          <w:sz w:val="22"/>
          <w:szCs w:val="22"/>
          <w:lang w:eastAsia="sr-Latn-ME"/>
        </w:rPr>
        <w:t xml:space="preserve"> </w:t>
      </w:r>
      <w:r w:rsidR="0064476E" w:rsidRPr="00D72200">
        <w:rPr>
          <w:iCs/>
          <w:sz w:val="22"/>
          <w:szCs w:val="22"/>
          <w:lang w:eastAsia="sr-Latn-ME"/>
        </w:rPr>
        <w:t>dodatnog titriranja</w:t>
      </w:r>
      <w:r w:rsidR="00DB2D7D" w:rsidRPr="00D72200">
        <w:rPr>
          <w:iCs/>
          <w:sz w:val="22"/>
          <w:szCs w:val="22"/>
          <w:lang w:eastAsia="sr-Latn-ME"/>
        </w:rPr>
        <w:t>.</w:t>
      </w:r>
    </w:p>
    <w:p w14:paraId="72EE1266" w14:textId="778AE249" w:rsidR="00DB2D7D" w:rsidRPr="00D72200" w:rsidRDefault="00DB2D7D" w:rsidP="0014112C">
      <w:pPr>
        <w:autoSpaceDE w:val="0"/>
        <w:autoSpaceDN w:val="0"/>
        <w:adjustRightInd w:val="0"/>
        <w:jc w:val="both"/>
        <w:rPr>
          <w:sz w:val="22"/>
          <w:szCs w:val="22"/>
          <w:lang w:eastAsia="sr-Latn-ME"/>
        </w:rPr>
      </w:pPr>
      <w:r w:rsidRPr="00D72200">
        <w:rPr>
          <w:sz w:val="22"/>
          <w:szCs w:val="22"/>
          <w:lang w:eastAsia="sr-Latn-ME"/>
        </w:rPr>
        <w:t xml:space="preserve">Tokom produženog otvorenog tretmana </w:t>
      </w:r>
      <w:r w:rsidR="00400F3C">
        <w:rPr>
          <w:sz w:val="22"/>
          <w:szCs w:val="22"/>
          <w:lang w:eastAsia="sr-Latn-ME"/>
        </w:rPr>
        <w:t>kod</w:t>
      </w:r>
      <w:r w:rsidRPr="00D72200">
        <w:rPr>
          <w:sz w:val="22"/>
          <w:szCs w:val="22"/>
          <w:lang w:eastAsia="sr-Latn-ME"/>
        </w:rPr>
        <w:t xml:space="preserve"> </w:t>
      </w:r>
      <w:r w:rsidR="001A5447" w:rsidRPr="00D72200">
        <w:rPr>
          <w:sz w:val="22"/>
          <w:szCs w:val="22"/>
          <w:lang w:eastAsia="sr-Latn-ME"/>
        </w:rPr>
        <w:t xml:space="preserve">9 pacijenata sa 20 mg </w:t>
      </w:r>
      <w:r w:rsidR="001A5447" w:rsidRPr="00D72200">
        <w:rPr>
          <w:bCs/>
          <w:sz w:val="22"/>
          <w:szCs w:val="22"/>
          <w:lang w:val="sr-Latn-RS"/>
        </w:rPr>
        <w:t xml:space="preserve">rosuvastatina u trajanju do 90 nedjelja, sniženje </w:t>
      </w:r>
      <w:r w:rsidR="001A5447" w:rsidRPr="00D72200">
        <w:rPr>
          <w:sz w:val="22"/>
          <w:szCs w:val="22"/>
          <w:lang w:eastAsia="sr-Latn-ME"/>
        </w:rPr>
        <w:t>LDL</w:t>
      </w:r>
      <w:r w:rsidR="0064476E" w:rsidRPr="00D72200">
        <w:rPr>
          <w:sz w:val="22"/>
          <w:szCs w:val="22"/>
          <w:lang w:eastAsia="sr-Latn-ME"/>
        </w:rPr>
        <w:t xml:space="preserve"> holesterola</w:t>
      </w:r>
      <w:r w:rsidR="001A5447" w:rsidRPr="00D72200">
        <w:rPr>
          <w:sz w:val="22"/>
          <w:szCs w:val="22"/>
          <w:lang w:eastAsia="sr-Latn-ME"/>
        </w:rPr>
        <w:t xml:space="preserve"> </w:t>
      </w:r>
      <w:r w:rsidR="00096C06" w:rsidRPr="00D72200">
        <w:rPr>
          <w:sz w:val="22"/>
          <w:szCs w:val="22"/>
          <w:lang w:eastAsia="sr-Latn-ME"/>
        </w:rPr>
        <w:t>je održano u rasponu od -12.1% d</w:t>
      </w:r>
      <w:r w:rsidR="001A5447" w:rsidRPr="00D72200">
        <w:rPr>
          <w:sz w:val="22"/>
          <w:szCs w:val="22"/>
          <w:lang w:eastAsia="sr-Latn-ME"/>
        </w:rPr>
        <w:t>o -21.3%.</w:t>
      </w:r>
    </w:p>
    <w:p w14:paraId="4B480F56" w14:textId="77777777" w:rsidR="007F50C2" w:rsidRPr="00D72200" w:rsidRDefault="007F50C2" w:rsidP="0014112C">
      <w:pPr>
        <w:tabs>
          <w:tab w:val="left" w:pos="540"/>
          <w:tab w:val="left" w:pos="569"/>
        </w:tabs>
        <w:jc w:val="both"/>
        <w:rPr>
          <w:bCs/>
          <w:sz w:val="22"/>
          <w:szCs w:val="22"/>
          <w:lang w:val="sr-Latn-RS"/>
        </w:rPr>
      </w:pPr>
    </w:p>
    <w:p w14:paraId="52041397" w14:textId="65E02A96" w:rsidR="00EC49F7" w:rsidRPr="00D72200" w:rsidRDefault="00216AB2" w:rsidP="0014112C">
      <w:pPr>
        <w:tabs>
          <w:tab w:val="left" w:pos="540"/>
          <w:tab w:val="left" w:pos="569"/>
        </w:tabs>
        <w:jc w:val="both"/>
        <w:rPr>
          <w:bCs/>
          <w:sz w:val="22"/>
          <w:szCs w:val="22"/>
          <w:lang w:val="sr-Latn-RS"/>
        </w:rPr>
      </w:pPr>
      <w:r w:rsidRPr="00D72200">
        <w:rPr>
          <w:bCs/>
          <w:sz w:val="22"/>
          <w:szCs w:val="22"/>
          <w:lang w:val="sr-Latn-RS"/>
        </w:rPr>
        <w:t>Kod s</w:t>
      </w:r>
      <w:r w:rsidR="00EC49F7" w:rsidRPr="00D72200">
        <w:rPr>
          <w:bCs/>
          <w:sz w:val="22"/>
          <w:szCs w:val="22"/>
          <w:lang w:val="sr-Latn-RS"/>
        </w:rPr>
        <w:t>edm</w:t>
      </w:r>
      <w:r w:rsidRPr="00D72200">
        <w:rPr>
          <w:bCs/>
          <w:sz w:val="22"/>
          <w:szCs w:val="22"/>
          <w:lang w:val="sr-Latn-RS"/>
        </w:rPr>
        <w:t>o</w:t>
      </w:r>
      <w:r w:rsidR="00EC49F7" w:rsidRPr="00D72200">
        <w:rPr>
          <w:bCs/>
          <w:sz w:val="22"/>
          <w:szCs w:val="22"/>
          <w:lang w:val="sr-Latn-RS"/>
        </w:rPr>
        <w:t xml:space="preserve">ro </w:t>
      </w:r>
      <w:r w:rsidRPr="00D72200">
        <w:rPr>
          <w:bCs/>
          <w:sz w:val="22"/>
          <w:szCs w:val="22"/>
          <w:lang w:val="sr-Latn-RS"/>
        </w:rPr>
        <w:t xml:space="preserve">pacijenata </w:t>
      </w:r>
      <w:r w:rsidR="00EC49F7" w:rsidRPr="00D72200">
        <w:rPr>
          <w:bCs/>
          <w:sz w:val="22"/>
          <w:szCs w:val="22"/>
          <w:lang w:val="sr-Latn-RS"/>
        </w:rPr>
        <w:t>dječ</w:t>
      </w:r>
      <w:r w:rsidR="00A36C74" w:rsidRPr="00D72200">
        <w:rPr>
          <w:bCs/>
          <w:sz w:val="22"/>
          <w:szCs w:val="22"/>
          <w:lang w:val="sr-Latn-RS"/>
        </w:rPr>
        <w:t>i</w:t>
      </w:r>
      <w:r w:rsidR="00EC49F7" w:rsidRPr="00D72200">
        <w:rPr>
          <w:bCs/>
          <w:sz w:val="22"/>
          <w:szCs w:val="22"/>
          <w:lang w:val="sr-Latn-RS"/>
        </w:rPr>
        <w:t>je</w:t>
      </w:r>
      <w:r w:rsidRPr="00D72200">
        <w:rPr>
          <w:bCs/>
          <w:sz w:val="22"/>
          <w:szCs w:val="22"/>
          <w:lang w:val="sr-Latn-RS"/>
        </w:rPr>
        <w:t>g</w:t>
      </w:r>
      <w:r w:rsidR="00EC49F7" w:rsidRPr="00D72200">
        <w:rPr>
          <w:bCs/>
          <w:sz w:val="22"/>
          <w:szCs w:val="22"/>
          <w:lang w:val="sr-Latn-RS"/>
        </w:rPr>
        <w:t xml:space="preserve"> i adolescentsk</w:t>
      </w:r>
      <w:r w:rsidRPr="00D72200">
        <w:rPr>
          <w:bCs/>
          <w:sz w:val="22"/>
          <w:szCs w:val="22"/>
          <w:lang w:val="sr-Latn-RS"/>
        </w:rPr>
        <w:t>og uzrasta</w:t>
      </w:r>
      <w:r w:rsidR="00EC49F7" w:rsidRPr="00D72200">
        <w:rPr>
          <w:bCs/>
          <w:sz w:val="22"/>
          <w:szCs w:val="22"/>
          <w:lang w:val="sr-Latn-RS"/>
        </w:rPr>
        <w:t xml:space="preserve"> p</w:t>
      </w:r>
      <w:r w:rsidR="00C8045A" w:rsidRPr="00D72200">
        <w:rPr>
          <w:bCs/>
          <w:sz w:val="22"/>
          <w:szCs w:val="22"/>
          <w:lang w:val="sr-Latn-RS"/>
        </w:rPr>
        <w:t xml:space="preserve">odobnih </w:t>
      </w:r>
      <w:r w:rsidR="00EC49F7" w:rsidRPr="00D72200">
        <w:rPr>
          <w:bCs/>
          <w:sz w:val="22"/>
          <w:szCs w:val="22"/>
          <w:lang w:val="sr-Latn-RS"/>
        </w:rPr>
        <w:t>za procjenu (u</w:t>
      </w:r>
      <w:r w:rsidR="00C8045A" w:rsidRPr="00D72200">
        <w:rPr>
          <w:bCs/>
          <w:sz w:val="22"/>
          <w:szCs w:val="22"/>
          <w:lang w:val="sr-Latn-RS"/>
        </w:rPr>
        <w:t xml:space="preserve">zrasta </w:t>
      </w:r>
      <w:r w:rsidR="00EC49F7" w:rsidRPr="00D72200">
        <w:rPr>
          <w:bCs/>
          <w:sz w:val="22"/>
          <w:szCs w:val="22"/>
          <w:lang w:val="sr-Latn-RS"/>
        </w:rPr>
        <w:t xml:space="preserve">od 8 do 17 godina) s homozigotnom </w:t>
      </w:r>
      <w:r w:rsidRPr="00D72200">
        <w:rPr>
          <w:bCs/>
          <w:sz w:val="22"/>
          <w:szCs w:val="22"/>
          <w:lang w:val="sr-Latn-RS"/>
        </w:rPr>
        <w:t>porodičnom</w:t>
      </w:r>
      <w:r w:rsidR="00EC49F7" w:rsidRPr="00D72200">
        <w:rPr>
          <w:bCs/>
          <w:sz w:val="22"/>
          <w:szCs w:val="22"/>
          <w:lang w:val="sr-Latn-RS"/>
        </w:rPr>
        <w:t xml:space="preserve"> hiper</w:t>
      </w:r>
      <w:r w:rsidRPr="00D72200">
        <w:rPr>
          <w:bCs/>
          <w:sz w:val="22"/>
          <w:szCs w:val="22"/>
          <w:lang w:val="sr-Latn-RS"/>
        </w:rPr>
        <w:t>h</w:t>
      </w:r>
      <w:r w:rsidR="00EC49F7" w:rsidRPr="00D72200">
        <w:rPr>
          <w:bCs/>
          <w:sz w:val="22"/>
          <w:szCs w:val="22"/>
          <w:lang w:val="sr-Latn-RS"/>
        </w:rPr>
        <w:t xml:space="preserve">olesterolemijom (vidjeti gore), koji su </w:t>
      </w:r>
      <w:r w:rsidRPr="00D72200">
        <w:rPr>
          <w:bCs/>
          <w:sz w:val="22"/>
          <w:szCs w:val="22"/>
          <w:lang w:val="sr-Latn-RS"/>
        </w:rPr>
        <w:t xml:space="preserve">učestvovali </w:t>
      </w:r>
      <w:r w:rsidR="00EC49F7" w:rsidRPr="00D72200">
        <w:rPr>
          <w:bCs/>
          <w:sz w:val="22"/>
          <w:szCs w:val="22"/>
          <w:lang w:val="sr-Latn-RS"/>
        </w:rPr>
        <w:t>u otvorenom ispitivanju po ubrzanom planu titriranja doze, p</w:t>
      </w:r>
      <w:r w:rsidRPr="00D72200">
        <w:rPr>
          <w:bCs/>
          <w:sz w:val="22"/>
          <w:szCs w:val="22"/>
          <w:lang w:val="sr-Latn-RS"/>
        </w:rPr>
        <w:t>rocenat</w:t>
      </w:r>
      <w:r w:rsidR="00EC49F7" w:rsidRPr="00D72200">
        <w:rPr>
          <w:bCs/>
          <w:sz w:val="22"/>
          <w:szCs w:val="22"/>
          <w:lang w:val="sr-Latn-RS"/>
        </w:rPr>
        <w:t xml:space="preserve"> redukcije LDL </w:t>
      </w:r>
      <w:r w:rsidRPr="00D72200">
        <w:rPr>
          <w:bCs/>
          <w:sz w:val="22"/>
          <w:szCs w:val="22"/>
          <w:lang w:val="sr-Latn-RS"/>
        </w:rPr>
        <w:t>holesterola (21,0 %), ukupnog holesterola (19,2 %) i ne-HDL h</w:t>
      </w:r>
      <w:r w:rsidR="00EC49F7" w:rsidRPr="00D72200">
        <w:rPr>
          <w:bCs/>
          <w:sz w:val="22"/>
          <w:szCs w:val="22"/>
          <w:lang w:val="sr-Latn-RS"/>
        </w:rPr>
        <w:t xml:space="preserve">olesterola (21,0 %) nakon 6 </w:t>
      </w:r>
      <w:r w:rsidR="00F24086" w:rsidRPr="00D72200">
        <w:rPr>
          <w:bCs/>
          <w:sz w:val="22"/>
          <w:szCs w:val="22"/>
          <w:lang w:val="sr-Latn-RS"/>
        </w:rPr>
        <w:t>ned</w:t>
      </w:r>
      <w:r w:rsidR="00A36C74" w:rsidRPr="00D72200">
        <w:rPr>
          <w:bCs/>
          <w:sz w:val="22"/>
          <w:szCs w:val="22"/>
          <w:lang w:val="sr-Latn-RS"/>
        </w:rPr>
        <w:t>j</w:t>
      </w:r>
      <w:r w:rsidR="00F24086" w:rsidRPr="00D72200">
        <w:rPr>
          <w:bCs/>
          <w:sz w:val="22"/>
          <w:szCs w:val="22"/>
          <w:lang w:val="sr-Latn-RS"/>
        </w:rPr>
        <w:t xml:space="preserve">elja </w:t>
      </w:r>
      <w:r w:rsidR="00C8045A" w:rsidRPr="00D72200">
        <w:rPr>
          <w:bCs/>
          <w:sz w:val="22"/>
          <w:szCs w:val="22"/>
          <w:lang w:val="sr-Latn-RS"/>
        </w:rPr>
        <w:t xml:space="preserve">terapije </w:t>
      </w:r>
      <w:r w:rsidR="00EC49F7" w:rsidRPr="00D72200">
        <w:rPr>
          <w:bCs/>
          <w:sz w:val="22"/>
          <w:szCs w:val="22"/>
          <w:lang w:val="sr-Latn-RS"/>
        </w:rPr>
        <w:t xml:space="preserve"> rosuvastatinom u dozi od 20 mg, u odnosu na početnu vrijednost, bio je konzistentan s onim </w:t>
      </w:r>
      <w:r w:rsidR="00C8045A" w:rsidRPr="00D72200">
        <w:rPr>
          <w:bCs/>
          <w:sz w:val="22"/>
          <w:szCs w:val="22"/>
          <w:lang w:val="sr-Latn-RS"/>
        </w:rPr>
        <w:t>prim</w:t>
      </w:r>
      <w:r w:rsidR="00A36C74" w:rsidRPr="00D72200">
        <w:rPr>
          <w:bCs/>
          <w:sz w:val="22"/>
          <w:szCs w:val="22"/>
          <w:lang w:val="sr-Latn-RS"/>
        </w:rPr>
        <w:t>j</w:t>
      </w:r>
      <w:r w:rsidR="00C8045A" w:rsidRPr="00D72200">
        <w:rPr>
          <w:bCs/>
          <w:sz w:val="22"/>
          <w:szCs w:val="22"/>
          <w:lang w:val="sr-Latn-RS"/>
        </w:rPr>
        <w:t xml:space="preserve">ećenim </w:t>
      </w:r>
      <w:r w:rsidR="00EC49F7" w:rsidRPr="00D72200">
        <w:rPr>
          <w:bCs/>
          <w:sz w:val="22"/>
          <w:szCs w:val="22"/>
          <w:lang w:val="sr-Latn-RS"/>
        </w:rPr>
        <w:t xml:space="preserve">u gore spomenutom ispitivanju </w:t>
      </w:r>
      <w:r w:rsidR="00400F3C">
        <w:rPr>
          <w:bCs/>
          <w:sz w:val="22"/>
          <w:szCs w:val="22"/>
          <w:lang w:val="sr-Latn-RS"/>
        </w:rPr>
        <w:t>kod</w:t>
      </w:r>
      <w:r w:rsidR="00EC49F7" w:rsidRPr="00D72200">
        <w:rPr>
          <w:bCs/>
          <w:sz w:val="22"/>
          <w:szCs w:val="22"/>
          <w:lang w:val="sr-Latn-RS"/>
        </w:rPr>
        <w:t xml:space="preserve"> djece i adolescenata s homozigotnom </w:t>
      </w:r>
      <w:r w:rsidR="00C8045A" w:rsidRPr="00D72200">
        <w:rPr>
          <w:bCs/>
          <w:sz w:val="22"/>
          <w:szCs w:val="22"/>
          <w:lang w:val="sr-Latn-RS"/>
        </w:rPr>
        <w:t>porodičnom  hiperh</w:t>
      </w:r>
      <w:r w:rsidR="00EC49F7" w:rsidRPr="00D72200">
        <w:rPr>
          <w:bCs/>
          <w:sz w:val="22"/>
          <w:szCs w:val="22"/>
          <w:lang w:val="sr-Latn-RS"/>
        </w:rPr>
        <w:t xml:space="preserve">olesterolemijom. </w:t>
      </w:r>
    </w:p>
    <w:p w14:paraId="4E51BEC2" w14:textId="77777777" w:rsidR="00384C1A" w:rsidRPr="00D72200" w:rsidRDefault="00384C1A" w:rsidP="0014112C">
      <w:pPr>
        <w:tabs>
          <w:tab w:val="left" w:pos="540"/>
          <w:tab w:val="left" w:pos="569"/>
        </w:tabs>
        <w:jc w:val="both"/>
        <w:rPr>
          <w:bCs/>
          <w:sz w:val="22"/>
          <w:szCs w:val="22"/>
          <w:lang w:val="sr-Latn-RS"/>
        </w:rPr>
      </w:pPr>
    </w:p>
    <w:p w14:paraId="0170710F" w14:textId="2AD7F6E6" w:rsidR="00EC49F7" w:rsidRPr="00D72200" w:rsidRDefault="00EC49F7" w:rsidP="0014112C">
      <w:pPr>
        <w:tabs>
          <w:tab w:val="left" w:pos="540"/>
          <w:tab w:val="left" w:pos="569"/>
        </w:tabs>
        <w:jc w:val="both"/>
        <w:rPr>
          <w:bCs/>
          <w:sz w:val="22"/>
          <w:szCs w:val="22"/>
        </w:rPr>
      </w:pPr>
      <w:r w:rsidRPr="00D72200">
        <w:rPr>
          <w:bCs/>
          <w:sz w:val="22"/>
          <w:szCs w:val="22"/>
          <w:lang w:val="sr-Latn-RS"/>
        </w:rPr>
        <w:t>E</w:t>
      </w:r>
      <w:r w:rsidR="00C8045A" w:rsidRPr="00D72200">
        <w:rPr>
          <w:bCs/>
          <w:sz w:val="22"/>
          <w:szCs w:val="22"/>
          <w:lang w:val="sr-Latn-RS"/>
        </w:rPr>
        <w:t>v</w:t>
      </w:r>
      <w:r w:rsidRPr="00D72200">
        <w:rPr>
          <w:bCs/>
          <w:sz w:val="22"/>
          <w:szCs w:val="22"/>
          <w:lang w:val="sr-Latn-RS"/>
        </w:rPr>
        <w:t>ropska agencija</w:t>
      </w:r>
      <w:r w:rsidR="00CD5ECE" w:rsidRPr="00D72200">
        <w:rPr>
          <w:bCs/>
          <w:sz w:val="22"/>
          <w:szCs w:val="22"/>
          <w:lang w:val="sr-Latn-RS"/>
        </w:rPr>
        <w:t xml:space="preserve"> za l</w:t>
      </w:r>
      <w:r w:rsidRPr="00D72200">
        <w:rPr>
          <w:bCs/>
          <w:sz w:val="22"/>
          <w:szCs w:val="22"/>
          <w:lang w:val="sr-Latn-RS"/>
        </w:rPr>
        <w:t>jekove je izuzela ob</w:t>
      </w:r>
      <w:r w:rsidR="00A36C74" w:rsidRPr="00D72200">
        <w:rPr>
          <w:bCs/>
          <w:sz w:val="22"/>
          <w:szCs w:val="22"/>
          <w:lang w:val="sr-Latn-RS"/>
        </w:rPr>
        <w:t>a</w:t>
      </w:r>
      <w:r w:rsidRPr="00D72200">
        <w:rPr>
          <w:bCs/>
          <w:sz w:val="22"/>
          <w:szCs w:val="22"/>
          <w:lang w:val="sr-Latn-RS"/>
        </w:rPr>
        <w:t xml:space="preserve">vezu podnošenja rezultata ispitivanja rosuvastatina u svim </w:t>
      </w:r>
      <w:r w:rsidR="00384C1A" w:rsidRPr="00D72200">
        <w:rPr>
          <w:bCs/>
          <w:sz w:val="22"/>
          <w:szCs w:val="22"/>
          <w:lang w:val="sr-Latn-RS"/>
        </w:rPr>
        <w:t xml:space="preserve">podgrupama </w:t>
      </w:r>
      <w:r w:rsidRPr="00D72200">
        <w:rPr>
          <w:bCs/>
          <w:sz w:val="22"/>
          <w:szCs w:val="22"/>
          <w:lang w:val="sr-Latn-RS"/>
        </w:rPr>
        <w:t xml:space="preserve">pedijatrijske populacije u </w:t>
      </w:r>
      <w:r w:rsidR="00955FF7" w:rsidRPr="00D72200">
        <w:rPr>
          <w:bCs/>
          <w:sz w:val="22"/>
          <w:szCs w:val="22"/>
          <w:lang w:val="sr-Latn-RS"/>
        </w:rPr>
        <w:t>terapiji homozigotne porodične</w:t>
      </w:r>
      <w:r w:rsidRPr="00D72200">
        <w:rPr>
          <w:bCs/>
          <w:sz w:val="22"/>
          <w:szCs w:val="22"/>
          <w:lang w:val="sr-Latn-RS"/>
        </w:rPr>
        <w:t xml:space="preserve"> hiper</w:t>
      </w:r>
      <w:r w:rsidR="00955FF7" w:rsidRPr="00D72200">
        <w:rPr>
          <w:bCs/>
          <w:sz w:val="22"/>
          <w:szCs w:val="22"/>
          <w:lang w:val="sr-Latn-RS"/>
        </w:rPr>
        <w:t>h</w:t>
      </w:r>
      <w:r w:rsidRPr="00D72200">
        <w:rPr>
          <w:bCs/>
          <w:sz w:val="22"/>
          <w:szCs w:val="22"/>
          <w:lang w:val="sr-Latn-RS"/>
        </w:rPr>
        <w:t>olesterolemije i primarne kombin</w:t>
      </w:r>
      <w:r w:rsidR="00955FF7" w:rsidRPr="00D72200">
        <w:rPr>
          <w:bCs/>
          <w:sz w:val="22"/>
          <w:szCs w:val="22"/>
          <w:lang w:val="sr-Latn-RS"/>
        </w:rPr>
        <w:t>ovane (m</w:t>
      </w:r>
      <w:r w:rsidR="00A36C74" w:rsidRPr="00D72200">
        <w:rPr>
          <w:bCs/>
          <w:sz w:val="22"/>
          <w:szCs w:val="22"/>
          <w:lang w:val="sr-Latn-RS"/>
        </w:rPr>
        <w:t>i</w:t>
      </w:r>
      <w:r w:rsidRPr="00D72200">
        <w:rPr>
          <w:bCs/>
          <w:sz w:val="22"/>
          <w:szCs w:val="22"/>
          <w:lang w:val="sr-Latn-RS"/>
        </w:rPr>
        <w:t xml:space="preserve">ješane) dislipidemije </w:t>
      </w:r>
      <w:r w:rsidR="00955FF7" w:rsidRPr="00D72200">
        <w:rPr>
          <w:bCs/>
          <w:sz w:val="22"/>
          <w:szCs w:val="22"/>
          <w:lang w:val="sr-Latn-RS"/>
        </w:rPr>
        <w:t xml:space="preserve">kao i </w:t>
      </w:r>
      <w:r w:rsidRPr="00D72200">
        <w:rPr>
          <w:bCs/>
          <w:sz w:val="22"/>
          <w:szCs w:val="22"/>
          <w:lang w:val="sr-Latn-RS"/>
        </w:rPr>
        <w:t>prevenciji kardiovaskularnih doga</w:t>
      </w:r>
      <w:r w:rsidR="00955FF7" w:rsidRPr="00D72200">
        <w:rPr>
          <w:bCs/>
          <w:sz w:val="22"/>
          <w:szCs w:val="22"/>
          <w:lang w:val="sr-Latn-RS"/>
        </w:rPr>
        <w:t>đ</w:t>
      </w:r>
      <w:r w:rsidRPr="00D72200">
        <w:rPr>
          <w:bCs/>
          <w:sz w:val="22"/>
          <w:szCs w:val="22"/>
          <w:lang w:val="sr-Latn-RS"/>
        </w:rPr>
        <w:t>aja (vidjeti dio 4.2 za informacije o pedijatrijskoj primjeni).</w:t>
      </w:r>
    </w:p>
    <w:p w14:paraId="51AE00D3" w14:textId="77777777" w:rsidR="00EC49F7" w:rsidRPr="00D72200" w:rsidRDefault="00EC49F7" w:rsidP="0014112C">
      <w:pPr>
        <w:tabs>
          <w:tab w:val="left" w:pos="540"/>
          <w:tab w:val="left" w:pos="569"/>
        </w:tabs>
        <w:jc w:val="both"/>
        <w:rPr>
          <w:b/>
          <w:bCs/>
          <w:sz w:val="22"/>
          <w:szCs w:val="22"/>
        </w:rPr>
      </w:pPr>
    </w:p>
    <w:p w14:paraId="1426F1E1" w14:textId="77777777" w:rsidR="0072020E" w:rsidRPr="00D72200" w:rsidRDefault="0072020E" w:rsidP="0014112C">
      <w:pPr>
        <w:tabs>
          <w:tab w:val="left" w:pos="540"/>
          <w:tab w:val="left" w:pos="569"/>
        </w:tabs>
        <w:jc w:val="both"/>
        <w:rPr>
          <w:b/>
          <w:bCs/>
          <w:sz w:val="22"/>
          <w:szCs w:val="22"/>
        </w:rPr>
      </w:pPr>
      <w:r w:rsidRPr="00D72200">
        <w:rPr>
          <w:b/>
          <w:bCs/>
          <w:sz w:val="22"/>
          <w:szCs w:val="22"/>
        </w:rPr>
        <w:t xml:space="preserve">5.2. </w:t>
      </w:r>
      <w:r w:rsidR="00480FB1" w:rsidRPr="00D72200">
        <w:rPr>
          <w:b/>
          <w:bCs/>
          <w:sz w:val="22"/>
          <w:szCs w:val="22"/>
        </w:rPr>
        <w:tab/>
      </w:r>
      <w:r w:rsidRPr="00D72200">
        <w:rPr>
          <w:b/>
          <w:bCs/>
          <w:sz w:val="22"/>
          <w:szCs w:val="22"/>
        </w:rPr>
        <w:t>Farmakokinetički podaci</w:t>
      </w:r>
      <w:r w:rsidR="003A7059" w:rsidRPr="00D72200">
        <w:rPr>
          <w:b/>
          <w:bCs/>
          <w:sz w:val="22"/>
          <w:szCs w:val="22"/>
        </w:rPr>
        <w:t xml:space="preserve"> </w:t>
      </w:r>
    </w:p>
    <w:p w14:paraId="310FFB88" w14:textId="77777777" w:rsidR="00384C1A" w:rsidRPr="00D72200" w:rsidRDefault="00384C1A" w:rsidP="00F93C9D">
      <w:pPr>
        <w:tabs>
          <w:tab w:val="left" w:pos="540"/>
          <w:tab w:val="left" w:pos="569"/>
        </w:tabs>
        <w:jc w:val="both"/>
        <w:rPr>
          <w:bCs/>
          <w:sz w:val="22"/>
          <w:szCs w:val="22"/>
        </w:rPr>
      </w:pPr>
    </w:p>
    <w:p w14:paraId="12FC4FB4" w14:textId="72859FE1" w:rsidR="002E2528" w:rsidRPr="00D72200" w:rsidRDefault="002E2528">
      <w:pPr>
        <w:tabs>
          <w:tab w:val="left" w:pos="284"/>
          <w:tab w:val="left" w:pos="9270"/>
        </w:tabs>
        <w:spacing w:before="80" w:after="80"/>
        <w:ind w:right="36"/>
        <w:jc w:val="both"/>
        <w:rPr>
          <w:b/>
          <w:bCs/>
          <w:sz w:val="22"/>
          <w:szCs w:val="22"/>
          <w:lang w:val="sr-Latn-RS"/>
        </w:rPr>
      </w:pPr>
      <w:r w:rsidRPr="00D72200">
        <w:rPr>
          <w:b/>
          <w:bCs/>
          <w:sz w:val="22"/>
          <w:szCs w:val="22"/>
          <w:lang w:val="sr-Latn-RS"/>
        </w:rPr>
        <w:t>Resorpcija:</w:t>
      </w:r>
      <w:r w:rsidRPr="00D72200">
        <w:rPr>
          <w:bCs/>
          <w:sz w:val="22"/>
          <w:szCs w:val="22"/>
          <w:lang w:val="sr-Latn-RS"/>
        </w:rPr>
        <w:t xml:space="preserve"> Maksimalne koncentracije rosuvastatina u plazmi se postižu oko 5 sati nakon oralne primjene. Apsolutna bioraspoloživost je oko 20%.</w:t>
      </w:r>
    </w:p>
    <w:p w14:paraId="748A669B" w14:textId="3A279A90" w:rsidR="002E2528" w:rsidRPr="00D72200" w:rsidRDefault="002E2528">
      <w:pPr>
        <w:tabs>
          <w:tab w:val="left" w:pos="284"/>
          <w:tab w:val="left" w:pos="9270"/>
        </w:tabs>
        <w:spacing w:before="80" w:after="80"/>
        <w:ind w:right="36"/>
        <w:jc w:val="both"/>
        <w:rPr>
          <w:bCs/>
          <w:sz w:val="22"/>
          <w:szCs w:val="22"/>
          <w:lang w:val="sr-Latn-RS"/>
        </w:rPr>
      </w:pPr>
      <w:r w:rsidRPr="00D72200">
        <w:rPr>
          <w:b/>
          <w:bCs/>
          <w:sz w:val="22"/>
          <w:szCs w:val="22"/>
          <w:lang w:val="sr-Latn-RS"/>
        </w:rPr>
        <w:t xml:space="preserve">Distribucija: </w:t>
      </w:r>
      <w:r w:rsidRPr="00D72200">
        <w:rPr>
          <w:bCs/>
          <w:sz w:val="22"/>
          <w:szCs w:val="22"/>
          <w:lang w:val="sr-Latn-RS"/>
        </w:rPr>
        <w:t>Rosuvastatin se u velikoj mjeri preuzima od strane jetre, koja je primarno mjesto sinteze holesterola i klirensa LDL holesterola. Volumen distribucije rosuvastatina je oko 134</w:t>
      </w:r>
      <w:r w:rsidR="00314883" w:rsidRPr="00D72200">
        <w:rPr>
          <w:bCs/>
          <w:sz w:val="22"/>
          <w:szCs w:val="22"/>
          <w:lang w:val="sr-Latn-RS"/>
        </w:rPr>
        <w:t xml:space="preserve"> l</w:t>
      </w:r>
      <w:r w:rsidRPr="00D72200">
        <w:rPr>
          <w:bCs/>
          <w:sz w:val="22"/>
          <w:szCs w:val="22"/>
          <w:lang w:val="sr-Latn-RS"/>
        </w:rPr>
        <w:t>. Oko 90% rosuvastatina se vezuje za proteine plazme, posebno za albumin.</w:t>
      </w:r>
    </w:p>
    <w:p w14:paraId="20A3F257" w14:textId="77777777" w:rsidR="002E2528" w:rsidRPr="00D72200" w:rsidRDefault="002E2528">
      <w:pPr>
        <w:tabs>
          <w:tab w:val="left" w:pos="284"/>
          <w:tab w:val="left" w:pos="9270"/>
        </w:tabs>
        <w:spacing w:before="80" w:after="80"/>
        <w:ind w:right="36"/>
        <w:jc w:val="both"/>
        <w:rPr>
          <w:color w:val="000000"/>
          <w:sz w:val="22"/>
          <w:szCs w:val="22"/>
          <w:lang w:val="sr-Latn-RS"/>
        </w:rPr>
      </w:pPr>
      <w:r w:rsidRPr="00D72200">
        <w:rPr>
          <w:b/>
          <w:bCs/>
          <w:sz w:val="22"/>
          <w:szCs w:val="22"/>
          <w:lang w:val="sr-Latn-RS"/>
        </w:rPr>
        <w:t xml:space="preserve">Metabolizam: </w:t>
      </w:r>
      <w:r w:rsidRPr="00D72200">
        <w:rPr>
          <w:bCs/>
          <w:sz w:val="22"/>
          <w:szCs w:val="22"/>
          <w:lang w:val="sr-Latn-RS"/>
        </w:rPr>
        <w:t xml:space="preserve">Rosuvastatin podliježe ograničenom metabilizmu (oko 10%). Rezultati </w:t>
      </w:r>
      <w:r w:rsidRPr="00D72200">
        <w:rPr>
          <w:bCs/>
          <w:i/>
          <w:sz w:val="22"/>
          <w:szCs w:val="22"/>
          <w:lang w:val="sr-Latn-RS"/>
        </w:rPr>
        <w:t xml:space="preserve">in vitro </w:t>
      </w:r>
      <w:r w:rsidRPr="00D72200">
        <w:rPr>
          <w:bCs/>
          <w:sz w:val="22"/>
          <w:szCs w:val="22"/>
          <w:lang w:val="sr-Latn-RS"/>
        </w:rPr>
        <w:t xml:space="preserve">studija metabolizma u kojima su korišćeni humani hepatociti, pokazuju da je rosuvastatin </w:t>
      </w:r>
      <w:r w:rsidRPr="00D72200">
        <w:rPr>
          <w:color w:val="000000"/>
          <w:sz w:val="22"/>
          <w:szCs w:val="22"/>
          <w:lang w:val="sr-Latn-RS"/>
        </w:rPr>
        <w:t>slab supstrat za metabolizam preko citohroma P450. CYP2C9 je glavni uključeni izoenzim, a 2C19, 3A4 i 2D6 su uključeni u manjoj mjeri. Osnovni metaboliti su N-desmetil i laktonski metaboliti. N-desmetil metabolit je za oko 50% manje aktivan od rosuvastatina, dok se laktonski oblik smatra klinički neaktivnim. Rosuvastatin je odgovoran za više od 90% aktivnosti inhibicije cirkulišuće HMG-CoA reduktaze.</w:t>
      </w:r>
    </w:p>
    <w:p w14:paraId="012D7C06" w14:textId="1C616B51" w:rsidR="002E2528" w:rsidRPr="00D72200" w:rsidRDefault="002E2528">
      <w:pPr>
        <w:tabs>
          <w:tab w:val="left" w:pos="284"/>
          <w:tab w:val="left" w:pos="9270"/>
        </w:tabs>
        <w:spacing w:before="80" w:after="80"/>
        <w:ind w:right="36"/>
        <w:jc w:val="both"/>
        <w:rPr>
          <w:color w:val="000000"/>
          <w:sz w:val="22"/>
          <w:szCs w:val="22"/>
          <w:lang w:val="sr-Latn-RS"/>
        </w:rPr>
      </w:pPr>
      <w:r w:rsidRPr="00D72200">
        <w:rPr>
          <w:b/>
          <w:color w:val="000000"/>
          <w:sz w:val="22"/>
          <w:szCs w:val="22"/>
          <w:lang w:val="sr-Latn-RS"/>
        </w:rPr>
        <w:t xml:space="preserve">Eliminacija: </w:t>
      </w:r>
      <w:r w:rsidRPr="00D72200">
        <w:rPr>
          <w:color w:val="000000"/>
          <w:sz w:val="22"/>
          <w:szCs w:val="22"/>
          <w:lang w:val="sr-Latn-RS"/>
        </w:rPr>
        <w:t>Oko 90% doze rosuvastatina se izlučuje nepromijenjeno u feces (u obliku resorbovane i neresorbovane aktivne supstance), a preostali dio se izlučuje u urin. Oko 5% se izlučuje nepromijenjeno u urin. Prosječno poluvrijeme eliminacije u plazmi je 19 sati. Poluvrijeme eliminacije se ne povećava pri većim dozama. Geometrijska sredina plazma klirensa je oko 50</w:t>
      </w:r>
      <w:r w:rsidR="00314883" w:rsidRPr="00D72200">
        <w:rPr>
          <w:color w:val="000000"/>
          <w:sz w:val="22"/>
          <w:szCs w:val="22"/>
          <w:lang w:val="sr-Latn-RS"/>
        </w:rPr>
        <w:t xml:space="preserve"> </w:t>
      </w:r>
      <w:r w:rsidRPr="00D72200">
        <w:rPr>
          <w:color w:val="000000"/>
          <w:sz w:val="22"/>
          <w:szCs w:val="22"/>
          <w:lang w:val="sr-Latn-RS"/>
        </w:rPr>
        <w:t>l/sat (koeficijent varijacije 21.7%). Kao i kod ostalih inhibitora HMG-CoA reduktaze, hepatičko preuzimanje rosuvastatina uključuje membranski transport OATP holesterola. Ovaj transport je  važan u hepatičkoj eliminaciji rosuvastatina.</w:t>
      </w:r>
    </w:p>
    <w:p w14:paraId="7A28A307" w14:textId="605ED692" w:rsidR="002E2528" w:rsidRPr="00D72200" w:rsidRDefault="002E2528">
      <w:pPr>
        <w:tabs>
          <w:tab w:val="left" w:pos="284"/>
          <w:tab w:val="left" w:pos="9270"/>
        </w:tabs>
        <w:spacing w:before="80" w:after="80"/>
        <w:ind w:right="36"/>
        <w:jc w:val="both"/>
        <w:rPr>
          <w:bCs/>
          <w:sz w:val="22"/>
          <w:szCs w:val="22"/>
          <w:lang w:val="sr-Latn-RS"/>
        </w:rPr>
      </w:pPr>
      <w:r w:rsidRPr="00D72200">
        <w:rPr>
          <w:b/>
          <w:bCs/>
          <w:sz w:val="22"/>
          <w:szCs w:val="22"/>
          <w:lang w:val="sr-Latn-RS"/>
        </w:rPr>
        <w:lastRenderedPageBreak/>
        <w:t xml:space="preserve">Linearnost: </w:t>
      </w:r>
      <w:r w:rsidRPr="00D72200">
        <w:rPr>
          <w:bCs/>
          <w:sz w:val="22"/>
          <w:szCs w:val="22"/>
          <w:lang w:val="sr-Latn-RS"/>
        </w:rPr>
        <w:t xml:space="preserve">Sistemska izloženost rosuvastatina raste proporcionalno sa dozom. Nema promjena u farmakokinetičkim parametrima nakon </w:t>
      </w:r>
      <w:r w:rsidR="00314883" w:rsidRPr="00D72200">
        <w:rPr>
          <w:bCs/>
          <w:sz w:val="22"/>
          <w:szCs w:val="22"/>
          <w:lang w:val="sr-Latn-RS"/>
        </w:rPr>
        <w:t xml:space="preserve">ponovljenih </w:t>
      </w:r>
      <w:r w:rsidRPr="00D72200">
        <w:rPr>
          <w:bCs/>
          <w:sz w:val="22"/>
          <w:szCs w:val="22"/>
          <w:lang w:val="sr-Latn-RS"/>
        </w:rPr>
        <w:t>dnevnih doza.</w:t>
      </w:r>
    </w:p>
    <w:p w14:paraId="19FD2428" w14:textId="77777777" w:rsidR="00314883" w:rsidRPr="00D72200" w:rsidRDefault="00314883">
      <w:pPr>
        <w:tabs>
          <w:tab w:val="left" w:pos="284"/>
          <w:tab w:val="left" w:pos="9270"/>
        </w:tabs>
        <w:spacing w:before="80" w:after="80"/>
        <w:ind w:right="36"/>
        <w:jc w:val="both"/>
        <w:rPr>
          <w:bCs/>
          <w:sz w:val="22"/>
          <w:szCs w:val="22"/>
          <w:lang w:val="sr-Latn-RS"/>
        </w:rPr>
      </w:pPr>
    </w:p>
    <w:p w14:paraId="0AE937F8" w14:textId="77777777" w:rsidR="002E2528" w:rsidRPr="00D72200" w:rsidRDefault="002E2528">
      <w:pPr>
        <w:tabs>
          <w:tab w:val="left" w:pos="284"/>
        </w:tabs>
        <w:jc w:val="both"/>
        <w:rPr>
          <w:b/>
          <w:sz w:val="22"/>
          <w:szCs w:val="22"/>
          <w:lang w:val="sr-Latn-RS"/>
        </w:rPr>
      </w:pPr>
      <w:r w:rsidRPr="00D72200">
        <w:rPr>
          <w:b/>
          <w:sz w:val="22"/>
          <w:szCs w:val="22"/>
          <w:lang w:val="sr-Latn-RS"/>
        </w:rPr>
        <w:t>Posebne grupe pacijenata</w:t>
      </w:r>
    </w:p>
    <w:p w14:paraId="26A4C3ED" w14:textId="77777777" w:rsidR="00314883" w:rsidRPr="00D72200" w:rsidRDefault="00314883">
      <w:pPr>
        <w:tabs>
          <w:tab w:val="left" w:pos="284"/>
        </w:tabs>
        <w:jc w:val="both"/>
        <w:rPr>
          <w:b/>
          <w:sz w:val="22"/>
          <w:szCs w:val="22"/>
          <w:lang w:val="sr-Latn-RS"/>
        </w:rPr>
      </w:pPr>
    </w:p>
    <w:p w14:paraId="3014E04A" w14:textId="342AB85F" w:rsidR="002E2528" w:rsidRPr="00D72200" w:rsidRDefault="002E2528">
      <w:pPr>
        <w:tabs>
          <w:tab w:val="left" w:pos="284"/>
        </w:tabs>
        <w:jc w:val="both"/>
        <w:rPr>
          <w:sz w:val="22"/>
          <w:szCs w:val="22"/>
          <w:lang w:val="sr-Latn-RS"/>
        </w:rPr>
      </w:pPr>
      <w:r w:rsidRPr="00D72200">
        <w:rPr>
          <w:b/>
          <w:sz w:val="22"/>
          <w:szCs w:val="22"/>
          <w:lang w:val="sr-Latn-RS"/>
        </w:rPr>
        <w:t>Starost i pol:</w:t>
      </w:r>
      <w:r w:rsidRPr="00D72200">
        <w:rPr>
          <w:sz w:val="22"/>
          <w:szCs w:val="22"/>
          <w:lang w:val="sr-Latn-RS"/>
        </w:rPr>
        <w:t xml:space="preserve"> Starost i pol nemaju klinički značaj</w:t>
      </w:r>
      <w:r w:rsidR="00457CA8" w:rsidRPr="00D72200">
        <w:rPr>
          <w:sz w:val="22"/>
          <w:szCs w:val="22"/>
          <w:lang w:val="sr-Latn-RS"/>
        </w:rPr>
        <w:t>an</w:t>
      </w:r>
      <w:r w:rsidRPr="00D72200">
        <w:rPr>
          <w:sz w:val="22"/>
          <w:szCs w:val="22"/>
          <w:lang w:val="sr-Latn-RS"/>
        </w:rPr>
        <w:t xml:space="preserve"> uticaj na farmakokinetiku rosuvastatina kod odraslih.</w:t>
      </w:r>
      <w:r w:rsidR="00314883" w:rsidRPr="00D72200">
        <w:rPr>
          <w:sz w:val="22"/>
          <w:szCs w:val="22"/>
          <w:lang w:val="sr-Latn-RS"/>
        </w:rPr>
        <w:t xml:space="preserve"> </w:t>
      </w:r>
      <w:r w:rsidR="00C17F22" w:rsidRPr="00D72200">
        <w:rPr>
          <w:sz w:val="22"/>
          <w:szCs w:val="22"/>
          <w:lang w:val="sr-Latn-RS"/>
        </w:rPr>
        <w:t xml:space="preserve">Izloženost </w:t>
      </w:r>
      <w:r w:rsidRPr="00D72200">
        <w:rPr>
          <w:sz w:val="22"/>
          <w:szCs w:val="22"/>
          <w:lang w:val="sr-Latn-RS"/>
        </w:rPr>
        <w:t>rosuvastatin</w:t>
      </w:r>
      <w:r w:rsidR="00C17F22" w:rsidRPr="00D72200">
        <w:rPr>
          <w:sz w:val="22"/>
          <w:szCs w:val="22"/>
          <w:lang w:val="sr-Latn-RS"/>
        </w:rPr>
        <w:t>u</w:t>
      </w:r>
      <w:r w:rsidRPr="00D72200">
        <w:rPr>
          <w:sz w:val="22"/>
          <w:szCs w:val="22"/>
          <w:lang w:val="sr-Latn-RS"/>
        </w:rPr>
        <w:t xml:space="preserve"> kod djece i adolescenata sa heterozigotnom porodičnom hiperholesterolemijom je slična kao kod odraslih </w:t>
      </w:r>
      <w:r w:rsidR="00627659" w:rsidRPr="00D72200">
        <w:rPr>
          <w:sz w:val="22"/>
          <w:szCs w:val="22"/>
          <w:lang w:val="sr-Latn-RS"/>
        </w:rPr>
        <w:t xml:space="preserve">pacijenata sa dislipidemijom </w:t>
      </w:r>
      <w:r w:rsidR="00ED63BA" w:rsidRPr="00D72200">
        <w:rPr>
          <w:sz w:val="22"/>
          <w:szCs w:val="22"/>
          <w:lang w:val="sr-Latn-RS"/>
        </w:rPr>
        <w:t>ili niža</w:t>
      </w:r>
      <w:r w:rsidRPr="00D72200">
        <w:rPr>
          <w:sz w:val="22"/>
          <w:szCs w:val="22"/>
          <w:lang w:val="sr-Latn-RS"/>
        </w:rPr>
        <w:t xml:space="preserve"> (vidjeti ispod „Pedijatrijska populacija“).</w:t>
      </w:r>
    </w:p>
    <w:p w14:paraId="2BED3D64" w14:textId="77777777" w:rsidR="002E2528" w:rsidRPr="00D72200" w:rsidRDefault="002E2528">
      <w:pPr>
        <w:tabs>
          <w:tab w:val="left" w:pos="284"/>
        </w:tabs>
        <w:jc w:val="both"/>
        <w:rPr>
          <w:sz w:val="22"/>
          <w:szCs w:val="22"/>
          <w:lang w:val="sr-Latn-RS"/>
        </w:rPr>
      </w:pPr>
    </w:p>
    <w:p w14:paraId="4758FC3F" w14:textId="2866F1A7" w:rsidR="002E2528" w:rsidRPr="00D72200" w:rsidRDefault="002E2528">
      <w:pPr>
        <w:tabs>
          <w:tab w:val="left" w:pos="284"/>
        </w:tabs>
        <w:jc w:val="both"/>
        <w:rPr>
          <w:sz w:val="22"/>
          <w:szCs w:val="22"/>
          <w:lang w:val="sr-Latn-RS"/>
        </w:rPr>
      </w:pPr>
      <w:r w:rsidRPr="00D72200">
        <w:rPr>
          <w:b/>
          <w:sz w:val="22"/>
          <w:szCs w:val="22"/>
          <w:lang w:val="sr-Latn-RS"/>
        </w:rPr>
        <w:t>Rasa:</w:t>
      </w:r>
      <w:r w:rsidRPr="00D72200">
        <w:rPr>
          <w:sz w:val="22"/>
          <w:szCs w:val="22"/>
          <w:lang w:val="sr-Latn-RS"/>
        </w:rPr>
        <w:t xml:space="preserve"> Rezultati farmakokinetičkih studija pokazuju dvostruko povećanje srednje vrijednosti PIK i C</w:t>
      </w:r>
      <w:r w:rsidRPr="00D72200">
        <w:rPr>
          <w:sz w:val="22"/>
          <w:szCs w:val="22"/>
          <w:vertAlign w:val="subscript"/>
          <w:lang w:val="sr-Latn-RS"/>
        </w:rPr>
        <w:t>max</w:t>
      </w:r>
      <w:r w:rsidRPr="00D72200">
        <w:rPr>
          <w:sz w:val="22"/>
          <w:szCs w:val="22"/>
          <w:lang w:val="sr-Latn-RS"/>
        </w:rPr>
        <w:t xml:space="preserve"> kod pripadnika azijskih naroda (Japan</w:t>
      </w:r>
      <w:r w:rsidR="00314883" w:rsidRPr="00D72200">
        <w:rPr>
          <w:sz w:val="22"/>
          <w:szCs w:val="22"/>
          <w:lang w:val="sr-Latn-RS"/>
        </w:rPr>
        <w:t>ci</w:t>
      </w:r>
      <w:r w:rsidRPr="00D72200">
        <w:rPr>
          <w:sz w:val="22"/>
          <w:szCs w:val="22"/>
          <w:lang w:val="sr-Latn-RS"/>
        </w:rPr>
        <w:t>, Kinez</w:t>
      </w:r>
      <w:r w:rsidR="00314883" w:rsidRPr="00D72200">
        <w:rPr>
          <w:sz w:val="22"/>
          <w:szCs w:val="22"/>
          <w:lang w:val="sr-Latn-RS"/>
        </w:rPr>
        <w:t>i</w:t>
      </w:r>
      <w:r w:rsidRPr="00D72200">
        <w:rPr>
          <w:sz w:val="22"/>
          <w:szCs w:val="22"/>
          <w:lang w:val="sr-Latn-RS"/>
        </w:rPr>
        <w:t>, Filipin</w:t>
      </w:r>
      <w:r w:rsidR="00314883" w:rsidRPr="00D72200">
        <w:rPr>
          <w:sz w:val="22"/>
          <w:szCs w:val="22"/>
          <w:lang w:val="sr-Latn-RS"/>
        </w:rPr>
        <w:t>ci</w:t>
      </w:r>
      <w:r w:rsidRPr="00D72200">
        <w:rPr>
          <w:sz w:val="22"/>
          <w:szCs w:val="22"/>
          <w:lang w:val="sr-Latn-RS"/>
        </w:rPr>
        <w:t>, Vijetnam</w:t>
      </w:r>
      <w:r w:rsidR="00314883" w:rsidRPr="00D72200">
        <w:rPr>
          <w:sz w:val="22"/>
          <w:szCs w:val="22"/>
          <w:lang w:val="sr-Latn-RS"/>
        </w:rPr>
        <w:t>ci</w:t>
      </w:r>
      <w:r w:rsidRPr="00D72200">
        <w:rPr>
          <w:sz w:val="22"/>
          <w:szCs w:val="22"/>
          <w:lang w:val="sr-Latn-RS"/>
        </w:rPr>
        <w:t xml:space="preserve"> i Korej</w:t>
      </w:r>
      <w:r w:rsidR="00314883" w:rsidRPr="00D72200">
        <w:rPr>
          <w:sz w:val="22"/>
          <w:szCs w:val="22"/>
          <w:lang w:val="sr-Latn-RS"/>
        </w:rPr>
        <w:t>ci</w:t>
      </w:r>
      <w:r w:rsidRPr="00D72200">
        <w:rPr>
          <w:sz w:val="22"/>
          <w:szCs w:val="22"/>
          <w:lang w:val="sr-Latn-RS"/>
        </w:rPr>
        <w:t xml:space="preserve">) u odnosu na pripadnike bijele rase; </w:t>
      </w:r>
      <w:r w:rsidR="00314883" w:rsidRPr="00D72200">
        <w:rPr>
          <w:sz w:val="22"/>
          <w:szCs w:val="22"/>
          <w:lang w:val="sr-Latn-RS"/>
        </w:rPr>
        <w:t>A</w:t>
      </w:r>
      <w:r w:rsidRPr="00D72200">
        <w:rPr>
          <w:sz w:val="22"/>
          <w:szCs w:val="22"/>
          <w:lang w:val="sr-Latn-RS"/>
        </w:rPr>
        <w:t>zij</w:t>
      </w:r>
      <w:r w:rsidR="00314883" w:rsidRPr="00D72200">
        <w:rPr>
          <w:sz w:val="22"/>
          <w:szCs w:val="22"/>
          <w:lang w:val="sr-Latn-RS"/>
        </w:rPr>
        <w:t>ati-</w:t>
      </w:r>
      <w:r w:rsidRPr="00D72200">
        <w:rPr>
          <w:sz w:val="22"/>
          <w:szCs w:val="22"/>
          <w:lang w:val="sr-Latn-RS"/>
        </w:rPr>
        <w:t xml:space="preserve">Indijaca </w:t>
      </w:r>
      <w:r w:rsidR="00314883" w:rsidRPr="00D72200">
        <w:rPr>
          <w:sz w:val="22"/>
          <w:szCs w:val="22"/>
          <w:lang w:val="sr-Latn-RS"/>
        </w:rPr>
        <w:t>pokazuju oko 1.3 puta veće</w:t>
      </w:r>
      <w:r w:rsidRPr="00D72200">
        <w:rPr>
          <w:sz w:val="22"/>
          <w:szCs w:val="22"/>
          <w:lang w:val="sr-Latn-RS"/>
        </w:rPr>
        <w:t xml:space="preserve"> srednje vrijednosti PIK i C</w:t>
      </w:r>
      <w:r w:rsidRPr="00D72200">
        <w:rPr>
          <w:sz w:val="22"/>
          <w:szCs w:val="22"/>
          <w:vertAlign w:val="subscript"/>
          <w:lang w:val="sr-Latn-RS"/>
        </w:rPr>
        <w:t>max</w:t>
      </w:r>
      <w:r w:rsidRPr="00D72200">
        <w:rPr>
          <w:sz w:val="22"/>
          <w:szCs w:val="22"/>
          <w:lang w:val="sr-Latn-RS"/>
        </w:rPr>
        <w:t xml:space="preserve">. </w:t>
      </w:r>
      <w:r w:rsidR="00314883" w:rsidRPr="00D72200">
        <w:rPr>
          <w:sz w:val="22"/>
          <w:szCs w:val="22"/>
          <w:lang w:val="sr-Latn-RS"/>
        </w:rPr>
        <w:t>Populacijska f</w:t>
      </w:r>
      <w:r w:rsidRPr="00D72200">
        <w:rPr>
          <w:sz w:val="22"/>
          <w:szCs w:val="22"/>
          <w:lang w:val="sr-Latn-RS"/>
        </w:rPr>
        <w:t>armakokinetičk</w:t>
      </w:r>
      <w:r w:rsidR="00314883" w:rsidRPr="00D72200">
        <w:rPr>
          <w:sz w:val="22"/>
          <w:szCs w:val="22"/>
          <w:lang w:val="sr-Latn-RS"/>
        </w:rPr>
        <w:t>a</w:t>
      </w:r>
      <w:r w:rsidRPr="00D72200">
        <w:rPr>
          <w:sz w:val="22"/>
          <w:szCs w:val="22"/>
          <w:lang w:val="sr-Latn-RS"/>
        </w:rPr>
        <w:t xml:space="preserve"> analiz</w:t>
      </w:r>
      <w:r w:rsidR="00314883" w:rsidRPr="00D72200">
        <w:rPr>
          <w:sz w:val="22"/>
          <w:szCs w:val="22"/>
          <w:lang w:val="sr-Latn-RS"/>
        </w:rPr>
        <w:t>a</w:t>
      </w:r>
      <w:r w:rsidRPr="00D72200">
        <w:rPr>
          <w:sz w:val="22"/>
          <w:szCs w:val="22"/>
          <w:lang w:val="sr-Latn-RS"/>
        </w:rPr>
        <w:t xml:space="preserve"> nije pokazal</w:t>
      </w:r>
      <w:r w:rsidR="00314883" w:rsidRPr="00D72200">
        <w:rPr>
          <w:sz w:val="22"/>
          <w:szCs w:val="22"/>
          <w:lang w:val="sr-Latn-RS"/>
        </w:rPr>
        <w:t>a</w:t>
      </w:r>
      <w:r w:rsidRPr="00D72200">
        <w:rPr>
          <w:sz w:val="22"/>
          <w:szCs w:val="22"/>
          <w:lang w:val="sr-Latn-RS"/>
        </w:rPr>
        <w:t xml:space="preserve"> klinički značajne razlike u farmakokinetici između pripadnika bijele i afro-američke rase.</w:t>
      </w:r>
    </w:p>
    <w:p w14:paraId="3BD1CB56" w14:textId="77777777" w:rsidR="002E2528" w:rsidRPr="00D72200" w:rsidRDefault="002E2528">
      <w:pPr>
        <w:tabs>
          <w:tab w:val="left" w:pos="284"/>
        </w:tabs>
        <w:jc w:val="both"/>
        <w:rPr>
          <w:sz w:val="22"/>
          <w:szCs w:val="22"/>
          <w:lang w:val="sr-Latn-RS"/>
        </w:rPr>
      </w:pPr>
    </w:p>
    <w:p w14:paraId="7A7282E5" w14:textId="7A415884" w:rsidR="002E2528" w:rsidRPr="00D72200" w:rsidRDefault="002E2528">
      <w:pPr>
        <w:tabs>
          <w:tab w:val="left" w:pos="284"/>
        </w:tabs>
        <w:jc w:val="both"/>
        <w:rPr>
          <w:sz w:val="22"/>
          <w:szCs w:val="22"/>
          <w:lang w:val="sr-Latn-RS"/>
        </w:rPr>
      </w:pPr>
      <w:r w:rsidRPr="00D72200">
        <w:rPr>
          <w:b/>
          <w:sz w:val="22"/>
          <w:szCs w:val="22"/>
          <w:lang w:val="sr-Latn-RS"/>
        </w:rPr>
        <w:t>Insuficijencija bubrega:</w:t>
      </w:r>
      <w:r w:rsidRPr="00D72200">
        <w:rPr>
          <w:sz w:val="22"/>
          <w:szCs w:val="22"/>
          <w:lang w:val="sr-Latn-RS"/>
        </w:rPr>
        <w:t xml:space="preserve"> U jednoj studiji koja je obuhvatila pacijente sa različitim stepenima oštećenja bubrega, pokazalo se da blago do umjereno oboljenje bubrega ne utiče na koncentracije rosuvastatina i N-desmetil metabolita u plazmi. Kod pacijenata sa teškim oštećenjem (CrCl &lt;</w:t>
      </w:r>
      <w:r w:rsidR="00083AA3" w:rsidRPr="00D72200">
        <w:rPr>
          <w:sz w:val="22"/>
          <w:szCs w:val="22"/>
          <w:lang w:val="sr-Latn-RS"/>
        </w:rPr>
        <w:t xml:space="preserve"> </w:t>
      </w:r>
      <w:r w:rsidRPr="00D72200">
        <w:rPr>
          <w:sz w:val="22"/>
          <w:szCs w:val="22"/>
          <w:lang w:val="sr-Latn-RS"/>
        </w:rPr>
        <w:t>30 ml/min) koncentracija u plazmi je bila trostruko veća, a koncentracija N-desmetil metabolita 9 puta veća u odnosu na zdrave dobrovoljce. Koncentracije rosuvastatina u plazmi u stanju ravnoteže kod pacijenata koji su podvrgnuti hemodijalizi, su bile oko 50% veće u odnosu na zdrave dobrovoljce.</w:t>
      </w:r>
    </w:p>
    <w:p w14:paraId="16149789" w14:textId="77777777" w:rsidR="002E2528" w:rsidRPr="00D72200" w:rsidRDefault="002E2528">
      <w:pPr>
        <w:tabs>
          <w:tab w:val="left" w:pos="284"/>
        </w:tabs>
        <w:jc w:val="both"/>
        <w:rPr>
          <w:sz w:val="22"/>
          <w:szCs w:val="22"/>
          <w:lang w:val="sr-Latn-RS"/>
        </w:rPr>
      </w:pPr>
    </w:p>
    <w:p w14:paraId="2F061E7D" w14:textId="2F532AA3" w:rsidR="002E2528" w:rsidRPr="00D72200" w:rsidRDefault="002E2528" w:rsidP="0014112C">
      <w:pPr>
        <w:tabs>
          <w:tab w:val="left" w:pos="540"/>
          <w:tab w:val="left" w:pos="569"/>
        </w:tabs>
        <w:jc w:val="both"/>
        <w:rPr>
          <w:bCs/>
          <w:sz w:val="22"/>
          <w:szCs w:val="22"/>
        </w:rPr>
      </w:pPr>
      <w:r w:rsidRPr="00D72200">
        <w:rPr>
          <w:b/>
          <w:sz w:val="22"/>
          <w:szCs w:val="22"/>
          <w:lang w:val="sr-Latn-RS"/>
        </w:rPr>
        <w:t>Insuficijencija jetre:</w:t>
      </w:r>
      <w:r w:rsidRPr="00D72200">
        <w:rPr>
          <w:sz w:val="22"/>
          <w:szCs w:val="22"/>
          <w:lang w:val="sr-Latn-RS"/>
        </w:rPr>
        <w:t xml:space="preserve"> U jednoj studiji koja je obuhvatila pacijente sa različitim stepenima oštećenja jetre, nije se javila veća izloženost rosuvastatinu kod pacijanata sa </w:t>
      </w:r>
      <w:r w:rsidRPr="00D72200">
        <w:rPr>
          <w:i/>
          <w:sz w:val="22"/>
          <w:szCs w:val="22"/>
          <w:lang w:val="sr-Latn-RS"/>
        </w:rPr>
        <w:t xml:space="preserve">Child-Pugh </w:t>
      </w:r>
      <w:r w:rsidRPr="00D72200">
        <w:rPr>
          <w:sz w:val="22"/>
          <w:szCs w:val="22"/>
          <w:lang w:val="sr-Latn-RS"/>
        </w:rPr>
        <w:t xml:space="preserve">skorom 7 i manje. Ipak, kod dva pacijenta sa </w:t>
      </w:r>
      <w:r w:rsidRPr="00D72200">
        <w:rPr>
          <w:i/>
          <w:sz w:val="22"/>
          <w:szCs w:val="22"/>
          <w:lang w:val="sr-Latn-RS"/>
        </w:rPr>
        <w:t xml:space="preserve">Child-Pugh </w:t>
      </w:r>
      <w:r w:rsidRPr="00D72200">
        <w:rPr>
          <w:sz w:val="22"/>
          <w:szCs w:val="22"/>
          <w:lang w:val="sr-Latn-RS"/>
        </w:rPr>
        <w:t xml:space="preserve">skorom 8 i 9, došlo je do najmanje dvostrukog povećanja sistemske izloženosti u odnosu na pacijente sa nižim </w:t>
      </w:r>
      <w:r w:rsidRPr="00D72200">
        <w:rPr>
          <w:i/>
          <w:sz w:val="22"/>
          <w:szCs w:val="22"/>
          <w:lang w:val="sr-Latn-RS"/>
        </w:rPr>
        <w:t xml:space="preserve">Child-Pugh </w:t>
      </w:r>
      <w:r w:rsidRPr="00D72200">
        <w:rPr>
          <w:sz w:val="22"/>
          <w:szCs w:val="22"/>
          <w:lang w:val="sr-Latn-RS"/>
        </w:rPr>
        <w:t xml:space="preserve">skorom. Nema iskustava sa pacijentima sa </w:t>
      </w:r>
      <w:r w:rsidRPr="00D72200">
        <w:rPr>
          <w:i/>
          <w:sz w:val="22"/>
          <w:szCs w:val="22"/>
          <w:lang w:val="sr-Latn-RS"/>
        </w:rPr>
        <w:t xml:space="preserve">Child-Pugh </w:t>
      </w:r>
      <w:r w:rsidRPr="00D72200">
        <w:rPr>
          <w:sz w:val="22"/>
          <w:szCs w:val="22"/>
          <w:lang w:val="sr-Latn-RS"/>
        </w:rPr>
        <w:t>skorom iznad 9</w:t>
      </w:r>
      <w:r w:rsidR="00083AA3" w:rsidRPr="00D72200">
        <w:rPr>
          <w:sz w:val="22"/>
          <w:szCs w:val="22"/>
          <w:lang w:val="sr-Latn-RS"/>
        </w:rPr>
        <w:t>.</w:t>
      </w:r>
    </w:p>
    <w:p w14:paraId="18CC7256" w14:textId="77777777" w:rsidR="002E2528" w:rsidRPr="00D72200" w:rsidRDefault="002E2528" w:rsidP="0014112C">
      <w:pPr>
        <w:tabs>
          <w:tab w:val="left" w:pos="540"/>
          <w:tab w:val="left" w:pos="569"/>
        </w:tabs>
        <w:jc w:val="both"/>
        <w:rPr>
          <w:bCs/>
          <w:sz w:val="22"/>
          <w:szCs w:val="22"/>
        </w:rPr>
      </w:pPr>
    </w:p>
    <w:p w14:paraId="37645923" w14:textId="6CA45D05" w:rsidR="002E2528" w:rsidRPr="00D72200" w:rsidRDefault="002E2528">
      <w:pPr>
        <w:tabs>
          <w:tab w:val="left" w:pos="284"/>
        </w:tabs>
        <w:jc w:val="both"/>
        <w:rPr>
          <w:sz w:val="22"/>
          <w:szCs w:val="22"/>
        </w:rPr>
      </w:pPr>
      <w:r w:rsidRPr="00D72200">
        <w:rPr>
          <w:b/>
          <w:sz w:val="22"/>
          <w:szCs w:val="22"/>
        </w:rPr>
        <w:t>Genetski polimorfizam:</w:t>
      </w:r>
      <w:r w:rsidRPr="00D72200">
        <w:rPr>
          <w:sz w:val="22"/>
          <w:szCs w:val="22"/>
        </w:rPr>
        <w:t xml:space="preserve"> Raspoloživost inhibitora HMG-CoA reduktaze, uključujući i rosuvastatin, povezana je sa transportnim proteinima OATP1B1 i BCRP. Kod pacijenata sa genetskim polimorfizmom SLCO1B1 (OATP1B1) i/ili ABCG2 (BCRP) postoji rizik od povećane izloženosti rosuvastatinu. Individualni polimorfizam SLCO1B1 c.521CC i ABCG2 c.421AA dovodi se u vezu sa povećanom izloženošću rosuvastatinu (PIK) u poređenju sa SLCO1B1 c.521TT i ABCG2 c.421CC genotipovima. Ova specifična genotipizacija nije </w:t>
      </w:r>
      <w:r w:rsidR="00083AA3" w:rsidRPr="00D72200">
        <w:rPr>
          <w:sz w:val="22"/>
          <w:szCs w:val="22"/>
        </w:rPr>
        <w:t xml:space="preserve">uspostavljena </w:t>
      </w:r>
      <w:r w:rsidRPr="00D72200">
        <w:rPr>
          <w:sz w:val="22"/>
          <w:szCs w:val="22"/>
        </w:rPr>
        <w:t>u kliničkoj praksi, već se kod pacijenata za koje je poznato da imaju ove tipove polimorfizma preporučuje niža dnevna doza rosuvastatina.</w:t>
      </w:r>
    </w:p>
    <w:p w14:paraId="1FBC5BE0" w14:textId="7C4C9DC3" w:rsidR="002E2528" w:rsidRPr="00D72200" w:rsidRDefault="002E2528" w:rsidP="0014112C">
      <w:pPr>
        <w:tabs>
          <w:tab w:val="left" w:pos="540"/>
          <w:tab w:val="left" w:pos="569"/>
        </w:tabs>
        <w:jc w:val="both"/>
        <w:rPr>
          <w:b/>
          <w:bCs/>
          <w:sz w:val="22"/>
          <w:szCs w:val="22"/>
        </w:rPr>
      </w:pPr>
    </w:p>
    <w:p w14:paraId="224D32C2" w14:textId="52CA0ADA" w:rsidR="00F90B8E" w:rsidRPr="00D72200" w:rsidRDefault="00F90B8E" w:rsidP="0014112C">
      <w:pPr>
        <w:tabs>
          <w:tab w:val="left" w:pos="540"/>
          <w:tab w:val="left" w:pos="569"/>
        </w:tabs>
        <w:jc w:val="both"/>
        <w:rPr>
          <w:sz w:val="22"/>
          <w:szCs w:val="22"/>
        </w:rPr>
      </w:pPr>
      <w:r w:rsidRPr="00D706D8">
        <w:rPr>
          <w:b/>
          <w:bCs/>
          <w:sz w:val="22"/>
          <w:szCs w:val="22"/>
        </w:rPr>
        <w:t>Pedijatrijska populacija</w:t>
      </w:r>
      <w:r w:rsidRPr="00D72200">
        <w:rPr>
          <w:b/>
          <w:bCs/>
          <w:sz w:val="22"/>
          <w:szCs w:val="22"/>
        </w:rPr>
        <w:t xml:space="preserve">: </w:t>
      </w:r>
      <w:r w:rsidRPr="00D72200">
        <w:rPr>
          <w:sz w:val="22"/>
          <w:szCs w:val="22"/>
        </w:rPr>
        <w:t>dv</w:t>
      </w:r>
      <w:r w:rsidR="001E510A" w:rsidRPr="00D72200">
        <w:rPr>
          <w:sz w:val="22"/>
          <w:szCs w:val="22"/>
        </w:rPr>
        <w:t>ij</w:t>
      </w:r>
      <w:r w:rsidRPr="00D72200">
        <w:rPr>
          <w:sz w:val="22"/>
          <w:szCs w:val="22"/>
        </w:rPr>
        <w:t>e farmakokinetičke studije rosuvastatina (u obliku tableta) kod pedijatrijskih pacijenata sa heterozigotnom porodičnom hiperholesterolemijom uzrasta od 10 do 17 ili od 6 do 17 godina (ukupno 214 pacijenata) su pokazale da je izloženost kod pedijatrijskih pacijenata slična ili manja od izloženosti kod odraslih pacijenata. Izloženost rosuvastatinu je bila predvidljiva u pogledu doze i vremena tokom dvogodišnjeg perioda.</w:t>
      </w:r>
    </w:p>
    <w:p w14:paraId="181D50C8" w14:textId="77777777" w:rsidR="002E2528" w:rsidRPr="00D72200" w:rsidRDefault="002E2528" w:rsidP="0014112C">
      <w:pPr>
        <w:tabs>
          <w:tab w:val="left" w:pos="540"/>
          <w:tab w:val="left" w:pos="569"/>
        </w:tabs>
        <w:jc w:val="both"/>
        <w:rPr>
          <w:b/>
          <w:bCs/>
          <w:sz w:val="22"/>
          <w:szCs w:val="22"/>
        </w:rPr>
      </w:pPr>
    </w:p>
    <w:p w14:paraId="37B0C92C" w14:textId="77777777" w:rsidR="0072020E" w:rsidRPr="00D72200" w:rsidRDefault="0072020E" w:rsidP="0014112C">
      <w:pPr>
        <w:tabs>
          <w:tab w:val="left" w:pos="540"/>
          <w:tab w:val="left" w:pos="569"/>
        </w:tabs>
        <w:jc w:val="both"/>
        <w:rPr>
          <w:b/>
          <w:bCs/>
          <w:sz w:val="22"/>
          <w:szCs w:val="22"/>
        </w:rPr>
      </w:pPr>
      <w:r w:rsidRPr="00D72200">
        <w:rPr>
          <w:b/>
          <w:bCs/>
          <w:sz w:val="22"/>
          <w:szCs w:val="22"/>
        </w:rPr>
        <w:t xml:space="preserve">5.3. </w:t>
      </w:r>
      <w:r w:rsidR="00480FB1" w:rsidRPr="00D72200">
        <w:rPr>
          <w:b/>
          <w:bCs/>
          <w:sz w:val="22"/>
          <w:szCs w:val="22"/>
        </w:rPr>
        <w:tab/>
      </w:r>
      <w:r w:rsidRPr="00D72200">
        <w:rPr>
          <w:b/>
          <w:bCs/>
          <w:sz w:val="22"/>
          <w:szCs w:val="22"/>
        </w:rPr>
        <w:t xml:space="preserve">Pretklinički podaci o bezbjednosti </w:t>
      </w:r>
    </w:p>
    <w:p w14:paraId="14225F86" w14:textId="77777777" w:rsidR="00836B35" w:rsidRPr="00D72200" w:rsidRDefault="00836B35" w:rsidP="0014112C">
      <w:pPr>
        <w:tabs>
          <w:tab w:val="left" w:pos="540"/>
          <w:tab w:val="left" w:pos="569"/>
        </w:tabs>
        <w:jc w:val="both"/>
        <w:rPr>
          <w:bCs/>
          <w:sz w:val="22"/>
          <w:szCs w:val="22"/>
        </w:rPr>
      </w:pPr>
    </w:p>
    <w:p w14:paraId="05B7568C" w14:textId="2D893E93" w:rsidR="002E2528" w:rsidRPr="00D72200" w:rsidRDefault="002E2528">
      <w:pPr>
        <w:tabs>
          <w:tab w:val="left" w:pos="284"/>
        </w:tabs>
        <w:jc w:val="both"/>
        <w:rPr>
          <w:sz w:val="22"/>
          <w:szCs w:val="22"/>
          <w:lang w:val="sr-Latn-RS"/>
        </w:rPr>
      </w:pPr>
      <w:r w:rsidRPr="00D72200">
        <w:rPr>
          <w:spacing w:val="-2"/>
          <w:sz w:val="22"/>
          <w:szCs w:val="22"/>
          <w:lang w:val="sr-Latn-RS"/>
        </w:rPr>
        <w:t xml:space="preserve">Pretklinički podaci ne ukazuju na poseban rizik kod ljudi, na osnovu </w:t>
      </w:r>
      <w:r w:rsidR="00F91A33" w:rsidRPr="00D72200">
        <w:rPr>
          <w:spacing w:val="-2"/>
          <w:sz w:val="22"/>
          <w:szCs w:val="22"/>
          <w:lang w:val="sr-Latn-RS"/>
        </w:rPr>
        <w:t>konvencijalnih studija</w:t>
      </w:r>
      <w:r w:rsidR="0080046D" w:rsidRPr="00D72200">
        <w:rPr>
          <w:spacing w:val="-2"/>
          <w:sz w:val="22"/>
          <w:szCs w:val="22"/>
          <w:lang w:val="sr-Latn-RS"/>
        </w:rPr>
        <w:t xml:space="preserve"> farmakološke</w:t>
      </w:r>
      <w:r w:rsidRPr="00D72200">
        <w:rPr>
          <w:sz w:val="22"/>
          <w:szCs w:val="22"/>
          <w:lang w:val="sr-Latn-RS"/>
        </w:rPr>
        <w:t xml:space="preserve"> bezbjednosti, genotoksičnosti i ka</w:t>
      </w:r>
      <w:r w:rsidR="00083AA3" w:rsidRPr="00D72200">
        <w:rPr>
          <w:sz w:val="22"/>
          <w:szCs w:val="22"/>
          <w:lang w:val="sr-Latn-RS"/>
        </w:rPr>
        <w:t>ncerogenog</w:t>
      </w:r>
      <w:r w:rsidRPr="00D72200">
        <w:rPr>
          <w:sz w:val="22"/>
          <w:szCs w:val="22"/>
          <w:lang w:val="sr-Latn-RS"/>
        </w:rPr>
        <w:t xml:space="preserve"> potencijala. Nijesu vršeni specifični testovi uticaja na hERG. Neželjene reakcije nijesu uočene u kliničkim studijama, ali su se javile kod životinja pri sličnoj izloženosti kao u kliničkim uslovima, na sljedeći način: u studijama toksičnosti ponovljen</w:t>
      </w:r>
      <w:r w:rsidR="00083AA3" w:rsidRPr="00D72200">
        <w:rPr>
          <w:sz w:val="22"/>
          <w:szCs w:val="22"/>
          <w:lang w:val="sr-Latn-RS"/>
        </w:rPr>
        <w:t>ih</w:t>
      </w:r>
      <w:r w:rsidRPr="00D72200">
        <w:rPr>
          <w:sz w:val="22"/>
          <w:szCs w:val="22"/>
          <w:lang w:val="sr-Latn-RS"/>
        </w:rPr>
        <w:t xml:space="preserve"> doz</w:t>
      </w:r>
      <w:r w:rsidR="00083AA3" w:rsidRPr="00D72200">
        <w:rPr>
          <w:sz w:val="22"/>
          <w:szCs w:val="22"/>
          <w:lang w:val="sr-Latn-RS"/>
        </w:rPr>
        <w:t>a</w:t>
      </w:r>
      <w:r w:rsidRPr="00D72200">
        <w:rPr>
          <w:sz w:val="22"/>
          <w:szCs w:val="22"/>
          <w:lang w:val="sr-Latn-RS"/>
        </w:rPr>
        <w:t xml:space="preserve">, histopatološke promjene na jetri, vjerovatno zbog farmakološkog dejstva rosuvastatina, </w:t>
      </w:r>
      <w:r w:rsidR="00083AA3" w:rsidRPr="00D72200">
        <w:rPr>
          <w:sz w:val="22"/>
          <w:szCs w:val="22"/>
          <w:lang w:val="sr-Latn-RS"/>
        </w:rPr>
        <w:t xml:space="preserve">primjećene su </w:t>
      </w:r>
      <w:r w:rsidRPr="00D72200">
        <w:rPr>
          <w:sz w:val="22"/>
          <w:szCs w:val="22"/>
          <w:lang w:val="sr-Latn-RS"/>
        </w:rPr>
        <w:t>kod miševa</w:t>
      </w:r>
      <w:r w:rsidR="00083AA3" w:rsidRPr="00D72200">
        <w:rPr>
          <w:sz w:val="22"/>
          <w:szCs w:val="22"/>
          <w:lang w:val="sr-Latn-RS"/>
        </w:rPr>
        <w:t xml:space="preserve"> i</w:t>
      </w:r>
      <w:r w:rsidRPr="00D72200">
        <w:rPr>
          <w:sz w:val="22"/>
          <w:szCs w:val="22"/>
          <w:lang w:val="sr-Latn-RS"/>
        </w:rPr>
        <w:t xml:space="preserve"> pacova, a u manjoj mjeri </w:t>
      </w:r>
      <w:r w:rsidR="00083AA3" w:rsidRPr="00D72200">
        <w:rPr>
          <w:sz w:val="22"/>
          <w:szCs w:val="22"/>
          <w:lang w:val="sr-Latn-RS"/>
        </w:rPr>
        <w:t>primijećeni su efekti</w:t>
      </w:r>
      <w:r w:rsidRPr="00D72200">
        <w:rPr>
          <w:sz w:val="22"/>
          <w:szCs w:val="22"/>
          <w:lang w:val="sr-Latn-RS"/>
        </w:rPr>
        <w:t xml:space="preserve"> na žučnu kesu kod pasa, ali ne i kod majmuna. Pored toga, prim</w:t>
      </w:r>
      <w:r w:rsidR="00083AA3" w:rsidRPr="00D72200">
        <w:rPr>
          <w:sz w:val="22"/>
          <w:szCs w:val="22"/>
          <w:lang w:val="sr-Latn-RS"/>
        </w:rPr>
        <w:t>i</w:t>
      </w:r>
      <w:r w:rsidRPr="00D72200">
        <w:rPr>
          <w:sz w:val="22"/>
          <w:szCs w:val="22"/>
          <w:lang w:val="sr-Latn-RS"/>
        </w:rPr>
        <w:t>jećena je testikularna toksičnost  kod majmuna i pasa pri v</w:t>
      </w:r>
      <w:r w:rsidR="00083AA3" w:rsidRPr="00D72200">
        <w:rPr>
          <w:sz w:val="22"/>
          <w:szCs w:val="22"/>
          <w:lang w:val="sr-Latn-RS"/>
        </w:rPr>
        <w:t>išim</w:t>
      </w:r>
      <w:r w:rsidRPr="00D72200">
        <w:rPr>
          <w:sz w:val="22"/>
          <w:szCs w:val="22"/>
          <w:lang w:val="sr-Latn-RS"/>
        </w:rPr>
        <w:t xml:space="preserve"> dozama. Reproduktivna toksičnost je uočena kod pacova praćena smanjenom veličinom i težinom i preživljavanjem mladun</w:t>
      </w:r>
      <w:r w:rsidR="00083AA3" w:rsidRPr="00D72200">
        <w:rPr>
          <w:sz w:val="22"/>
          <w:szCs w:val="22"/>
          <w:lang w:val="sr-Latn-RS"/>
        </w:rPr>
        <w:t>čadi</w:t>
      </w:r>
      <w:r w:rsidRPr="00D72200">
        <w:rPr>
          <w:sz w:val="22"/>
          <w:szCs w:val="22"/>
          <w:lang w:val="sr-Latn-RS"/>
        </w:rPr>
        <w:t xml:space="preserve"> pri dozama toksičnim za majku i sistemskoj izloženosti nekoliko puta većom od terapijske izloženosti.</w:t>
      </w:r>
    </w:p>
    <w:p w14:paraId="657FFB8B" w14:textId="77777777" w:rsidR="00396DFD" w:rsidRPr="00D72200" w:rsidRDefault="00396DFD" w:rsidP="00F93C9D">
      <w:pPr>
        <w:tabs>
          <w:tab w:val="left" w:pos="540"/>
          <w:tab w:val="left" w:pos="569"/>
        </w:tabs>
        <w:jc w:val="both"/>
        <w:rPr>
          <w:b/>
          <w:bCs/>
          <w:sz w:val="22"/>
          <w:szCs w:val="22"/>
        </w:rPr>
      </w:pPr>
    </w:p>
    <w:p w14:paraId="79E1F6A8" w14:textId="77777777" w:rsidR="0072020E" w:rsidRPr="00D72200" w:rsidRDefault="0072020E" w:rsidP="00480FB1">
      <w:pPr>
        <w:tabs>
          <w:tab w:val="left" w:pos="540"/>
          <w:tab w:val="left" w:pos="569"/>
        </w:tabs>
        <w:rPr>
          <w:b/>
          <w:bCs/>
          <w:sz w:val="22"/>
          <w:szCs w:val="22"/>
        </w:rPr>
      </w:pPr>
      <w:r w:rsidRPr="00D72200">
        <w:rPr>
          <w:b/>
          <w:bCs/>
          <w:sz w:val="22"/>
          <w:szCs w:val="22"/>
        </w:rPr>
        <w:lastRenderedPageBreak/>
        <w:t xml:space="preserve">6. </w:t>
      </w:r>
      <w:r w:rsidR="00480FB1" w:rsidRPr="00D72200">
        <w:rPr>
          <w:b/>
          <w:bCs/>
          <w:sz w:val="22"/>
          <w:szCs w:val="22"/>
        </w:rPr>
        <w:tab/>
      </w:r>
      <w:r w:rsidRPr="00D72200">
        <w:rPr>
          <w:b/>
          <w:bCs/>
          <w:sz w:val="22"/>
          <w:szCs w:val="22"/>
        </w:rPr>
        <w:t>FARMACEUTSKI PODACI</w:t>
      </w:r>
    </w:p>
    <w:p w14:paraId="6CC09233" w14:textId="77777777" w:rsidR="00836B35" w:rsidRPr="00D72200" w:rsidRDefault="00836B35" w:rsidP="00480FB1">
      <w:pPr>
        <w:tabs>
          <w:tab w:val="left" w:pos="540"/>
          <w:tab w:val="left" w:pos="569"/>
        </w:tabs>
        <w:rPr>
          <w:bCs/>
          <w:sz w:val="22"/>
          <w:szCs w:val="22"/>
        </w:rPr>
      </w:pPr>
    </w:p>
    <w:p w14:paraId="32B5A271" w14:textId="77777777" w:rsidR="0072020E" w:rsidRPr="00D72200" w:rsidRDefault="0072020E" w:rsidP="00480FB1">
      <w:pPr>
        <w:tabs>
          <w:tab w:val="left" w:pos="540"/>
          <w:tab w:val="left" w:pos="569"/>
        </w:tabs>
        <w:rPr>
          <w:b/>
          <w:bCs/>
          <w:sz w:val="22"/>
          <w:szCs w:val="22"/>
        </w:rPr>
      </w:pPr>
      <w:r w:rsidRPr="00D72200">
        <w:rPr>
          <w:b/>
          <w:bCs/>
          <w:sz w:val="22"/>
          <w:szCs w:val="22"/>
        </w:rPr>
        <w:t xml:space="preserve">6.1. </w:t>
      </w:r>
      <w:r w:rsidR="00480FB1" w:rsidRPr="00D72200">
        <w:rPr>
          <w:b/>
          <w:bCs/>
          <w:sz w:val="22"/>
          <w:szCs w:val="22"/>
        </w:rPr>
        <w:tab/>
      </w:r>
      <w:r w:rsidRPr="00D72200">
        <w:rPr>
          <w:b/>
          <w:bCs/>
          <w:sz w:val="22"/>
          <w:szCs w:val="22"/>
        </w:rPr>
        <w:t>Lista pomoćnih supstanci</w:t>
      </w:r>
      <w:r w:rsidR="002E0135" w:rsidRPr="00D72200">
        <w:rPr>
          <w:b/>
          <w:bCs/>
          <w:sz w:val="22"/>
          <w:szCs w:val="22"/>
        </w:rPr>
        <w:t xml:space="preserve"> (ekscipijenasa)</w:t>
      </w:r>
    </w:p>
    <w:p w14:paraId="7D25A2E3" w14:textId="77777777" w:rsidR="0072020E" w:rsidRPr="00D72200" w:rsidRDefault="0072020E" w:rsidP="00480FB1">
      <w:pPr>
        <w:tabs>
          <w:tab w:val="left" w:pos="540"/>
          <w:tab w:val="left" w:pos="569"/>
        </w:tabs>
        <w:rPr>
          <w:bCs/>
          <w:sz w:val="22"/>
          <w:szCs w:val="22"/>
        </w:rPr>
      </w:pPr>
    </w:p>
    <w:p w14:paraId="5F126D0F" w14:textId="77777777" w:rsidR="0044461B" w:rsidRPr="00D72200" w:rsidRDefault="0044461B" w:rsidP="0044461B">
      <w:pPr>
        <w:tabs>
          <w:tab w:val="left" w:pos="540"/>
          <w:tab w:val="left" w:pos="569"/>
        </w:tabs>
        <w:rPr>
          <w:bCs/>
          <w:i/>
          <w:iCs/>
          <w:sz w:val="22"/>
          <w:szCs w:val="22"/>
        </w:rPr>
      </w:pPr>
      <w:bookmarkStart w:id="1" w:name="_Hlk122945223"/>
      <w:r w:rsidRPr="00D72200">
        <w:rPr>
          <w:bCs/>
          <w:i/>
          <w:iCs/>
          <w:sz w:val="22"/>
          <w:szCs w:val="22"/>
        </w:rPr>
        <w:t>Rosuhol, film tableta, 10 mg</w:t>
      </w:r>
    </w:p>
    <w:bookmarkEnd w:id="1"/>
    <w:p w14:paraId="60EECEFC" w14:textId="77777777" w:rsidR="0044461B" w:rsidRPr="00D72200" w:rsidRDefault="0044461B" w:rsidP="0044461B">
      <w:pPr>
        <w:tabs>
          <w:tab w:val="left" w:pos="540"/>
          <w:tab w:val="left" w:pos="569"/>
        </w:tabs>
        <w:rPr>
          <w:bCs/>
          <w:i/>
          <w:iCs/>
          <w:sz w:val="22"/>
          <w:szCs w:val="22"/>
        </w:rPr>
      </w:pPr>
      <w:r w:rsidRPr="00D72200">
        <w:rPr>
          <w:bCs/>
          <w:i/>
          <w:iCs/>
          <w:sz w:val="22"/>
          <w:szCs w:val="22"/>
        </w:rPr>
        <w:t>Rosuhol, film tabeta, 20 mg</w:t>
      </w:r>
    </w:p>
    <w:p w14:paraId="44878106" w14:textId="77777777" w:rsidR="0044461B" w:rsidRPr="00D72200" w:rsidRDefault="0044461B" w:rsidP="0044461B">
      <w:pPr>
        <w:tabs>
          <w:tab w:val="left" w:pos="540"/>
          <w:tab w:val="left" w:pos="569"/>
        </w:tabs>
        <w:rPr>
          <w:bCs/>
          <w:i/>
          <w:iCs/>
          <w:sz w:val="22"/>
          <w:szCs w:val="22"/>
        </w:rPr>
      </w:pPr>
    </w:p>
    <w:p w14:paraId="1D6D971A" w14:textId="77777777" w:rsidR="0044461B" w:rsidRPr="00D72200" w:rsidRDefault="0044461B" w:rsidP="0044461B">
      <w:pPr>
        <w:tabs>
          <w:tab w:val="left" w:pos="540"/>
          <w:tab w:val="left" w:pos="569"/>
        </w:tabs>
        <w:rPr>
          <w:iCs/>
          <w:sz w:val="22"/>
          <w:szCs w:val="22"/>
        </w:rPr>
      </w:pPr>
      <w:r w:rsidRPr="00D72200">
        <w:rPr>
          <w:iCs/>
          <w:sz w:val="22"/>
          <w:szCs w:val="22"/>
        </w:rPr>
        <w:t>Jezgro tablete:</w:t>
      </w:r>
    </w:p>
    <w:p w14:paraId="104A84B5" w14:textId="77777777" w:rsidR="0044461B" w:rsidRPr="00D72200" w:rsidRDefault="0044461B" w:rsidP="0044461B">
      <w:pPr>
        <w:tabs>
          <w:tab w:val="left" w:pos="284"/>
        </w:tabs>
        <w:jc w:val="both"/>
        <w:rPr>
          <w:sz w:val="22"/>
          <w:szCs w:val="22"/>
          <w:lang w:val="sr-Latn-CS"/>
        </w:rPr>
      </w:pPr>
      <w:r w:rsidRPr="00D72200">
        <w:rPr>
          <w:sz w:val="22"/>
          <w:szCs w:val="22"/>
          <w:lang w:val="sr-Latn-CS"/>
        </w:rPr>
        <w:t>Celuloza, mikrokristalna (tip 102);</w:t>
      </w:r>
    </w:p>
    <w:p w14:paraId="15D1D971" w14:textId="77777777" w:rsidR="0044461B" w:rsidRPr="00D72200" w:rsidRDefault="0044461B" w:rsidP="0044461B">
      <w:pPr>
        <w:tabs>
          <w:tab w:val="left" w:pos="284"/>
        </w:tabs>
        <w:jc w:val="both"/>
        <w:rPr>
          <w:sz w:val="22"/>
          <w:szCs w:val="22"/>
          <w:lang w:val="sr-Latn-CS"/>
        </w:rPr>
      </w:pPr>
      <w:r w:rsidRPr="00D72200">
        <w:rPr>
          <w:sz w:val="22"/>
          <w:szCs w:val="22"/>
          <w:lang w:val="sr-Latn-CS"/>
        </w:rPr>
        <w:t xml:space="preserve">Laktoza, monohidrat; </w:t>
      </w:r>
    </w:p>
    <w:p w14:paraId="2E8F74AE" w14:textId="77777777" w:rsidR="0044461B" w:rsidRPr="00D72200" w:rsidRDefault="0044461B" w:rsidP="0044461B">
      <w:pPr>
        <w:tabs>
          <w:tab w:val="left" w:pos="284"/>
        </w:tabs>
        <w:jc w:val="both"/>
        <w:rPr>
          <w:sz w:val="22"/>
          <w:szCs w:val="22"/>
          <w:lang w:val="sr-Latn-CS"/>
        </w:rPr>
      </w:pPr>
      <w:r w:rsidRPr="00D72200">
        <w:rPr>
          <w:sz w:val="22"/>
          <w:szCs w:val="22"/>
          <w:lang w:val="sr-Latn-CS"/>
        </w:rPr>
        <w:t xml:space="preserve">Krospovidon (Tip A); </w:t>
      </w:r>
    </w:p>
    <w:p w14:paraId="507C0CA1" w14:textId="77777777" w:rsidR="0044461B" w:rsidRPr="00D72200" w:rsidRDefault="0044461B" w:rsidP="0044461B">
      <w:pPr>
        <w:tabs>
          <w:tab w:val="left" w:pos="284"/>
        </w:tabs>
        <w:jc w:val="both"/>
        <w:rPr>
          <w:sz w:val="22"/>
          <w:szCs w:val="22"/>
          <w:lang w:val="sr-Latn-CS"/>
        </w:rPr>
      </w:pPr>
      <w:r w:rsidRPr="00D72200">
        <w:rPr>
          <w:sz w:val="22"/>
          <w:szCs w:val="22"/>
          <w:lang w:val="sr-Latn-CS"/>
        </w:rPr>
        <w:t xml:space="preserve">Magnezijum stearat; </w:t>
      </w:r>
    </w:p>
    <w:p w14:paraId="41FD5906" w14:textId="77777777" w:rsidR="0044461B" w:rsidRPr="00D72200" w:rsidRDefault="0044461B" w:rsidP="0044461B">
      <w:pPr>
        <w:tabs>
          <w:tab w:val="left" w:pos="540"/>
          <w:tab w:val="left" w:pos="569"/>
        </w:tabs>
        <w:rPr>
          <w:bCs/>
          <w:sz w:val="22"/>
          <w:szCs w:val="22"/>
        </w:rPr>
      </w:pPr>
    </w:p>
    <w:p w14:paraId="09E7C96C" w14:textId="77777777" w:rsidR="00DF74F7" w:rsidRPr="00D72200" w:rsidRDefault="0044461B" w:rsidP="0044461B">
      <w:pPr>
        <w:tabs>
          <w:tab w:val="left" w:pos="540"/>
          <w:tab w:val="left" w:pos="569"/>
        </w:tabs>
        <w:rPr>
          <w:bCs/>
          <w:i/>
          <w:iCs/>
          <w:sz w:val="22"/>
          <w:szCs w:val="22"/>
        </w:rPr>
      </w:pPr>
      <w:r w:rsidRPr="00D72200">
        <w:rPr>
          <w:bCs/>
          <w:i/>
          <w:iCs/>
          <w:sz w:val="22"/>
          <w:szCs w:val="22"/>
        </w:rPr>
        <w:t>Rosuhol, film tableta, 10 mg</w:t>
      </w:r>
    </w:p>
    <w:p w14:paraId="2F4D2188" w14:textId="7441585C" w:rsidR="0044461B" w:rsidRPr="00D72200" w:rsidRDefault="0044461B" w:rsidP="0044461B">
      <w:pPr>
        <w:tabs>
          <w:tab w:val="left" w:pos="540"/>
          <w:tab w:val="left" w:pos="569"/>
        </w:tabs>
        <w:rPr>
          <w:bCs/>
          <w:i/>
          <w:sz w:val="22"/>
          <w:szCs w:val="22"/>
        </w:rPr>
      </w:pPr>
      <w:r w:rsidRPr="00D72200">
        <w:rPr>
          <w:bCs/>
          <w:i/>
          <w:sz w:val="22"/>
          <w:szCs w:val="22"/>
        </w:rPr>
        <w:t>Film omotač tablete:</w:t>
      </w:r>
    </w:p>
    <w:p w14:paraId="3D0C3CE4" w14:textId="77777777" w:rsidR="0044461B" w:rsidRPr="00D72200" w:rsidRDefault="0044461B" w:rsidP="0044461B">
      <w:pPr>
        <w:tabs>
          <w:tab w:val="left" w:pos="284"/>
        </w:tabs>
        <w:jc w:val="both"/>
        <w:rPr>
          <w:sz w:val="22"/>
          <w:szCs w:val="22"/>
          <w:lang w:val="sr-Latn-CS"/>
        </w:rPr>
      </w:pPr>
      <w:r w:rsidRPr="00D72200">
        <w:rPr>
          <w:sz w:val="22"/>
          <w:szCs w:val="22"/>
          <w:lang w:val="sr-Latn-CS"/>
        </w:rPr>
        <w:t xml:space="preserve">Laktoza, monohidrat; </w:t>
      </w:r>
    </w:p>
    <w:p w14:paraId="1988D28B" w14:textId="77777777" w:rsidR="0044461B" w:rsidRPr="00D72200" w:rsidRDefault="0044461B" w:rsidP="0044461B">
      <w:pPr>
        <w:tabs>
          <w:tab w:val="left" w:pos="284"/>
        </w:tabs>
        <w:jc w:val="both"/>
        <w:rPr>
          <w:sz w:val="22"/>
          <w:szCs w:val="22"/>
          <w:lang w:val="sr-Latn-CS"/>
        </w:rPr>
      </w:pPr>
      <w:r w:rsidRPr="00D72200">
        <w:rPr>
          <w:sz w:val="22"/>
          <w:szCs w:val="22"/>
          <w:lang w:val="sr-Latn-CS"/>
        </w:rPr>
        <w:t xml:space="preserve">Hipromeloza (E 464); </w:t>
      </w:r>
    </w:p>
    <w:p w14:paraId="3101DE90" w14:textId="77777777" w:rsidR="0044461B" w:rsidRPr="00D72200" w:rsidRDefault="0044461B" w:rsidP="0044461B">
      <w:pPr>
        <w:tabs>
          <w:tab w:val="left" w:pos="284"/>
        </w:tabs>
        <w:jc w:val="both"/>
        <w:rPr>
          <w:sz w:val="22"/>
          <w:szCs w:val="22"/>
          <w:lang w:val="sr-Latn-CS"/>
        </w:rPr>
      </w:pPr>
      <w:r w:rsidRPr="00D72200">
        <w:rPr>
          <w:sz w:val="22"/>
          <w:szCs w:val="22"/>
          <w:lang w:val="sr-Latn-CS"/>
        </w:rPr>
        <w:t xml:space="preserve">Titandioksid (E 171); </w:t>
      </w:r>
    </w:p>
    <w:p w14:paraId="2FC3F967" w14:textId="77777777" w:rsidR="0044461B" w:rsidRPr="00D72200" w:rsidRDefault="0044461B" w:rsidP="0044461B">
      <w:pPr>
        <w:tabs>
          <w:tab w:val="left" w:pos="284"/>
        </w:tabs>
        <w:jc w:val="both"/>
        <w:rPr>
          <w:sz w:val="22"/>
          <w:szCs w:val="22"/>
          <w:lang w:val="sr-Latn-CS"/>
        </w:rPr>
      </w:pPr>
      <w:r w:rsidRPr="00D72200">
        <w:rPr>
          <w:sz w:val="22"/>
          <w:szCs w:val="22"/>
          <w:lang w:val="sr-Latn-CS"/>
        </w:rPr>
        <w:t>Triacetin (E 1518);</w:t>
      </w:r>
    </w:p>
    <w:p w14:paraId="0C43BC03" w14:textId="77777777" w:rsidR="0044461B" w:rsidRPr="00D72200" w:rsidRDefault="0044461B" w:rsidP="0044461B">
      <w:pPr>
        <w:tabs>
          <w:tab w:val="left" w:pos="540"/>
          <w:tab w:val="left" w:pos="569"/>
        </w:tabs>
        <w:rPr>
          <w:sz w:val="22"/>
          <w:szCs w:val="22"/>
          <w:lang w:val="sr-Latn-CS"/>
        </w:rPr>
      </w:pPr>
      <w:r w:rsidRPr="00D72200">
        <w:rPr>
          <w:sz w:val="22"/>
          <w:szCs w:val="22"/>
          <w:lang w:val="sr-Latn-CS"/>
        </w:rPr>
        <w:t>Allura red aluminium lake (E129).</w:t>
      </w:r>
    </w:p>
    <w:p w14:paraId="1D907F88" w14:textId="77777777" w:rsidR="0044461B" w:rsidRPr="00D72200" w:rsidRDefault="0044461B" w:rsidP="0044461B">
      <w:pPr>
        <w:tabs>
          <w:tab w:val="left" w:pos="540"/>
          <w:tab w:val="left" w:pos="569"/>
        </w:tabs>
        <w:rPr>
          <w:sz w:val="22"/>
          <w:szCs w:val="22"/>
          <w:lang w:val="sr-Latn-CS"/>
        </w:rPr>
      </w:pPr>
    </w:p>
    <w:p w14:paraId="4B793FF9" w14:textId="77777777" w:rsidR="0044461B" w:rsidRPr="00D72200" w:rsidRDefault="0044461B" w:rsidP="0044461B">
      <w:pPr>
        <w:tabs>
          <w:tab w:val="left" w:pos="540"/>
          <w:tab w:val="left" w:pos="569"/>
        </w:tabs>
        <w:rPr>
          <w:bCs/>
          <w:i/>
          <w:iCs/>
          <w:sz w:val="22"/>
          <w:szCs w:val="22"/>
        </w:rPr>
      </w:pPr>
      <w:r w:rsidRPr="00D72200">
        <w:rPr>
          <w:bCs/>
          <w:i/>
          <w:iCs/>
          <w:sz w:val="22"/>
          <w:szCs w:val="22"/>
        </w:rPr>
        <w:t>Rosuhol, film tableta, 20 mg:</w:t>
      </w:r>
    </w:p>
    <w:p w14:paraId="05981CCF" w14:textId="77777777" w:rsidR="0044461B" w:rsidRPr="00D72200" w:rsidRDefault="0044461B" w:rsidP="0044461B">
      <w:pPr>
        <w:tabs>
          <w:tab w:val="left" w:pos="540"/>
          <w:tab w:val="left" w:pos="569"/>
        </w:tabs>
        <w:rPr>
          <w:bCs/>
          <w:i/>
          <w:sz w:val="22"/>
          <w:szCs w:val="22"/>
        </w:rPr>
      </w:pPr>
      <w:r w:rsidRPr="00D72200">
        <w:rPr>
          <w:bCs/>
          <w:i/>
          <w:sz w:val="22"/>
          <w:szCs w:val="22"/>
        </w:rPr>
        <w:t>Film omotač tablete:</w:t>
      </w:r>
    </w:p>
    <w:p w14:paraId="3795F383" w14:textId="77777777" w:rsidR="0044461B" w:rsidRPr="00D72200" w:rsidRDefault="0044461B" w:rsidP="0044461B">
      <w:pPr>
        <w:tabs>
          <w:tab w:val="left" w:pos="284"/>
        </w:tabs>
        <w:jc w:val="both"/>
        <w:rPr>
          <w:sz w:val="22"/>
          <w:szCs w:val="22"/>
          <w:lang w:val="sr-Latn-CS"/>
        </w:rPr>
      </w:pPr>
      <w:r w:rsidRPr="00D72200">
        <w:rPr>
          <w:sz w:val="22"/>
          <w:szCs w:val="22"/>
          <w:lang w:val="sr-Latn-CS"/>
        </w:rPr>
        <w:t xml:space="preserve">Laktoza, monohidrat; </w:t>
      </w:r>
    </w:p>
    <w:p w14:paraId="0EABB8EB" w14:textId="77777777" w:rsidR="0044461B" w:rsidRPr="00D72200" w:rsidRDefault="0044461B" w:rsidP="0044461B">
      <w:pPr>
        <w:tabs>
          <w:tab w:val="left" w:pos="284"/>
        </w:tabs>
        <w:jc w:val="both"/>
        <w:rPr>
          <w:sz w:val="22"/>
          <w:szCs w:val="22"/>
          <w:lang w:val="sr-Latn-CS"/>
        </w:rPr>
      </w:pPr>
      <w:r w:rsidRPr="00D72200">
        <w:rPr>
          <w:sz w:val="22"/>
          <w:szCs w:val="22"/>
          <w:lang w:val="sr-Latn-CS"/>
        </w:rPr>
        <w:t xml:space="preserve">Hipromeloza (E 464); </w:t>
      </w:r>
    </w:p>
    <w:p w14:paraId="6CE1B80E" w14:textId="77777777" w:rsidR="0044461B" w:rsidRPr="00D72200" w:rsidRDefault="0044461B" w:rsidP="0044461B">
      <w:pPr>
        <w:tabs>
          <w:tab w:val="left" w:pos="284"/>
        </w:tabs>
        <w:jc w:val="both"/>
        <w:rPr>
          <w:sz w:val="22"/>
          <w:szCs w:val="22"/>
          <w:lang w:val="sr-Latn-CS"/>
        </w:rPr>
      </w:pPr>
      <w:r w:rsidRPr="00D72200">
        <w:rPr>
          <w:sz w:val="22"/>
          <w:szCs w:val="22"/>
          <w:lang w:val="sr-Latn-CS"/>
        </w:rPr>
        <w:t xml:space="preserve">Titandioksid (E 171); </w:t>
      </w:r>
    </w:p>
    <w:p w14:paraId="2A5EE321" w14:textId="77777777" w:rsidR="0044461B" w:rsidRPr="00D72200" w:rsidRDefault="0044461B" w:rsidP="0044461B">
      <w:pPr>
        <w:tabs>
          <w:tab w:val="left" w:pos="284"/>
        </w:tabs>
        <w:jc w:val="both"/>
        <w:rPr>
          <w:sz w:val="22"/>
          <w:szCs w:val="22"/>
          <w:lang w:val="sr-Latn-CS"/>
        </w:rPr>
      </w:pPr>
      <w:r w:rsidRPr="00D72200">
        <w:rPr>
          <w:sz w:val="22"/>
          <w:szCs w:val="22"/>
          <w:lang w:val="sr-Latn-CS"/>
        </w:rPr>
        <w:t>Triacetin (E 1518);</w:t>
      </w:r>
    </w:p>
    <w:p w14:paraId="153C2E26" w14:textId="77777777" w:rsidR="0044461B" w:rsidRPr="00D72200" w:rsidRDefault="0044461B" w:rsidP="0044461B">
      <w:pPr>
        <w:tabs>
          <w:tab w:val="left" w:pos="540"/>
          <w:tab w:val="left" w:pos="569"/>
        </w:tabs>
        <w:rPr>
          <w:sz w:val="22"/>
          <w:szCs w:val="22"/>
          <w:lang w:val="sr-Latn-CS"/>
        </w:rPr>
      </w:pPr>
      <w:r w:rsidRPr="00D72200">
        <w:rPr>
          <w:sz w:val="22"/>
          <w:szCs w:val="22"/>
          <w:lang w:val="sr-Latn-CS"/>
        </w:rPr>
        <w:t>Carmine (E120).</w:t>
      </w:r>
    </w:p>
    <w:p w14:paraId="54C4CB28" w14:textId="77777777" w:rsidR="00F90B8E" w:rsidRPr="00D72200" w:rsidRDefault="00F90B8E" w:rsidP="002E2528">
      <w:pPr>
        <w:tabs>
          <w:tab w:val="left" w:pos="540"/>
          <w:tab w:val="left" w:pos="569"/>
        </w:tabs>
        <w:rPr>
          <w:bCs/>
          <w:sz w:val="22"/>
          <w:szCs w:val="22"/>
        </w:rPr>
      </w:pPr>
    </w:p>
    <w:p w14:paraId="1298986B" w14:textId="77777777" w:rsidR="0072020E" w:rsidRPr="00D72200" w:rsidRDefault="0072020E" w:rsidP="00480FB1">
      <w:pPr>
        <w:tabs>
          <w:tab w:val="left" w:pos="540"/>
          <w:tab w:val="left" w:pos="569"/>
        </w:tabs>
        <w:rPr>
          <w:b/>
          <w:bCs/>
          <w:sz w:val="22"/>
          <w:szCs w:val="22"/>
        </w:rPr>
      </w:pPr>
      <w:r w:rsidRPr="00D72200">
        <w:rPr>
          <w:b/>
          <w:bCs/>
          <w:sz w:val="22"/>
          <w:szCs w:val="22"/>
        </w:rPr>
        <w:t xml:space="preserve">6.2. </w:t>
      </w:r>
      <w:r w:rsidR="00480FB1" w:rsidRPr="00D72200">
        <w:rPr>
          <w:b/>
          <w:bCs/>
          <w:sz w:val="22"/>
          <w:szCs w:val="22"/>
        </w:rPr>
        <w:tab/>
      </w:r>
      <w:r w:rsidRPr="00D72200">
        <w:rPr>
          <w:b/>
          <w:bCs/>
          <w:sz w:val="22"/>
          <w:szCs w:val="22"/>
        </w:rPr>
        <w:t>Inkompatibilnost</w:t>
      </w:r>
      <w:r w:rsidR="002846DB" w:rsidRPr="00D72200">
        <w:rPr>
          <w:b/>
          <w:bCs/>
          <w:sz w:val="22"/>
          <w:szCs w:val="22"/>
        </w:rPr>
        <w:t>i</w:t>
      </w:r>
    </w:p>
    <w:p w14:paraId="63867BD8" w14:textId="77777777" w:rsidR="00D72200" w:rsidRDefault="00D72200" w:rsidP="00480FB1">
      <w:pPr>
        <w:tabs>
          <w:tab w:val="left" w:pos="540"/>
          <w:tab w:val="left" w:pos="569"/>
        </w:tabs>
        <w:rPr>
          <w:sz w:val="22"/>
          <w:szCs w:val="22"/>
        </w:rPr>
      </w:pPr>
    </w:p>
    <w:p w14:paraId="031BF061" w14:textId="09322372" w:rsidR="0072020E" w:rsidRPr="00D72200" w:rsidRDefault="002E2528" w:rsidP="00480FB1">
      <w:pPr>
        <w:tabs>
          <w:tab w:val="left" w:pos="540"/>
          <w:tab w:val="left" w:pos="569"/>
        </w:tabs>
        <w:rPr>
          <w:bCs/>
          <w:sz w:val="22"/>
          <w:szCs w:val="22"/>
        </w:rPr>
      </w:pPr>
      <w:r w:rsidRPr="00D72200">
        <w:rPr>
          <w:sz w:val="22"/>
          <w:szCs w:val="22"/>
        </w:rPr>
        <w:t>Nema podataka o inkompatibilnosti.</w:t>
      </w:r>
    </w:p>
    <w:p w14:paraId="61E172DB" w14:textId="77777777" w:rsidR="002E2528" w:rsidRPr="00D72200" w:rsidRDefault="002E2528" w:rsidP="00480FB1">
      <w:pPr>
        <w:tabs>
          <w:tab w:val="left" w:pos="540"/>
          <w:tab w:val="left" w:pos="569"/>
        </w:tabs>
        <w:rPr>
          <w:bCs/>
          <w:sz w:val="22"/>
          <w:szCs w:val="22"/>
        </w:rPr>
      </w:pPr>
    </w:p>
    <w:p w14:paraId="21002F8D" w14:textId="77777777" w:rsidR="0072020E" w:rsidRPr="00D72200" w:rsidRDefault="0072020E" w:rsidP="00480FB1">
      <w:pPr>
        <w:tabs>
          <w:tab w:val="left" w:pos="540"/>
          <w:tab w:val="left" w:pos="569"/>
        </w:tabs>
        <w:rPr>
          <w:b/>
          <w:bCs/>
          <w:sz w:val="22"/>
          <w:szCs w:val="22"/>
        </w:rPr>
      </w:pPr>
      <w:r w:rsidRPr="00D72200">
        <w:rPr>
          <w:b/>
          <w:bCs/>
          <w:sz w:val="22"/>
          <w:szCs w:val="22"/>
        </w:rPr>
        <w:t>6.3.</w:t>
      </w:r>
      <w:r w:rsidR="00C05DF8" w:rsidRPr="00D72200">
        <w:rPr>
          <w:b/>
          <w:bCs/>
          <w:sz w:val="22"/>
          <w:szCs w:val="22"/>
        </w:rPr>
        <w:t xml:space="preserve"> </w:t>
      </w:r>
      <w:r w:rsidR="00480FB1" w:rsidRPr="00D72200">
        <w:rPr>
          <w:b/>
          <w:bCs/>
          <w:sz w:val="22"/>
          <w:szCs w:val="22"/>
        </w:rPr>
        <w:tab/>
      </w:r>
      <w:r w:rsidRPr="00D72200">
        <w:rPr>
          <w:b/>
          <w:bCs/>
          <w:sz w:val="22"/>
          <w:szCs w:val="22"/>
        </w:rPr>
        <w:t>Rok upotrebe</w:t>
      </w:r>
    </w:p>
    <w:p w14:paraId="23A76A34" w14:textId="77777777" w:rsidR="00D72200" w:rsidRDefault="00D72200" w:rsidP="00480FB1">
      <w:pPr>
        <w:tabs>
          <w:tab w:val="left" w:pos="540"/>
          <w:tab w:val="left" w:pos="569"/>
        </w:tabs>
        <w:rPr>
          <w:bCs/>
          <w:sz w:val="22"/>
          <w:szCs w:val="22"/>
        </w:rPr>
      </w:pPr>
    </w:p>
    <w:p w14:paraId="1F2D0599" w14:textId="5D807222" w:rsidR="0072020E" w:rsidRPr="00D72200" w:rsidRDefault="002E2528" w:rsidP="00480FB1">
      <w:pPr>
        <w:tabs>
          <w:tab w:val="left" w:pos="540"/>
          <w:tab w:val="left" w:pos="569"/>
        </w:tabs>
        <w:rPr>
          <w:bCs/>
          <w:sz w:val="22"/>
          <w:szCs w:val="22"/>
        </w:rPr>
      </w:pPr>
      <w:r w:rsidRPr="00D72200">
        <w:rPr>
          <w:bCs/>
          <w:sz w:val="22"/>
          <w:szCs w:val="22"/>
        </w:rPr>
        <w:t>4 godine</w:t>
      </w:r>
    </w:p>
    <w:p w14:paraId="1D3C7C1A" w14:textId="77777777" w:rsidR="002E2528" w:rsidRPr="00D72200" w:rsidRDefault="002E2528" w:rsidP="00480FB1">
      <w:pPr>
        <w:tabs>
          <w:tab w:val="left" w:pos="540"/>
          <w:tab w:val="left" w:pos="569"/>
        </w:tabs>
        <w:rPr>
          <w:bCs/>
          <w:sz w:val="22"/>
          <w:szCs w:val="22"/>
        </w:rPr>
      </w:pPr>
    </w:p>
    <w:p w14:paraId="3471A9CB" w14:textId="77777777" w:rsidR="0072020E" w:rsidRPr="00D72200" w:rsidRDefault="0072020E" w:rsidP="00480FB1">
      <w:pPr>
        <w:tabs>
          <w:tab w:val="left" w:pos="540"/>
          <w:tab w:val="left" w:pos="569"/>
        </w:tabs>
        <w:rPr>
          <w:b/>
          <w:bCs/>
          <w:sz w:val="22"/>
          <w:szCs w:val="22"/>
        </w:rPr>
      </w:pPr>
      <w:r w:rsidRPr="00D72200">
        <w:rPr>
          <w:b/>
          <w:bCs/>
          <w:sz w:val="22"/>
          <w:szCs w:val="22"/>
        </w:rPr>
        <w:t xml:space="preserve">6.4. </w:t>
      </w:r>
      <w:r w:rsidR="00480FB1" w:rsidRPr="00D72200">
        <w:rPr>
          <w:b/>
          <w:bCs/>
          <w:sz w:val="22"/>
          <w:szCs w:val="22"/>
        </w:rPr>
        <w:tab/>
      </w:r>
      <w:r w:rsidRPr="00D72200">
        <w:rPr>
          <w:b/>
          <w:bCs/>
          <w:sz w:val="22"/>
          <w:szCs w:val="22"/>
        </w:rPr>
        <w:t>Posebne mjere upozorenja pri čuvanju</w:t>
      </w:r>
      <w:r w:rsidR="00F8570A" w:rsidRPr="00D72200">
        <w:rPr>
          <w:b/>
          <w:bCs/>
          <w:sz w:val="22"/>
          <w:szCs w:val="22"/>
        </w:rPr>
        <w:t xml:space="preserve"> lijeka</w:t>
      </w:r>
    </w:p>
    <w:p w14:paraId="6DAFD54B" w14:textId="77777777" w:rsidR="00D72200" w:rsidRDefault="00D72200" w:rsidP="002E2528">
      <w:pPr>
        <w:tabs>
          <w:tab w:val="left" w:pos="284"/>
        </w:tabs>
        <w:jc w:val="both"/>
        <w:rPr>
          <w:sz w:val="22"/>
          <w:szCs w:val="22"/>
        </w:rPr>
      </w:pPr>
    </w:p>
    <w:p w14:paraId="078B9B01" w14:textId="199E6C5C" w:rsidR="002E2528" w:rsidRPr="00D72200" w:rsidRDefault="002E2528" w:rsidP="002E2528">
      <w:pPr>
        <w:tabs>
          <w:tab w:val="left" w:pos="284"/>
        </w:tabs>
        <w:jc w:val="both"/>
        <w:rPr>
          <w:sz w:val="22"/>
          <w:szCs w:val="22"/>
        </w:rPr>
      </w:pPr>
      <w:r w:rsidRPr="00D72200">
        <w:rPr>
          <w:sz w:val="22"/>
          <w:szCs w:val="22"/>
        </w:rPr>
        <w:t xml:space="preserve">Čuvati u originalnom pakovanju, </w:t>
      </w:r>
      <w:r w:rsidR="00AF14FB" w:rsidRPr="00D72200">
        <w:rPr>
          <w:sz w:val="22"/>
          <w:szCs w:val="22"/>
        </w:rPr>
        <w:t xml:space="preserve">radi </w:t>
      </w:r>
      <w:r w:rsidRPr="00D72200">
        <w:rPr>
          <w:sz w:val="22"/>
          <w:szCs w:val="22"/>
        </w:rPr>
        <w:t>zašti</w:t>
      </w:r>
      <w:r w:rsidR="00AF14FB" w:rsidRPr="00D72200">
        <w:rPr>
          <w:sz w:val="22"/>
          <w:szCs w:val="22"/>
        </w:rPr>
        <w:t>te</w:t>
      </w:r>
      <w:r w:rsidRPr="00D72200">
        <w:rPr>
          <w:sz w:val="22"/>
          <w:szCs w:val="22"/>
        </w:rPr>
        <w:t xml:space="preserve"> od sv</w:t>
      </w:r>
      <w:r w:rsidR="00A36C74" w:rsidRPr="00D72200">
        <w:rPr>
          <w:sz w:val="22"/>
          <w:szCs w:val="22"/>
        </w:rPr>
        <w:t>j</w:t>
      </w:r>
      <w:r w:rsidRPr="00D72200">
        <w:rPr>
          <w:sz w:val="22"/>
          <w:szCs w:val="22"/>
        </w:rPr>
        <w:t>etlosti.</w:t>
      </w:r>
    </w:p>
    <w:p w14:paraId="11C62911" w14:textId="77777777" w:rsidR="00EC2532" w:rsidRPr="00D72200" w:rsidRDefault="00EC2532" w:rsidP="00480FB1">
      <w:pPr>
        <w:tabs>
          <w:tab w:val="left" w:pos="540"/>
          <w:tab w:val="left" w:pos="569"/>
        </w:tabs>
        <w:rPr>
          <w:bCs/>
          <w:sz w:val="22"/>
          <w:szCs w:val="22"/>
        </w:rPr>
      </w:pPr>
    </w:p>
    <w:p w14:paraId="7A223163" w14:textId="77777777" w:rsidR="0072020E" w:rsidRPr="00D72200" w:rsidRDefault="0072020E" w:rsidP="00480FB1">
      <w:pPr>
        <w:tabs>
          <w:tab w:val="left" w:pos="540"/>
          <w:tab w:val="left" w:pos="569"/>
        </w:tabs>
        <w:rPr>
          <w:b/>
          <w:bCs/>
          <w:sz w:val="22"/>
          <w:szCs w:val="22"/>
        </w:rPr>
      </w:pPr>
      <w:r w:rsidRPr="00D72200">
        <w:rPr>
          <w:b/>
          <w:bCs/>
          <w:sz w:val="22"/>
          <w:szCs w:val="22"/>
        </w:rPr>
        <w:t xml:space="preserve">6.5. </w:t>
      </w:r>
      <w:r w:rsidR="00480FB1" w:rsidRPr="00D72200">
        <w:rPr>
          <w:b/>
          <w:bCs/>
          <w:sz w:val="22"/>
          <w:szCs w:val="22"/>
        </w:rPr>
        <w:tab/>
      </w:r>
      <w:r w:rsidR="002846DB" w:rsidRPr="00D72200">
        <w:rPr>
          <w:b/>
          <w:bCs/>
          <w:sz w:val="22"/>
          <w:szCs w:val="22"/>
        </w:rPr>
        <w:t xml:space="preserve">Vrsta i sadržaj </w:t>
      </w:r>
      <w:r w:rsidR="00F8570A" w:rsidRPr="00D72200">
        <w:rPr>
          <w:b/>
          <w:bCs/>
          <w:sz w:val="22"/>
          <w:szCs w:val="22"/>
        </w:rPr>
        <w:t>pakovanja</w:t>
      </w:r>
      <w:r w:rsidR="00C06864" w:rsidRPr="00D72200">
        <w:rPr>
          <w:b/>
          <w:bCs/>
          <w:sz w:val="22"/>
          <w:szCs w:val="22"/>
        </w:rPr>
        <w:t xml:space="preserve"> </w:t>
      </w:r>
    </w:p>
    <w:p w14:paraId="46B16544" w14:textId="77777777" w:rsidR="00D72200" w:rsidRDefault="00D72200" w:rsidP="002E2528">
      <w:pPr>
        <w:tabs>
          <w:tab w:val="left" w:pos="284"/>
        </w:tabs>
        <w:jc w:val="both"/>
        <w:rPr>
          <w:i/>
          <w:iCs/>
          <w:sz w:val="22"/>
          <w:szCs w:val="22"/>
          <w:lang w:val="sr-Latn-CS"/>
        </w:rPr>
      </w:pPr>
    </w:p>
    <w:p w14:paraId="732AC9E6" w14:textId="4373A5EE" w:rsidR="00D8373B" w:rsidRPr="00D72200" w:rsidRDefault="00D8373B" w:rsidP="002E2528">
      <w:pPr>
        <w:tabs>
          <w:tab w:val="left" w:pos="284"/>
        </w:tabs>
        <w:jc w:val="both"/>
        <w:rPr>
          <w:i/>
          <w:iCs/>
          <w:sz w:val="22"/>
          <w:szCs w:val="22"/>
          <w:lang w:val="sr-Latn-CS"/>
        </w:rPr>
      </w:pPr>
      <w:r w:rsidRPr="00D72200">
        <w:rPr>
          <w:i/>
          <w:iCs/>
          <w:sz w:val="22"/>
          <w:szCs w:val="22"/>
          <w:lang w:val="sr-Latn-CS"/>
        </w:rPr>
        <w:t>Rosuhol, 10 mg, film tableta</w:t>
      </w:r>
    </w:p>
    <w:p w14:paraId="0CCD965C" w14:textId="2989AA0B" w:rsidR="002E2528" w:rsidRPr="00D72200" w:rsidRDefault="002E2528" w:rsidP="002E2528">
      <w:pPr>
        <w:tabs>
          <w:tab w:val="left" w:pos="284"/>
        </w:tabs>
        <w:jc w:val="both"/>
        <w:rPr>
          <w:sz w:val="22"/>
          <w:szCs w:val="22"/>
          <w:lang w:val="sr-Latn-CS"/>
        </w:rPr>
      </w:pPr>
      <w:r w:rsidRPr="00D72200">
        <w:rPr>
          <w:sz w:val="22"/>
          <w:szCs w:val="22"/>
          <w:lang w:val="sr-Latn-CS"/>
        </w:rPr>
        <w:t>Unutrašnje pakovan</w:t>
      </w:r>
      <w:r w:rsidR="00897151" w:rsidRPr="00D72200">
        <w:rPr>
          <w:sz w:val="22"/>
          <w:szCs w:val="22"/>
          <w:lang w:val="sr-Latn-CS"/>
        </w:rPr>
        <w:t>je</w:t>
      </w:r>
      <w:r w:rsidR="00D8373B" w:rsidRPr="00D72200">
        <w:rPr>
          <w:sz w:val="22"/>
          <w:szCs w:val="22"/>
          <w:lang w:val="sr-Latn-CS"/>
        </w:rPr>
        <w:t xml:space="preserve"> je </w:t>
      </w:r>
      <w:r w:rsidRPr="00D72200">
        <w:rPr>
          <w:sz w:val="22"/>
          <w:szCs w:val="22"/>
          <w:lang w:val="sr-Latn-CS"/>
        </w:rPr>
        <w:t>blister (PA/Alu/PVC- Alu) sa 10 film tableta.</w:t>
      </w:r>
    </w:p>
    <w:p w14:paraId="460DF068" w14:textId="465DF53F" w:rsidR="002E2528" w:rsidRPr="00D72200" w:rsidRDefault="002E2528" w:rsidP="002E2528">
      <w:pPr>
        <w:tabs>
          <w:tab w:val="left" w:pos="284"/>
        </w:tabs>
        <w:jc w:val="both"/>
        <w:rPr>
          <w:sz w:val="22"/>
          <w:szCs w:val="22"/>
          <w:lang w:val="sr-Latn-CS"/>
        </w:rPr>
      </w:pPr>
      <w:r w:rsidRPr="00D72200">
        <w:rPr>
          <w:sz w:val="22"/>
          <w:szCs w:val="22"/>
          <w:lang w:val="sr-Latn-CS"/>
        </w:rPr>
        <w:t>Spoljašnje pakovanje</w:t>
      </w:r>
      <w:r w:rsidR="00A37939" w:rsidRPr="00D72200">
        <w:rPr>
          <w:sz w:val="22"/>
          <w:szCs w:val="22"/>
          <w:lang w:val="sr-Latn-CS"/>
        </w:rPr>
        <w:t xml:space="preserve"> je </w:t>
      </w:r>
      <w:r w:rsidRPr="00D72200">
        <w:rPr>
          <w:sz w:val="22"/>
          <w:szCs w:val="22"/>
          <w:lang w:val="sr-Latn-CS"/>
        </w:rPr>
        <w:t xml:space="preserve">složiva kartonska kutija u kojoj se nalazi 3 blistera sa po 10 film tableta </w:t>
      </w:r>
      <w:r w:rsidR="00794F07" w:rsidRPr="00D72200">
        <w:rPr>
          <w:sz w:val="22"/>
          <w:szCs w:val="22"/>
          <w:lang w:val="sr-Latn-CS"/>
        </w:rPr>
        <w:t xml:space="preserve">(ukupno 30 tableta) </w:t>
      </w:r>
      <w:r w:rsidRPr="00D72200">
        <w:rPr>
          <w:sz w:val="22"/>
          <w:szCs w:val="22"/>
          <w:lang w:val="sr-Latn-CS"/>
        </w:rPr>
        <w:t>i Uputstvo za l</w:t>
      </w:r>
      <w:r w:rsidR="00A36C74" w:rsidRPr="00D72200">
        <w:rPr>
          <w:sz w:val="22"/>
          <w:szCs w:val="22"/>
          <w:lang w:val="sr-Latn-CS"/>
        </w:rPr>
        <w:t>ij</w:t>
      </w:r>
      <w:r w:rsidRPr="00D72200">
        <w:rPr>
          <w:sz w:val="22"/>
          <w:szCs w:val="22"/>
          <w:lang w:val="sr-Latn-CS"/>
        </w:rPr>
        <w:t>ek.</w:t>
      </w:r>
    </w:p>
    <w:p w14:paraId="09EB3CF6" w14:textId="55F12E16" w:rsidR="00A37939" w:rsidRDefault="00A37939" w:rsidP="002E2528">
      <w:pPr>
        <w:tabs>
          <w:tab w:val="left" w:pos="284"/>
        </w:tabs>
        <w:jc w:val="both"/>
        <w:rPr>
          <w:sz w:val="22"/>
          <w:szCs w:val="22"/>
          <w:lang w:val="sr-Latn-CS"/>
        </w:rPr>
      </w:pPr>
    </w:p>
    <w:p w14:paraId="2081D7D3" w14:textId="77777777" w:rsidR="00D72200" w:rsidRPr="00D72200" w:rsidRDefault="00D72200" w:rsidP="002E2528">
      <w:pPr>
        <w:tabs>
          <w:tab w:val="left" w:pos="284"/>
        </w:tabs>
        <w:jc w:val="both"/>
        <w:rPr>
          <w:sz w:val="22"/>
          <w:szCs w:val="22"/>
          <w:lang w:val="sr-Latn-CS"/>
        </w:rPr>
      </w:pPr>
    </w:p>
    <w:p w14:paraId="6E8E5E36" w14:textId="79171A80" w:rsidR="00A37939" w:rsidRPr="00D72200" w:rsidRDefault="00A37939" w:rsidP="002E2528">
      <w:pPr>
        <w:tabs>
          <w:tab w:val="left" w:pos="284"/>
        </w:tabs>
        <w:jc w:val="both"/>
        <w:rPr>
          <w:i/>
          <w:iCs/>
          <w:sz w:val="22"/>
          <w:szCs w:val="22"/>
          <w:lang w:val="sr-Latn-CS"/>
        </w:rPr>
      </w:pPr>
      <w:r w:rsidRPr="00D72200">
        <w:rPr>
          <w:i/>
          <w:iCs/>
          <w:sz w:val="22"/>
          <w:szCs w:val="22"/>
          <w:lang w:val="sr-Latn-CS"/>
        </w:rPr>
        <w:t>Rosuhol, 20 mg, film tableta</w:t>
      </w:r>
    </w:p>
    <w:p w14:paraId="1FCCAD56" w14:textId="7EFAC3C8" w:rsidR="002E2528" w:rsidRPr="00D72200" w:rsidRDefault="002E2528" w:rsidP="002E2528">
      <w:pPr>
        <w:tabs>
          <w:tab w:val="left" w:pos="284"/>
        </w:tabs>
        <w:jc w:val="both"/>
        <w:rPr>
          <w:sz w:val="22"/>
          <w:szCs w:val="22"/>
          <w:lang w:val="sr-Latn-CS"/>
        </w:rPr>
      </w:pPr>
      <w:r w:rsidRPr="00D72200">
        <w:rPr>
          <w:sz w:val="22"/>
          <w:szCs w:val="22"/>
          <w:lang w:val="sr-Latn-CS"/>
        </w:rPr>
        <w:t>Unutrašnje pakova</w:t>
      </w:r>
      <w:r w:rsidR="00897151" w:rsidRPr="00D72200">
        <w:rPr>
          <w:sz w:val="22"/>
          <w:szCs w:val="22"/>
          <w:lang w:val="sr-Latn-CS"/>
        </w:rPr>
        <w:t>nje</w:t>
      </w:r>
      <w:r w:rsidR="00A37939" w:rsidRPr="00D72200">
        <w:rPr>
          <w:sz w:val="22"/>
          <w:szCs w:val="22"/>
          <w:lang w:val="sr-Latn-CS"/>
        </w:rPr>
        <w:t xml:space="preserve"> je</w:t>
      </w:r>
      <w:r w:rsidRPr="00D72200">
        <w:rPr>
          <w:sz w:val="22"/>
          <w:szCs w:val="22"/>
          <w:lang w:val="sr-Latn-CS"/>
        </w:rPr>
        <w:t xml:space="preserve"> blister (PA/Alu/PVC- Alu) sa 10 film tableta.</w:t>
      </w:r>
    </w:p>
    <w:p w14:paraId="52F58D08" w14:textId="575091DC" w:rsidR="002E2528" w:rsidRPr="00D72200" w:rsidRDefault="002E2528" w:rsidP="002E2528">
      <w:pPr>
        <w:tabs>
          <w:tab w:val="left" w:pos="284"/>
        </w:tabs>
        <w:jc w:val="both"/>
        <w:rPr>
          <w:sz w:val="22"/>
          <w:szCs w:val="22"/>
          <w:lang w:val="sr-Latn-CS"/>
        </w:rPr>
      </w:pPr>
      <w:r w:rsidRPr="00D72200">
        <w:rPr>
          <w:sz w:val="22"/>
          <w:szCs w:val="22"/>
          <w:lang w:val="sr-Latn-CS"/>
        </w:rPr>
        <w:t>Spoljašnje pakovanje</w:t>
      </w:r>
      <w:r w:rsidR="00A37939" w:rsidRPr="00D72200">
        <w:rPr>
          <w:sz w:val="22"/>
          <w:szCs w:val="22"/>
          <w:lang w:val="sr-Latn-CS"/>
        </w:rPr>
        <w:t xml:space="preserve"> je </w:t>
      </w:r>
      <w:r w:rsidRPr="00D72200">
        <w:rPr>
          <w:sz w:val="22"/>
          <w:szCs w:val="22"/>
          <w:lang w:val="sr-Latn-CS"/>
        </w:rPr>
        <w:t>složiva kartonska kutija u kojoj se nalazi 3 blistera sa po 10 film tableta</w:t>
      </w:r>
      <w:r w:rsidR="00794F07" w:rsidRPr="00D72200">
        <w:rPr>
          <w:sz w:val="22"/>
          <w:szCs w:val="22"/>
          <w:lang w:val="sr-Latn-CS"/>
        </w:rPr>
        <w:t xml:space="preserve"> (ukupno 30 tableta)</w:t>
      </w:r>
      <w:r w:rsidRPr="00D72200">
        <w:rPr>
          <w:sz w:val="22"/>
          <w:szCs w:val="22"/>
          <w:lang w:val="sr-Latn-CS"/>
        </w:rPr>
        <w:t xml:space="preserve"> i Uputstvo za l</w:t>
      </w:r>
      <w:r w:rsidR="00A36C74" w:rsidRPr="00D72200">
        <w:rPr>
          <w:sz w:val="22"/>
          <w:szCs w:val="22"/>
          <w:lang w:val="sr-Latn-CS"/>
        </w:rPr>
        <w:t>ij</w:t>
      </w:r>
      <w:r w:rsidRPr="00D72200">
        <w:rPr>
          <w:sz w:val="22"/>
          <w:szCs w:val="22"/>
          <w:lang w:val="sr-Latn-CS"/>
        </w:rPr>
        <w:t>ek.</w:t>
      </w:r>
    </w:p>
    <w:p w14:paraId="31305315" w14:textId="77777777" w:rsidR="0072020E" w:rsidRPr="00D72200" w:rsidRDefault="0072020E" w:rsidP="00480FB1">
      <w:pPr>
        <w:tabs>
          <w:tab w:val="left" w:pos="540"/>
          <w:tab w:val="left" w:pos="569"/>
        </w:tabs>
        <w:rPr>
          <w:bCs/>
          <w:sz w:val="22"/>
          <w:szCs w:val="22"/>
        </w:rPr>
      </w:pPr>
    </w:p>
    <w:p w14:paraId="25F02B0A" w14:textId="77777777" w:rsidR="002846DB" w:rsidRPr="00D72200" w:rsidRDefault="0072020E" w:rsidP="00480FB1">
      <w:pPr>
        <w:tabs>
          <w:tab w:val="left" w:pos="540"/>
          <w:tab w:val="left" w:pos="569"/>
        </w:tabs>
        <w:rPr>
          <w:b/>
          <w:bCs/>
          <w:sz w:val="22"/>
          <w:szCs w:val="22"/>
        </w:rPr>
      </w:pPr>
      <w:r w:rsidRPr="00D72200">
        <w:rPr>
          <w:b/>
          <w:bCs/>
          <w:sz w:val="22"/>
          <w:szCs w:val="22"/>
        </w:rPr>
        <w:t xml:space="preserve">6.6. </w:t>
      </w:r>
      <w:r w:rsidR="00480FB1" w:rsidRPr="00D72200">
        <w:rPr>
          <w:b/>
          <w:bCs/>
          <w:sz w:val="22"/>
          <w:szCs w:val="22"/>
        </w:rPr>
        <w:tab/>
      </w:r>
      <w:r w:rsidRPr="00D72200">
        <w:rPr>
          <w:b/>
          <w:bCs/>
          <w:color w:val="000000"/>
          <w:sz w:val="22"/>
          <w:szCs w:val="22"/>
        </w:rPr>
        <w:t>Posebne mjere opreza pri odlaganju materijala koji treba odbaciti nakon primjene lijeka</w:t>
      </w:r>
      <w:r w:rsidRPr="00D72200">
        <w:rPr>
          <w:b/>
          <w:bCs/>
          <w:sz w:val="22"/>
          <w:szCs w:val="22"/>
        </w:rPr>
        <w:t xml:space="preserve"> </w:t>
      </w:r>
      <w:r w:rsidR="00310F03" w:rsidRPr="00D72200">
        <w:rPr>
          <w:b/>
          <w:bCs/>
          <w:sz w:val="22"/>
          <w:szCs w:val="22"/>
        </w:rPr>
        <w:t xml:space="preserve">(i druga uputsva za rukovanje lijekom) </w:t>
      </w:r>
    </w:p>
    <w:p w14:paraId="70E24D96" w14:textId="77777777" w:rsidR="00D72200" w:rsidRDefault="00D72200" w:rsidP="002E2528">
      <w:pPr>
        <w:tabs>
          <w:tab w:val="left" w:pos="284"/>
        </w:tabs>
        <w:jc w:val="both"/>
        <w:rPr>
          <w:sz w:val="22"/>
          <w:szCs w:val="22"/>
        </w:rPr>
      </w:pPr>
    </w:p>
    <w:p w14:paraId="09AFF361" w14:textId="3D473C55" w:rsidR="002E2528" w:rsidRPr="00D72200" w:rsidRDefault="002E2528" w:rsidP="002E2528">
      <w:pPr>
        <w:tabs>
          <w:tab w:val="left" w:pos="284"/>
        </w:tabs>
        <w:jc w:val="both"/>
        <w:rPr>
          <w:sz w:val="22"/>
          <w:szCs w:val="22"/>
        </w:rPr>
      </w:pPr>
      <w:r w:rsidRPr="00D72200">
        <w:rPr>
          <w:sz w:val="22"/>
          <w:szCs w:val="22"/>
        </w:rPr>
        <w:lastRenderedPageBreak/>
        <w:t>Svu neiskorišćenu količinu l</w:t>
      </w:r>
      <w:r w:rsidR="00A36C74" w:rsidRPr="00D72200">
        <w:rPr>
          <w:sz w:val="22"/>
          <w:szCs w:val="22"/>
        </w:rPr>
        <w:t>ij</w:t>
      </w:r>
      <w:r w:rsidRPr="00D72200">
        <w:rPr>
          <w:sz w:val="22"/>
          <w:szCs w:val="22"/>
        </w:rPr>
        <w:t>eka ili otpadnog materijala nakon njegove upotrebe treba ukloniti, u skladu sa važećim propisima.</w:t>
      </w:r>
    </w:p>
    <w:p w14:paraId="3E18946C" w14:textId="77777777" w:rsidR="00B66A70" w:rsidRPr="00D72200" w:rsidRDefault="00B66A70" w:rsidP="00480FB1">
      <w:pPr>
        <w:tabs>
          <w:tab w:val="left" w:pos="540"/>
          <w:tab w:val="left" w:pos="569"/>
        </w:tabs>
        <w:rPr>
          <w:b/>
          <w:bCs/>
          <w:sz w:val="22"/>
          <w:szCs w:val="22"/>
        </w:rPr>
      </w:pPr>
    </w:p>
    <w:p w14:paraId="5002D850" w14:textId="77777777" w:rsidR="0072020E" w:rsidRPr="00D72200" w:rsidRDefault="0072020E" w:rsidP="00480FB1">
      <w:pPr>
        <w:tabs>
          <w:tab w:val="left" w:pos="540"/>
          <w:tab w:val="left" w:pos="569"/>
        </w:tabs>
        <w:rPr>
          <w:bCs/>
          <w:sz w:val="22"/>
          <w:szCs w:val="22"/>
        </w:rPr>
      </w:pPr>
    </w:p>
    <w:p w14:paraId="1831502E" w14:textId="77777777" w:rsidR="00F8570A" w:rsidRPr="00D72200" w:rsidRDefault="0072020E" w:rsidP="00480FB1">
      <w:pPr>
        <w:tabs>
          <w:tab w:val="left" w:pos="540"/>
          <w:tab w:val="left" w:pos="569"/>
        </w:tabs>
        <w:rPr>
          <w:b/>
          <w:bCs/>
          <w:sz w:val="22"/>
          <w:szCs w:val="22"/>
        </w:rPr>
      </w:pPr>
      <w:r w:rsidRPr="00D72200">
        <w:rPr>
          <w:b/>
          <w:bCs/>
          <w:sz w:val="22"/>
          <w:szCs w:val="22"/>
        </w:rPr>
        <w:t xml:space="preserve">7. </w:t>
      </w:r>
      <w:r w:rsidR="00480FB1" w:rsidRPr="00D72200">
        <w:rPr>
          <w:b/>
          <w:bCs/>
          <w:sz w:val="22"/>
          <w:szCs w:val="22"/>
        </w:rPr>
        <w:tab/>
      </w:r>
      <w:r w:rsidRPr="00D72200">
        <w:rPr>
          <w:b/>
          <w:bCs/>
          <w:sz w:val="22"/>
          <w:szCs w:val="22"/>
        </w:rPr>
        <w:t>NOSILAC DOZVOLE</w:t>
      </w:r>
      <w:r w:rsidR="00483928" w:rsidRPr="00D72200">
        <w:rPr>
          <w:b/>
          <w:bCs/>
          <w:sz w:val="22"/>
          <w:szCs w:val="22"/>
        </w:rPr>
        <w:t xml:space="preserve"> </w:t>
      </w:r>
    </w:p>
    <w:p w14:paraId="0DC0222F" w14:textId="77777777" w:rsidR="00D72200" w:rsidRDefault="00D72200" w:rsidP="00480FB1">
      <w:pPr>
        <w:tabs>
          <w:tab w:val="left" w:pos="540"/>
          <w:tab w:val="left" w:pos="569"/>
        </w:tabs>
        <w:rPr>
          <w:sz w:val="22"/>
          <w:szCs w:val="22"/>
          <w:lang w:val="sr-Latn-RS"/>
        </w:rPr>
      </w:pPr>
    </w:p>
    <w:p w14:paraId="36DDA364" w14:textId="2B5C4497" w:rsidR="00C61BE0" w:rsidRPr="00D72200" w:rsidRDefault="00706247" w:rsidP="00480FB1">
      <w:pPr>
        <w:tabs>
          <w:tab w:val="left" w:pos="540"/>
          <w:tab w:val="left" w:pos="569"/>
        </w:tabs>
        <w:rPr>
          <w:bCs/>
          <w:sz w:val="22"/>
          <w:szCs w:val="22"/>
        </w:rPr>
      </w:pPr>
      <w:r w:rsidRPr="00D72200">
        <w:rPr>
          <w:sz w:val="22"/>
          <w:szCs w:val="22"/>
          <w:lang w:val="sr-Latn-RS"/>
        </w:rPr>
        <w:t>PHARMASWISS - MONTENEGRO, PHARMASWISS DOO BEOGRAD, DIO STRANOG DRUŠTVA U PODGORICI</w:t>
      </w:r>
      <w:r w:rsidR="00F93C9D" w:rsidRPr="00D72200">
        <w:rPr>
          <w:sz w:val="22"/>
          <w:szCs w:val="22"/>
          <w:lang w:val="sr-Latn-RS"/>
        </w:rPr>
        <w:t xml:space="preserve">, </w:t>
      </w:r>
      <w:r w:rsidR="002E2528" w:rsidRPr="00D72200">
        <w:rPr>
          <w:sz w:val="22"/>
          <w:szCs w:val="22"/>
          <w:lang w:val="sr-Latn-RS"/>
        </w:rPr>
        <w:t xml:space="preserve">Rimski Trg </w:t>
      </w:r>
      <w:r w:rsidR="004A5CB4" w:rsidRPr="00D72200">
        <w:rPr>
          <w:sz w:val="22"/>
          <w:szCs w:val="22"/>
          <w:lang w:val="sr-Latn-RS"/>
        </w:rPr>
        <w:t xml:space="preserve">br. </w:t>
      </w:r>
      <w:r w:rsidR="002E2528" w:rsidRPr="00D72200">
        <w:rPr>
          <w:sz w:val="22"/>
          <w:szCs w:val="22"/>
          <w:lang w:val="sr-Latn-RS"/>
        </w:rPr>
        <w:t>16, Podgorica, Crna Gora</w:t>
      </w:r>
    </w:p>
    <w:p w14:paraId="6FD21362" w14:textId="22861BA1" w:rsidR="00C37FD7" w:rsidRDefault="00C37FD7" w:rsidP="00480FB1">
      <w:pPr>
        <w:tabs>
          <w:tab w:val="left" w:pos="540"/>
          <w:tab w:val="left" w:pos="569"/>
        </w:tabs>
        <w:rPr>
          <w:bCs/>
          <w:sz w:val="22"/>
          <w:szCs w:val="22"/>
        </w:rPr>
      </w:pPr>
    </w:p>
    <w:p w14:paraId="0DDEAC1C" w14:textId="77777777" w:rsidR="00D72200" w:rsidRPr="00D72200" w:rsidRDefault="00D72200" w:rsidP="00480FB1">
      <w:pPr>
        <w:tabs>
          <w:tab w:val="left" w:pos="540"/>
          <w:tab w:val="left" w:pos="569"/>
        </w:tabs>
        <w:rPr>
          <w:bCs/>
          <w:sz w:val="22"/>
          <w:szCs w:val="22"/>
        </w:rPr>
      </w:pPr>
    </w:p>
    <w:p w14:paraId="693E918F" w14:textId="77777777" w:rsidR="0072020E" w:rsidRPr="00D72200" w:rsidRDefault="0072020E" w:rsidP="00480FB1">
      <w:pPr>
        <w:tabs>
          <w:tab w:val="left" w:pos="540"/>
          <w:tab w:val="left" w:pos="569"/>
        </w:tabs>
        <w:rPr>
          <w:b/>
          <w:bCs/>
          <w:sz w:val="22"/>
          <w:szCs w:val="22"/>
        </w:rPr>
      </w:pPr>
      <w:r w:rsidRPr="00D72200">
        <w:rPr>
          <w:b/>
          <w:bCs/>
          <w:sz w:val="22"/>
          <w:szCs w:val="22"/>
        </w:rPr>
        <w:t xml:space="preserve">8. </w:t>
      </w:r>
      <w:r w:rsidR="00480FB1" w:rsidRPr="00D72200">
        <w:rPr>
          <w:b/>
          <w:bCs/>
          <w:sz w:val="22"/>
          <w:szCs w:val="22"/>
        </w:rPr>
        <w:tab/>
      </w:r>
      <w:r w:rsidRPr="00D72200">
        <w:rPr>
          <w:b/>
          <w:bCs/>
          <w:sz w:val="22"/>
          <w:szCs w:val="22"/>
        </w:rPr>
        <w:t>BROJ DOZVOLE</w:t>
      </w:r>
      <w:r w:rsidR="008A6D43" w:rsidRPr="00D72200">
        <w:rPr>
          <w:b/>
          <w:bCs/>
          <w:sz w:val="22"/>
          <w:szCs w:val="22"/>
        </w:rPr>
        <w:t xml:space="preserve"> ZA STAVLJANJE LIJEKA U PROMET</w:t>
      </w:r>
    </w:p>
    <w:p w14:paraId="4EA79898" w14:textId="77777777" w:rsidR="00D72200" w:rsidRDefault="00D72200" w:rsidP="002E2528">
      <w:pPr>
        <w:widowControl w:val="0"/>
        <w:tabs>
          <w:tab w:val="left" w:pos="284"/>
        </w:tabs>
        <w:autoSpaceDE w:val="0"/>
        <w:autoSpaceDN w:val="0"/>
        <w:rPr>
          <w:sz w:val="22"/>
          <w:szCs w:val="22"/>
          <w:lang w:val="sr-Latn-CS"/>
        </w:rPr>
      </w:pPr>
    </w:p>
    <w:p w14:paraId="2062F7A3" w14:textId="145CE5E4" w:rsidR="002E2528" w:rsidRPr="00D72200" w:rsidRDefault="002E2528" w:rsidP="002E2528">
      <w:pPr>
        <w:widowControl w:val="0"/>
        <w:tabs>
          <w:tab w:val="left" w:pos="284"/>
        </w:tabs>
        <w:autoSpaceDE w:val="0"/>
        <w:autoSpaceDN w:val="0"/>
        <w:rPr>
          <w:sz w:val="22"/>
          <w:szCs w:val="22"/>
          <w:lang w:val="sr-Latn-CS"/>
        </w:rPr>
      </w:pPr>
      <w:r w:rsidRPr="00D72200">
        <w:rPr>
          <w:sz w:val="22"/>
          <w:szCs w:val="22"/>
          <w:lang w:val="sr-Latn-CS"/>
        </w:rPr>
        <w:t>Rosuhol, film tablet</w:t>
      </w:r>
      <w:r w:rsidR="0039625B" w:rsidRPr="00D72200">
        <w:rPr>
          <w:sz w:val="22"/>
          <w:szCs w:val="22"/>
          <w:lang w:val="sr-Latn-CS"/>
        </w:rPr>
        <w:t>a</w:t>
      </w:r>
      <w:r w:rsidRPr="00D72200">
        <w:rPr>
          <w:sz w:val="22"/>
          <w:szCs w:val="22"/>
          <w:lang w:val="sr-Latn-CS"/>
        </w:rPr>
        <w:t>,</w:t>
      </w:r>
      <w:r w:rsidR="00EA2722" w:rsidRPr="00D72200">
        <w:rPr>
          <w:sz w:val="22"/>
          <w:szCs w:val="22"/>
          <w:lang w:val="sr-Latn-CS"/>
        </w:rPr>
        <w:t xml:space="preserve"> 10mg, blister, 30</w:t>
      </w:r>
      <w:r w:rsidRPr="00D72200">
        <w:rPr>
          <w:sz w:val="22"/>
          <w:szCs w:val="22"/>
          <w:lang w:val="sr-Latn-CS"/>
        </w:rPr>
        <w:t xml:space="preserve"> </w:t>
      </w:r>
      <w:r w:rsidR="00EA2722" w:rsidRPr="00D72200">
        <w:rPr>
          <w:sz w:val="22"/>
          <w:szCs w:val="22"/>
          <w:lang w:val="sr-Latn-CS"/>
        </w:rPr>
        <w:t>(3x10) film tableta:</w:t>
      </w:r>
      <w:r w:rsidR="00930850" w:rsidRPr="000F132E">
        <w:rPr>
          <w:sz w:val="22"/>
          <w:szCs w:val="22"/>
        </w:rPr>
        <w:t xml:space="preserve"> </w:t>
      </w:r>
      <w:r w:rsidR="00930850" w:rsidRPr="00D72200">
        <w:rPr>
          <w:sz w:val="22"/>
          <w:szCs w:val="22"/>
          <w:lang w:val="sr-Latn-CS"/>
        </w:rPr>
        <w:t>2030/19/995-5329</w:t>
      </w:r>
    </w:p>
    <w:p w14:paraId="0FC2F625" w14:textId="49A15348" w:rsidR="002E2528" w:rsidRPr="00D72200" w:rsidRDefault="002E2528" w:rsidP="002E2528">
      <w:pPr>
        <w:widowControl w:val="0"/>
        <w:tabs>
          <w:tab w:val="left" w:pos="284"/>
        </w:tabs>
        <w:autoSpaceDE w:val="0"/>
        <w:autoSpaceDN w:val="0"/>
        <w:rPr>
          <w:sz w:val="22"/>
          <w:szCs w:val="22"/>
          <w:lang w:val="sr-Latn-CS"/>
        </w:rPr>
      </w:pPr>
      <w:r w:rsidRPr="00D72200">
        <w:rPr>
          <w:sz w:val="22"/>
          <w:szCs w:val="22"/>
          <w:lang w:val="sr-Latn-CS"/>
        </w:rPr>
        <w:t>Rosuhol, film tablet</w:t>
      </w:r>
      <w:r w:rsidR="0039625B" w:rsidRPr="00D72200">
        <w:rPr>
          <w:sz w:val="22"/>
          <w:szCs w:val="22"/>
          <w:lang w:val="sr-Latn-CS"/>
        </w:rPr>
        <w:t>a</w:t>
      </w:r>
      <w:r w:rsidRPr="00D72200">
        <w:rPr>
          <w:sz w:val="22"/>
          <w:szCs w:val="22"/>
          <w:lang w:val="sr-Latn-CS"/>
        </w:rPr>
        <w:t xml:space="preserve">, </w:t>
      </w:r>
      <w:r w:rsidR="00EA2722" w:rsidRPr="00D72200">
        <w:rPr>
          <w:sz w:val="22"/>
          <w:szCs w:val="22"/>
          <w:lang w:val="sr-Latn-CS"/>
        </w:rPr>
        <w:t>20mg, blister, 30 (3x10) film tableta:</w:t>
      </w:r>
      <w:r w:rsidR="00930850" w:rsidRPr="00D72200">
        <w:rPr>
          <w:sz w:val="22"/>
          <w:szCs w:val="22"/>
          <w:lang w:val="sr-Latn-CS"/>
        </w:rPr>
        <w:t xml:space="preserve"> </w:t>
      </w:r>
      <w:r w:rsidR="0059061B" w:rsidRPr="00D72200">
        <w:rPr>
          <w:sz w:val="22"/>
          <w:szCs w:val="22"/>
          <w:lang w:val="sr-Latn-CS"/>
        </w:rPr>
        <w:t>2030/19/996-5330</w:t>
      </w:r>
    </w:p>
    <w:p w14:paraId="45699952" w14:textId="77777777" w:rsidR="0072020E" w:rsidRPr="00D72200" w:rsidRDefault="0072020E" w:rsidP="00480FB1">
      <w:pPr>
        <w:tabs>
          <w:tab w:val="left" w:pos="540"/>
          <w:tab w:val="left" w:pos="569"/>
        </w:tabs>
        <w:rPr>
          <w:bCs/>
          <w:sz w:val="22"/>
          <w:szCs w:val="22"/>
        </w:rPr>
      </w:pPr>
    </w:p>
    <w:p w14:paraId="7F2BBB3F" w14:textId="77777777" w:rsidR="00F45F77" w:rsidRPr="00D72200" w:rsidRDefault="00F45F77" w:rsidP="00480FB1">
      <w:pPr>
        <w:tabs>
          <w:tab w:val="left" w:pos="540"/>
          <w:tab w:val="left" w:pos="569"/>
        </w:tabs>
        <w:rPr>
          <w:bCs/>
          <w:sz w:val="22"/>
          <w:szCs w:val="22"/>
        </w:rPr>
      </w:pPr>
    </w:p>
    <w:p w14:paraId="4BBB65A2" w14:textId="77777777" w:rsidR="0072020E" w:rsidRPr="00D72200" w:rsidRDefault="0072020E" w:rsidP="00480FB1">
      <w:pPr>
        <w:tabs>
          <w:tab w:val="left" w:pos="540"/>
          <w:tab w:val="left" w:pos="569"/>
        </w:tabs>
        <w:rPr>
          <w:b/>
          <w:bCs/>
          <w:sz w:val="22"/>
          <w:szCs w:val="22"/>
        </w:rPr>
      </w:pPr>
      <w:r w:rsidRPr="00D72200">
        <w:rPr>
          <w:b/>
          <w:bCs/>
          <w:sz w:val="22"/>
          <w:szCs w:val="22"/>
        </w:rPr>
        <w:t xml:space="preserve">9. </w:t>
      </w:r>
      <w:r w:rsidR="00480FB1" w:rsidRPr="00D72200">
        <w:rPr>
          <w:b/>
          <w:bCs/>
          <w:sz w:val="22"/>
          <w:szCs w:val="22"/>
        </w:rPr>
        <w:tab/>
      </w:r>
      <w:r w:rsidRPr="00D72200">
        <w:rPr>
          <w:b/>
          <w:bCs/>
          <w:sz w:val="22"/>
          <w:szCs w:val="22"/>
        </w:rPr>
        <w:t xml:space="preserve">DATUM </w:t>
      </w:r>
      <w:r w:rsidR="00C05DF8" w:rsidRPr="00D72200">
        <w:rPr>
          <w:b/>
          <w:bCs/>
          <w:sz w:val="22"/>
          <w:szCs w:val="22"/>
        </w:rPr>
        <w:t xml:space="preserve">PRVE </w:t>
      </w:r>
      <w:r w:rsidR="008A6D43" w:rsidRPr="00D72200">
        <w:rPr>
          <w:b/>
          <w:bCs/>
          <w:sz w:val="22"/>
          <w:szCs w:val="22"/>
        </w:rPr>
        <w:t>DOZVOLE</w:t>
      </w:r>
      <w:r w:rsidR="00C05DF8" w:rsidRPr="00D72200">
        <w:rPr>
          <w:b/>
          <w:bCs/>
          <w:sz w:val="22"/>
          <w:szCs w:val="22"/>
        </w:rPr>
        <w:t>/OBNOVE DOZVOLE</w:t>
      </w:r>
      <w:r w:rsidR="008A6D43" w:rsidRPr="00D72200">
        <w:rPr>
          <w:b/>
          <w:bCs/>
          <w:sz w:val="22"/>
          <w:szCs w:val="22"/>
        </w:rPr>
        <w:t xml:space="preserve"> ZA STAVLJANJE LIJEKA U PROMET</w:t>
      </w:r>
    </w:p>
    <w:p w14:paraId="34B59373" w14:textId="77777777" w:rsidR="00D72200" w:rsidRDefault="00D72200" w:rsidP="002E2528">
      <w:pPr>
        <w:widowControl w:val="0"/>
        <w:tabs>
          <w:tab w:val="left" w:pos="284"/>
        </w:tabs>
        <w:autoSpaceDE w:val="0"/>
        <w:autoSpaceDN w:val="0"/>
        <w:rPr>
          <w:sz w:val="22"/>
          <w:szCs w:val="22"/>
          <w:lang w:val="sr-Latn-CS"/>
        </w:rPr>
      </w:pPr>
    </w:p>
    <w:p w14:paraId="52A0D6D4" w14:textId="4D04C454" w:rsidR="00692703" w:rsidRPr="00D72200" w:rsidRDefault="00EA2722" w:rsidP="002E2528">
      <w:pPr>
        <w:widowControl w:val="0"/>
        <w:tabs>
          <w:tab w:val="left" w:pos="284"/>
        </w:tabs>
        <w:autoSpaceDE w:val="0"/>
        <w:autoSpaceDN w:val="0"/>
        <w:rPr>
          <w:sz w:val="22"/>
          <w:szCs w:val="22"/>
          <w:lang w:val="sr-Latn-CS"/>
        </w:rPr>
      </w:pPr>
      <w:r w:rsidRPr="00D72200">
        <w:rPr>
          <w:sz w:val="22"/>
          <w:szCs w:val="22"/>
          <w:lang w:val="sr-Latn-CS"/>
        </w:rPr>
        <w:t>Rosuhol, film tablet</w:t>
      </w:r>
      <w:r w:rsidR="00692703" w:rsidRPr="00D72200">
        <w:rPr>
          <w:sz w:val="22"/>
          <w:szCs w:val="22"/>
          <w:lang w:val="sr-Latn-CS"/>
        </w:rPr>
        <w:t>a</w:t>
      </w:r>
      <w:r w:rsidRPr="00D72200">
        <w:rPr>
          <w:sz w:val="22"/>
          <w:szCs w:val="22"/>
          <w:lang w:val="sr-Latn-CS"/>
        </w:rPr>
        <w:t>, 10mg, blister, 30 (3x10) film tableta:</w:t>
      </w:r>
      <w:r w:rsidRPr="00D72200" w:rsidDel="00EA2722">
        <w:rPr>
          <w:sz w:val="22"/>
          <w:szCs w:val="22"/>
          <w:lang w:val="sr-Latn-CS"/>
        </w:rPr>
        <w:t xml:space="preserve"> </w:t>
      </w:r>
      <w:r w:rsidR="00B65146" w:rsidRPr="00D72200">
        <w:rPr>
          <w:sz w:val="22"/>
          <w:szCs w:val="22"/>
          <w:lang w:val="sr-Latn-CS"/>
        </w:rPr>
        <w:t>09.12.2019. godine</w:t>
      </w:r>
    </w:p>
    <w:p w14:paraId="266A75B7" w14:textId="4AEC95D1" w:rsidR="002E2528" w:rsidRPr="00D72200" w:rsidRDefault="002E2528" w:rsidP="002E2528">
      <w:pPr>
        <w:widowControl w:val="0"/>
        <w:tabs>
          <w:tab w:val="left" w:pos="284"/>
        </w:tabs>
        <w:autoSpaceDE w:val="0"/>
        <w:autoSpaceDN w:val="0"/>
        <w:rPr>
          <w:sz w:val="22"/>
          <w:szCs w:val="22"/>
          <w:lang w:val="sr-Latn-CS"/>
        </w:rPr>
      </w:pPr>
      <w:r w:rsidRPr="00D72200">
        <w:rPr>
          <w:sz w:val="22"/>
          <w:szCs w:val="22"/>
          <w:lang w:val="sr-Latn-CS"/>
        </w:rPr>
        <w:t>Rosuhol, film tablet</w:t>
      </w:r>
      <w:r w:rsidR="00692703" w:rsidRPr="00D72200">
        <w:rPr>
          <w:sz w:val="22"/>
          <w:szCs w:val="22"/>
          <w:lang w:val="sr-Latn-CS"/>
        </w:rPr>
        <w:t>a</w:t>
      </w:r>
      <w:r w:rsidRPr="00D72200">
        <w:rPr>
          <w:sz w:val="22"/>
          <w:szCs w:val="22"/>
          <w:lang w:val="sr-Latn-CS"/>
        </w:rPr>
        <w:t xml:space="preserve">, </w:t>
      </w:r>
      <w:r w:rsidR="00EA2722" w:rsidRPr="00D72200">
        <w:rPr>
          <w:sz w:val="22"/>
          <w:szCs w:val="22"/>
          <w:lang w:val="sr-Latn-CS"/>
        </w:rPr>
        <w:t>20mg, blister, 30 (3x10) film tableta:</w:t>
      </w:r>
      <w:r w:rsidR="00B65146" w:rsidRPr="00D72200">
        <w:rPr>
          <w:sz w:val="22"/>
          <w:szCs w:val="22"/>
          <w:lang w:val="sr-Latn-CS"/>
        </w:rPr>
        <w:t xml:space="preserve"> 09.12.2019. godine</w:t>
      </w:r>
    </w:p>
    <w:p w14:paraId="5D32ACF1" w14:textId="77777777" w:rsidR="0072020E" w:rsidRPr="00D72200" w:rsidRDefault="0072020E" w:rsidP="00480FB1">
      <w:pPr>
        <w:tabs>
          <w:tab w:val="left" w:pos="540"/>
          <w:tab w:val="left" w:pos="569"/>
        </w:tabs>
        <w:rPr>
          <w:bCs/>
          <w:sz w:val="22"/>
          <w:szCs w:val="22"/>
        </w:rPr>
      </w:pPr>
    </w:p>
    <w:p w14:paraId="7C2193FB" w14:textId="77777777" w:rsidR="00836B35" w:rsidRPr="00D72200" w:rsidRDefault="00836B35" w:rsidP="00480FB1">
      <w:pPr>
        <w:tabs>
          <w:tab w:val="left" w:pos="540"/>
          <w:tab w:val="left" w:pos="569"/>
        </w:tabs>
        <w:rPr>
          <w:bCs/>
          <w:sz w:val="22"/>
          <w:szCs w:val="22"/>
        </w:rPr>
      </w:pPr>
    </w:p>
    <w:p w14:paraId="2F36FCBF" w14:textId="77777777" w:rsidR="003F6A59" w:rsidRPr="00D72200" w:rsidRDefault="0072020E" w:rsidP="00C05DF8">
      <w:pPr>
        <w:tabs>
          <w:tab w:val="left" w:pos="540"/>
          <w:tab w:val="left" w:pos="569"/>
        </w:tabs>
        <w:ind w:left="540" w:hanging="540"/>
        <w:rPr>
          <w:bCs/>
          <w:sz w:val="22"/>
          <w:szCs w:val="22"/>
        </w:rPr>
      </w:pPr>
      <w:r w:rsidRPr="00D72200">
        <w:rPr>
          <w:b/>
          <w:bCs/>
          <w:sz w:val="22"/>
          <w:szCs w:val="22"/>
        </w:rPr>
        <w:t xml:space="preserve">10. </w:t>
      </w:r>
      <w:r w:rsidR="00480FB1" w:rsidRPr="00D72200">
        <w:rPr>
          <w:b/>
          <w:bCs/>
          <w:sz w:val="22"/>
          <w:szCs w:val="22"/>
        </w:rPr>
        <w:tab/>
      </w:r>
      <w:r w:rsidR="002846DB" w:rsidRPr="00D72200">
        <w:rPr>
          <w:b/>
          <w:bCs/>
          <w:sz w:val="22"/>
          <w:szCs w:val="22"/>
        </w:rPr>
        <w:t>D</w:t>
      </w:r>
      <w:r w:rsidR="00EC2532" w:rsidRPr="00D72200">
        <w:rPr>
          <w:b/>
          <w:bCs/>
          <w:sz w:val="22"/>
          <w:szCs w:val="22"/>
        </w:rPr>
        <w:t xml:space="preserve">ATUM REVIZIJE TEKSTA </w:t>
      </w:r>
    </w:p>
    <w:p w14:paraId="6B8AE8E7" w14:textId="77777777" w:rsidR="003F6A59" w:rsidRPr="00D72200" w:rsidRDefault="003F6A59" w:rsidP="00480FB1">
      <w:pPr>
        <w:tabs>
          <w:tab w:val="left" w:pos="540"/>
          <w:tab w:val="left" w:pos="569"/>
        </w:tabs>
        <w:rPr>
          <w:bCs/>
          <w:sz w:val="22"/>
          <w:szCs w:val="22"/>
        </w:rPr>
      </w:pPr>
    </w:p>
    <w:p w14:paraId="4B15C4A1" w14:textId="7C42C086" w:rsidR="003F6A59" w:rsidRPr="00D72200" w:rsidRDefault="008A204C" w:rsidP="00DE3F5C">
      <w:pPr>
        <w:rPr>
          <w:sz w:val="22"/>
          <w:szCs w:val="22"/>
          <w:lang w:val="pl-PL"/>
        </w:rPr>
      </w:pPr>
      <w:r>
        <w:rPr>
          <w:sz w:val="22"/>
          <w:szCs w:val="22"/>
          <w:lang w:val="pl-PL"/>
        </w:rPr>
        <w:t>Septembar</w:t>
      </w:r>
      <w:bookmarkStart w:id="2" w:name="_GoBack"/>
      <w:bookmarkEnd w:id="2"/>
      <w:r w:rsidR="00D72200">
        <w:rPr>
          <w:sz w:val="22"/>
          <w:szCs w:val="22"/>
          <w:lang w:val="pl-PL"/>
        </w:rPr>
        <w:t>, 2023. godine</w:t>
      </w:r>
    </w:p>
    <w:sectPr w:rsidR="003F6A59" w:rsidRPr="00D72200" w:rsidSect="00EF3B86">
      <w:footerReference w:type="default" r:id="rId12"/>
      <w:pgSz w:w="11909" w:h="16834" w:code="9"/>
      <w:pgMar w:top="1140" w:right="1412" w:bottom="1140" w:left="1412"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A9B1" w16cex:dateUtc="2023-08-17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D83786" w16cid:durableId="2888A9B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B558D" w14:textId="77777777" w:rsidR="001563F9" w:rsidRDefault="001563F9">
      <w:r>
        <w:separator/>
      </w:r>
    </w:p>
  </w:endnote>
  <w:endnote w:type="continuationSeparator" w:id="0">
    <w:p w14:paraId="2FEDFC0F" w14:textId="77777777" w:rsidR="001563F9" w:rsidRDefault="0015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27A8" w14:textId="52FB579F" w:rsidR="004D7C08" w:rsidRPr="00B23F69" w:rsidRDefault="004D7C0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A204C">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A204C">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7A683" w14:textId="77777777" w:rsidR="001563F9" w:rsidRDefault="001563F9">
      <w:r>
        <w:separator/>
      </w:r>
    </w:p>
  </w:footnote>
  <w:footnote w:type="continuationSeparator" w:id="0">
    <w:p w14:paraId="5E99FE9A" w14:textId="77777777" w:rsidR="001563F9" w:rsidRDefault="001563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5pt;height:13.5pt;visibility:visible" o:bullet="t">
        <v:imagedata r:id="rId1" o:title="BT_1000x858px"/>
      </v:shape>
    </w:pict>
  </w:numPicBullet>
  <w:abstractNum w:abstractNumId="0" w15:restartNumberingAfterBreak="0">
    <w:nsid w:val="0ADC56BC"/>
    <w:multiLevelType w:val="hybridMultilevel"/>
    <w:tmpl w:val="80CE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410"/>
    <w:rsid w:val="00005B64"/>
    <w:rsid w:val="0001043C"/>
    <w:rsid w:val="00013018"/>
    <w:rsid w:val="00014AB0"/>
    <w:rsid w:val="000176CA"/>
    <w:rsid w:val="000329FC"/>
    <w:rsid w:val="00034699"/>
    <w:rsid w:val="00035ECE"/>
    <w:rsid w:val="00036FA0"/>
    <w:rsid w:val="0003793F"/>
    <w:rsid w:val="00040065"/>
    <w:rsid w:val="00042917"/>
    <w:rsid w:val="0005136B"/>
    <w:rsid w:val="0005502D"/>
    <w:rsid w:val="00057E35"/>
    <w:rsid w:val="00065BC7"/>
    <w:rsid w:val="00065CE2"/>
    <w:rsid w:val="00076726"/>
    <w:rsid w:val="000774B7"/>
    <w:rsid w:val="00080303"/>
    <w:rsid w:val="000825FA"/>
    <w:rsid w:val="0008293B"/>
    <w:rsid w:val="00083AA3"/>
    <w:rsid w:val="00084CFB"/>
    <w:rsid w:val="00087EDC"/>
    <w:rsid w:val="00096C06"/>
    <w:rsid w:val="000A3F58"/>
    <w:rsid w:val="000B3DE5"/>
    <w:rsid w:val="000C0631"/>
    <w:rsid w:val="000C2FC6"/>
    <w:rsid w:val="000D2343"/>
    <w:rsid w:val="000D3449"/>
    <w:rsid w:val="000D41EC"/>
    <w:rsid w:val="000D425A"/>
    <w:rsid w:val="000D60CC"/>
    <w:rsid w:val="000D691F"/>
    <w:rsid w:val="000E2084"/>
    <w:rsid w:val="000E5EFC"/>
    <w:rsid w:val="000E6F55"/>
    <w:rsid w:val="000F132E"/>
    <w:rsid w:val="000F77FA"/>
    <w:rsid w:val="00107BF7"/>
    <w:rsid w:val="0011644A"/>
    <w:rsid w:val="001202EE"/>
    <w:rsid w:val="00126D22"/>
    <w:rsid w:val="00126F53"/>
    <w:rsid w:val="00137747"/>
    <w:rsid w:val="00137BBC"/>
    <w:rsid w:val="0014112C"/>
    <w:rsid w:val="00143D01"/>
    <w:rsid w:val="0014766D"/>
    <w:rsid w:val="001536CC"/>
    <w:rsid w:val="001563F9"/>
    <w:rsid w:val="0016013A"/>
    <w:rsid w:val="00160E55"/>
    <w:rsid w:val="00165A25"/>
    <w:rsid w:val="0018254D"/>
    <w:rsid w:val="0018288F"/>
    <w:rsid w:val="00184686"/>
    <w:rsid w:val="0019105B"/>
    <w:rsid w:val="0019294A"/>
    <w:rsid w:val="001A3FBA"/>
    <w:rsid w:val="001A5447"/>
    <w:rsid w:val="001A5518"/>
    <w:rsid w:val="001B165F"/>
    <w:rsid w:val="001B192B"/>
    <w:rsid w:val="001B1C6A"/>
    <w:rsid w:val="001B3485"/>
    <w:rsid w:val="001C1263"/>
    <w:rsid w:val="001C1417"/>
    <w:rsid w:val="001D5A85"/>
    <w:rsid w:val="001D7015"/>
    <w:rsid w:val="001E390B"/>
    <w:rsid w:val="001E510A"/>
    <w:rsid w:val="001F42FB"/>
    <w:rsid w:val="001F5B9B"/>
    <w:rsid w:val="001F6212"/>
    <w:rsid w:val="001F719A"/>
    <w:rsid w:val="001F7F12"/>
    <w:rsid w:val="00201D55"/>
    <w:rsid w:val="002031B3"/>
    <w:rsid w:val="00215931"/>
    <w:rsid w:val="00216AB2"/>
    <w:rsid w:val="00220D03"/>
    <w:rsid w:val="00227BDB"/>
    <w:rsid w:val="00230BC1"/>
    <w:rsid w:val="00232353"/>
    <w:rsid w:val="00234CB1"/>
    <w:rsid w:val="002352F8"/>
    <w:rsid w:val="00237BCF"/>
    <w:rsid w:val="00243DCD"/>
    <w:rsid w:val="00247AF7"/>
    <w:rsid w:val="002510A5"/>
    <w:rsid w:val="00254A0A"/>
    <w:rsid w:val="00255F78"/>
    <w:rsid w:val="00261F1A"/>
    <w:rsid w:val="00266046"/>
    <w:rsid w:val="00271A4B"/>
    <w:rsid w:val="002839B6"/>
    <w:rsid w:val="002846DB"/>
    <w:rsid w:val="00284CCD"/>
    <w:rsid w:val="002859DE"/>
    <w:rsid w:val="00287F7A"/>
    <w:rsid w:val="00294AAC"/>
    <w:rsid w:val="00296431"/>
    <w:rsid w:val="002A4C5F"/>
    <w:rsid w:val="002B382B"/>
    <w:rsid w:val="002C3F03"/>
    <w:rsid w:val="002C3F0F"/>
    <w:rsid w:val="002C6637"/>
    <w:rsid w:val="002C7E69"/>
    <w:rsid w:val="002E0135"/>
    <w:rsid w:val="002E14CF"/>
    <w:rsid w:val="002E2528"/>
    <w:rsid w:val="002E37A5"/>
    <w:rsid w:val="002E3C94"/>
    <w:rsid w:val="002E4EF2"/>
    <w:rsid w:val="002F58B4"/>
    <w:rsid w:val="002F63E6"/>
    <w:rsid w:val="002F6903"/>
    <w:rsid w:val="00304152"/>
    <w:rsid w:val="00304DD4"/>
    <w:rsid w:val="00304FBB"/>
    <w:rsid w:val="00307092"/>
    <w:rsid w:val="00310F03"/>
    <w:rsid w:val="00314883"/>
    <w:rsid w:val="00315831"/>
    <w:rsid w:val="00315998"/>
    <w:rsid w:val="003247D2"/>
    <w:rsid w:val="00330FD3"/>
    <w:rsid w:val="0034433E"/>
    <w:rsid w:val="003445C1"/>
    <w:rsid w:val="00345CEF"/>
    <w:rsid w:val="003518AD"/>
    <w:rsid w:val="00355B61"/>
    <w:rsid w:val="003562E2"/>
    <w:rsid w:val="0035765C"/>
    <w:rsid w:val="00361CD7"/>
    <w:rsid w:val="00362686"/>
    <w:rsid w:val="0036371F"/>
    <w:rsid w:val="00364485"/>
    <w:rsid w:val="00364B14"/>
    <w:rsid w:val="00371510"/>
    <w:rsid w:val="00376732"/>
    <w:rsid w:val="00384C1A"/>
    <w:rsid w:val="003859D8"/>
    <w:rsid w:val="0038731E"/>
    <w:rsid w:val="00393A75"/>
    <w:rsid w:val="00393F03"/>
    <w:rsid w:val="0039625B"/>
    <w:rsid w:val="00396DFD"/>
    <w:rsid w:val="00397C9B"/>
    <w:rsid w:val="003A0D60"/>
    <w:rsid w:val="003A7059"/>
    <w:rsid w:val="003B7A36"/>
    <w:rsid w:val="003C17AB"/>
    <w:rsid w:val="003C1DFB"/>
    <w:rsid w:val="003C729F"/>
    <w:rsid w:val="003C7823"/>
    <w:rsid w:val="003D144A"/>
    <w:rsid w:val="003D212E"/>
    <w:rsid w:val="003D5ED2"/>
    <w:rsid w:val="003E076B"/>
    <w:rsid w:val="003E123A"/>
    <w:rsid w:val="003E1B9A"/>
    <w:rsid w:val="003E1DCC"/>
    <w:rsid w:val="003E4742"/>
    <w:rsid w:val="003F11AE"/>
    <w:rsid w:val="003F1702"/>
    <w:rsid w:val="003F17FF"/>
    <w:rsid w:val="003F2DFD"/>
    <w:rsid w:val="003F6A59"/>
    <w:rsid w:val="00400F3C"/>
    <w:rsid w:val="0040507F"/>
    <w:rsid w:val="00405A60"/>
    <w:rsid w:val="0040610E"/>
    <w:rsid w:val="004065C8"/>
    <w:rsid w:val="00410831"/>
    <w:rsid w:val="0041151B"/>
    <w:rsid w:val="00411B4B"/>
    <w:rsid w:val="0041444E"/>
    <w:rsid w:val="00415BEE"/>
    <w:rsid w:val="00424187"/>
    <w:rsid w:val="00427F85"/>
    <w:rsid w:val="00430ACF"/>
    <w:rsid w:val="00436F42"/>
    <w:rsid w:val="004378B4"/>
    <w:rsid w:val="0044461B"/>
    <w:rsid w:val="004506DF"/>
    <w:rsid w:val="00451314"/>
    <w:rsid w:val="00451426"/>
    <w:rsid w:val="00452E9D"/>
    <w:rsid w:val="004534C7"/>
    <w:rsid w:val="00456CFA"/>
    <w:rsid w:val="00457CA8"/>
    <w:rsid w:val="0046176E"/>
    <w:rsid w:val="0046306E"/>
    <w:rsid w:val="004671AA"/>
    <w:rsid w:val="00467221"/>
    <w:rsid w:val="0047466D"/>
    <w:rsid w:val="0047748B"/>
    <w:rsid w:val="00480FB1"/>
    <w:rsid w:val="00483928"/>
    <w:rsid w:val="00496847"/>
    <w:rsid w:val="004A0038"/>
    <w:rsid w:val="004A2F3F"/>
    <w:rsid w:val="004A40CA"/>
    <w:rsid w:val="004A5CB4"/>
    <w:rsid w:val="004B0CEB"/>
    <w:rsid w:val="004C0FD7"/>
    <w:rsid w:val="004D4954"/>
    <w:rsid w:val="004D6103"/>
    <w:rsid w:val="004D68D6"/>
    <w:rsid w:val="004D72AF"/>
    <w:rsid w:val="004D7C08"/>
    <w:rsid w:val="004E2D69"/>
    <w:rsid w:val="004E2FDE"/>
    <w:rsid w:val="004E3BCE"/>
    <w:rsid w:val="004F0A27"/>
    <w:rsid w:val="004F0E97"/>
    <w:rsid w:val="004F2611"/>
    <w:rsid w:val="004F4408"/>
    <w:rsid w:val="00501B8F"/>
    <w:rsid w:val="00515C21"/>
    <w:rsid w:val="00527BF5"/>
    <w:rsid w:val="00530943"/>
    <w:rsid w:val="00530BD7"/>
    <w:rsid w:val="00542D49"/>
    <w:rsid w:val="00543170"/>
    <w:rsid w:val="00545CD2"/>
    <w:rsid w:val="005476F3"/>
    <w:rsid w:val="00560921"/>
    <w:rsid w:val="00571DA7"/>
    <w:rsid w:val="00572527"/>
    <w:rsid w:val="00573E40"/>
    <w:rsid w:val="00576348"/>
    <w:rsid w:val="00581882"/>
    <w:rsid w:val="00581960"/>
    <w:rsid w:val="00585C33"/>
    <w:rsid w:val="00585DEC"/>
    <w:rsid w:val="005872DA"/>
    <w:rsid w:val="0059061B"/>
    <w:rsid w:val="005914DD"/>
    <w:rsid w:val="005A0B2E"/>
    <w:rsid w:val="005A23D2"/>
    <w:rsid w:val="005A36CB"/>
    <w:rsid w:val="005A42FE"/>
    <w:rsid w:val="005B025F"/>
    <w:rsid w:val="005B2806"/>
    <w:rsid w:val="005B49B8"/>
    <w:rsid w:val="005B6266"/>
    <w:rsid w:val="005C0741"/>
    <w:rsid w:val="005C5EF4"/>
    <w:rsid w:val="005D37A7"/>
    <w:rsid w:val="005E2E0B"/>
    <w:rsid w:val="005E6A9C"/>
    <w:rsid w:val="005E7A7D"/>
    <w:rsid w:val="005F3E6C"/>
    <w:rsid w:val="00602997"/>
    <w:rsid w:val="00612F97"/>
    <w:rsid w:val="00627659"/>
    <w:rsid w:val="00627DE1"/>
    <w:rsid w:val="006300B3"/>
    <w:rsid w:val="00634187"/>
    <w:rsid w:val="00641A0B"/>
    <w:rsid w:val="00642806"/>
    <w:rsid w:val="0064476E"/>
    <w:rsid w:val="00646BD1"/>
    <w:rsid w:val="006478ED"/>
    <w:rsid w:val="006561C2"/>
    <w:rsid w:val="00660FAD"/>
    <w:rsid w:val="006622F5"/>
    <w:rsid w:val="00663388"/>
    <w:rsid w:val="00671CB3"/>
    <w:rsid w:val="00674BAF"/>
    <w:rsid w:val="0068008A"/>
    <w:rsid w:val="006817BF"/>
    <w:rsid w:val="00682200"/>
    <w:rsid w:val="00684CB2"/>
    <w:rsid w:val="00692703"/>
    <w:rsid w:val="00695C3D"/>
    <w:rsid w:val="00696C66"/>
    <w:rsid w:val="006A1497"/>
    <w:rsid w:val="006A17F2"/>
    <w:rsid w:val="006A2365"/>
    <w:rsid w:val="006B0BD1"/>
    <w:rsid w:val="006B0F04"/>
    <w:rsid w:val="006B6C8D"/>
    <w:rsid w:val="006C29FB"/>
    <w:rsid w:val="006C326B"/>
    <w:rsid w:val="006D1A58"/>
    <w:rsid w:val="006D20A5"/>
    <w:rsid w:val="006D21DB"/>
    <w:rsid w:val="006D2EBF"/>
    <w:rsid w:val="006D34E4"/>
    <w:rsid w:val="006D37BF"/>
    <w:rsid w:val="006D5896"/>
    <w:rsid w:val="006D67C9"/>
    <w:rsid w:val="006E2443"/>
    <w:rsid w:val="006E5A13"/>
    <w:rsid w:val="006F378A"/>
    <w:rsid w:val="006F4C6F"/>
    <w:rsid w:val="00702E22"/>
    <w:rsid w:val="00705771"/>
    <w:rsid w:val="00706247"/>
    <w:rsid w:val="0070672B"/>
    <w:rsid w:val="007139EA"/>
    <w:rsid w:val="0071765B"/>
    <w:rsid w:val="0072020E"/>
    <w:rsid w:val="00724867"/>
    <w:rsid w:val="007274CE"/>
    <w:rsid w:val="007347E9"/>
    <w:rsid w:val="00740333"/>
    <w:rsid w:val="00740F09"/>
    <w:rsid w:val="0074591F"/>
    <w:rsid w:val="0075046B"/>
    <w:rsid w:val="00751A49"/>
    <w:rsid w:val="00752364"/>
    <w:rsid w:val="007555E6"/>
    <w:rsid w:val="0075774B"/>
    <w:rsid w:val="00757E28"/>
    <w:rsid w:val="00770745"/>
    <w:rsid w:val="00775B35"/>
    <w:rsid w:val="00783A5D"/>
    <w:rsid w:val="00785D64"/>
    <w:rsid w:val="00786071"/>
    <w:rsid w:val="00794F07"/>
    <w:rsid w:val="007A188F"/>
    <w:rsid w:val="007A3ECB"/>
    <w:rsid w:val="007A7647"/>
    <w:rsid w:val="007B4ACA"/>
    <w:rsid w:val="007C7EB5"/>
    <w:rsid w:val="007D0D91"/>
    <w:rsid w:val="007D3E25"/>
    <w:rsid w:val="007D530D"/>
    <w:rsid w:val="007E361B"/>
    <w:rsid w:val="007E6869"/>
    <w:rsid w:val="007F50C2"/>
    <w:rsid w:val="0080046D"/>
    <w:rsid w:val="008053D1"/>
    <w:rsid w:val="008120AE"/>
    <w:rsid w:val="0081710C"/>
    <w:rsid w:val="008246D3"/>
    <w:rsid w:val="00824AB9"/>
    <w:rsid w:val="00830368"/>
    <w:rsid w:val="008309B3"/>
    <w:rsid w:val="008353C4"/>
    <w:rsid w:val="00835A9A"/>
    <w:rsid w:val="00836B35"/>
    <w:rsid w:val="00843BDE"/>
    <w:rsid w:val="00847816"/>
    <w:rsid w:val="008548EC"/>
    <w:rsid w:val="00865D29"/>
    <w:rsid w:val="008719C5"/>
    <w:rsid w:val="00877B4F"/>
    <w:rsid w:val="00893CDF"/>
    <w:rsid w:val="0089705C"/>
    <w:rsid w:val="00897151"/>
    <w:rsid w:val="008A204C"/>
    <w:rsid w:val="008A452A"/>
    <w:rsid w:val="008A665A"/>
    <w:rsid w:val="008A6D43"/>
    <w:rsid w:val="008B491E"/>
    <w:rsid w:val="008B7705"/>
    <w:rsid w:val="008C1A28"/>
    <w:rsid w:val="008C2C33"/>
    <w:rsid w:val="008C2E98"/>
    <w:rsid w:val="008C7304"/>
    <w:rsid w:val="008D2828"/>
    <w:rsid w:val="008D671E"/>
    <w:rsid w:val="008E236E"/>
    <w:rsid w:val="008E49BD"/>
    <w:rsid w:val="008E53E9"/>
    <w:rsid w:val="008E5771"/>
    <w:rsid w:val="009125D1"/>
    <w:rsid w:val="00915320"/>
    <w:rsid w:val="00917731"/>
    <w:rsid w:val="00922B86"/>
    <w:rsid w:val="00930850"/>
    <w:rsid w:val="00940B9B"/>
    <w:rsid w:val="00945B82"/>
    <w:rsid w:val="00955FF7"/>
    <w:rsid w:val="0095676E"/>
    <w:rsid w:val="00956983"/>
    <w:rsid w:val="009576EA"/>
    <w:rsid w:val="00962B21"/>
    <w:rsid w:val="00963CF0"/>
    <w:rsid w:val="00964BB1"/>
    <w:rsid w:val="009775D9"/>
    <w:rsid w:val="00990378"/>
    <w:rsid w:val="009910FA"/>
    <w:rsid w:val="00992F4E"/>
    <w:rsid w:val="009969F5"/>
    <w:rsid w:val="00997175"/>
    <w:rsid w:val="00997DEA"/>
    <w:rsid w:val="009A1847"/>
    <w:rsid w:val="009B062A"/>
    <w:rsid w:val="009B3373"/>
    <w:rsid w:val="009B609D"/>
    <w:rsid w:val="009C6EAA"/>
    <w:rsid w:val="009D0A8D"/>
    <w:rsid w:val="009E2A6A"/>
    <w:rsid w:val="009E7C6F"/>
    <w:rsid w:val="009F1793"/>
    <w:rsid w:val="009F2D23"/>
    <w:rsid w:val="00A01D69"/>
    <w:rsid w:val="00A02335"/>
    <w:rsid w:val="00A02802"/>
    <w:rsid w:val="00A04DDD"/>
    <w:rsid w:val="00A130DE"/>
    <w:rsid w:val="00A36A3B"/>
    <w:rsid w:val="00A36C74"/>
    <w:rsid w:val="00A37939"/>
    <w:rsid w:val="00A46C9A"/>
    <w:rsid w:val="00A54D3D"/>
    <w:rsid w:val="00A619F3"/>
    <w:rsid w:val="00A62A73"/>
    <w:rsid w:val="00A744D2"/>
    <w:rsid w:val="00A81796"/>
    <w:rsid w:val="00A82314"/>
    <w:rsid w:val="00A83E7A"/>
    <w:rsid w:val="00A851A8"/>
    <w:rsid w:val="00A87FF6"/>
    <w:rsid w:val="00A91EEB"/>
    <w:rsid w:val="00A9489A"/>
    <w:rsid w:val="00AA0A3B"/>
    <w:rsid w:val="00AB0522"/>
    <w:rsid w:val="00AB50CA"/>
    <w:rsid w:val="00AC4008"/>
    <w:rsid w:val="00AC4390"/>
    <w:rsid w:val="00AC53CE"/>
    <w:rsid w:val="00AD2193"/>
    <w:rsid w:val="00AD649C"/>
    <w:rsid w:val="00AF14FB"/>
    <w:rsid w:val="00AF2AC7"/>
    <w:rsid w:val="00AF74CE"/>
    <w:rsid w:val="00B0018A"/>
    <w:rsid w:val="00B030A6"/>
    <w:rsid w:val="00B03D3E"/>
    <w:rsid w:val="00B12B71"/>
    <w:rsid w:val="00B15146"/>
    <w:rsid w:val="00B208DB"/>
    <w:rsid w:val="00B23F69"/>
    <w:rsid w:val="00B2569F"/>
    <w:rsid w:val="00B50E63"/>
    <w:rsid w:val="00B5280F"/>
    <w:rsid w:val="00B553D9"/>
    <w:rsid w:val="00B60619"/>
    <w:rsid w:val="00B63B81"/>
    <w:rsid w:val="00B65146"/>
    <w:rsid w:val="00B65474"/>
    <w:rsid w:val="00B66A70"/>
    <w:rsid w:val="00B67366"/>
    <w:rsid w:val="00B67B28"/>
    <w:rsid w:val="00B74A80"/>
    <w:rsid w:val="00B77C43"/>
    <w:rsid w:val="00B80EE1"/>
    <w:rsid w:val="00B84135"/>
    <w:rsid w:val="00B9631A"/>
    <w:rsid w:val="00BA189D"/>
    <w:rsid w:val="00BB2E61"/>
    <w:rsid w:val="00BB4A8C"/>
    <w:rsid w:val="00BC30E1"/>
    <w:rsid w:val="00BC735C"/>
    <w:rsid w:val="00BC7FA7"/>
    <w:rsid w:val="00BD38EE"/>
    <w:rsid w:val="00BE696B"/>
    <w:rsid w:val="00BE77C9"/>
    <w:rsid w:val="00BF1CDF"/>
    <w:rsid w:val="00C03FE1"/>
    <w:rsid w:val="00C04D34"/>
    <w:rsid w:val="00C05D87"/>
    <w:rsid w:val="00C05DF8"/>
    <w:rsid w:val="00C06864"/>
    <w:rsid w:val="00C071E2"/>
    <w:rsid w:val="00C10F54"/>
    <w:rsid w:val="00C12353"/>
    <w:rsid w:val="00C1547E"/>
    <w:rsid w:val="00C16197"/>
    <w:rsid w:val="00C17F22"/>
    <w:rsid w:val="00C2004A"/>
    <w:rsid w:val="00C22558"/>
    <w:rsid w:val="00C23D8D"/>
    <w:rsid w:val="00C31C62"/>
    <w:rsid w:val="00C37AA3"/>
    <w:rsid w:val="00C37FD7"/>
    <w:rsid w:val="00C4119E"/>
    <w:rsid w:val="00C43370"/>
    <w:rsid w:val="00C43419"/>
    <w:rsid w:val="00C44CF3"/>
    <w:rsid w:val="00C44ECF"/>
    <w:rsid w:val="00C56876"/>
    <w:rsid w:val="00C61BE0"/>
    <w:rsid w:val="00C635EF"/>
    <w:rsid w:val="00C70B0E"/>
    <w:rsid w:val="00C729EB"/>
    <w:rsid w:val="00C72FD5"/>
    <w:rsid w:val="00C74DF0"/>
    <w:rsid w:val="00C76788"/>
    <w:rsid w:val="00C773CA"/>
    <w:rsid w:val="00C8045A"/>
    <w:rsid w:val="00C83785"/>
    <w:rsid w:val="00C84CDF"/>
    <w:rsid w:val="00C87D19"/>
    <w:rsid w:val="00C94C0D"/>
    <w:rsid w:val="00CA0113"/>
    <w:rsid w:val="00CA1FEB"/>
    <w:rsid w:val="00CA3391"/>
    <w:rsid w:val="00CA4683"/>
    <w:rsid w:val="00CB0F90"/>
    <w:rsid w:val="00CC2C2B"/>
    <w:rsid w:val="00CC4F3C"/>
    <w:rsid w:val="00CD4F85"/>
    <w:rsid w:val="00CD5ECE"/>
    <w:rsid w:val="00CD6F02"/>
    <w:rsid w:val="00CE246D"/>
    <w:rsid w:val="00CE51F2"/>
    <w:rsid w:val="00CF07A0"/>
    <w:rsid w:val="00CF3E03"/>
    <w:rsid w:val="00CF5FE5"/>
    <w:rsid w:val="00D0082A"/>
    <w:rsid w:val="00D03B76"/>
    <w:rsid w:val="00D0429D"/>
    <w:rsid w:val="00D0666B"/>
    <w:rsid w:val="00D15FEE"/>
    <w:rsid w:val="00D17ACA"/>
    <w:rsid w:val="00D21455"/>
    <w:rsid w:val="00D2148F"/>
    <w:rsid w:val="00D369F4"/>
    <w:rsid w:val="00D45A21"/>
    <w:rsid w:val="00D473CC"/>
    <w:rsid w:val="00D47634"/>
    <w:rsid w:val="00D517FD"/>
    <w:rsid w:val="00D54490"/>
    <w:rsid w:val="00D54C68"/>
    <w:rsid w:val="00D706D8"/>
    <w:rsid w:val="00D709B3"/>
    <w:rsid w:val="00D72200"/>
    <w:rsid w:val="00D73AAE"/>
    <w:rsid w:val="00D73D35"/>
    <w:rsid w:val="00D74A92"/>
    <w:rsid w:val="00D80265"/>
    <w:rsid w:val="00D82055"/>
    <w:rsid w:val="00D834E2"/>
    <w:rsid w:val="00D8373B"/>
    <w:rsid w:val="00D87578"/>
    <w:rsid w:val="00D87E63"/>
    <w:rsid w:val="00D9331E"/>
    <w:rsid w:val="00DA23F0"/>
    <w:rsid w:val="00DA2ED6"/>
    <w:rsid w:val="00DB0444"/>
    <w:rsid w:val="00DB2D7D"/>
    <w:rsid w:val="00DB3B5B"/>
    <w:rsid w:val="00DB3CB6"/>
    <w:rsid w:val="00DB76B8"/>
    <w:rsid w:val="00DB77FC"/>
    <w:rsid w:val="00DC2EA1"/>
    <w:rsid w:val="00DC7B83"/>
    <w:rsid w:val="00DD0DF1"/>
    <w:rsid w:val="00DD2F14"/>
    <w:rsid w:val="00DD432D"/>
    <w:rsid w:val="00DD4410"/>
    <w:rsid w:val="00DD6AAF"/>
    <w:rsid w:val="00DE1983"/>
    <w:rsid w:val="00DE3F5C"/>
    <w:rsid w:val="00DE4E87"/>
    <w:rsid w:val="00DE679D"/>
    <w:rsid w:val="00DF1D20"/>
    <w:rsid w:val="00DF74F7"/>
    <w:rsid w:val="00E031F3"/>
    <w:rsid w:val="00E15970"/>
    <w:rsid w:val="00E21324"/>
    <w:rsid w:val="00E21D5F"/>
    <w:rsid w:val="00E22DAC"/>
    <w:rsid w:val="00E233C2"/>
    <w:rsid w:val="00E246B9"/>
    <w:rsid w:val="00E25E43"/>
    <w:rsid w:val="00E25E45"/>
    <w:rsid w:val="00E31FEA"/>
    <w:rsid w:val="00E36B25"/>
    <w:rsid w:val="00E43D0A"/>
    <w:rsid w:val="00E45169"/>
    <w:rsid w:val="00E47787"/>
    <w:rsid w:val="00E51C30"/>
    <w:rsid w:val="00E54545"/>
    <w:rsid w:val="00E55896"/>
    <w:rsid w:val="00E570D1"/>
    <w:rsid w:val="00E64180"/>
    <w:rsid w:val="00E67B14"/>
    <w:rsid w:val="00E74AEE"/>
    <w:rsid w:val="00E829FE"/>
    <w:rsid w:val="00E83BA6"/>
    <w:rsid w:val="00E844B8"/>
    <w:rsid w:val="00E868E5"/>
    <w:rsid w:val="00E9237A"/>
    <w:rsid w:val="00E939FA"/>
    <w:rsid w:val="00E97A01"/>
    <w:rsid w:val="00EA0983"/>
    <w:rsid w:val="00EA2722"/>
    <w:rsid w:val="00EA5765"/>
    <w:rsid w:val="00EA694D"/>
    <w:rsid w:val="00EB3030"/>
    <w:rsid w:val="00EB642F"/>
    <w:rsid w:val="00EC2532"/>
    <w:rsid w:val="00EC49F7"/>
    <w:rsid w:val="00EC4A70"/>
    <w:rsid w:val="00EC7DD9"/>
    <w:rsid w:val="00ED5F4D"/>
    <w:rsid w:val="00ED63BA"/>
    <w:rsid w:val="00ED7812"/>
    <w:rsid w:val="00EF2D09"/>
    <w:rsid w:val="00EF3B86"/>
    <w:rsid w:val="00EF786C"/>
    <w:rsid w:val="00F03677"/>
    <w:rsid w:val="00F101C5"/>
    <w:rsid w:val="00F112C3"/>
    <w:rsid w:val="00F24086"/>
    <w:rsid w:val="00F27E98"/>
    <w:rsid w:val="00F317E9"/>
    <w:rsid w:val="00F34554"/>
    <w:rsid w:val="00F44208"/>
    <w:rsid w:val="00F4575F"/>
    <w:rsid w:val="00F45D0D"/>
    <w:rsid w:val="00F45F77"/>
    <w:rsid w:val="00F5167F"/>
    <w:rsid w:val="00F52258"/>
    <w:rsid w:val="00F60517"/>
    <w:rsid w:val="00F70C27"/>
    <w:rsid w:val="00F81AD5"/>
    <w:rsid w:val="00F841C8"/>
    <w:rsid w:val="00F8570A"/>
    <w:rsid w:val="00F859BD"/>
    <w:rsid w:val="00F90B8E"/>
    <w:rsid w:val="00F91A33"/>
    <w:rsid w:val="00F91C7B"/>
    <w:rsid w:val="00F93C9D"/>
    <w:rsid w:val="00F93FC4"/>
    <w:rsid w:val="00F9407C"/>
    <w:rsid w:val="00F9469D"/>
    <w:rsid w:val="00F97318"/>
    <w:rsid w:val="00FA0800"/>
    <w:rsid w:val="00FA0AF1"/>
    <w:rsid w:val="00FB1407"/>
    <w:rsid w:val="00FB1FDB"/>
    <w:rsid w:val="00FC21FD"/>
    <w:rsid w:val="00FD4BDE"/>
    <w:rsid w:val="00FE55B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82F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basedOn w:val="DefaultParagraphFont"/>
    <w:link w:val="Header"/>
    <w:rsid w:val="006D67C9"/>
    <w:rPr>
      <w:sz w:val="24"/>
      <w:szCs w:val="24"/>
      <w:lang w:val="en-US" w:eastAsia="en-US"/>
    </w:rPr>
  </w:style>
  <w:style w:type="paragraph" w:customStyle="1" w:styleId="Default">
    <w:name w:val="Default"/>
    <w:rsid w:val="00364485"/>
    <w:pPr>
      <w:autoSpaceDE w:val="0"/>
      <w:autoSpaceDN w:val="0"/>
      <w:adjustRightInd w:val="0"/>
    </w:pPr>
    <w:rPr>
      <w:color w:val="000000"/>
      <w:sz w:val="24"/>
      <w:szCs w:val="24"/>
      <w:lang w:val="sr-Latn-RS"/>
    </w:rPr>
  </w:style>
  <w:style w:type="paragraph" w:customStyle="1" w:styleId="TableParagraph">
    <w:name w:val="Table Paragraph"/>
    <w:basedOn w:val="Normal"/>
    <w:uiPriority w:val="1"/>
    <w:qFormat/>
    <w:rsid w:val="00361CD7"/>
    <w:pPr>
      <w:widowControl w:val="0"/>
      <w:autoSpaceDE w:val="0"/>
      <w:autoSpaceDN w:val="0"/>
      <w:adjustRightInd w:val="0"/>
    </w:pPr>
  </w:style>
  <w:style w:type="paragraph" w:customStyle="1" w:styleId="A-NormalIndent">
    <w:name w:val="A-Normal Indent"/>
    <w:next w:val="Normal"/>
    <w:rsid w:val="008246D3"/>
    <w:pPr>
      <w:spacing w:after="240" w:line="280" w:lineRule="atLeast"/>
      <w:ind w:left="992"/>
    </w:pPr>
    <w:rPr>
      <w:sz w:val="24"/>
      <w:lang w:val="en-GB" w:eastAsia="en-US"/>
    </w:rPr>
  </w:style>
  <w:style w:type="paragraph" w:customStyle="1" w:styleId="nospace">
    <w:name w:val="no space"/>
    <w:basedOn w:val="Normal"/>
    <w:rsid w:val="008246D3"/>
    <w:pPr>
      <w:spacing w:line="280" w:lineRule="atLeast"/>
      <w:ind w:left="992"/>
    </w:pPr>
    <w:rPr>
      <w:b/>
      <w:bCs/>
      <w:szCs w:val="20"/>
      <w:lang w:val="en-GB"/>
    </w:rPr>
  </w:style>
  <w:style w:type="paragraph" w:styleId="Revision">
    <w:name w:val="Revision"/>
    <w:hidden/>
    <w:uiPriority w:val="99"/>
    <w:semiHidden/>
    <w:rsid w:val="001B192B"/>
    <w:rPr>
      <w:sz w:val="24"/>
      <w:szCs w:val="24"/>
      <w:lang w:val="en-US" w:eastAsia="en-US"/>
    </w:rPr>
  </w:style>
  <w:style w:type="character" w:styleId="Hyperlink">
    <w:name w:val="Hyperlink"/>
    <w:basedOn w:val="DefaultParagraphFont"/>
    <w:unhideWhenUsed/>
    <w:rsid w:val="00082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5075">
      <w:bodyDiv w:val="1"/>
      <w:marLeft w:val="0"/>
      <w:marRight w:val="0"/>
      <w:marTop w:val="0"/>
      <w:marBottom w:val="0"/>
      <w:divBdr>
        <w:top w:val="none" w:sz="0" w:space="0" w:color="auto"/>
        <w:left w:val="none" w:sz="0" w:space="0" w:color="auto"/>
        <w:bottom w:val="none" w:sz="0" w:space="0" w:color="auto"/>
        <w:right w:val="none" w:sz="0" w:space="0" w:color="auto"/>
      </w:divBdr>
    </w:div>
    <w:div w:id="500438632">
      <w:bodyDiv w:val="1"/>
      <w:marLeft w:val="0"/>
      <w:marRight w:val="0"/>
      <w:marTop w:val="0"/>
      <w:marBottom w:val="0"/>
      <w:divBdr>
        <w:top w:val="none" w:sz="0" w:space="0" w:color="auto"/>
        <w:left w:val="none" w:sz="0" w:space="0" w:color="auto"/>
        <w:bottom w:val="none" w:sz="0" w:space="0" w:color="auto"/>
        <w:right w:val="none" w:sz="0" w:space="0" w:color="auto"/>
      </w:divBdr>
    </w:div>
    <w:div w:id="871301869">
      <w:bodyDiv w:val="1"/>
      <w:marLeft w:val="0"/>
      <w:marRight w:val="0"/>
      <w:marTop w:val="0"/>
      <w:marBottom w:val="0"/>
      <w:divBdr>
        <w:top w:val="none" w:sz="0" w:space="0" w:color="auto"/>
        <w:left w:val="none" w:sz="0" w:space="0" w:color="auto"/>
        <w:bottom w:val="none" w:sz="0" w:space="0" w:color="auto"/>
        <w:right w:val="none" w:sz="0" w:space="0" w:color="auto"/>
      </w:divBdr>
    </w:div>
    <w:div w:id="1194537805">
      <w:bodyDiv w:val="1"/>
      <w:marLeft w:val="0"/>
      <w:marRight w:val="0"/>
      <w:marTop w:val="0"/>
      <w:marBottom w:val="0"/>
      <w:divBdr>
        <w:top w:val="none" w:sz="0" w:space="0" w:color="auto"/>
        <w:left w:val="none" w:sz="0" w:space="0" w:color="auto"/>
        <w:bottom w:val="none" w:sz="0" w:space="0" w:color="auto"/>
        <w:right w:val="none" w:sz="0" w:space="0" w:color="auto"/>
      </w:divBdr>
    </w:div>
    <w:div w:id="1821842433">
      <w:bodyDiv w:val="1"/>
      <w:marLeft w:val="0"/>
      <w:marRight w:val="0"/>
      <w:marTop w:val="0"/>
      <w:marBottom w:val="0"/>
      <w:divBdr>
        <w:top w:val="none" w:sz="0" w:space="0" w:color="auto"/>
        <w:left w:val="none" w:sz="0" w:space="0" w:color="auto"/>
        <w:bottom w:val="none" w:sz="0" w:space="0" w:color="auto"/>
        <w:right w:val="none" w:sz="0" w:space="0" w:color="auto"/>
      </w:divBdr>
    </w:div>
    <w:div w:id="19501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31F9-6E84-439C-A6C7-E68E0510DB27}">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8962</Words>
  <Characters>51089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59932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Ljumović</cp:lastModifiedBy>
  <cp:revision>3</cp:revision>
  <cp:lastPrinted>2019-10-11T10:18:00Z</cp:lastPrinted>
  <dcterms:created xsi:type="dcterms:W3CDTF">2023-09-05T08:25:00Z</dcterms:created>
  <dcterms:modified xsi:type="dcterms:W3CDTF">2023-09-05T08:25:00Z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2022-09-25T19:47:56Z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fde08740-b0b7-4b80-91ee-228c870c80ba</vt:lpwstr>
  </property>
  <property fmtid="{D5CDD505-2E9C-101B-9397-08002B2CF9AE}" pid="9" name="MSIP_Label_4c4f55c2-b9e5-4e04-bcc7-ae1efcea4b57_ContentBits">
    <vt:lpwstr>0</vt:lpwstr>
  </property>
</Properties>
</file>