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B7523" w14:textId="77777777" w:rsidR="001A5518" w:rsidRDefault="001A5518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7F39A517" w14:textId="77777777" w:rsidR="00F91C7B" w:rsidRPr="00786071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617F5A57" w14:textId="77777777" w:rsidR="002510A5" w:rsidRPr="002510A5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2510A5">
        <w:rPr>
          <w:b/>
          <w:bCs/>
          <w:iCs/>
          <w:sz w:val="22"/>
          <w:szCs w:val="22"/>
          <w:u w:val="single"/>
        </w:rPr>
        <w:t>SAŽETAK KARAKTERISTIKA LIJEKA</w:t>
      </w:r>
    </w:p>
    <w:p w14:paraId="6DB9A687" w14:textId="77777777" w:rsidR="002510A5" w:rsidRPr="002510A5" w:rsidRDefault="002510A5" w:rsidP="002510A5">
      <w:pPr>
        <w:rPr>
          <w:b/>
          <w:bCs/>
          <w:i/>
          <w:iCs/>
          <w:sz w:val="22"/>
          <w:szCs w:val="22"/>
          <w:u w:val="single"/>
        </w:rPr>
      </w:pPr>
    </w:p>
    <w:p w14:paraId="6C8164CC" w14:textId="77777777" w:rsidR="003C17AB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hr-HR"/>
        </w:rPr>
      </w:pPr>
    </w:p>
    <w:p w14:paraId="3B04D2D5" w14:textId="77777777" w:rsidR="00C37FD7" w:rsidRPr="00786071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4318FE6F" w14:textId="77777777" w:rsidR="00411B4B" w:rsidRPr="00750BAE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1.</w:t>
      </w:r>
      <w:r w:rsidR="00F5167F" w:rsidRPr="00786071">
        <w:rPr>
          <w:b/>
          <w:bCs/>
          <w:sz w:val="22"/>
          <w:szCs w:val="22"/>
        </w:rPr>
        <w:tab/>
      </w:r>
      <w:r w:rsidR="002846DB" w:rsidRPr="00750BAE">
        <w:rPr>
          <w:b/>
          <w:bCs/>
          <w:sz w:val="22"/>
          <w:szCs w:val="22"/>
        </w:rPr>
        <w:t xml:space="preserve">NAZIV </w:t>
      </w:r>
      <w:r w:rsidRPr="00750BAE">
        <w:rPr>
          <w:b/>
          <w:bCs/>
          <w:sz w:val="22"/>
          <w:szCs w:val="22"/>
        </w:rPr>
        <w:t>LIJEKA</w:t>
      </w:r>
    </w:p>
    <w:p w14:paraId="30E5C5FC" w14:textId="77777777" w:rsidR="00EC2532" w:rsidRPr="00750BAE" w:rsidRDefault="00EC2532">
      <w:pPr>
        <w:rPr>
          <w:sz w:val="22"/>
          <w:szCs w:val="22"/>
          <w:lang w:val="pl-PL"/>
        </w:rPr>
      </w:pPr>
    </w:p>
    <w:p w14:paraId="1A1CA172" w14:textId="0F2E0F74" w:rsidR="00BC3A3A" w:rsidRPr="00750BAE" w:rsidRDefault="00BC3A3A" w:rsidP="00BC3A3A">
      <w:pPr>
        <w:rPr>
          <w:bCs/>
          <w:sz w:val="22"/>
          <w:szCs w:val="22"/>
          <w:lang w:val="sr-Latn-CS"/>
        </w:rPr>
      </w:pPr>
      <w:r w:rsidRPr="00750BAE">
        <w:rPr>
          <w:bCs/>
          <w:sz w:val="22"/>
          <w:szCs w:val="22"/>
          <w:lang w:val="sr-Latn-CS"/>
        </w:rPr>
        <w:t>Vumerity, 231 mg, gastrorezistentn</w:t>
      </w:r>
      <w:r w:rsidR="00D47673">
        <w:rPr>
          <w:bCs/>
          <w:sz w:val="22"/>
          <w:szCs w:val="22"/>
          <w:lang w:val="sr-Latn-CS"/>
        </w:rPr>
        <w:t>a</w:t>
      </w:r>
      <w:r w:rsidRPr="00750BAE">
        <w:rPr>
          <w:bCs/>
          <w:sz w:val="22"/>
          <w:szCs w:val="22"/>
          <w:lang w:val="sr-Latn-CS"/>
        </w:rPr>
        <w:t xml:space="preserve"> kapsul</w:t>
      </w:r>
      <w:r w:rsidR="00D47673">
        <w:rPr>
          <w:bCs/>
          <w:sz w:val="22"/>
          <w:szCs w:val="22"/>
          <w:lang w:val="sr-Latn-CS"/>
        </w:rPr>
        <w:t>a</w:t>
      </w:r>
      <w:r w:rsidRPr="00750BAE">
        <w:rPr>
          <w:bCs/>
          <w:sz w:val="22"/>
          <w:szCs w:val="22"/>
          <w:lang w:val="sr-Latn-CS"/>
        </w:rPr>
        <w:t>, tvrd</w:t>
      </w:r>
      <w:r w:rsidR="00D47673">
        <w:rPr>
          <w:bCs/>
          <w:sz w:val="22"/>
          <w:szCs w:val="22"/>
          <w:lang w:val="sr-Latn-CS"/>
        </w:rPr>
        <w:t>a</w:t>
      </w:r>
    </w:p>
    <w:p w14:paraId="576A6330" w14:textId="7F7DB564" w:rsidR="00BC3A3A" w:rsidRPr="00750BAE" w:rsidRDefault="00BC3A3A" w:rsidP="00BC3A3A">
      <w:pPr>
        <w:rPr>
          <w:sz w:val="22"/>
          <w:szCs w:val="22"/>
        </w:rPr>
      </w:pPr>
      <w:r w:rsidRPr="00750BAE">
        <w:rPr>
          <w:sz w:val="22"/>
          <w:szCs w:val="22"/>
        </w:rPr>
        <w:t>INN:</w:t>
      </w:r>
      <w:r w:rsidR="00F7214A" w:rsidRPr="00750BAE">
        <w:rPr>
          <w:sz w:val="22"/>
          <w:szCs w:val="22"/>
        </w:rPr>
        <w:t xml:space="preserve"> </w:t>
      </w:r>
      <w:r w:rsidRPr="00750BAE">
        <w:rPr>
          <w:sz w:val="22"/>
          <w:szCs w:val="22"/>
        </w:rPr>
        <w:t>diroksimel</w:t>
      </w:r>
      <w:r w:rsidR="00CD5E12">
        <w:rPr>
          <w:sz w:val="22"/>
          <w:szCs w:val="22"/>
        </w:rPr>
        <w:t xml:space="preserve"> </w:t>
      </w:r>
      <w:r w:rsidRPr="00750BAE">
        <w:rPr>
          <w:sz w:val="22"/>
          <w:szCs w:val="22"/>
        </w:rPr>
        <w:t>fumarat</w:t>
      </w:r>
    </w:p>
    <w:p w14:paraId="1951A0D0" w14:textId="77777777" w:rsidR="006D20A5" w:rsidRPr="00750BAE" w:rsidRDefault="006D20A5">
      <w:pPr>
        <w:rPr>
          <w:bCs/>
          <w:sz w:val="22"/>
          <w:szCs w:val="22"/>
          <w:lang w:val="sv-SE"/>
        </w:rPr>
      </w:pPr>
    </w:p>
    <w:p w14:paraId="6B92F931" w14:textId="77777777" w:rsidR="00530BD7" w:rsidRPr="00750BAE" w:rsidRDefault="00530BD7">
      <w:pPr>
        <w:rPr>
          <w:bCs/>
          <w:sz w:val="22"/>
          <w:szCs w:val="22"/>
          <w:lang w:val="sv-SE"/>
        </w:rPr>
      </w:pPr>
    </w:p>
    <w:p w14:paraId="006EBE65" w14:textId="77777777" w:rsidR="00411B4B" w:rsidRPr="00750BAE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50BAE">
        <w:rPr>
          <w:b/>
          <w:bCs/>
          <w:sz w:val="22"/>
          <w:szCs w:val="22"/>
        </w:rPr>
        <w:t xml:space="preserve">2. </w:t>
      </w:r>
      <w:r w:rsidR="00F5167F" w:rsidRPr="00750BAE">
        <w:rPr>
          <w:b/>
          <w:bCs/>
          <w:sz w:val="22"/>
          <w:szCs w:val="22"/>
        </w:rPr>
        <w:tab/>
      </w:r>
      <w:r w:rsidRPr="00750BAE">
        <w:rPr>
          <w:b/>
          <w:bCs/>
          <w:sz w:val="22"/>
          <w:szCs w:val="22"/>
        </w:rPr>
        <w:t>KVALITATIVNI I KVANTITATIVNI SASTAV</w:t>
      </w:r>
    </w:p>
    <w:p w14:paraId="338AEA41" w14:textId="1B5138D9" w:rsidR="005A0B2E" w:rsidRPr="00750BAE" w:rsidRDefault="005A0B2E">
      <w:pPr>
        <w:rPr>
          <w:sz w:val="22"/>
          <w:szCs w:val="22"/>
          <w:lang w:val="sr-Latn-CS"/>
        </w:rPr>
      </w:pPr>
    </w:p>
    <w:p w14:paraId="1BC05581" w14:textId="14A4A81B" w:rsidR="00BC3A3A" w:rsidRPr="00750BAE" w:rsidRDefault="00BC3A3A" w:rsidP="00BC3A3A">
      <w:pPr>
        <w:rPr>
          <w:sz w:val="22"/>
          <w:szCs w:val="22"/>
        </w:rPr>
      </w:pPr>
      <w:r w:rsidRPr="00750BAE">
        <w:rPr>
          <w:sz w:val="22"/>
          <w:szCs w:val="22"/>
        </w:rPr>
        <w:t>Jedna gastrorezistentna kapsula sadrži 231 mg diroksimel</w:t>
      </w:r>
      <w:r w:rsidR="00CD5E12">
        <w:rPr>
          <w:sz w:val="22"/>
          <w:szCs w:val="22"/>
        </w:rPr>
        <w:t xml:space="preserve"> </w:t>
      </w:r>
      <w:r w:rsidRPr="00750BAE">
        <w:rPr>
          <w:sz w:val="22"/>
          <w:szCs w:val="22"/>
        </w:rPr>
        <w:t xml:space="preserve">fumarata. </w:t>
      </w:r>
    </w:p>
    <w:p w14:paraId="734996FA" w14:textId="77777777" w:rsidR="0003793F" w:rsidRPr="00750BAE" w:rsidRDefault="0003793F">
      <w:pPr>
        <w:rPr>
          <w:sz w:val="22"/>
          <w:szCs w:val="22"/>
          <w:lang w:val="sr-Latn-CS"/>
        </w:rPr>
      </w:pPr>
      <w:r w:rsidRPr="00750BAE">
        <w:rPr>
          <w:sz w:val="22"/>
          <w:szCs w:val="22"/>
          <w:lang w:val="sr-Latn-CS"/>
        </w:rPr>
        <w:t>Za spisak svih ekscipijenasa, pogledati dio 6.1.</w:t>
      </w:r>
    </w:p>
    <w:p w14:paraId="6931F894" w14:textId="77777777" w:rsidR="0003793F" w:rsidRPr="00750BAE" w:rsidRDefault="0003793F">
      <w:pPr>
        <w:rPr>
          <w:sz w:val="22"/>
          <w:szCs w:val="22"/>
          <w:lang w:val="sr-Latn-CS"/>
        </w:rPr>
      </w:pPr>
    </w:p>
    <w:p w14:paraId="3D1A42D2" w14:textId="77777777" w:rsidR="00C37FD7" w:rsidRPr="00750BAE" w:rsidRDefault="00C37FD7">
      <w:pPr>
        <w:rPr>
          <w:sz w:val="22"/>
          <w:szCs w:val="22"/>
          <w:lang w:val="sr-Latn-CS"/>
        </w:rPr>
      </w:pPr>
    </w:p>
    <w:p w14:paraId="33825233" w14:textId="77777777" w:rsidR="00411B4B" w:rsidRPr="00750BAE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50BAE">
        <w:rPr>
          <w:b/>
          <w:bCs/>
          <w:sz w:val="22"/>
          <w:szCs w:val="22"/>
        </w:rPr>
        <w:t xml:space="preserve">3. </w:t>
      </w:r>
      <w:r w:rsidR="00F5167F" w:rsidRPr="00750BAE">
        <w:rPr>
          <w:b/>
          <w:bCs/>
          <w:sz w:val="22"/>
          <w:szCs w:val="22"/>
        </w:rPr>
        <w:tab/>
      </w:r>
      <w:r w:rsidRPr="00750BAE">
        <w:rPr>
          <w:b/>
          <w:bCs/>
          <w:sz w:val="22"/>
          <w:szCs w:val="22"/>
        </w:rPr>
        <w:t>FARMACEUTSKI OBLIK</w:t>
      </w:r>
      <w:r w:rsidR="009F2D23" w:rsidRPr="00750BAE">
        <w:rPr>
          <w:b/>
          <w:bCs/>
          <w:sz w:val="22"/>
          <w:szCs w:val="22"/>
        </w:rPr>
        <w:t xml:space="preserve"> </w:t>
      </w:r>
    </w:p>
    <w:p w14:paraId="29983530" w14:textId="77777777" w:rsidR="00411B4B" w:rsidRPr="00750BAE" w:rsidRDefault="00411B4B">
      <w:pPr>
        <w:rPr>
          <w:bCs/>
          <w:sz w:val="22"/>
          <w:szCs w:val="22"/>
          <w:lang w:val="sr-Latn-CS"/>
        </w:rPr>
      </w:pPr>
    </w:p>
    <w:p w14:paraId="794F2FBE" w14:textId="77777777" w:rsidR="00BC3A3A" w:rsidRPr="00750BAE" w:rsidRDefault="00BC3A3A" w:rsidP="00BC3A3A">
      <w:pPr>
        <w:rPr>
          <w:bCs/>
          <w:sz w:val="22"/>
          <w:szCs w:val="22"/>
          <w:lang w:val="sr-Latn-CS"/>
        </w:rPr>
      </w:pPr>
      <w:r w:rsidRPr="00750BAE">
        <w:rPr>
          <w:bCs/>
          <w:sz w:val="22"/>
          <w:szCs w:val="22"/>
          <w:lang w:val="sr-Latn-CS"/>
        </w:rPr>
        <w:t>Gastrorezistentna kapsula, tvrda.</w:t>
      </w:r>
    </w:p>
    <w:p w14:paraId="6DE77FC9" w14:textId="77777777" w:rsidR="00BC3A3A" w:rsidRPr="00750BAE" w:rsidRDefault="00BC3A3A" w:rsidP="00BC3A3A">
      <w:pPr>
        <w:rPr>
          <w:bCs/>
          <w:sz w:val="22"/>
          <w:szCs w:val="22"/>
          <w:lang w:val="sr-Latn-CS"/>
        </w:rPr>
      </w:pPr>
    </w:p>
    <w:p w14:paraId="4F3D30ED" w14:textId="718B1703" w:rsidR="00EC2532" w:rsidRPr="00750BAE" w:rsidRDefault="00BC3A3A" w:rsidP="00BC3A3A">
      <w:pPr>
        <w:rPr>
          <w:bCs/>
          <w:sz w:val="22"/>
          <w:szCs w:val="22"/>
          <w:lang w:val="sr-Latn-CS"/>
        </w:rPr>
      </w:pPr>
      <w:r w:rsidRPr="00750BAE">
        <w:rPr>
          <w:bCs/>
          <w:sz w:val="22"/>
          <w:szCs w:val="22"/>
          <w:lang w:val="sr-Latn-CS"/>
        </w:rPr>
        <w:t>B</w:t>
      </w:r>
      <w:r w:rsidR="0069098C" w:rsidRPr="00750BAE">
        <w:rPr>
          <w:bCs/>
          <w:sz w:val="22"/>
          <w:szCs w:val="22"/>
          <w:lang w:val="sr-Latn-CS"/>
        </w:rPr>
        <w:t>ij</w:t>
      </w:r>
      <w:r w:rsidRPr="00750BAE">
        <w:rPr>
          <w:bCs/>
          <w:sz w:val="22"/>
          <w:szCs w:val="22"/>
          <w:lang w:val="sr-Latn-CS"/>
        </w:rPr>
        <w:t>ela kapsula veličine 0</w:t>
      </w:r>
      <w:r w:rsidR="003D0800">
        <w:rPr>
          <w:bCs/>
          <w:sz w:val="22"/>
          <w:szCs w:val="22"/>
          <w:lang w:val="sr-Latn-CS"/>
        </w:rPr>
        <w:t>,</w:t>
      </w:r>
      <w:r w:rsidRPr="00750BAE">
        <w:rPr>
          <w:bCs/>
          <w:sz w:val="22"/>
          <w:szCs w:val="22"/>
          <w:lang w:val="sr-Latn-CS"/>
        </w:rPr>
        <w:t xml:space="preserve"> sa oznakom „DRF 231 mg“ utisnutom crnim mastilom.</w:t>
      </w:r>
    </w:p>
    <w:p w14:paraId="788F7EE9" w14:textId="3404AE13" w:rsidR="00BC3A3A" w:rsidRPr="00750BAE" w:rsidRDefault="00BC3A3A" w:rsidP="00BC3A3A">
      <w:pPr>
        <w:rPr>
          <w:bCs/>
          <w:sz w:val="22"/>
          <w:szCs w:val="22"/>
          <w:lang w:val="sr-Latn-CS"/>
        </w:rPr>
      </w:pPr>
    </w:p>
    <w:p w14:paraId="3296EB71" w14:textId="77777777" w:rsidR="00BC3A3A" w:rsidRPr="00750BAE" w:rsidRDefault="00BC3A3A" w:rsidP="00BC3A3A">
      <w:pPr>
        <w:rPr>
          <w:bCs/>
          <w:sz w:val="22"/>
          <w:szCs w:val="22"/>
          <w:lang w:val="sr-Latn-CS"/>
        </w:rPr>
      </w:pPr>
    </w:p>
    <w:p w14:paraId="798AE0AA" w14:textId="77777777" w:rsidR="00411B4B" w:rsidRPr="00750BAE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50BAE">
        <w:rPr>
          <w:b/>
          <w:bCs/>
          <w:sz w:val="22"/>
          <w:szCs w:val="22"/>
        </w:rPr>
        <w:t xml:space="preserve">4. </w:t>
      </w:r>
      <w:r w:rsidR="00480FB1" w:rsidRPr="00750BAE">
        <w:rPr>
          <w:b/>
          <w:bCs/>
          <w:sz w:val="22"/>
          <w:szCs w:val="22"/>
        </w:rPr>
        <w:tab/>
      </w:r>
      <w:r w:rsidRPr="00750BAE">
        <w:rPr>
          <w:b/>
          <w:bCs/>
          <w:sz w:val="22"/>
          <w:szCs w:val="22"/>
        </w:rPr>
        <w:t>KLINIČKI PODACI</w:t>
      </w:r>
    </w:p>
    <w:p w14:paraId="5FD9E187" w14:textId="77777777" w:rsidR="00CD6F02" w:rsidRPr="00750BAE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44ADD6FA" w14:textId="77777777" w:rsidR="00411B4B" w:rsidRPr="00750BAE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50BAE">
        <w:rPr>
          <w:b/>
          <w:bCs/>
          <w:sz w:val="22"/>
          <w:szCs w:val="22"/>
        </w:rPr>
        <w:t xml:space="preserve">4.1. </w:t>
      </w:r>
      <w:r w:rsidR="00480FB1" w:rsidRPr="00750BAE">
        <w:rPr>
          <w:b/>
          <w:bCs/>
          <w:sz w:val="22"/>
          <w:szCs w:val="22"/>
        </w:rPr>
        <w:tab/>
      </w:r>
      <w:r w:rsidRPr="00750BAE">
        <w:rPr>
          <w:b/>
          <w:bCs/>
          <w:sz w:val="22"/>
          <w:szCs w:val="22"/>
        </w:rPr>
        <w:t>Terapijske indikacije</w:t>
      </w:r>
    </w:p>
    <w:p w14:paraId="5C1D13FA" w14:textId="62D30E0A" w:rsidR="00411B4B" w:rsidRPr="00750BAE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55CE741E" w14:textId="75139F9E" w:rsidR="00BC3A3A" w:rsidRPr="00750BAE" w:rsidRDefault="00BC3A3A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750BAE">
        <w:rPr>
          <w:bCs/>
          <w:sz w:val="22"/>
          <w:szCs w:val="22"/>
        </w:rPr>
        <w:t>L</w:t>
      </w:r>
      <w:r w:rsidR="0069098C" w:rsidRPr="00750BAE">
        <w:rPr>
          <w:bCs/>
          <w:sz w:val="22"/>
          <w:szCs w:val="22"/>
        </w:rPr>
        <w:t>ij</w:t>
      </w:r>
      <w:r w:rsidRPr="00750BAE">
        <w:rPr>
          <w:bCs/>
          <w:sz w:val="22"/>
          <w:szCs w:val="22"/>
        </w:rPr>
        <w:t xml:space="preserve">ek Vumerity je indikovan za </w:t>
      </w:r>
      <w:r w:rsidR="0069098C" w:rsidRPr="00750BAE">
        <w:rPr>
          <w:bCs/>
          <w:sz w:val="22"/>
          <w:szCs w:val="22"/>
        </w:rPr>
        <w:t>liječenje</w:t>
      </w:r>
      <w:r w:rsidRPr="00750BAE">
        <w:rPr>
          <w:bCs/>
          <w:sz w:val="22"/>
          <w:szCs w:val="22"/>
        </w:rPr>
        <w:t xml:space="preserve"> odraslih pacijenata sa relapsno-remitentnom multiplom sklerozom (</w:t>
      </w:r>
      <w:r w:rsidR="0069098C" w:rsidRPr="00750BAE">
        <w:rPr>
          <w:bCs/>
          <w:sz w:val="22"/>
          <w:szCs w:val="22"/>
        </w:rPr>
        <w:t>vidjeti</w:t>
      </w:r>
      <w:r w:rsidRPr="00750BAE">
        <w:rPr>
          <w:bCs/>
          <w:sz w:val="22"/>
          <w:szCs w:val="22"/>
        </w:rPr>
        <w:t xml:space="preserve"> </w:t>
      </w:r>
      <w:r w:rsidR="00BC3BCD">
        <w:rPr>
          <w:bCs/>
          <w:sz w:val="22"/>
          <w:szCs w:val="22"/>
        </w:rPr>
        <w:t>dio</w:t>
      </w:r>
      <w:r w:rsidRPr="00750BAE">
        <w:rPr>
          <w:bCs/>
          <w:sz w:val="22"/>
          <w:szCs w:val="22"/>
        </w:rPr>
        <w:t xml:space="preserve"> 5.1 za važne informacije o populacijama za koje je utvrđena efikasnost).</w:t>
      </w:r>
    </w:p>
    <w:p w14:paraId="17C4C65E" w14:textId="77777777" w:rsidR="00BC3A3A" w:rsidRPr="00750BAE" w:rsidRDefault="00BC3A3A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29451E2" w14:textId="77777777" w:rsidR="00411B4B" w:rsidRPr="00750BAE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50BAE">
        <w:rPr>
          <w:b/>
          <w:bCs/>
          <w:sz w:val="22"/>
          <w:szCs w:val="22"/>
        </w:rPr>
        <w:t xml:space="preserve">4.2. </w:t>
      </w:r>
      <w:r w:rsidR="00480FB1" w:rsidRPr="00750BAE">
        <w:rPr>
          <w:b/>
          <w:bCs/>
          <w:sz w:val="22"/>
          <w:szCs w:val="22"/>
        </w:rPr>
        <w:tab/>
      </w:r>
      <w:r w:rsidRPr="00750BAE">
        <w:rPr>
          <w:b/>
          <w:bCs/>
          <w:sz w:val="22"/>
          <w:szCs w:val="22"/>
        </w:rPr>
        <w:t>Doziranje i način primjene</w:t>
      </w:r>
    </w:p>
    <w:p w14:paraId="6F1632CD" w14:textId="77777777" w:rsidR="0072020E" w:rsidRPr="00750BA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5829692B" w14:textId="14D6230A" w:rsidR="00BC3A3A" w:rsidRPr="00750BAE" w:rsidRDefault="0069098C" w:rsidP="0069098C">
      <w:pPr>
        <w:widowControl w:val="0"/>
        <w:spacing w:line="250" w:lineRule="exact"/>
        <w:ind w:right="170"/>
        <w:jc w:val="both"/>
        <w:rPr>
          <w:sz w:val="22"/>
          <w:szCs w:val="22"/>
          <w:lang w:val="sr-Latn-RS"/>
        </w:rPr>
      </w:pPr>
      <w:r w:rsidRPr="00750BAE">
        <w:rPr>
          <w:sz w:val="22"/>
          <w:szCs w:val="22"/>
          <w:lang w:val="sr-Latn-RS"/>
        </w:rPr>
        <w:t>Liječenje</w:t>
      </w:r>
      <w:r w:rsidR="00BC3A3A" w:rsidRPr="00750BAE">
        <w:rPr>
          <w:sz w:val="22"/>
          <w:szCs w:val="22"/>
          <w:lang w:val="sr-Latn-RS"/>
        </w:rPr>
        <w:t xml:space="preserve"> treba započeti pod nadzorom </w:t>
      </w:r>
      <w:r w:rsidRPr="00750BAE">
        <w:rPr>
          <w:sz w:val="22"/>
          <w:szCs w:val="22"/>
          <w:lang w:val="sr-Latn-RS"/>
        </w:rPr>
        <w:t>ljekar</w:t>
      </w:r>
      <w:r w:rsidR="00BC3A3A" w:rsidRPr="00750BAE">
        <w:rPr>
          <w:sz w:val="22"/>
          <w:szCs w:val="22"/>
          <w:lang w:val="sr-Latn-RS"/>
        </w:rPr>
        <w:t xml:space="preserve">a sa iskustvom u </w:t>
      </w:r>
      <w:r w:rsidRPr="00750BAE">
        <w:rPr>
          <w:sz w:val="22"/>
          <w:szCs w:val="22"/>
          <w:lang w:val="sr-Latn-RS"/>
        </w:rPr>
        <w:t>liječenj</w:t>
      </w:r>
      <w:r w:rsidR="00BC3A3A" w:rsidRPr="00750BAE">
        <w:rPr>
          <w:sz w:val="22"/>
          <w:szCs w:val="22"/>
          <w:lang w:val="sr-Latn-RS"/>
        </w:rPr>
        <w:t>u multiple skleroze.</w:t>
      </w:r>
    </w:p>
    <w:p w14:paraId="47B47734" w14:textId="77777777" w:rsidR="00BC3A3A" w:rsidRPr="00750BAE" w:rsidRDefault="00BC3A3A" w:rsidP="00BC3A3A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14DE4E6" w14:textId="77777777" w:rsidR="00BC3A3A" w:rsidRPr="00750BAE" w:rsidRDefault="00BC3A3A" w:rsidP="0069098C">
      <w:pPr>
        <w:widowControl w:val="0"/>
        <w:jc w:val="both"/>
        <w:rPr>
          <w:sz w:val="22"/>
          <w:szCs w:val="22"/>
          <w:lang w:val="sr-Latn-RS"/>
        </w:rPr>
      </w:pPr>
      <w:r w:rsidRPr="00750BAE">
        <w:rPr>
          <w:sz w:val="22"/>
          <w:szCs w:val="22"/>
          <w:u w:val="single"/>
          <w:lang w:val="sr-Latn-RS"/>
        </w:rPr>
        <w:t>Doziranje</w:t>
      </w:r>
    </w:p>
    <w:p w14:paraId="545331AE" w14:textId="77777777" w:rsidR="00BC3A3A" w:rsidRPr="00750BAE" w:rsidRDefault="00BC3A3A" w:rsidP="00BC3A3A">
      <w:pPr>
        <w:tabs>
          <w:tab w:val="left" w:pos="284"/>
        </w:tabs>
        <w:spacing w:before="8"/>
        <w:jc w:val="both"/>
        <w:rPr>
          <w:sz w:val="22"/>
          <w:szCs w:val="22"/>
          <w:lang w:val="sr-Latn-RS"/>
        </w:rPr>
      </w:pPr>
    </w:p>
    <w:p w14:paraId="16A5D03B" w14:textId="705A736F" w:rsidR="00BC3A3A" w:rsidRPr="00750BAE" w:rsidRDefault="00BC3A3A" w:rsidP="0069098C">
      <w:pPr>
        <w:widowControl w:val="0"/>
        <w:spacing w:before="72"/>
        <w:ind w:right="170"/>
        <w:jc w:val="both"/>
        <w:rPr>
          <w:sz w:val="22"/>
          <w:szCs w:val="22"/>
          <w:lang w:val="sr-Latn-RS"/>
        </w:rPr>
      </w:pPr>
      <w:r w:rsidRPr="00750BAE">
        <w:rPr>
          <w:sz w:val="22"/>
          <w:szCs w:val="22"/>
          <w:lang w:val="sr-Latn-RS"/>
        </w:rPr>
        <w:t>Početna doza je 231 mg dvaput na dan. Nakon 7 dana dozu treba povećati na preporučenu dozu održavanja od 462 mg dvaput na dan (</w:t>
      </w:r>
      <w:r w:rsidR="0069098C" w:rsidRPr="00750BAE">
        <w:rPr>
          <w:sz w:val="22"/>
          <w:szCs w:val="22"/>
          <w:lang w:val="sr-Latn-RS"/>
        </w:rPr>
        <w:t>vidjeti</w:t>
      </w:r>
      <w:r w:rsidRPr="00750BAE">
        <w:rPr>
          <w:sz w:val="22"/>
          <w:szCs w:val="22"/>
          <w:lang w:val="sr-Latn-RS"/>
        </w:rPr>
        <w:t xml:space="preserve"> </w:t>
      </w:r>
      <w:r w:rsidR="00BC3BCD">
        <w:rPr>
          <w:sz w:val="22"/>
          <w:szCs w:val="22"/>
          <w:lang w:val="sr-Latn-RS"/>
        </w:rPr>
        <w:t>dio</w:t>
      </w:r>
      <w:r w:rsidR="00BC3BCD" w:rsidRPr="00750BAE">
        <w:rPr>
          <w:sz w:val="22"/>
          <w:szCs w:val="22"/>
          <w:lang w:val="sr-Latn-RS"/>
        </w:rPr>
        <w:t xml:space="preserve"> </w:t>
      </w:r>
      <w:r w:rsidRPr="00750BAE">
        <w:rPr>
          <w:sz w:val="22"/>
          <w:szCs w:val="22"/>
          <w:lang w:val="sr-Latn-RS"/>
        </w:rPr>
        <w:t>4.4).</w:t>
      </w:r>
    </w:p>
    <w:p w14:paraId="7232301C" w14:textId="77777777" w:rsidR="00BC3A3A" w:rsidRPr="00750BAE" w:rsidRDefault="00BC3A3A" w:rsidP="00BC3A3A">
      <w:pPr>
        <w:tabs>
          <w:tab w:val="left" w:pos="284"/>
        </w:tabs>
        <w:spacing w:before="9"/>
        <w:jc w:val="both"/>
        <w:rPr>
          <w:sz w:val="22"/>
          <w:szCs w:val="22"/>
          <w:lang w:val="sr-Latn-RS"/>
        </w:rPr>
      </w:pPr>
    </w:p>
    <w:p w14:paraId="0A6CA9B9" w14:textId="252719DD" w:rsidR="00BC3A3A" w:rsidRPr="00750BAE" w:rsidRDefault="00BC3A3A" w:rsidP="0069098C">
      <w:pPr>
        <w:widowControl w:val="0"/>
        <w:ind w:right="170"/>
        <w:jc w:val="both"/>
        <w:rPr>
          <w:sz w:val="22"/>
          <w:szCs w:val="22"/>
          <w:lang w:val="sr-Latn-RS"/>
        </w:rPr>
      </w:pPr>
      <w:r w:rsidRPr="00750BAE">
        <w:rPr>
          <w:sz w:val="22"/>
          <w:szCs w:val="22"/>
          <w:lang w:val="sr-Latn-RS"/>
        </w:rPr>
        <w:t>Pri</w:t>
      </w:r>
      <w:r w:rsidR="00DD7D46" w:rsidRPr="00750BAE">
        <w:rPr>
          <w:sz w:val="22"/>
          <w:szCs w:val="22"/>
          <w:lang w:val="sr-Latn-RS"/>
        </w:rPr>
        <w:t>vreme</w:t>
      </w:r>
      <w:r w:rsidRPr="00750BAE">
        <w:rPr>
          <w:sz w:val="22"/>
          <w:szCs w:val="22"/>
          <w:lang w:val="sr-Latn-RS"/>
        </w:rPr>
        <w:t>no smanjenje doze na 231 mg dvaput na dan može smanjiti</w:t>
      </w:r>
      <w:r w:rsidR="00BC3BCD">
        <w:rPr>
          <w:sz w:val="22"/>
          <w:szCs w:val="22"/>
          <w:lang w:val="sr-Latn-RS"/>
        </w:rPr>
        <w:t xml:space="preserve"> ispoljavanje</w:t>
      </w:r>
      <w:r w:rsidRPr="00750BAE">
        <w:rPr>
          <w:sz w:val="22"/>
          <w:szCs w:val="22"/>
          <w:lang w:val="sr-Latn-RS"/>
        </w:rPr>
        <w:t xml:space="preserve"> nalet</w:t>
      </w:r>
      <w:r w:rsidR="00BC3BCD">
        <w:rPr>
          <w:sz w:val="22"/>
          <w:szCs w:val="22"/>
          <w:lang w:val="sr-Latn-RS"/>
        </w:rPr>
        <w:t>a crvenila</w:t>
      </w:r>
      <w:r w:rsidRPr="00750BAE">
        <w:rPr>
          <w:sz w:val="22"/>
          <w:szCs w:val="22"/>
          <w:lang w:val="sr-Latn-RS"/>
        </w:rPr>
        <w:t xml:space="preserve"> i gastrointestinalne neželjene reakcije. U roku od </w:t>
      </w:r>
      <w:r w:rsidR="006D0DCA" w:rsidRPr="00750BAE">
        <w:rPr>
          <w:sz w:val="22"/>
          <w:szCs w:val="22"/>
          <w:lang w:val="sr-Latn-RS"/>
        </w:rPr>
        <w:t>mjesec</w:t>
      </w:r>
      <w:r w:rsidRPr="00750BAE">
        <w:rPr>
          <w:sz w:val="22"/>
          <w:szCs w:val="22"/>
          <w:lang w:val="sr-Latn-RS"/>
        </w:rPr>
        <w:t xml:space="preserve"> dana potrebno je nastaviti s preporučenom dozom od 462 mg dvaput na dan.</w:t>
      </w:r>
    </w:p>
    <w:p w14:paraId="05B7C1F4" w14:textId="77777777" w:rsidR="00BC3A3A" w:rsidRPr="00750BAE" w:rsidRDefault="00BC3A3A" w:rsidP="00BC3A3A">
      <w:pPr>
        <w:tabs>
          <w:tab w:val="left" w:pos="284"/>
        </w:tabs>
        <w:spacing w:before="9"/>
        <w:jc w:val="both"/>
        <w:rPr>
          <w:sz w:val="22"/>
          <w:szCs w:val="22"/>
          <w:lang w:val="sr-Latn-RS"/>
        </w:rPr>
      </w:pPr>
    </w:p>
    <w:p w14:paraId="75985367" w14:textId="77B0D956" w:rsidR="00BC3A3A" w:rsidRPr="00750BAE" w:rsidRDefault="00BC3A3A" w:rsidP="00F67F16">
      <w:pPr>
        <w:widowControl w:val="0"/>
        <w:ind w:right="170"/>
        <w:jc w:val="both"/>
        <w:rPr>
          <w:sz w:val="22"/>
          <w:szCs w:val="22"/>
          <w:lang w:val="sr-Latn-RS"/>
        </w:rPr>
      </w:pPr>
      <w:r w:rsidRPr="00750BAE">
        <w:rPr>
          <w:sz w:val="22"/>
          <w:szCs w:val="22"/>
          <w:lang w:val="sr-Latn-RS"/>
        </w:rPr>
        <w:t xml:space="preserve">Ako pacijent propusti dozu, ne </w:t>
      </w:r>
      <w:r w:rsidR="006D0DCA" w:rsidRPr="00750BAE">
        <w:rPr>
          <w:sz w:val="22"/>
          <w:szCs w:val="22"/>
          <w:lang w:val="sr-Latn-RS"/>
        </w:rPr>
        <w:t>smije</w:t>
      </w:r>
      <w:r w:rsidRPr="00750BAE">
        <w:rPr>
          <w:sz w:val="22"/>
          <w:szCs w:val="22"/>
          <w:lang w:val="sr-Latn-RS"/>
        </w:rPr>
        <w:t xml:space="preserve"> da uzme dvostruku dozu. Pacijent </w:t>
      </w:r>
      <w:r w:rsidR="006D0DCA" w:rsidRPr="00750BAE">
        <w:rPr>
          <w:sz w:val="22"/>
          <w:szCs w:val="22"/>
          <w:lang w:val="sr-Latn-RS"/>
        </w:rPr>
        <w:t>smije</w:t>
      </w:r>
      <w:r w:rsidRPr="00750BAE">
        <w:rPr>
          <w:sz w:val="22"/>
          <w:szCs w:val="22"/>
          <w:lang w:val="sr-Latn-RS"/>
        </w:rPr>
        <w:t xml:space="preserve"> da uzme propuštenu dozu samo ako će razmak između doza biti 4 sata. U suprotnom, pacijent treba da sačeka </w:t>
      </w:r>
      <w:r w:rsidR="00DD7D46" w:rsidRPr="00750BAE">
        <w:rPr>
          <w:sz w:val="22"/>
          <w:szCs w:val="22"/>
          <w:lang w:val="sr-Latn-RS"/>
        </w:rPr>
        <w:t>vrijeme</w:t>
      </w:r>
      <w:r w:rsidRPr="00750BAE">
        <w:rPr>
          <w:sz w:val="22"/>
          <w:szCs w:val="22"/>
          <w:lang w:val="sr-Latn-RS"/>
        </w:rPr>
        <w:t xml:space="preserve"> kada prema rasporedu uzima </w:t>
      </w:r>
      <w:r w:rsidR="00E45E91" w:rsidRPr="00750BAE">
        <w:rPr>
          <w:sz w:val="22"/>
          <w:szCs w:val="22"/>
          <w:lang w:val="sr-Latn-RS"/>
        </w:rPr>
        <w:t>sljedeć</w:t>
      </w:r>
      <w:r w:rsidRPr="00750BAE">
        <w:rPr>
          <w:sz w:val="22"/>
          <w:szCs w:val="22"/>
          <w:lang w:val="sr-Latn-RS"/>
        </w:rPr>
        <w:t>u dozu.</w:t>
      </w:r>
    </w:p>
    <w:p w14:paraId="6FC4853C" w14:textId="77777777" w:rsidR="00BC3A3A" w:rsidRPr="00750BAE" w:rsidRDefault="00BC3A3A" w:rsidP="00BC3A3A">
      <w:pPr>
        <w:tabs>
          <w:tab w:val="left" w:pos="284"/>
        </w:tabs>
        <w:spacing w:before="9"/>
        <w:jc w:val="both"/>
        <w:rPr>
          <w:sz w:val="22"/>
          <w:szCs w:val="22"/>
          <w:lang w:val="sr-Latn-RS"/>
        </w:rPr>
      </w:pPr>
    </w:p>
    <w:p w14:paraId="61384183" w14:textId="77777777" w:rsidR="00BC3A3A" w:rsidRPr="00750BAE" w:rsidRDefault="00BC3A3A" w:rsidP="00F67F16">
      <w:pPr>
        <w:tabs>
          <w:tab w:val="left" w:pos="284"/>
        </w:tabs>
        <w:spacing w:line="477" w:lineRule="auto"/>
        <w:ind w:right="6756"/>
        <w:jc w:val="both"/>
        <w:rPr>
          <w:i/>
          <w:iCs/>
          <w:sz w:val="22"/>
          <w:szCs w:val="22"/>
          <w:lang w:val="sr-Latn-RS"/>
        </w:rPr>
      </w:pPr>
      <w:r w:rsidRPr="00750BAE">
        <w:rPr>
          <w:i/>
          <w:iCs/>
          <w:sz w:val="22"/>
          <w:szCs w:val="22"/>
          <w:lang w:val="sr-Latn-RS"/>
        </w:rPr>
        <w:t xml:space="preserve">Posebne populacije </w:t>
      </w:r>
    </w:p>
    <w:p w14:paraId="46361C06" w14:textId="14F08070" w:rsidR="00BC3A3A" w:rsidRPr="00750BAE" w:rsidRDefault="00BC3A3A" w:rsidP="00F67F16">
      <w:pPr>
        <w:tabs>
          <w:tab w:val="left" w:pos="284"/>
        </w:tabs>
        <w:spacing w:line="477" w:lineRule="auto"/>
        <w:ind w:right="6756"/>
        <w:jc w:val="both"/>
        <w:rPr>
          <w:sz w:val="22"/>
          <w:szCs w:val="22"/>
          <w:lang w:val="sr-Latn-RS"/>
        </w:rPr>
      </w:pPr>
      <w:r w:rsidRPr="00750BAE">
        <w:rPr>
          <w:i/>
          <w:iCs/>
          <w:sz w:val="22"/>
          <w:szCs w:val="22"/>
          <w:lang w:val="sr-Latn-RS"/>
        </w:rPr>
        <w:t>Starije osobe</w:t>
      </w:r>
    </w:p>
    <w:p w14:paraId="24DDFF6D" w14:textId="19547D11" w:rsidR="00BC3A3A" w:rsidRPr="00750BAE" w:rsidRDefault="00BC3A3A" w:rsidP="00BC3A3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50BAE">
        <w:rPr>
          <w:sz w:val="22"/>
          <w:szCs w:val="22"/>
          <w:lang w:val="sr-Latn-RS"/>
        </w:rPr>
        <w:t xml:space="preserve">Na osnovu podataka iz nekontrolisanih ispitivanja, </w:t>
      </w:r>
      <w:r w:rsidR="00453DDE" w:rsidRPr="00750BAE">
        <w:rPr>
          <w:sz w:val="22"/>
          <w:szCs w:val="22"/>
          <w:lang w:val="sr-Latn-RS"/>
        </w:rPr>
        <w:t>bezbjednos</w:t>
      </w:r>
      <w:r w:rsidRPr="00750BAE">
        <w:rPr>
          <w:sz w:val="22"/>
          <w:szCs w:val="22"/>
          <w:lang w:val="sr-Latn-RS"/>
        </w:rPr>
        <w:t>ni profil diroksimel</w:t>
      </w:r>
      <w:r w:rsidR="00CD5E12">
        <w:rPr>
          <w:sz w:val="22"/>
          <w:szCs w:val="22"/>
          <w:lang w:val="sr-Latn-RS"/>
        </w:rPr>
        <w:t xml:space="preserve"> </w:t>
      </w:r>
      <w:r w:rsidRPr="00750BAE">
        <w:rPr>
          <w:sz w:val="22"/>
          <w:szCs w:val="22"/>
          <w:lang w:val="sr-Latn-RS"/>
        </w:rPr>
        <w:t xml:space="preserve">fumarata kod pacijenata </w:t>
      </w:r>
      <w:r w:rsidR="00BC3BCD">
        <w:rPr>
          <w:sz w:val="22"/>
          <w:szCs w:val="22"/>
          <w:lang w:val="sr-Latn-RS"/>
        </w:rPr>
        <w:t xml:space="preserve">uzrasta </w:t>
      </w:r>
      <w:r w:rsidR="00BC3BCD" w:rsidRPr="00750BAE">
        <w:rPr>
          <w:sz w:val="22"/>
          <w:szCs w:val="22"/>
          <w:lang w:val="sr-Latn-RS"/>
        </w:rPr>
        <w:t xml:space="preserve"> </w:t>
      </w:r>
      <w:r w:rsidRPr="00750BAE">
        <w:rPr>
          <w:sz w:val="22"/>
          <w:szCs w:val="22"/>
          <w:lang w:val="sr-Latn-RS"/>
        </w:rPr>
        <w:t xml:space="preserve">≥55 godina čini se sličnim onom kod pacijenata mlađih od 55 godina. U kliničkim ispitivanjima sa </w:t>
      </w:r>
      <w:r w:rsidR="005A3B91">
        <w:rPr>
          <w:sz w:val="22"/>
          <w:szCs w:val="22"/>
          <w:lang w:val="sr-Latn-RS"/>
        </w:rPr>
        <w:t>diroksimel fumarat</w:t>
      </w:r>
      <w:r w:rsidRPr="00750BAE">
        <w:rPr>
          <w:sz w:val="22"/>
          <w:szCs w:val="22"/>
          <w:lang w:val="sr-Latn-RS"/>
        </w:rPr>
        <w:t xml:space="preserve">om, izloženost pacijenata </w:t>
      </w:r>
      <w:r w:rsidR="00BC3BCD">
        <w:rPr>
          <w:sz w:val="22"/>
          <w:szCs w:val="22"/>
          <w:lang w:val="sr-Latn-RS"/>
        </w:rPr>
        <w:t>uzrasta</w:t>
      </w:r>
      <w:r w:rsidR="00BC3BCD" w:rsidRPr="00750BAE">
        <w:rPr>
          <w:sz w:val="22"/>
          <w:szCs w:val="22"/>
          <w:lang w:val="sr-Latn-RS"/>
        </w:rPr>
        <w:t xml:space="preserve"> </w:t>
      </w:r>
      <w:r w:rsidRPr="00750BAE">
        <w:rPr>
          <w:sz w:val="22"/>
          <w:szCs w:val="22"/>
          <w:lang w:val="sr-Latn-RS"/>
        </w:rPr>
        <w:t xml:space="preserve">od 65 i više godina bila je ograničena i nije bio uključen dovoljan broj pacijenata </w:t>
      </w:r>
      <w:r w:rsidR="00BC3BCD">
        <w:rPr>
          <w:sz w:val="22"/>
          <w:szCs w:val="22"/>
          <w:lang w:val="sr-Latn-RS"/>
        </w:rPr>
        <w:t xml:space="preserve">uzrasta </w:t>
      </w:r>
      <w:r w:rsidRPr="00750BAE">
        <w:rPr>
          <w:sz w:val="22"/>
          <w:szCs w:val="22"/>
          <w:lang w:val="sr-Latn-RS"/>
        </w:rPr>
        <w:t xml:space="preserve">od 65 i više godina kako bi se utvrdilo da li oni reaguju drugačije </w:t>
      </w:r>
      <w:r w:rsidRPr="00750BAE">
        <w:rPr>
          <w:sz w:val="22"/>
          <w:szCs w:val="22"/>
          <w:lang w:val="sr-Latn-RS"/>
        </w:rPr>
        <w:lastRenderedPageBreak/>
        <w:t>od mlađih pacijenata (</w:t>
      </w:r>
      <w:r w:rsidR="0069098C" w:rsidRPr="00750BAE">
        <w:rPr>
          <w:sz w:val="22"/>
          <w:szCs w:val="22"/>
          <w:lang w:val="sr-Latn-RS"/>
        </w:rPr>
        <w:t>vidjeti</w:t>
      </w:r>
      <w:r w:rsidRPr="00750BAE">
        <w:rPr>
          <w:sz w:val="22"/>
          <w:szCs w:val="22"/>
          <w:lang w:val="sr-Latn-RS"/>
        </w:rPr>
        <w:t xml:space="preserve"> </w:t>
      </w:r>
      <w:r w:rsidR="00BC3BCD">
        <w:rPr>
          <w:sz w:val="22"/>
          <w:szCs w:val="22"/>
          <w:lang w:val="sr-Latn-RS"/>
        </w:rPr>
        <w:t>dio</w:t>
      </w:r>
      <w:r w:rsidR="00BC3BCD" w:rsidRPr="00750BAE">
        <w:rPr>
          <w:sz w:val="22"/>
          <w:szCs w:val="22"/>
          <w:lang w:val="sr-Latn-RS"/>
        </w:rPr>
        <w:t xml:space="preserve"> </w:t>
      </w:r>
      <w:r w:rsidRPr="00750BAE">
        <w:rPr>
          <w:sz w:val="22"/>
          <w:szCs w:val="22"/>
          <w:lang w:val="sr-Latn-RS"/>
        </w:rPr>
        <w:t xml:space="preserve">5.2). Na osnovu mehanizma </w:t>
      </w:r>
      <w:r w:rsidR="00132BCB" w:rsidRPr="00750BAE">
        <w:rPr>
          <w:sz w:val="22"/>
          <w:szCs w:val="22"/>
          <w:lang w:val="sr-Latn-RS"/>
        </w:rPr>
        <w:t>d</w:t>
      </w:r>
      <w:r w:rsidR="00BC3BCD">
        <w:rPr>
          <w:sz w:val="22"/>
          <w:szCs w:val="22"/>
          <w:lang w:val="sr-Latn-RS"/>
        </w:rPr>
        <w:t>ejstva</w:t>
      </w:r>
      <w:r w:rsidRPr="00750BAE">
        <w:rPr>
          <w:sz w:val="22"/>
          <w:szCs w:val="22"/>
          <w:lang w:val="sr-Latn-RS"/>
        </w:rPr>
        <w:t xml:space="preserve"> aktivne supstance, nema teorijskih razloga za prilagođavanje doze kod starijih osoba.</w:t>
      </w:r>
    </w:p>
    <w:p w14:paraId="59CC7697" w14:textId="77777777" w:rsidR="00453DDE" w:rsidRPr="00750BAE" w:rsidRDefault="00453DDE" w:rsidP="00453DDE">
      <w:pPr>
        <w:tabs>
          <w:tab w:val="left" w:pos="284"/>
        </w:tabs>
        <w:spacing w:before="55"/>
        <w:jc w:val="both"/>
        <w:rPr>
          <w:i/>
          <w:iCs/>
          <w:sz w:val="22"/>
          <w:szCs w:val="22"/>
          <w:lang w:val="sr-Latn-RS"/>
        </w:rPr>
      </w:pPr>
    </w:p>
    <w:p w14:paraId="614AAF7B" w14:textId="66EE29F4" w:rsidR="00BC3A3A" w:rsidRPr="00750BAE" w:rsidRDefault="00BC3A3A" w:rsidP="00453DDE">
      <w:pPr>
        <w:tabs>
          <w:tab w:val="left" w:pos="284"/>
        </w:tabs>
        <w:spacing w:before="55"/>
        <w:jc w:val="both"/>
        <w:rPr>
          <w:sz w:val="22"/>
          <w:szCs w:val="22"/>
          <w:lang w:val="sr-Latn-RS"/>
        </w:rPr>
      </w:pPr>
      <w:r w:rsidRPr="00750BAE">
        <w:rPr>
          <w:i/>
          <w:iCs/>
          <w:sz w:val="22"/>
          <w:szCs w:val="22"/>
          <w:lang w:val="sr-Latn-RS"/>
        </w:rPr>
        <w:t>Oštećenje funkcije bubrega</w:t>
      </w:r>
    </w:p>
    <w:p w14:paraId="093AE438" w14:textId="77777777" w:rsidR="00BC3A3A" w:rsidRPr="00750BAE" w:rsidRDefault="00BC3A3A" w:rsidP="00BC3A3A">
      <w:pPr>
        <w:tabs>
          <w:tab w:val="left" w:pos="284"/>
        </w:tabs>
        <w:spacing w:before="9"/>
        <w:jc w:val="both"/>
        <w:rPr>
          <w:i/>
          <w:sz w:val="22"/>
          <w:szCs w:val="22"/>
          <w:lang w:val="sr-Latn-RS"/>
        </w:rPr>
      </w:pPr>
    </w:p>
    <w:p w14:paraId="3351E65A" w14:textId="0C36B513" w:rsidR="00BC3A3A" w:rsidRPr="00750BAE" w:rsidRDefault="00BC3A3A" w:rsidP="00453DDE">
      <w:pPr>
        <w:widowControl w:val="0"/>
        <w:ind w:right="130"/>
        <w:jc w:val="both"/>
        <w:rPr>
          <w:sz w:val="22"/>
          <w:szCs w:val="22"/>
          <w:lang w:val="sr-Latn-RS"/>
        </w:rPr>
      </w:pPr>
      <w:r w:rsidRPr="00750BAE">
        <w:rPr>
          <w:sz w:val="22"/>
          <w:szCs w:val="22"/>
          <w:lang w:val="sr-Latn-RS"/>
        </w:rPr>
        <w:t>Kod pacijenata sa oštećenjem funkcije bubrega nije potrebno prilagođavanje doze (</w:t>
      </w:r>
      <w:r w:rsidR="0069098C" w:rsidRPr="00750BAE">
        <w:rPr>
          <w:sz w:val="22"/>
          <w:szCs w:val="22"/>
          <w:lang w:val="sr-Latn-RS"/>
        </w:rPr>
        <w:t>vidjeti</w:t>
      </w:r>
      <w:r w:rsidRPr="00750BAE">
        <w:rPr>
          <w:sz w:val="22"/>
          <w:szCs w:val="22"/>
          <w:lang w:val="sr-Latn-RS"/>
        </w:rPr>
        <w:t xml:space="preserve"> </w:t>
      </w:r>
      <w:r w:rsidR="00BC3BCD">
        <w:rPr>
          <w:sz w:val="22"/>
          <w:szCs w:val="22"/>
          <w:lang w:val="sr-Latn-RS"/>
        </w:rPr>
        <w:t>dio</w:t>
      </w:r>
      <w:r w:rsidR="00BC3BCD" w:rsidRPr="00750BAE">
        <w:rPr>
          <w:sz w:val="22"/>
          <w:szCs w:val="22"/>
          <w:lang w:val="sr-Latn-RS"/>
        </w:rPr>
        <w:t xml:space="preserve"> </w:t>
      </w:r>
      <w:r w:rsidRPr="00750BAE">
        <w:rPr>
          <w:sz w:val="22"/>
          <w:szCs w:val="22"/>
          <w:lang w:val="sr-Latn-RS"/>
        </w:rPr>
        <w:t xml:space="preserve">5.2). Dugoročna </w:t>
      </w:r>
      <w:r w:rsidR="00453DDE" w:rsidRPr="00750BAE">
        <w:rPr>
          <w:sz w:val="22"/>
          <w:szCs w:val="22"/>
          <w:lang w:val="sr-Latn-RS"/>
        </w:rPr>
        <w:t>bezbjednos</w:t>
      </w:r>
      <w:r w:rsidRPr="00750BAE">
        <w:rPr>
          <w:sz w:val="22"/>
          <w:szCs w:val="22"/>
          <w:lang w:val="sr-Latn-RS"/>
        </w:rPr>
        <w:t>t diroksimel</w:t>
      </w:r>
      <w:r w:rsidR="00CD5E12">
        <w:rPr>
          <w:sz w:val="22"/>
          <w:szCs w:val="22"/>
          <w:lang w:val="sr-Latn-RS"/>
        </w:rPr>
        <w:t xml:space="preserve"> </w:t>
      </w:r>
      <w:r w:rsidRPr="00750BAE">
        <w:rPr>
          <w:sz w:val="22"/>
          <w:szCs w:val="22"/>
          <w:lang w:val="sr-Latn-RS"/>
        </w:rPr>
        <w:t>fumarata nije ispitivana kod pacijenata sa um</w:t>
      </w:r>
      <w:r w:rsidR="00B53AD3" w:rsidRPr="00750BAE">
        <w:rPr>
          <w:sz w:val="22"/>
          <w:szCs w:val="22"/>
          <w:lang w:val="sr-Latn-RS"/>
        </w:rPr>
        <w:t>j</w:t>
      </w:r>
      <w:r w:rsidRPr="00750BAE">
        <w:rPr>
          <w:sz w:val="22"/>
          <w:szCs w:val="22"/>
          <w:lang w:val="sr-Latn-RS"/>
        </w:rPr>
        <w:t>erenim ili teškim oštećenjem funkcije bubrega (</w:t>
      </w:r>
      <w:r w:rsidR="0069098C" w:rsidRPr="00750BAE">
        <w:rPr>
          <w:sz w:val="22"/>
          <w:szCs w:val="22"/>
          <w:lang w:val="sr-Latn-RS"/>
        </w:rPr>
        <w:t>vidjeti</w:t>
      </w:r>
      <w:r w:rsidRPr="00750BAE">
        <w:rPr>
          <w:sz w:val="22"/>
          <w:szCs w:val="22"/>
          <w:lang w:val="sr-Latn-RS"/>
        </w:rPr>
        <w:t xml:space="preserve"> </w:t>
      </w:r>
      <w:r w:rsidR="00BC3BCD">
        <w:rPr>
          <w:sz w:val="22"/>
          <w:szCs w:val="22"/>
          <w:lang w:val="sr-Latn-RS"/>
        </w:rPr>
        <w:t>djelove</w:t>
      </w:r>
      <w:r w:rsidR="00BC3BCD" w:rsidRPr="00750BAE">
        <w:rPr>
          <w:sz w:val="22"/>
          <w:szCs w:val="22"/>
          <w:lang w:val="sr-Latn-RS"/>
        </w:rPr>
        <w:t xml:space="preserve"> </w:t>
      </w:r>
      <w:r w:rsidRPr="00750BAE">
        <w:rPr>
          <w:sz w:val="22"/>
          <w:szCs w:val="22"/>
          <w:lang w:val="sr-Latn-RS"/>
        </w:rPr>
        <w:t>4.4 i 5.2).</w:t>
      </w:r>
    </w:p>
    <w:p w14:paraId="27FBF165" w14:textId="77777777" w:rsidR="00453DDE" w:rsidRPr="00750BAE" w:rsidRDefault="00453DDE" w:rsidP="00453DDE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35DA8CBD" w14:textId="6B1BE3B8" w:rsidR="00BC3A3A" w:rsidRPr="00750BAE" w:rsidRDefault="00BC3A3A" w:rsidP="00453DD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50BAE">
        <w:rPr>
          <w:i/>
          <w:iCs/>
          <w:sz w:val="22"/>
          <w:szCs w:val="22"/>
          <w:lang w:val="sr-Latn-RS"/>
        </w:rPr>
        <w:t>Oštećenje funkcije jetre</w:t>
      </w:r>
    </w:p>
    <w:p w14:paraId="122F38B1" w14:textId="77777777" w:rsidR="00453DDE" w:rsidRPr="00750BAE" w:rsidRDefault="00453DDE" w:rsidP="00453DDE">
      <w:pPr>
        <w:widowControl w:val="0"/>
        <w:spacing w:line="250" w:lineRule="exact"/>
        <w:ind w:right="130"/>
        <w:jc w:val="both"/>
        <w:rPr>
          <w:i/>
          <w:sz w:val="22"/>
          <w:szCs w:val="22"/>
          <w:lang w:val="sr-Latn-RS"/>
        </w:rPr>
      </w:pPr>
    </w:p>
    <w:p w14:paraId="2B79E935" w14:textId="4318BFAE" w:rsidR="00BC3A3A" w:rsidRPr="00750BAE" w:rsidRDefault="00BC3A3A" w:rsidP="00453DDE">
      <w:pPr>
        <w:widowControl w:val="0"/>
        <w:spacing w:line="250" w:lineRule="exact"/>
        <w:ind w:right="130"/>
        <w:jc w:val="both"/>
        <w:rPr>
          <w:sz w:val="22"/>
          <w:szCs w:val="22"/>
          <w:lang w:val="sr-Latn-RS"/>
        </w:rPr>
      </w:pPr>
      <w:r w:rsidRPr="00750BAE">
        <w:rPr>
          <w:sz w:val="22"/>
          <w:szCs w:val="22"/>
          <w:lang w:val="sr-Latn-RS"/>
        </w:rPr>
        <w:t>Kod pacijenata s oštećenjem funkcije jetre nije potrebno prilagođavanje doze (</w:t>
      </w:r>
      <w:r w:rsidR="0069098C" w:rsidRPr="00750BAE">
        <w:rPr>
          <w:sz w:val="22"/>
          <w:szCs w:val="22"/>
          <w:lang w:val="sr-Latn-RS"/>
        </w:rPr>
        <w:t>vidjeti</w:t>
      </w:r>
      <w:r w:rsidRPr="00750BAE">
        <w:rPr>
          <w:sz w:val="22"/>
          <w:szCs w:val="22"/>
          <w:lang w:val="sr-Latn-RS"/>
        </w:rPr>
        <w:t xml:space="preserve"> </w:t>
      </w:r>
      <w:r w:rsidR="00BC3BCD">
        <w:rPr>
          <w:sz w:val="22"/>
          <w:szCs w:val="22"/>
          <w:lang w:val="sr-Latn-RS"/>
        </w:rPr>
        <w:t>djelove</w:t>
      </w:r>
      <w:r w:rsidR="00BC3BCD" w:rsidRPr="00750BAE">
        <w:rPr>
          <w:sz w:val="22"/>
          <w:szCs w:val="22"/>
          <w:lang w:val="sr-Latn-RS"/>
        </w:rPr>
        <w:t xml:space="preserve"> </w:t>
      </w:r>
      <w:r w:rsidRPr="00750BAE">
        <w:rPr>
          <w:sz w:val="22"/>
          <w:szCs w:val="22"/>
          <w:lang w:val="sr-Latn-RS"/>
        </w:rPr>
        <w:t>4.4 i 5.2). Diroksimel</w:t>
      </w:r>
      <w:r w:rsidR="00CD5E12">
        <w:rPr>
          <w:sz w:val="22"/>
          <w:szCs w:val="22"/>
          <w:lang w:val="sr-Latn-RS"/>
        </w:rPr>
        <w:t xml:space="preserve"> </w:t>
      </w:r>
      <w:r w:rsidRPr="00750BAE">
        <w:rPr>
          <w:sz w:val="22"/>
          <w:szCs w:val="22"/>
          <w:lang w:val="sr-Latn-RS"/>
        </w:rPr>
        <w:t>fumarat nije ispitivan kod pacijenata sa oštećenjem funkcije jetre.</w:t>
      </w:r>
    </w:p>
    <w:p w14:paraId="1CB5F727" w14:textId="77777777" w:rsidR="00453DDE" w:rsidRPr="00750BAE" w:rsidRDefault="00453DDE" w:rsidP="00453DDE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19CE47B" w14:textId="56A89701" w:rsidR="00BC3A3A" w:rsidRPr="00750BAE" w:rsidRDefault="00BC3A3A" w:rsidP="00453DD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50BAE">
        <w:rPr>
          <w:i/>
          <w:iCs/>
          <w:sz w:val="22"/>
          <w:szCs w:val="22"/>
          <w:lang w:val="sr-Latn-RS"/>
        </w:rPr>
        <w:t>Pedijatrijska populacija</w:t>
      </w:r>
    </w:p>
    <w:p w14:paraId="4A101725" w14:textId="77777777" w:rsidR="00453DDE" w:rsidRPr="00750BAE" w:rsidRDefault="00453DDE" w:rsidP="00453DDE">
      <w:pPr>
        <w:widowControl w:val="0"/>
        <w:ind w:right="130"/>
        <w:jc w:val="both"/>
        <w:rPr>
          <w:i/>
          <w:sz w:val="22"/>
          <w:szCs w:val="22"/>
          <w:lang w:val="sr-Latn-RS"/>
        </w:rPr>
      </w:pPr>
    </w:p>
    <w:p w14:paraId="4B0DBC41" w14:textId="277E46FC" w:rsidR="00BC3A3A" w:rsidRPr="00750BAE" w:rsidRDefault="00453DDE" w:rsidP="00453DDE">
      <w:pPr>
        <w:widowControl w:val="0"/>
        <w:ind w:right="130"/>
        <w:jc w:val="both"/>
        <w:rPr>
          <w:sz w:val="22"/>
          <w:szCs w:val="22"/>
          <w:lang w:val="sr-Latn-RS"/>
        </w:rPr>
      </w:pPr>
      <w:r w:rsidRPr="00750BAE">
        <w:rPr>
          <w:sz w:val="22"/>
          <w:szCs w:val="22"/>
          <w:lang w:val="sr-Latn-RS"/>
        </w:rPr>
        <w:t>Bezbjednos</w:t>
      </w:r>
      <w:r w:rsidR="00BC3A3A" w:rsidRPr="00750BAE">
        <w:rPr>
          <w:sz w:val="22"/>
          <w:szCs w:val="22"/>
          <w:lang w:val="sr-Latn-RS"/>
        </w:rPr>
        <w:t xml:space="preserve">t i efikasnost </w:t>
      </w:r>
      <w:r w:rsidR="004A63C1" w:rsidRPr="00750BAE">
        <w:rPr>
          <w:sz w:val="22"/>
          <w:szCs w:val="22"/>
          <w:lang w:val="sr-Latn-RS"/>
        </w:rPr>
        <w:t>lijek</w:t>
      </w:r>
      <w:r w:rsidR="00BC3A3A" w:rsidRPr="00750BAE">
        <w:rPr>
          <w:sz w:val="22"/>
          <w:szCs w:val="22"/>
          <w:lang w:val="sr-Latn-RS"/>
        </w:rPr>
        <w:t xml:space="preserve">a Vumerity kod </w:t>
      </w:r>
      <w:r w:rsidR="004A63C1" w:rsidRPr="00750BAE">
        <w:rPr>
          <w:sz w:val="22"/>
          <w:szCs w:val="22"/>
          <w:lang w:val="sr-Latn-RS"/>
        </w:rPr>
        <w:t>djece</w:t>
      </w:r>
      <w:r w:rsidR="00BC3A3A" w:rsidRPr="00750BAE">
        <w:rPr>
          <w:sz w:val="22"/>
          <w:szCs w:val="22"/>
          <w:lang w:val="sr-Latn-RS"/>
        </w:rPr>
        <w:t xml:space="preserve"> i adolescenata </w:t>
      </w:r>
      <w:r w:rsidR="00BC3BCD">
        <w:rPr>
          <w:sz w:val="22"/>
          <w:szCs w:val="22"/>
          <w:lang w:val="sr-Latn-RS"/>
        </w:rPr>
        <w:t>uzrasta</w:t>
      </w:r>
      <w:r w:rsidR="00BC3BCD" w:rsidRPr="00750BAE">
        <w:rPr>
          <w:sz w:val="22"/>
          <w:szCs w:val="22"/>
          <w:lang w:val="sr-Latn-RS"/>
        </w:rPr>
        <w:t xml:space="preserve"> </w:t>
      </w:r>
      <w:r w:rsidR="00BC3A3A" w:rsidRPr="00750BAE">
        <w:rPr>
          <w:sz w:val="22"/>
          <w:szCs w:val="22"/>
          <w:lang w:val="sr-Latn-RS"/>
        </w:rPr>
        <w:t xml:space="preserve">od 10 do manje od 18 godina još </w:t>
      </w:r>
      <w:r w:rsidR="00A83B47" w:rsidRPr="00750BAE">
        <w:rPr>
          <w:sz w:val="22"/>
          <w:szCs w:val="22"/>
          <w:lang w:val="sr-Latn-RS"/>
        </w:rPr>
        <w:t>nijesu</w:t>
      </w:r>
      <w:r w:rsidR="00BC3A3A" w:rsidRPr="00750BAE">
        <w:rPr>
          <w:sz w:val="22"/>
          <w:szCs w:val="22"/>
          <w:lang w:val="sr-Latn-RS"/>
        </w:rPr>
        <w:t xml:space="preserve"> utvrđene.</w:t>
      </w:r>
    </w:p>
    <w:p w14:paraId="09E2002C" w14:textId="77777777" w:rsidR="00453DDE" w:rsidRPr="00750BAE" w:rsidRDefault="00453DDE" w:rsidP="00453DDE">
      <w:pPr>
        <w:widowControl w:val="0"/>
        <w:ind w:right="133"/>
        <w:jc w:val="both"/>
        <w:rPr>
          <w:sz w:val="22"/>
          <w:szCs w:val="22"/>
          <w:lang w:val="sr-Latn-RS"/>
        </w:rPr>
      </w:pPr>
    </w:p>
    <w:p w14:paraId="22DBA49B" w14:textId="6A6737AB" w:rsidR="00BC3A3A" w:rsidRPr="00750BAE" w:rsidRDefault="00BC3A3A" w:rsidP="00453DDE">
      <w:pPr>
        <w:widowControl w:val="0"/>
        <w:ind w:right="133"/>
        <w:jc w:val="both"/>
        <w:rPr>
          <w:sz w:val="22"/>
          <w:szCs w:val="22"/>
          <w:lang w:val="sr-Latn-RS"/>
        </w:rPr>
      </w:pPr>
      <w:r w:rsidRPr="00750BAE">
        <w:rPr>
          <w:sz w:val="22"/>
          <w:szCs w:val="22"/>
          <w:lang w:val="sr-Latn-RS"/>
        </w:rPr>
        <w:t xml:space="preserve">Nema relevantne </w:t>
      </w:r>
      <w:r w:rsidR="004A63C1" w:rsidRPr="00750BAE">
        <w:rPr>
          <w:sz w:val="22"/>
          <w:szCs w:val="22"/>
          <w:lang w:val="sr-Latn-RS"/>
        </w:rPr>
        <w:t>primjene</w:t>
      </w:r>
      <w:r w:rsidRPr="00750BAE">
        <w:rPr>
          <w:sz w:val="22"/>
          <w:szCs w:val="22"/>
          <w:lang w:val="sr-Latn-RS"/>
        </w:rPr>
        <w:t xml:space="preserve"> </w:t>
      </w:r>
      <w:r w:rsidR="004A63C1" w:rsidRPr="00750BAE">
        <w:rPr>
          <w:sz w:val="22"/>
          <w:szCs w:val="22"/>
          <w:lang w:val="sr-Latn-RS"/>
        </w:rPr>
        <w:t>lijek</w:t>
      </w:r>
      <w:r w:rsidRPr="00750BAE">
        <w:rPr>
          <w:sz w:val="22"/>
          <w:szCs w:val="22"/>
          <w:lang w:val="sr-Latn-RS"/>
        </w:rPr>
        <w:t xml:space="preserve">a Vumerity kod </w:t>
      </w:r>
      <w:r w:rsidR="004A63C1" w:rsidRPr="00750BAE">
        <w:rPr>
          <w:sz w:val="22"/>
          <w:szCs w:val="22"/>
          <w:lang w:val="sr-Latn-RS"/>
        </w:rPr>
        <w:t>djece</w:t>
      </w:r>
      <w:r w:rsidRPr="00750BAE">
        <w:rPr>
          <w:sz w:val="22"/>
          <w:szCs w:val="22"/>
          <w:lang w:val="sr-Latn-RS"/>
        </w:rPr>
        <w:t xml:space="preserve"> mlađe od 10 godina za indikaciju relapsno-remitentne multiple skleroze.</w:t>
      </w:r>
    </w:p>
    <w:p w14:paraId="181181C1" w14:textId="77777777" w:rsidR="00453DDE" w:rsidRPr="00750BAE" w:rsidRDefault="00453DDE" w:rsidP="00453DDE">
      <w:pPr>
        <w:widowControl w:val="0"/>
        <w:jc w:val="both"/>
        <w:rPr>
          <w:sz w:val="22"/>
          <w:szCs w:val="22"/>
          <w:lang w:val="sr-Latn-RS"/>
        </w:rPr>
      </w:pPr>
    </w:p>
    <w:p w14:paraId="33B6569A" w14:textId="32C25D13" w:rsidR="00BC3A3A" w:rsidRPr="00750BAE" w:rsidRDefault="00BC3A3A" w:rsidP="00453DDE">
      <w:pPr>
        <w:widowControl w:val="0"/>
        <w:jc w:val="both"/>
        <w:rPr>
          <w:sz w:val="22"/>
          <w:szCs w:val="22"/>
          <w:lang w:val="sr-Latn-RS"/>
        </w:rPr>
      </w:pPr>
      <w:r w:rsidRPr="00750BAE">
        <w:rPr>
          <w:sz w:val="22"/>
          <w:szCs w:val="22"/>
          <w:u w:val="single"/>
          <w:lang w:val="sr-Latn-RS"/>
        </w:rPr>
        <w:t xml:space="preserve">Način </w:t>
      </w:r>
      <w:r w:rsidR="004A63C1" w:rsidRPr="00750BAE">
        <w:rPr>
          <w:sz w:val="22"/>
          <w:szCs w:val="22"/>
          <w:u w:val="single"/>
          <w:lang w:val="sr-Latn-RS"/>
        </w:rPr>
        <w:t>primjene</w:t>
      </w:r>
    </w:p>
    <w:p w14:paraId="5EA72BC6" w14:textId="77777777" w:rsidR="00453DDE" w:rsidRPr="00750BAE" w:rsidRDefault="00453DDE" w:rsidP="00453DDE">
      <w:pPr>
        <w:widowControl w:val="0"/>
        <w:spacing w:before="72"/>
        <w:jc w:val="both"/>
        <w:rPr>
          <w:sz w:val="22"/>
          <w:szCs w:val="22"/>
          <w:lang w:val="sr-Latn-RS"/>
        </w:rPr>
      </w:pPr>
    </w:p>
    <w:p w14:paraId="299B42E8" w14:textId="05B3202C" w:rsidR="00BC3A3A" w:rsidRPr="00750BAE" w:rsidRDefault="00BC3A3A" w:rsidP="00453DDE">
      <w:pPr>
        <w:widowControl w:val="0"/>
        <w:spacing w:before="72"/>
        <w:jc w:val="both"/>
        <w:rPr>
          <w:sz w:val="22"/>
          <w:szCs w:val="22"/>
          <w:lang w:val="sr-Latn-RS"/>
        </w:rPr>
      </w:pPr>
      <w:r w:rsidRPr="00750BAE">
        <w:rPr>
          <w:sz w:val="22"/>
          <w:szCs w:val="22"/>
          <w:lang w:val="sr-Latn-RS"/>
        </w:rPr>
        <w:t>Za oralnu prim</w:t>
      </w:r>
      <w:r w:rsidR="00FD087B" w:rsidRPr="00750BAE">
        <w:rPr>
          <w:sz w:val="22"/>
          <w:szCs w:val="22"/>
          <w:lang w:val="sr-Latn-RS"/>
        </w:rPr>
        <w:t>j</w:t>
      </w:r>
      <w:r w:rsidRPr="00750BAE">
        <w:rPr>
          <w:sz w:val="22"/>
          <w:szCs w:val="22"/>
          <w:lang w:val="sr-Latn-RS"/>
        </w:rPr>
        <w:t>enu.</w:t>
      </w:r>
    </w:p>
    <w:p w14:paraId="5417E1DB" w14:textId="77777777" w:rsidR="00453DDE" w:rsidRPr="00750BAE" w:rsidRDefault="00453DDE" w:rsidP="00453DDE">
      <w:pPr>
        <w:widowControl w:val="0"/>
        <w:ind w:right="133"/>
        <w:jc w:val="both"/>
        <w:rPr>
          <w:sz w:val="22"/>
          <w:szCs w:val="22"/>
          <w:lang w:val="sr-Latn-RS"/>
        </w:rPr>
      </w:pPr>
    </w:p>
    <w:p w14:paraId="12C0CDFA" w14:textId="06F8926B" w:rsidR="00BC3A3A" w:rsidRPr="00750BAE" w:rsidRDefault="00BC3A3A" w:rsidP="00453DDE">
      <w:pPr>
        <w:widowControl w:val="0"/>
        <w:ind w:right="133"/>
        <w:jc w:val="both"/>
        <w:rPr>
          <w:sz w:val="22"/>
          <w:szCs w:val="22"/>
          <w:lang w:val="sr-Latn-RS"/>
        </w:rPr>
      </w:pPr>
      <w:r w:rsidRPr="00750BAE">
        <w:rPr>
          <w:sz w:val="22"/>
          <w:szCs w:val="22"/>
          <w:lang w:val="sr-Latn-RS"/>
        </w:rPr>
        <w:t xml:space="preserve">Kapsule treba progutati </w:t>
      </w:r>
      <w:r w:rsidR="00FD087B" w:rsidRPr="00750BAE">
        <w:rPr>
          <w:sz w:val="22"/>
          <w:szCs w:val="22"/>
          <w:lang w:val="sr-Latn-RS"/>
        </w:rPr>
        <w:t>cijele</w:t>
      </w:r>
      <w:r w:rsidRPr="00750BAE">
        <w:rPr>
          <w:sz w:val="22"/>
          <w:szCs w:val="22"/>
          <w:lang w:val="sr-Latn-RS"/>
        </w:rPr>
        <w:t xml:space="preserve"> i u neoštećenom stanju. Kapsule se ne </w:t>
      </w:r>
      <w:r w:rsidR="006D0DCA" w:rsidRPr="00750BAE">
        <w:rPr>
          <w:sz w:val="22"/>
          <w:szCs w:val="22"/>
          <w:lang w:val="sr-Latn-RS"/>
        </w:rPr>
        <w:t>smi</w:t>
      </w:r>
      <w:r w:rsidRPr="00750BAE">
        <w:rPr>
          <w:sz w:val="22"/>
          <w:szCs w:val="22"/>
          <w:lang w:val="sr-Latn-RS"/>
        </w:rPr>
        <w:t xml:space="preserve">ju drobiti ili žvakati, a sadržaj se ne </w:t>
      </w:r>
      <w:r w:rsidR="006D0DCA" w:rsidRPr="00750BAE">
        <w:rPr>
          <w:sz w:val="22"/>
          <w:szCs w:val="22"/>
          <w:lang w:val="sr-Latn-RS"/>
        </w:rPr>
        <w:t>smije</w:t>
      </w:r>
      <w:r w:rsidRPr="00750BAE">
        <w:rPr>
          <w:sz w:val="22"/>
          <w:szCs w:val="22"/>
          <w:lang w:val="sr-Latn-RS"/>
        </w:rPr>
        <w:t xml:space="preserve"> posipati po hrani jer acidorezistentna opna kapsule spr</w:t>
      </w:r>
      <w:r w:rsidR="00FD087B" w:rsidRPr="00750BAE">
        <w:rPr>
          <w:sz w:val="22"/>
          <w:szCs w:val="22"/>
          <w:lang w:val="sr-Latn-RS"/>
        </w:rPr>
        <w:t>j</w:t>
      </w:r>
      <w:r w:rsidRPr="00750BAE">
        <w:rPr>
          <w:sz w:val="22"/>
          <w:szCs w:val="22"/>
          <w:lang w:val="sr-Latn-RS"/>
        </w:rPr>
        <w:t>ečava iritirajuće dejstvo na cr</w:t>
      </w:r>
      <w:r w:rsidR="00FD087B" w:rsidRPr="00750BAE">
        <w:rPr>
          <w:sz w:val="22"/>
          <w:szCs w:val="22"/>
          <w:lang w:val="sr-Latn-RS"/>
        </w:rPr>
        <w:t>ij</w:t>
      </w:r>
      <w:r w:rsidRPr="00750BAE">
        <w:rPr>
          <w:sz w:val="22"/>
          <w:szCs w:val="22"/>
          <w:lang w:val="sr-Latn-RS"/>
        </w:rPr>
        <w:t>eva.</w:t>
      </w:r>
    </w:p>
    <w:p w14:paraId="09AA9A75" w14:textId="77777777" w:rsidR="00BC3A3A" w:rsidRPr="00750BAE" w:rsidRDefault="00BC3A3A" w:rsidP="00BC3A3A">
      <w:pPr>
        <w:tabs>
          <w:tab w:val="left" w:pos="284"/>
        </w:tabs>
        <w:spacing w:before="10"/>
        <w:jc w:val="both"/>
        <w:rPr>
          <w:sz w:val="22"/>
          <w:szCs w:val="22"/>
          <w:lang w:val="sr-Latn-RS"/>
        </w:rPr>
      </w:pPr>
    </w:p>
    <w:p w14:paraId="70F43B8A" w14:textId="2D98DD3C" w:rsidR="00BC3A3A" w:rsidRPr="00750BAE" w:rsidRDefault="004A63C1" w:rsidP="00BC3A3A">
      <w:pPr>
        <w:tabs>
          <w:tab w:val="left" w:pos="284"/>
        </w:tabs>
        <w:jc w:val="both"/>
        <w:rPr>
          <w:sz w:val="22"/>
          <w:szCs w:val="22"/>
        </w:rPr>
      </w:pPr>
      <w:r w:rsidRPr="00750BAE">
        <w:rPr>
          <w:sz w:val="22"/>
          <w:szCs w:val="22"/>
          <w:lang w:val="sr-Latn-RS"/>
        </w:rPr>
        <w:t>Lijek</w:t>
      </w:r>
      <w:r w:rsidR="00BC3A3A" w:rsidRPr="00750BAE">
        <w:rPr>
          <w:sz w:val="22"/>
          <w:szCs w:val="22"/>
          <w:lang w:val="sr-Latn-RS"/>
        </w:rPr>
        <w:t xml:space="preserve"> Vumerity se može uzimati s hranom ili bez nje (</w:t>
      </w:r>
      <w:r w:rsidR="0069098C" w:rsidRPr="00750BAE">
        <w:rPr>
          <w:sz w:val="22"/>
          <w:szCs w:val="22"/>
          <w:lang w:val="sr-Latn-RS"/>
        </w:rPr>
        <w:t>vidjeti</w:t>
      </w:r>
      <w:r w:rsidR="00BC3A3A" w:rsidRPr="00750BAE">
        <w:rPr>
          <w:sz w:val="22"/>
          <w:szCs w:val="22"/>
          <w:lang w:val="sr-Latn-RS"/>
        </w:rPr>
        <w:t xml:space="preserve"> </w:t>
      </w:r>
      <w:r w:rsidR="00BC3BCD">
        <w:rPr>
          <w:sz w:val="22"/>
          <w:szCs w:val="22"/>
          <w:lang w:val="sr-Latn-RS"/>
        </w:rPr>
        <w:t xml:space="preserve">dio </w:t>
      </w:r>
      <w:r w:rsidR="00BC3A3A" w:rsidRPr="00750BAE">
        <w:rPr>
          <w:sz w:val="22"/>
          <w:szCs w:val="22"/>
          <w:lang w:val="sr-Latn-RS"/>
        </w:rPr>
        <w:t xml:space="preserve">5.2). Uzimanje </w:t>
      </w:r>
      <w:r w:rsidRPr="00750BAE">
        <w:rPr>
          <w:sz w:val="22"/>
          <w:szCs w:val="22"/>
          <w:lang w:val="sr-Latn-RS"/>
        </w:rPr>
        <w:t>lijek</w:t>
      </w:r>
      <w:r w:rsidR="00BC3A3A" w:rsidRPr="00750BAE">
        <w:rPr>
          <w:sz w:val="22"/>
          <w:szCs w:val="22"/>
          <w:lang w:val="sr-Latn-RS"/>
        </w:rPr>
        <w:t xml:space="preserve">a Vumerity sa hranom može poboljšati podnošljivost kod pacijenata koji imaju nalete </w:t>
      </w:r>
      <w:r w:rsidR="00685B6B">
        <w:rPr>
          <w:sz w:val="22"/>
          <w:szCs w:val="22"/>
          <w:lang w:val="sr-Latn-RS"/>
        </w:rPr>
        <w:t>crvenila</w:t>
      </w:r>
      <w:r w:rsidR="00BC3A3A" w:rsidRPr="00750BAE">
        <w:rPr>
          <w:sz w:val="22"/>
          <w:szCs w:val="22"/>
          <w:lang w:val="sr-Latn-RS"/>
        </w:rPr>
        <w:t xml:space="preserve"> ili gastrointestinalne neželjene reakcije (</w:t>
      </w:r>
      <w:r w:rsidR="0069098C" w:rsidRPr="00750BAE">
        <w:rPr>
          <w:sz w:val="22"/>
          <w:szCs w:val="22"/>
          <w:lang w:val="sr-Latn-RS"/>
        </w:rPr>
        <w:t>vidjeti</w:t>
      </w:r>
      <w:r w:rsidR="00BC3A3A" w:rsidRPr="00750BAE">
        <w:rPr>
          <w:sz w:val="22"/>
          <w:szCs w:val="22"/>
          <w:lang w:val="sr-Latn-RS"/>
        </w:rPr>
        <w:t xml:space="preserve"> </w:t>
      </w:r>
      <w:r w:rsidR="00685B6B">
        <w:rPr>
          <w:sz w:val="22"/>
          <w:szCs w:val="22"/>
          <w:lang w:val="sr-Latn-RS"/>
        </w:rPr>
        <w:t>djelove</w:t>
      </w:r>
      <w:r w:rsidR="00685B6B" w:rsidRPr="00750BAE">
        <w:rPr>
          <w:sz w:val="22"/>
          <w:szCs w:val="22"/>
          <w:lang w:val="sr-Latn-RS"/>
        </w:rPr>
        <w:t xml:space="preserve"> </w:t>
      </w:r>
      <w:r w:rsidR="00BC3A3A" w:rsidRPr="00750BAE">
        <w:rPr>
          <w:sz w:val="22"/>
          <w:szCs w:val="22"/>
          <w:lang w:val="sr-Latn-RS"/>
        </w:rPr>
        <w:t>4.4 i 4.8).</w:t>
      </w:r>
    </w:p>
    <w:p w14:paraId="21677B9C" w14:textId="77777777" w:rsidR="00452E9D" w:rsidRPr="00750BAE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19FDCE17" w14:textId="77777777" w:rsidR="00411B4B" w:rsidRPr="00750BAE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50BAE">
        <w:rPr>
          <w:b/>
          <w:bCs/>
          <w:sz w:val="22"/>
          <w:szCs w:val="22"/>
        </w:rPr>
        <w:t xml:space="preserve">4.3. </w:t>
      </w:r>
      <w:r w:rsidR="00480FB1" w:rsidRPr="00750BAE">
        <w:rPr>
          <w:b/>
          <w:bCs/>
          <w:sz w:val="22"/>
          <w:szCs w:val="22"/>
        </w:rPr>
        <w:tab/>
      </w:r>
      <w:r w:rsidRPr="00750BAE">
        <w:rPr>
          <w:b/>
          <w:bCs/>
          <w:sz w:val="22"/>
          <w:szCs w:val="22"/>
        </w:rPr>
        <w:t>Kontraindikacije</w:t>
      </w:r>
    </w:p>
    <w:p w14:paraId="38D80799" w14:textId="60D46A21" w:rsidR="0072020E" w:rsidRPr="00750BA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09F05480" w14:textId="2B24C068" w:rsidR="00BC3A3A" w:rsidRPr="00750BAE" w:rsidRDefault="00BC3A3A" w:rsidP="00BC3A3A">
      <w:pPr>
        <w:pStyle w:val="BodyText"/>
        <w:ind w:left="0" w:right="133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Pre</w:t>
      </w:r>
      <w:r w:rsidR="00807D38" w:rsidRPr="00750BAE">
        <w:rPr>
          <w:rFonts w:cs="Times New Roman"/>
          <w:lang w:val="sr-Latn-RS"/>
        </w:rPr>
        <w:t>osjetljivost</w:t>
      </w:r>
      <w:r w:rsidRPr="00750BAE">
        <w:rPr>
          <w:rFonts w:cs="Times New Roman"/>
          <w:lang w:val="sr-Latn-RS"/>
        </w:rPr>
        <w:t xml:space="preserve"> na aktivnu supstancu diroksimel</w:t>
      </w:r>
      <w:r w:rsidR="00CD5E12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 ili na bilo koju od pomoćnih supstanci navedenih u </w:t>
      </w:r>
      <w:r w:rsidR="00685B6B">
        <w:rPr>
          <w:rFonts w:cs="Times New Roman"/>
          <w:lang w:val="sr-Latn-RS"/>
        </w:rPr>
        <w:t>dijelu</w:t>
      </w:r>
      <w:r w:rsidR="00685B6B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6.1 ili druge estre fumarne kiseline (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</w:t>
      </w:r>
      <w:r w:rsidR="00685B6B">
        <w:rPr>
          <w:rFonts w:cs="Times New Roman"/>
          <w:lang w:val="sr-Latn-RS"/>
        </w:rPr>
        <w:t>dio</w:t>
      </w:r>
      <w:r w:rsidR="00685B6B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4.5).</w:t>
      </w:r>
    </w:p>
    <w:p w14:paraId="63E65929" w14:textId="77777777" w:rsidR="00BC3A3A" w:rsidRPr="00750BAE" w:rsidRDefault="00BC3A3A" w:rsidP="00BC3A3A">
      <w:pPr>
        <w:rPr>
          <w:sz w:val="22"/>
          <w:szCs w:val="22"/>
          <w:lang w:val="sr-Latn-RS"/>
        </w:rPr>
      </w:pPr>
      <w:r w:rsidRPr="00750BAE">
        <w:rPr>
          <w:sz w:val="22"/>
          <w:szCs w:val="22"/>
          <w:lang w:val="sr-Latn-RS"/>
        </w:rPr>
        <w:t>Suspektna ili potvrđena progresivna multifokalna leukoencefalopatija (PML).</w:t>
      </w:r>
    </w:p>
    <w:p w14:paraId="4FF8649B" w14:textId="77777777" w:rsidR="00BC3A3A" w:rsidRPr="00750BAE" w:rsidRDefault="00BC3A3A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52A837BF" w14:textId="77777777" w:rsidR="00411B4B" w:rsidRPr="00750BAE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50BAE">
        <w:rPr>
          <w:b/>
          <w:bCs/>
          <w:sz w:val="22"/>
          <w:szCs w:val="22"/>
        </w:rPr>
        <w:t xml:space="preserve">4.4. </w:t>
      </w:r>
      <w:r w:rsidR="00480FB1" w:rsidRPr="00750BAE">
        <w:rPr>
          <w:b/>
          <w:bCs/>
          <w:sz w:val="22"/>
          <w:szCs w:val="22"/>
        </w:rPr>
        <w:tab/>
      </w:r>
      <w:r w:rsidRPr="00750BAE">
        <w:rPr>
          <w:b/>
          <w:bCs/>
          <w:sz w:val="22"/>
          <w:szCs w:val="22"/>
        </w:rPr>
        <w:t>Posebna upozorenja i mjere opreza pri upotrebi lijeka</w:t>
      </w:r>
    </w:p>
    <w:p w14:paraId="1A6F78F3" w14:textId="77777777" w:rsidR="0072020E" w:rsidRPr="00750BA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6007E90" w14:textId="624CCF0B" w:rsidR="00BC3A3A" w:rsidRPr="00750BAE" w:rsidRDefault="00BC3A3A" w:rsidP="00831A7E">
      <w:pPr>
        <w:pStyle w:val="BodyText"/>
        <w:ind w:left="0" w:right="130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Pri peroralnoj prim</w:t>
      </w:r>
      <w:r w:rsidR="00A83B47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>eni, diroksimel</w:t>
      </w:r>
      <w:r w:rsidR="00CD5E12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 i dimetil</w:t>
      </w:r>
      <w:r w:rsidR="00CD5E12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 se metabolišu u monometil fumarat (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</w:t>
      </w:r>
      <w:r w:rsidR="00685B6B">
        <w:rPr>
          <w:rFonts w:cs="Times New Roman"/>
          <w:lang w:val="sr-Latn-RS"/>
        </w:rPr>
        <w:t>dio</w:t>
      </w:r>
      <w:r w:rsidR="00685B6B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5.2). Očekuje se da su rizici povezani sa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>om slični onima koji su zab</w:t>
      </w:r>
      <w:r w:rsidR="00A83B47" w:rsidRPr="00750BAE">
        <w:rPr>
          <w:rFonts w:cs="Times New Roman"/>
          <w:lang w:val="sr-Latn-RS"/>
        </w:rPr>
        <w:t>ilj</w:t>
      </w:r>
      <w:r w:rsidRPr="00750BAE">
        <w:rPr>
          <w:rFonts w:cs="Times New Roman"/>
          <w:lang w:val="sr-Latn-RS"/>
        </w:rPr>
        <w:t>eženi kod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fumarata, iako </w:t>
      </w:r>
      <w:r w:rsidR="00A83B47" w:rsidRPr="00750BAE">
        <w:rPr>
          <w:rFonts w:cs="Times New Roman"/>
          <w:lang w:val="sr-Latn-RS"/>
        </w:rPr>
        <w:t>nijesu</w:t>
      </w:r>
      <w:r w:rsidRPr="00750BAE">
        <w:rPr>
          <w:rFonts w:cs="Times New Roman"/>
          <w:lang w:val="sr-Latn-RS"/>
        </w:rPr>
        <w:t xml:space="preserve"> svi rizici navedeni u nastavku prim</w:t>
      </w:r>
      <w:r w:rsidR="00A83B47" w:rsidRPr="00750BAE">
        <w:rPr>
          <w:rFonts w:cs="Times New Roman"/>
          <w:lang w:val="sr-Latn-RS"/>
        </w:rPr>
        <w:t>ij</w:t>
      </w:r>
      <w:r w:rsidRPr="00750BAE">
        <w:rPr>
          <w:rFonts w:cs="Times New Roman"/>
          <w:lang w:val="sr-Latn-RS"/>
        </w:rPr>
        <w:t xml:space="preserve">ećeni specifično kod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>a.</w:t>
      </w:r>
    </w:p>
    <w:p w14:paraId="0C045C78" w14:textId="77777777" w:rsidR="00BC3A3A" w:rsidRPr="00750BAE" w:rsidRDefault="00BC3A3A" w:rsidP="00BC3A3A">
      <w:pPr>
        <w:spacing w:before="9"/>
        <w:rPr>
          <w:sz w:val="22"/>
          <w:szCs w:val="22"/>
          <w:lang w:val="sr-Latn-RS"/>
        </w:rPr>
      </w:pPr>
    </w:p>
    <w:p w14:paraId="1E5C13E1" w14:textId="77777777" w:rsidR="00BC3A3A" w:rsidRPr="00750BAE" w:rsidRDefault="00BC3A3A" w:rsidP="00831A7E">
      <w:pPr>
        <w:pStyle w:val="BodyText"/>
        <w:ind w:left="0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>Krvne/laboratorijske analize</w:t>
      </w:r>
    </w:p>
    <w:p w14:paraId="4D735FA0" w14:textId="77777777" w:rsidR="00BC3A3A" w:rsidRPr="00750BAE" w:rsidRDefault="00BC3A3A" w:rsidP="00BC3A3A">
      <w:pPr>
        <w:spacing w:before="7"/>
        <w:rPr>
          <w:sz w:val="22"/>
          <w:szCs w:val="22"/>
          <w:lang w:val="sr-Latn-RS"/>
        </w:rPr>
      </w:pPr>
    </w:p>
    <w:p w14:paraId="5E286280" w14:textId="07EB3326" w:rsidR="00BC3A3A" w:rsidRPr="00750BAE" w:rsidRDefault="00BC3A3A" w:rsidP="00831A7E">
      <w:pPr>
        <w:pStyle w:val="BodyText"/>
        <w:spacing w:before="72"/>
        <w:ind w:left="0" w:right="130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U kliničkim ispitivanjima kod pacijenata </w:t>
      </w:r>
      <w:r w:rsidR="00A83B47" w:rsidRPr="00750BAE">
        <w:rPr>
          <w:rFonts w:cs="Times New Roman"/>
          <w:lang w:val="sr-Latn-RS"/>
        </w:rPr>
        <w:t>liječenih</w:t>
      </w:r>
      <w:r w:rsidRPr="00750BAE">
        <w:rPr>
          <w:rFonts w:cs="Times New Roman"/>
          <w:lang w:val="sr-Latn-RS"/>
        </w:rPr>
        <w:t xml:space="preserve">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fumaratom </w:t>
      </w:r>
      <w:r w:rsidR="00A83B47" w:rsidRPr="00750BAE">
        <w:rPr>
          <w:rFonts w:cs="Times New Roman"/>
          <w:lang w:val="sr-Latn-RS"/>
        </w:rPr>
        <w:t>primijećen</w:t>
      </w:r>
      <w:r w:rsidRPr="00750BAE">
        <w:rPr>
          <w:rFonts w:cs="Times New Roman"/>
          <w:lang w:val="sr-Latn-RS"/>
        </w:rPr>
        <w:t xml:space="preserve">e su </w:t>
      </w:r>
      <w:r w:rsidR="00A83B47" w:rsidRPr="00750BAE">
        <w:rPr>
          <w:rFonts w:cs="Times New Roman"/>
          <w:lang w:val="sr-Latn-RS"/>
        </w:rPr>
        <w:t>promjen</w:t>
      </w:r>
      <w:r w:rsidRPr="00750BAE">
        <w:rPr>
          <w:rFonts w:cs="Times New Roman"/>
          <w:lang w:val="sr-Latn-RS"/>
        </w:rPr>
        <w:t>e u laboratorijskim analizama bubrega (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</w:t>
      </w:r>
      <w:r w:rsidR="00685B6B">
        <w:rPr>
          <w:rFonts w:cs="Times New Roman"/>
          <w:lang w:val="sr-Latn-RS"/>
        </w:rPr>
        <w:t>dio</w:t>
      </w:r>
      <w:r w:rsidR="00685B6B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4.8). </w:t>
      </w:r>
      <w:r w:rsidR="00A83B47" w:rsidRPr="00750BAE">
        <w:rPr>
          <w:rFonts w:cs="Times New Roman"/>
          <w:lang w:val="sr-Latn-RS"/>
        </w:rPr>
        <w:t>Nijesu</w:t>
      </w:r>
      <w:r w:rsidRPr="00750BAE">
        <w:rPr>
          <w:rFonts w:cs="Times New Roman"/>
          <w:lang w:val="sr-Latn-RS"/>
        </w:rPr>
        <w:t xml:space="preserve"> poznate kliničke implikacije tih </w:t>
      </w:r>
      <w:r w:rsidR="00A83B47" w:rsidRPr="00750BAE">
        <w:rPr>
          <w:rFonts w:cs="Times New Roman"/>
          <w:lang w:val="sr-Latn-RS"/>
        </w:rPr>
        <w:t>promjen</w:t>
      </w:r>
      <w:r w:rsidRPr="00750BAE">
        <w:rPr>
          <w:rFonts w:cs="Times New Roman"/>
          <w:lang w:val="sr-Latn-RS"/>
        </w:rPr>
        <w:t xml:space="preserve">a. Preporučene su </w:t>
      </w:r>
      <w:r w:rsidR="00A83B47" w:rsidRPr="00750BAE">
        <w:rPr>
          <w:rFonts w:cs="Times New Roman"/>
          <w:lang w:val="sr-Latn-RS"/>
        </w:rPr>
        <w:t>procjen</w:t>
      </w:r>
      <w:r w:rsidRPr="00750BAE">
        <w:rPr>
          <w:rFonts w:cs="Times New Roman"/>
          <w:lang w:val="sr-Latn-RS"/>
        </w:rPr>
        <w:t>e bubrežne funkcije (npr. kreatinin, urea u krvi i analiza urina) pr</w:t>
      </w:r>
      <w:r w:rsidR="00A83B47" w:rsidRPr="00750BAE">
        <w:rPr>
          <w:rFonts w:cs="Times New Roman"/>
          <w:lang w:val="sr-Latn-RS"/>
        </w:rPr>
        <w:t>ij</w:t>
      </w:r>
      <w:r w:rsidRPr="00750BAE">
        <w:rPr>
          <w:rFonts w:cs="Times New Roman"/>
          <w:lang w:val="sr-Latn-RS"/>
        </w:rPr>
        <w:t xml:space="preserve">e početka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 xml:space="preserve">a 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 xml:space="preserve">om Vumerity, nakon 3 i 6 </w:t>
      </w:r>
      <w:r w:rsidR="006D0DCA" w:rsidRPr="00750BAE">
        <w:rPr>
          <w:rFonts w:cs="Times New Roman"/>
          <w:lang w:val="sr-Latn-RS"/>
        </w:rPr>
        <w:t>mjesec</w:t>
      </w:r>
      <w:r w:rsidRPr="00750BAE">
        <w:rPr>
          <w:rFonts w:cs="Times New Roman"/>
          <w:lang w:val="sr-Latn-RS"/>
        </w:rPr>
        <w:t xml:space="preserve">i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 xml:space="preserve">a, zatim svakih 6 do 12 </w:t>
      </w:r>
      <w:r w:rsidR="006D0DCA" w:rsidRPr="00750BAE">
        <w:rPr>
          <w:rFonts w:cs="Times New Roman"/>
          <w:lang w:val="sr-Latn-RS"/>
        </w:rPr>
        <w:t>mjesec</w:t>
      </w:r>
      <w:r w:rsidRPr="00750BAE">
        <w:rPr>
          <w:rFonts w:cs="Times New Roman"/>
          <w:lang w:val="sr-Latn-RS"/>
        </w:rPr>
        <w:t>i, i onda kada je klinički indikovano.</w:t>
      </w:r>
    </w:p>
    <w:p w14:paraId="4E57BF7C" w14:textId="77777777" w:rsidR="00BC3A3A" w:rsidRPr="00750BAE" w:rsidRDefault="00BC3A3A" w:rsidP="00BC3A3A">
      <w:pPr>
        <w:spacing w:before="3"/>
        <w:rPr>
          <w:sz w:val="22"/>
          <w:szCs w:val="22"/>
          <w:lang w:val="sr-Latn-RS"/>
        </w:rPr>
      </w:pPr>
    </w:p>
    <w:p w14:paraId="1759E2F9" w14:textId="55FAE6D8" w:rsidR="00BC3A3A" w:rsidRPr="00750BAE" w:rsidRDefault="0069098C" w:rsidP="00BC3A3A">
      <w:pPr>
        <w:rPr>
          <w:sz w:val="22"/>
          <w:szCs w:val="22"/>
          <w:lang w:val="sr-Latn-RS"/>
        </w:rPr>
      </w:pPr>
      <w:r w:rsidRPr="00750BAE">
        <w:rPr>
          <w:sz w:val="22"/>
          <w:szCs w:val="22"/>
          <w:lang w:val="sr-Latn-RS"/>
        </w:rPr>
        <w:t>Liječenje</w:t>
      </w:r>
      <w:r w:rsidR="00BC3A3A" w:rsidRPr="00750BAE">
        <w:rPr>
          <w:sz w:val="22"/>
          <w:szCs w:val="22"/>
          <w:lang w:val="sr-Latn-RS"/>
        </w:rPr>
        <w:t xml:space="preserve"> dimetil</w:t>
      </w:r>
      <w:r w:rsidR="00001F91">
        <w:rPr>
          <w:sz w:val="22"/>
          <w:szCs w:val="22"/>
          <w:lang w:val="sr-Latn-RS"/>
        </w:rPr>
        <w:t xml:space="preserve"> </w:t>
      </w:r>
      <w:r w:rsidR="00BC3A3A" w:rsidRPr="00750BAE">
        <w:rPr>
          <w:sz w:val="22"/>
          <w:szCs w:val="22"/>
          <w:lang w:val="sr-Latn-RS"/>
        </w:rPr>
        <w:t xml:space="preserve">fumaratom može za </w:t>
      </w:r>
      <w:r w:rsidR="00A83B47" w:rsidRPr="00750BAE">
        <w:rPr>
          <w:sz w:val="22"/>
          <w:szCs w:val="22"/>
          <w:lang w:val="sr-Latn-RS"/>
        </w:rPr>
        <w:t>posljedic</w:t>
      </w:r>
      <w:r w:rsidR="00BC3A3A" w:rsidRPr="00750BAE">
        <w:rPr>
          <w:sz w:val="22"/>
          <w:szCs w:val="22"/>
          <w:lang w:val="sr-Latn-RS"/>
        </w:rPr>
        <w:t xml:space="preserve">u da ima oštećenje jetre izazvano </w:t>
      </w:r>
      <w:r w:rsidR="004A63C1" w:rsidRPr="00750BAE">
        <w:rPr>
          <w:sz w:val="22"/>
          <w:szCs w:val="22"/>
          <w:lang w:val="sr-Latn-RS"/>
        </w:rPr>
        <w:t>lijek</w:t>
      </w:r>
      <w:r w:rsidR="00BC3A3A" w:rsidRPr="00750BAE">
        <w:rPr>
          <w:sz w:val="22"/>
          <w:szCs w:val="22"/>
          <w:lang w:val="sr-Latn-RS"/>
        </w:rPr>
        <w:t xml:space="preserve">om, uključujući povišenje enzima jetre (≥ 3 puta iznad gornje granice normale (GGN)) i povišenje nivoa ukupnog </w:t>
      </w:r>
      <w:r w:rsidR="00BC3A3A" w:rsidRPr="00750BAE">
        <w:rPr>
          <w:sz w:val="22"/>
          <w:szCs w:val="22"/>
          <w:lang w:val="sr-Latn-RS"/>
        </w:rPr>
        <w:lastRenderedPageBreak/>
        <w:t xml:space="preserve">bilirubina (≥ 2 GGN). Te </w:t>
      </w:r>
      <w:r w:rsidR="00A83B47" w:rsidRPr="00750BAE">
        <w:rPr>
          <w:sz w:val="22"/>
          <w:szCs w:val="22"/>
          <w:lang w:val="sr-Latn-RS"/>
        </w:rPr>
        <w:t>promjen</w:t>
      </w:r>
      <w:r w:rsidR="00BC3A3A" w:rsidRPr="00750BAE">
        <w:rPr>
          <w:sz w:val="22"/>
          <w:szCs w:val="22"/>
          <w:lang w:val="sr-Latn-RS"/>
        </w:rPr>
        <w:t xml:space="preserve">e mogu da nastupe odmah, nakon nekoliko </w:t>
      </w:r>
      <w:r w:rsidR="00A83B47" w:rsidRPr="00750BAE">
        <w:rPr>
          <w:sz w:val="22"/>
          <w:szCs w:val="22"/>
          <w:lang w:val="sr-Latn-RS"/>
        </w:rPr>
        <w:t>nedjelja</w:t>
      </w:r>
      <w:r w:rsidR="00BC3A3A" w:rsidRPr="00750BAE">
        <w:rPr>
          <w:sz w:val="22"/>
          <w:szCs w:val="22"/>
          <w:lang w:val="sr-Latn-RS"/>
        </w:rPr>
        <w:t xml:space="preserve"> ili nakon dužeg </w:t>
      </w:r>
      <w:r w:rsidR="00DD7D46" w:rsidRPr="00750BAE">
        <w:rPr>
          <w:sz w:val="22"/>
          <w:szCs w:val="22"/>
          <w:lang w:val="sr-Latn-RS"/>
        </w:rPr>
        <w:t>v</w:t>
      </w:r>
      <w:r w:rsidR="00A83B47" w:rsidRPr="00750BAE">
        <w:rPr>
          <w:sz w:val="22"/>
          <w:szCs w:val="22"/>
          <w:lang w:val="sr-Latn-RS"/>
        </w:rPr>
        <w:t>r</w:t>
      </w:r>
      <w:r w:rsidR="00DD7D46" w:rsidRPr="00750BAE">
        <w:rPr>
          <w:sz w:val="22"/>
          <w:szCs w:val="22"/>
          <w:lang w:val="sr-Latn-RS"/>
        </w:rPr>
        <w:t>eme</w:t>
      </w:r>
      <w:r w:rsidR="00BC3A3A" w:rsidRPr="00750BAE">
        <w:rPr>
          <w:sz w:val="22"/>
          <w:szCs w:val="22"/>
          <w:lang w:val="sr-Latn-RS"/>
        </w:rPr>
        <w:t xml:space="preserve">na. Nestanak neželjenih reakcija </w:t>
      </w:r>
      <w:r w:rsidR="00A83B47" w:rsidRPr="00750BAE">
        <w:rPr>
          <w:sz w:val="22"/>
          <w:szCs w:val="22"/>
          <w:lang w:val="sr-Latn-RS"/>
        </w:rPr>
        <w:t>primijećen</w:t>
      </w:r>
      <w:r w:rsidR="00BC3A3A" w:rsidRPr="00750BAE">
        <w:rPr>
          <w:sz w:val="22"/>
          <w:szCs w:val="22"/>
          <w:lang w:val="sr-Latn-RS"/>
        </w:rPr>
        <w:t xml:space="preserve"> je nakon prekida terapije. Pr</w:t>
      </w:r>
      <w:r w:rsidR="005F44D1" w:rsidRPr="00750BAE">
        <w:rPr>
          <w:sz w:val="22"/>
          <w:szCs w:val="22"/>
          <w:lang w:val="sr-Latn-RS"/>
        </w:rPr>
        <w:t>ij</w:t>
      </w:r>
      <w:r w:rsidR="00BC3A3A" w:rsidRPr="00750BAE">
        <w:rPr>
          <w:sz w:val="22"/>
          <w:szCs w:val="22"/>
          <w:lang w:val="sr-Latn-RS"/>
        </w:rPr>
        <w:t xml:space="preserve">e početka </w:t>
      </w:r>
      <w:r w:rsidRPr="00750BAE">
        <w:rPr>
          <w:sz w:val="22"/>
          <w:szCs w:val="22"/>
          <w:lang w:val="sr-Latn-RS"/>
        </w:rPr>
        <w:t>liječenj</w:t>
      </w:r>
      <w:r w:rsidR="00BC3A3A" w:rsidRPr="00750BAE">
        <w:rPr>
          <w:sz w:val="22"/>
          <w:szCs w:val="22"/>
          <w:lang w:val="sr-Latn-RS"/>
        </w:rPr>
        <w:t xml:space="preserve">a i tokom </w:t>
      </w:r>
      <w:r w:rsidRPr="00750BAE">
        <w:rPr>
          <w:sz w:val="22"/>
          <w:szCs w:val="22"/>
          <w:lang w:val="sr-Latn-RS"/>
        </w:rPr>
        <w:t>liječenj</w:t>
      </w:r>
      <w:r w:rsidR="00BC3A3A" w:rsidRPr="00750BAE">
        <w:rPr>
          <w:sz w:val="22"/>
          <w:szCs w:val="22"/>
          <w:lang w:val="sr-Latn-RS"/>
        </w:rPr>
        <w:t xml:space="preserve">a preporučuju se </w:t>
      </w:r>
      <w:r w:rsidR="00A83B47" w:rsidRPr="00750BAE">
        <w:rPr>
          <w:sz w:val="22"/>
          <w:szCs w:val="22"/>
          <w:lang w:val="sr-Latn-RS"/>
        </w:rPr>
        <w:t>procjen</w:t>
      </w:r>
      <w:r w:rsidR="00BC3A3A" w:rsidRPr="00750BAE">
        <w:rPr>
          <w:sz w:val="22"/>
          <w:szCs w:val="22"/>
          <w:lang w:val="sr-Latn-RS"/>
        </w:rPr>
        <w:t>e aminotransferaza u serumu (npr. alanin aminotransferaze (ALT), aspartat aminotransferaze (AST)) i nivoa ukupnog bilirubina, kako je klinički indikovano.</w:t>
      </w:r>
    </w:p>
    <w:p w14:paraId="6E6525A6" w14:textId="77777777" w:rsidR="00BC3A3A" w:rsidRPr="00750BAE" w:rsidRDefault="00BC3A3A" w:rsidP="00BC3A3A">
      <w:pPr>
        <w:rPr>
          <w:sz w:val="22"/>
          <w:szCs w:val="22"/>
        </w:rPr>
      </w:pPr>
    </w:p>
    <w:p w14:paraId="39623E2D" w14:textId="732430B5" w:rsidR="00BC3A3A" w:rsidRPr="00750BAE" w:rsidRDefault="00BC3A3A" w:rsidP="00BC3A3A">
      <w:pPr>
        <w:pStyle w:val="BodyText"/>
        <w:spacing w:line="237" w:lineRule="auto"/>
        <w:ind w:left="0" w:right="155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Pacijenti l</w:t>
      </w:r>
      <w:r w:rsidR="005F44D1" w:rsidRPr="00750BAE">
        <w:rPr>
          <w:rFonts w:cs="Times New Roman"/>
          <w:lang w:val="sr-Latn-RS"/>
        </w:rPr>
        <w:t>ij</w:t>
      </w:r>
      <w:r w:rsidRPr="00750BAE">
        <w:rPr>
          <w:rFonts w:cs="Times New Roman"/>
          <w:lang w:val="sr-Latn-RS"/>
        </w:rPr>
        <w:t>ečeni diroksimel</w:t>
      </w:r>
      <w:r w:rsidR="00CD5E12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fumaratom mogu da razviju limfopeniju (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</w:t>
      </w:r>
      <w:r w:rsidR="00685B6B">
        <w:rPr>
          <w:rFonts w:cs="Times New Roman"/>
          <w:lang w:val="sr-Latn-RS"/>
        </w:rPr>
        <w:t>dio</w:t>
      </w:r>
      <w:r w:rsidR="00685B6B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4.8). Pr</w:t>
      </w:r>
      <w:r w:rsidR="005F44D1" w:rsidRPr="00750BAE">
        <w:rPr>
          <w:rFonts w:cs="Times New Roman"/>
          <w:lang w:val="sr-Latn-RS"/>
        </w:rPr>
        <w:t>ij</w:t>
      </w:r>
      <w:r w:rsidRPr="00750BAE">
        <w:rPr>
          <w:rFonts w:cs="Times New Roman"/>
          <w:lang w:val="sr-Latn-RS"/>
        </w:rPr>
        <w:t xml:space="preserve">e početka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 xml:space="preserve">a neophodno je uraditi kompletnu krvnu sliku, uključujući broj limfocita. Ako se utvrdi da je broj limfocita ispod normalnog raspona, treba uraditi detaljnu </w:t>
      </w:r>
      <w:r w:rsidR="00A83B47" w:rsidRPr="00750BAE">
        <w:rPr>
          <w:rFonts w:cs="Times New Roman"/>
          <w:lang w:val="sr-Latn-RS"/>
        </w:rPr>
        <w:t>procjen</w:t>
      </w:r>
      <w:r w:rsidRPr="00750BAE">
        <w:rPr>
          <w:rFonts w:cs="Times New Roman"/>
          <w:lang w:val="sr-Latn-RS"/>
        </w:rPr>
        <w:t>u mogućih uzroka pr</w:t>
      </w:r>
      <w:r w:rsidR="005F44D1" w:rsidRPr="00750BAE">
        <w:rPr>
          <w:rFonts w:cs="Times New Roman"/>
          <w:lang w:val="sr-Latn-RS"/>
        </w:rPr>
        <w:t>ij</w:t>
      </w:r>
      <w:r w:rsidRPr="00750BAE">
        <w:rPr>
          <w:rFonts w:cs="Times New Roman"/>
          <w:lang w:val="sr-Latn-RS"/>
        </w:rPr>
        <w:t xml:space="preserve">e početka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 xml:space="preserve">a. </w:t>
      </w:r>
    </w:p>
    <w:p w14:paraId="08F81B58" w14:textId="33404867" w:rsidR="00BC3A3A" w:rsidRPr="00750BAE" w:rsidRDefault="004A63C1" w:rsidP="00BC3A3A">
      <w:pPr>
        <w:pStyle w:val="BodyText"/>
        <w:spacing w:before="1"/>
        <w:ind w:left="0" w:right="25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Lijek</w:t>
      </w:r>
      <w:r w:rsidR="00BC3A3A" w:rsidRPr="00750BAE">
        <w:rPr>
          <w:rFonts w:cs="Times New Roman"/>
          <w:lang w:val="sr-Latn-RS"/>
        </w:rPr>
        <w:t xml:space="preserve"> Vumerity nije ispitivan kod pacijenata sa već postojećim niskim brojem limfocita, pa je potreban oprez pri </w:t>
      </w:r>
      <w:r w:rsidR="0069098C" w:rsidRPr="00750BAE">
        <w:rPr>
          <w:rFonts w:cs="Times New Roman"/>
          <w:lang w:val="sr-Latn-RS"/>
        </w:rPr>
        <w:t>liječenj</w:t>
      </w:r>
      <w:r w:rsidR="00BC3A3A" w:rsidRPr="00750BAE">
        <w:rPr>
          <w:rFonts w:cs="Times New Roman"/>
          <w:lang w:val="sr-Latn-RS"/>
        </w:rPr>
        <w:t xml:space="preserve">u takvih pacijenata. </w:t>
      </w:r>
      <w:r w:rsidR="0069098C" w:rsidRPr="00750BAE">
        <w:rPr>
          <w:rFonts w:cs="Times New Roman"/>
          <w:lang w:val="sr-Latn-RS"/>
        </w:rPr>
        <w:t>Liječenje</w:t>
      </w:r>
      <w:r w:rsidR="00BC3A3A" w:rsidRPr="00750BAE">
        <w:rPr>
          <w:rFonts w:cs="Times New Roman"/>
          <w:lang w:val="sr-Latn-RS"/>
        </w:rPr>
        <w:t xml:space="preserve"> ne </w:t>
      </w:r>
      <w:r w:rsidR="006D0DCA" w:rsidRPr="00750BAE">
        <w:rPr>
          <w:rFonts w:cs="Times New Roman"/>
          <w:lang w:val="sr-Latn-RS"/>
        </w:rPr>
        <w:t>smije</w:t>
      </w:r>
      <w:r w:rsidR="00BC3A3A" w:rsidRPr="00750BAE">
        <w:rPr>
          <w:rFonts w:cs="Times New Roman"/>
          <w:lang w:val="sr-Latn-RS"/>
        </w:rPr>
        <w:t xml:space="preserve"> da se započne kod pacijenata sa teškom limfopenijom (broj limfocita &lt;0,5 x 10</w:t>
      </w:r>
      <w:r w:rsidR="00BC3A3A" w:rsidRPr="008246C8">
        <w:rPr>
          <w:rFonts w:cs="Times New Roman"/>
          <w:vertAlign w:val="superscript"/>
          <w:lang w:val="sr-Latn-RS"/>
        </w:rPr>
        <w:t>9</w:t>
      </w:r>
      <w:r w:rsidR="00BC3A3A" w:rsidRPr="00750BAE">
        <w:rPr>
          <w:rFonts w:cs="Times New Roman"/>
          <w:lang w:val="sr-Latn-RS"/>
        </w:rPr>
        <w:t>/l).</w:t>
      </w:r>
    </w:p>
    <w:p w14:paraId="313DAE06" w14:textId="77777777" w:rsidR="00BC3A3A" w:rsidRPr="00750BAE" w:rsidRDefault="00BC3A3A" w:rsidP="00BC3A3A">
      <w:pPr>
        <w:spacing w:before="8"/>
        <w:rPr>
          <w:sz w:val="22"/>
          <w:szCs w:val="22"/>
          <w:lang w:val="sr-Latn-RS"/>
        </w:rPr>
      </w:pPr>
    </w:p>
    <w:p w14:paraId="2649F8B8" w14:textId="4164D436" w:rsidR="00BC3A3A" w:rsidRPr="00750BAE" w:rsidRDefault="00BC3A3A" w:rsidP="00BC3A3A">
      <w:pPr>
        <w:pStyle w:val="BodyText"/>
        <w:spacing w:line="250" w:lineRule="exact"/>
        <w:ind w:left="0" w:right="722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Nakon početka terapije, kompletna krvna slika, uključujući broj limfocita, mora se raditi na svaka 3 </w:t>
      </w:r>
      <w:r w:rsidR="006D0DCA" w:rsidRPr="00750BAE">
        <w:rPr>
          <w:rFonts w:cs="Times New Roman"/>
          <w:lang w:val="sr-Latn-RS"/>
        </w:rPr>
        <w:t>mjesec</w:t>
      </w:r>
      <w:r w:rsidRPr="00750BAE">
        <w:rPr>
          <w:rFonts w:cs="Times New Roman"/>
          <w:lang w:val="sr-Latn-RS"/>
        </w:rPr>
        <w:t>a.</w:t>
      </w:r>
    </w:p>
    <w:p w14:paraId="7ED76AD4" w14:textId="77777777" w:rsidR="00BC3A3A" w:rsidRPr="00750BAE" w:rsidRDefault="00BC3A3A" w:rsidP="00BC3A3A">
      <w:pPr>
        <w:pStyle w:val="BodyText"/>
        <w:spacing w:line="250" w:lineRule="exact"/>
        <w:ind w:left="0" w:right="722"/>
        <w:jc w:val="both"/>
        <w:rPr>
          <w:rFonts w:cs="Times New Roman"/>
          <w:lang w:val="sr-Latn-RS"/>
        </w:rPr>
      </w:pPr>
    </w:p>
    <w:p w14:paraId="292A4BDD" w14:textId="4E1CF784" w:rsidR="00BC3A3A" w:rsidRPr="00750BAE" w:rsidRDefault="00BC3A3A" w:rsidP="005F44D1">
      <w:pPr>
        <w:pStyle w:val="BodyText"/>
        <w:ind w:left="0" w:right="26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Zbog povećanog rizika od progresivne multifokalne leukoencefalopatije (PML) kod pacijenata sa limfopenijom, preporučuju se </w:t>
      </w:r>
      <w:r w:rsidR="00E45E91" w:rsidRPr="00750BAE">
        <w:rPr>
          <w:rFonts w:cs="Times New Roman"/>
          <w:lang w:val="sr-Latn-RS"/>
        </w:rPr>
        <w:t>sljedeć</w:t>
      </w:r>
      <w:r w:rsidRPr="00750BAE">
        <w:rPr>
          <w:rFonts w:cs="Times New Roman"/>
          <w:lang w:val="sr-Latn-RS"/>
        </w:rPr>
        <w:t>e dodatne m</w:t>
      </w:r>
      <w:r w:rsidR="005F44D1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>ere opreza:</w:t>
      </w:r>
    </w:p>
    <w:p w14:paraId="56AD3912" w14:textId="002EB233" w:rsidR="00BC3A3A" w:rsidRPr="00750BAE" w:rsidRDefault="0069098C" w:rsidP="00BC3A3A">
      <w:pPr>
        <w:pStyle w:val="BodyText"/>
        <w:numPr>
          <w:ilvl w:val="0"/>
          <w:numId w:val="12"/>
        </w:numPr>
        <w:tabs>
          <w:tab w:val="left" w:pos="683"/>
        </w:tabs>
        <w:spacing w:before="21" w:line="250" w:lineRule="exact"/>
        <w:ind w:right="264" w:hanging="566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Liječenje</w:t>
      </w:r>
      <w:r w:rsidR="00BC3A3A" w:rsidRPr="00750BAE">
        <w:rPr>
          <w:rFonts w:cs="Times New Roman"/>
          <w:lang w:val="sr-Latn-RS"/>
        </w:rPr>
        <w:t xml:space="preserve"> je potrebno prekinuti kod pacijenata sa dugotrajnom teškom limfopenijom (broj limfocita &lt; 0,5 × 109/l) koja traje duže od 6 </w:t>
      </w:r>
      <w:r w:rsidR="006D0DCA" w:rsidRPr="00750BAE">
        <w:rPr>
          <w:rFonts w:cs="Times New Roman"/>
          <w:lang w:val="sr-Latn-RS"/>
        </w:rPr>
        <w:t>mjesec</w:t>
      </w:r>
      <w:r w:rsidR="00BC3A3A" w:rsidRPr="00750BAE">
        <w:rPr>
          <w:rFonts w:cs="Times New Roman"/>
          <w:lang w:val="sr-Latn-RS"/>
        </w:rPr>
        <w:t>i.</w:t>
      </w:r>
    </w:p>
    <w:p w14:paraId="4E7354EF" w14:textId="45F22F5E" w:rsidR="00BC3A3A" w:rsidRPr="00750BAE" w:rsidRDefault="00BC3A3A" w:rsidP="00BC3A3A">
      <w:pPr>
        <w:pStyle w:val="BodyText"/>
        <w:numPr>
          <w:ilvl w:val="0"/>
          <w:numId w:val="12"/>
        </w:numPr>
        <w:tabs>
          <w:tab w:val="left" w:pos="683"/>
        </w:tabs>
        <w:spacing w:line="260" w:lineRule="exact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Kod pacijenata sa trajnim </w:t>
      </w:r>
      <w:r w:rsidR="00B53AD3" w:rsidRPr="00750BAE">
        <w:rPr>
          <w:rFonts w:cs="Times New Roman"/>
          <w:lang w:val="sr-Latn-RS"/>
        </w:rPr>
        <w:t>umjeren</w:t>
      </w:r>
      <w:r w:rsidRPr="00750BAE">
        <w:rPr>
          <w:rFonts w:cs="Times New Roman"/>
          <w:lang w:val="sr-Latn-RS"/>
        </w:rPr>
        <w:t xml:space="preserve">im smanjenjima apsolutnog broja limfocita ≥ 0,5 × 109/l </w:t>
      </w:r>
      <w:r w:rsidR="00D5567D">
        <w:rPr>
          <w:rFonts w:cs="Times New Roman"/>
          <w:lang w:val="sr-Latn-RS"/>
        </w:rPr>
        <w:t>do</w:t>
      </w:r>
      <w:r w:rsidRPr="00750BAE">
        <w:rPr>
          <w:rFonts w:cs="Times New Roman"/>
          <w:lang w:val="sr-Latn-RS"/>
        </w:rPr>
        <w:t xml:space="preserve"> &lt; 0,8 × 109/l duže od 6 </w:t>
      </w:r>
      <w:r w:rsidR="006D0DCA" w:rsidRPr="00750BAE">
        <w:rPr>
          <w:rFonts w:cs="Times New Roman"/>
          <w:lang w:val="sr-Latn-RS"/>
        </w:rPr>
        <w:t>mjesec</w:t>
      </w:r>
      <w:r w:rsidRPr="00750BAE">
        <w:rPr>
          <w:rFonts w:cs="Times New Roman"/>
          <w:lang w:val="sr-Latn-RS"/>
        </w:rPr>
        <w:t xml:space="preserve">i potrebno je ponovo </w:t>
      </w:r>
      <w:r w:rsidR="00A83B47" w:rsidRPr="00750BAE">
        <w:rPr>
          <w:rFonts w:cs="Times New Roman"/>
          <w:lang w:val="sr-Latn-RS"/>
        </w:rPr>
        <w:t>proc</w:t>
      </w:r>
      <w:r w:rsidR="005F44D1" w:rsidRPr="00750BAE">
        <w:rPr>
          <w:rFonts w:cs="Times New Roman"/>
          <w:lang w:val="sr-Latn-RS"/>
        </w:rPr>
        <w:t>i</w:t>
      </w:r>
      <w:r w:rsidR="00A83B47" w:rsidRPr="00750BAE">
        <w:rPr>
          <w:rFonts w:cs="Times New Roman"/>
          <w:lang w:val="sr-Latn-RS"/>
        </w:rPr>
        <w:t>jen</w:t>
      </w:r>
      <w:r w:rsidRPr="00750BAE">
        <w:rPr>
          <w:rFonts w:cs="Times New Roman"/>
          <w:lang w:val="sr-Latn-RS"/>
        </w:rPr>
        <w:t xml:space="preserve">iti odnos koristi i rizika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>a.</w:t>
      </w:r>
    </w:p>
    <w:p w14:paraId="398E3628" w14:textId="5D692E0A" w:rsidR="00BC3A3A" w:rsidRPr="00750BAE" w:rsidRDefault="00BC3A3A" w:rsidP="00BC3A3A">
      <w:pPr>
        <w:pStyle w:val="BodyText"/>
        <w:numPr>
          <w:ilvl w:val="0"/>
          <w:numId w:val="13"/>
        </w:numPr>
        <w:tabs>
          <w:tab w:val="left" w:pos="683"/>
        </w:tabs>
        <w:spacing w:before="2" w:line="235" w:lineRule="auto"/>
        <w:ind w:right="254" w:hanging="566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Kod pacijenata sa brojem limfocita nižim od </w:t>
      </w:r>
      <w:r w:rsidR="005F44D1" w:rsidRPr="00750BAE">
        <w:rPr>
          <w:rFonts w:cs="Times New Roman"/>
          <w:lang w:val="sr-Latn-RS"/>
        </w:rPr>
        <w:t>vrijednost</w:t>
      </w:r>
      <w:r w:rsidRPr="00750BAE">
        <w:rPr>
          <w:rFonts w:cs="Times New Roman"/>
          <w:lang w:val="sr-Latn-RS"/>
        </w:rPr>
        <w:t>i DGN-a definisane referentnim rasponom lokalne laboratorije, preporučuje se redovno praćenje apsolutnog broja limfocita. Treba razmotriti dodatne faktore koji bi mogli dodatno da povećaju pojedinačni rizik od PML-a (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</w:t>
      </w:r>
      <w:r w:rsidR="00685B6B">
        <w:rPr>
          <w:rFonts w:cs="Times New Roman"/>
          <w:lang w:val="sr-Latn-RS"/>
        </w:rPr>
        <w:t>dio</w:t>
      </w:r>
      <w:r w:rsidR="00685B6B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o PML-u u nastavku).</w:t>
      </w:r>
    </w:p>
    <w:p w14:paraId="1FC07480" w14:textId="77777777" w:rsidR="00BC3A3A" w:rsidRPr="00750BAE" w:rsidRDefault="00BC3A3A" w:rsidP="00BC3A3A">
      <w:pPr>
        <w:spacing w:before="4"/>
        <w:rPr>
          <w:sz w:val="22"/>
          <w:szCs w:val="22"/>
          <w:lang w:val="sr-Latn-RS"/>
        </w:rPr>
      </w:pPr>
    </w:p>
    <w:p w14:paraId="35420F6B" w14:textId="3EAADD9F" w:rsidR="00BC3A3A" w:rsidRPr="00750BAE" w:rsidRDefault="00BC3A3A" w:rsidP="00A02E9B">
      <w:pPr>
        <w:pStyle w:val="BodyText"/>
        <w:spacing w:line="237" w:lineRule="auto"/>
        <w:ind w:left="0" w:right="25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Broj limfocita treba pratiti do oporavka</w:t>
      </w:r>
      <w:r w:rsidR="00D5567D">
        <w:rPr>
          <w:rFonts w:cs="Times New Roman"/>
          <w:lang w:val="sr-Latn-RS"/>
        </w:rPr>
        <w:t xml:space="preserve"> (vid</w:t>
      </w:r>
      <w:r w:rsidR="00D84132">
        <w:rPr>
          <w:rFonts w:cs="Times New Roman"/>
          <w:lang w:val="sr-Latn-RS"/>
        </w:rPr>
        <w:t>j</w:t>
      </w:r>
      <w:r w:rsidR="00D5567D">
        <w:rPr>
          <w:rFonts w:cs="Times New Roman"/>
          <w:lang w:val="sr-Latn-RS"/>
        </w:rPr>
        <w:t>eti dio 5.1)</w:t>
      </w:r>
      <w:r w:rsidRPr="00750BAE">
        <w:rPr>
          <w:rFonts w:cs="Times New Roman"/>
          <w:lang w:val="sr-Latn-RS"/>
        </w:rPr>
        <w:t xml:space="preserve">. Nakon oporavka i u nedostatku alternativnih opcija za </w:t>
      </w:r>
      <w:r w:rsidR="0069098C" w:rsidRPr="00750BAE">
        <w:rPr>
          <w:rFonts w:cs="Times New Roman"/>
          <w:lang w:val="sr-Latn-RS"/>
        </w:rPr>
        <w:t>liječenje</w:t>
      </w:r>
      <w:r w:rsidRPr="00750BAE">
        <w:rPr>
          <w:rFonts w:cs="Times New Roman"/>
          <w:lang w:val="sr-Latn-RS"/>
        </w:rPr>
        <w:t xml:space="preserve">, odluku o tome da li ponovo započeti </w:t>
      </w:r>
      <w:r w:rsidR="0069098C" w:rsidRPr="00750BAE">
        <w:rPr>
          <w:rFonts w:cs="Times New Roman"/>
          <w:lang w:val="sr-Latn-RS"/>
        </w:rPr>
        <w:t>liječenje</w:t>
      </w:r>
      <w:r w:rsidRPr="00750BAE">
        <w:rPr>
          <w:rFonts w:cs="Times New Roman"/>
          <w:lang w:val="sr-Latn-RS"/>
        </w:rPr>
        <w:t xml:space="preserve"> 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 xml:space="preserve">om Vumerity nakon prekida terapije treba zasnovati na kliničkoj </w:t>
      </w:r>
      <w:r w:rsidR="00A83B47" w:rsidRPr="00750BAE">
        <w:rPr>
          <w:rFonts w:cs="Times New Roman"/>
          <w:lang w:val="sr-Latn-RS"/>
        </w:rPr>
        <w:t>procjen</w:t>
      </w:r>
      <w:r w:rsidRPr="00750BAE">
        <w:rPr>
          <w:rFonts w:cs="Times New Roman"/>
          <w:lang w:val="sr-Latn-RS"/>
        </w:rPr>
        <w:t>i.</w:t>
      </w:r>
    </w:p>
    <w:p w14:paraId="041D937E" w14:textId="77777777" w:rsidR="00A02E9B" w:rsidRPr="00750BAE" w:rsidRDefault="00A02E9B" w:rsidP="00A02E9B">
      <w:pPr>
        <w:pStyle w:val="BodyText"/>
        <w:ind w:left="0"/>
        <w:jc w:val="both"/>
        <w:rPr>
          <w:rFonts w:cs="Times New Roman"/>
          <w:u w:val="single"/>
          <w:lang w:val="sr-Latn-RS"/>
        </w:rPr>
      </w:pPr>
    </w:p>
    <w:p w14:paraId="0342EE64" w14:textId="75EC44F0" w:rsidR="00BC3A3A" w:rsidRPr="00750BAE" w:rsidRDefault="00BC3A3A" w:rsidP="00A02E9B">
      <w:pPr>
        <w:pStyle w:val="BodyText"/>
        <w:ind w:left="0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>Snimanje magnetnom rezonancom (MR)</w:t>
      </w:r>
    </w:p>
    <w:p w14:paraId="1B0CC64C" w14:textId="49062331" w:rsidR="00BC3A3A" w:rsidRPr="00750BAE" w:rsidRDefault="00BC3A3A" w:rsidP="00A02E9B">
      <w:pPr>
        <w:pStyle w:val="BodyText"/>
        <w:spacing w:before="72"/>
        <w:ind w:left="0" w:right="155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Pr</w:t>
      </w:r>
      <w:r w:rsidR="005F44D1" w:rsidRPr="00750BAE">
        <w:rPr>
          <w:rFonts w:cs="Times New Roman"/>
          <w:lang w:val="sr-Latn-RS"/>
        </w:rPr>
        <w:t>ij</w:t>
      </w:r>
      <w:r w:rsidRPr="00750BAE">
        <w:rPr>
          <w:rFonts w:cs="Times New Roman"/>
          <w:lang w:val="sr-Latn-RS"/>
        </w:rPr>
        <w:t xml:space="preserve">e početka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 xml:space="preserve">a treba da bude dostupan početni MR nalaz (obično urađen tokom prethodna 3 </w:t>
      </w:r>
      <w:r w:rsidR="006D0DCA" w:rsidRPr="00750BAE">
        <w:rPr>
          <w:rFonts w:cs="Times New Roman"/>
          <w:lang w:val="sr-Latn-RS"/>
        </w:rPr>
        <w:t>mjesec</w:t>
      </w:r>
      <w:r w:rsidRPr="00750BAE">
        <w:rPr>
          <w:rFonts w:cs="Times New Roman"/>
          <w:lang w:val="sr-Latn-RS"/>
        </w:rPr>
        <w:t>a), kao referentni nalaz. Potrebu za daljim pregledima MR-om treba uzeti u obzir u skladu sa nacionalnim i lokalnim preporukama. Snimanje MR-om može se smatrati d</w:t>
      </w:r>
      <w:r w:rsidR="005F44D1" w:rsidRPr="00750BAE">
        <w:rPr>
          <w:rFonts w:cs="Times New Roman"/>
          <w:lang w:val="sr-Latn-RS"/>
        </w:rPr>
        <w:t>ij</w:t>
      </w:r>
      <w:r w:rsidRPr="00750BAE">
        <w:rPr>
          <w:rFonts w:cs="Times New Roman"/>
          <w:lang w:val="sr-Latn-RS"/>
        </w:rPr>
        <w:t>elom pojačanog praćenja kod pacijenata za koje se smatra da imaju povećan rizik od PML-a. U slučaju kliničke sumnje na PML, treba odmah uraditi snimanje MR-om u dijagnostičke svrhe.</w:t>
      </w:r>
    </w:p>
    <w:p w14:paraId="5988E459" w14:textId="77777777" w:rsidR="00A02E9B" w:rsidRPr="00750BAE" w:rsidRDefault="00A02E9B" w:rsidP="00A02E9B">
      <w:pPr>
        <w:pStyle w:val="BodyText"/>
        <w:ind w:left="0"/>
        <w:jc w:val="both"/>
        <w:rPr>
          <w:rFonts w:cs="Times New Roman"/>
          <w:u w:val="single"/>
          <w:lang w:val="sr-Latn-RS"/>
        </w:rPr>
      </w:pPr>
    </w:p>
    <w:p w14:paraId="6EABC96A" w14:textId="110DCD47" w:rsidR="00BC3A3A" w:rsidRPr="00750BAE" w:rsidRDefault="00BC3A3A" w:rsidP="00A02E9B">
      <w:pPr>
        <w:pStyle w:val="BodyText"/>
        <w:ind w:left="0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>Progresivna multifokalna leukoencefalopatija (PML)</w:t>
      </w:r>
    </w:p>
    <w:p w14:paraId="7B629C29" w14:textId="77777777" w:rsidR="00A02E9B" w:rsidRPr="00750BAE" w:rsidRDefault="00A02E9B" w:rsidP="00A02E9B">
      <w:pPr>
        <w:pStyle w:val="BodyText"/>
        <w:spacing w:before="77" w:line="250" w:lineRule="exact"/>
        <w:ind w:left="0" w:right="254"/>
        <w:jc w:val="both"/>
        <w:rPr>
          <w:rFonts w:cs="Times New Roman"/>
          <w:lang w:val="sr-Latn-RS"/>
        </w:rPr>
      </w:pPr>
    </w:p>
    <w:p w14:paraId="6DC2BF80" w14:textId="64ABCDB5" w:rsidR="00BC3A3A" w:rsidRPr="00750BAE" w:rsidRDefault="00BC3A3A" w:rsidP="00A02E9B">
      <w:pPr>
        <w:pStyle w:val="BodyText"/>
        <w:spacing w:before="77" w:line="250" w:lineRule="exact"/>
        <w:ind w:left="0" w:right="25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PML je zab</w:t>
      </w:r>
      <w:r w:rsidR="005F44D1" w:rsidRPr="00750BAE">
        <w:rPr>
          <w:rFonts w:cs="Times New Roman"/>
          <w:lang w:val="sr-Latn-RS"/>
        </w:rPr>
        <w:t>ilj</w:t>
      </w:r>
      <w:r w:rsidRPr="00750BAE">
        <w:rPr>
          <w:rFonts w:cs="Times New Roman"/>
          <w:lang w:val="sr-Latn-RS"/>
        </w:rPr>
        <w:t xml:space="preserve">ežen kod pacijenata koji se </w:t>
      </w:r>
      <w:r w:rsidR="004B4C9F" w:rsidRPr="00750BAE">
        <w:rPr>
          <w:rFonts w:cs="Times New Roman"/>
          <w:lang w:val="sr-Latn-RS"/>
        </w:rPr>
        <w:t>liječe</w:t>
      </w:r>
      <w:r w:rsidRPr="00750BAE">
        <w:rPr>
          <w:rFonts w:cs="Times New Roman"/>
          <w:lang w:val="sr-Latn-RS"/>
        </w:rPr>
        <w:t xml:space="preserve">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fumaratom</w:t>
      </w:r>
      <w:r w:rsidR="00D5567D">
        <w:rPr>
          <w:rFonts w:cs="Times New Roman"/>
          <w:lang w:val="sr-Latn-RS"/>
        </w:rPr>
        <w:t xml:space="preserve"> (vid</w:t>
      </w:r>
      <w:r w:rsidR="00D84132">
        <w:rPr>
          <w:rFonts w:cs="Times New Roman"/>
          <w:lang w:val="sr-Latn-RS"/>
        </w:rPr>
        <w:t>j</w:t>
      </w:r>
      <w:r w:rsidR="00D5567D">
        <w:rPr>
          <w:rFonts w:cs="Times New Roman"/>
          <w:lang w:val="sr-Latn-RS"/>
        </w:rPr>
        <w:t>eti dio 4.8)</w:t>
      </w:r>
      <w:r w:rsidRPr="00750BAE">
        <w:rPr>
          <w:rFonts w:cs="Times New Roman"/>
          <w:lang w:val="sr-Latn-RS"/>
        </w:rPr>
        <w:t xml:space="preserve">. PML je oportunistička infekcija koju izaziva virus </w:t>
      </w:r>
      <w:r w:rsidR="003B4A63">
        <w:rPr>
          <w:rFonts w:cs="Times New Roman"/>
          <w:lang w:val="sr-Latn-RS"/>
        </w:rPr>
        <w:t>John Cunningham vurus</w:t>
      </w:r>
      <w:r w:rsidRPr="00750BAE">
        <w:rPr>
          <w:rFonts w:cs="Times New Roman"/>
          <w:lang w:val="sr-Latn-RS"/>
        </w:rPr>
        <w:t xml:space="preserve"> (JCV), a može biti smrtonosna ili dovesti do teškog invaliditeta.</w:t>
      </w:r>
    </w:p>
    <w:p w14:paraId="5031691D" w14:textId="77777777" w:rsidR="00A02E9B" w:rsidRPr="00750BAE" w:rsidRDefault="00A02E9B" w:rsidP="00A02E9B">
      <w:pPr>
        <w:pStyle w:val="BodyText"/>
        <w:spacing w:line="237" w:lineRule="auto"/>
        <w:ind w:left="0" w:right="254"/>
        <w:jc w:val="both"/>
        <w:rPr>
          <w:rFonts w:cs="Times New Roman"/>
          <w:lang w:val="sr-Latn-RS"/>
        </w:rPr>
      </w:pPr>
    </w:p>
    <w:p w14:paraId="2F028152" w14:textId="651CEB52" w:rsidR="00BC3A3A" w:rsidRPr="00750BAE" w:rsidRDefault="00BC3A3A" w:rsidP="00A02E9B">
      <w:pPr>
        <w:pStyle w:val="BodyText"/>
        <w:spacing w:line="237" w:lineRule="auto"/>
        <w:ind w:left="0" w:right="25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Do pojave PML-a došlo je uz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 i druge </w:t>
      </w:r>
      <w:r w:rsidR="00F13949" w:rsidRPr="00750BAE">
        <w:rPr>
          <w:rFonts w:cs="Times New Roman"/>
          <w:lang w:val="sr-Latn-RS"/>
        </w:rPr>
        <w:t>ljekove</w:t>
      </w:r>
      <w:r w:rsidRPr="00750BAE">
        <w:rPr>
          <w:rFonts w:cs="Times New Roman"/>
          <w:lang w:val="sr-Latn-RS"/>
        </w:rPr>
        <w:t xml:space="preserve"> koji sadrže fumarate u prisustvu limfopenije (broj limfocita manji od donje granice normalnih </w:t>
      </w:r>
      <w:r w:rsidR="005F44D1" w:rsidRPr="00750BAE">
        <w:rPr>
          <w:rFonts w:cs="Times New Roman"/>
          <w:lang w:val="sr-Latn-RS"/>
        </w:rPr>
        <w:t>vrijednost</w:t>
      </w:r>
      <w:r w:rsidRPr="00750BAE">
        <w:rPr>
          <w:rFonts w:cs="Times New Roman"/>
          <w:lang w:val="sr-Latn-RS"/>
        </w:rPr>
        <w:t xml:space="preserve">i [DGN]). Čini se da dugotrajna </w:t>
      </w:r>
      <w:r w:rsidR="00B53AD3" w:rsidRPr="00750BAE">
        <w:rPr>
          <w:rFonts w:cs="Times New Roman"/>
          <w:lang w:val="sr-Latn-RS"/>
        </w:rPr>
        <w:t>umjeren</w:t>
      </w:r>
      <w:r w:rsidRPr="00750BAE">
        <w:rPr>
          <w:rFonts w:cs="Times New Roman"/>
          <w:lang w:val="sr-Latn-RS"/>
        </w:rPr>
        <w:t>a do teška limfopenija uz prim</w:t>
      </w:r>
      <w:r w:rsidR="00F13949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>enu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fumarata povećava rizik od PML-a, ali rizik se ne može isključiti ni kod pacijenata sa blagom limfopenijom.</w:t>
      </w:r>
    </w:p>
    <w:p w14:paraId="5A76E373" w14:textId="77777777" w:rsidR="00A02E9B" w:rsidRPr="00750BAE" w:rsidRDefault="00A02E9B" w:rsidP="00A02E9B">
      <w:pPr>
        <w:pStyle w:val="BodyText"/>
        <w:ind w:left="0" w:right="264"/>
        <w:jc w:val="both"/>
        <w:rPr>
          <w:rFonts w:cs="Times New Roman"/>
          <w:lang w:val="sr-Latn-RS"/>
        </w:rPr>
      </w:pPr>
    </w:p>
    <w:p w14:paraId="2B65C36F" w14:textId="60F963CF" w:rsidR="00BC3A3A" w:rsidRPr="00750BAE" w:rsidRDefault="00BC3A3A" w:rsidP="00A02E9B">
      <w:pPr>
        <w:pStyle w:val="BodyText"/>
        <w:ind w:left="0" w:right="26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Dodatni faktori koji bi mogli </w:t>
      </w:r>
      <w:r w:rsidR="00F13949" w:rsidRPr="00750BAE">
        <w:rPr>
          <w:rFonts w:cs="Times New Roman"/>
          <w:lang w:val="sr-Latn-RS"/>
        </w:rPr>
        <w:t>doprinijeti</w:t>
      </w:r>
      <w:r w:rsidRPr="00750BAE">
        <w:rPr>
          <w:rFonts w:cs="Times New Roman"/>
          <w:lang w:val="sr-Latn-RS"/>
        </w:rPr>
        <w:t xml:space="preserve"> povećanju rizika od PML-a u stanju limfopenije su </w:t>
      </w:r>
      <w:r w:rsidR="00E45E91" w:rsidRPr="00750BAE">
        <w:rPr>
          <w:rFonts w:cs="Times New Roman"/>
          <w:lang w:val="sr-Latn-RS"/>
        </w:rPr>
        <w:t>sljedeć</w:t>
      </w:r>
      <w:r w:rsidRPr="00750BAE">
        <w:rPr>
          <w:rFonts w:cs="Times New Roman"/>
          <w:lang w:val="sr-Latn-RS"/>
        </w:rPr>
        <w:t>i:</w:t>
      </w:r>
    </w:p>
    <w:p w14:paraId="7A074FF0" w14:textId="41B93107" w:rsidR="00BC3A3A" w:rsidRPr="00750BAE" w:rsidRDefault="00BC3A3A" w:rsidP="00BC3A3A">
      <w:pPr>
        <w:pStyle w:val="BodyText"/>
        <w:numPr>
          <w:ilvl w:val="0"/>
          <w:numId w:val="14"/>
        </w:numPr>
        <w:tabs>
          <w:tab w:val="left" w:pos="683"/>
        </w:tabs>
        <w:spacing w:before="1" w:line="237" w:lineRule="auto"/>
        <w:ind w:right="25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trajanje terapije 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 xml:space="preserve">om Vumerity. Slučajevi PML-a pojavili su se nakon približno 1 do 5 godina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>a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fumaratom, iako tačna povezanost sa trajanjem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>a nije poznata.</w:t>
      </w:r>
    </w:p>
    <w:p w14:paraId="0592A97F" w14:textId="6FB7E608" w:rsidR="00BC3A3A" w:rsidRPr="00750BAE" w:rsidRDefault="00BC3A3A" w:rsidP="00BC3A3A">
      <w:pPr>
        <w:pStyle w:val="BodyText"/>
        <w:numPr>
          <w:ilvl w:val="0"/>
          <w:numId w:val="14"/>
        </w:numPr>
        <w:tabs>
          <w:tab w:val="left" w:pos="684"/>
        </w:tabs>
        <w:ind w:right="561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značajno smanjenje broja T ćelija CD4+ i posebno CD8+ koje su važne za imunološku odbranu (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</w:t>
      </w:r>
      <w:r w:rsidR="003B4A63">
        <w:rPr>
          <w:rFonts w:cs="Times New Roman"/>
          <w:lang w:val="sr-Latn-RS"/>
        </w:rPr>
        <w:t>dio</w:t>
      </w:r>
      <w:r w:rsidR="003B4A63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4.8) </w:t>
      </w:r>
    </w:p>
    <w:p w14:paraId="667D11A0" w14:textId="0BC829B5" w:rsidR="00BC3A3A" w:rsidRPr="00750BAE" w:rsidRDefault="00BC3A3A" w:rsidP="00BC3A3A">
      <w:pPr>
        <w:pStyle w:val="BodyText"/>
        <w:numPr>
          <w:ilvl w:val="0"/>
          <w:numId w:val="14"/>
        </w:numPr>
        <w:tabs>
          <w:tab w:val="left" w:pos="684"/>
        </w:tabs>
        <w:ind w:right="561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prethodne imunosupresivne ili imunomodulatorne terapije (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u nastavku).</w:t>
      </w:r>
    </w:p>
    <w:p w14:paraId="19018261" w14:textId="77777777" w:rsidR="00A02E9B" w:rsidRPr="00750BAE" w:rsidRDefault="00A02E9B" w:rsidP="00A02E9B">
      <w:pPr>
        <w:pStyle w:val="BodyText"/>
        <w:spacing w:before="55"/>
        <w:ind w:left="0" w:right="214"/>
        <w:jc w:val="both"/>
        <w:rPr>
          <w:rFonts w:cs="Times New Roman"/>
          <w:lang w:val="sr-Latn-RS"/>
        </w:rPr>
      </w:pPr>
    </w:p>
    <w:p w14:paraId="6E475702" w14:textId="6C3A70AD" w:rsidR="00BC3A3A" w:rsidRPr="00750BAE" w:rsidRDefault="0069098C" w:rsidP="00A02E9B">
      <w:pPr>
        <w:pStyle w:val="BodyText"/>
        <w:spacing w:before="55"/>
        <w:ind w:left="0" w:right="21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lastRenderedPageBreak/>
        <w:t>Ljekar</w:t>
      </w:r>
      <w:r w:rsidR="00BC3A3A" w:rsidRPr="00750BAE">
        <w:rPr>
          <w:rFonts w:cs="Times New Roman"/>
          <w:lang w:val="sr-Latn-RS"/>
        </w:rPr>
        <w:t xml:space="preserve">i moraju da </w:t>
      </w:r>
      <w:r w:rsidR="00A83B47" w:rsidRPr="00750BAE">
        <w:rPr>
          <w:rFonts w:cs="Times New Roman"/>
          <w:lang w:val="sr-Latn-RS"/>
        </w:rPr>
        <w:t>proc</w:t>
      </w:r>
      <w:r w:rsidR="00A02E9B" w:rsidRPr="00750BAE">
        <w:rPr>
          <w:rFonts w:cs="Times New Roman"/>
          <w:lang w:val="sr-Latn-RS"/>
        </w:rPr>
        <w:t>i</w:t>
      </w:r>
      <w:r w:rsidR="00A83B47" w:rsidRPr="00750BAE">
        <w:rPr>
          <w:rFonts w:cs="Times New Roman"/>
          <w:lang w:val="sr-Latn-RS"/>
        </w:rPr>
        <w:t>jen</w:t>
      </w:r>
      <w:r w:rsidR="00BC3A3A" w:rsidRPr="00750BAE">
        <w:rPr>
          <w:rFonts w:cs="Times New Roman"/>
          <w:lang w:val="sr-Latn-RS"/>
        </w:rPr>
        <w:t>e stanje pacijenata da bi utvrdili da li simptomi upućuju na neurološki</w:t>
      </w:r>
      <w:r w:rsidR="00A02E9B" w:rsidRPr="00750BAE">
        <w:rPr>
          <w:rFonts w:cs="Times New Roman"/>
          <w:lang w:val="sr-Latn-RS"/>
        </w:rPr>
        <w:t xml:space="preserve"> </w:t>
      </w:r>
      <w:r w:rsidR="00BC3A3A" w:rsidRPr="00750BAE">
        <w:rPr>
          <w:rFonts w:cs="Times New Roman"/>
          <w:lang w:val="sr-Latn-RS"/>
        </w:rPr>
        <w:t>poremećaj i, ako upućuju, jesu li ti simptomi tipični za multiplu sklerozu ili možda upućuju na PML.</w:t>
      </w:r>
    </w:p>
    <w:p w14:paraId="41E1DE1D" w14:textId="77777777" w:rsidR="00BC3A3A" w:rsidRPr="00750BAE" w:rsidRDefault="00BC3A3A" w:rsidP="00BC3A3A">
      <w:pPr>
        <w:spacing w:before="3"/>
        <w:rPr>
          <w:sz w:val="22"/>
          <w:szCs w:val="22"/>
          <w:lang w:val="sr-Latn-RS"/>
        </w:rPr>
      </w:pPr>
    </w:p>
    <w:p w14:paraId="1112D814" w14:textId="5D9A59D9" w:rsidR="00BC3A3A" w:rsidRPr="00750BAE" w:rsidRDefault="00BC3A3A" w:rsidP="00A02E9B">
      <w:pPr>
        <w:pStyle w:val="BodyText"/>
        <w:spacing w:line="237" w:lineRule="auto"/>
        <w:ind w:left="0" w:right="172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Na prvi znak ili simptom koji upućuje na PML, potrebno je prekinuti </w:t>
      </w:r>
      <w:r w:rsidR="0069098C" w:rsidRPr="00750BAE">
        <w:rPr>
          <w:rFonts w:cs="Times New Roman"/>
          <w:lang w:val="sr-Latn-RS"/>
        </w:rPr>
        <w:t>liječenje</w:t>
      </w:r>
      <w:r w:rsidRPr="00750BAE">
        <w:rPr>
          <w:rFonts w:cs="Times New Roman"/>
          <w:lang w:val="sr-Latn-RS"/>
        </w:rPr>
        <w:t xml:space="preserve"> 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>om Vumerity i uraditi odgovarajuće dijagnostičke analize, uključujući utvrđivanje prisustva DNK JCV-a u cerebrospinalnoj tečnosti metodom kvantitativne lančane reakcije polimeraze (</w:t>
      </w:r>
      <w:r w:rsidR="003B4A63">
        <w:rPr>
          <w:rFonts w:cs="Times New Roman"/>
          <w:lang w:val="sr-Latn-RS"/>
        </w:rPr>
        <w:t xml:space="preserve">polymerase chain reaction, </w:t>
      </w:r>
      <w:r w:rsidRPr="00750BAE">
        <w:rPr>
          <w:rFonts w:cs="Times New Roman"/>
          <w:lang w:val="sr-Latn-RS"/>
        </w:rPr>
        <w:t xml:space="preserve">PCR). Simptomi PML-a mogu da budu slični onima kod relapsa MS-a. Tipični simptomi povezani s PML-om su raznovrsni, razvijaju se u roku od nekoliko dana do </w:t>
      </w:r>
      <w:r w:rsidR="00A83B47" w:rsidRPr="00750BAE">
        <w:rPr>
          <w:rFonts w:cs="Times New Roman"/>
          <w:lang w:val="sr-Latn-RS"/>
        </w:rPr>
        <w:t>nedjelja</w:t>
      </w:r>
      <w:r w:rsidRPr="00750BAE">
        <w:rPr>
          <w:rFonts w:cs="Times New Roman"/>
          <w:lang w:val="sr-Latn-RS"/>
        </w:rPr>
        <w:t>, a uključuju progresivnu slabost na jednoj strani t</w:t>
      </w:r>
      <w:r w:rsidR="005F4039" w:rsidRPr="00750BAE">
        <w:rPr>
          <w:rFonts w:cs="Times New Roman"/>
          <w:lang w:val="sr-Latn-RS"/>
        </w:rPr>
        <w:t>ij</w:t>
      </w:r>
      <w:r w:rsidRPr="00750BAE">
        <w:rPr>
          <w:rFonts w:cs="Times New Roman"/>
          <w:lang w:val="sr-Latn-RS"/>
        </w:rPr>
        <w:t xml:space="preserve">ela ili nespretnost udova, poremećaje vida i </w:t>
      </w:r>
      <w:r w:rsidR="00A83B47" w:rsidRPr="00750BAE">
        <w:rPr>
          <w:rFonts w:cs="Times New Roman"/>
          <w:lang w:val="sr-Latn-RS"/>
        </w:rPr>
        <w:t>promjen</w:t>
      </w:r>
      <w:r w:rsidRPr="00750BAE">
        <w:rPr>
          <w:rFonts w:cs="Times New Roman"/>
          <w:lang w:val="sr-Latn-RS"/>
        </w:rPr>
        <w:t xml:space="preserve">e u razmišljanju, pamćenju i orijentaciji, što dovodi do </w:t>
      </w:r>
      <w:r w:rsidR="00E64BFF">
        <w:rPr>
          <w:rFonts w:cs="Times New Roman"/>
          <w:lang w:val="sr-Latn-RS"/>
        </w:rPr>
        <w:t>smetenosti</w:t>
      </w:r>
      <w:r w:rsidRPr="00750BAE">
        <w:rPr>
          <w:rFonts w:cs="Times New Roman"/>
          <w:lang w:val="sr-Latn-RS"/>
        </w:rPr>
        <w:t xml:space="preserve"> i </w:t>
      </w:r>
      <w:r w:rsidR="00A83B47" w:rsidRPr="00750BAE">
        <w:rPr>
          <w:rFonts w:cs="Times New Roman"/>
          <w:lang w:val="sr-Latn-RS"/>
        </w:rPr>
        <w:t>promjen</w:t>
      </w:r>
      <w:r w:rsidRPr="00750BAE">
        <w:rPr>
          <w:rFonts w:cs="Times New Roman"/>
          <w:lang w:val="sr-Latn-RS"/>
        </w:rPr>
        <w:t xml:space="preserve">e karaktera. </w:t>
      </w:r>
      <w:r w:rsidR="0069098C" w:rsidRPr="00750BAE">
        <w:rPr>
          <w:rFonts w:cs="Times New Roman"/>
          <w:lang w:val="sr-Latn-RS"/>
        </w:rPr>
        <w:t>Ljekar</w:t>
      </w:r>
      <w:r w:rsidRPr="00750BAE">
        <w:rPr>
          <w:rFonts w:cs="Times New Roman"/>
          <w:lang w:val="sr-Latn-RS"/>
        </w:rPr>
        <w:t xml:space="preserve">i moraju da obrate posebnu pažnju na simptome koji upućuju na PML, a koje pacijent možda neće sam </w:t>
      </w:r>
      <w:r w:rsidR="005F4039" w:rsidRPr="00750BAE">
        <w:rPr>
          <w:rFonts w:cs="Times New Roman"/>
          <w:lang w:val="sr-Latn-RS"/>
        </w:rPr>
        <w:t>primijetiti</w:t>
      </w:r>
      <w:r w:rsidRPr="00750BAE">
        <w:rPr>
          <w:rFonts w:cs="Times New Roman"/>
          <w:lang w:val="sr-Latn-RS"/>
        </w:rPr>
        <w:t>. Pacijente takođe treba sav</w:t>
      </w:r>
      <w:r w:rsidR="005F4039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>etovati da obav</w:t>
      </w:r>
      <w:r w:rsidR="005F4039" w:rsidRPr="00750BAE">
        <w:rPr>
          <w:rFonts w:cs="Times New Roman"/>
          <w:lang w:val="sr-Latn-RS"/>
        </w:rPr>
        <w:t>ij</w:t>
      </w:r>
      <w:r w:rsidRPr="00750BAE">
        <w:rPr>
          <w:rFonts w:cs="Times New Roman"/>
          <w:lang w:val="sr-Latn-RS"/>
        </w:rPr>
        <w:t>este svog partnera ili n</w:t>
      </w:r>
      <w:r w:rsidR="005F4039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 xml:space="preserve">egovatelje o svom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 xml:space="preserve">u, jer oni mogu </w:t>
      </w:r>
      <w:r w:rsidR="005F4039" w:rsidRPr="00750BAE">
        <w:rPr>
          <w:rFonts w:cs="Times New Roman"/>
          <w:lang w:val="sr-Latn-RS"/>
        </w:rPr>
        <w:t>primijetiti</w:t>
      </w:r>
      <w:r w:rsidRPr="00750BAE">
        <w:rPr>
          <w:rFonts w:cs="Times New Roman"/>
          <w:lang w:val="sr-Latn-RS"/>
        </w:rPr>
        <w:t xml:space="preserve"> simptome kojih pacijent nije </w:t>
      </w:r>
      <w:r w:rsidR="00CE05FB">
        <w:rPr>
          <w:rFonts w:cs="Times New Roman"/>
          <w:lang w:val="sr-Latn-RS"/>
        </w:rPr>
        <w:t>svjestan</w:t>
      </w:r>
      <w:r w:rsidRPr="00750BAE">
        <w:rPr>
          <w:rFonts w:cs="Times New Roman"/>
          <w:lang w:val="sr-Latn-RS"/>
        </w:rPr>
        <w:t>.</w:t>
      </w:r>
    </w:p>
    <w:p w14:paraId="1AF82D11" w14:textId="77777777" w:rsidR="00BC3A3A" w:rsidRPr="00750BAE" w:rsidRDefault="00BC3A3A" w:rsidP="00BC3A3A">
      <w:pPr>
        <w:spacing w:before="4"/>
        <w:rPr>
          <w:sz w:val="22"/>
          <w:szCs w:val="22"/>
          <w:lang w:val="sr-Latn-RS"/>
        </w:rPr>
      </w:pPr>
    </w:p>
    <w:p w14:paraId="3DE5A8B0" w14:textId="0BA68FB4" w:rsidR="00BC3A3A" w:rsidRPr="00750BAE" w:rsidRDefault="00BC3A3A" w:rsidP="00A02E9B">
      <w:pPr>
        <w:pStyle w:val="BodyText"/>
        <w:spacing w:line="237" w:lineRule="auto"/>
        <w:ind w:left="0" w:right="225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PML se može pojaviti samo u prisustvu JCV infekcije. Potrebno je uzeti u obzir da uticaj limfopenije na tačnost testiranja na anti-JCV </w:t>
      </w:r>
      <w:r w:rsidR="005F4039" w:rsidRPr="00750BAE">
        <w:rPr>
          <w:rFonts w:cs="Times New Roman"/>
          <w:lang w:val="sr-Latn-RS"/>
        </w:rPr>
        <w:t>antitijela</w:t>
      </w:r>
      <w:r w:rsidRPr="00750BAE">
        <w:rPr>
          <w:rFonts w:cs="Times New Roman"/>
          <w:lang w:val="sr-Latn-RS"/>
        </w:rPr>
        <w:t xml:space="preserve"> u serumu nije ispitan kod pacijenata koji se </w:t>
      </w:r>
      <w:r w:rsidR="004B4C9F" w:rsidRPr="00750BAE">
        <w:rPr>
          <w:rFonts w:cs="Times New Roman"/>
          <w:lang w:val="sr-Latn-RS"/>
        </w:rPr>
        <w:t>liječe</w:t>
      </w:r>
      <w:r w:rsidRPr="00750BAE">
        <w:rPr>
          <w:rFonts w:cs="Times New Roman"/>
          <w:lang w:val="sr-Latn-RS"/>
        </w:rPr>
        <w:t xml:space="preserve">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fumaratom ili 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 xml:space="preserve">om Vumerity. Potrebno je imati na umu i to da negativan test na anti-JCV </w:t>
      </w:r>
      <w:r w:rsidR="005F4039" w:rsidRPr="00750BAE">
        <w:rPr>
          <w:rFonts w:cs="Times New Roman"/>
          <w:lang w:val="sr-Latn-RS"/>
        </w:rPr>
        <w:t>antitijela</w:t>
      </w:r>
      <w:r w:rsidRPr="00750BAE">
        <w:rPr>
          <w:rFonts w:cs="Times New Roman"/>
          <w:lang w:val="sr-Latn-RS"/>
        </w:rPr>
        <w:t xml:space="preserve"> (uz normalan broj limfocita) ne isključuje mogućnost naknadne infekcije JCV-om.</w:t>
      </w:r>
    </w:p>
    <w:p w14:paraId="2E8534AA" w14:textId="77777777" w:rsidR="00BC3A3A" w:rsidRPr="00750BAE" w:rsidRDefault="00BC3A3A" w:rsidP="00BC3A3A">
      <w:pPr>
        <w:spacing w:before="3"/>
        <w:rPr>
          <w:sz w:val="22"/>
          <w:szCs w:val="22"/>
          <w:lang w:val="sr-Latn-RS"/>
        </w:rPr>
      </w:pPr>
    </w:p>
    <w:p w14:paraId="1D71B353" w14:textId="67B4A93A" w:rsidR="00A02E9B" w:rsidRPr="00750BAE" w:rsidRDefault="00BC3A3A" w:rsidP="005F4039">
      <w:pPr>
        <w:rPr>
          <w:sz w:val="22"/>
          <w:szCs w:val="22"/>
          <w:lang w:val="sr-Latn-RS"/>
        </w:rPr>
      </w:pPr>
      <w:r w:rsidRPr="00750BAE">
        <w:rPr>
          <w:sz w:val="22"/>
          <w:szCs w:val="22"/>
          <w:lang w:val="sr-Latn-RS"/>
        </w:rPr>
        <w:t xml:space="preserve">Ako se kod pacijenata razvije PML, potrebno je trajno prekinuti </w:t>
      </w:r>
      <w:r w:rsidR="0069098C" w:rsidRPr="00750BAE">
        <w:rPr>
          <w:sz w:val="22"/>
          <w:szCs w:val="22"/>
          <w:lang w:val="sr-Latn-RS"/>
        </w:rPr>
        <w:t>liječenje</w:t>
      </w:r>
      <w:r w:rsidRPr="00750BAE">
        <w:rPr>
          <w:sz w:val="22"/>
          <w:szCs w:val="22"/>
          <w:lang w:val="sr-Latn-RS"/>
        </w:rPr>
        <w:t xml:space="preserve"> </w:t>
      </w:r>
      <w:r w:rsidR="004A63C1" w:rsidRPr="00750BAE">
        <w:rPr>
          <w:sz w:val="22"/>
          <w:szCs w:val="22"/>
          <w:lang w:val="sr-Latn-RS"/>
        </w:rPr>
        <w:t>lijek</w:t>
      </w:r>
      <w:r w:rsidRPr="00750BAE">
        <w:rPr>
          <w:sz w:val="22"/>
          <w:szCs w:val="22"/>
          <w:lang w:val="sr-Latn-RS"/>
        </w:rPr>
        <w:t>om Vumerity.</w:t>
      </w:r>
    </w:p>
    <w:p w14:paraId="18CD15A3" w14:textId="77777777" w:rsidR="005F4039" w:rsidRPr="00750BAE" w:rsidRDefault="005F4039" w:rsidP="005F4039">
      <w:pPr>
        <w:rPr>
          <w:sz w:val="22"/>
          <w:szCs w:val="22"/>
          <w:lang w:val="sr-Latn-RS"/>
        </w:rPr>
      </w:pPr>
    </w:p>
    <w:p w14:paraId="24052901" w14:textId="3172D568" w:rsidR="00BC3A3A" w:rsidRPr="00750BAE" w:rsidRDefault="00BC3A3A" w:rsidP="00A02E9B">
      <w:pPr>
        <w:pStyle w:val="BodyText"/>
        <w:spacing w:line="477" w:lineRule="auto"/>
        <w:ind w:left="0" w:right="2399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 xml:space="preserve">Prethodno </w:t>
      </w:r>
      <w:r w:rsidR="0069098C" w:rsidRPr="00750BAE">
        <w:rPr>
          <w:rFonts w:cs="Times New Roman"/>
          <w:u w:val="single"/>
          <w:lang w:val="sr-Latn-RS"/>
        </w:rPr>
        <w:t>liječenje</w:t>
      </w:r>
      <w:r w:rsidRPr="00750BAE">
        <w:rPr>
          <w:rFonts w:cs="Times New Roman"/>
          <w:u w:val="single"/>
          <w:lang w:val="sr-Latn-RS"/>
        </w:rPr>
        <w:t xml:space="preserve"> imunosupresivnim ili imunomodulatornim terapijama</w:t>
      </w:r>
    </w:p>
    <w:p w14:paraId="7502D996" w14:textId="6FFC6124" w:rsidR="00BC3A3A" w:rsidRPr="00750BAE" w:rsidRDefault="00A83B47" w:rsidP="000E6D63">
      <w:pPr>
        <w:pStyle w:val="BodyText"/>
        <w:spacing w:before="16" w:line="237" w:lineRule="auto"/>
        <w:ind w:left="0" w:right="172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Nijesu</w:t>
      </w:r>
      <w:r w:rsidR="00BC3A3A" w:rsidRPr="00750BAE">
        <w:rPr>
          <w:rFonts w:cs="Times New Roman"/>
          <w:lang w:val="sr-Latn-RS"/>
        </w:rPr>
        <w:t xml:space="preserve"> sprovedena ispitivanja kako b</w:t>
      </w:r>
      <w:r w:rsidR="00132BCB" w:rsidRPr="00750BAE">
        <w:rPr>
          <w:rFonts w:cs="Times New Roman"/>
          <w:lang w:val="sr-Latn-RS"/>
        </w:rPr>
        <w:t>i</w:t>
      </w:r>
      <w:r w:rsidR="00BC3A3A" w:rsidRPr="00750BAE">
        <w:rPr>
          <w:rFonts w:cs="Times New Roman"/>
          <w:lang w:val="sr-Latn-RS"/>
        </w:rPr>
        <w:t xml:space="preserve"> se utvrdila efikasnost i </w:t>
      </w:r>
      <w:r w:rsidR="00453DDE" w:rsidRPr="00750BAE">
        <w:rPr>
          <w:rFonts w:cs="Times New Roman"/>
          <w:lang w:val="sr-Latn-RS"/>
        </w:rPr>
        <w:t>bezbjednos</w:t>
      </w:r>
      <w:r w:rsidR="00BC3A3A" w:rsidRPr="00750BAE">
        <w:rPr>
          <w:rFonts w:cs="Times New Roman"/>
          <w:lang w:val="sr-Latn-RS"/>
        </w:rPr>
        <w:t>t diroksimel</w:t>
      </w:r>
      <w:r w:rsidR="005A3B91">
        <w:rPr>
          <w:rFonts w:cs="Times New Roman"/>
          <w:lang w:val="sr-Latn-RS"/>
        </w:rPr>
        <w:t xml:space="preserve"> </w:t>
      </w:r>
      <w:r w:rsidR="00BC3A3A" w:rsidRPr="00750BAE">
        <w:rPr>
          <w:rFonts w:cs="Times New Roman"/>
          <w:lang w:val="sr-Latn-RS"/>
        </w:rPr>
        <w:t>fumarata prilikom prelaska pacijenata sa druge terapije koja modifikuje tok bolesti. Prethodna imunosupresivna terapija može da doprinese razvoju PML-a.</w:t>
      </w:r>
    </w:p>
    <w:p w14:paraId="0962419D" w14:textId="77777777" w:rsidR="00BC3A3A" w:rsidRPr="00750BAE" w:rsidRDefault="00BC3A3A" w:rsidP="00BC3A3A">
      <w:pPr>
        <w:spacing w:before="10"/>
        <w:rPr>
          <w:sz w:val="22"/>
          <w:szCs w:val="22"/>
          <w:lang w:val="sr-Latn-RS"/>
        </w:rPr>
      </w:pPr>
    </w:p>
    <w:p w14:paraId="197BC9BA" w14:textId="6B450F42" w:rsidR="00BC3A3A" w:rsidRPr="00750BAE" w:rsidRDefault="00BC3A3A" w:rsidP="000E6D63">
      <w:pPr>
        <w:pStyle w:val="BodyText"/>
        <w:ind w:left="0" w:right="172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Slučajevi PML-a su </w:t>
      </w:r>
      <w:r w:rsidR="00132BCB" w:rsidRPr="00750BAE">
        <w:rPr>
          <w:rFonts w:cs="Times New Roman"/>
          <w:lang w:val="sr-Latn-RS"/>
        </w:rPr>
        <w:t>zabilježen</w:t>
      </w:r>
      <w:r w:rsidRPr="00750BAE">
        <w:rPr>
          <w:rFonts w:cs="Times New Roman"/>
          <w:lang w:val="sr-Latn-RS"/>
        </w:rPr>
        <w:t xml:space="preserve">i kod pacijenata koji su prethodno </w:t>
      </w:r>
      <w:r w:rsidR="004B4C9F" w:rsidRPr="00750BAE">
        <w:rPr>
          <w:rFonts w:cs="Times New Roman"/>
          <w:lang w:val="sr-Latn-RS"/>
        </w:rPr>
        <w:t>liječe</w:t>
      </w:r>
      <w:r w:rsidRPr="00750BAE">
        <w:rPr>
          <w:rFonts w:cs="Times New Roman"/>
          <w:lang w:val="sr-Latn-RS"/>
        </w:rPr>
        <w:t xml:space="preserve">ni natalizumabom, za koji je PML utvrđeni rizik. </w:t>
      </w:r>
      <w:r w:rsidR="0069098C" w:rsidRPr="00750BAE">
        <w:rPr>
          <w:rFonts w:cs="Times New Roman"/>
          <w:lang w:val="sr-Latn-RS"/>
        </w:rPr>
        <w:t>Ljekar</w:t>
      </w:r>
      <w:r w:rsidRPr="00750BAE">
        <w:rPr>
          <w:rFonts w:cs="Times New Roman"/>
          <w:lang w:val="sr-Latn-RS"/>
        </w:rPr>
        <w:t xml:space="preserve">i moraju imati na umu da slučajevi PML-a do kojih je došlo nakon nedavnog prekida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>a natalizumabom možda ne uključuju limfopeniju.</w:t>
      </w:r>
    </w:p>
    <w:p w14:paraId="74028D2F" w14:textId="77777777" w:rsidR="000E6D63" w:rsidRPr="00750BAE" w:rsidRDefault="000E6D63" w:rsidP="000E6D63">
      <w:pPr>
        <w:pStyle w:val="BodyText"/>
        <w:ind w:left="0" w:right="172"/>
        <w:jc w:val="both"/>
        <w:rPr>
          <w:rFonts w:cs="Times New Roman"/>
          <w:lang w:val="sr-Latn-RS"/>
        </w:rPr>
      </w:pPr>
    </w:p>
    <w:p w14:paraId="5D4D5DD9" w14:textId="00C2062A" w:rsidR="00BC3A3A" w:rsidRPr="00750BAE" w:rsidRDefault="00BC3A3A" w:rsidP="000E6D63">
      <w:pPr>
        <w:pStyle w:val="BodyText"/>
        <w:ind w:left="0" w:right="172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Uz to, do većine potvrđenih slučajeva PML-a povezanih sa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fumaratom došlo je kod pacijenata koji su prethodno primali imunomodulatornu terapiju.</w:t>
      </w:r>
    </w:p>
    <w:p w14:paraId="1585B045" w14:textId="77777777" w:rsidR="000E6D63" w:rsidRPr="00750BAE" w:rsidRDefault="000E6D63" w:rsidP="000E6D63">
      <w:pPr>
        <w:pStyle w:val="BodyText"/>
        <w:ind w:left="0" w:right="172"/>
        <w:jc w:val="both"/>
        <w:rPr>
          <w:rFonts w:cs="Times New Roman"/>
          <w:lang w:val="sr-Latn-RS"/>
        </w:rPr>
      </w:pPr>
    </w:p>
    <w:p w14:paraId="786A29C0" w14:textId="100D985F" w:rsidR="00BC3A3A" w:rsidRPr="00750BAE" w:rsidRDefault="00BC3A3A" w:rsidP="000E6D63">
      <w:pPr>
        <w:pStyle w:val="BodyText"/>
        <w:ind w:left="0" w:right="172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Kod prelaska pacijenata sa druge terapije koja modifikuje tok bolesti na Vumerity, treba uzeti u obzir poluživot i način </w:t>
      </w:r>
      <w:r w:rsidR="00132BCB" w:rsidRPr="00750BAE">
        <w:rPr>
          <w:rFonts w:cs="Times New Roman"/>
          <w:lang w:val="sr-Latn-RS"/>
        </w:rPr>
        <w:t>djelovanj</w:t>
      </w:r>
      <w:r w:rsidRPr="00750BAE">
        <w:rPr>
          <w:rFonts w:cs="Times New Roman"/>
          <w:lang w:val="sr-Latn-RS"/>
        </w:rPr>
        <w:t>a druge terapije kako bi se izb</w:t>
      </w:r>
      <w:r w:rsidR="00132BCB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>egao aditivni imunološki efekat uz isto</w:t>
      </w:r>
      <w:r w:rsidR="00DD7D46" w:rsidRPr="00750BAE">
        <w:rPr>
          <w:rFonts w:cs="Times New Roman"/>
          <w:lang w:val="sr-Latn-RS"/>
        </w:rPr>
        <w:t>vreme</w:t>
      </w:r>
      <w:r w:rsidRPr="00750BAE">
        <w:rPr>
          <w:rFonts w:cs="Times New Roman"/>
          <w:lang w:val="sr-Latn-RS"/>
        </w:rPr>
        <w:t>no smanjenje rizika od reaktivacije MS-a. Preporučljivo je uraditi kompletnu krvnu sliku pr</w:t>
      </w:r>
      <w:r w:rsidR="00132BCB" w:rsidRPr="00750BAE">
        <w:rPr>
          <w:rFonts w:cs="Times New Roman"/>
          <w:lang w:val="sr-Latn-RS"/>
        </w:rPr>
        <w:t>ij</w:t>
      </w:r>
      <w:r w:rsidRPr="00750BAE">
        <w:rPr>
          <w:rFonts w:cs="Times New Roman"/>
          <w:lang w:val="sr-Latn-RS"/>
        </w:rPr>
        <w:t xml:space="preserve">e početka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 xml:space="preserve">a i redovno tokom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>a (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Krvne/laboratorijske analize u tekstu iznad).</w:t>
      </w:r>
    </w:p>
    <w:p w14:paraId="3B1F623D" w14:textId="77777777" w:rsidR="000E6D63" w:rsidRPr="00750BAE" w:rsidRDefault="000E6D63" w:rsidP="000E6D63">
      <w:pPr>
        <w:pStyle w:val="BodyText"/>
        <w:ind w:left="0"/>
        <w:jc w:val="both"/>
        <w:rPr>
          <w:rFonts w:cs="Times New Roman"/>
          <w:u w:val="single"/>
          <w:lang w:val="sr-Latn-RS"/>
        </w:rPr>
      </w:pPr>
    </w:p>
    <w:p w14:paraId="601F4810" w14:textId="22553D5A" w:rsidR="00BC3A3A" w:rsidRPr="00750BAE" w:rsidRDefault="00BC3A3A" w:rsidP="000E6D63">
      <w:pPr>
        <w:pStyle w:val="BodyText"/>
        <w:ind w:left="0"/>
        <w:jc w:val="both"/>
        <w:rPr>
          <w:rFonts w:cs="Times New Roman"/>
          <w:u w:val="single"/>
          <w:lang w:val="sr-Latn-RS"/>
        </w:rPr>
      </w:pPr>
      <w:r w:rsidRPr="00750BAE">
        <w:rPr>
          <w:rFonts w:cs="Times New Roman"/>
          <w:u w:val="single"/>
          <w:lang w:val="sr-Latn-RS"/>
        </w:rPr>
        <w:t>Teško oštećenje funkcije bubrega</w:t>
      </w:r>
    </w:p>
    <w:p w14:paraId="73FCD092" w14:textId="77777777" w:rsidR="000E6D63" w:rsidRPr="00750BAE" w:rsidRDefault="000E6D63" w:rsidP="000E6D63">
      <w:pPr>
        <w:pStyle w:val="BodyText"/>
        <w:spacing w:before="73" w:line="237" w:lineRule="auto"/>
        <w:ind w:left="0" w:right="172"/>
        <w:jc w:val="both"/>
        <w:rPr>
          <w:rFonts w:cs="Times New Roman"/>
          <w:lang w:val="sr-Latn-RS"/>
        </w:rPr>
      </w:pPr>
    </w:p>
    <w:p w14:paraId="2B1C651B" w14:textId="1EC3FA87" w:rsidR="00BC3A3A" w:rsidRPr="00750BAE" w:rsidRDefault="00BC3A3A" w:rsidP="000E6D63">
      <w:pPr>
        <w:pStyle w:val="BodyText"/>
        <w:spacing w:before="73" w:line="237" w:lineRule="auto"/>
        <w:ind w:left="0" w:right="172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Dugoročna </w:t>
      </w:r>
      <w:r w:rsidR="00453DDE" w:rsidRPr="00750BAE">
        <w:rPr>
          <w:rFonts w:cs="Times New Roman"/>
          <w:lang w:val="sr-Latn-RS"/>
        </w:rPr>
        <w:t>bezbjednos</w:t>
      </w:r>
      <w:r w:rsidRPr="00750BAE">
        <w:rPr>
          <w:rFonts w:cs="Times New Roman"/>
          <w:lang w:val="sr-Latn-RS"/>
        </w:rPr>
        <w:t>t diroksimel</w:t>
      </w:r>
      <w:r w:rsidR="005A3B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fumarata nije ispitivana kod pacijenata sa </w:t>
      </w:r>
      <w:r w:rsidR="00B53AD3" w:rsidRPr="00750BAE">
        <w:rPr>
          <w:rFonts w:cs="Times New Roman"/>
          <w:lang w:val="sr-Latn-RS"/>
        </w:rPr>
        <w:t>umjeren</w:t>
      </w:r>
      <w:r w:rsidRPr="00750BAE">
        <w:rPr>
          <w:rFonts w:cs="Times New Roman"/>
          <w:lang w:val="sr-Latn-RS"/>
        </w:rPr>
        <w:t xml:space="preserve">im ili teškim oštećenjem funkcije bubrega. Stoga je pri razmatranju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>a takvih pacijenata potrebno prim</w:t>
      </w:r>
      <w:r w:rsidR="00132BCB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>enjivati oprez (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</w:t>
      </w:r>
      <w:r w:rsidR="003B4A63">
        <w:rPr>
          <w:rFonts w:cs="Times New Roman"/>
          <w:lang w:val="sr-Latn-RS"/>
        </w:rPr>
        <w:t>djelove</w:t>
      </w:r>
      <w:r w:rsidR="003B4A63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4.2 i 5.2).</w:t>
      </w:r>
    </w:p>
    <w:p w14:paraId="085FEA11" w14:textId="77777777" w:rsidR="000E6D63" w:rsidRPr="00750BAE" w:rsidRDefault="000E6D63" w:rsidP="000E6D63">
      <w:pPr>
        <w:pStyle w:val="BodyText"/>
        <w:ind w:left="0"/>
        <w:jc w:val="both"/>
        <w:rPr>
          <w:rFonts w:cs="Times New Roman"/>
          <w:u w:val="single"/>
          <w:lang w:val="sr-Latn-RS"/>
        </w:rPr>
      </w:pPr>
    </w:p>
    <w:p w14:paraId="1AE729B7" w14:textId="44DA5E49" w:rsidR="00BC3A3A" w:rsidRPr="00750BAE" w:rsidRDefault="00BC3A3A" w:rsidP="000E6D63">
      <w:pPr>
        <w:pStyle w:val="BodyText"/>
        <w:ind w:left="0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>Teško oštećenje funkcije jetre</w:t>
      </w:r>
    </w:p>
    <w:p w14:paraId="4115F2AA" w14:textId="77777777" w:rsidR="000E6D63" w:rsidRPr="00750BAE" w:rsidRDefault="000E6D63" w:rsidP="000E6D63">
      <w:pPr>
        <w:pStyle w:val="BodyText"/>
        <w:spacing w:before="72"/>
        <w:ind w:left="0" w:right="239"/>
        <w:jc w:val="both"/>
        <w:rPr>
          <w:rFonts w:cs="Times New Roman"/>
          <w:lang w:val="sr-Latn-RS"/>
        </w:rPr>
      </w:pPr>
    </w:p>
    <w:p w14:paraId="4F3F645D" w14:textId="396622C3" w:rsidR="00BC3A3A" w:rsidRPr="00750BAE" w:rsidRDefault="00BC3A3A" w:rsidP="000E6D63">
      <w:pPr>
        <w:pStyle w:val="BodyText"/>
        <w:spacing w:before="72"/>
        <w:ind w:left="0" w:right="239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Diroksimel</w:t>
      </w:r>
      <w:r w:rsidR="005A3B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 nije ispitivan kod pacijenata sa teškim oštećenjem funkcije jetre. Stoga je pri razmatranju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 xml:space="preserve">a takvih pacijenata potrebno </w:t>
      </w:r>
      <w:r w:rsidR="00132BCB" w:rsidRPr="00750BAE">
        <w:rPr>
          <w:rFonts w:cs="Times New Roman"/>
          <w:lang w:val="sr-Latn-RS"/>
        </w:rPr>
        <w:t>primjenjivati</w:t>
      </w:r>
      <w:r w:rsidRPr="00750BAE">
        <w:rPr>
          <w:rFonts w:cs="Times New Roman"/>
          <w:lang w:val="sr-Latn-RS"/>
        </w:rPr>
        <w:t xml:space="preserve"> oprez (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</w:t>
      </w:r>
      <w:r w:rsidR="003B4A63">
        <w:rPr>
          <w:rFonts w:cs="Times New Roman"/>
          <w:lang w:val="sr-Latn-RS"/>
        </w:rPr>
        <w:t>djelove</w:t>
      </w:r>
      <w:r w:rsidR="003B4A63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4.2 i 5.2).</w:t>
      </w:r>
    </w:p>
    <w:p w14:paraId="2F25724B" w14:textId="77777777" w:rsidR="000E6D63" w:rsidRPr="00750BAE" w:rsidRDefault="000E6D63" w:rsidP="000E6D63">
      <w:pPr>
        <w:pStyle w:val="BodyText"/>
        <w:ind w:left="0"/>
        <w:jc w:val="both"/>
        <w:rPr>
          <w:rFonts w:cs="Times New Roman"/>
          <w:u w:val="single"/>
          <w:lang w:val="sr-Latn-RS"/>
        </w:rPr>
      </w:pPr>
    </w:p>
    <w:p w14:paraId="0E1EA282" w14:textId="62A355F5" w:rsidR="00BC3A3A" w:rsidRPr="00750BAE" w:rsidRDefault="00BC3A3A" w:rsidP="000E6D63">
      <w:pPr>
        <w:pStyle w:val="BodyText"/>
        <w:ind w:left="0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>Teško aktivno gastrointestinalno oboljenje</w:t>
      </w:r>
    </w:p>
    <w:p w14:paraId="3D78D0B5" w14:textId="77777777" w:rsidR="000E6D63" w:rsidRPr="00750BAE" w:rsidRDefault="000E6D63" w:rsidP="000E6D63">
      <w:pPr>
        <w:pStyle w:val="BodyText"/>
        <w:spacing w:before="77" w:line="250" w:lineRule="exact"/>
        <w:ind w:left="0" w:right="225"/>
        <w:jc w:val="both"/>
        <w:rPr>
          <w:rFonts w:cs="Times New Roman"/>
          <w:lang w:val="sr-Latn-RS"/>
        </w:rPr>
      </w:pPr>
    </w:p>
    <w:p w14:paraId="30D8B136" w14:textId="42CCED9C" w:rsidR="00BC3A3A" w:rsidRPr="00750BAE" w:rsidRDefault="00BC3A3A" w:rsidP="000E6D63">
      <w:pPr>
        <w:pStyle w:val="BodyText"/>
        <w:spacing w:before="77" w:line="250" w:lineRule="exact"/>
        <w:ind w:left="0" w:right="225"/>
        <w:jc w:val="both"/>
        <w:rPr>
          <w:rFonts w:cs="Times New Roman"/>
          <w:lang w:val="sr-Latn-RS"/>
        </w:rPr>
        <w:sectPr w:rsidR="00BC3A3A" w:rsidRPr="00750BAE" w:rsidSect="0037575D">
          <w:footerReference w:type="default" r:id="rId11"/>
          <w:pgSz w:w="11910" w:h="16840"/>
          <w:pgMar w:top="1060" w:right="1340" w:bottom="900" w:left="1300" w:header="737" w:footer="737" w:gutter="0"/>
          <w:cols w:space="720"/>
          <w:docGrid w:linePitch="326"/>
        </w:sectPr>
      </w:pPr>
      <w:r w:rsidRPr="00750BAE">
        <w:rPr>
          <w:rFonts w:cs="Times New Roman"/>
          <w:lang w:val="sr-Latn-RS"/>
        </w:rPr>
        <w:t>Diroksimel</w:t>
      </w:r>
      <w:r w:rsidR="005A3B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 nije ispitivan kod pacijenata sa teškim aktivnim gastrointestinalnim oboljenjem. Stoga je pri razmatranju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 xml:space="preserve">a takvih pacijenata potrebno </w:t>
      </w:r>
      <w:r w:rsidR="00132BCB" w:rsidRPr="00750BAE">
        <w:rPr>
          <w:rFonts w:cs="Times New Roman"/>
          <w:lang w:val="sr-Latn-RS"/>
        </w:rPr>
        <w:t>primjenjivati</w:t>
      </w:r>
      <w:r w:rsidRPr="00750BAE">
        <w:rPr>
          <w:rFonts w:cs="Times New Roman"/>
          <w:lang w:val="sr-Latn-RS"/>
        </w:rPr>
        <w:t xml:space="preserve"> oprez.</w:t>
      </w:r>
    </w:p>
    <w:p w14:paraId="04132E0D" w14:textId="1E506198" w:rsidR="00BC3A3A" w:rsidRPr="00750BAE" w:rsidRDefault="00BC3A3A" w:rsidP="00BC3A3A">
      <w:pPr>
        <w:pStyle w:val="BodyText"/>
        <w:spacing w:before="55"/>
        <w:ind w:right="141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lastRenderedPageBreak/>
        <w:t xml:space="preserve">Nalet </w:t>
      </w:r>
      <w:r w:rsidR="003B4A63">
        <w:rPr>
          <w:rFonts w:cs="Times New Roman"/>
          <w:u w:val="single"/>
          <w:lang w:val="sr-Latn-RS"/>
        </w:rPr>
        <w:t>crvenila</w:t>
      </w:r>
    </w:p>
    <w:p w14:paraId="6EDA5C7F" w14:textId="6F5658A2" w:rsidR="00BC3A3A" w:rsidRPr="00750BAE" w:rsidRDefault="00BC3A3A" w:rsidP="00BC3A3A">
      <w:pPr>
        <w:pStyle w:val="BodyText"/>
        <w:spacing w:before="72"/>
        <w:ind w:right="14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U ključnim kliničkim ispitivanjima dimetil fumarata, 3 od ukupno 2560 pacijenata </w:t>
      </w:r>
      <w:r w:rsidR="00A83B47" w:rsidRPr="00750BAE">
        <w:rPr>
          <w:rFonts w:cs="Times New Roman"/>
          <w:lang w:val="sr-Latn-RS"/>
        </w:rPr>
        <w:t>liječenih</w:t>
      </w:r>
      <w:r w:rsidRPr="00750BAE">
        <w:rPr>
          <w:rFonts w:cs="Times New Roman"/>
          <w:lang w:val="sr-Latn-RS"/>
        </w:rPr>
        <w:t xml:space="preserve">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fumaratom imali su ozbiljne simptome naleta </w:t>
      </w:r>
      <w:r w:rsidR="003B4A63">
        <w:rPr>
          <w:rFonts w:cs="Times New Roman"/>
          <w:lang w:val="sr-Latn-RS"/>
        </w:rPr>
        <w:t>crvenila</w:t>
      </w:r>
      <w:r w:rsidR="003B4A63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koje su v</w:t>
      </w:r>
      <w:r w:rsidR="00132BCB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>erovatno bile reakcije pre</w:t>
      </w:r>
      <w:r w:rsidR="00807D38" w:rsidRPr="00750BAE">
        <w:rPr>
          <w:rFonts w:cs="Times New Roman"/>
          <w:lang w:val="sr-Latn-RS"/>
        </w:rPr>
        <w:t>osjetljivost</w:t>
      </w:r>
      <w:r w:rsidRPr="00750BAE">
        <w:rPr>
          <w:rFonts w:cs="Times New Roman"/>
          <w:lang w:val="sr-Latn-RS"/>
        </w:rPr>
        <w:t xml:space="preserve">i ili anafilaktične reakcije. Te neželjene reakcije </w:t>
      </w:r>
      <w:r w:rsidR="00A83B47" w:rsidRPr="00750BAE">
        <w:rPr>
          <w:rFonts w:cs="Times New Roman"/>
          <w:lang w:val="sr-Latn-RS"/>
        </w:rPr>
        <w:t>nijesu</w:t>
      </w:r>
      <w:r w:rsidRPr="00750BAE">
        <w:rPr>
          <w:rFonts w:cs="Times New Roman"/>
          <w:lang w:val="sr-Latn-RS"/>
        </w:rPr>
        <w:t xml:space="preserve"> bile opasne po život, ali je zbog njih bila potrebna hospitalizacija. </w:t>
      </w:r>
      <w:r w:rsidR="0069098C" w:rsidRPr="00750BAE">
        <w:rPr>
          <w:rFonts w:cs="Times New Roman"/>
          <w:lang w:val="sr-Latn-RS"/>
        </w:rPr>
        <w:t>Ljekar</w:t>
      </w:r>
      <w:r w:rsidRPr="00750BAE">
        <w:rPr>
          <w:rFonts w:cs="Times New Roman"/>
          <w:lang w:val="sr-Latn-RS"/>
        </w:rPr>
        <w:t xml:space="preserve">i koji propisuju 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 xml:space="preserve"> i pacijenti treba da obrate pažnju na tu mogućnost u slučaju pojave teških reakcija naleta </w:t>
      </w:r>
      <w:r w:rsidR="003B4A63">
        <w:rPr>
          <w:rFonts w:cs="Times New Roman"/>
          <w:lang w:val="sr-Latn-RS"/>
        </w:rPr>
        <w:t>crvenila</w:t>
      </w:r>
      <w:r w:rsidR="003B4A63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povezanih sa 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>om Vumerity (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</w:t>
      </w:r>
      <w:r w:rsidR="003B4A63">
        <w:rPr>
          <w:rFonts w:cs="Times New Roman"/>
          <w:lang w:val="sr-Latn-RS"/>
        </w:rPr>
        <w:t>djelove</w:t>
      </w:r>
      <w:r w:rsidR="003B4A63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4.2, 4.5 i 4.8).</w:t>
      </w:r>
    </w:p>
    <w:p w14:paraId="4A1B61AE" w14:textId="77777777" w:rsidR="00BC3A3A" w:rsidRPr="00750BAE" w:rsidRDefault="00BC3A3A" w:rsidP="00BC3A3A">
      <w:pPr>
        <w:spacing w:before="3"/>
        <w:rPr>
          <w:sz w:val="22"/>
          <w:szCs w:val="22"/>
          <w:lang w:val="sr-Latn-RS"/>
        </w:rPr>
      </w:pPr>
    </w:p>
    <w:p w14:paraId="177F3FA2" w14:textId="6CD27F59" w:rsidR="00BC3A3A" w:rsidRPr="00750BAE" w:rsidRDefault="00BC3A3A" w:rsidP="00BC3A3A">
      <w:pPr>
        <w:pStyle w:val="BodyText"/>
        <w:spacing w:line="237" w:lineRule="auto"/>
        <w:ind w:right="14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Podaci iz ispitivanja na zdravim dobrovoljcima upućuju na to da je nalet </w:t>
      </w:r>
      <w:r w:rsidR="003B4A63">
        <w:rPr>
          <w:rFonts w:cs="Times New Roman"/>
          <w:lang w:val="sr-Latn-RS"/>
        </w:rPr>
        <w:t>crvenila</w:t>
      </w:r>
      <w:r w:rsidR="003B4A63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povezan sa dimetil</w:t>
      </w:r>
      <w:r w:rsidR="005A3B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fumaratom </w:t>
      </w:r>
      <w:r w:rsidR="00CE05FB">
        <w:rPr>
          <w:rFonts w:cs="Times New Roman"/>
          <w:lang w:val="sr-Latn-RS"/>
        </w:rPr>
        <w:t>najvjerovatnije</w:t>
      </w:r>
      <w:r w:rsidRPr="00750BAE">
        <w:rPr>
          <w:rFonts w:cs="Times New Roman"/>
          <w:lang w:val="sr-Latn-RS"/>
        </w:rPr>
        <w:t xml:space="preserve"> posredovan prostaglandinima. Kratkotrajno </w:t>
      </w:r>
      <w:r w:rsidR="0069098C" w:rsidRPr="00750BAE">
        <w:rPr>
          <w:rFonts w:cs="Times New Roman"/>
          <w:lang w:val="sr-Latn-RS"/>
        </w:rPr>
        <w:t>liječenje</w:t>
      </w:r>
      <w:r w:rsidRPr="00750BAE">
        <w:rPr>
          <w:rFonts w:cs="Times New Roman"/>
          <w:lang w:val="sr-Latn-RS"/>
        </w:rPr>
        <w:t xml:space="preserve"> dozom od 75 mg acetilsalicilne kiseline bez acidorezistentne opne može imati povoljan efekat kod pacijenata sa nepodnošljivim naletima </w:t>
      </w:r>
      <w:r w:rsidR="0008044B">
        <w:rPr>
          <w:rFonts w:cs="Times New Roman"/>
          <w:lang w:val="sr-Latn-RS"/>
        </w:rPr>
        <w:t>crvenila</w:t>
      </w:r>
      <w:r w:rsidR="0008044B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(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</w:t>
      </w:r>
      <w:r w:rsidR="0008044B">
        <w:rPr>
          <w:rFonts w:cs="Times New Roman"/>
          <w:lang w:val="sr-Latn-RS"/>
        </w:rPr>
        <w:t>dio</w:t>
      </w:r>
      <w:r w:rsidR="0008044B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4.5). U dva ispitivanja na zdravim dobrovoljcima smanjila se pojava i težina naleta </w:t>
      </w:r>
      <w:r w:rsidR="0008044B">
        <w:rPr>
          <w:rFonts w:cs="Times New Roman"/>
          <w:lang w:val="sr-Latn-RS"/>
        </w:rPr>
        <w:t>crvenila</w:t>
      </w:r>
      <w:r w:rsidR="0008044B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tokom perioda doziranja.</w:t>
      </w:r>
    </w:p>
    <w:p w14:paraId="07B8E127" w14:textId="77777777" w:rsidR="00BC3A3A" w:rsidRPr="00750BAE" w:rsidRDefault="00BC3A3A" w:rsidP="00BC3A3A">
      <w:pPr>
        <w:spacing w:before="9"/>
        <w:rPr>
          <w:sz w:val="22"/>
          <w:szCs w:val="22"/>
          <w:lang w:val="sr-Latn-RS"/>
        </w:rPr>
      </w:pPr>
    </w:p>
    <w:p w14:paraId="5AA24A97" w14:textId="77777777" w:rsidR="00BC3A3A" w:rsidRPr="00750BAE" w:rsidRDefault="00BC3A3A" w:rsidP="00BC3A3A">
      <w:pPr>
        <w:pStyle w:val="BodyText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>Anafilaktičke reakcije</w:t>
      </w:r>
    </w:p>
    <w:p w14:paraId="1F147041" w14:textId="77777777" w:rsidR="00BC3A3A" w:rsidRPr="00750BAE" w:rsidRDefault="00BC3A3A" w:rsidP="00BC3A3A">
      <w:pPr>
        <w:rPr>
          <w:sz w:val="22"/>
          <w:szCs w:val="22"/>
          <w:lang w:val="sr-Latn-RS"/>
        </w:rPr>
      </w:pPr>
    </w:p>
    <w:p w14:paraId="6E232894" w14:textId="556782A1" w:rsidR="00BC3A3A" w:rsidRPr="00750BAE" w:rsidRDefault="00BC3A3A" w:rsidP="00BC3A3A">
      <w:pPr>
        <w:pStyle w:val="BodyText"/>
        <w:spacing w:before="72" w:line="237" w:lineRule="auto"/>
        <w:ind w:right="176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Nakon stavljanja 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 xml:space="preserve">a u promet prijavljeni su slučajevi anafilakse/anafilaktoidne reakcije nakon </w:t>
      </w:r>
      <w:r w:rsidR="004A63C1" w:rsidRPr="00750BAE">
        <w:rPr>
          <w:rFonts w:cs="Times New Roman"/>
          <w:lang w:val="sr-Latn-RS"/>
        </w:rPr>
        <w:t>primjene</w:t>
      </w:r>
      <w:r w:rsidRPr="00750BAE">
        <w:rPr>
          <w:rFonts w:cs="Times New Roman"/>
          <w:lang w:val="sr-Latn-RS"/>
        </w:rPr>
        <w:t xml:space="preserve">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fumarata. Simptomi mogu da uključuj</w:t>
      </w:r>
      <w:r w:rsidR="007460F5" w:rsidRPr="00750BAE">
        <w:rPr>
          <w:rFonts w:cs="Times New Roman"/>
          <w:lang w:val="sr-Latn-RS"/>
        </w:rPr>
        <w:t>u</w:t>
      </w:r>
      <w:r w:rsidRPr="00750BAE">
        <w:rPr>
          <w:rFonts w:cs="Times New Roman"/>
          <w:lang w:val="sr-Latn-RS"/>
        </w:rPr>
        <w:t xml:space="preserve"> dispneju, hipoksiju, hipotenziju, angioedem, osip ili urtikariju. Mehanizam kojim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 izaziva anafilaksu nije poznat. Te reakcije uglavnom nastaju nakon prve doze, ali se takođe mogu pojaviti u bilo kom trenutku tokom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>a, te mogu biti ozbiljne i opasne po život. Pacijentima se mora sav</w:t>
      </w:r>
      <w:r w:rsidR="007460F5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 xml:space="preserve">etovati da prestanu sa uzimanjem 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>a Vumerity i da potraže hitnu medicinsku pomoć ako os</w:t>
      </w:r>
      <w:r w:rsidR="007460F5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 xml:space="preserve">ete znakove ili simptome anafilakse. Ne </w:t>
      </w:r>
      <w:r w:rsidR="006D0DCA" w:rsidRPr="00750BAE">
        <w:rPr>
          <w:rFonts w:cs="Times New Roman"/>
          <w:lang w:val="sr-Latn-RS"/>
        </w:rPr>
        <w:t>smije</w:t>
      </w:r>
      <w:r w:rsidRPr="00750BAE">
        <w:rPr>
          <w:rFonts w:cs="Times New Roman"/>
          <w:lang w:val="sr-Latn-RS"/>
        </w:rPr>
        <w:t xml:space="preserve"> se ponovo početi sa </w:t>
      </w:r>
      <w:r w:rsidR="0069098C" w:rsidRPr="00750BAE">
        <w:rPr>
          <w:rFonts w:cs="Times New Roman"/>
          <w:lang w:val="sr-Latn-RS"/>
        </w:rPr>
        <w:t>liječenje</w:t>
      </w:r>
      <w:r w:rsidRPr="00750BAE">
        <w:rPr>
          <w:rFonts w:cs="Times New Roman"/>
          <w:lang w:val="sr-Latn-RS"/>
        </w:rPr>
        <w:t>m (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</w:t>
      </w:r>
      <w:r w:rsidR="00B212A3">
        <w:rPr>
          <w:rFonts w:cs="Times New Roman"/>
          <w:lang w:val="sr-Latn-RS"/>
        </w:rPr>
        <w:t>dio</w:t>
      </w:r>
      <w:r w:rsidR="00B212A3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4.8).</w:t>
      </w:r>
    </w:p>
    <w:p w14:paraId="55D8B418" w14:textId="77777777" w:rsidR="00BC3A3A" w:rsidRPr="00750BAE" w:rsidRDefault="00BC3A3A" w:rsidP="00BC3A3A">
      <w:pPr>
        <w:spacing w:before="9"/>
        <w:rPr>
          <w:sz w:val="22"/>
          <w:szCs w:val="22"/>
          <w:lang w:val="sr-Latn-RS"/>
        </w:rPr>
      </w:pPr>
    </w:p>
    <w:p w14:paraId="7581E025" w14:textId="77777777" w:rsidR="00BC3A3A" w:rsidRPr="00750BAE" w:rsidRDefault="00BC3A3A" w:rsidP="00BC3A3A">
      <w:pPr>
        <w:pStyle w:val="BodyText"/>
        <w:ind w:right="141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>Infekcije</w:t>
      </w:r>
    </w:p>
    <w:p w14:paraId="1280ED12" w14:textId="0C8F7CF0" w:rsidR="00BC3A3A" w:rsidRPr="00750BAE" w:rsidRDefault="00BC3A3A" w:rsidP="00BC3A3A">
      <w:pPr>
        <w:pStyle w:val="BodyText"/>
        <w:spacing w:before="73" w:line="237" w:lineRule="auto"/>
        <w:ind w:right="25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U placebom kontrolisanim ispitivanjima faze 3 sa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fumaratom, incidenca infekcija (60% u odnosu na 58%) i ozbiljnih infekcija (2% u odnosu na 2%) bila je slična kod pacijenata </w:t>
      </w:r>
      <w:r w:rsidR="00A83B47" w:rsidRPr="00750BAE">
        <w:rPr>
          <w:rFonts w:cs="Times New Roman"/>
          <w:lang w:val="sr-Latn-RS"/>
        </w:rPr>
        <w:t>liječenih</w:t>
      </w:r>
      <w:r w:rsidRPr="00750BAE">
        <w:rPr>
          <w:rFonts w:cs="Times New Roman"/>
          <w:lang w:val="sr-Latn-RS"/>
        </w:rPr>
        <w:t xml:space="preserve">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fumaratom ili onih koji su dobijali placebo.</w:t>
      </w:r>
    </w:p>
    <w:p w14:paraId="7713884E" w14:textId="77777777" w:rsidR="00BC3A3A" w:rsidRPr="00750BAE" w:rsidRDefault="00BC3A3A" w:rsidP="00BC3A3A">
      <w:pPr>
        <w:spacing w:before="10"/>
        <w:rPr>
          <w:sz w:val="22"/>
          <w:szCs w:val="22"/>
          <w:lang w:val="sr-Latn-RS"/>
        </w:rPr>
      </w:pPr>
    </w:p>
    <w:p w14:paraId="4360FE17" w14:textId="5D5FD5F8" w:rsidR="00BC3A3A" w:rsidRPr="00750BAE" w:rsidRDefault="00BC3A3A" w:rsidP="00BC3A3A">
      <w:pPr>
        <w:pStyle w:val="BodyText"/>
        <w:ind w:right="141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Diroksimel</w:t>
      </w:r>
      <w:r w:rsidR="005A3B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 pokazuje imunomodulatorna svojstva (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</w:t>
      </w:r>
      <w:r w:rsidR="00B212A3">
        <w:rPr>
          <w:rFonts w:cs="Times New Roman"/>
          <w:lang w:val="sr-Latn-RS"/>
        </w:rPr>
        <w:t>dio</w:t>
      </w:r>
      <w:r w:rsidR="00B212A3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5.1).</w:t>
      </w:r>
    </w:p>
    <w:p w14:paraId="7B00859A" w14:textId="77777777" w:rsidR="00BC3A3A" w:rsidRPr="00750BAE" w:rsidRDefault="00BC3A3A" w:rsidP="00BC3A3A">
      <w:pPr>
        <w:spacing w:before="3"/>
        <w:rPr>
          <w:sz w:val="22"/>
          <w:szCs w:val="22"/>
          <w:lang w:val="sr-Latn-RS"/>
        </w:rPr>
      </w:pPr>
    </w:p>
    <w:p w14:paraId="5E126F90" w14:textId="4DD1C404" w:rsidR="00BC3A3A" w:rsidRPr="00750BAE" w:rsidRDefault="00BC3A3A" w:rsidP="00BC3A3A">
      <w:pPr>
        <w:pStyle w:val="BodyText"/>
        <w:spacing w:line="237" w:lineRule="auto"/>
        <w:ind w:right="25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Pacijentima koji uzimaju 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 xml:space="preserve"> Vumerity treba </w:t>
      </w:r>
      <w:r w:rsidR="007460F5" w:rsidRPr="00750BAE">
        <w:rPr>
          <w:rFonts w:cs="Times New Roman"/>
          <w:lang w:val="sr-Latn-RS"/>
        </w:rPr>
        <w:t>savjet</w:t>
      </w:r>
      <w:r w:rsidRPr="00750BAE">
        <w:rPr>
          <w:rFonts w:cs="Times New Roman"/>
          <w:lang w:val="sr-Latn-RS"/>
        </w:rPr>
        <w:t>ovati da obav</w:t>
      </w:r>
      <w:r w:rsidR="007460F5" w:rsidRPr="00750BAE">
        <w:rPr>
          <w:rFonts w:cs="Times New Roman"/>
          <w:lang w:val="sr-Latn-RS"/>
        </w:rPr>
        <w:t>ij</w:t>
      </w:r>
      <w:r w:rsidRPr="00750BAE">
        <w:rPr>
          <w:rFonts w:cs="Times New Roman"/>
          <w:lang w:val="sr-Latn-RS"/>
        </w:rPr>
        <w:t xml:space="preserve">este </w:t>
      </w:r>
      <w:r w:rsidR="0069098C" w:rsidRPr="00750BAE">
        <w:rPr>
          <w:rFonts w:cs="Times New Roman"/>
          <w:lang w:val="sr-Latn-RS"/>
        </w:rPr>
        <w:t>ljekar</w:t>
      </w:r>
      <w:r w:rsidRPr="00750BAE">
        <w:rPr>
          <w:rFonts w:cs="Times New Roman"/>
          <w:lang w:val="sr-Latn-RS"/>
        </w:rPr>
        <w:t xml:space="preserve">a o simptomima infekcije. Ako pacijent razvije ozbiljnu infekciju, potrebno je razmotriti </w:t>
      </w:r>
      <w:r w:rsidR="005F44D1" w:rsidRPr="00750BAE">
        <w:rPr>
          <w:rFonts w:cs="Times New Roman"/>
          <w:lang w:val="sr-Latn-RS"/>
        </w:rPr>
        <w:t>prijevreme</w:t>
      </w:r>
      <w:r w:rsidRPr="00750BAE">
        <w:rPr>
          <w:rFonts w:cs="Times New Roman"/>
          <w:lang w:val="sr-Latn-RS"/>
        </w:rPr>
        <w:t xml:space="preserve">ni prekid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 xml:space="preserve">a i ponovo </w:t>
      </w:r>
      <w:r w:rsidR="00A83B47" w:rsidRPr="00750BAE">
        <w:rPr>
          <w:rFonts w:cs="Times New Roman"/>
          <w:lang w:val="sr-Latn-RS"/>
        </w:rPr>
        <w:t>proc</w:t>
      </w:r>
      <w:r w:rsidR="007460F5" w:rsidRPr="00750BAE">
        <w:rPr>
          <w:rFonts w:cs="Times New Roman"/>
          <w:lang w:val="sr-Latn-RS"/>
        </w:rPr>
        <w:t>i</w:t>
      </w:r>
      <w:r w:rsidR="00A83B47" w:rsidRPr="00750BAE">
        <w:rPr>
          <w:rFonts w:cs="Times New Roman"/>
          <w:lang w:val="sr-Latn-RS"/>
        </w:rPr>
        <w:t>jen</w:t>
      </w:r>
      <w:r w:rsidRPr="00750BAE">
        <w:rPr>
          <w:rFonts w:cs="Times New Roman"/>
          <w:lang w:val="sr-Latn-RS"/>
        </w:rPr>
        <w:t>iti odnos koristi i rizika</w:t>
      </w:r>
      <w:r w:rsidR="00132BCB" w:rsidRPr="00750BAE">
        <w:rPr>
          <w:rFonts w:cs="Times New Roman"/>
          <w:lang w:val="sr-Latn-RS"/>
        </w:rPr>
        <w:t xml:space="preserve"> prije </w:t>
      </w:r>
      <w:r w:rsidRPr="00750BAE">
        <w:rPr>
          <w:rFonts w:cs="Times New Roman"/>
          <w:lang w:val="sr-Latn-RS"/>
        </w:rPr>
        <w:t xml:space="preserve">nastavka terapije. Pacijenti sa ozbiljnim infekcijama ne </w:t>
      </w:r>
      <w:r w:rsidR="006D0DCA" w:rsidRPr="00750BAE">
        <w:rPr>
          <w:rFonts w:cs="Times New Roman"/>
          <w:lang w:val="sr-Latn-RS"/>
        </w:rPr>
        <w:t>smi</w:t>
      </w:r>
      <w:r w:rsidRPr="00750BAE">
        <w:rPr>
          <w:rFonts w:cs="Times New Roman"/>
          <w:lang w:val="sr-Latn-RS"/>
        </w:rPr>
        <w:t xml:space="preserve">ju započeti </w:t>
      </w:r>
      <w:r w:rsidR="0069098C" w:rsidRPr="00750BAE">
        <w:rPr>
          <w:rFonts w:cs="Times New Roman"/>
          <w:lang w:val="sr-Latn-RS"/>
        </w:rPr>
        <w:t>liječenje</w:t>
      </w:r>
      <w:r w:rsidRPr="00750BAE">
        <w:rPr>
          <w:rFonts w:cs="Times New Roman"/>
          <w:lang w:val="sr-Latn-RS"/>
        </w:rPr>
        <w:t xml:space="preserve"> sve dok infekcija ne bude iz</w:t>
      </w:r>
      <w:r w:rsidR="004B4C9F" w:rsidRPr="00750BAE">
        <w:rPr>
          <w:rFonts w:cs="Times New Roman"/>
          <w:lang w:val="sr-Latn-RS"/>
        </w:rPr>
        <w:t>liječe</w:t>
      </w:r>
      <w:r w:rsidRPr="00750BAE">
        <w:rPr>
          <w:rFonts w:cs="Times New Roman"/>
          <w:lang w:val="sr-Latn-RS"/>
        </w:rPr>
        <w:t>na.</w:t>
      </w:r>
    </w:p>
    <w:p w14:paraId="044EC2A7" w14:textId="77777777" w:rsidR="00BC3A3A" w:rsidRPr="00750BAE" w:rsidRDefault="00BC3A3A" w:rsidP="00BC3A3A">
      <w:pPr>
        <w:spacing w:before="2"/>
        <w:rPr>
          <w:sz w:val="22"/>
          <w:szCs w:val="22"/>
          <w:lang w:val="sr-Latn-RS"/>
        </w:rPr>
      </w:pPr>
    </w:p>
    <w:p w14:paraId="5C8E4440" w14:textId="487083D1" w:rsidR="00BC3A3A" w:rsidRPr="00750BAE" w:rsidRDefault="00BC3A3A" w:rsidP="00BC3A3A">
      <w:pPr>
        <w:pStyle w:val="BodyText"/>
        <w:spacing w:line="232" w:lineRule="auto"/>
        <w:ind w:right="157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Nije </w:t>
      </w:r>
      <w:r w:rsidR="00A83B47" w:rsidRPr="00750BAE">
        <w:rPr>
          <w:rFonts w:cs="Times New Roman"/>
          <w:lang w:val="sr-Latn-RS"/>
        </w:rPr>
        <w:t>primijećen</w:t>
      </w:r>
      <w:r w:rsidRPr="00750BAE">
        <w:rPr>
          <w:rFonts w:cs="Times New Roman"/>
          <w:lang w:val="sr-Latn-RS"/>
        </w:rPr>
        <w:t xml:space="preserve">a povećana incidenca ozbiljnih infekcija kod pacijenata </w:t>
      </w:r>
      <w:r w:rsidR="00A83B47" w:rsidRPr="00750BAE">
        <w:rPr>
          <w:rFonts w:cs="Times New Roman"/>
          <w:lang w:val="sr-Latn-RS"/>
        </w:rPr>
        <w:t>liječenih</w:t>
      </w:r>
      <w:r w:rsidRPr="00750BAE">
        <w:rPr>
          <w:rFonts w:cs="Times New Roman"/>
          <w:lang w:val="sr-Latn-RS"/>
        </w:rPr>
        <w:t xml:space="preserve">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fumaratom sa brojem limfocita &lt; 0,8 × 10</w:t>
      </w:r>
      <w:r w:rsidRPr="008246C8">
        <w:rPr>
          <w:rFonts w:cs="Times New Roman"/>
          <w:vertAlign w:val="superscript"/>
          <w:lang w:val="sr-Latn-RS"/>
        </w:rPr>
        <w:t>9</w:t>
      </w:r>
      <w:r w:rsidRPr="00750BAE">
        <w:rPr>
          <w:rFonts w:cs="Times New Roman"/>
          <w:lang w:val="sr-Latn-RS"/>
        </w:rPr>
        <w:t>/l ili &lt; 0,5 × 10</w:t>
      </w:r>
      <w:r w:rsidRPr="008246C8">
        <w:rPr>
          <w:rFonts w:cs="Times New Roman"/>
          <w:vertAlign w:val="superscript"/>
          <w:lang w:val="sr-Latn-RS"/>
        </w:rPr>
        <w:t>9</w:t>
      </w:r>
      <w:r w:rsidRPr="00750BAE">
        <w:rPr>
          <w:rFonts w:cs="Times New Roman"/>
          <w:lang w:val="sr-Latn-RS"/>
        </w:rPr>
        <w:t>/l (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</w:t>
      </w:r>
      <w:r w:rsidR="0069098C" w:rsidRPr="00750BAE">
        <w:rPr>
          <w:rFonts w:cs="Times New Roman"/>
          <w:lang w:val="sr-Latn-RS"/>
        </w:rPr>
        <w:t>odjeljak</w:t>
      </w:r>
      <w:r w:rsidRPr="00750BAE">
        <w:rPr>
          <w:rFonts w:cs="Times New Roman"/>
          <w:lang w:val="sr-Latn-RS"/>
        </w:rPr>
        <w:t xml:space="preserve"> 4.8). Ako se terapija 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 xml:space="preserve">om Vumerity nastavi uz prisutnu </w:t>
      </w:r>
      <w:r w:rsidR="00B53AD3" w:rsidRPr="00750BAE">
        <w:rPr>
          <w:rFonts w:cs="Times New Roman"/>
          <w:lang w:val="sr-Latn-RS"/>
        </w:rPr>
        <w:t>umjeren</w:t>
      </w:r>
      <w:r w:rsidRPr="00750BAE">
        <w:rPr>
          <w:rFonts w:cs="Times New Roman"/>
          <w:lang w:val="sr-Latn-RS"/>
        </w:rPr>
        <w:t>u do tešku produženu limfopeniju, ne može se isključiti rizik od oportunističke infekcije, uključujući PML (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</w:t>
      </w:r>
      <w:r w:rsidR="00B212A3">
        <w:rPr>
          <w:rFonts w:cs="Times New Roman"/>
          <w:lang w:val="sr-Latn-RS"/>
        </w:rPr>
        <w:t>dio</w:t>
      </w:r>
      <w:r w:rsidR="00B212A3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o PML-u).</w:t>
      </w:r>
    </w:p>
    <w:p w14:paraId="58DD454F" w14:textId="77777777" w:rsidR="00BC3A3A" w:rsidRPr="00750BAE" w:rsidRDefault="00BC3A3A" w:rsidP="00BC3A3A">
      <w:pPr>
        <w:spacing w:before="4"/>
        <w:rPr>
          <w:sz w:val="22"/>
          <w:szCs w:val="22"/>
          <w:lang w:val="sr-Latn-RS"/>
        </w:rPr>
      </w:pPr>
    </w:p>
    <w:p w14:paraId="3BB8BD6B" w14:textId="77777777" w:rsidR="00BC3A3A" w:rsidRPr="00750BAE" w:rsidRDefault="00BC3A3A" w:rsidP="00BC3A3A">
      <w:pPr>
        <w:pStyle w:val="BodyText"/>
        <w:ind w:right="141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>Herpes zoster infekcije</w:t>
      </w:r>
    </w:p>
    <w:p w14:paraId="394783EB" w14:textId="77777777" w:rsidR="00BC3A3A" w:rsidRPr="00750BAE" w:rsidRDefault="00BC3A3A" w:rsidP="00BC3A3A">
      <w:pPr>
        <w:spacing w:before="6"/>
        <w:rPr>
          <w:sz w:val="22"/>
          <w:szCs w:val="22"/>
          <w:lang w:val="sr-Latn-RS"/>
        </w:rPr>
      </w:pPr>
    </w:p>
    <w:p w14:paraId="079CA43E" w14:textId="658EBB72" w:rsidR="00BC3A3A" w:rsidRPr="00750BAE" w:rsidRDefault="00BC3A3A" w:rsidP="00BC3A3A">
      <w:pPr>
        <w:pStyle w:val="BodyText"/>
        <w:spacing w:before="72"/>
        <w:ind w:right="14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Tokom </w:t>
      </w:r>
      <w:r w:rsidR="004A63C1" w:rsidRPr="00750BAE">
        <w:rPr>
          <w:rFonts w:cs="Times New Roman"/>
          <w:lang w:val="sr-Latn-RS"/>
        </w:rPr>
        <w:t>primjene</w:t>
      </w:r>
      <w:r w:rsidRPr="00750BAE">
        <w:rPr>
          <w:rFonts w:cs="Times New Roman"/>
          <w:lang w:val="sr-Latn-RS"/>
        </w:rPr>
        <w:t xml:space="preserve"> diroksimel</w:t>
      </w:r>
      <w:r w:rsidR="005A3B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fumarata i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fumarata </w:t>
      </w:r>
      <w:r w:rsidR="00132BCB" w:rsidRPr="00750BAE">
        <w:rPr>
          <w:rFonts w:cs="Times New Roman"/>
          <w:lang w:val="sr-Latn-RS"/>
        </w:rPr>
        <w:t>zabilježen</w:t>
      </w:r>
      <w:r w:rsidRPr="00750BAE">
        <w:rPr>
          <w:rFonts w:cs="Times New Roman"/>
          <w:lang w:val="sr-Latn-RS"/>
        </w:rPr>
        <w:t>i su slučajevi herpes zostera. Većina slučajeva povezana sa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fumaratom nije bila ozbiljne prirode, ali prijavljeni su i ozbiljni slučajevi, uključujući disemi</w:t>
      </w:r>
      <w:r w:rsidR="00B550EE">
        <w:rPr>
          <w:rFonts w:cs="Times New Roman"/>
          <w:lang w:val="sr-Latn-RS"/>
        </w:rPr>
        <w:t>novani</w:t>
      </w:r>
      <w:r w:rsidRPr="00750BAE">
        <w:rPr>
          <w:rFonts w:cs="Times New Roman"/>
          <w:lang w:val="sr-Latn-RS"/>
        </w:rPr>
        <w:t xml:space="preserve"> oblik herpes zostera, očni herpes zoster, ušni herpes zoster, herpes zoster infekciju nervnog sistema, meningoencefalitis izazvan herpes zosterom te meningomijelitis izazvan herpes zosterom. Ovi događaji se mogu pojaviti u bilo kom trenutku tokom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 xml:space="preserve">a. Pacijente treba pratiti zbog moguće pojave znakova i simptoma herpes zostera, naročito ako je </w:t>
      </w:r>
      <w:r w:rsidR="00A83B47" w:rsidRPr="00750BAE">
        <w:rPr>
          <w:rFonts w:cs="Times New Roman"/>
          <w:lang w:val="sr-Latn-RS"/>
        </w:rPr>
        <w:t>istovreme</w:t>
      </w:r>
      <w:r w:rsidRPr="00750BAE">
        <w:rPr>
          <w:rFonts w:cs="Times New Roman"/>
          <w:lang w:val="sr-Latn-RS"/>
        </w:rPr>
        <w:t>no prisutna i limfocitopenija. U slučaju pojave herpes zostera, potrebno je prim</w:t>
      </w:r>
      <w:r w:rsidR="007460F5" w:rsidRPr="00750BAE">
        <w:rPr>
          <w:rFonts w:cs="Times New Roman"/>
          <w:lang w:val="sr-Latn-RS"/>
        </w:rPr>
        <w:t>ij</w:t>
      </w:r>
      <w:r w:rsidRPr="00750BAE">
        <w:rPr>
          <w:rFonts w:cs="Times New Roman"/>
          <w:lang w:val="sr-Latn-RS"/>
        </w:rPr>
        <w:t xml:space="preserve">eniti odgovarajuće </w:t>
      </w:r>
      <w:r w:rsidR="0069098C" w:rsidRPr="00750BAE">
        <w:rPr>
          <w:rFonts w:cs="Times New Roman"/>
          <w:lang w:val="sr-Latn-RS"/>
        </w:rPr>
        <w:t>liječenje</w:t>
      </w:r>
      <w:r w:rsidRPr="00750BAE">
        <w:rPr>
          <w:rFonts w:cs="Times New Roman"/>
          <w:lang w:val="sr-Latn-RS"/>
        </w:rPr>
        <w:t xml:space="preserve">. Kod pacijenata sa ozbiljnim infekcijama potrebno je razmotriti </w:t>
      </w:r>
      <w:r w:rsidR="005F44D1" w:rsidRPr="00750BAE">
        <w:rPr>
          <w:rFonts w:cs="Times New Roman"/>
          <w:lang w:val="sr-Latn-RS"/>
        </w:rPr>
        <w:t>prijevreme</w:t>
      </w:r>
      <w:r w:rsidRPr="00750BAE">
        <w:rPr>
          <w:rFonts w:cs="Times New Roman"/>
          <w:lang w:val="sr-Latn-RS"/>
        </w:rPr>
        <w:t xml:space="preserve">ni prekid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>a dok se infekcija ne izl</w:t>
      </w:r>
      <w:r w:rsidR="007460F5" w:rsidRPr="00750BAE">
        <w:rPr>
          <w:rFonts w:cs="Times New Roman"/>
          <w:lang w:val="sr-Latn-RS"/>
        </w:rPr>
        <w:t>ij</w:t>
      </w:r>
      <w:r w:rsidRPr="00750BAE">
        <w:rPr>
          <w:rFonts w:cs="Times New Roman"/>
          <w:lang w:val="sr-Latn-RS"/>
        </w:rPr>
        <w:t>eči (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</w:t>
      </w:r>
      <w:r w:rsidR="00B550EE">
        <w:rPr>
          <w:rFonts w:cs="Times New Roman"/>
          <w:lang w:val="sr-Latn-RS"/>
        </w:rPr>
        <w:t>dio</w:t>
      </w:r>
      <w:r w:rsidR="00B550EE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4.8).</w:t>
      </w:r>
    </w:p>
    <w:p w14:paraId="1F559825" w14:textId="77777777" w:rsidR="00BC3A3A" w:rsidRPr="00750BAE" w:rsidRDefault="00BC3A3A" w:rsidP="00BC3A3A">
      <w:pPr>
        <w:spacing w:before="3"/>
        <w:rPr>
          <w:sz w:val="22"/>
          <w:szCs w:val="22"/>
          <w:lang w:val="sr-Latn-RS"/>
        </w:rPr>
      </w:pPr>
    </w:p>
    <w:p w14:paraId="31BA9111" w14:textId="2FC32FDC" w:rsidR="00BC3A3A" w:rsidRPr="00750BAE" w:rsidRDefault="00BC3A3A" w:rsidP="00BC3A3A">
      <w:pPr>
        <w:pStyle w:val="BodyText"/>
        <w:ind w:right="141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 xml:space="preserve">Početak </w:t>
      </w:r>
      <w:r w:rsidR="0069098C" w:rsidRPr="00750BAE">
        <w:rPr>
          <w:rFonts w:cs="Times New Roman"/>
          <w:u w:val="single"/>
          <w:lang w:val="sr-Latn-RS"/>
        </w:rPr>
        <w:t>liječenj</w:t>
      </w:r>
      <w:r w:rsidRPr="00750BAE">
        <w:rPr>
          <w:rFonts w:cs="Times New Roman"/>
          <w:u w:val="single"/>
          <w:lang w:val="sr-Latn-RS"/>
        </w:rPr>
        <w:t>a</w:t>
      </w:r>
    </w:p>
    <w:p w14:paraId="5D5C19E8" w14:textId="77777777" w:rsidR="00BC3A3A" w:rsidRPr="00750BAE" w:rsidRDefault="00BC3A3A" w:rsidP="00BC3A3A">
      <w:pPr>
        <w:spacing w:before="7"/>
        <w:rPr>
          <w:sz w:val="22"/>
          <w:szCs w:val="22"/>
          <w:lang w:val="sr-Latn-RS"/>
        </w:rPr>
      </w:pPr>
    </w:p>
    <w:p w14:paraId="315AC63A" w14:textId="6893E9D2" w:rsidR="00BC3A3A" w:rsidRPr="00750BAE" w:rsidRDefault="0069098C" w:rsidP="00BC3A3A">
      <w:pPr>
        <w:pStyle w:val="BodyText"/>
        <w:spacing w:before="72"/>
        <w:ind w:right="157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Liječenje</w:t>
      </w:r>
      <w:r w:rsidR="00BC3A3A" w:rsidRPr="00750BAE">
        <w:rPr>
          <w:rFonts w:cs="Times New Roman"/>
          <w:lang w:val="sr-Latn-RS"/>
        </w:rPr>
        <w:t xml:space="preserve"> treba započeti postepeno kako bi se smanjila učestalost naleta </w:t>
      </w:r>
      <w:r w:rsidR="00B550EE">
        <w:rPr>
          <w:rFonts w:cs="Times New Roman"/>
          <w:lang w:val="sr-Latn-RS"/>
        </w:rPr>
        <w:t>crvenila</w:t>
      </w:r>
      <w:r w:rsidR="00B550EE" w:rsidRPr="00750BAE">
        <w:rPr>
          <w:rFonts w:cs="Times New Roman"/>
          <w:lang w:val="sr-Latn-RS"/>
        </w:rPr>
        <w:t xml:space="preserve"> </w:t>
      </w:r>
      <w:r w:rsidR="00BC3A3A" w:rsidRPr="00750BAE">
        <w:rPr>
          <w:rFonts w:cs="Times New Roman"/>
          <w:lang w:val="sr-Latn-RS"/>
        </w:rPr>
        <w:t>i gastrointestinalnih neželjenih reakcija (</w:t>
      </w:r>
      <w:r w:rsidRPr="00750BAE">
        <w:rPr>
          <w:rFonts w:cs="Times New Roman"/>
          <w:lang w:val="sr-Latn-RS"/>
        </w:rPr>
        <w:t>vidjeti</w:t>
      </w:r>
      <w:r w:rsidR="00BC3A3A" w:rsidRPr="00750BAE">
        <w:rPr>
          <w:rFonts w:cs="Times New Roman"/>
          <w:lang w:val="sr-Latn-RS"/>
        </w:rPr>
        <w:t xml:space="preserve"> </w:t>
      </w:r>
      <w:r w:rsidR="00B550EE">
        <w:rPr>
          <w:rFonts w:cs="Times New Roman"/>
          <w:lang w:val="sr-Latn-RS"/>
        </w:rPr>
        <w:t>dio</w:t>
      </w:r>
      <w:r w:rsidR="00B550EE" w:rsidRPr="00750BAE">
        <w:rPr>
          <w:rFonts w:cs="Times New Roman"/>
          <w:lang w:val="sr-Latn-RS"/>
        </w:rPr>
        <w:t xml:space="preserve"> </w:t>
      </w:r>
      <w:r w:rsidR="00BC3A3A" w:rsidRPr="00750BAE">
        <w:rPr>
          <w:rFonts w:cs="Times New Roman"/>
          <w:lang w:val="sr-Latn-RS"/>
        </w:rPr>
        <w:t>4.2).</w:t>
      </w:r>
    </w:p>
    <w:p w14:paraId="02737CF6" w14:textId="77777777" w:rsidR="00BC3A3A" w:rsidRPr="00750BAE" w:rsidRDefault="00BC3A3A" w:rsidP="00BC3A3A">
      <w:pPr>
        <w:pStyle w:val="BodyText"/>
        <w:spacing w:before="55"/>
        <w:ind w:left="0"/>
        <w:jc w:val="both"/>
        <w:rPr>
          <w:rFonts w:cs="Times New Roman"/>
          <w:u w:val="single"/>
          <w:lang w:val="sr-Latn-RS"/>
        </w:rPr>
      </w:pPr>
    </w:p>
    <w:p w14:paraId="238D8D56" w14:textId="77777777" w:rsidR="00BC3A3A" w:rsidRPr="00750BAE" w:rsidRDefault="00BC3A3A" w:rsidP="00BC3A3A">
      <w:pPr>
        <w:pStyle w:val="BodyText"/>
        <w:spacing w:before="55"/>
        <w:ind w:left="0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>Fankonijev sindrom</w:t>
      </w:r>
    </w:p>
    <w:p w14:paraId="13341CBE" w14:textId="77777777" w:rsidR="007460F5" w:rsidRPr="00750BAE" w:rsidRDefault="007460F5" w:rsidP="007460F5">
      <w:pPr>
        <w:pStyle w:val="BodyText"/>
        <w:spacing w:before="72"/>
        <w:ind w:left="0" w:right="170"/>
        <w:jc w:val="both"/>
        <w:rPr>
          <w:rFonts w:cs="Times New Roman"/>
          <w:lang w:val="sr-Latn-RS"/>
        </w:rPr>
      </w:pPr>
    </w:p>
    <w:p w14:paraId="5F08A21A" w14:textId="631941E7" w:rsidR="00BC3A3A" w:rsidRPr="00750BAE" w:rsidRDefault="00BC3A3A" w:rsidP="007460F5">
      <w:pPr>
        <w:pStyle w:val="BodyText"/>
        <w:spacing w:before="72"/>
        <w:ind w:left="0" w:right="170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Prijavljeni su slučajevi Fankonijevog sindroma povezani sa prim</w:t>
      </w:r>
      <w:r w:rsidR="007460F5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 xml:space="preserve">enom 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>a koji sadrži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 u kombinaciji sa drugim estrima fumarne kiseline. Rano dijagnostikovanje Fankonijevog sindroma i prekid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 xml:space="preserve">a 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>om Vumerity važni su za spr</w:t>
      </w:r>
      <w:r w:rsidR="007460F5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 xml:space="preserve">ečavanje nastanka oštećenja funkcije bubrega i osteomalacije, jer je ovaj sindrom obično reverzibilan. Njegovi najvažniji znakovi su proteinurija, glikozurija (uz normalne nivoe šećera u krvi), hiperaminoacidurija i fosfaturija (moguće prisutna </w:t>
      </w:r>
      <w:r w:rsidR="00A83B47" w:rsidRPr="00750BAE">
        <w:rPr>
          <w:rFonts w:cs="Times New Roman"/>
          <w:lang w:val="sr-Latn-RS"/>
        </w:rPr>
        <w:t>istovreme</w:t>
      </w:r>
      <w:r w:rsidRPr="00750BAE">
        <w:rPr>
          <w:rFonts w:cs="Times New Roman"/>
          <w:lang w:val="sr-Latn-RS"/>
        </w:rPr>
        <w:t>no sa hipofosfatemijom). Progresija može uključivati simptome kao što su poliurija, polidipsija i slabost proksimalnih mišića. U r</w:t>
      </w:r>
      <w:r w:rsidR="007460F5" w:rsidRPr="00750BAE">
        <w:rPr>
          <w:rFonts w:cs="Times New Roman"/>
          <w:lang w:val="sr-Latn-RS"/>
        </w:rPr>
        <w:t>ij</w:t>
      </w:r>
      <w:r w:rsidRPr="00750BAE">
        <w:rPr>
          <w:rFonts w:cs="Times New Roman"/>
          <w:lang w:val="sr-Latn-RS"/>
        </w:rPr>
        <w:t>etkim slučajevima može se pojaviti hipofosfatemična osteomalacija sa nelokalizovanim bolovima u kostima, povišenim nivoom alkalne fosfataze u serumu i stres prelomima.</w:t>
      </w:r>
    </w:p>
    <w:p w14:paraId="693FAA24" w14:textId="446E25FF" w:rsidR="00BC3A3A" w:rsidRPr="00750BAE" w:rsidRDefault="00BC3A3A" w:rsidP="000C092A">
      <w:pPr>
        <w:ind w:right="218"/>
        <w:jc w:val="both"/>
        <w:rPr>
          <w:sz w:val="22"/>
          <w:szCs w:val="22"/>
        </w:rPr>
      </w:pPr>
      <w:r w:rsidRPr="00750BAE">
        <w:rPr>
          <w:sz w:val="22"/>
          <w:szCs w:val="22"/>
          <w:lang w:val="sr-Latn-RS"/>
        </w:rPr>
        <w:t>Važno je imati na umu da se Fankonijev sindrom može pojaviti i bez povišenih nivoa kreatinina ili smanjene brzine glomerulske filtracije. U slučaju pojave nejasnih simptoma, potrebno je uzeti u obzir Fankonijev sindrom i uraditi odgovarajuće analize</w:t>
      </w:r>
      <w:r w:rsidR="00675CD9" w:rsidRPr="00750BAE">
        <w:rPr>
          <w:sz w:val="22"/>
          <w:szCs w:val="22"/>
          <w:lang w:val="sr-Latn-RS"/>
        </w:rPr>
        <w:t>.</w:t>
      </w:r>
    </w:p>
    <w:p w14:paraId="5CBFAF86" w14:textId="77777777" w:rsidR="00057E35" w:rsidRPr="00750BAE" w:rsidRDefault="00057E35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40BD8D82" w14:textId="77777777" w:rsidR="00411B4B" w:rsidRPr="00750BAE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50BAE">
        <w:rPr>
          <w:b/>
          <w:bCs/>
          <w:sz w:val="22"/>
          <w:szCs w:val="22"/>
        </w:rPr>
        <w:t>4.5.</w:t>
      </w:r>
      <w:r w:rsidR="000D60CC" w:rsidRPr="00750BAE">
        <w:rPr>
          <w:b/>
          <w:bCs/>
          <w:sz w:val="22"/>
          <w:szCs w:val="22"/>
        </w:rPr>
        <w:tab/>
      </w:r>
      <w:r w:rsidRPr="00750BAE">
        <w:rPr>
          <w:b/>
          <w:bCs/>
          <w:sz w:val="22"/>
          <w:szCs w:val="22"/>
        </w:rPr>
        <w:t>Interakcije sa drugim ljekovima i druge vrste interakcija</w:t>
      </w:r>
    </w:p>
    <w:p w14:paraId="42EA884C" w14:textId="4BD785F1" w:rsidR="0072020E" w:rsidRPr="00750BA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5033BAB" w14:textId="369BC538" w:rsidR="00BC3A3A" w:rsidRPr="00750BAE" w:rsidRDefault="00BC3A3A" w:rsidP="00BC3A3A">
      <w:pPr>
        <w:pStyle w:val="BodyText"/>
        <w:ind w:right="170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Tokom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>a potrebno je izb</w:t>
      </w:r>
      <w:r w:rsidR="00675CD9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 xml:space="preserve">egavati </w:t>
      </w:r>
      <w:r w:rsidR="00A83B47" w:rsidRPr="00750BAE">
        <w:rPr>
          <w:rFonts w:cs="Times New Roman"/>
          <w:lang w:val="sr-Latn-RS"/>
        </w:rPr>
        <w:t>istovreme</w:t>
      </w:r>
      <w:r w:rsidRPr="00750BAE">
        <w:rPr>
          <w:rFonts w:cs="Times New Roman"/>
          <w:lang w:val="sr-Latn-RS"/>
        </w:rPr>
        <w:t>nu prim</w:t>
      </w:r>
      <w:r w:rsidR="00675CD9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>enu drugih estara fumarne kiseline (topikalnu ili sistemsku).</w:t>
      </w:r>
    </w:p>
    <w:p w14:paraId="1814F7A6" w14:textId="77777777" w:rsidR="00BC3A3A" w:rsidRPr="00750BAE" w:rsidRDefault="00BC3A3A" w:rsidP="00BC3A3A">
      <w:pPr>
        <w:spacing w:before="9"/>
        <w:rPr>
          <w:sz w:val="22"/>
          <w:szCs w:val="22"/>
          <w:lang w:val="sr-Latn-RS"/>
        </w:rPr>
      </w:pPr>
    </w:p>
    <w:p w14:paraId="776D5DC3" w14:textId="324F4318" w:rsidR="00BC3A3A" w:rsidRPr="00750BAE" w:rsidRDefault="004A63C1" w:rsidP="00BC3A3A">
      <w:pPr>
        <w:pStyle w:val="BodyText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Lijek</w:t>
      </w:r>
      <w:r w:rsidR="00BC3A3A" w:rsidRPr="00750BAE">
        <w:rPr>
          <w:rFonts w:cs="Times New Roman"/>
          <w:lang w:val="sr-Latn-RS"/>
        </w:rPr>
        <w:t xml:space="preserve"> Vumerity se ne </w:t>
      </w:r>
      <w:r w:rsidR="006D0DCA" w:rsidRPr="00750BAE">
        <w:rPr>
          <w:rFonts w:cs="Times New Roman"/>
          <w:lang w:val="sr-Latn-RS"/>
        </w:rPr>
        <w:t>smije</w:t>
      </w:r>
      <w:r w:rsidR="00BC3A3A" w:rsidRPr="00750BAE">
        <w:rPr>
          <w:rFonts w:cs="Times New Roman"/>
          <w:lang w:val="sr-Latn-RS"/>
        </w:rPr>
        <w:t xml:space="preserve"> </w:t>
      </w:r>
      <w:r w:rsidR="00132BCB" w:rsidRPr="00750BAE">
        <w:rPr>
          <w:rFonts w:cs="Times New Roman"/>
          <w:lang w:val="sr-Latn-RS"/>
        </w:rPr>
        <w:t>primjenjivati</w:t>
      </w:r>
      <w:r w:rsidR="00BC3A3A" w:rsidRPr="00750BAE">
        <w:rPr>
          <w:rFonts w:cs="Times New Roman"/>
          <w:lang w:val="sr-Latn-RS"/>
        </w:rPr>
        <w:t xml:space="preserve"> </w:t>
      </w:r>
      <w:r w:rsidR="00A83B47" w:rsidRPr="00750BAE">
        <w:rPr>
          <w:rFonts w:cs="Times New Roman"/>
          <w:lang w:val="sr-Latn-RS"/>
        </w:rPr>
        <w:t>istovreme</w:t>
      </w:r>
      <w:r w:rsidR="00BC3A3A" w:rsidRPr="00750BAE">
        <w:rPr>
          <w:rFonts w:cs="Times New Roman"/>
          <w:lang w:val="sr-Latn-RS"/>
        </w:rPr>
        <w:t>no sa dimetil</w:t>
      </w:r>
      <w:r w:rsidR="00001F91">
        <w:rPr>
          <w:rFonts w:cs="Times New Roman"/>
          <w:lang w:val="sr-Latn-RS"/>
        </w:rPr>
        <w:t xml:space="preserve"> </w:t>
      </w:r>
      <w:r w:rsidR="00BC3A3A" w:rsidRPr="00750BAE">
        <w:rPr>
          <w:rFonts w:cs="Times New Roman"/>
          <w:lang w:val="sr-Latn-RS"/>
        </w:rPr>
        <w:t>fumaratom.</w:t>
      </w:r>
    </w:p>
    <w:p w14:paraId="39B30677" w14:textId="77777777" w:rsidR="00BC3A3A" w:rsidRPr="00750BAE" w:rsidRDefault="00BC3A3A" w:rsidP="00BC3A3A">
      <w:pPr>
        <w:spacing w:before="3"/>
        <w:rPr>
          <w:sz w:val="22"/>
          <w:szCs w:val="22"/>
          <w:lang w:val="sr-Latn-RS"/>
        </w:rPr>
      </w:pPr>
    </w:p>
    <w:p w14:paraId="240BCA31" w14:textId="591E90AE" w:rsidR="00BC3A3A" w:rsidRPr="00750BAE" w:rsidRDefault="00BC3A3A" w:rsidP="00BC3A3A">
      <w:pPr>
        <w:pStyle w:val="BodyText"/>
        <w:spacing w:line="237" w:lineRule="auto"/>
        <w:ind w:right="170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Potencijalni rizici interakcija </w:t>
      </w:r>
      <w:r w:rsidR="00A83B47" w:rsidRPr="00750BAE">
        <w:rPr>
          <w:rFonts w:cs="Times New Roman"/>
          <w:lang w:val="sr-Latn-RS"/>
        </w:rPr>
        <w:t>nijesu</w:t>
      </w:r>
      <w:r w:rsidRPr="00750BAE">
        <w:rPr>
          <w:rFonts w:cs="Times New Roman"/>
          <w:lang w:val="sr-Latn-RS"/>
        </w:rPr>
        <w:t xml:space="preserve"> utvrđeni u </w:t>
      </w:r>
      <w:r w:rsidRPr="00750BAE">
        <w:rPr>
          <w:rFonts w:cs="Times New Roman"/>
          <w:i/>
          <w:iCs/>
          <w:lang w:val="sr-Latn-RS"/>
        </w:rPr>
        <w:t xml:space="preserve">in vitro </w:t>
      </w:r>
      <w:r w:rsidRPr="00750BAE">
        <w:rPr>
          <w:rFonts w:cs="Times New Roman"/>
          <w:lang w:val="sr-Latn-RS"/>
        </w:rPr>
        <w:t xml:space="preserve">i/ili </w:t>
      </w:r>
      <w:r w:rsidRPr="00750BAE">
        <w:rPr>
          <w:rFonts w:cs="Times New Roman"/>
          <w:i/>
          <w:iCs/>
          <w:lang w:val="sr-Latn-RS"/>
        </w:rPr>
        <w:t xml:space="preserve">in vivo </w:t>
      </w:r>
      <w:r w:rsidRPr="00750BAE">
        <w:rPr>
          <w:rFonts w:cs="Times New Roman"/>
          <w:lang w:val="sr-Latn-RS"/>
        </w:rPr>
        <w:t xml:space="preserve">ispitivanjima inhibicije transportera, </w:t>
      </w:r>
      <w:r w:rsidRPr="00750BAE">
        <w:rPr>
          <w:rFonts w:cs="Times New Roman"/>
          <w:i/>
          <w:iCs/>
          <w:lang w:val="sr-Latn-RS"/>
        </w:rPr>
        <w:t xml:space="preserve">in vitro </w:t>
      </w:r>
      <w:r w:rsidRPr="00750BAE">
        <w:rPr>
          <w:rFonts w:cs="Times New Roman"/>
          <w:lang w:val="sr-Latn-RS"/>
        </w:rPr>
        <w:t>ispitivanjima inhibicije i indukcije CYP-a ili ispitivanjima vezanja diroksimel</w:t>
      </w:r>
      <w:r w:rsidR="005A3B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fumarata i njegovih glavnih metabolita, aktivnog metabolita monometil fumarata (MMF) i neaktivnog metabolita 2-hidroksietil sukcinimida (HES) na proteine.</w:t>
      </w:r>
    </w:p>
    <w:p w14:paraId="73586DCC" w14:textId="77777777" w:rsidR="00BC3A3A" w:rsidRPr="00750BAE" w:rsidRDefault="00BC3A3A" w:rsidP="00BC3A3A">
      <w:pPr>
        <w:spacing w:before="9"/>
        <w:rPr>
          <w:sz w:val="22"/>
          <w:szCs w:val="22"/>
          <w:lang w:val="sr-Latn-RS"/>
        </w:rPr>
      </w:pPr>
    </w:p>
    <w:p w14:paraId="22792D90" w14:textId="23B5B4BE" w:rsidR="00BC3A3A" w:rsidRPr="00750BAE" w:rsidRDefault="00BC3A3A" w:rsidP="00BC3A3A">
      <w:pPr>
        <w:pStyle w:val="BodyText"/>
        <w:ind w:right="170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Iako </w:t>
      </w:r>
      <w:r w:rsidR="00A83B47" w:rsidRPr="00750BAE">
        <w:rPr>
          <w:rFonts w:cs="Times New Roman"/>
          <w:lang w:val="sr-Latn-RS"/>
        </w:rPr>
        <w:t>nijesu</w:t>
      </w:r>
      <w:r w:rsidRPr="00750BAE">
        <w:rPr>
          <w:rFonts w:cs="Times New Roman"/>
          <w:lang w:val="sr-Latn-RS"/>
        </w:rPr>
        <w:t xml:space="preserve"> sprovedena ispitivanja sa diroksimel</w:t>
      </w:r>
      <w:r w:rsidR="005A3B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fumaratom, </w:t>
      </w:r>
      <w:r w:rsidRPr="00750BAE">
        <w:rPr>
          <w:rFonts w:cs="Times New Roman"/>
          <w:i/>
          <w:iCs/>
          <w:lang w:val="sr-Latn-RS"/>
        </w:rPr>
        <w:t xml:space="preserve">in vitro </w:t>
      </w:r>
      <w:r w:rsidRPr="00750BAE">
        <w:rPr>
          <w:rFonts w:cs="Times New Roman"/>
          <w:lang w:val="sr-Latn-RS"/>
        </w:rPr>
        <w:t xml:space="preserve">ispitivanja indukcije CYP-a </w:t>
      </w:r>
      <w:r w:rsidR="00A83B47" w:rsidRPr="00750BAE">
        <w:rPr>
          <w:rFonts w:cs="Times New Roman"/>
          <w:lang w:val="sr-Latn-RS"/>
        </w:rPr>
        <w:t>nijesu</w:t>
      </w:r>
      <w:r w:rsidRPr="00750BAE">
        <w:rPr>
          <w:rFonts w:cs="Times New Roman"/>
          <w:lang w:val="sr-Latn-RS"/>
        </w:rPr>
        <w:t xml:space="preserve"> pokazala interakciju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fumarata i oralnih kontraceptiva. U jednom </w:t>
      </w:r>
      <w:r w:rsidRPr="00750BAE">
        <w:rPr>
          <w:rFonts w:cs="Times New Roman"/>
          <w:i/>
          <w:iCs/>
          <w:lang w:val="sr-Latn-RS"/>
        </w:rPr>
        <w:t xml:space="preserve">in vivo </w:t>
      </w:r>
      <w:r w:rsidRPr="00750BAE">
        <w:rPr>
          <w:rFonts w:cs="Times New Roman"/>
          <w:lang w:val="sr-Latn-RS"/>
        </w:rPr>
        <w:t xml:space="preserve">ispitivanju, </w:t>
      </w:r>
      <w:r w:rsidR="00A83B47" w:rsidRPr="00750BAE">
        <w:rPr>
          <w:rFonts w:cs="Times New Roman"/>
          <w:lang w:val="sr-Latn-RS"/>
        </w:rPr>
        <w:t>istovreme</w:t>
      </w:r>
      <w:r w:rsidRPr="00750BAE">
        <w:rPr>
          <w:rFonts w:cs="Times New Roman"/>
          <w:lang w:val="sr-Latn-RS"/>
        </w:rPr>
        <w:t xml:space="preserve">na </w:t>
      </w:r>
      <w:r w:rsidR="00675CD9" w:rsidRPr="00750BAE">
        <w:rPr>
          <w:rFonts w:cs="Times New Roman"/>
          <w:lang w:val="sr-Latn-RS"/>
        </w:rPr>
        <w:t>primjena</w:t>
      </w:r>
      <w:r w:rsidRPr="00750BAE">
        <w:rPr>
          <w:rFonts w:cs="Times New Roman"/>
          <w:lang w:val="sr-Latn-RS"/>
        </w:rPr>
        <w:t xml:space="preserve">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fumarata sa kombinovanim oralnim kontraceptivom (norgestimat i etinil estradiol) nije značajno </w:t>
      </w:r>
      <w:r w:rsidR="00A83B47" w:rsidRPr="00750BAE">
        <w:rPr>
          <w:rFonts w:cs="Times New Roman"/>
          <w:lang w:val="sr-Latn-RS"/>
        </w:rPr>
        <w:t>prom</w:t>
      </w:r>
      <w:r w:rsidR="00675CD9" w:rsidRPr="00750BAE">
        <w:rPr>
          <w:rFonts w:cs="Times New Roman"/>
          <w:lang w:val="sr-Latn-RS"/>
        </w:rPr>
        <w:t>i</w:t>
      </w:r>
      <w:r w:rsidR="00A83B47" w:rsidRPr="00750BAE">
        <w:rPr>
          <w:rFonts w:cs="Times New Roman"/>
          <w:lang w:val="sr-Latn-RS"/>
        </w:rPr>
        <w:t>jen</w:t>
      </w:r>
      <w:r w:rsidRPr="00750BAE">
        <w:rPr>
          <w:rFonts w:cs="Times New Roman"/>
          <w:lang w:val="sr-Latn-RS"/>
        </w:rPr>
        <w:t xml:space="preserve">ila izloženost oralnim kontraceptivima. Iako </w:t>
      </w:r>
      <w:r w:rsidR="00A83B47" w:rsidRPr="00750BAE">
        <w:rPr>
          <w:rFonts w:cs="Times New Roman"/>
          <w:lang w:val="sr-Latn-RS"/>
        </w:rPr>
        <w:t>nijesu</w:t>
      </w:r>
      <w:r w:rsidRPr="00750BAE">
        <w:rPr>
          <w:rFonts w:cs="Times New Roman"/>
          <w:lang w:val="sr-Latn-RS"/>
        </w:rPr>
        <w:t xml:space="preserve"> sprovedena ispitivanja interakcija sa oralnim kontraceptivima koji sadrže druge progestagene, ne očekuje se uticaj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>a na izloženost tim kontraceptivima.</w:t>
      </w:r>
    </w:p>
    <w:p w14:paraId="1DD5A9EF" w14:textId="77777777" w:rsidR="00BC3A3A" w:rsidRPr="00750BAE" w:rsidRDefault="00BC3A3A" w:rsidP="00BC3A3A">
      <w:pPr>
        <w:spacing w:before="9"/>
        <w:rPr>
          <w:sz w:val="22"/>
          <w:szCs w:val="22"/>
          <w:lang w:val="sr-Latn-RS"/>
        </w:rPr>
      </w:pPr>
    </w:p>
    <w:p w14:paraId="28E4E747" w14:textId="020F1C64" w:rsidR="00BC3A3A" w:rsidRPr="00750BAE" w:rsidRDefault="005A3B91" w:rsidP="00BC3A3A">
      <w:pPr>
        <w:pStyle w:val="BodyText"/>
        <w:spacing w:line="237" w:lineRule="auto"/>
        <w:ind w:left="116" w:right="170"/>
        <w:jc w:val="both"/>
        <w:rPr>
          <w:rFonts w:cs="Times New Roman"/>
          <w:lang w:val="sr-Latn-RS"/>
        </w:rPr>
      </w:pPr>
      <w:r>
        <w:rPr>
          <w:rFonts w:cs="Times New Roman"/>
          <w:lang w:val="sr-Latn-RS"/>
        </w:rPr>
        <w:t>Diroksimel fumarat</w:t>
      </w:r>
      <w:r w:rsidR="00BC3A3A" w:rsidRPr="00750BAE">
        <w:rPr>
          <w:rFonts w:cs="Times New Roman"/>
          <w:lang w:val="sr-Latn-RS"/>
        </w:rPr>
        <w:t xml:space="preserve"> nije ispitivan u kombinaciji s antineoplastičnim ili imunosupresivnim terapijama pa je stoga potreban oprez tokom </w:t>
      </w:r>
      <w:r w:rsidR="00A83B47" w:rsidRPr="00750BAE">
        <w:rPr>
          <w:rFonts w:cs="Times New Roman"/>
          <w:lang w:val="sr-Latn-RS"/>
        </w:rPr>
        <w:t>istovreme</w:t>
      </w:r>
      <w:r w:rsidR="00BC3A3A" w:rsidRPr="00750BAE">
        <w:rPr>
          <w:rFonts w:cs="Times New Roman"/>
          <w:lang w:val="sr-Latn-RS"/>
        </w:rPr>
        <w:t xml:space="preserve">ne </w:t>
      </w:r>
      <w:r w:rsidR="004A63C1" w:rsidRPr="00750BAE">
        <w:rPr>
          <w:rFonts w:cs="Times New Roman"/>
          <w:lang w:val="sr-Latn-RS"/>
        </w:rPr>
        <w:t>primjene</w:t>
      </w:r>
      <w:r w:rsidR="00BC3A3A" w:rsidRPr="00750BAE">
        <w:rPr>
          <w:rFonts w:cs="Times New Roman"/>
          <w:lang w:val="sr-Latn-RS"/>
        </w:rPr>
        <w:t xml:space="preserve">. U kliničkim ispitivanjima MS-a, </w:t>
      </w:r>
      <w:r w:rsidR="00A83B47" w:rsidRPr="00750BAE">
        <w:rPr>
          <w:rFonts w:cs="Times New Roman"/>
          <w:lang w:val="sr-Latn-RS"/>
        </w:rPr>
        <w:t>istovreme</w:t>
      </w:r>
      <w:r w:rsidR="00BC3A3A" w:rsidRPr="00750BAE">
        <w:rPr>
          <w:rFonts w:cs="Times New Roman"/>
          <w:lang w:val="sr-Latn-RS"/>
        </w:rPr>
        <w:t xml:space="preserve">no </w:t>
      </w:r>
      <w:r w:rsidR="0069098C" w:rsidRPr="00750BAE">
        <w:rPr>
          <w:rFonts w:cs="Times New Roman"/>
          <w:lang w:val="sr-Latn-RS"/>
        </w:rPr>
        <w:t>liječenje</w:t>
      </w:r>
      <w:r w:rsidR="00BC3A3A" w:rsidRPr="00750BAE">
        <w:rPr>
          <w:rFonts w:cs="Times New Roman"/>
          <w:lang w:val="sr-Latn-RS"/>
        </w:rPr>
        <w:t xml:space="preserve"> relapsa kratkotrajnom intravenskom prim</w:t>
      </w:r>
      <w:r w:rsidR="00675CD9" w:rsidRPr="00750BAE">
        <w:rPr>
          <w:rFonts w:cs="Times New Roman"/>
          <w:lang w:val="sr-Latn-RS"/>
        </w:rPr>
        <w:t>j</w:t>
      </w:r>
      <w:r w:rsidR="00BC3A3A" w:rsidRPr="00750BAE">
        <w:rPr>
          <w:rFonts w:cs="Times New Roman"/>
          <w:lang w:val="sr-Latn-RS"/>
        </w:rPr>
        <w:t>enom kortikosteroida nije bilo povezano sa klinički relevantnim porastom infekcije.</w:t>
      </w:r>
    </w:p>
    <w:p w14:paraId="70896422" w14:textId="77777777" w:rsidR="00BC3A3A" w:rsidRPr="00750BAE" w:rsidRDefault="00BC3A3A" w:rsidP="00BC3A3A">
      <w:pPr>
        <w:spacing w:before="4"/>
        <w:rPr>
          <w:sz w:val="22"/>
          <w:szCs w:val="22"/>
          <w:lang w:val="sr-Latn-RS"/>
        </w:rPr>
      </w:pPr>
    </w:p>
    <w:p w14:paraId="61D36848" w14:textId="27EEE3B1" w:rsidR="00BC3A3A" w:rsidRPr="00750BAE" w:rsidRDefault="00BC3A3A" w:rsidP="00BC3A3A">
      <w:pPr>
        <w:pStyle w:val="BodyText"/>
        <w:spacing w:line="237" w:lineRule="auto"/>
        <w:ind w:left="116" w:right="172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Tokom terapije 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 xml:space="preserve">om Vumerity može se razmotriti </w:t>
      </w:r>
      <w:r w:rsidR="00A83B47" w:rsidRPr="00750BAE">
        <w:rPr>
          <w:rFonts w:cs="Times New Roman"/>
          <w:lang w:val="sr-Latn-RS"/>
        </w:rPr>
        <w:t>istovreme</w:t>
      </w:r>
      <w:r w:rsidRPr="00750BAE">
        <w:rPr>
          <w:rFonts w:cs="Times New Roman"/>
          <w:lang w:val="sr-Latn-RS"/>
        </w:rPr>
        <w:t>na vakcinacija neživim vakcinama prema nacionalnom programu vakcinacije. U kliničkom ispitivanju koje je uključilo 71 pacijenta sa relapsno-remitentnom multiplom sklerozom, pacijenti koji su primali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 u dozi od 240 mg dvaput dnevno najmanje 6 </w:t>
      </w:r>
      <w:r w:rsidR="006D0DCA" w:rsidRPr="00750BAE">
        <w:rPr>
          <w:rFonts w:cs="Times New Roman"/>
          <w:lang w:val="sr-Latn-RS"/>
        </w:rPr>
        <w:t>mjesec</w:t>
      </w:r>
      <w:r w:rsidRPr="00750BAE">
        <w:rPr>
          <w:rFonts w:cs="Times New Roman"/>
          <w:lang w:val="sr-Latn-RS"/>
        </w:rPr>
        <w:t xml:space="preserve">i (n = 38) ili nepegilovani interferon najmanje 3 </w:t>
      </w:r>
      <w:r w:rsidR="006D0DCA" w:rsidRPr="00750BAE">
        <w:rPr>
          <w:rFonts w:cs="Times New Roman"/>
          <w:lang w:val="sr-Latn-RS"/>
        </w:rPr>
        <w:t>mjesec</w:t>
      </w:r>
      <w:r w:rsidRPr="00750BAE">
        <w:rPr>
          <w:rFonts w:cs="Times New Roman"/>
          <w:lang w:val="sr-Latn-RS"/>
        </w:rPr>
        <w:t xml:space="preserve">a (n = 33) razvili su uporediv imunološki odgovor (definisan kao povećanje titra </w:t>
      </w:r>
      <w:r w:rsidR="00675CD9" w:rsidRPr="00750BAE">
        <w:rPr>
          <w:rFonts w:cs="Times New Roman"/>
          <w:lang w:val="sr-Latn-RS"/>
        </w:rPr>
        <w:t>poslije</w:t>
      </w:r>
      <w:r w:rsidRPr="00750BAE">
        <w:rPr>
          <w:rFonts w:cs="Times New Roman"/>
          <w:lang w:val="sr-Latn-RS"/>
        </w:rPr>
        <w:t xml:space="preserve"> vakcinacije za ≥ 2 puta u odnosu na onaj</w:t>
      </w:r>
      <w:r w:rsidR="00132BCB" w:rsidRPr="00750BAE">
        <w:rPr>
          <w:rFonts w:cs="Times New Roman"/>
          <w:lang w:val="sr-Latn-RS"/>
        </w:rPr>
        <w:t xml:space="preserve"> prije </w:t>
      </w:r>
      <w:r w:rsidRPr="00750BAE">
        <w:rPr>
          <w:rFonts w:cs="Times New Roman"/>
          <w:lang w:val="sr-Latn-RS"/>
        </w:rPr>
        <w:t>vakcinacije) na toksoid tetanusa (anamnestički antigen) i polisaharidnu konjugovanu vakcinu protiv meningokoka grupe C (novi antigen), dok je imunološki odgovor na različite serotipove nekonjugovanog 23-valentne polisaharidne pneumokokne vakcine (antigen nezavisan od T-ćelija) varirao u</w:t>
      </w:r>
      <w:r w:rsidR="00675CD9" w:rsidRPr="00750BAE">
        <w:rPr>
          <w:rFonts w:cs="Times New Roman"/>
          <w:lang w:val="sr-Latn-RS"/>
        </w:rPr>
        <w:t xml:space="preserve"> obje </w:t>
      </w:r>
      <w:r w:rsidRPr="00750BAE">
        <w:rPr>
          <w:rFonts w:cs="Times New Roman"/>
          <w:lang w:val="sr-Latn-RS"/>
        </w:rPr>
        <w:t>terapijske grupe.</w:t>
      </w:r>
    </w:p>
    <w:p w14:paraId="06547CC8" w14:textId="041E2222" w:rsidR="00BC3A3A" w:rsidRPr="00750BAE" w:rsidRDefault="00BC3A3A" w:rsidP="00BC3A3A">
      <w:pPr>
        <w:pStyle w:val="BodyText"/>
        <w:spacing w:before="1"/>
        <w:ind w:left="116" w:right="139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Pozitivan imunski odgovor definisan kao povećanje titra </w:t>
      </w:r>
      <w:r w:rsidR="005F4039" w:rsidRPr="00750BAE">
        <w:rPr>
          <w:rFonts w:cs="Times New Roman"/>
          <w:lang w:val="sr-Latn-RS"/>
        </w:rPr>
        <w:t>antitijela</w:t>
      </w:r>
      <w:r w:rsidRPr="00750BAE">
        <w:rPr>
          <w:rFonts w:cs="Times New Roman"/>
          <w:lang w:val="sr-Latn-RS"/>
        </w:rPr>
        <w:t xml:space="preserve"> za ≥ 4 puta na te tri vakcine postigao je manji broj pacijenata u</w:t>
      </w:r>
      <w:r w:rsidR="00675CD9" w:rsidRPr="00750BAE">
        <w:rPr>
          <w:rFonts w:cs="Times New Roman"/>
          <w:lang w:val="sr-Latn-RS"/>
        </w:rPr>
        <w:t xml:space="preserve"> obje </w:t>
      </w:r>
      <w:r w:rsidRPr="00750BAE">
        <w:rPr>
          <w:rFonts w:cs="Times New Roman"/>
          <w:lang w:val="sr-Latn-RS"/>
        </w:rPr>
        <w:t xml:space="preserve">terapijske grupe. </w:t>
      </w:r>
      <w:r w:rsidR="00132BCB" w:rsidRPr="00750BAE">
        <w:rPr>
          <w:rFonts w:cs="Times New Roman"/>
          <w:lang w:val="sr-Latn-RS"/>
        </w:rPr>
        <w:t>Zabilježen</w:t>
      </w:r>
      <w:r w:rsidRPr="00750BAE">
        <w:rPr>
          <w:rFonts w:cs="Times New Roman"/>
          <w:lang w:val="sr-Latn-RS"/>
        </w:rPr>
        <w:t xml:space="preserve"> je nešto veći broj pacijenata sa odgovorom na toksoid tetanusa i pneumokokni polisaharid serotipa 3 u grupi koja je primala nepegilovani interferon.</w:t>
      </w:r>
    </w:p>
    <w:p w14:paraId="7243CA56" w14:textId="77777777" w:rsidR="00BC3A3A" w:rsidRPr="00750BAE" w:rsidRDefault="00BC3A3A" w:rsidP="00BC3A3A">
      <w:pPr>
        <w:spacing w:before="10"/>
        <w:rPr>
          <w:sz w:val="22"/>
          <w:szCs w:val="22"/>
          <w:lang w:val="sr-Latn-RS"/>
        </w:rPr>
      </w:pPr>
    </w:p>
    <w:p w14:paraId="2DB64299" w14:textId="6D9F06A7" w:rsidR="00BC3A3A" w:rsidRPr="00750BAE" w:rsidRDefault="00BC3A3A" w:rsidP="00BC3A3A">
      <w:pPr>
        <w:pStyle w:val="BodyText"/>
        <w:spacing w:line="237" w:lineRule="auto"/>
        <w:ind w:left="116" w:right="170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Nema kliničkih podataka o efikasnosti i </w:t>
      </w:r>
      <w:r w:rsidR="00453DDE" w:rsidRPr="00750BAE">
        <w:rPr>
          <w:rFonts w:cs="Times New Roman"/>
          <w:lang w:val="sr-Latn-RS"/>
        </w:rPr>
        <w:t>bezbjednos</w:t>
      </w:r>
      <w:r w:rsidRPr="00750BAE">
        <w:rPr>
          <w:rFonts w:cs="Times New Roman"/>
          <w:lang w:val="sr-Latn-RS"/>
        </w:rPr>
        <w:t xml:space="preserve">ti živih oslabljenih vakcina kod pacijenata koji uzimaju 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 xml:space="preserve"> Vumerity. Žive vakcine mogu da predstavljaju povećan rizik od kliničke infekcije i ne </w:t>
      </w:r>
      <w:r w:rsidR="00675CD9" w:rsidRPr="00750BAE">
        <w:rPr>
          <w:rFonts w:cs="Times New Roman"/>
          <w:lang w:val="sr-Latn-RS"/>
        </w:rPr>
        <w:lastRenderedPageBreak/>
        <w:t>smiju</w:t>
      </w:r>
      <w:r w:rsidRPr="00750BAE">
        <w:rPr>
          <w:rFonts w:cs="Times New Roman"/>
          <w:lang w:val="sr-Latn-RS"/>
        </w:rPr>
        <w:t xml:space="preserve"> se davati pacijentima, osim u izuzetnim slučajevima kada se smatra da je ovaj potencijalni rizik manji od rizika za pojedinca ako se ne vakciniše.</w:t>
      </w:r>
    </w:p>
    <w:p w14:paraId="4425BD13" w14:textId="77777777" w:rsidR="00BC3A3A" w:rsidRPr="00750BAE" w:rsidRDefault="00BC3A3A" w:rsidP="00BC3A3A">
      <w:pPr>
        <w:spacing w:before="8"/>
        <w:rPr>
          <w:sz w:val="22"/>
          <w:szCs w:val="22"/>
          <w:lang w:val="sr-Latn-RS"/>
        </w:rPr>
      </w:pPr>
    </w:p>
    <w:p w14:paraId="76D36567" w14:textId="054D9771" w:rsidR="00BC3A3A" w:rsidRPr="00750BAE" w:rsidRDefault="00BC3A3A" w:rsidP="00675CD9">
      <w:pPr>
        <w:pStyle w:val="BodyText"/>
        <w:spacing w:line="250" w:lineRule="exact"/>
        <w:ind w:right="170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Dokazi dobijeni ispitivanjem na zdravim dobrovoljcima upućuju na to da je nalet </w:t>
      </w:r>
      <w:r w:rsidR="00B96351">
        <w:rPr>
          <w:rFonts w:cs="Times New Roman"/>
          <w:lang w:val="sr-Latn-RS"/>
        </w:rPr>
        <w:t>crvenila</w:t>
      </w:r>
      <w:r w:rsidR="00B96351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povezan sa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fumaratom </w:t>
      </w:r>
      <w:r w:rsidR="00CE05FB">
        <w:rPr>
          <w:rFonts w:cs="Times New Roman"/>
          <w:lang w:val="sr-Latn-RS"/>
        </w:rPr>
        <w:t>najvjerovatnije</w:t>
      </w:r>
      <w:r w:rsidRPr="00750BAE">
        <w:rPr>
          <w:rFonts w:cs="Times New Roman"/>
          <w:lang w:val="sr-Latn-RS"/>
        </w:rPr>
        <w:t xml:space="preserve"> posredovan prostaglandinima. U dva ispitivanja sa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fumaratom koja su sprovedena na zdravim dobrovoljcima, </w:t>
      </w:r>
      <w:r w:rsidR="00675CD9" w:rsidRPr="00750BAE">
        <w:rPr>
          <w:rFonts w:cs="Times New Roman"/>
          <w:lang w:val="sr-Latn-RS"/>
        </w:rPr>
        <w:t>primjena</w:t>
      </w:r>
      <w:r w:rsidRPr="00750BAE">
        <w:rPr>
          <w:rFonts w:cs="Times New Roman"/>
          <w:lang w:val="sr-Latn-RS"/>
        </w:rPr>
        <w:t xml:space="preserve"> 325 mg (ili ekvivalenta) acetilsalicilne kiseline bez acidorezistentne opne 30 minuta</w:t>
      </w:r>
      <w:r w:rsidR="00132BCB" w:rsidRPr="00750BAE">
        <w:rPr>
          <w:rFonts w:cs="Times New Roman"/>
          <w:lang w:val="sr-Latn-RS"/>
        </w:rPr>
        <w:t xml:space="preserve"> prije </w:t>
      </w:r>
      <w:r w:rsidRPr="00750BAE">
        <w:rPr>
          <w:rFonts w:cs="Times New Roman"/>
          <w:lang w:val="sr-Latn-RS"/>
        </w:rPr>
        <w:t>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fumarata, tokom 4 dana odnosno 4 </w:t>
      </w:r>
      <w:r w:rsidR="00675CD9" w:rsidRPr="00750BAE">
        <w:rPr>
          <w:rFonts w:cs="Times New Roman"/>
          <w:lang w:val="sr-Latn-RS"/>
        </w:rPr>
        <w:t>nedjelje</w:t>
      </w:r>
      <w:r w:rsidRPr="00750BAE">
        <w:rPr>
          <w:rFonts w:cs="Times New Roman"/>
          <w:lang w:val="sr-Latn-RS"/>
        </w:rPr>
        <w:t xml:space="preserve"> doziranja, nije </w:t>
      </w:r>
      <w:r w:rsidR="00A83B47" w:rsidRPr="00750BAE">
        <w:rPr>
          <w:rFonts w:cs="Times New Roman"/>
          <w:lang w:val="sr-Latn-RS"/>
        </w:rPr>
        <w:t>prom</w:t>
      </w:r>
      <w:r w:rsidR="00675CD9" w:rsidRPr="00750BAE">
        <w:rPr>
          <w:rFonts w:cs="Times New Roman"/>
          <w:lang w:val="sr-Latn-RS"/>
        </w:rPr>
        <w:t>i</w:t>
      </w:r>
      <w:r w:rsidR="00A83B47" w:rsidRPr="00750BAE">
        <w:rPr>
          <w:rFonts w:cs="Times New Roman"/>
          <w:lang w:val="sr-Latn-RS"/>
        </w:rPr>
        <w:t>jen</w:t>
      </w:r>
      <w:r w:rsidRPr="00750BAE">
        <w:rPr>
          <w:rFonts w:cs="Times New Roman"/>
          <w:lang w:val="sr-Latn-RS"/>
        </w:rPr>
        <w:t>ila farmakokinetički profil dimetil fumarata.</w:t>
      </w:r>
    </w:p>
    <w:p w14:paraId="26E62904" w14:textId="635B388A" w:rsidR="00BC3A3A" w:rsidRPr="00750BAE" w:rsidRDefault="00BC3A3A" w:rsidP="00BC3A3A">
      <w:pPr>
        <w:pStyle w:val="BodyText"/>
        <w:spacing w:before="56" w:line="237" w:lineRule="auto"/>
        <w:ind w:right="25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Kod pacijenata sa relapsno-remitentnom MS-om potrebno je razmotriti moguće rizike povezane sa terapijom acetilsalicilnom kiselinom</w:t>
      </w:r>
      <w:r w:rsidR="00132BCB" w:rsidRPr="00750BAE">
        <w:rPr>
          <w:rFonts w:cs="Times New Roman"/>
          <w:lang w:val="sr-Latn-RS"/>
        </w:rPr>
        <w:t xml:space="preserve"> prije </w:t>
      </w:r>
      <w:r w:rsidRPr="00750BAE">
        <w:rPr>
          <w:rFonts w:cs="Times New Roman"/>
          <w:lang w:val="sr-Latn-RS"/>
        </w:rPr>
        <w:t>nego što se ona prim</w:t>
      </w:r>
      <w:r w:rsidR="00675CD9" w:rsidRPr="00750BAE">
        <w:rPr>
          <w:rFonts w:cs="Times New Roman"/>
          <w:lang w:val="sr-Latn-RS"/>
        </w:rPr>
        <w:t>ij</w:t>
      </w:r>
      <w:r w:rsidRPr="00750BAE">
        <w:rPr>
          <w:rFonts w:cs="Times New Roman"/>
          <w:lang w:val="sr-Latn-RS"/>
        </w:rPr>
        <w:t xml:space="preserve">eni </w:t>
      </w:r>
      <w:r w:rsidR="00A83B47" w:rsidRPr="00750BAE">
        <w:rPr>
          <w:rFonts w:cs="Times New Roman"/>
          <w:lang w:val="sr-Latn-RS"/>
        </w:rPr>
        <w:t>istovreme</w:t>
      </w:r>
      <w:r w:rsidRPr="00750BAE">
        <w:rPr>
          <w:rFonts w:cs="Times New Roman"/>
          <w:lang w:val="sr-Latn-RS"/>
        </w:rPr>
        <w:t xml:space="preserve">no sa 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 xml:space="preserve">om Vumerity. Dugotrajna (&gt; 4 </w:t>
      </w:r>
      <w:r w:rsidR="00675CD9" w:rsidRPr="00750BAE">
        <w:rPr>
          <w:rFonts w:cs="Times New Roman"/>
          <w:lang w:val="sr-Latn-RS"/>
        </w:rPr>
        <w:t>nedjelje</w:t>
      </w:r>
      <w:r w:rsidRPr="00750BAE">
        <w:rPr>
          <w:rFonts w:cs="Times New Roman"/>
          <w:lang w:val="sr-Latn-RS"/>
        </w:rPr>
        <w:t xml:space="preserve">) neprekidna </w:t>
      </w:r>
      <w:r w:rsidR="00675CD9" w:rsidRPr="00750BAE">
        <w:rPr>
          <w:rFonts w:cs="Times New Roman"/>
          <w:lang w:val="sr-Latn-RS"/>
        </w:rPr>
        <w:t>primjena</w:t>
      </w:r>
      <w:r w:rsidRPr="00750BAE">
        <w:rPr>
          <w:rFonts w:cs="Times New Roman"/>
          <w:lang w:val="sr-Latn-RS"/>
        </w:rPr>
        <w:t xml:space="preserve"> acetilsalicilne kiseline nije ispitana (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</w:t>
      </w:r>
      <w:r w:rsidR="00B96351">
        <w:rPr>
          <w:rFonts w:cs="Times New Roman"/>
          <w:lang w:val="sr-Latn-RS"/>
        </w:rPr>
        <w:t>djelove</w:t>
      </w:r>
      <w:r w:rsidR="00B96351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4.4 i 4.8).</w:t>
      </w:r>
    </w:p>
    <w:p w14:paraId="66C03706" w14:textId="77777777" w:rsidR="00BC3A3A" w:rsidRPr="00750BAE" w:rsidRDefault="00BC3A3A" w:rsidP="00BC3A3A">
      <w:pPr>
        <w:spacing w:before="3"/>
        <w:rPr>
          <w:sz w:val="22"/>
          <w:szCs w:val="22"/>
          <w:lang w:val="sr-Latn-RS"/>
        </w:rPr>
      </w:pPr>
    </w:p>
    <w:p w14:paraId="770BC056" w14:textId="24E054FC" w:rsidR="00BC3A3A" w:rsidRPr="00750BAE" w:rsidRDefault="00A83B47" w:rsidP="00BC3A3A">
      <w:pPr>
        <w:pStyle w:val="BodyText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Istovreme</w:t>
      </w:r>
      <w:r w:rsidR="00BC3A3A" w:rsidRPr="00750BAE">
        <w:rPr>
          <w:rFonts w:cs="Times New Roman"/>
          <w:lang w:val="sr-Latn-RS"/>
        </w:rPr>
        <w:t xml:space="preserve">na terapija nefrotoksičnim </w:t>
      </w:r>
      <w:r w:rsidR="00675CD9" w:rsidRPr="00750BAE">
        <w:rPr>
          <w:rFonts w:cs="Times New Roman"/>
          <w:lang w:val="sr-Latn-RS"/>
        </w:rPr>
        <w:t>ljekovima</w:t>
      </w:r>
      <w:r w:rsidR="00BC3A3A" w:rsidRPr="00750BAE">
        <w:rPr>
          <w:rFonts w:cs="Times New Roman"/>
          <w:lang w:val="sr-Latn-RS"/>
        </w:rPr>
        <w:t xml:space="preserve"> (kao što su aminoglikozidi, diuretici, nesteroidni </w:t>
      </w:r>
      <w:r w:rsidR="00B96351">
        <w:rPr>
          <w:rFonts w:cs="Times New Roman"/>
          <w:lang w:val="sr-Latn-RS"/>
        </w:rPr>
        <w:t>antiinflamatorni</w:t>
      </w:r>
      <w:r w:rsidR="00B96351" w:rsidRPr="00750BAE">
        <w:rPr>
          <w:rFonts w:cs="Times New Roman"/>
          <w:lang w:val="sr-Latn-RS"/>
        </w:rPr>
        <w:t xml:space="preserve"> </w:t>
      </w:r>
      <w:r w:rsidR="00FE729A" w:rsidRPr="00750BAE">
        <w:rPr>
          <w:rFonts w:cs="Times New Roman"/>
          <w:lang w:val="sr-Latn-RS"/>
        </w:rPr>
        <w:t>ljekovi</w:t>
      </w:r>
      <w:r w:rsidR="00BC3A3A" w:rsidRPr="00750BAE">
        <w:rPr>
          <w:rFonts w:cs="Times New Roman"/>
          <w:lang w:val="sr-Latn-RS"/>
        </w:rPr>
        <w:t xml:space="preserve"> ili litijum) može da poveća mogućnost bubrežnih neželjenih reakcija (npr. proteinurije, </w:t>
      </w:r>
      <w:r w:rsidR="0069098C" w:rsidRPr="00750BAE">
        <w:rPr>
          <w:rFonts w:cs="Times New Roman"/>
          <w:lang w:val="sr-Latn-RS"/>
        </w:rPr>
        <w:t>vidjeti</w:t>
      </w:r>
      <w:r w:rsidR="00BC3A3A" w:rsidRPr="00750BAE">
        <w:rPr>
          <w:rFonts w:cs="Times New Roman"/>
          <w:lang w:val="sr-Latn-RS"/>
        </w:rPr>
        <w:t xml:space="preserve"> </w:t>
      </w:r>
      <w:r w:rsidR="00B96351">
        <w:rPr>
          <w:rFonts w:cs="Times New Roman"/>
          <w:lang w:val="sr-Latn-RS"/>
        </w:rPr>
        <w:t xml:space="preserve">dio </w:t>
      </w:r>
      <w:r w:rsidR="00BC3A3A" w:rsidRPr="00750BAE">
        <w:rPr>
          <w:rFonts w:cs="Times New Roman"/>
          <w:lang w:val="sr-Latn-RS"/>
        </w:rPr>
        <w:t>4.8) kod pacijenata koji uzimaju Vumerity (</w:t>
      </w:r>
      <w:r w:rsidR="0069098C" w:rsidRPr="00750BAE">
        <w:rPr>
          <w:rFonts w:cs="Times New Roman"/>
          <w:lang w:val="sr-Latn-RS"/>
        </w:rPr>
        <w:t>vidjeti</w:t>
      </w:r>
      <w:r w:rsidR="00BC3A3A" w:rsidRPr="00750BAE">
        <w:rPr>
          <w:rFonts w:cs="Times New Roman"/>
          <w:lang w:val="sr-Latn-RS"/>
        </w:rPr>
        <w:t xml:space="preserve"> </w:t>
      </w:r>
      <w:r w:rsidR="00B96351">
        <w:rPr>
          <w:rFonts w:cs="Times New Roman"/>
          <w:lang w:val="sr-Latn-RS"/>
        </w:rPr>
        <w:t>dio</w:t>
      </w:r>
      <w:r w:rsidR="00B96351" w:rsidRPr="00750BAE">
        <w:rPr>
          <w:rFonts w:cs="Times New Roman"/>
          <w:lang w:val="sr-Latn-RS"/>
        </w:rPr>
        <w:t xml:space="preserve"> </w:t>
      </w:r>
      <w:r w:rsidR="00BC3A3A" w:rsidRPr="00750BAE">
        <w:rPr>
          <w:rFonts w:cs="Times New Roman"/>
          <w:lang w:val="sr-Latn-RS"/>
        </w:rPr>
        <w:t>4.4).</w:t>
      </w:r>
    </w:p>
    <w:p w14:paraId="18DE974F" w14:textId="77777777" w:rsidR="00BC3A3A" w:rsidRPr="00750BAE" w:rsidRDefault="00BC3A3A" w:rsidP="00BC3A3A">
      <w:pPr>
        <w:rPr>
          <w:sz w:val="22"/>
          <w:szCs w:val="22"/>
          <w:lang w:val="sr-Latn-RS"/>
        </w:rPr>
      </w:pPr>
    </w:p>
    <w:p w14:paraId="2E5F731D" w14:textId="77777777" w:rsidR="00BC3A3A" w:rsidRPr="00750BAE" w:rsidRDefault="00BC3A3A" w:rsidP="00BC3A3A">
      <w:pPr>
        <w:pStyle w:val="BodyText"/>
        <w:ind w:right="141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>Pedijatrijska populacija</w:t>
      </w:r>
    </w:p>
    <w:p w14:paraId="1ECFE8F8" w14:textId="77777777" w:rsidR="00BC3A3A" w:rsidRPr="00750BAE" w:rsidRDefault="00BC3A3A" w:rsidP="00BC3A3A">
      <w:pPr>
        <w:spacing w:before="7"/>
        <w:rPr>
          <w:sz w:val="22"/>
          <w:szCs w:val="22"/>
          <w:lang w:val="sr-Latn-RS"/>
        </w:rPr>
      </w:pPr>
    </w:p>
    <w:p w14:paraId="292925DF" w14:textId="7248789E" w:rsidR="00BC3A3A" w:rsidRPr="00750BAE" w:rsidRDefault="00BC3A3A" w:rsidP="00BC3A3A">
      <w:pPr>
        <w:rPr>
          <w:sz w:val="22"/>
          <w:szCs w:val="22"/>
        </w:rPr>
      </w:pPr>
      <w:r w:rsidRPr="00750BAE">
        <w:rPr>
          <w:sz w:val="22"/>
          <w:szCs w:val="22"/>
          <w:lang w:val="sr-Latn-RS"/>
        </w:rPr>
        <w:t xml:space="preserve">Studije o interakcijama </w:t>
      </w:r>
      <w:r w:rsidR="00AB715A" w:rsidRPr="00750BAE">
        <w:rPr>
          <w:sz w:val="22"/>
          <w:szCs w:val="22"/>
          <w:lang w:val="sr-Latn-RS"/>
        </w:rPr>
        <w:t>ljekova</w:t>
      </w:r>
      <w:r w:rsidRPr="00750BAE">
        <w:rPr>
          <w:sz w:val="22"/>
          <w:szCs w:val="22"/>
          <w:lang w:val="sr-Latn-RS"/>
        </w:rPr>
        <w:t xml:space="preserve"> izvođene su samo sa odraslim osobama.</w:t>
      </w:r>
    </w:p>
    <w:p w14:paraId="263A514F" w14:textId="77777777" w:rsidR="00BC3A3A" w:rsidRPr="00750BAE" w:rsidRDefault="00BC3A3A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3A7B9DCE" w14:textId="77777777" w:rsidR="0072020E" w:rsidRPr="00750BAE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CS"/>
        </w:rPr>
      </w:pPr>
      <w:r w:rsidRPr="00750BAE">
        <w:rPr>
          <w:b/>
          <w:bCs/>
          <w:sz w:val="22"/>
          <w:szCs w:val="22"/>
        </w:rPr>
        <w:t xml:space="preserve">4.6. </w:t>
      </w:r>
      <w:r w:rsidR="00480FB1" w:rsidRPr="00750BAE">
        <w:rPr>
          <w:b/>
          <w:bCs/>
          <w:sz w:val="22"/>
          <w:szCs w:val="22"/>
        </w:rPr>
        <w:tab/>
      </w:r>
      <w:r w:rsidR="006D20A5" w:rsidRPr="00750BAE">
        <w:rPr>
          <w:b/>
          <w:sz w:val="22"/>
          <w:szCs w:val="22"/>
          <w:lang w:val="sr-Latn-CS"/>
        </w:rPr>
        <w:t>Plodnost, trudnoća i dojenje</w:t>
      </w:r>
    </w:p>
    <w:p w14:paraId="3361CBA4" w14:textId="77777777" w:rsidR="002031B3" w:rsidRPr="00750BAE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</w:rPr>
      </w:pPr>
    </w:p>
    <w:p w14:paraId="21CBF7F9" w14:textId="77777777" w:rsidR="00BC3A3A" w:rsidRPr="00750BAE" w:rsidRDefault="00BC3A3A" w:rsidP="00BC3A3A">
      <w:pPr>
        <w:pStyle w:val="BodyText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>Trudnoća</w:t>
      </w:r>
    </w:p>
    <w:p w14:paraId="28F4D0EB" w14:textId="77777777" w:rsidR="00BC3A3A" w:rsidRPr="00750BAE" w:rsidRDefault="00BC3A3A" w:rsidP="00BC3A3A">
      <w:pPr>
        <w:spacing w:before="6"/>
        <w:rPr>
          <w:sz w:val="22"/>
          <w:szCs w:val="22"/>
          <w:lang w:val="sr-Latn-RS"/>
        </w:rPr>
      </w:pPr>
    </w:p>
    <w:p w14:paraId="52FF8975" w14:textId="25EBFE19" w:rsidR="00BC3A3A" w:rsidRPr="00750BAE" w:rsidRDefault="00BC3A3A" w:rsidP="00BC3A3A">
      <w:pPr>
        <w:pStyle w:val="BodyText"/>
        <w:spacing w:before="72"/>
        <w:ind w:right="14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Nema podataka ili su podaci o </w:t>
      </w:r>
      <w:r w:rsidR="00FE729A" w:rsidRPr="00750BAE">
        <w:rPr>
          <w:rFonts w:cs="Times New Roman"/>
          <w:lang w:val="sr-Latn-RS"/>
        </w:rPr>
        <w:t>primjeni</w:t>
      </w:r>
      <w:r w:rsidRPr="00750BAE">
        <w:rPr>
          <w:rFonts w:cs="Times New Roman"/>
          <w:lang w:val="sr-Latn-RS"/>
        </w:rPr>
        <w:t xml:space="preserve">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>a kod trudnica ograničeni. Ispitivanja na životinjama pokazala su reproduktivnu toksičnost (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</w:t>
      </w:r>
      <w:r w:rsidR="00B96351">
        <w:rPr>
          <w:rFonts w:cs="Times New Roman"/>
          <w:lang w:val="sr-Latn-RS"/>
        </w:rPr>
        <w:t xml:space="preserve">dio </w:t>
      </w:r>
      <w:r w:rsidRPr="00750BAE">
        <w:rPr>
          <w:rFonts w:cs="Times New Roman"/>
          <w:lang w:val="sr-Latn-RS"/>
        </w:rPr>
        <w:t xml:space="preserve">5.3). Ne preporučuje se korišćenje 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 xml:space="preserve">a Vumerity tokom trudnoće niti kod žena reproduktivne </w:t>
      </w:r>
      <w:r w:rsidR="00B96351">
        <w:rPr>
          <w:rFonts w:cs="Times New Roman"/>
          <w:lang w:val="sr-Latn-RS"/>
        </w:rPr>
        <w:t>dobi</w:t>
      </w:r>
      <w:r w:rsidR="00B96351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koje ne koriste odgovarajuću kontracepciju (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</w:t>
      </w:r>
      <w:r w:rsidR="00B96351">
        <w:rPr>
          <w:rFonts w:cs="Times New Roman"/>
          <w:lang w:val="sr-Latn-RS"/>
        </w:rPr>
        <w:t>dio</w:t>
      </w:r>
      <w:r w:rsidR="00B96351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4.5). 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 xml:space="preserve"> Vumerity se </w:t>
      </w:r>
      <w:r w:rsidR="006D0DCA" w:rsidRPr="00750BAE">
        <w:rPr>
          <w:rFonts w:cs="Times New Roman"/>
          <w:lang w:val="sr-Latn-RS"/>
        </w:rPr>
        <w:t>smije</w:t>
      </w:r>
      <w:r w:rsidRPr="00750BAE">
        <w:rPr>
          <w:rFonts w:cs="Times New Roman"/>
          <w:lang w:val="sr-Latn-RS"/>
        </w:rPr>
        <w:t xml:space="preserve"> </w:t>
      </w:r>
      <w:r w:rsidR="00132BCB" w:rsidRPr="00750BAE">
        <w:rPr>
          <w:rFonts w:cs="Times New Roman"/>
          <w:lang w:val="sr-Latn-RS"/>
        </w:rPr>
        <w:t>primjenjivati</w:t>
      </w:r>
      <w:r w:rsidRPr="00750BAE">
        <w:rPr>
          <w:rFonts w:cs="Times New Roman"/>
          <w:lang w:val="sr-Latn-RS"/>
        </w:rPr>
        <w:t xml:space="preserve"> tokom trudnoće samo ako je to jasno potrebno i ako potencijalna korist opravdava potencijalni rizik za fetus.</w:t>
      </w:r>
    </w:p>
    <w:p w14:paraId="30492F49" w14:textId="77777777" w:rsidR="00BC3A3A" w:rsidRPr="00750BAE" w:rsidRDefault="00BC3A3A" w:rsidP="00BC3A3A">
      <w:pPr>
        <w:spacing w:before="2"/>
        <w:rPr>
          <w:sz w:val="22"/>
          <w:szCs w:val="22"/>
          <w:lang w:val="sr-Latn-RS"/>
        </w:rPr>
      </w:pPr>
    </w:p>
    <w:p w14:paraId="02A7DEF0" w14:textId="77777777" w:rsidR="00BC3A3A" w:rsidRPr="00750BAE" w:rsidRDefault="00BC3A3A" w:rsidP="00BC3A3A">
      <w:pPr>
        <w:pStyle w:val="BodyText"/>
        <w:ind w:right="141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>Dojenje</w:t>
      </w:r>
    </w:p>
    <w:p w14:paraId="7D204160" w14:textId="77777777" w:rsidR="00BC3A3A" w:rsidRPr="00750BAE" w:rsidRDefault="00BC3A3A" w:rsidP="00BC3A3A">
      <w:pPr>
        <w:spacing w:before="7"/>
        <w:rPr>
          <w:sz w:val="22"/>
          <w:szCs w:val="22"/>
          <w:lang w:val="sr-Latn-RS"/>
        </w:rPr>
      </w:pPr>
    </w:p>
    <w:p w14:paraId="5978F5D0" w14:textId="4CD94F45" w:rsidR="00BC3A3A" w:rsidRPr="00750BAE" w:rsidRDefault="00BC3A3A" w:rsidP="00BC3A3A">
      <w:pPr>
        <w:pStyle w:val="BodyText"/>
        <w:spacing w:before="72" w:line="237" w:lineRule="auto"/>
        <w:ind w:right="25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Nije poznato da li se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 xml:space="preserve"> ili njegovi metaboliti izlučuju u majčino m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 xml:space="preserve">o. Ne može se isključiti rizik za novorođenčad/odojčad. Potrebno je odlučiti da li prekinuti dojenje ili prekinuti </w:t>
      </w:r>
      <w:r w:rsidR="0069098C" w:rsidRPr="00750BAE">
        <w:rPr>
          <w:rFonts w:cs="Times New Roman"/>
          <w:lang w:val="sr-Latn-RS"/>
        </w:rPr>
        <w:t>liječenje</w:t>
      </w:r>
      <w:r w:rsidRPr="00750BAE">
        <w:rPr>
          <w:rFonts w:cs="Times New Roman"/>
          <w:lang w:val="sr-Latn-RS"/>
        </w:rPr>
        <w:t xml:space="preserve"> 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>om Vumerity, uzimajući u obzir korist dojenja za</w:t>
      </w:r>
      <w:r w:rsidR="00E329A2" w:rsidRPr="00750BAE">
        <w:rPr>
          <w:rFonts w:cs="Times New Roman"/>
          <w:lang w:val="sr-Latn-RS"/>
        </w:rPr>
        <w:t xml:space="preserve"> dijete </w:t>
      </w:r>
      <w:r w:rsidRPr="00750BAE">
        <w:rPr>
          <w:rFonts w:cs="Times New Roman"/>
          <w:lang w:val="sr-Latn-RS"/>
        </w:rPr>
        <w:t xml:space="preserve">i korist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>a za ženu.</w:t>
      </w:r>
    </w:p>
    <w:p w14:paraId="107B19BC" w14:textId="77777777" w:rsidR="00BC3A3A" w:rsidRPr="00750BAE" w:rsidRDefault="00BC3A3A" w:rsidP="00BC3A3A">
      <w:pPr>
        <w:spacing w:before="9"/>
        <w:rPr>
          <w:sz w:val="22"/>
          <w:szCs w:val="22"/>
          <w:lang w:val="sr-Latn-RS"/>
        </w:rPr>
      </w:pPr>
    </w:p>
    <w:p w14:paraId="5D970DB9" w14:textId="77777777" w:rsidR="00BC3A3A" w:rsidRPr="00750BAE" w:rsidRDefault="00BC3A3A" w:rsidP="00BC3A3A">
      <w:pPr>
        <w:pStyle w:val="BodyText"/>
        <w:ind w:left="116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>Plodnost</w:t>
      </w:r>
    </w:p>
    <w:p w14:paraId="06F6568A" w14:textId="77777777" w:rsidR="00BC3A3A" w:rsidRPr="00750BAE" w:rsidRDefault="00BC3A3A" w:rsidP="00BC3A3A">
      <w:pPr>
        <w:spacing w:before="11"/>
        <w:rPr>
          <w:sz w:val="22"/>
          <w:szCs w:val="22"/>
          <w:lang w:val="sr-Latn-RS"/>
        </w:rPr>
      </w:pPr>
    </w:p>
    <w:p w14:paraId="3362A7ED" w14:textId="644DF251" w:rsidR="00BC3A3A" w:rsidRPr="00750BAE" w:rsidRDefault="00BC3A3A" w:rsidP="00BC3A3A">
      <w:pPr>
        <w:rPr>
          <w:sz w:val="22"/>
          <w:szCs w:val="22"/>
          <w:lang w:val="sr-Latn-RS"/>
        </w:rPr>
      </w:pPr>
      <w:r w:rsidRPr="00750BAE">
        <w:rPr>
          <w:sz w:val="22"/>
          <w:szCs w:val="22"/>
          <w:lang w:val="sr-Latn-RS"/>
        </w:rPr>
        <w:t xml:space="preserve">Nema podataka o uticajima </w:t>
      </w:r>
      <w:r w:rsidR="004A63C1" w:rsidRPr="00750BAE">
        <w:rPr>
          <w:sz w:val="22"/>
          <w:szCs w:val="22"/>
          <w:lang w:val="sr-Latn-RS"/>
        </w:rPr>
        <w:t>lijek</w:t>
      </w:r>
      <w:r w:rsidRPr="00750BAE">
        <w:rPr>
          <w:sz w:val="22"/>
          <w:szCs w:val="22"/>
          <w:lang w:val="sr-Latn-RS"/>
        </w:rPr>
        <w:t xml:space="preserve">a Vumerity na plodnost kod ljudi. Podaci dobijeni ispitivanjima na životinjama sa </w:t>
      </w:r>
      <w:r w:rsidR="005A3B91">
        <w:rPr>
          <w:sz w:val="22"/>
          <w:szCs w:val="22"/>
          <w:lang w:val="sr-Latn-RS"/>
        </w:rPr>
        <w:t>diroksimel fumarat</w:t>
      </w:r>
      <w:r w:rsidRPr="00750BAE">
        <w:rPr>
          <w:sz w:val="22"/>
          <w:szCs w:val="22"/>
          <w:lang w:val="sr-Latn-RS"/>
        </w:rPr>
        <w:t xml:space="preserve">om </w:t>
      </w:r>
      <w:r w:rsidR="00A83B47" w:rsidRPr="00750BAE">
        <w:rPr>
          <w:sz w:val="22"/>
          <w:szCs w:val="22"/>
          <w:lang w:val="sr-Latn-RS"/>
        </w:rPr>
        <w:t>nijesu</w:t>
      </w:r>
      <w:r w:rsidRPr="00750BAE">
        <w:rPr>
          <w:sz w:val="22"/>
          <w:szCs w:val="22"/>
          <w:lang w:val="sr-Latn-RS"/>
        </w:rPr>
        <w:t xml:space="preserve"> pokazala štetan uticaj na plodnost mužjaka ili ženki (</w:t>
      </w:r>
      <w:r w:rsidR="0069098C" w:rsidRPr="00750BAE">
        <w:rPr>
          <w:sz w:val="22"/>
          <w:szCs w:val="22"/>
          <w:lang w:val="sr-Latn-RS"/>
        </w:rPr>
        <w:t>vidjeti</w:t>
      </w:r>
      <w:r w:rsidRPr="00750BAE">
        <w:rPr>
          <w:sz w:val="22"/>
          <w:szCs w:val="22"/>
          <w:lang w:val="sr-Latn-RS"/>
        </w:rPr>
        <w:t xml:space="preserve"> </w:t>
      </w:r>
      <w:r w:rsidR="00B96351">
        <w:rPr>
          <w:sz w:val="22"/>
          <w:szCs w:val="22"/>
          <w:lang w:val="sr-Latn-RS"/>
        </w:rPr>
        <w:t>dio</w:t>
      </w:r>
      <w:r w:rsidR="00B96351" w:rsidRPr="00750BAE">
        <w:rPr>
          <w:sz w:val="22"/>
          <w:szCs w:val="22"/>
          <w:lang w:val="sr-Latn-RS"/>
        </w:rPr>
        <w:t xml:space="preserve"> </w:t>
      </w:r>
      <w:r w:rsidRPr="00750BAE">
        <w:rPr>
          <w:sz w:val="22"/>
          <w:szCs w:val="22"/>
          <w:lang w:val="sr-Latn-RS"/>
        </w:rPr>
        <w:t>5.3).</w:t>
      </w:r>
    </w:p>
    <w:p w14:paraId="0A6456B0" w14:textId="77777777" w:rsidR="00227BDB" w:rsidRPr="00750BAE" w:rsidRDefault="00227BDB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</w:rPr>
      </w:pPr>
    </w:p>
    <w:p w14:paraId="465E4A5F" w14:textId="77777777" w:rsidR="0072020E" w:rsidRPr="00750BAE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</w:rPr>
      </w:pPr>
      <w:r w:rsidRPr="00750BAE">
        <w:rPr>
          <w:b/>
          <w:bCs/>
          <w:sz w:val="22"/>
          <w:szCs w:val="22"/>
        </w:rPr>
        <w:t xml:space="preserve">4.7. </w:t>
      </w:r>
      <w:r w:rsidR="00480FB1" w:rsidRPr="00750BAE">
        <w:rPr>
          <w:b/>
          <w:bCs/>
          <w:sz w:val="22"/>
          <w:szCs w:val="22"/>
        </w:rPr>
        <w:tab/>
      </w:r>
      <w:r w:rsidRPr="00750BAE">
        <w:rPr>
          <w:b/>
          <w:bCs/>
          <w:sz w:val="22"/>
          <w:szCs w:val="22"/>
        </w:rPr>
        <w:t xml:space="preserve">Uticaj na </w:t>
      </w:r>
      <w:r w:rsidR="002031B3" w:rsidRPr="00750BAE">
        <w:rPr>
          <w:b/>
          <w:bCs/>
          <w:sz w:val="22"/>
          <w:szCs w:val="22"/>
        </w:rPr>
        <w:t xml:space="preserve">sposobnost </w:t>
      </w:r>
      <w:r w:rsidR="00F34554" w:rsidRPr="00750BAE">
        <w:rPr>
          <w:b/>
          <w:bCs/>
          <w:sz w:val="22"/>
          <w:szCs w:val="22"/>
        </w:rPr>
        <w:t>upravljanja vozili</w:t>
      </w:r>
      <w:r w:rsidRPr="00750BAE">
        <w:rPr>
          <w:b/>
          <w:bCs/>
          <w:sz w:val="22"/>
          <w:szCs w:val="22"/>
        </w:rPr>
        <w:t>m</w:t>
      </w:r>
      <w:r w:rsidR="00F34554" w:rsidRPr="00750BAE">
        <w:rPr>
          <w:b/>
          <w:bCs/>
          <w:sz w:val="22"/>
          <w:szCs w:val="22"/>
        </w:rPr>
        <w:t>a</w:t>
      </w:r>
      <w:r w:rsidRPr="00750BAE">
        <w:rPr>
          <w:b/>
          <w:bCs/>
          <w:sz w:val="22"/>
          <w:szCs w:val="22"/>
        </w:rPr>
        <w:t xml:space="preserve"> i </w:t>
      </w:r>
      <w:r w:rsidR="000D3449" w:rsidRPr="00750BAE">
        <w:rPr>
          <w:b/>
          <w:bCs/>
          <w:sz w:val="22"/>
          <w:szCs w:val="22"/>
        </w:rPr>
        <w:t xml:space="preserve">rukovanje </w:t>
      </w:r>
      <w:r w:rsidRPr="00750BAE">
        <w:rPr>
          <w:b/>
          <w:bCs/>
          <w:sz w:val="22"/>
          <w:szCs w:val="22"/>
        </w:rPr>
        <w:t>mašinama</w:t>
      </w:r>
    </w:p>
    <w:p w14:paraId="2A57ED57" w14:textId="0A17063E" w:rsidR="0072020E" w:rsidRPr="00750BA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5CDAA4A1" w14:textId="1A2F92B4" w:rsidR="00BC3A3A" w:rsidRPr="00750BAE" w:rsidRDefault="004A63C1" w:rsidP="00BC3A3A">
      <w:pPr>
        <w:rPr>
          <w:b/>
          <w:bCs/>
          <w:spacing w:val="-8"/>
          <w:sz w:val="22"/>
          <w:szCs w:val="22"/>
          <w:lang w:val="ru-RU"/>
        </w:rPr>
      </w:pPr>
      <w:r w:rsidRPr="00750BAE">
        <w:rPr>
          <w:sz w:val="22"/>
          <w:szCs w:val="22"/>
          <w:lang w:val="sr-Latn-RS"/>
        </w:rPr>
        <w:t>Lijek</w:t>
      </w:r>
      <w:r w:rsidR="00BC3A3A" w:rsidRPr="00750BAE">
        <w:rPr>
          <w:sz w:val="22"/>
          <w:szCs w:val="22"/>
          <w:lang w:val="sr-Latn-RS"/>
        </w:rPr>
        <w:t xml:space="preserve"> Vumerity ne utiče ili zanemarljivo utiče na sposobnost upravljanja vozilima i rukovanja mašinama.</w:t>
      </w:r>
    </w:p>
    <w:p w14:paraId="30572A5A" w14:textId="77777777" w:rsidR="00BC3A3A" w:rsidRPr="00750BAE" w:rsidRDefault="00BC3A3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0A38D962" w14:textId="77777777" w:rsidR="0072020E" w:rsidRPr="00750BA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50BAE">
        <w:rPr>
          <w:b/>
          <w:bCs/>
          <w:sz w:val="22"/>
          <w:szCs w:val="22"/>
        </w:rPr>
        <w:t xml:space="preserve">4.8. </w:t>
      </w:r>
      <w:r w:rsidR="00480FB1" w:rsidRPr="00750BAE">
        <w:rPr>
          <w:b/>
          <w:bCs/>
          <w:sz w:val="22"/>
          <w:szCs w:val="22"/>
        </w:rPr>
        <w:tab/>
      </w:r>
      <w:r w:rsidRPr="00750BAE">
        <w:rPr>
          <w:b/>
          <w:bCs/>
          <w:sz w:val="22"/>
          <w:szCs w:val="22"/>
        </w:rPr>
        <w:t>Neželjena dejstva</w:t>
      </w:r>
    </w:p>
    <w:p w14:paraId="41F82F9C" w14:textId="123728CF" w:rsidR="004E70AD" w:rsidRPr="00750BAE" w:rsidRDefault="004E70A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6312B06E" w14:textId="5C01C921" w:rsidR="00BC3A3A" w:rsidRPr="00750BAE" w:rsidRDefault="00BC3A3A" w:rsidP="00BC3A3A">
      <w:pPr>
        <w:pStyle w:val="BodyText"/>
        <w:ind w:left="116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 xml:space="preserve">Sažetak </w:t>
      </w:r>
      <w:r w:rsidR="00453DDE" w:rsidRPr="00750BAE">
        <w:rPr>
          <w:rFonts w:cs="Times New Roman"/>
          <w:u w:val="single"/>
          <w:lang w:val="sr-Latn-RS"/>
        </w:rPr>
        <w:t>bezbjednos</w:t>
      </w:r>
      <w:r w:rsidRPr="00750BAE">
        <w:rPr>
          <w:rFonts w:cs="Times New Roman"/>
          <w:u w:val="single"/>
          <w:lang w:val="sr-Latn-RS"/>
        </w:rPr>
        <w:t>nog profila</w:t>
      </w:r>
    </w:p>
    <w:p w14:paraId="5F075981" w14:textId="77777777" w:rsidR="00BC3A3A" w:rsidRPr="00750BAE" w:rsidRDefault="00BC3A3A" w:rsidP="00BC3A3A">
      <w:pPr>
        <w:rPr>
          <w:sz w:val="22"/>
          <w:szCs w:val="22"/>
          <w:lang w:val="sr-Latn-RS"/>
        </w:rPr>
      </w:pPr>
    </w:p>
    <w:p w14:paraId="38019922" w14:textId="348FBD4A" w:rsidR="00BC3A3A" w:rsidRPr="00750BAE" w:rsidRDefault="00BC3A3A" w:rsidP="00BC3A3A">
      <w:pPr>
        <w:pStyle w:val="BodyText"/>
        <w:spacing w:before="73" w:line="237" w:lineRule="auto"/>
        <w:ind w:left="116" w:right="254" w:hanging="1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Pri peroralnoj </w:t>
      </w:r>
      <w:r w:rsidR="00FE729A" w:rsidRPr="00750BAE">
        <w:rPr>
          <w:rFonts w:cs="Times New Roman"/>
          <w:lang w:val="sr-Latn-RS"/>
        </w:rPr>
        <w:t>primjeni</w:t>
      </w:r>
      <w:r w:rsidRPr="00750BAE">
        <w:rPr>
          <w:rFonts w:cs="Times New Roman"/>
          <w:lang w:val="sr-Latn-RS"/>
        </w:rPr>
        <w:t xml:space="preserve">,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 xml:space="preserve"> i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 se brzo metabolišu u monometil fumarat,</w:t>
      </w:r>
      <w:r w:rsidR="00132BCB" w:rsidRPr="00750BAE">
        <w:rPr>
          <w:rFonts w:cs="Times New Roman"/>
          <w:lang w:val="sr-Latn-RS"/>
        </w:rPr>
        <w:t xml:space="preserve"> prije </w:t>
      </w:r>
      <w:r w:rsidRPr="00750BAE">
        <w:rPr>
          <w:rFonts w:cs="Times New Roman"/>
          <w:lang w:val="sr-Latn-RS"/>
        </w:rPr>
        <w:t>nego što dosp</w:t>
      </w:r>
      <w:r w:rsidR="006012A5" w:rsidRPr="00750BAE">
        <w:rPr>
          <w:rFonts w:cs="Times New Roman"/>
          <w:lang w:val="sr-Latn-RS"/>
        </w:rPr>
        <w:t>i</w:t>
      </w:r>
      <w:r w:rsidRPr="00750BAE">
        <w:rPr>
          <w:rFonts w:cs="Times New Roman"/>
          <w:lang w:val="sr-Latn-RS"/>
        </w:rPr>
        <w:t xml:space="preserve">ju u sistemsku cirkulaciju, pa su neželjene reakcije oba 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>a nakon metabolisanja slične.</w:t>
      </w:r>
    </w:p>
    <w:p w14:paraId="305C7D14" w14:textId="77777777" w:rsidR="00BC3A3A" w:rsidRPr="00750BAE" w:rsidRDefault="00BC3A3A" w:rsidP="00BC3A3A">
      <w:pPr>
        <w:spacing w:before="10"/>
        <w:rPr>
          <w:sz w:val="22"/>
          <w:szCs w:val="22"/>
          <w:lang w:val="sr-Latn-RS"/>
        </w:rPr>
      </w:pPr>
    </w:p>
    <w:p w14:paraId="673725EE" w14:textId="7C0F68F6" w:rsidR="00BC3A3A" w:rsidRPr="00750BAE" w:rsidRDefault="00BC3A3A" w:rsidP="00BC3A3A">
      <w:pPr>
        <w:pStyle w:val="BodyText"/>
        <w:ind w:left="116" w:right="155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Najčešće neželjene reakcije na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 bile su naleti </w:t>
      </w:r>
      <w:r w:rsidR="00811CCE">
        <w:rPr>
          <w:rFonts w:cs="Times New Roman"/>
          <w:lang w:val="sr-Latn-RS"/>
        </w:rPr>
        <w:t>crvenila</w:t>
      </w:r>
      <w:r w:rsidR="00811CCE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(35%) i gastrointestinalni događaji </w:t>
      </w:r>
      <w:r w:rsidRPr="00750BAE">
        <w:rPr>
          <w:rFonts w:cs="Times New Roman"/>
          <w:lang w:val="sr-Latn-RS"/>
        </w:rPr>
        <w:lastRenderedPageBreak/>
        <w:t>(tj. proliv 14%, mučnina 12%, bol u abdomenu 10%, bol u gornjem d</w:t>
      </w:r>
      <w:r w:rsidR="00E44A7F" w:rsidRPr="00750BAE">
        <w:rPr>
          <w:rFonts w:cs="Times New Roman"/>
          <w:lang w:val="sr-Latn-RS"/>
        </w:rPr>
        <w:t>ij</w:t>
      </w:r>
      <w:r w:rsidRPr="00750BAE">
        <w:rPr>
          <w:rFonts w:cs="Times New Roman"/>
          <w:lang w:val="sr-Latn-RS"/>
        </w:rPr>
        <w:t xml:space="preserve">elu abdomena 10%). Najčešće prijavljene neželjene reakcije koje su dovele do prekida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 xml:space="preserve">a kod pacijenata </w:t>
      </w:r>
      <w:r w:rsidR="00A83B47" w:rsidRPr="00750BAE">
        <w:rPr>
          <w:rFonts w:cs="Times New Roman"/>
          <w:lang w:val="sr-Latn-RS"/>
        </w:rPr>
        <w:t>liječenih</w:t>
      </w:r>
      <w:r w:rsidRPr="00750BAE">
        <w:rPr>
          <w:rFonts w:cs="Times New Roman"/>
          <w:lang w:val="sr-Latn-RS"/>
        </w:rPr>
        <w:t xml:space="preserve">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fumaratom bile su naleti </w:t>
      </w:r>
      <w:r w:rsidR="00811CCE">
        <w:rPr>
          <w:rFonts w:cs="Times New Roman"/>
          <w:lang w:val="sr-Latn-RS"/>
        </w:rPr>
        <w:t>crvenila</w:t>
      </w:r>
      <w:r w:rsidR="00811CCE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(3%) i gastrointestinalni događaji (4%).</w:t>
      </w:r>
    </w:p>
    <w:p w14:paraId="49B7081B" w14:textId="77777777" w:rsidR="00BC3A3A" w:rsidRPr="00750BAE" w:rsidRDefault="00BC3A3A" w:rsidP="00BC3A3A">
      <w:pPr>
        <w:pStyle w:val="BodyText"/>
        <w:ind w:left="116" w:right="155"/>
        <w:jc w:val="both"/>
        <w:rPr>
          <w:rFonts w:cs="Times New Roman"/>
          <w:lang w:val="sr-Latn-RS"/>
        </w:rPr>
      </w:pPr>
    </w:p>
    <w:p w14:paraId="0DBEDC30" w14:textId="77777777" w:rsidR="00BC3A3A" w:rsidRPr="00750BAE" w:rsidRDefault="00BC3A3A" w:rsidP="00BC3A3A">
      <w:pPr>
        <w:pStyle w:val="BodyText"/>
        <w:spacing w:before="55"/>
        <w:ind w:right="141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>Tabelarni prikaz neželjenih reakcija</w:t>
      </w:r>
    </w:p>
    <w:p w14:paraId="6E11D1E3" w14:textId="77777777" w:rsidR="00BC3A3A" w:rsidRPr="00750BAE" w:rsidRDefault="00BC3A3A" w:rsidP="00BC3A3A">
      <w:pPr>
        <w:spacing w:before="6"/>
        <w:rPr>
          <w:sz w:val="22"/>
          <w:szCs w:val="22"/>
          <w:lang w:val="sr-Latn-RS"/>
        </w:rPr>
      </w:pPr>
    </w:p>
    <w:p w14:paraId="3CADD100" w14:textId="5B10BB7D" w:rsidR="00BC3A3A" w:rsidRPr="00750BAE" w:rsidRDefault="00BC3A3A" w:rsidP="00BC3A3A">
      <w:pPr>
        <w:pStyle w:val="BodyText"/>
        <w:spacing w:before="72"/>
        <w:ind w:left="116" w:right="37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Neželjene reakcije koje su češće </w:t>
      </w:r>
      <w:r w:rsidR="00132BCB" w:rsidRPr="00750BAE">
        <w:rPr>
          <w:rFonts w:cs="Times New Roman"/>
          <w:lang w:val="sr-Latn-RS"/>
        </w:rPr>
        <w:t>zabilježen</w:t>
      </w:r>
      <w:r w:rsidRPr="00750BAE">
        <w:rPr>
          <w:rFonts w:cs="Times New Roman"/>
          <w:lang w:val="sr-Latn-RS"/>
        </w:rPr>
        <w:t xml:space="preserve">e kod pacijenata </w:t>
      </w:r>
      <w:r w:rsidR="00A83B47" w:rsidRPr="00750BAE">
        <w:rPr>
          <w:rFonts w:cs="Times New Roman"/>
          <w:lang w:val="sr-Latn-RS"/>
        </w:rPr>
        <w:t>liječenih</w:t>
      </w:r>
      <w:r w:rsidRPr="00750BAE">
        <w:rPr>
          <w:rFonts w:cs="Times New Roman"/>
          <w:lang w:val="sr-Latn-RS"/>
        </w:rPr>
        <w:t xml:space="preserve">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fumaratom u poređenju sa pacijentima koji su primali placebo u dva ključna placebom kontrolisana klinička ispitivanja faze 3 i nakon stavljanja 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>a u promet navedene su u Tabeli 1.</w:t>
      </w:r>
    </w:p>
    <w:p w14:paraId="7337B740" w14:textId="77777777" w:rsidR="00BC3A3A" w:rsidRPr="00750BAE" w:rsidRDefault="00BC3A3A" w:rsidP="00BC3A3A">
      <w:pPr>
        <w:spacing w:before="9"/>
        <w:rPr>
          <w:sz w:val="22"/>
          <w:szCs w:val="22"/>
          <w:lang w:val="sr-Latn-RS"/>
        </w:rPr>
      </w:pPr>
    </w:p>
    <w:p w14:paraId="72D5AB5D" w14:textId="3395CF0E" w:rsidR="00BC3A3A" w:rsidRPr="00646EA3" w:rsidRDefault="00BC3A3A" w:rsidP="00646EA3">
      <w:pPr>
        <w:pStyle w:val="BodyText"/>
        <w:ind w:left="116" w:right="25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Neželjene reakcije su prikazane kao MedDRA preporučeni pojmovi prema MedDRA klasifikaciji sistema organa. Incidenca neželjenih reakcija prikazana je prema </w:t>
      </w:r>
      <w:r w:rsidR="00E45E91" w:rsidRPr="00750BAE">
        <w:rPr>
          <w:rFonts w:cs="Times New Roman"/>
          <w:lang w:val="sr-Latn-RS"/>
        </w:rPr>
        <w:t>sljedeć</w:t>
      </w:r>
      <w:r w:rsidRPr="00750BAE">
        <w:rPr>
          <w:rFonts w:cs="Times New Roman"/>
          <w:lang w:val="sr-Latn-RS"/>
        </w:rPr>
        <w:t xml:space="preserve">im kategorijama: vrlo često (≥ 1/10), često (≥ 1/100 i &lt; 1/10), </w:t>
      </w:r>
      <w:r w:rsidR="00811CCE">
        <w:rPr>
          <w:rFonts w:cs="Times New Roman"/>
          <w:lang w:val="sr-Latn-RS"/>
        </w:rPr>
        <w:t>povremeno</w:t>
      </w:r>
      <w:r w:rsidRPr="00750BAE">
        <w:rPr>
          <w:rFonts w:cs="Times New Roman"/>
          <w:lang w:val="sr-Latn-RS"/>
        </w:rPr>
        <w:t xml:space="preserve"> (≥ 1/1.000 i &lt; 1/100), </w:t>
      </w:r>
      <w:r w:rsidR="00E44A7F" w:rsidRPr="00750BAE">
        <w:rPr>
          <w:rFonts w:cs="Times New Roman"/>
          <w:lang w:val="sr-Latn-RS"/>
        </w:rPr>
        <w:t>rijetko</w:t>
      </w:r>
      <w:r w:rsidRPr="00750BAE">
        <w:rPr>
          <w:rFonts w:cs="Times New Roman"/>
          <w:lang w:val="sr-Latn-RS"/>
        </w:rPr>
        <w:t xml:space="preserve"> (≥ 1/10.000 i &lt; 1/1.000), vrlo </w:t>
      </w:r>
      <w:r w:rsidR="00E44A7F" w:rsidRPr="00750BAE">
        <w:rPr>
          <w:rFonts w:cs="Times New Roman"/>
          <w:lang w:val="sr-Latn-RS"/>
        </w:rPr>
        <w:t>rijetko</w:t>
      </w:r>
      <w:r w:rsidRPr="00750BAE">
        <w:rPr>
          <w:rFonts w:cs="Times New Roman"/>
          <w:lang w:val="sr-Latn-RS"/>
        </w:rPr>
        <w:t xml:space="preserve"> (&lt; 1/10.000) i nepoznato (učestalost se ne može </w:t>
      </w:r>
      <w:r w:rsidR="00A83B47" w:rsidRPr="00750BAE">
        <w:rPr>
          <w:rFonts w:cs="Times New Roman"/>
          <w:lang w:val="sr-Latn-RS"/>
        </w:rPr>
        <w:t>proc</w:t>
      </w:r>
      <w:r w:rsidR="00E44A7F" w:rsidRPr="00750BAE">
        <w:rPr>
          <w:rFonts w:cs="Times New Roman"/>
          <w:lang w:val="sr-Latn-RS"/>
        </w:rPr>
        <w:t>i</w:t>
      </w:r>
      <w:r w:rsidR="00A83B47" w:rsidRPr="00750BAE">
        <w:rPr>
          <w:rFonts w:cs="Times New Roman"/>
          <w:lang w:val="sr-Latn-RS"/>
        </w:rPr>
        <w:t>jen</w:t>
      </w:r>
      <w:r w:rsidRPr="00750BAE">
        <w:rPr>
          <w:rFonts w:cs="Times New Roman"/>
          <w:lang w:val="sr-Latn-RS"/>
        </w:rPr>
        <w:t>iti iz dostupnih podataka).</w:t>
      </w:r>
    </w:p>
    <w:p w14:paraId="0A1BFC69" w14:textId="77777777" w:rsidR="00BC3A3A" w:rsidRPr="003D0800" w:rsidRDefault="00BC3A3A" w:rsidP="00BC3A3A">
      <w:pPr>
        <w:pStyle w:val="Heading1"/>
        <w:tabs>
          <w:tab w:val="left" w:pos="1249"/>
        </w:tabs>
        <w:ind w:left="116"/>
        <w:jc w:val="both"/>
        <w:rPr>
          <w:rFonts w:ascii="Times New Roman" w:hAnsi="Times New Roman" w:cs="Times New Roman"/>
          <w:color w:val="auto"/>
          <w:sz w:val="22"/>
          <w:szCs w:val="22"/>
          <w:lang w:val="sr-Latn-RS"/>
        </w:rPr>
      </w:pPr>
      <w:r w:rsidRPr="003D0800">
        <w:rPr>
          <w:rFonts w:ascii="Times New Roman" w:hAnsi="Times New Roman" w:cs="Times New Roman"/>
          <w:i/>
          <w:color w:val="auto"/>
          <w:sz w:val="22"/>
          <w:szCs w:val="22"/>
          <w:lang w:val="sr-Latn-RS"/>
        </w:rPr>
        <w:t>Tabela 1: Neželjene reakcije</w:t>
      </w:r>
    </w:p>
    <w:p w14:paraId="6EAEF1BA" w14:textId="77777777" w:rsidR="00BC3A3A" w:rsidRPr="00750BAE" w:rsidRDefault="00BC3A3A" w:rsidP="00BC3A3A">
      <w:pPr>
        <w:spacing w:before="10"/>
        <w:rPr>
          <w:b/>
          <w:bCs/>
          <w:sz w:val="22"/>
          <w:szCs w:val="22"/>
          <w:lang w:val="sr-Latn-RS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3547"/>
        <w:gridCol w:w="2266"/>
      </w:tblGrid>
      <w:tr w:rsidR="00BC3A3A" w:rsidRPr="00750BAE" w14:paraId="016A7B96" w14:textId="77777777" w:rsidTr="002B3834">
        <w:trPr>
          <w:trHeight w:hRule="exact" w:val="605"/>
        </w:trPr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C6581" w14:textId="78F56A31" w:rsidR="00BC3A3A" w:rsidRPr="00750BAE" w:rsidRDefault="00BC3A3A" w:rsidP="002B3834">
            <w:pPr>
              <w:pStyle w:val="TableParagraph"/>
              <w:spacing w:before="17"/>
              <w:ind w:left="104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b/>
                <w:bCs/>
                <w:lang w:val="sr-Latn-RS"/>
              </w:rPr>
              <w:t>MedDRA</w:t>
            </w:r>
            <w:r w:rsidR="00811CCE"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 </w:t>
            </w:r>
            <w:r w:rsidRPr="00750BAE">
              <w:rPr>
                <w:rFonts w:ascii="Times New Roman" w:hAnsi="Times New Roman" w:cs="Times New Roman"/>
                <w:b/>
                <w:bCs/>
                <w:lang w:val="sr-Latn-RS"/>
              </w:rPr>
              <w:t>klasifikacija</w:t>
            </w:r>
            <w:r w:rsidR="00811CCE"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 </w:t>
            </w:r>
            <w:r w:rsidRPr="00750BAE">
              <w:rPr>
                <w:rFonts w:ascii="Times New Roman" w:hAnsi="Times New Roman" w:cs="Times New Roman"/>
                <w:b/>
                <w:bCs/>
                <w:lang w:val="sr-Latn-RS"/>
              </w:rPr>
              <w:t>sistema</w:t>
            </w:r>
            <w:r w:rsidR="00811CCE"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 organa</w:t>
            </w:r>
            <w:r w:rsidRPr="00750BAE"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 </w:t>
            </w: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EE64B" w14:textId="77777777" w:rsidR="00BC3A3A" w:rsidRPr="00750BAE" w:rsidRDefault="00BC3A3A" w:rsidP="002B3834">
            <w:pPr>
              <w:pStyle w:val="TableParagraph"/>
              <w:spacing w:before="17"/>
              <w:ind w:left="104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b/>
                <w:bCs/>
                <w:lang w:val="sr-Latn-RS"/>
              </w:rPr>
              <w:t>Neželjene reakcije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5C2AE" w14:textId="77777777" w:rsidR="00BC3A3A" w:rsidRPr="00750BAE" w:rsidRDefault="00BC3A3A" w:rsidP="002B3834">
            <w:pPr>
              <w:pStyle w:val="TableParagraph"/>
              <w:spacing w:before="17"/>
              <w:ind w:left="99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b/>
                <w:bCs/>
                <w:lang w:val="sr-Latn-RS"/>
              </w:rPr>
              <w:t>Kategorija učestalosti</w:t>
            </w:r>
          </w:p>
        </w:tc>
      </w:tr>
      <w:tr w:rsidR="00BC3A3A" w:rsidRPr="00750BAE" w14:paraId="51ACBA5F" w14:textId="77777777" w:rsidTr="00BC3A3A">
        <w:trPr>
          <w:trHeight w:hRule="exact" w:val="264"/>
        </w:trPr>
        <w:tc>
          <w:tcPr>
            <w:tcW w:w="3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3CBF5" w14:textId="77777777" w:rsidR="00BC3A3A" w:rsidRPr="00750BAE" w:rsidRDefault="00BC3A3A">
            <w:pPr>
              <w:pStyle w:val="TableParagraph"/>
              <w:spacing w:before="2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Infekcije i infestacije</w:t>
            </w: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46520" w14:textId="77777777" w:rsidR="00BC3A3A" w:rsidRPr="00750BAE" w:rsidRDefault="00BC3A3A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Gastroenteritis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84A07" w14:textId="77777777" w:rsidR="00BC3A3A" w:rsidRPr="00750BAE" w:rsidRDefault="00BC3A3A">
            <w:pPr>
              <w:pStyle w:val="TableParagraph"/>
              <w:spacing w:before="2" w:line="252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Često</w:t>
            </w:r>
          </w:p>
        </w:tc>
      </w:tr>
      <w:tr w:rsidR="00BC3A3A" w:rsidRPr="00750BAE" w14:paraId="68C602B4" w14:textId="77777777" w:rsidTr="00BC3A3A">
        <w:trPr>
          <w:trHeight w:hRule="exact" w:val="514"/>
        </w:trPr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6A174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CE243" w14:textId="77777777" w:rsidR="00BC3A3A" w:rsidRPr="00750BAE" w:rsidRDefault="00BC3A3A" w:rsidP="002B3834">
            <w:pPr>
              <w:pStyle w:val="TableParagraph"/>
              <w:spacing w:before="2" w:line="252" w:lineRule="exact"/>
              <w:ind w:left="104"/>
              <w:rPr>
                <w:rFonts w:ascii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Progresivna multifokalna leukoencefalopatija (PML)</w:t>
            </w:r>
            <w:r w:rsidRPr="00750BAE">
              <w:rPr>
                <w:rFonts w:ascii="Times New Roman" w:hAnsi="Times New Roman" w:cs="Times New Roman"/>
                <w:vertAlign w:val="superscript"/>
                <w:lang w:val="sr-Latn-RS"/>
              </w:rPr>
              <w:t>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11F99" w14:textId="77777777" w:rsidR="00BC3A3A" w:rsidRPr="00750BAE" w:rsidRDefault="00BC3A3A">
            <w:pPr>
              <w:pStyle w:val="TableParagraph"/>
              <w:spacing w:before="127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Nepoznato</w:t>
            </w:r>
          </w:p>
        </w:tc>
      </w:tr>
      <w:tr w:rsidR="00BC3A3A" w:rsidRPr="00750BAE" w14:paraId="50FD9DDD" w14:textId="77777777" w:rsidTr="00BC3A3A">
        <w:trPr>
          <w:trHeight w:hRule="exact" w:val="264"/>
        </w:trPr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2903B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3DCEE" w14:textId="0E8A59AC" w:rsidR="00BC3A3A" w:rsidRPr="00750BAE" w:rsidRDefault="00BC3A3A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Herpes zoster</w:t>
            </w:r>
            <w:r w:rsidRPr="00750BAE">
              <w:rPr>
                <w:rFonts w:ascii="Times New Roman" w:hAnsi="Times New Roman" w:cs="Times New Roman"/>
                <w:vertAlign w:val="superscript"/>
                <w:lang w:val="sr-Latn-RS"/>
              </w:rPr>
              <w:t>1,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F8AD2" w14:textId="77777777" w:rsidR="00BC3A3A" w:rsidRPr="00750BAE" w:rsidRDefault="00BC3A3A">
            <w:pPr>
              <w:pStyle w:val="TableParagraph"/>
              <w:spacing w:before="2" w:line="252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Nepoznato</w:t>
            </w:r>
          </w:p>
        </w:tc>
      </w:tr>
      <w:tr w:rsidR="00BC3A3A" w:rsidRPr="00750BAE" w14:paraId="518DFD2B" w14:textId="77777777" w:rsidTr="00BC3A3A">
        <w:trPr>
          <w:trHeight w:hRule="exact" w:val="264"/>
        </w:trPr>
        <w:tc>
          <w:tcPr>
            <w:tcW w:w="3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DFFA1" w14:textId="77777777" w:rsidR="00BC3A3A" w:rsidRPr="00750BAE" w:rsidRDefault="00BC3A3A">
            <w:pPr>
              <w:pStyle w:val="TableParagraph"/>
              <w:spacing w:before="2"/>
              <w:ind w:left="104" w:right="631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Poremećaji krvi i limfnog sistema</w:t>
            </w: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47CE2" w14:textId="6C9ED195" w:rsidR="00BC3A3A" w:rsidRPr="00750BAE" w:rsidRDefault="00BC3A3A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Limfopenija</w:t>
            </w:r>
            <w:r w:rsidRPr="00750BAE">
              <w:rPr>
                <w:rFonts w:ascii="Times New Roman" w:hAnsi="Times New Roman" w:cs="Times New Roman"/>
                <w:vertAlign w:val="superscript"/>
                <w:lang w:val="sr-Latn-RS"/>
              </w:rPr>
              <w:t xml:space="preserve">1, </w:t>
            </w:r>
            <w:r w:rsidR="00646EA3">
              <w:rPr>
                <w:rFonts w:ascii="Times New Roman" w:hAnsi="Times New Roman" w:cs="Times New Roman"/>
                <w:vertAlign w:val="superscript"/>
                <w:lang w:val="sr-Latn-RS"/>
              </w:rPr>
              <w:t>2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7C92F" w14:textId="77777777" w:rsidR="00BC3A3A" w:rsidRPr="00750BAE" w:rsidRDefault="00BC3A3A">
            <w:pPr>
              <w:pStyle w:val="TableParagraph"/>
              <w:spacing w:before="2" w:line="252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Često</w:t>
            </w:r>
          </w:p>
        </w:tc>
      </w:tr>
      <w:tr w:rsidR="00BC3A3A" w:rsidRPr="00750BAE" w14:paraId="1805A2A5" w14:textId="77777777" w:rsidTr="00BC3A3A">
        <w:trPr>
          <w:trHeight w:hRule="exact" w:val="264"/>
        </w:trPr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64671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94580" w14:textId="77777777" w:rsidR="00BC3A3A" w:rsidRPr="00750BAE" w:rsidRDefault="00BC3A3A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Leukopenija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C2148" w14:textId="77777777" w:rsidR="00BC3A3A" w:rsidRPr="00750BAE" w:rsidRDefault="00BC3A3A">
            <w:pPr>
              <w:pStyle w:val="TableParagraph"/>
              <w:spacing w:before="2" w:line="252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Često</w:t>
            </w:r>
          </w:p>
        </w:tc>
      </w:tr>
      <w:tr w:rsidR="00BC3A3A" w:rsidRPr="00750BAE" w14:paraId="19E5DA27" w14:textId="77777777" w:rsidTr="00BC3A3A">
        <w:trPr>
          <w:trHeight w:hRule="exact" w:val="264"/>
        </w:trPr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D6577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A51AE" w14:textId="77777777" w:rsidR="00BC3A3A" w:rsidRPr="00750BAE" w:rsidRDefault="00BC3A3A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Trombocitopenija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C7D0B" w14:textId="79F7D31B" w:rsidR="00BC3A3A" w:rsidRPr="00750BAE" w:rsidRDefault="00811CCE">
            <w:pPr>
              <w:pStyle w:val="TableParagraph"/>
              <w:spacing w:before="2" w:line="252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Povremeno</w:t>
            </w:r>
          </w:p>
        </w:tc>
      </w:tr>
      <w:tr w:rsidR="00BC3A3A" w:rsidRPr="00750BAE" w14:paraId="48509B16" w14:textId="77777777" w:rsidTr="00BC3A3A">
        <w:trPr>
          <w:trHeight w:hRule="exact" w:val="259"/>
        </w:trPr>
        <w:tc>
          <w:tcPr>
            <w:tcW w:w="3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EC4C4" w14:textId="77777777" w:rsidR="00BC3A3A" w:rsidRPr="00750BAE" w:rsidRDefault="00BC3A3A">
            <w:pPr>
              <w:pStyle w:val="TableParagraph"/>
              <w:spacing w:line="251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Poremećaji imunskog sistema</w:t>
            </w: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F4853" w14:textId="61F245E8" w:rsidR="00BC3A3A" w:rsidRPr="00750BAE" w:rsidRDefault="00BC3A3A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Pre</w:t>
            </w:r>
            <w:r w:rsidR="00807D38" w:rsidRPr="00750BAE">
              <w:rPr>
                <w:rFonts w:ascii="Times New Roman" w:hAnsi="Times New Roman" w:cs="Times New Roman"/>
                <w:lang w:val="sr-Latn-RS"/>
              </w:rPr>
              <w:t>osjetljivost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69009" w14:textId="336AB602" w:rsidR="00BC3A3A" w:rsidRPr="00750BAE" w:rsidRDefault="00811CCE">
            <w:pPr>
              <w:pStyle w:val="TableParagraph"/>
              <w:spacing w:line="250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Povremeno</w:t>
            </w:r>
          </w:p>
        </w:tc>
      </w:tr>
      <w:tr w:rsidR="00BC3A3A" w:rsidRPr="00750BAE" w14:paraId="695CD2A2" w14:textId="77777777" w:rsidTr="00BC3A3A">
        <w:trPr>
          <w:trHeight w:hRule="exact" w:val="264"/>
        </w:trPr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A7175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F86DF" w14:textId="23DB2084" w:rsidR="00BC3A3A" w:rsidRPr="00750BAE" w:rsidRDefault="00BC3A3A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Anafilaksa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5EC09" w14:textId="77777777" w:rsidR="00BC3A3A" w:rsidRPr="00750BAE" w:rsidRDefault="00BC3A3A">
            <w:pPr>
              <w:pStyle w:val="TableParagraph"/>
              <w:spacing w:before="2" w:line="252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Nepoznato</w:t>
            </w:r>
          </w:p>
        </w:tc>
      </w:tr>
      <w:tr w:rsidR="00BC3A3A" w:rsidRPr="00750BAE" w14:paraId="44281857" w14:textId="77777777" w:rsidTr="00BC3A3A">
        <w:trPr>
          <w:trHeight w:hRule="exact" w:val="264"/>
        </w:trPr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987FD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2C767" w14:textId="287B2446" w:rsidR="00BC3A3A" w:rsidRPr="00750BAE" w:rsidRDefault="00BC3A3A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Dispneja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8BA18" w14:textId="77777777" w:rsidR="00BC3A3A" w:rsidRPr="00750BAE" w:rsidRDefault="00BC3A3A">
            <w:pPr>
              <w:pStyle w:val="TableParagraph"/>
              <w:spacing w:before="2" w:line="252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Nepoznato</w:t>
            </w:r>
          </w:p>
        </w:tc>
      </w:tr>
      <w:tr w:rsidR="00BC3A3A" w:rsidRPr="00750BAE" w14:paraId="795FFA0F" w14:textId="77777777" w:rsidTr="00BC3A3A">
        <w:trPr>
          <w:trHeight w:hRule="exact" w:val="264"/>
        </w:trPr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A918E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EC728" w14:textId="172B4D60" w:rsidR="00BC3A3A" w:rsidRPr="00750BAE" w:rsidRDefault="00BC3A3A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Hipoksija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B29D1" w14:textId="77777777" w:rsidR="00BC3A3A" w:rsidRPr="00750BAE" w:rsidRDefault="00BC3A3A">
            <w:pPr>
              <w:pStyle w:val="TableParagraph"/>
              <w:spacing w:before="2" w:line="252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Nepoznato</w:t>
            </w:r>
          </w:p>
        </w:tc>
      </w:tr>
      <w:tr w:rsidR="00BC3A3A" w:rsidRPr="00750BAE" w14:paraId="4EEB3BAB" w14:textId="77777777" w:rsidTr="00BC3A3A">
        <w:trPr>
          <w:trHeight w:hRule="exact" w:val="264"/>
        </w:trPr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9080F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715F8" w14:textId="73441B56" w:rsidR="00BC3A3A" w:rsidRPr="00750BAE" w:rsidRDefault="00BC3A3A">
            <w:pPr>
              <w:pStyle w:val="TableParagraph"/>
              <w:spacing w:line="255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Hipotenzija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2A1EF" w14:textId="77777777" w:rsidR="00BC3A3A" w:rsidRPr="00750BAE" w:rsidRDefault="00BC3A3A">
            <w:pPr>
              <w:pStyle w:val="TableParagraph"/>
              <w:spacing w:before="2" w:line="252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Nepoznato</w:t>
            </w:r>
          </w:p>
        </w:tc>
      </w:tr>
      <w:tr w:rsidR="00BC3A3A" w:rsidRPr="00750BAE" w14:paraId="4F45B602" w14:textId="77777777" w:rsidTr="00BC3A3A">
        <w:trPr>
          <w:trHeight w:hRule="exact" w:val="259"/>
        </w:trPr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CF3E7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5A428" w14:textId="16D9ACAE" w:rsidR="00BC3A3A" w:rsidRPr="00750BAE" w:rsidRDefault="00BC3A3A">
            <w:pPr>
              <w:pStyle w:val="TableParagraph"/>
              <w:spacing w:line="250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Angioedem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7780F" w14:textId="77777777" w:rsidR="00BC3A3A" w:rsidRPr="00750BAE" w:rsidRDefault="00BC3A3A">
            <w:pPr>
              <w:pStyle w:val="TableParagraph"/>
              <w:spacing w:line="250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Nepoznato</w:t>
            </w:r>
          </w:p>
        </w:tc>
      </w:tr>
      <w:tr w:rsidR="00BC3A3A" w:rsidRPr="00750BAE" w14:paraId="4263D25C" w14:textId="77777777" w:rsidTr="00BC3A3A">
        <w:trPr>
          <w:trHeight w:hRule="exact" w:val="264"/>
        </w:trPr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44D68" w14:textId="77777777" w:rsidR="00BC3A3A" w:rsidRPr="00750BAE" w:rsidRDefault="00BC3A3A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Poremećaji nervnog sistema</w:t>
            </w: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A7116" w14:textId="6D262E7F" w:rsidR="00BC3A3A" w:rsidRPr="00750BAE" w:rsidRDefault="00BC3A3A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Os</w:t>
            </w:r>
            <w:r w:rsidR="00E44A7F" w:rsidRPr="00750BAE">
              <w:rPr>
                <w:rFonts w:ascii="Times New Roman" w:hAnsi="Times New Roman" w:cs="Times New Roman"/>
                <w:lang w:val="sr-Latn-RS"/>
              </w:rPr>
              <w:t>j</w:t>
            </w:r>
            <w:r w:rsidRPr="00750BAE">
              <w:rPr>
                <w:rFonts w:ascii="Times New Roman" w:hAnsi="Times New Roman" w:cs="Times New Roman"/>
                <w:lang w:val="sr-Latn-RS"/>
              </w:rPr>
              <w:t>ećaj žarenja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13ED2" w14:textId="77777777" w:rsidR="00BC3A3A" w:rsidRPr="00750BAE" w:rsidRDefault="00BC3A3A">
            <w:pPr>
              <w:pStyle w:val="TableParagraph"/>
              <w:spacing w:before="2" w:line="252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Često</w:t>
            </w:r>
          </w:p>
        </w:tc>
      </w:tr>
      <w:tr w:rsidR="00BC3A3A" w:rsidRPr="00750BAE" w14:paraId="2E0C413A" w14:textId="77777777" w:rsidTr="00BC3A3A">
        <w:trPr>
          <w:trHeight w:hRule="exact" w:val="264"/>
        </w:trPr>
        <w:tc>
          <w:tcPr>
            <w:tcW w:w="3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9E59F" w14:textId="77777777" w:rsidR="00BC3A3A" w:rsidRPr="00750BAE" w:rsidRDefault="00BC3A3A">
            <w:pPr>
              <w:pStyle w:val="TableParagraph"/>
              <w:spacing w:before="2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Vaskularni poremećaji</w:t>
            </w: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AC233" w14:textId="5404BCBA" w:rsidR="00BC3A3A" w:rsidRPr="00750BAE" w:rsidRDefault="00BC3A3A">
            <w:pPr>
              <w:pStyle w:val="TableParagraph"/>
              <w:spacing w:line="255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Nalet crvenil</w:t>
            </w:r>
            <w:r w:rsidR="00811CCE">
              <w:rPr>
                <w:rFonts w:ascii="Times New Roman" w:hAnsi="Times New Roman" w:cs="Times New Roman"/>
                <w:lang w:val="sr-Latn-RS"/>
              </w:rPr>
              <w:t>a</w:t>
            </w:r>
            <w:r w:rsidRPr="002B3834">
              <w:rPr>
                <w:rFonts w:ascii="Times New Roman" w:hAnsi="Times New Roman" w:cs="Times New Roman"/>
                <w:vertAlign w:val="superscript"/>
                <w:lang w:val="sr-Latn-RS"/>
              </w:rPr>
              <w:t>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91CA1" w14:textId="77777777" w:rsidR="00BC3A3A" w:rsidRPr="00750BAE" w:rsidRDefault="00BC3A3A">
            <w:pPr>
              <w:pStyle w:val="TableParagraph"/>
              <w:spacing w:before="2" w:line="252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Vrlo često</w:t>
            </w:r>
          </w:p>
        </w:tc>
      </w:tr>
      <w:tr w:rsidR="00BC3A3A" w:rsidRPr="00750BAE" w14:paraId="3BB96ABF" w14:textId="77777777" w:rsidTr="00BC3A3A">
        <w:trPr>
          <w:trHeight w:hRule="exact" w:val="264"/>
        </w:trPr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F27C3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52793" w14:textId="54C904A9" w:rsidR="00BC3A3A" w:rsidRPr="00750BAE" w:rsidRDefault="00BC3A3A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 xml:space="preserve">Nalet </w:t>
            </w:r>
            <w:r w:rsidR="00811CCE">
              <w:rPr>
                <w:rFonts w:ascii="Times New Roman" w:hAnsi="Times New Roman" w:cs="Times New Roman"/>
                <w:lang w:val="sr-Latn-RS"/>
              </w:rPr>
              <w:t>vrućine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C1408" w14:textId="77777777" w:rsidR="00BC3A3A" w:rsidRPr="00750BAE" w:rsidRDefault="00BC3A3A">
            <w:pPr>
              <w:pStyle w:val="TableParagraph"/>
              <w:spacing w:before="2" w:line="252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Često</w:t>
            </w:r>
          </w:p>
        </w:tc>
      </w:tr>
      <w:tr w:rsidR="00BC3A3A" w:rsidRPr="00750BAE" w14:paraId="4D8000BF" w14:textId="77777777" w:rsidTr="002B3834">
        <w:trPr>
          <w:trHeight w:hRule="exact" w:val="758"/>
        </w:trPr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0F42E" w14:textId="77777777" w:rsidR="00BC3A3A" w:rsidRPr="00750BAE" w:rsidRDefault="00BC3A3A">
            <w:pPr>
              <w:pStyle w:val="TableParagraph"/>
              <w:ind w:left="104" w:right="928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Respiratorni, grudni i medijastinalni poremećaji</w:t>
            </w: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47DE5" w14:textId="72A0561F" w:rsidR="00BC3A3A" w:rsidRPr="00750BAE" w:rsidRDefault="00BC3A3A">
            <w:pPr>
              <w:pStyle w:val="TableParagraph"/>
              <w:spacing w:before="112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Rinoreja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EBDB1" w14:textId="77777777" w:rsidR="00BC3A3A" w:rsidRPr="00750BAE" w:rsidRDefault="00BC3A3A">
            <w:pPr>
              <w:pStyle w:val="TableParagraph"/>
              <w:spacing w:before="127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Nepoznato</w:t>
            </w:r>
          </w:p>
        </w:tc>
      </w:tr>
      <w:tr w:rsidR="00BC3A3A" w:rsidRPr="00750BAE" w14:paraId="19AB07C3" w14:textId="77777777" w:rsidTr="00BC3A3A">
        <w:trPr>
          <w:trHeight w:hRule="exact" w:val="264"/>
        </w:trPr>
        <w:tc>
          <w:tcPr>
            <w:tcW w:w="3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98A3C" w14:textId="77777777" w:rsidR="00BC3A3A" w:rsidRPr="00750BAE" w:rsidRDefault="00BC3A3A">
            <w:pPr>
              <w:pStyle w:val="TableParagraph"/>
              <w:spacing w:line="256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Gastrointestinalni poremećaji</w:t>
            </w:r>
            <w:r w:rsidRPr="002B3834">
              <w:rPr>
                <w:rFonts w:ascii="Times New Roman" w:hAnsi="Times New Roman" w:cs="Times New Roman"/>
                <w:vertAlign w:val="superscript"/>
                <w:lang w:val="sr-Latn-RS"/>
              </w:rPr>
              <w:t>2</w:t>
            </w: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8FA62" w14:textId="77777777" w:rsidR="00BC3A3A" w:rsidRPr="00750BAE" w:rsidRDefault="00BC3A3A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Dijareja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A7298" w14:textId="77777777" w:rsidR="00BC3A3A" w:rsidRPr="00750BAE" w:rsidRDefault="00BC3A3A">
            <w:pPr>
              <w:pStyle w:val="TableParagraph"/>
              <w:spacing w:before="2" w:line="252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Vrlo često</w:t>
            </w:r>
          </w:p>
        </w:tc>
      </w:tr>
      <w:tr w:rsidR="00BC3A3A" w:rsidRPr="00750BAE" w14:paraId="14265AB6" w14:textId="77777777" w:rsidTr="00BC3A3A">
        <w:trPr>
          <w:trHeight w:hRule="exact" w:val="264"/>
        </w:trPr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595D0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11B76" w14:textId="77777777" w:rsidR="00BC3A3A" w:rsidRPr="00750BAE" w:rsidRDefault="00BC3A3A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Mučnina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761F9" w14:textId="77777777" w:rsidR="00BC3A3A" w:rsidRPr="00750BAE" w:rsidRDefault="00BC3A3A">
            <w:pPr>
              <w:pStyle w:val="TableParagraph"/>
              <w:spacing w:before="2" w:line="252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Vrlo često</w:t>
            </w:r>
          </w:p>
        </w:tc>
      </w:tr>
      <w:tr w:rsidR="00BC3A3A" w:rsidRPr="00750BAE" w14:paraId="5D30E1C1" w14:textId="77777777" w:rsidTr="00BC3A3A">
        <w:trPr>
          <w:trHeight w:hRule="exact" w:val="264"/>
        </w:trPr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2B603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D45EA" w14:textId="3F0B10D1" w:rsidR="00BC3A3A" w:rsidRPr="00750BAE" w:rsidRDefault="00BC3A3A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Bol u gornjem d</w:t>
            </w:r>
            <w:r w:rsidR="00E44A7F" w:rsidRPr="00750BAE">
              <w:rPr>
                <w:rFonts w:ascii="Times New Roman" w:hAnsi="Times New Roman" w:cs="Times New Roman"/>
                <w:lang w:val="sr-Latn-RS"/>
              </w:rPr>
              <w:t>ij</w:t>
            </w:r>
            <w:r w:rsidRPr="00750BAE">
              <w:rPr>
                <w:rFonts w:ascii="Times New Roman" w:hAnsi="Times New Roman" w:cs="Times New Roman"/>
                <w:lang w:val="sr-Latn-RS"/>
              </w:rPr>
              <w:t>elu abdomena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FFE05" w14:textId="77777777" w:rsidR="00BC3A3A" w:rsidRPr="00750BAE" w:rsidRDefault="00BC3A3A">
            <w:pPr>
              <w:pStyle w:val="TableParagraph"/>
              <w:spacing w:before="2" w:line="252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Vrlo često</w:t>
            </w:r>
          </w:p>
        </w:tc>
      </w:tr>
      <w:tr w:rsidR="00BC3A3A" w:rsidRPr="00750BAE" w14:paraId="21CF0D30" w14:textId="77777777" w:rsidTr="00BC3A3A">
        <w:trPr>
          <w:trHeight w:hRule="exact" w:val="259"/>
        </w:trPr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17E15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EC4B8" w14:textId="77777777" w:rsidR="00BC3A3A" w:rsidRPr="00750BAE" w:rsidRDefault="00BC3A3A">
            <w:pPr>
              <w:pStyle w:val="TableParagraph"/>
              <w:spacing w:line="250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Bol u abdomenu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D9F8E" w14:textId="77777777" w:rsidR="00BC3A3A" w:rsidRPr="00750BAE" w:rsidRDefault="00BC3A3A">
            <w:pPr>
              <w:pStyle w:val="TableParagraph"/>
              <w:spacing w:line="250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Vrlo često</w:t>
            </w:r>
          </w:p>
        </w:tc>
      </w:tr>
      <w:tr w:rsidR="00BC3A3A" w:rsidRPr="00750BAE" w14:paraId="0A0E4F6C" w14:textId="77777777" w:rsidTr="00BC3A3A">
        <w:trPr>
          <w:trHeight w:hRule="exact" w:val="264"/>
        </w:trPr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9B4EB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E63FB" w14:textId="77777777" w:rsidR="00BC3A3A" w:rsidRPr="00750BAE" w:rsidRDefault="00BC3A3A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Povraćanje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E480A" w14:textId="77777777" w:rsidR="00BC3A3A" w:rsidRPr="00750BAE" w:rsidRDefault="00BC3A3A">
            <w:pPr>
              <w:pStyle w:val="TableParagraph"/>
              <w:spacing w:before="2" w:line="252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Često</w:t>
            </w:r>
          </w:p>
        </w:tc>
      </w:tr>
      <w:tr w:rsidR="00BC3A3A" w:rsidRPr="00750BAE" w14:paraId="2431B6FF" w14:textId="77777777" w:rsidTr="00BC3A3A">
        <w:trPr>
          <w:trHeight w:hRule="exact" w:val="264"/>
        </w:trPr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9A704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93AEB" w14:textId="77777777" w:rsidR="00BC3A3A" w:rsidRPr="00750BAE" w:rsidRDefault="00BC3A3A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Dispepsija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60384" w14:textId="77777777" w:rsidR="00BC3A3A" w:rsidRPr="00750BAE" w:rsidRDefault="00BC3A3A">
            <w:pPr>
              <w:pStyle w:val="TableParagraph"/>
              <w:spacing w:before="2" w:line="252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Često</w:t>
            </w:r>
          </w:p>
        </w:tc>
      </w:tr>
      <w:tr w:rsidR="00BC3A3A" w:rsidRPr="00750BAE" w14:paraId="1611A893" w14:textId="77777777" w:rsidTr="00BC3A3A">
        <w:trPr>
          <w:trHeight w:hRule="exact" w:val="264"/>
        </w:trPr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61886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795E2" w14:textId="77777777" w:rsidR="00BC3A3A" w:rsidRPr="00750BAE" w:rsidRDefault="00BC3A3A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Gastritis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DEAB2" w14:textId="77777777" w:rsidR="00BC3A3A" w:rsidRPr="00750BAE" w:rsidRDefault="00BC3A3A">
            <w:pPr>
              <w:pStyle w:val="TableParagraph"/>
              <w:spacing w:before="2" w:line="252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Često</w:t>
            </w:r>
          </w:p>
        </w:tc>
      </w:tr>
      <w:tr w:rsidR="00BC3A3A" w:rsidRPr="00750BAE" w14:paraId="3018B8F2" w14:textId="77777777" w:rsidTr="00BC3A3A">
        <w:trPr>
          <w:trHeight w:hRule="exact" w:val="259"/>
        </w:trPr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CD72F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8005D" w14:textId="77777777" w:rsidR="00BC3A3A" w:rsidRPr="00750BAE" w:rsidRDefault="00BC3A3A">
            <w:pPr>
              <w:pStyle w:val="TableParagraph"/>
              <w:spacing w:line="250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Gastrointestinalni poremećaj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2C4E8" w14:textId="77777777" w:rsidR="00BC3A3A" w:rsidRPr="00750BAE" w:rsidRDefault="00BC3A3A">
            <w:pPr>
              <w:pStyle w:val="TableParagraph"/>
              <w:spacing w:line="250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Često</w:t>
            </w:r>
          </w:p>
        </w:tc>
      </w:tr>
      <w:tr w:rsidR="00BC3A3A" w:rsidRPr="00750BAE" w14:paraId="6967A706" w14:textId="77777777" w:rsidTr="00BC3A3A">
        <w:trPr>
          <w:trHeight w:hRule="exact" w:val="518"/>
        </w:trPr>
        <w:tc>
          <w:tcPr>
            <w:tcW w:w="3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BEC63" w14:textId="77777777" w:rsidR="00BC3A3A" w:rsidRPr="00750BAE" w:rsidRDefault="00BC3A3A">
            <w:pPr>
              <w:pStyle w:val="TableParagraph"/>
              <w:spacing w:before="2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Hepatobilijarni poremećaji</w:t>
            </w: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86EF4" w14:textId="77777777" w:rsidR="00BC3A3A" w:rsidRPr="00750BAE" w:rsidRDefault="00BC3A3A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Povišena aspartat aminotransferaza</w:t>
            </w:r>
            <w:r w:rsidRPr="00750BAE">
              <w:rPr>
                <w:rFonts w:ascii="Times New Roman" w:hAnsi="Times New Roman" w:cs="Times New Roman"/>
                <w:vertAlign w:val="superscript"/>
                <w:lang w:val="sr-Latn-RS"/>
              </w:rPr>
              <w:t>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54A13" w14:textId="77777777" w:rsidR="00BC3A3A" w:rsidRPr="00750BAE" w:rsidRDefault="00BC3A3A">
            <w:pPr>
              <w:pStyle w:val="TableParagraph"/>
              <w:spacing w:before="132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Često</w:t>
            </w:r>
          </w:p>
        </w:tc>
      </w:tr>
      <w:tr w:rsidR="00BC3A3A" w:rsidRPr="00750BAE" w14:paraId="7616C60D" w14:textId="77777777" w:rsidTr="00BC3A3A">
        <w:trPr>
          <w:trHeight w:hRule="exact" w:val="264"/>
        </w:trPr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F6F37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A693F" w14:textId="77777777" w:rsidR="00BC3A3A" w:rsidRPr="00750BAE" w:rsidRDefault="00BC3A3A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Povišena alanin aminotransferaza</w:t>
            </w:r>
            <w:r w:rsidRPr="00750BAE">
              <w:rPr>
                <w:rFonts w:ascii="Times New Roman" w:hAnsi="Times New Roman" w:cs="Times New Roman"/>
                <w:vertAlign w:val="superscript"/>
                <w:lang w:val="sr-Latn-RS"/>
              </w:rPr>
              <w:t>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46EAD" w14:textId="77777777" w:rsidR="00BC3A3A" w:rsidRPr="00750BAE" w:rsidRDefault="00BC3A3A">
            <w:pPr>
              <w:pStyle w:val="TableParagraph"/>
              <w:spacing w:before="2" w:line="252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Često</w:t>
            </w:r>
          </w:p>
        </w:tc>
      </w:tr>
      <w:tr w:rsidR="00BC3A3A" w:rsidRPr="00750BAE" w14:paraId="479EBD66" w14:textId="77777777" w:rsidTr="00BC3A3A">
        <w:trPr>
          <w:trHeight w:hRule="exact" w:val="264"/>
        </w:trPr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8CD71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E5778" w14:textId="2F11A2AE" w:rsidR="00BC3A3A" w:rsidRPr="00750BAE" w:rsidRDefault="00BC3A3A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 xml:space="preserve">Oštećenje jetre izazvano </w:t>
            </w:r>
            <w:r w:rsidR="004A63C1" w:rsidRPr="00750BAE">
              <w:rPr>
                <w:rFonts w:ascii="Times New Roman" w:hAnsi="Times New Roman" w:cs="Times New Roman"/>
                <w:lang w:val="sr-Latn-RS"/>
              </w:rPr>
              <w:t>lijek</w:t>
            </w:r>
            <w:r w:rsidRPr="00750BAE">
              <w:rPr>
                <w:rFonts w:ascii="Times New Roman" w:hAnsi="Times New Roman" w:cs="Times New Roman"/>
                <w:lang w:val="sr-Latn-RS"/>
              </w:rPr>
              <w:t>om</w:t>
            </w:r>
            <w:r w:rsidRPr="002B3834">
              <w:rPr>
                <w:rFonts w:ascii="Times New Roman" w:hAnsi="Times New Roman" w:cs="Times New Roman"/>
                <w:vertAlign w:val="superscript"/>
                <w:lang w:val="sr-Latn-RS"/>
              </w:rPr>
              <w:t>2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E7441" w14:textId="77777777" w:rsidR="00BC3A3A" w:rsidRPr="00750BAE" w:rsidRDefault="00BC3A3A">
            <w:pPr>
              <w:pStyle w:val="TableParagraph"/>
              <w:spacing w:before="2" w:line="252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Nepoznato</w:t>
            </w:r>
          </w:p>
        </w:tc>
      </w:tr>
      <w:tr w:rsidR="00646EA3" w:rsidRPr="00750BAE" w14:paraId="2B2CE3FF" w14:textId="77777777" w:rsidTr="00FB463D">
        <w:trPr>
          <w:trHeight w:hRule="exact" w:val="259"/>
        </w:trPr>
        <w:tc>
          <w:tcPr>
            <w:tcW w:w="32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FD4DF74" w14:textId="77777777" w:rsidR="00646EA3" w:rsidRPr="00750BAE" w:rsidRDefault="00646EA3">
            <w:pPr>
              <w:pStyle w:val="TableParagraph"/>
              <w:ind w:left="104" w:right="566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Poremećaji kože i potkožnog tkiva</w:t>
            </w: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D201D" w14:textId="77777777" w:rsidR="00646EA3" w:rsidRPr="00750BAE" w:rsidRDefault="00646EA3">
            <w:pPr>
              <w:pStyle w:val="TableParagraph"/>
              <w:spacing w:line="250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Pruritus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5AA24" w14:textId="77777777" w:rsidR="00646EA3" w:rsidRPr="00750BAE" w:rsidRDefault="00646EA3">
            <w:pPr>
              <w:pStyle w:val="TableParagraph"/>
              <w:spacing w:line="250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Često</w:t>
            </w:r>
          </w:p>
        </w:tc>
      </w:tr>
      <w:tr w:rsidR="00646EA3" w:rsidRPr="00750BAE" w14:paraId="17CEBF12" w14:textId="77777777" w:rsidTr="00FB463D">
        <w:trPr>
          <w:trHeight w:hRule="exact" w:val="264"/>
        </w:trPr>
        <w:tc>
          <w:tcPr>
            <w:tcW w:w="326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4337AF6" w14:textId="77777777" w:rsidR="00646EA3" w:rsidRPr="00750BAE" w:rsidRDefault="00646EA3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11A96" w14:textId="77777777" w:rsidR="00646EA3" w:rsidRPr="00750BAE" w:rsidRDefault="00646EA3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Osip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5EA00" w14:textId="77777777" w:rsidR="00646EA3" w:rsidRPr="00750BAE" w:rsidRDefault="00646EA3">
            <w:pPr>
              <w:pStyle w:val="TableParagraph"/>
              <w:spacing w:before="2" w:line="252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Često</w:t>
            </w:r>
          </w:p>
        </w:tc>
      </w:tr>
      <w:tr w:rsidR="00646EA3" w:rsidRPr="00750BAE" w14:paraId="67C91C66" w14:textId="77777777" w:rsidTr="00FB463D">
        <w:trPr>
          <w:trHeight w:hRule="exact" w:val="264"/>
        </w:trPr>
        <w:tc>
          <w:tcPr>
            <w:tcW w:w="326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184CA70" w14:textId="77777777" w:rsidR="00646EA3" w:rsidRPr="00750BAE" w:rsidRDefault="00646EA3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70DAC" w14:textId="77777777" w:rsidR="00646EA3" w:rsidRPr="00750BAE" w:rsidRDefault="00646EA3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Eritem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43103" w14:textId="77777777" w:rsidR="00646EA3" w:rsidRPr="00750BAE" w:rsidRDefault="00646EA3">
            <w:pPr>
              <w:pStyle w:val="TableParagraph"/>
              <w:spacing w:before="2" w:line="252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Često</w:t>
            </w:r>
          </w:p>
        </w:tc>
      </w:tr>
      <w:tr w:rsidR="00646EA3" w:rsidRPr="00750BAE" w14:paraId="3D7FCB41" w14:textId="77777777" w:rsidTr="00FB463D">
        <w:trPr>
          <w:trHeight w:hRule="exact" w:val="264"/>
        </w:trPr>
        <w:tc>
          <w:tcPr>
            <w:tcW w:w="32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6E7BC" w14:textId="77777777" w:rsidR="00646EA3" w:rsidRPr="00750BAE" w:rsidRDefault="00646EA3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525E3" w14:textId="07DE0EC7" w:rsidR="00646EA3" w:rsidRPr="00750BAE" w:rsidRDefault="00646EA3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Alopecija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B426B" w14:textId="40304153" w:rsidR="00646EA3" w:rsidRPr="00750BAE" w:rsidRDefault="00646EA3">
            <w:pPr>
              <w:pStyle w:val="TableParagraph"/>
              <w:spacing w:before="2" w:line="252" w:lineRule="exact"/>
              <w:ind w:left="99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Često</w:t>
            </w:r>
          </w:p>
        </w:tc>
      </w:tr>
      <w:tr w:rsidR="00BC3A3A" w:rsidRPr="00750BAE" w14:paraId="246CFF2F" w14:textId="77777777" w:rsidTr="002B3834">
        <w:trPr>
          <w:trHeight w:hRule="exact" w:val="740"/>
        </w:trPr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36CDE" w14:textId="77777777" w:rsidR="00BC3A3A" w:rsidRPr="00750BAE" w:rsidRDefault="00BC3A3A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lastRenderedPageBreak/>
              <w:t>Poremećaji bubrega i urinarnog sistema</w:t>
            </w: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44523" w14:textId="77777777" w:rsidR="00BC3A3A" w:rsidRPr="00750BAE" w:rsidRDefault="00BC3A3A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Proteinurija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D03F0" w14:textId="77777777" w:rsidR="00BC3A3A" w:rsidRPr="00750BAE" w:rsidRDefault="00BC3A3A">
            <w:pPr>
              <w:pStyle w:val="TableParagraph"/>
              <w:spacing w:before="2" w:line="252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Često</w:t>
            </w:r>
          </w:p>
        </w:tc>
      </w:tr>
      <w:tr w:rsidR="00BC3A3A" w:rsidRPr="00750BAE" w14:paraId="5704C1A8" w14:textId="77777777" w:rsidTr="00BC3A3A">
        <w:trPr>
          <w:trHeight w:hRule="exact" w:val="514"/>
        </w:trPr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669CC" w14:textId="6CD2BF3C" w:rsidR="00BC3A3A" w:rsidRPr="00750BAE" w:rsidRDefault="00BC3A3A">
            <w:pPr>
              <w:pStyle w:val="TableParagraph"/>
              <w:ind w:left="104" w:right="53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Opšti poremećaji i stanja na m</w:t>
            </w:r>
            <w:r w:rsidR="00E44A7F" w:rsidRPr="00750BAE">
              <w:rPr>
                <w:rFonts w:ascii="Times New Roman" w:hAnsi="Times New Roman" w:cs="Times New Roman"/>
                <w:lang w:val="sr-Latn-RS"/>
              </w:rPr>
              <w:t>j</w:t>
            </w:r>
            <w:r w:rsidRPr="00750BAE">
              <w:rPr>
                <w:rFonts w:ascii="Times New Roman" w:hAnsi="Times New Roman" w:cs="Times New Roman"/>
                <w:lang w:val="sr-Latn-RS"/>
              </w:rPr>
              <w:t xml:space="preserve">estu </w:t>
            </w:r>
            <w:r w:rsidR="004A63C1" w:rsidRPr="00750BAE">
              <w:rPr>
                <w:rFonts w:ascii="Times New Roman" w:hAnsi="Times New Roman" w:cs="Times New Roman"/>
                <w:lang w:val="sr-Latn-RS"/>
              </w:rPr>
              <w:t>primjene</w:t>
            </w: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561AB" w14:textId="2690F792" w:rsidR="00BC3A3A" w:rsidRPr="00750BAE" w:rsidRDefault="00BC3A3A">
            <w:pPr>
              <w:pStyle w:val="TableParagraph"/>
              <w:spacing w:before="127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Os</w:t>
            </w:r>
            <w:r w:rsidR="00E44A7F" w:rsidRPr="00750BAE">
              <w:rPr>
                <w:rFonts w:ascii="Times New Roman" w:hAnsi="Times New Roman" w:cs="Times New Roman"/>
                <w:lang w:val="sr-Latn-RS"/>
              </w:rPr>
              <w:t>j</w:t>
            </w:r>
            <w:r w:rsidRPr="00750BAE">
              <w:rPr>
                <w:rFonts w:ascii="Times New Roman" w:hAnsi="Times New Roman" w:cs="Times New Roman"/>
                <w:lang w:val="sr-Latn-RS"/>
              </w:rPr>
              <w:t>ećaj vrućine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0BD8F" w14:textId="77777777" w:rsidR="00BC3A3A" w:rsidRPr="00750BAE" w:rsidRDefault="00BC3A3A">
            <w:pPr>
              <w:pStyle w:val="TableParagraph"/>
              <w:spacing w:before="127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Često</w:t>
            </w:r>
          </w:p>
        </w:tc>
      </w:tr>
      <w:tr w:rsidR="00BC3A3A" w:rsidRPr="00750BAE" w14:paraId="4D4CFE97" w14:textId="77777777" w:rsidTr="00BC3A3A">
        <w:trPr>
          <w:trHeight w:hRule="exact" w:val="264"/>
        </w:trPr>
        <w:tc>
          <w:tcPr>
            <w:tcW w:w="3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63866" w14:textId="37C23B32" w:rsidR="00BC3A3A" w:rsidRPr="00750BAE" w:rsidRDefault="00811CCE">
            <w:pPr>
              <w:pStyle w:val="TableParagraph"/>
              <w:spacing w:line="256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Ispitivanja</w:t>
            </w: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E903F" w14:textId="2276671F" w:rsidR="00BC3A3A" w:rsidRPr="00750BAE" w:rsidRDefault="00BC3A3A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Ketoni m</w:t>
            </w:r>
            <w:r w:rsidR="00E44A7F" w:rsidRPr="00750BAE">
              <w:rPr>
                <w:rFonts w:ascii="Times New Roman" w:hAnsi="Times New Roman" w:cs="Times New Roman"/>
                <w:lang w:val="sr-Latn-RS"/>
              </w:rPr>
              <w:t>j</w:t>
            </w:r>
            <w:r w:rsidRPr="00750BAE">
              <w:rPr>
                <w:rFonts w:ascii="Times New Roman" w:hAnsi="Times New Roman" w:cs="Times New Roman"/>
                <w:lang w:val="sr-Latn-RS"/>
              </w:rPr>
              <w:t>ereni u urinu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0B002" w14:textId="77777777" w:rsidR="00BC3A3A" w:rsidRPr="00750BAE" w:rsidRDefault="00BC3A3A">
            <w:pPr>
              <w:pStyle w:val="TableParagraph"/>
              <w:spacing w:before="2" w:line="252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Vrlo često</w:t>
            </w:r>
          </w:p>
        </w:tc>
      </w:tr>
      <w:tr w:rsidR="00BC3A3A" w:rsidRPr="00750BAE" w14:paraId="29EADC00" w14:textId="77777777" w:rsidTr="00BC3A3A">
        <w:trPr>
          <w:trHeight w:hRule="exact" w:val="264"/>
        </w:trPr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FB3BC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EF4B6" w14:textId="77777777" w:rsidR="00BC3A3A" w:rsidRPr="00750BAE" w:rsidRDefault="00BC3A3A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Prisustvo albumina u urinu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EB38C" w14:textId="77777777" w:rsidR="00BC3A3A" w:rsidRPr="00750BAE" w:rsidRDefault="00BC3A3A">
            <w:pPr>
              <w:pStyle w:val="TableParagraph"/>
              <w:spacing w:before="2" w:line="252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Često</w:t>
            </w:r>
          </w:p>
        </w:tc>
      </w:tr>
      <w:tr w:rsidR="00BC3A3A" w:rsidRPr="00750BAE" w14:paraId="09DA0E50" w14:textId="77777777" w:rsidTr="00BC3A3A">
        <w:trPr>
          <w:trHeight w:hRule="exact" w:val="264"/>
        </w:trPr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6B32F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4DAFB" w14:textId="4AE43C9F" w:rsidR="00BC3A3A" w:rsidRPr="00750BAE" w:rsidRDefault="00BC3A3A" w:rsidP="008735CF">
            <w:pPr>
              <w:pStyle w:val="TableParagraph"/>
              <w:spacing w:before="2" w:line="252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Snižen broj b</w:t>
            </w:r>
            <w:r w:rsidR="00E44A7F" w:rsidRPr="00750BAE">
              <w:rPr>
                <w:rFonts w:ascii="Times New Roman" w:hAnsi="Times New Roman" w:cs="Times New Roman"/>
                <w:lang w:val="sr-Latn-RS"/>
              </w:rPr>
              <w:t>ij</w:t>
            </w:r>
            <w:r w:rsidRPr="00750BAE">
              <w:rPr>
                <w:rFonts w:ascii="Times New Roman" w:hAnsi="Times New Roman" w:cs="Times New Roman"/>
                <w:lang w:val="sr-Latn-RS"/>
              </w:rPr>
              <w:t xml:space="preserve">elih krvnih </w:t>
            </w:r>
            <w:r w:rsidR="00811CCE">
              <w:rPr>
                <w:rFonts w:ascii="Times New Roman" w:hAnsi="Times New Roman" w:cs="Times New Roman"/>
                <w:lang w:val="sr-Latn-RS"/>
              </w:rPr>
              <w:t>ćelija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19EE9" w14:textId="77777777" w:rsidR="00BC3A3A" w:rsidRPr="00750BAE" w:rsidRDefault="00BC3A3A">
            <w:pPr>
              <w:pStyle w:val="TableParagraph"/>
              <w:spacing w:before="2" w:line="252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Često</w:t>
            </w:r>
          </w:p>
        </w:tc>
      </w:tr>
    </w:tbl>
    <w:p w14:paraId="4A95ED58" w14:textId="0C14DEAC" w:rsidR="00BC3A3A" w:rsidRPr="00750BAE" w:rsidRDefault="00BC3A3A" w:rsidP="000C092A">
      <w:pPr>
        <w:pStyle w:val="BodyText"/>
        <w:tabs>
          <w:tab w:val="left" w:pos="399"/>
        </w:tabs>
        <w:spacing w:line="244" w:lineRule="exact"/>
        <w:ind w:right="141"/>
        <w:jc w:val="both"/>
        <w:rPr>
          <w:rFonts w:cs="Times New Roman"/>
          <w:lang w:val="sr-Latn-RS"/>
        </w:rPr>
      </w:pPr>
      <w:r w:rsidRPr="008246C8">
        <w:rPr>
          <w:rFonts w:cs="Times New Roman"/>
          <w:vertAlign w:val="superscript"/>
          <w:lang w:val="sr-Latn-RS"/>
        </w:rPr>
        <w:t>1</w:t>
      </w:r>
      <w:r w:rsidRPr="00750BAE">
        <w:rPr>
          <w:rFonts w:cs="Times New Roman"/>
          <w:lang w:val="sr-Latn-RS"/>
        </w:rPr>
        <w:tab/>
        <w:t xml:space="preserve">Za više informacija 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„Opis odabranih neželjenih reakcija“</w:t>
      </w:r>
    </w:p>
    <w:p w14:paraId="74BF23C7" w14:textId="62617154" w:rsidR="00BC3A3A" w:rsidRPr="00750BAE" w:rsidRDefault="00646EA3" w:rsidP="00BC3A3A">
      <w:pPr>
        <w:pStyle w:val="BodyText"/>
        <w:tabs>
          <w:tab w:val="left" w:pos="399"/>
        </w:tabs>
        <w:spacing w:before="60"/>
        <w:ind w:left="399" w:right="1118" w:hanging="284"/>
        <w:jc w:val="both"/>
        <w:rPr>
          <w:rFonts w:cs="Times New Roman"/>
          <w:lang w:val="sr-Latn-RS"/>
        </w:rPr>
      </w:pPr>
      <w:r w:rsidRPr="008246C8">
        <w:rPr>
          <w:rFonts w:cs="Times New Roman"/>
          <w:vertAlign w:val="superscript"/>
          <w:lang w:val="sr-Latn-RS"/>
        </w:rPr>
        <w:t>2</w:t>
      </w:r>
      <w:r w:rsidR="00BC3A3A" w:rsidRPr="00750BAE">
        <w:rPr>
          <w:rFonts w:cs="Times New Roman"/>
          <w:lang w:val="sr-Latn-RS"/>
        </w:rPr>
        <w:tab/>
        <w:t xml:space="preserve">Limfopenija je u nekontrolisanom, otvorenom ispitivanju faze 3 sa </w:t>
      </w:r>
      <w:r w:rsidR="005A3B91">
        <w:rPr>
          <w:rFonts w:cs="Times New Roman"/>
          <w:lang w:val="sr-Latn-RS"/>
        </w:rPr>
        <w:t>diroksimel fumarat</w:t>
      </w:r>
      <w:r w:rsidR="00BC3A3A" w:rsidRPr="00750BAE">
        <w:rPr>
          <w:rFonts w:cs="Times New Roman"/>
          <w:lang w:val="sr-Latn-RS"/>
        </w:rPr>
        <w:t>om prijavljena s učestalošću „vrlo često“</w:t>
      </w:r>
    </w:p>
    <w:p w14:paraId="63CC8F30" w14:textId="77777777" w:rsidR="00BC3A3A" w:rsidRPr="00750BAE" w:rsidRDefault="00BC3A3A" w:rsidP="00BC3A3A">
      <w:pPr>
        <w:pStyle w:val="BodyText"/>
        <w:ind w:right="155"/>
        <w:jc w:val="both"/>
        <w:rPr>
          <w:rFonts w:cs="Times New Roman"/>
          <w:lang w:val="sr-Latn-RS"/>
        </w:rPr>
      </w:pPr>
    </w:p>
    <w:p w14:paraId="3237439C" w14:textId="6BCFD1AE" w:rsidR="00B9775A" w:rsidRPr="00B9775A" w:rsidRDefault="00BC3A3A" w:rsidP="00B9775A">
      <w:pPr>
        <w:pStyle w:val="BodyText"/>
        <w:ind w:left="116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>Opis odabranih neželjenih reakcija</w:t>
      </w:r>
      <w:r w:rsidR="001A19F4">
        <w:rPr>
          <w:i/>
          <w:iCs/>
          <w:lang w:val="sr-Latn-RS"/>
        </w:rPr>
        <w:t xml:space="preserve">   </w:t>
      </w:r>
    </w:p>
    <w:p w14:paraId="45325C62" w14:textId="2BF6B2D4" w:rsidR="00BC3A3A" w:rsidRPr="00750BAE" w:rsidRDefault="00BC3A3A" w:rsidP="002B3834">
      <w:pPr>
        <w:spacing w:before="72"/>
        <w:ind w:right="141"/>
        <w:rPr>
          <w:sz w:val="22"/>
          <w:szCs w:val="22"/>
          <w:lang w:val="sr-Latn-RS"/>
        </w:rPr>
      </w:pPr>
      <w:r w:rsidRPr="00750BAE">
        <w:rPr>
          <w:i/>
          <w:iCs/>
          <w:sz w:val="22"/>
          <w:szCs w:val="22"/>
          <w:lang w:val="sr-Latn-RS"/>
        </w:rPr>
        <w:t>Nalet crvenil</w:t>
      </w:r>
      <w:r w:rsidR="00811CCE">
        <w:rPr>
          <w:i/>
          <w:iCs/>
          <w:sz w:val="22"/>
          <w:szCs w:val="22"/>
          <w:lang w:val="sr-Latn-RS"/>
        </w:rPr>
        <w:t>a</w:t>
      </w:r>
    </w:p>
    <w:p w14:paraId="380EE8A1" w14:textId="77777777" w:rsidR="00BC3A3A" w:rsidRPr="00750BAE" w:rsidRDefault="00BC3A3A" w:rsidP="00BC3A3A">
      <w:pPr>
        <w:spacing w:before="3"/>
        <w:rPr>
          <w:i/>
          <w:sz w:val="22"/>
          <w:szCs w:val="22"/>
          <w:lang w:val="sr-Latn-RS"/>
        </w:rPr>
      </w:pPr>
    </w:p>
    <w:p w14:paraId="2EFF434E" w14:textId="30D6FF47" w:rsidR="00BC3A3A" w:rsidRPr="00750BAE" w:rsidRDefault="00BC3A3A" w:rsidP="00BC3A3A">
      <w:pPr>
        <w:pStyle w:val="BodyText"/>
        <w:ind w:right="167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U placebom kontrolisanim ispitivanjima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fumarata, incidenca naleta</w:t>
      </w:r>
      <w:r w:rsidR="00811CC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crvenila (34% u odnosu na 5%) i naleta </w:t>
      </w:r>
      <w:r w:rsidR="00811CCE">
        <w:rPr>
          <w:rFonts w:cs="Times New Roman"/>
          <w:lang w:val="sr-Latn-RS"/>
        </w:rPr>
        <w:t>vrućine</w:t>
      </w:r>
      <w:r w:rsidR="00811CCE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(7% u odnosu na 2%) bila je veća kod pacijenata </w:t>
      </w:r>
      <w:r w:rsidR="00A83B47" w:rsidRPr="00750BAE">
        <w:rPr>
          <w:rFonts w:cs="Times New Roman"/>
          <w:lang w:val="sr-Latn-RS"/>
        </w:rPr>
        <w:t>liječenih</w:t>
      </w:r>
      <w:r w:rsidRPr="00750BAE">
        <w:rPr>
          <w:rFonts w:cs="Times New Roman"/>
          <w:lang w:val="sr-Latn-RS"/>
        </w:rPr>
        <w:t xml:space="preserve">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fumaratom u dozi od 240 mg dvaput na dan nego kod onih koji su primali placebo. Naleti crvenila obično su opisani kao naleti vrućine ili crvenila, ali mogu da uključuju i druge </w:t>
      </w:r>
      <w:r w:rsidR="00A83B47" w:rsidRPr="00750BAE">
        <w:rPr>
          <w:rFonts w:cs="Times New Roman"/>
          <w:lang w:val="sr-Latn-RS"/>
        </w:rPr>
        <w:t>promjen</w:t>
      </w:r>
      <w:r w:rsidRPr="00750BAE">
        <w:rPr>
          <w:rFonts w:cs="Times New Roman"/>
          <w:lang w:val="sr-Latn-RS"/>
        </w:rPr>
        <w:t>e (npr. toplotu, crvenilo, svrab i os</w:t>
      </w:r>
      <w:r w:rsidR="00E44A7F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 xml:space="preserve">ećaj žarenja). Događaji naleta </w:t>
      </w:r>
      <w:r w:rsidR="00811CCE">
        <w:rPr>
          <w:rFonts w:cs="Times New Roman"/>
          <w:lang w:val="sr-Latn-RS"/>
        </w:rPr>
        <w:t>crvenila</w:t>
      </w:r>
      <w:r w:rsidRPr="00750BAE">
        <w:rPr>
          <w:rFonts w:cs="Times New Roman"/>
          <w:lang w:val="sr-Latn-RS"/>
        </w:rPr>
        <w:t xml:space="preserve"> obično se pojave rano u toku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 xml:space="preserve">a (uglavnom u prvom </w:t>
      </w:r>
      <w:r w:rsidR="006D0DCA" w:rsidRPr="00750BAE">
        <w:rPr>
          <w:rFonts w:cs="Times New Roman"/>
          <w:lang w:val="sr-Latn-RS"/>
        </w:rPr>
        <w:t>mjesec</w:t>
      </w:r>
      <w:r w:rsidRPr="00750BAE">
        <w:rPr>
          <w:rFonts w:cs="Times New Roman"/>
          <w:lang w:val="sr-Latn-RS"/>
        </w:rPr>
        <w:t xml:space="preserve">u), a kod pacijenata kod kojih se pojave, ti događaji se mogu nastaviti ponavljati na mahove tokom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>a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fumaratom. Kod većine takvih pacijenata, događaji naleta crvenila bili su blage ili </w:t>
      </w:r>
      <w:r w:rsidR="00B53AD3" w:rsidRPr="00750BAE">
        <w:rPr>
          <w:rFonts w:cs="Times New Roman"/>
          <w:lang w:val="sr-Latn-RS"/>
        </w:rPr>
        <w:t>umjeren</w:t>
      </w:r>
      <w:r w:rsidRPr="00750BAE">
        <w:rPr>
          <w:rFonts w:cs="Times New Roman"/>
          <w:lang w:val="sr-Latn-RS"/>
        </w:rPr>
        <w:t xml:space="preserve">e težine. Sveukupno 3% pacijenata </w:t>
      </w:r>
      <w:r w:rsidR="00A83B47" w:rsidRPr="00750BAE">
        <w:rPr>
          <w:rFonts w:cs="Times New Roman"/>
          <w:lang w:val="sr-Latn-RS"/>
        </w:rPr>
        <w:t>liječenih</w:t>
      </w:r>
      <w:r w:rsidRPr="00750BAE">
        <w:rPr>
          <w:rFonts w:cs="Times New Roman"/>
          <w:lang w:val="sr-Latn-RS"/>
        </w:rPr>
        <w:t xml:space="preserve"> dimetil fumaratom prekinulo je </w:t>
      </w:r>
      <w:r w:rsidR="0069098C" w:rsidRPr="00750BAE">
        <w:rPr>
          <w:rFonts w:cs="Times New Roman"/>
          <w:lang w:val="sr-Latn-RS"/>
        </w:rPr>
        <w:t>liječenje</w:t>
      </w:r>
      <w:r w:rsidRPr="00750BAE">
        <w:rPr>
          <w:rFonts w:cs="Times New Roman"/>
          <w:lang w:val="sr-Latn-RS"/>
        </w:rPr>
        <w:t xml:space="preserve"> zbog naleta </w:t>
      </w:r>
      <w:r w:rsidR="00811CCE">
        <w:rPr>
          <w:rFonts w:cs="Times New Roman"/>
          <w:lang w:val="sr-Latn-RS"/>
        </w:rPr>
        <w:t>crvenila</w:t>
      </w:r>
      <w:r w:rsidRPr="00750BAE">
        <w:rPr>
          <w:rFonts w:cs="Times New Roman"/>
          <w:lang w:val="sr-Latn-RS"/>
        </w:rPr>
        <w:t xml:space="preserve">. Incidenca ozbiljnih naleta crvenila, koji se mogu okarakterisati kao generalizovani eritem, osip i/ili pruritus, </w:t>
      </w:r>
      <w:r w:rsidR="00132BCB" w:rsidRPr="00750BAE">
        <w:rPr>
          <w:rFonts w:cs="Times New Roman"/>
          <w:lang w:val="sr-Latn-RS"/>
        </w:rPr>
        <w:t>zabilježen</w:t>
      </w:r>
      <w:r w:rsidRPr="00750BAE">
        <w:rPr>
          <w:rFonts w:cs="Times New Roman"/>
          <w:lang w:val="sr-Latn-RS"/>
        </w:rPr>
        <w:t xml:space="preserve">a je kod manje od 1% pacijenata </w:t>
      </w:r>
      <w:r w:rsidR="00A83B47" w:rsidRPr="00750BAE">
        <w:rPr>
          <w:rFonts w:cs="Times New Roman"/>
          <w:lang w:val="sr-Latn-RS"/>
        </w:rPr>
        <w:t>liječenih</w:t>
      </w:r>
      <w:r w:rsidRPr="00750BAE">
        <w:rPr>
          <w:rFonts w:cs="Times New Roman"/>
          <w:lang w:val="sr-Latn-RS"/>
        </w:rPr>
        <w:t xml:space="preserve">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fumaratom (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</w:t>
      </w:r>
      <w:r w:rsidR="001A19F4">
        <w:rPr>
          <w:rFonts w:cs="Times New Roman"/>
          <w:lang w:val="sr-Latn-RS"/>
        </w:rPr>
        <w:t>djelove</w:t>
      </w:r>
      <w:r w:rsidR="001A19F4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4.2, 4.4 i 4.5).</w:t>
      </w:r>
    </w:p>
    <w:p w14:paraId="11C5C082" w14:textId="1C187CCB" w:rsidR="00BC3A3A" w:rsidRPr="00750BAE" w:rsidRDefault="00E44A7F" w:rsidP="00E44A7F">
      <w:pPr>
        <w:tabs>
          <w:tab w:val="left" w:pos="1912"/>
        </w:tabs>
        <w:spacing w:before="9"/>
        <w:rPr>
          <w:sz w:val="22"/>
          <w:szCs w:val="22"/>
          <w:lang w:val="sr-Latn-RS"/>
        </w:rPr>
      </w:pPr>
      <w:r w:rsidRPr="00750BAE">
        <w:rPr>
          <w:sz w:val="22"/>
          <w:szCs w:val="22"/>
          <w:lang w:val="sr-Latn-RS"/>
        </w:rPr>
        <w:tab/>
      </w:r>
    </w:p>
    <w:p w14:paraId="6A770567" w14:textId="748E60CB" w:rsidR="00BC3A3A" w:rsidRPr="00750BAE" w:rsidRDefault="001A19F4" w:rsidP="002B3834">
      <w:pPr>
        <w:pStyle w:val="BodyText"/>
        <w:ind w:left="142" w:right="118"/>
        <w:jc w:val="both"/>
        <w:rPr>
          <w:rFonts w:cs="Times New Roman"/>
          <w:lang w:val="sr-Latn-RS"/>
        </w:rPr>
      </w:pPr>
      <w:r>
        <w:rPr>
          <w:rFonts w:cs="Times New Roman"/>
          <w:lang w:val="sr-Latn-RS"/>
        </w:rPr>
        <w:t xml:space="preserve"> </w:t>
      </w:r>
      <w:r w:rsidR="00BC3A3A" w:rsidRPr="00750BAE">
        <w:rPr>
          <w:rFonts w:cs="Times New Roman"/>
          <w:lang w:val="sr-Latn-RS"/>
        </w:rPr>
        <w:t xml:space="preserve">U dvostruko </w:t>
      </w:r>
      <w:r w:rsidR="00E44A7F" w:rsidRPr="00750BAE">
        <w:rPr>
          <w:rFonts w:cs="Times New Roman"/>
          <w:lang w:val="sr-Latn-RS"/>
        </w:rPr>
        <w:t>slijepom</w:t>
      </w:r>
      <w:r w:rsidR="00BC3A3A" w:rsidRPr="00750BAE">
        <w:rPr>
          <w:rFonts w:cs="Times New Roman"/>
          <w:lang w:val="sr-Latn-RS"/>
        </w:rPr>
        <w:t xml:space="preserve"> ispitivanju faze 3 sa </w:t>
      </w:r>
      <w:r w:rsidR="005A3B91">
        <w:rPr>
          <w:rFonts w:cs="Times New Roman"/>
          <w:lang w:val="sr-Latn-RS"/>
        </w:rPr>
        <w:t>diroksimel fumarat</w:t>
      </w:r>
      <w:r w:rsidR="00BC3A3A" w:rsidRPr="00750BAE">
        <w:rPr>
          <w:rFonts w:cs="Times New Roman"/>
          <w:lang w:val="sr-Latn-RS"/>
        </w:rPr>
        <w:t>om (</w:t>
      </w:r>
      <w:r w:rsidR="0069098C" w:rsidRPr="00750BAE">
        <w:rPr>
          <w:rFonts w:cs="Times New Roman"/>
          <w:lang w:val="sr-Latn-RS"/>
        </w:rPr>
        <w:t>vidjeti</w:t>
      </w:r>
      <w:r w:rsidR="00BC3A3A" w:rsidRPr="00750BAE">
        <w:rPr>
          <w:rFonts w:cs="Times New Roman"/>
          <w:lang w:val="sr-Latn-RS"/>
        </w:rPr>
        <w:t xml:space="preserve"> </w:t>
      </w:r>
      <w:r>
        <w:rPr>
          <w:rFonts w:cs="Times New Roman"/>
          <w:lang w:val="sr-Latn-RS"/>
        </w:rPr>
        <w:t>dio</w:t>
      </w:r>
      <w:r w:rsidRPr="00750BAE">
        <w:rPr>
          <w:rFonts w:cs="Times New Roman"/>
          <w:lang w:val="sr-Latn-RS"/>
        </w:rPr>
        <w:t xml:space="preserve"> </w:t>
      </w:r>
      <w:r w:rsidR="00BC3A3A" w:rsidRPr="00750BAE">
        <w:rPr>
          <w:rFonts w:cs="Times New Roman"/>
          <w:lang w:val="sr-Latn-RS"/>
        </w:rPr>
        <w:t xml:space="preserve">5.1), naleti crvenila i naleti </w:t>
      </w:r>
      <w:r>
        <w:rPr>
          <w:rFonts w:cs="Times New Roman"/>
          <w:lang w:val="sr-Latn-RS"/>
        </w:rPr>
        <w:t>vrućine</w:t>
      </w:r>
      <w:r w:rsidR="00BC3A3A" w:rsidRPr="00750BAE">
        <w:rPr>
          <w:rFonts w:cs="Times New Roman"/>
          <w:lang w:val="sr-Latn-RS"/>
        </w:rPr>
        <w:t xml:space="preserve"> </w:t>
      </w:r>
      <w:r w:rsidR="00132BCB" w:rsidRPr="00750BAE">
        <w:rPr>
          <w:rFonts w:cs="Times New Roman"/>
          <w:lang w:val="sr-Latn-RS"/>
        </w:rPr>
        <w:t>zabilježen</w:t>
      </w:r>
      <w:r w:rsidR="00BC3A3A" w:rsidRPr="00750BAE">
        <w:rPr>
          <w:rFonts w:cs="Times New Roman"/>
          <w:lang w:val="sr-Latn-RS"/>
        </w:rPr>
        <w:t xml:space="preserve">i su kod 32,8% odnosno 1,6% pacijenata </w:t>
      </w:r>
      <w:r w:rsidR="00A83B47" w:rsidRPr="00750BAE">
        <w:rPr>
          <w:rFonts w:cs="Times New Roman"/>
          <w:lang w:val="sr-Latn-RS"/>
        </w:rPr>
        <w:t>liječenih</w:t>
      </w:r>
      <w:r w:rsidR="00BC3A3A" w:rsidRPr="00750BAE">
        <w:rPr>
          <w:rFonts w:cs="Times New Roman"/>
          <w:lang w:val="sr-Latn-RS"/>
        </w:rPr>
        <w:t xml:space="preserve"> </w:t>
      </w:r>
      <w:r w:rsidR="005A3B91">
        <w:rPr>
          <w:rFonts w:cs="Times New Roman"/>
          <w:lang w:val="sr-Latn-RS"/>
        </w:rPr>
        <w:t>diroksimel fumarat</w:t>
      </w:r>
      <w:r w:rsidR="00BC3A3A" w:rsidRPr="00750BAE">
        <w:rPr>
          <w:rFonts w:cs="Times New Roman"/>
          <w:lang w:val="sr-Latn-RS"/>
        </w:rPr>
        <w:t xml:space="preserve">om, kao i kod 40,6% odnosno 0,8% pacijenata </w:t>
      </w:r>
      <w:r w:rsidR="00A83B47" w:rsidRPr="00750BAE">
        <w:rPr>
          <w:rFonts w:cs="Times New Roman"/>
          <w:lang w:val="sr-Latn-RS"/>
        </w:rPr>
        <w:t>liječenih</w:t>
      </w:r>
      <w:r w:rsidR="00BC3A3A" w:rsidRPr="00750BAE">
        <w:rPr>
          <w:rFonts w:cs="Times New Roman"/>
          <w:lang w:val="sr-Latn-RS"/>
        </w:rPr>
        <w:t xml:space="preserve"> dimetil fumaratom. Nije bilo ozbiljnih događaja naleta vrućine/crvenila ili prekida </w:t>
      </w:r>
      <w:r w:rsidR="0069098C" w:rsidRPr="00750BAE">
        <w:rPr>
          <w:rFonts w:cs="Times New Roman"/>
          <w:lang w:val="sr-Latn-RS"/>
        </w:rPr>
        <w:t>liječenj</w:t>
      </w:r>
      <w:r w:rsidR="00BC3A3A" w:rsidRPr="00750BAE">
        <w:rPr>
          <w:rFonts w:cs="Times New Roman"/>
          <w:lang w:val="sr-Latn-RS"/>
        </w:rPr>
        <w:t>a zbog naleta vrućine/crvenila.</w:t>
      </w:r>
    </w:p>
    <w:p w14:paraId="731739E0" w14:textId="77777777" w:rsidR="00BC3A3A" w:rsidRPr="00750BAE" w:rsidRDefault="00BC3A3A" w:rsidP="00BC3A3A">
      <w:pPr>
        <w:spacing w:before="9"/>
        <w:rPr>
          <w:sz w:val="22"/>
          <w:szCs w:val="22"/>
          <w:lang w:val="sr-Latn-RS"/>
        </w:rPr>
      </w:pPr>
    </w:p>
    <w:p w14:paraId="5D143112" w14:textId="77777777" w:rsidR="00BC3A3A" w:rsidRPr="00750BAE" w:rsidRDefault="00BC3A3A" w:rsidP="00BC3A3A">
      <w:pPr>
        <w:ind w:left="115" w:right="141"/>
        <w:rPr>
          <w:sz w:val="22"/>
          <w:szCs w:val="22"/>
          <w:lang w:val="sr-Latn-RS"/>
        </w:rPr>
      </w:pPr>
      <w:r w:rsidRPr="00750BAE">
        <w:rPr>
          <w:i/>
          <w:iCs/>
          <w:sz w:val="22"/>
          <w:szCs w:val="22"/>
          <w:lang w:val="sr-Latn-RS"/>
        </w:rPr>
        <w:t>Gastrointestinalne neželjene reakcije</w:t>
      </w:r>
    </w:p>
    <w:p w14:paraId="6AAB728D" w14:textId="77777777" w:rsidR="00BC3A3A" w:rsidRPr="00750BAE" w:rsidRDefault="00BC3A3A" w:rsidP="00BC3A3A">
      <w:pPr>
        <w:spacing w:before="3"/>
        <w:rPr>
          <w:i/>
          <w:sz w:val="22"/>
          <w:szCs w:val="22"/>
          <w:lang w:val="sr-Latn-RS"/>
        </w:rPr>
      </w:pPr>
    </w:p>
    <w:p w14:paraId="4E568475" w14:textId="31B29EEE" w:rsidR="00BC3A3A" w:rsidRPr="00750BAE" w:rsidRDefault="00BC3A3A" w:rsidP="00BC3A3A">
      <w:pPr>
        <w:pStyle w:val="BodyText"/>
        <w:spacing w:line="237" w:lineRule="auto"/>
        <w:ind w:right="25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Incidenca gastrointestinalnih događaja bila je veća kod pacijenata </w:t>
      </w:r>
      <w:r w:rsidR="00A83B47" w:rsidRPr="00750BAE">
        <w:rPr>
          <w:rFonts w:cs="Times New Roman"/>
          <w:lang w:val="sr-Latn-RS"/>
        </w:rPr>
        <w:t>liječenih</w:t>
      </w:r>
      <w:r w:rsidRPr="00750BAE">
        <w:rPr>
          <w:rFonts w:cs="Times New Roman"/>
          <w:lang w:val="sr-Latn-RS"/>
        </w:rPr>
        <w:t xml:space="preserve">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fumaratom nego kod onih koji su primali placebo (npr. proliv [14% u odnosu na 10%], mučnina [12% u odnosu na 9%], bol u gornjem</w:t>
      </w:r>
      <w:r w:rsidR="00E44A7F" w:rsidRPr="00750BAE">
        <w:rPr>
          <w:rFonts w:cs="Times New Roman"/>
          <w:lang w:val="sr-Latn-RS"/>
        </w:rPr>
        <w:t xml:space="preserve"> dijelu </w:t>
      </w:r>
      <w:r w:rsidRPr="00750BAE">
        <w:rPr>
          <w:rFonts w:cs="Times New Roman"/>
          <w:lang w:val="sr-Latn-RS"/>
        </w:rPr>
        <w:t xml:space="preserve">abdomena [10% u odnosu na 6%], bol u abdomenu [9% u odnosu na 4%], povraćanje [8% u odnosu na 5%] i dispepsija [5% u odnosu na 3%]).  Gastrointestinalni događaji obično se pojave rano u toku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 xml:space="preserve">a (uglavnom u prvom </w:t>
      </w:r>
      <w:r w:rsidR="006D0DCA" w:rsidRPr="00750BAE">
        <w:rPr>
          <w:rFonts w:cs="Times New Roman"/>
          <w:lang w:val="sr-Latn-RS"/>
        </w:rPr>
        <w:t>mjesec</w:t>
      </w:r>
      <w:r w:rsidRPr="00750BAE">
        <w:rPr>
          <w:rFonts w:cs="Times New Roman"/>
          <w:lang w:val="sr-Latn-RS"/>
        </w:rPr>
        <w:t xml:space="preserve">u), a kod pacijenata kod kojih se pojave, ti događaji se mogu nastaviti ponavljati na mahove tokom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 xml:space="preserve">a dimetil fumaratom. Kod većine pacijenata kod kojih su se pojavili, ti gastrointestinalni događaji su bili blage ili </w:t>
      </w:r>
      <w:r w:rsidR="00B53AD3" w:rsidRPr="00750BAE">
        <w:rPr>
          <w:rFonts w:cs="Times New Roman"/>
          <w:lang w:val="sr-Latn-RS"/>
        </w:rPr>
        <w:t>umjeren</w:t>
      </w:r>
      <w:r w:rsidRPr="00750BAE">
        <w:rPr>
          <w:rFonts w:cs="Times New Roman"/>
          <w:lang w:val="sr-Latn-RS"/>
        </w:rPr>
        <w:t xml:space="preserve">e težine. Četiri </w:t>
      </w:r>
      <w:r w:rsidR="00A83B47" w:rsidRPr="00750BAE">
        <w:rPr>
          <w:rFonts w:cs="Times New Roman"/>
          <w:lang w:val="sr-Latn-RS"/>
        </w:rPr>
        <w:t>procen</w:t>
      </w:r>
      <w:r w:rsidRPr="00750BAE">
        <w:rPr>
          <w:rFonts w:cs="Times New Roman"/>
          <w:lang w:val="sr-Latn-RS"/>
        </w:rPr>
        <w:t xml:space="preserve">ta (4%) pacijenata </w:t>
      </w:r>
      <w:r w:rsidR="00A83B47" w:rsidRPr="00750BAE">
        <w:rPr>
          <w:rFonts w:cs="Times New Roman"/>
          <w:lang w:val="sr-Latn-RS"/>
        </w:rPr>
        <w:t>liječenih</w:t>
      </w:r>
      <w:r w:rsidRPr="00750BAE">
        <w:rPr>
          <w:rFonts w:cs="Times New Roman"/>
          <w:lang w:val="sr-Latn-RS"/>
        </w:rPr>
        <w:t xml:space="preserve">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fumaratom prekinulo je </w:t>
      </w:r>
      <w:r w:rsidR="0069098C" w:rsidRPr="00750BAE">
        <w:rPr>
          <w:rFonts w:cs="Times New Roman"/>
          <w:lang w:val="sr-Latn-RS"/>
        </w:rPr>
        <w:t>liječenje</w:t>
      </w:r>
      <w:r w:rsidRPr="00750BAE">
        <w:rPr>
          <w:rFonts w:cs="Times New Roman"/>
          <w:lang w:val="sr-Latn-RS"/>
        </w:rPr>
        <w:t xml:space="preserve"> zbog gastrointestinalnih događaja. Incidenca ozbiljnih gastrointestinalnih događaja, uključujući gastroenteritis i gastritis, </w:t>
      </w:r>
      <w:r w:rsidR="00132BCB" w:rsidRPr="00750BAE">
        <w:rPr>
          <w:rFonts w:cs="Times New Roman"/>
          <w:lang w:val="sr-Latn-RS"/>
        </w:rPr>
        <w:t>zabilježen</w:t>
      </w:r>
      <w:r w:rsidRPr="00750BAE">
        <w:rPr>
          <w:rFonts w:cs="Times New Roman"/>
          <w:lang w:val="sr-Latn-RS"/>
        </w:rPr>
        <w:t xml:space="preserve">a je kod 1% pacijenata </w:t>
      </w:r>
      <w:r w:rsidR="00A83B47" w:rsidRPr="00750BAE">
        <w:rPr>
          <w:rFonts w:cs="Times New Roman"/>
          <w:lang w:val="sr-Latn-RS"/>
        </w:rPr>
        <w:t>liječenih</w:t>
      </w:r>
      <w:r w:rsidRPr="00750BAE">
        <w:rPr>
          <w:rFonts w:cs="Times New Roman"/>
          <w:lang w:val="sr-Latn-RS"/>
        </w:rPr>
        <w:t xml:space="preserve">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fumaratom (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</w:t>
      </w:r>
      <w:r w:rsidR="001A19F4">
        <w:rPr>
          <w:rFonts w:cs="Times New Roman"/>
          <w:lang w:val="sr-Latn-RS"/>
        </w:rPr>
        <w:t>dio</w:t>
      </w:r>
      <w:r w:rsidR="001A19F4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4.4).</w:t>
      </w:r>
    </w:p>
    <w:p w14:paraId="6824524B" w14:textId="77777777" w:rsidR="00BC3A3A" w:rsidRPr="00750BAE" w:rsidRDefault="00BC3A3A" w:rsidP="00BC3A3A">
      <w:pPr>
        <w:spacing w:before="9"/>
        <w:rPr>
          <w:sz w:val="22"/>
          <w:szCs w:val="22"/>
          <w:lang w:val="sr-Latn-RS"/>
        </w:rPr>
      </w:pPr>
    </w:p>
    <w:p w14:paraId="547606A0" w14:textId="6B18C461" w:rsidR="00BC3A3A" w:rsidRPr="00750BAE" w:rsidRDefault="00BC3A3A" w:rsidP="00BC3A3A">
      <w:pPr>
        <w:pStyle w:val="BodyText"/>
        <w:ind w:left="116" w:right="25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Gastrointestinalne neželjene reakcije prijavljene u kliničkom ispitivanju sa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>om i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fumaratom opisane su u </w:t>
      </w:r>
      <w:r w:rsidR="001A19F4">
        <w:rPr>
          <w:rFonts w:cs="Times New Roman"/>
          <w:lang w:val="sr-Latn-RS"/>
        </w:rPr>
        <w:t xml:space="preserve">dijelu </w:t>
      </w:r>
      <w:r w:rsidRPr="00750BAE">
        <w:rPr>
          <w:rFonts w:cs="Times New Roman"/>
          <w:lang w:val="sr-Latn-RS"/>
        </w:rPr>
        <w:t>5.1.</w:t>
      </w:r>
    </w:p>
    <w:p w14:paraId="4EE8F9DF" w14:textId="77777777" w:rsidR="00BC3A3A" w:rsidRPr="00750BAE" w:rsidRDefault="00BC3A3A" w:rsidP="00BC3A3A">
      <w:pPr>
        <w:spacing w:before="9"/>
        <w:rPr>
          <w:sz w:val="22"/>
          <w:szCs w:val="22"/>
          <w:lang w:val="sr-Latn-RS"/>
        </w:rPr>
      </w:pPr>
    </w:p>
    <w:p w14:paraId="5AC6C05E" w14:textId="77777777" w:rsidR="00BC3A3A" w:rsidRPr="00750BAE" w:rsidRDefault="00BC3A3A" w:rsidP="00BC3A3A">
      <w:pPr>
        <w:ind w:left="116"/>
        <w:rPr>
          <w:sz w:val="22"/>
          <w:szCs w:val="22"/>
          <w:lang w:val="sr-Latn-RS"/>
        </w:rPr>
      </w:pPr>
      <w:r w:rsidRPr="00750BAE">
        <w:rPr>
          <w:i/>
          <w:iCs/>
          <w:sz w:val="22"/>
          <w:szCs w:val="22"/>
          <w:lang w:val="sr-Latn-RS"/>
        </w:rPr>
        <w:t>Funkcija jetre</w:t>
      </w:r>
    </w:p>
    <w:p w14:paraId="15CEC69E" w14:textId="77777777" w:rsidR="00BC3A3A" w:rsidRPr="00750BAE" w:rsidRDefault="00BC3A3A" w:rsidP="00BC3A3A">
      <w:pPr>
        <w:spacing w:before="3"/>
        <w:rPr>
          <w:i/>
          <w:sz w:val="22"/>
          <w:szCs w:val="22"/>
          <w:lang w:val="sr-Latn-RS"/>
        </w:rPr>
      </w:pPr>
    </w:p>
    <w:p w14:paraId="38A66787" w14:textId="0587D6B4" w:rsidR="00BC3A3A" w:rsidRPr="00750BAE" w:rsidRDefault="00BC3A3A" w:rsidP="00BC3A3A">
      <w:pPr>
        <w:pStyle w:val="BodyText"/>
        <w:spacing w:line="237" w:lineRule="auto"/>
        <w:ind w:left="116" w:right="155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Na osnovu podataka iz ispitivanja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fumarata kontrolisanih placebom, većina pacijenata sa povišenim jetrenim transaminazama imala je nivoe &lt;</w:t>
      </w:r>
      <w:r w:rsidR="0022321A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3 puta iznad gornje granice normale (GGN). Veća incidenca povišenih jetrenih transaminaza kod pacijenata </w:t>
      </w:r>
      <w:r w:rsidR="00A83B47" w:rsidRPr="00750BAE">
        <w:rPr>
          <w:rFonts w:cs="Times New Roman"/>
          <w:lang w:val="sr-Latn-RS"/>
        </w:rPr>
        <w:t>liječenih</w:t>
      </w:r>
      <w:r w:rsidRPr="00750BAE">
        <w:rPr>
          <w:rFonts w:cs="Times New Roman"/>
          <w:lang w:val="sr-Latn-RS"/>
        </w:rPr>
        <w:t xml:space="preserve">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fumaratom u odnosu na placebo </w:t>
      </w:r>
      <w:r w:rsidR="00A83B47" w:rsidRPr="00750BAE">
        <w:rPr>
          <w:rFonts w:cs="Times New Roman"/>
          <w:lang w:val="sr-Latn-RS"/>
        </w:rPr>
        <w:t>primijećen</w:t>
      </w:r>
      <w:r w:rsidRPr="00750BAE">
        <w:rPr>
          <w:rFonts w:cs="Times New Roman"/>
          <w:lang w:val="sr-Latn-RS"/>
        </w:rPr>
        <w:t xml:space="preserve">a je uglavnom tokom prvih 6 </w:t>
      </w:r>
      <w:r w:rsidR="006D0DCA" w:rsidRPr="00750BAE">
        <w:rPr>
          <w:rFonts w:cs="Times New Roman"/>
          <w:lang w:val="sr-Latn-RS"/>
        </w:rPr>
        <w:t>mjesec</w:t>
      </w:r>
      <w:r w:rsidRPr="00750BAE">
        <w:rPr>
          <w:rFonts w:cs="Times New Roman"/>
          <w:lang w:val="sr-Latn-RS"/>
        </w:rPr>
        <w:t xml:space="preserve">i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 xml:space="preserve">a. Povišenje nivoa alanin aminotransferaze i aspartat aminotransferaze ≥ 3 puta GGN, </w:t>
      </w:r>
      <w:r w:rsidR="00A83B47" w:rsidRPr="00750BAE">
        <w:rPr>
          <w:rFonts w:cs="Times New Roman"/>
          <w:lang w:val="sr-Latn-RS"/>
        </w:rPr>
        <w:t>primijećen</w:t>
      </w:r>
      <w:r w:rsidRPr="00750BAE">
        <w:rPr>
          <w:rFonts w:cs="Times New Roman"/>
          <w:lang w:val="sr-Latn-RS"/>
        </w:rPr>
        <w:t xml:space="preserve">o je kod 5% odnosno 2% pacijenata koji su primali placebo, kao i kod 6% i 2% pacijenata </w:t>
      </w:r>
      <w:r w:rsidR="00A83B47" w:rsidRPr="00750BAE">
        <w:rPr>
          <w:rFonts w:cs="Times New Roman"/>
          <w:lang w:val="sr-Latn-RS"/>
        </w:rPr>
        <w:t>liječenih</w:t>
      </w:r>
      <w:r w:rsidRPr="00750BAE">
        <w:rPr>
          <w:rFonts w:cs="Times New Roman"/>
          <w:lang w:val="sr-Latn-RS"/>
        </w:rPr>
        <w:t xml:space="preserve">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fumaratom.</w:t>
      </w:r>
    </w:p>
    <w:p w14:paraId="3BDCE759" w14:textId="538C9F04" w:rsidR="004263FD" w:rsidRDefault="00BC3A3A" w:rsidP="002B3834">
      <w:pPr>
        <w:pStyle w:val="BodyText"/>
        <w:spacing w:before="1"/>
        <w:ind w:left="116" w:right="155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lastRenderedPageBreak/>
        <w:t xml:space="preserve">Do prekida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 xml:space="preserve">a zbog povišenih nivoa jetrenih transaminaza došlo je kod &lt; 1% pacijenata, i to slično kod pacijenata </w:t>
      </w:r>
      <w:r w:rsidR="00A83B47" w:rsidRPr="00750BAE">
        <w:rPr>
          <w:rFonts w:cs="Times New Roman"/>
          <w:lang w:val="sr-Latn-RS"/>
        </w:rPr>
        <w:t>liječenih</w:t>
      </w:r>
      <w:r w:rsidRPr="00750BAE">
        <w:rPr>
          <w:rFonts w:cs="Times New Roman"/>
          <w:lang w:val="sr-Latn-RS"/>
        </w:rPr>
        <w:t xml:space="preserve"> dimetil fumaratom i onih koji su primali placebo. Povišenja transaminaza ≥ 3 puta GGN uz </w:t>
      </w:r>
      <w:r w:rsidR="00A83B47" w:rsidRPr="00750BAE">
        <w:rPr>
          <w:rFonts w:cs="Times New Roman"/>
          <w:lang w:val="sr-Latn-RS"/>
        </w:rPr>
        <w:t>istovreme</w:t>
      </w:r>
      <w:r w:rsidRPr="00750BAE">
        <w:rPr>
          <w:rFonts w:cs="Times New Roman"/>
          <w:lang w:val="sr-Latn-RS"/>
        </w:rPr>
        <w:t xml:space="preserve">na povišenja ukupnog bilirubina &gt; 2 puta GGN, što ukazuje na oštećenje funkcije jetre izazvano 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 xml:space="preserve">om, </w:t>
      </w:r>
      <w:r w:rsidR="00A83B47" w:rsidRPr="00750BAE">
        <w:rPr>
          <w:rFonts w:cs="Times New Roman"/>
          <w:lang w:val="sr-Latn-RS"/>
        </w:rPr>
        <w:t>nijesu</w:t>
      </w:r>
      <w:r w:rsidRPr="00750BAE">
        <w:rPr>
          <w:rFonts w:cs="Times New Roman"/>
          <w:lang w:val="sr-Latn-RS"/>
        </w:rPr>
        <w:t xml:space="preserve"> </w:t>
      </w:r>
      <w:r w:rsidR="00132BCB" w:rsidRPr="00750BAE">
        <w:rPr>
          <w:rFonts w:cs="Times New Roman"/>
          <w:lang w:val="sr-Latn-RS"/>
        </w:rPr>
        <w:t>zabilježen</w:t>
      </w:r>
      <w:r w:rsidRPr="00750BAE">
        <w:rPr>
          <w:rFonts w:cs="Times New Roman"/>
          <w:lang w:val="sr-Latn-RS"/>
        </w:rPr>
        <w:t>a tokom ispitivanja kontrolisanih placebom, ali su prijavljena uz prim</w:t>
      </w:r>
      <w:r w:rsidR="00FE676F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>enu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fumarata nakon stavljanja 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 xml:space="preserve">a u promet, a povukla su se sa prestankom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>a</w:t>
      </w:r>
      <w:r w:rsidR="004263FD">
        <w:rPr>
          <w:rFonts w:cs="Times New Roman"/>
          <w:lang w:val="sr-Latn-RS"/>
        </w:rPr>
        <w:t>.</w:t>
      </w:r>
    </w:p>
    <w:p w14:paraId="4537C9BA" w14:textId="77777777" w:rsidR="004263FD" w:rsidRDefault="004263FD" w:rsidP="002B3834">
      <w:pPr>
        <w:pStyle w:val="BodyText"/>
        <w:spacing w:before="1"/>
        <w:ind w:left="116" w:right="155"/>
        <w:jc w:val="both"/>
        <w:rPr>
          <w:rFonts w:cs="Times New Roman"/>
          <w:lang w:val="sr-Latn-RS"/>
        </w:rPr>
      </w:pPr>
    </w:p>
    <w:p w14:paraId="2F5F6F39" w14:textId="77777777" w:rsidR="004263FD" w:rsidRPr="00750BAE" w:rsidRDefault="004263FD" w:rsidP="004263FD">
      <w:pPr>
        <w:spacing w:before="55"/>
        <w:rPr>
          <w:sz w:val="22"/>
          <w:szCs w:val="22"/>
          <w:lang w:val="sr-Latn-RS"/>
        </w:rPr>
      </w:pPr>
      <w:r w:rsidRPr="00750BAE">
        <w:rPr>
          <w:i/>
          <w:iCs/>
          <w:sz w:val="22"/>
          <w:szCs w:val="22"/>
          <w:lang w:val="sr-Latn-RS"/>
        </w:rPr>
        <w:t>Limfopenija</w:t>
      </w:r>
    </w:p>
    <w:p w14:paraId="7B3AB73E" w14:textId="77777777" w:rsidR="004263FD" w:rsidRPr="00750BAE" w:rsidRDefault="004263FD" w:rsidP="004263FD">
      <w:pPr>
        <w:rPr>
          <w:i/>
          <w:sz w:val="22"/>
          <w:szCs w:val="22"/>
          <w:lang w:val="sr-Latn-RS"/>
        </w:rPr>
      </w:pPr>
    </w:p>
    <w:p w14:paraId="1694C80D" w14:textId="77777777" w:rsidR="004263FD" w:rsidRPr="00750BAE" w:rsidRDefault="004263FD" w:rsidP="004263FD">
      <w:pPr>
        <w:pStyle w:val="BodyText"/>
        <w:spacing w:line="254" w:lineRule="exact"/>
        <w:ind w:right="226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U otvorenom, nekontrolisanom ispitivanju faze 3 sa </w:t>
      </w:r>
      <w:r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>om, liječenje je prekinuto kod pacijenata sa potvrđenim brojem limfocita &lt; 0,5 × 109/l u trajanju ≥ 4 nedjelje.</w:t>
      </w:r>
    </w:p>
    <w:p w14:paraId="64CB5E62" w14:textId="77777777" w:rsidR="004263FD" w:rsidRPr="00750BAE" w:rsidRDefault="004263FD" w:rsidP="004263FD">
      <w:pPr>
        <w:spacing w:before="10"/>
        <w:rPr>
          <w:sz w:val="22"/>
          <w:szCs w:val="22"/>
          <w:lang w:val="sr-Latn-RS"/>
        </w:rPr>
      </w:pPr>
    </w:p>
    <w:p w14:paraId="68F0B043" w14:textId="70B7FCF6" w:rsidR="004263FD" w:rsidRPr="00750BAE" w:rsidRDefault="004263FD" w:rsidP="004263FD">
      <w:pPr>
        <w:pStyle w:val="BodyText"/>
        <w:spacing w:line="232" w:lineRule="auto"/>
        <w:ind w:right="13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U placebom kontrolisanim ispitivanjima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fumarata, većina pacijenata (&gt; 98%) imala je normalne vrijednosti limfocita prije početka liječenja. Pri liječenju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fumaratom, srednja vrijednost broja limfocita smanjivala se tokom prve godine, nakon čega je uslijedio plato. U prosjeku se broj limfocita smanjio otprilike za 30% od početne vrijednosti. Srednja vrijednost broja limfocita i medijan ostali su u granicama normale. Vrijednosti broja limfocita &lt;0,5 × 10</w:t>
      </w:r>
      <w:r w:rsidRPr="008246C8">
        <w:rPr>
          <w:rFonts w:cs="Times New Roman"/>
          <w:vertAlign w:val="superscript"/>
          <w:lang w:val="sr-Latn-RS"/>
        </w:rPr>
        <w:t>9</w:t>
      </w:r>
      <w:r w:rsidRPr="00750BAE">
        <w:rPr>
          <w:rFonts w:cs="Times New Roman"/>
          <w:lang w:val="sr-Latn-RS"/>
        </w:rPr>
        <w:t>/l primijećene su kod &lt;1% pacijenata koji su primali placebo i kod 6% pacijenata liječenih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fumaratom. Broj limfocita &lt;0,2 × 109/l primijećen je kod 1 pacijenta liječenog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fumaratom i kod nijednog pacijenta koji je dobijao placebo.</w:t>
      </w:r>
    </w:p>
    <w:p w14:paraId="74A6F24C" w14:textId="77777777" w:rsidR="004263FD" w:rsidRPr="00750BAE" w:rsidRDefault="004263FD" w:rsidP="004263FD">
      <w:pPr>
        <w:spacing w:before="1"/>
        <w:rPr>
          <w:sz w:val="22"/>
          <w:szCs w:val="22"/>
          <w:lang w:val="sr-Latn-RS"/>
        </w:rPr>
      </w:pPr>
    </w:p>
    <w:p w14:paraId="43AA4665" w14:textId="1BCCB37B" w:rsidR="004263FD" w:rsidRPr="00750BAE" w:rsidRDefault="004263FD" w:rsidP="004263FD">
      <w:pPr>
        <w:pStyle w:val="BodyText"/>
        <w:spacing w:line="254" w:lineRule="exact"/>
        <w:ind w:left="116" w:right="230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U kliničkim ispitivanjima (kontrolisanim i nekontrolisanim), 41% pacijenata liječenih dimetil</w:t>
      </w:r>
      <w:r w:rsidR="004B472C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fumaratom imalo je limfopeniju (definisanu u tim ispitivanjima kao &lt;0,91 × 10</w:t>
      </w:r>
      <w:r w:rsidRPr="004263FD">
        <w:rPr>
          <w:rFonts w:cs="Times New Roman"/>
          <w:vertAlign w:val="superscript"/>
          <w:lang w:val="sr-Latn-RS"/>
        </w:rPr>
        <w:t>9</w:t>
      </w:r>
      <w:r w:rsidRPr="00750BAE">
        <w:rPr>
          <w:rFonts w:cs="Times New Roman"/>
          <w:lang w:val="sr-Latn-RS"/>
        </w:rPr>
        <w:t>/l). Blaga limfopenija (broj limfocita ≥</w:t>
      </w:r>
      <w:r w:rsidR="004B472C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0,8 × 10</w:t>
      </w:r>
      <w:r w:rsidRPr="004263FD">
        <w:rPr>
          <w:rFonts w:cs="Times New Roman"/>
          <w:vertAlign w:val="superscript"/>
          <w:lang w:val="sr-Latn-RS"/>
        </w:rPr>
        <w:t>9</w:t>
      </w:r>
      <w:r w:rsidRPr="00750BAE">
        <w:rPr>
          <w:rFonts w:cs="Times New Roman"/>
          <w:lang w:val="sr-Latn-RS"/>
        </w:rPr>
        <w:t xml:space="preserve">/l </w:t>
      </w:r>
      <w:r w:rsidR="0022321A">
        <w:rPr>
          <w:rFonts w:cs="Times New Roman"/>
          <w:lang w:val="sr-Latn-RS"/>
        </w:rPr>
        <w:t>do</w:t>
      </w:r>
      <w:r w:rsidRPr="00750BAE">
        <w:rPr>
          <w:rFonts w:cs="Times New Roman"/>
          <w:lang w:val="sr-Latn-RS"/>
        </w:rPr>
        <w:t xml:space="preserve"> &lt;</w:t>
      </w:r>
      <w:r w:rsidR="004B472C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0,91 × 10</w:t>
      </w:r>
      <w:r w:rsidRPr="004263FD">
        <w:rPr>
          <w:rFonts w:cs="Times New Roman"/>
          <w:vertAlign w:val="superscript"/>
          <w:lang w:val="sr-Latn-RS"/>
        </w:rPr>
        <w:t>9</w:t>
      </w:r>
      <w:r w:rsidRPr="00750BAE">
        <w:rPr>
          <w:rFonts w:cs="Times New Roman"/>
          <w:lang w:val="sr-Latn-RS"/>
        </w:rPr>
        <w:t>/l) zabilježena je kod 28% pacijenata, umjerena limfopenija (broj limfocita ≥</w:t>
      </w:r>
      <w:r w:rsidR="004B472C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0,5 × 10</w:t>
      </w:r>
      <w:r w:rsidRPr="004263FD">
        <w:rPr>
          <w:rFonts w:cs="Times New Roman"/>
          <w:vertAlign w:val="superscript"/>
          <w:lang w:val="sr-Latn-RS"/>
        </w:rPr>
        <w:t>9</w:t>
      </w:r>
      <w:r w:rsidRPr="00750BAE">
        <w:rPr>
          <w:rFonts w:cs="Times New Roman"/>
          <w:lang w:val="sr-Latn-RS"/>
        </w:rPr>
        <w:t xml:space="preserve">/l </w:t>
      </w:r>
      <w:r w:rsidR="0022321A">
        <w:rPr>
          <w:rFonts w:cs="Times New Roman"/>
          <w:lang w:val="sr-Latn-RS"/>
        </w:rPr>
        <w:t>do</w:t>
      </w:r>
      <w:r w:rsidRPr="00750BAE">
        <w:rPr>
          <w:rFonts w:cs="Times New Roman"/>
          <w:lang w:val="sr-Latn-RS"/>
        </w:rPr>
        <w:t xml:space="preserve"> &lt;</w:t>
      </w:r>
      <w:r w:rsidR="004B472C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0,8 × 10</w:t>
      </w:r>
      <w:r w:rsidRPr="004263FD">
        <w:rPr>
          <w:rFonts w:cs="Times New Roman"/>
          <w:vertAlign w:val="superscript"/>
          <w:lang w:val="sr-Latn-RS"/>
        </w:rPr>
        <w:t>9</w:t>
      </w:r>
      <w:r w:rsidRPr="00750BAE">
        <w:rPr>
          <w:rFonts w:cs="Times New Roman"/>
          <w:lang w:val="sr-Latn-RS"/>
        </w:rPr>
        <w:t>/l) u trajanju od najmanje šest mjeseci zabilježena je kod 11% pacijenata, a teška limfopenija (broj limfocita &lt;</w:t>
      </w:r>
      <w:r w:rsidR="004B472C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0,5 × 10</w:t>
      </w:r>
      <w:r w:rsidRPr="004263FD">
        <w:rPr>
          <w:rFonts w:cs="Times New Roman"/>
          <w:vertAlign w:val="superscript"/>
          <w:lang w:val="sr-Latn-RS"/>
        </w:rPr>
        <w:t>9</w:t>
      </w:r>
      <w:r w:rsidRPr="00750BAE">
        <w:rPr>
          <w:rFonts w:cs="Times New Roman"/>
          <w:lang w:val="sr-Latn-RS"/>
        </w:rPr>
        <w:t>/l) u trajanju od najmanje šest mjeseci zabilježena je kod 2% pacijenata.</w:t>
      </w:r>
    </w:p>
    <w:p w14:paraId="765B6309" w14:textId="2A449F5B" w:rsidR="004263FD" w:rsidRPr="00750BAE" w:rsidRDefault="004263FD" w:rsidP="004263FD">
      <w:pPr>
        <w:pStyle w:val="BodyText"/>
        <w:spacing w:line="228" w:lineRule="auto"/>
        <w:ind w:left="116" w:right="226" w:hanging="1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 U grupi sa teškom limfopenijom, uz nastavak terapije, broj limfocita je u većini slučajeva ostao &lt;</w:t>
      </w:r>
      <w:r w:rsidR="004B472C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0,5 × 10</w:t>
      </w:r>
      <w:r w:rsidRPr="004263FD">
        <w:rPr>
          <w:rFonts w:cs="Times New Roman"/>
          <w:vertAlign w:val="superscript"/>
          <w:lang w:val="sr-Latn-RS"/>
        </w:rPr>
        <w:t>9</w:t>
      </w:r>
      <w:r w:rsidRPr="00750BAE">
        <w:rPr>
          <w:rFonts w:cs="Times New Roman"/>
          <w:lang w:val="sr-Latn-RS"/>
        </w:rPr>
        <w:t>/l.</w:t>
      </w:r>
    </w:p>
    <w:p w14:paraId="2AF34203" w14:textId="77777777" w:rsidR="004263FD" w:rsidRPr="00750BAE" w:rsidRDefault="004263FD" w:rsidP="004263FD">
      <w:pPr>
        <w:spacing w:before="5"/>
        <w:rPr>
          <w:sz w:val="22"/>
          <w:szCs w:val="22"/>
          <w:lang w:val="sr-Latn-RS"/>
        </w:rPr>
      </w:pPr>
    </w:p>
    <w:p w14:paraId="51383CBD" w14:textId="1EEF7F55" w:rsidR="004263FD" w:rsidRPr="00750BAE" w:rsidRDefault="004263FD" w:rsidP="004263FD">
      <w:pPr>
        <w:pStyle w:val="BodyText"/>
        <w:spacing w:line="225" w:lineRule="auto"/>
        <w:ind w:right="230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Osim toga, u prospektivnom nekontrolisanom ispitivanju sprovedenom nakon stavljanja lijeka u promet, u 48. nedjelji liječenja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fumaratom (n = 185), broj T ćelija CD4+ smanjio se umjereno (broj ćelija od ≥</w:t>
      </w:r>
      <w:r w:rsidR="004B472C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0,2 × 10</w:t>
      </w:r>
      <w:r w:rsidRPr="004263FD">
        <w:rPr>
          <w:rFonts w:cs="Times New Roman"/>
          <w:vertAlign w:val="superscript"/>
          <w:lang w:val="sr-Latn-RS"/>
        </w:rPr>
        <w:t>9</w:t>
      </w:r>
      <w:r w:rsidRPr="00750BAE">
        <w:rPr>
          <w:rFonts w:cs="Times New Roman"/>
          <w:lang w:val="sr-Latn-RS"/>
        </w:rPr>
        <w:t>/l do &lt;</w:t>
      </w:r>
      <w:r w:rsidR="004B472C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0,4 × 10</w:t>
      </w:r>
      <w:r w:rsidRPr="004263FD">
        <w:rPr>
          <w:rFonts w:cs="Times New Roman"/>
          <w:vertAlign w:val="superscript"/>
          <w:lang w:val="sr-Latn-RS"/>
        </w:rPr>
        <w:t>9</w:t>
      </w:r>
      <w:r w:rsidRPr="00750BAE">
        <w:rPr>
          <w:rFonts w:cs="Times New Roman"/>
          <w:lang w:val="sr-Latn-RS"/>
        </w:rPr>
        <w:t>/l) ili jako (&lt;</w:t>
      </w:r>
      <w:r w:rsidR="004B472C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0,2 × 10</w:t>
      </w:r>
      <w:r w:rsidRPr="004263FD">
        <w:rPr>
          <w:rFonts w:cs="Times New Roman"/>
          <w:vertAlign w:val="superscript"/>
          <w:lang w:val="sr-Latn-RS"/>
        </w:rPr>
        <w:t>9</w:t>
      </w:r>
      <w:r w:rsidRPr="00750BAE">
        <w:rPr>
          <w:rFonts w:cs="Times New Roman"/>
          <w:lang w:val="sr-Latn-RS"/>
        </w:rPr>
        <w:t>/l) kod do 37% odnosno 6% pacijenata, dok su T ćelije CD8+ češće bile smanjene kod do 59% pacijenata sa brojem ćelija &lt;</w:t>
      </w:r>
      <w:r w:rsidR="004B472C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0,2 × 10</w:t>
      </w:r>
      <w:r w:rsidRPr="004263FD">
        <w:rPr>
          <w:rFonts w:cs="Times New Roman"/>
          <w:vertAlign w:val="superscript"/>
          <w:lang w:val="sr-Latn-RS"/>
        </w:rPr>
        <w:t>9</w:t>
      </w:r>
      <w:r w:rsidRPr="00750BAE">
        <w:rPr>
          <w:rFonts w:cs="Times New Roman"/>
          <w:lang w:val="sr-Latn-RS"/>
        </w:rPr>
        <w:t>/l i 25% pacijenata sa brojem ćelija &lt;</w:t>
      </w:r>
      <w:r w:rsidR="004B472C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0,1 × 10</w:t>
      </w:r>
      <w:r w:rsidRPr="004263FD">
        <w:rPr>
          <w:rFonts w:cs="Times New Roman"/>
          <w:vertAlign w:val="superscript"/>
          <w:lang w:val="sr-Latn-RS"/>
        </w:rPr>
        <w:t>9</w:t>
      </w:r>
      <w:r w:rsidRPr="00750BAE">
        <w:rPr>
          <w:rFonts w:cs="Times New Roman"/>
          <w:lang w:val="sr-Latn-RS"/>
        </w:rPr>
        <w:t>/l.</w:t>
      </w:r>
    </w:p>
    <w:p w14:paraId="5CF04A7B" w14:textId="77777777" w:rsidR="004263FD" w:rsidRDefault="004263FD" w:rsidP="002B3834">
      <w:pPr>
        <w:pStyle w:val="BodyText"/>
        <w:spacing w:before="1"/>
        <w:ind w:left="116" w:right="155"/>
        <w:jc w:val="both"/>
        <w:rPr>
          <w:rFonts w:cs="Times New Roman"/>
          <w:lang w:val="sr-Latn-RS"/>
        </w:rPr>
      </w:pPr>
    </w:p>
    <w:p w14:paraId="7C712118" w14:textId="1DE6FC96" w:rsidR="00CA0602" w:rsidRDefault="0022321A" w:rsidP="004263FD">
      <w:pPr>
        <w:pStyle w:val="BodyText"/>
        <w:spacing w:before="1"/>
        <w:ind w:left="0" w:right="155"/>
        <w:jc w:val="both"/>
        <w:rPr>
          <w:rFonts w:cs="Times New Roman"/>
          <w:lang w:val="sr-Latn-RS"/>
        </w:rPr>
      </w:pPr>
      <w:r>
        <w:rPr>
          <w:rFonts w:cs="Times New Roman"/>
          <w:lang w:val="sr-Latn-RS"/>
        </w:rPr>
        <w:t xml:space="preserve"> </w:t>
      </w:r>
      <w:r w:rsidR="00CA0602" w:rsidRPr="00CA0602">
        <w:rPr>
          <w:rFonts w:cs="Times New Roman"/>
          <w:lang w:val="sr-Latn-RS"/>
        </w:rPr>
        <w:t xml:space="preserve">U kontrolisanim i nekontrolisanim kliničkim ispitivanjima, pacijenti koji su prekinuli terapiju </w:t>
      </w:r>
      <w:r w:rsidR="004B472C">
        <w:rPr>
          <w:rFonts w:cs="Times New Roman"/>
          <w:lang w:val="sr-Latn-RS"/>
        </w:rPr>
        <w:t xml:space="preserve">  </w:t>
      </w:r>
      <w:r w:rsidR="00846F02">
        <w:rPr>
          <w:rFonts w:cs="Times New Roman"/>
          <w:lang w:val="sr-Latn-RS"/>
        </w:rPr>
        <w:t>dimetil</w:t>
      </w:r>
      <w:r w:rsidR="004B472C">
        <w:rPr>
          <w:rFonts w:cs="Times New Roman"/>
          <w:lang w:val="sr-Latn-RS"/>
        </w:rPr>
        <w:t xml:space="preserve"> </w:t>
      </w:r>
      <w:r w:rsidR="00846F02">
        <w:rPr>
          <w:rFonts w:cs="Times New Roman"/>
          <w:lang w:val="sr-Latn-RS"/>
        </w:rPr>
        <w:t>fumaratom</w:t>
      </w:r>
      <w:r w:rsidR="00CA0602" w:rsidRPr="00CA0602">
        <w:rPr>
          <w:rFonts w:cs="Times New Roman"/>
          <w:lang w:val="sr-Latn-RS"/>
        </w:rPr>
        <w:t xml:space="preserve"> sa brojem limfocita ispod donje granice normale (DGN), praćeni su do povratka broja </w:t>
      </w:r>
    </w:p>
    <w:p w14:paraId="6D6D3C2E" w14:textId="1B0F9C11" w:rsidR="004263FD" w:rsidRDefault="00CA0602" w:rsidP="004263FD">
      <w:pPr>
        <w:pStyle w:val="BodyText"/>
        <w:spacing w:before="1"/>
        <w:ind w:left="0" w:right="155"/>
        <w:jc w:val="both"/>
        <w:rPr>
          <w:rFonts w:cs="Times New Roman"/>
          <w:lang w:val="sr-Latn-RS"/>
        </w:rPr>
      </w:pPr>
      <w:r>
        <w:rPr>
          <w:rFonts w:cs="Times New Roman"/>
          <w:lang w:val="sr-Latn-RS"/>
        </w:rPr>
        <w:t xml:space="preserve"> </w:t>
      </w:r>
      <w:r w:rsidRPr="00CA0602">
        <w:rPr>
          <w:rFonts w:cs="Times New Roman"/>
          <w:lang w:val="sr-Latn-RS"/>
        </w:rPr>
        <w:t xml:space="preserve">limfocita na DGN (vidjeti dio 5.1). </w:t>
      </w:r>
    </w:p>
    <w:p w14:paraId="3252BECC" w14:textId="77777777" w:rsidR="00CA0602" w:rsidRDefault="00CA0602" w:rsidP="004263FD">
      <w:pPr>
        <w:pStyle w:val="BodyText"/>
        <w:spacing w:before="1"/>
        <w:ind w:left="0" w:right="155"/>
        <w:jc w:val="both"/>
        <w:rPr>
          <w:rFonts w:cs="Times New Roman"/>
          <w:lang w:val="sr-Latn-RS"/>
        </w:rPr>
      </w:pPr>
    </w:p>
    <w:p w14:paraId="38D5AF41" w14:textId="77777777" w:rsidR="004263FD" w:rsidRPr="00750BAE" w:rsidRDefault="004263FD" w:rsidP="004263FD">
      <w:pPr>
        <w:ind w:left="115"/>
        <w:rPr>
          <w:sz w:val="22"/>
          <w:szCs w:val="22"/>
          <w:lang w:val="sr-Latn-RS"/>
        </w:rPr>
      </w:pPr>
      <w:r w:rsidRPr="00750BAE">
        <w:rPr>
          <w:i/>
          <w:iCs/>
          <w:sz w:val="22"/>
          <w:szCs w:val="22"/>
          <w:lang w:val="sr-Latn-RS"/>
        </w:rPr>
        <w:t>Infekcije, uključujući PML i oportunističke infekcije</w:t>
      </w:r>
    </w:p>
    <w:p w14:paraId="78B116D1" w14:textId="77777777" w:rsidR="004263FD" w:rsidRPr="00750BAE" w:rsidRDefault="004263FD" w:rsidP="004263FD">
      <w:pPr>
        <w:spacing w:before="9"/>
        <w:rPr>
          <w:i/>
          <w:sz w:val="22"/>
          <w:szCs w:val="22"/>
          <w:lang w:val="sr-Latn-RS"/>
        </w:rPr>
      </w:pPr>
    </w:p>
    <w:p w14:paraId="3CC557B2" w14:textId="517D41FC" w:rsidR="004263FD" w:rsidRPr="00750BAE" w:rsidRDefault="004263FD" w:rsidP="004263FD">
      <w:pPr>
        <w:pStyle w:val="BodyText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Uz primjenu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fumarata zabilježeni su slučajevi infekcije JCV-om koja je izazvala PML (vidjeti</w:t>
      </w:r>
    </w:p>
    <w:p w14:paraId="79C22698" w14:textId="50DA778A" w:rsidR="004263FD" w:rsidRPr="00750BAE" w:rsidRDefault="004263FD" w:rsidP="004263FD">
      <w:pPr>
        <w:pStyle w:val="BodyText"/>
        <w:spacing w:before="7" w:line="232" w:lineRule="auto"/>
        <w:ind w:right="2"/>
        <w:jc w:val="both"/>
        <w:rPr>
          <w:rFonts w:cs="Times New Roman"/>
          <w:lang w:val="sr-Latn-RS"/>
        </w:rPr>
      </w:pPr>
      <w:r>
        <w:rPr>
          <w:rFonts w:cs="Times New Roman"/>
          <w:lang w:val="sr-Latn-RS"/>
        </w:rPr>
        <w:t>dio</w:t>
      </w:r>
      <w:r w:rsidRPr="00750BAE">
        <w:rPr>
          <w:rFonts w:cs="Times New Roman"/>
          <w:lang w:val="sr-Latn-RS"/>
        </w:rPr>
        <w:t xml:space="preserve"> 4.4). PML može da bude smrtonosan ili da izazove težak invaliditet. U jednom od kliničkih ispitivanja, jedan pacijent koji je uzimao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 razvio je PML uz postojanje dugotrajne teške limfopenije (broj limfocita najčešće &lt;0,5 × 109/l tokom 3,5 godine) sa smrtnim ishodom. Do pojave PML-a došlo je i nakon stavljanja lijeka u promet u prisustvu umjerene i blage limfopenije (&gt;</w:t>
      </w:r>
      <w:r w:rsidR="00CA0602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0,5 × 10</w:t>
      </w:r>
      <w:r w:rsidRPr="004263FD">
        <w:rPr>
          <w:rFonts w:cs="Times New Roman"/>
          <w:vertAlign w:val="superscript"/>
          <w:lang w:val="sr-Latn-RS"/>
        </w:rPr>
        <w:t>9</w:t>
      </w:r>
      <w:r w:rsidRPr="00750BAE">
        <w:rPr>
          <w:rFonts w:cs="Times New Roman"/>
          <w:lang w:val="sr-Latn-RS"/>
        </w:rPr>
        <w:t>/l do &lt;DGN-a definisane referentnim rasponom lokalne laboratorije).</w:t>
      </w:r>
    </w:p>
    <w:p w14:paraId="4D6C76E4" w14:textId="77777777" w:rsidR="004263FD" w:rsidRDefault="004263FD" w:rsidP="004263FD">
      <w:pPr>
        <w:pStyle w:val="BodyText"/>
        <w:spacing w:before="1"/>
        <w:ind w:left="0" w:right="155"/>
        <w:jc w:val="both"/>
        <w:rPr>
          <w:rFonts w:cs="Times New Roman"/>
          <w:lang w:val="sr-Latn-RS"/>
        </w:rPr>
      </w:pPr>
    </w:p>
    <w:p w14:paraId="0D03CEE1" w14:textId="77777777" w:rsidR="004263FD" w:rsidRPr="00750BAE" w:rsidRDefault="004263FD" w:rsidP="004263FD">
      <w:pPr>
        <w:pStyle w:val="BodyText"/>
        <w:spacing w:line="246" w:lineRule="exact"/>
        <w:ind w:left="116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U nekoliko slučajeva PML-a u kojima su podgrupe T ćelija određene u vrijeme dijagnoze PML-a, broj T ćelija CD8+ bio je smanjen na &lt;0,1 × 10</w:t>
      </w:r>
      <w:r w:rsidRPr="004263FD">
        <w:rPr>
          <w:rFonts w:cs="Times New Roman"/>
          <w:vertAlign w:val="superscript"/>
          <w:lang w:val="sr-Latn-RS"/>
        </w:rPr>
        <w:t>9</w:t>
      </w:r>
      <w:r w:rsidRPr="00750BAE">
        <w:rPr>
          <w:rFonts w:cs="Times New Roman"/>
          <w:lang w:val="sr-Latn-RS"/>
        </w:rPr>
        <w:t>/l, dok je smanjenje broja T ćelija CD4+ variralo (od &lt;0,05 do 0,5 × 10</w:t>
      </w:r>
      <w:r w:rsidRPr="004263FD">
        <w:rPr>
          <w:rFonts w:cs="Times New Roman"/>
          <w:vertAlign w:val="superscript"/>
          <w:lang w:val="sr-Latn-RS"/>
        </w:rPr>
        <w:t>9</w:t>
      </w:r>
      <w:r w:rsidRPr="00750BAE">
        <w:rPr>
          <w:rFonts w:cs="Times New Roman"/>
          <w:lang w:val="sr-Latn-RS"/>
        </w:rPr>
        <w:t>/l) i bilo u korelaciji sa sveukupnom težinom limfopenije (od &lt;0,5 x 10</w:t>
      </w:r>
      <w:r w:rsidRPr="004263FD">
        <w:rPr>
          <w:rFonts w:cs="Times New Roman"/>
          <w:vertAlign w:val="superscript"/>
          <w:lang w:val="sr-Latn-RS"/>
        </w:rPr>
        <w:t>9</w:t>
      </w:r>
      <w:r w:rsidRPr="00750BAE">
        <w:rPr>
          <w:rFonts w:cs="Times New Roman"/>
          <w:lang w:val="sr-Latn-RS"/>
        </w:rPr>
        <w:t>/l do &lt;DGN).</w:t>
      </w:r>
    </w:p>
    <w:p w14:paraId="662437EC" w14:textId="77777777" w:rsidR="004263FD" w:rsidRPr="00750BAE" w:rsidRDefault="004263FD" w:rsidP="004263FD">
      <w:pPr>
        <w:pStyle w:val="BodyText"/>
        <w:spacing w:before="1" w:line="228" w:lineRule="auto"/>
        <w:ind w:right="230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 Shodno tome, odnos ćelija CD4+/CD8+ kod tih pacijenata je bio povećan.</w:t>
      </w:r>
    </w:p>
    <w:p w14:paraId="602488BE" w14:textId="77777777" w:rsidR="004263FD" w:rsidRDefault="004263FD" w:rsidP="002B3834">
      <w:pPr>
        <w:pStyle w:val="BodyText"/>
        <w:spacing w:before="1"/>
        <w:ind w:left="116" w:right="155"/>
        <w:jc w:val="both"/>
        <w:rPr>
          <w:rFonts w:cs="Times New Roman"/>
          <w:lang w:val="sr-Latn-RS"/>
        </w:rPr>
      </w:pPr>
    </w:p>
    <w:p w14:paraId="22296235" w14:textId="57E9F58D" w:rsidR="00CA0602" w:rsidRPr="00CA0602" w:rsidRDefault="004263FD" w:rsidP="004263FD">
      <w:pPr>
        <w:pStyle w:val="BodyText"/>
        <w:spacing w:before="1"/>
        <w:ind w:left="0" w:right="155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Čini se da uz primjenu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fumarata, a takođe i </w:t>
      </w:r>
      <w:r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 xml:space="preserve">a, dugotrajna umjerena do teška limfopenija povećava rizik od PML-a, ali PML se razvio i kod pacijenata sa blagom limfopenijom koji su liječeni dimetil fumaratom. Osim toga, većina slučajeva PML-a nakon stavljanja lijeka u promet zabilježena je kod pacijenata </w:t>
      </w:r>
      <w:r>
        <w:rPr>
          <w:rFonts w:cs="Times New Roman"/>
          <w:lang w:val="sr-Latn-RS"/>
        </w:rPr>
        <w:t>uzrasta</w:t>
      </w:r>
      <w:r w:rsidRPr="00750BAE">
        <w:rPr>
          <w:rFonts w:cs="Times New Roman"/>
          <w:lang w:val="sr-Latn-RS"/>
        </w:rPr>
        <w:t xml:space="preserve"> &gt; 50 godina</w:t>
      </w:r>
      <w:r w:rsidR="002955FD">
        <w:rPr>
          <w:rFonts w:cs="Times New Roman"/>
          <w:lang w:val="sr-Latn-RS"/>
        </w:rPr>
        <w:t>.</w:t>
      </w:r>
    </w:p>
    <w:p w14:paraId="03EEAE89" w14:textId="77777777" w:rsidR="00CA0602" w:rsidRDefault="00CA0602" w:rsidP="004263FD">
      <w:pPr>
        <w:pStyle w:val="BodyText"/>
        <w:spacing w:before="1"/>
        <w:ind w:left="0" w:right="155"/>
        <w:jc w:val="both"/>
        <w:rPr>
          <w:lang w:val="sr-Latn-RS"/>
        </w:rPr>
      </w:pPr>
    </w:p>
    <w:p w14:paraId="01E0CC62" w14:textId="7FD4E85B" w:rsidR="00CA0602" w:rsidRDefault="00CA0602" w:rsidP="00CA0602">
      <w:pPr>
        <w:pStyle w:val="BodyText"/>
        <w:spacing w:line="237" w:lineRule="auto"/>
        <w:ind w:right="230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Uz primjenu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fumarata prijavljeni su slučajevi infekcija herpes zosterom. U dugotrajnom produžetku kliničkog ispitivanja u kojem je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fumaratom liječeno 1736 pacijenata sa multiplom sklerozom, kod 5% pacijenata došlo je do jedne ili više pojava infekcije herpes zosterom koje su većinom bile blage do umjerene težine. Kod većine ispitanika, uključujući i one kod kojih je infekcija herpes zosterom bila ozbiljna, broj limfocita bio je iznad DGN-a. Kod većine pacijenata s istovremenim brojem limfocita nižim od DGN-a, limfopenija je ocijenjena kao umjerena ili teška. U periodu nakon stavljanja lijeka u promet, u većini slučajeva infekcija herpes zosterom nije bila ozbiljna i primjenom terapije se povukla. Podaci o apsolutnom broju limfocita</w:t>
      </w:r>
      <w:r w:rsidR="00C62DA4">
        <w:rPr>
          <w:rFonts w:cs="Times New Roman"/>
          <w:lang w:val="sr-Latn-RS"/>
        </w:rPr>
        <w:t xml:space="preserve"> (ABL)</w:t>
      </w:r>
      <w:r w:rsidRPr="00750BAE">
        <w:rPr>
          <w:rFonts w:cs="Times New Roman"/>
          <w:lang w:val="sr-Latn-RS"/>
        </w:rPr>
        <w:t xml:space="preserve"> kod pacijenata sa infekcijom herpes zosterom iz perioda nakon stavljanja lijeka u promet su ograničeni. Međutim, u vrijeme prijave limfopenije, većina pacijenata je imala umjerenu (</w:t>
      </w:r>
      <w:r w:rsidR="00C62DA4" w:rsidRPr="00E442FE">
        <w:rPr>
          <w:lang w:val="de-DE"/>
        </w:rPr>
        <w:t>≥</w:t>
      </w:r>
      <w:r w:rsidR="00C62DA4">
        <w:rPr>
          <w:lang w:val="de-DE"/>
        </w:rPr>
        <w:t xml:space="preserve"> 0,5</w:t>
      </w:r>
      <w:r w:rsidRPr="00750BAE">
        <w:rPr>
          <w:rFonts w:cs="Times New Roman"/>
          <w:lang w:val="sr-Latn-RS"/>
        </w:rPr>
        <w:t xml:space="preserve"> × 10</w:t>
      </w:r>
      <w:r w:rsidRPr="004263FD">
        <w:rPr>
          <w:rFonts w:cs="Times New Roman"/>
          <w:vertAlign w:val="superscript"/>
          <w:lang w:val="sr-Latn-RS"/>
        </w:rPr>
        <w:t>9</w:t>
      </w:r>
      <w:r w:rsidRPr="00750BAE">
        <w:rPr>
          <w:rFonts w:cs="Times New Roman"/>
          <w:lang w:val="sr-Latn-RS"/>
        </w:rPr>
        <w:t xml:space="preserve">/l do </w:t>
      </w:r>
      <w:r w:rsidR="00C62DA4" w:rsidRPr="0043763B">
        <w:rPr>
          <w:lang w:val="de"/>
        </w:rPr>
        <w:t>&lt;</w:t>
      </w:r>
      <w:r w:rsidR="00C62DA4">
        <w:rPr>
          <w:lang w:val="de"/>
        </w:rPr>
        <w:t xml:space="preserve"> </w:t>
      </w:r>
      <w:r w:rsidRPr="00750BAE">
        <w:rPr>
          <w:rFonts w:cs="Times New Roman"/>
          <w:lang w:val="sr-Latn-RS"/>
        </w:rPr>
        <w:t>0,</w:t>
      </w:r>
      <w:r w:rsidR="00C62DA4">
        <w:rPr>
          <w:rFonts w:cs="Times New Roman"/>
          <w:lang w:val="sr-Latn-RS"/>
        </w:rPr>
        <w:t>8</w:t>
      </w:r>
      <w:r w:rsidRPr="00750BAE">
        <w:rPr>
          <w:rFonts w:cs="Times New Roman"/>
          <w:lang w:val="sr-Latn-RS"/>
        </w:rPr>
        <w:t xml:space="preserve"> × 10</w:t>
      </w:r>
      <w:r w:rsidRPr="004263FD">
        <w:rPr>
          <w:rFonts w:cs="Times New Roman"/>
          <w:vertAlign w:val="superscript"/>
          <w:lang w:val="sr-Latn-RS"/>
        </w:rPr>
        <w:t>9</w:t>
      </w:r>
      <w:r w:rsidRPr="00750BAE">
        <w:rPr>
          <w:rFonts w:cs="Times New Roman"/>
          <w:lang w:val="sr-Latn-RS"/>
        </w:rPr>
        <w:t>/l) ili tešku (&lt;0,5 × 10</w:t>
      </w:r>
      <w:r w:rsidRPr="004263FD">
        <w:rPr>
          <w:rFonts w:cs="Times New Roman"/>
          <w:vertAlign w:val="superscript"/>
          <w:lang w:val="sr-Latn-RS"/>
        </w:rPr>
        <w:t>9</w:t>
      </w:r>
      <w:r w:rsidRPr="00750BAE">
        <w:rPr>
          <w:rFonts w:cs="Times New Roman"/>
          <w:lang w:val="sr-Latn-RS"/>
        </w:rPr>
        <w:t>/l do 0,2 × 10</w:t>
      </w:r>
      <w:r w:rsidRPr="004263FD">
        <w:rPr>
          <w:rFonts w:cs="Times New Roman"/>
          <w:vertAlign w:val="superscript"/>
          <w:lang w:val="sr-Latn-RS"/>
        </w:rPr>
        <w:t>9</w:t>
      </w:r>
      <w:r w:rsidRPr="00750BAE">
        <w:rPr>
          <w:rFonts w:cs="Times New Roman"/>
          <w:lang w:val="sr-Latn-RS"/>
        </w:rPr>
        <w:t xml:space="preserve">/l) limfopeniju (vidjeti </w:t>
      </w:r>
      <w:r>
        <w:rPr>
          <w:rFonts w:cs="Times New Roman"/>
          <w:lang w:val="sr-Latn-RS"/>
        </w:rPr>
        <w:t>dio</w:t>
      </w:r>
      <w:r w:rsidRPr="00750BAE">
        <w:rPr>
          <w:rFonts w:cs="Times New Roman"/>
          <w:lang w:val="sr-Latn-RS"/>
        </w:rPr>
        <w:t xml:space="preserve"> 4.4).</w:t>
      </w:r>
    </w:p>
    <w:p w14:paraId="280D89DE" w14:textId="77777777" w:rsidR="00CA0602" w:rsidRDefault="00CA0602" w:rsidP="00CA0602">
      <w:pPr>
        <w:pStyle w:val="BodyText"/>
        <w:spacing w:line="237" w:lineRule="auto"/>
        <w:ind w:left="0" w:right="230"/>
        <w:jc w:val="both"/>
        <w:rPr>
          <w:rFonts w:cs="Times New Roman"/>
          <w:lang w:val="sr-Latn-RS"/>
        </w:rPr>
      </w:pPr>
    </w:p>
    <w:p w14:paraId="2A6EE152" w14:textId="77777777" w:rsidR="00CA0602" w:rsidRPr="00750BAE" w:rsidRDefault="00CA0602" w:rsidP="00CA0602">
      <w:pPr>
        <w:spacing w:before="49"/>
        <w:ind w:left="115"/>
        <w:rPr>
          <w:sz w:val="22"/>
          <w:szCs w:val="22"/>
          <w:lang w:val="sr-Latn-RS"/>
        </w:rPr>
      </w:pPr>
      <w:r w:rsidRPr="00750BAE">
        <w:rPr>
          <w:i/>
          <w:iCs/>
          <w:sz w:val="22"/>
          <w:szCs w:val="22"/>
          <w:lang w:val="sr-Latn-RS"/>
        </w:rPr>
        <w:t>Laboratorijske abnormalnosti</w:t>
      </w:r>
    </w:p>
    <w:p w14:paraId="7AC6BED5" w14:textId="77777777" w:rsidR="00CA0602" w:rsidRPr="00750BAE" w:rsidRDefault="00CA0602" w:rsidP="00CA0602">
      <w:pPr>
        <w:spacing w:before="10"/>
        <w:rPr>
          <w:i/>
          <w:sz w:val="22"/>
          <w:szCs w:val="22"/>
          <w:lang w:val="sr-Latn-RS"/>
        </w:rPr>
      </w:pPr>
    </w:p>
    <w:p w14:paraId="3593EC7D" w14:textId="77777777" w:rsidR="00CA0602" w:rsidRPr="00750BAE" w:rsidRDefault="00CA0602" w:rsidP="00CA0602">
      <w:pPr>
        <w:pStyle w:val="BodyText"/>
        <w:spacing w:line="237" w:lineRule="auto"/>
        <w:ind w:right="172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U placebom kontrolisanim ispitivanjima dimetil fumarata, izmjereni ketoni u urinu (1+ ili više) bili su viši kod pacijenata liječenih dimetil fumaratom (45%) nego kod onih koji su primali placebo (10%). U kliničkim ispitivanjima nijesu primijećene nepovoljne kliničke posljedice.</w:t>
      </w:r>
    </w:p>
    <w:p w14:paraId="06E43BAC" w14:textId="77777777" w:rsidR="00CA0602" w:rsidRPr="00750BAE" w:rsidRDefault="00CA0602" w:rsidP="00CA0602">
      <w:pPr>
        <w:spacing w:before="3"/>
        <w:rPr>
          <w:sz w:val="22"/>
          <w:szCs w:val="22"/>
          <w:lang w:val="sr-Latn-RS"/>
        </w:rPr>
      </w:pPr>
    </w:p>
    <w:p w14:paraId="7CD1FB2A" w14:textId="77777777" w:rsidR="00CA0602" w:rsidRPr="00750BAE" w:rsidRDefault="00CA0602" w:rsidP="00CA0602">
      <w:pPr>
        <w:pStyle w:val="BodyText"/>
        <w:ind w:right="189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Nivoi 1,25-dihidroksivitamina D smanjivale su se kod pacijenata liječenih dimetil fumaratom u odnosu na placebo (medijan procentnog smanjenja od početne vrijednosti nakon 2 godine bio je 25% odnosno 15%), a nivoi paratireoidnog hormona (PTH) povećali su se kod pacijenata liječenih dimetil fumaratom u odnosu na placebo (medijan procentnog povećanja od početne vrijednosti nakon 2 godine bio je 29% odnosno 15%). Srednje vrijednosti za oba parametra ostale su u normalnom rasponu.</w:t>
      </w:r>
    </w:p>
    <w:p w14:paraId="1E9D779D" w14:textId="77777777" w:rsidR="00CA0602" w:rsidRPr="00750BAE" w:rsidRDefault="00CA0602" w:rsidP="00CA0602">
      <w:pPr>
        <w:spacing w:before="9"/>
        <w:rPr>
          <w:sz w:val="22"/>
          <w:szCs w:val="22"/>
          <w:lang w:val="sr-Latn-RS"/>
        </w:rPr>
      </w:pPr>
    </w:p>
    <w:p w14:paraId="707BF98C" w14:textId="78906E85" w:rsidR="00CA0602" w:rsidRPr="00C62DA4" w:rsidRDefault="00CA0602" w:rsidP="00C62DA4">
      <w:pPr>
        <w:pStyle w:val="BodyText"/>
        <w:ind w:left="116" w:right="239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Prolazno povišenje srednje vrijednosti broja eozinofila zabilježeno je tokom prva 2 mjeseca terapije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fumaratom.</w:t>
      </w:r>
    </w:p>
    <w:p w14:paraId="5B9D7E12" w14:textId="77777777" w:rsidR="00CA0602" w:rsidRDefault="00CA0602" w:rsidP="004263FD">
      <w:pPr>
        <w:pStyle w:val="BodyText"/>
        <w:spacing w:before="1"/>
        <w:ind w:left="0" w:right="155"/>
        <w:jc w:val="both"/>
        <w:rPr>
          <w:lang w:val="sr-Latn-RS"/>
        </w:rPr>
      </w:pPr>
    </w:p>
    <w:p w14:paraId="7997D029" w14:textId="77777777" w:rsidR="00CA0602" w:rsidRPr="00750BAE" w:rsidRDefault="00CA0602" w:rsidP="00CA0602">
      <w:pPr>
        <w:pStyle w:val="BodyText"/>
        <w:ind w:left="116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>Pedijatrijska populacija</w:t>
      </w:r>
    </w:p>
    <w:p w14:paraId="5019A91C" w14:textId="77777777" w:rsidR="00CA0602" w:rsidRPr="00750BAE" w:rsidRDefault="00CA0602" w:rsidP="00CA0602">
      <w:pPr>
        <w:rPr>
          <w:sz w:val="22"/>
          <w:szCs w:val="22"/>
          <w:lang w:val="sr-Latn-RS"/>
        </w:rPr>
      </w:pPr>
    </w:p>
    <w:p w14:paraId="03796686" w14:textId="77777777" w:rsidR="00CA0602" w:rsidRPr="00750BAE" w:rsidRDefault="00CA0602" w:rsidP="00CA0602">
      <w:pPr>
        <w:pStyle w:val="BodyText"/>
        <w:ind w:left="116" w:right="155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Bezbjednost lijeka Vumerity kod pedijatrijskih pacijenata još nije ustanovljena.</w:t>
      </w:r>
    </w:p>
    <w:p w14:paraId="4A589689" w14:textId="77777777" w:rsidR="00CA0602" w:rsidRPr="00750BAE" w:rsidRDefault="00CA0602" w:rsidP="00CA0602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4393EC46" w14:textId="77777777" w:rsidR="00CA0602" w:rsidRPr="00750BAE" w:rsidRDefault="00CA0602" w:rsidP="00CA0602">
      <w:pPr>
        <w:spacing w:after="200" w:line="276" w:lineRule="auto"/>
        <w:rPr>
          <w:rFonts w:eastAsia="Calibri"/>
          <w:sz w:val="22"/>
          <w:szCs w:val="22"/>
          <w:u w:val="single"/>
          <w:lang w:val="sr-Latn-RS"/>
        </w:rPr>
      </w:pPr>
      <w:r w:rsidRPr="00750BAE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1CDBFF7D" w14:textId="77777777" w:rsidR="00CA0602" w:rsidRPr="00750BAE" w:rsidRDefault="00CA0602" w:rsidP="00CA0602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750BAE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3EE531E1" w14:textId="77777777" w:rsidR="00CA0602" w:rsidRPr="00750BAE" w:rsidRDefault="00CA0602" w:rsidP="00CA060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50BAE">
        <w:rPr>
          <w:rFonts w:eastAsia="Calibri"/>
          <w:sz w:val="22"/>
          <w:szCs w:val="22"/>
          <w:lang w:val="sr-Latn-RS"/>
        </w:rPr>
        <w:t xml:space="preserve">Institut za ljekove i medicinska sredstva </w:t>
      </w:r>
    </w:p>
    <w:p w14:paraId="79B76BE9" w14:textId="77777777" w:rsidR="00CA0602" w:rsidRPr="00750BAE" w:rsidRDefault="00CA0602" w:rsidP="00CA060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50BAE">
        <w:rPr>
          <w:rFonts w:eastAsia="Calibri"/>
          <w:sz w:val="22"/>
          <w:szCs w:val="22"/>
          <w:lang w:val="sr-Latn-RS"/>
        </w:rPr>
        <w:t>Odjeljenje za farmakovigilancu</w:t>
      </w:r>
    </w:p>
    <w:p w14:paraId="0CB3CE6C" w14:textId="77777777" w:rsidR="00CA0602" w:rsidRPr="00750BAE" w:rsidRDefault="00CA0602" w:rsidP="00CA060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50BAE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6902B39D" w14:textId="77777777" w:rsidR="00CA0602" w:rsidRPr="00750BAE" w:rsidRDefault="00CA0602" w:rsidP="00CA0602">
      <w:pPr>
        <w:pStyle w:val="NoSpacing"/>
        <w:rPr>
          <w:rFonts w:eastAsia="Calibri"/>
          <w:sz w:val="22"/>
          <w:szCs w:val="22"/>
          <w:lang w:val="sr-Latn-RS"/>
        </w:rPr>
      </w:pPr>
    </w:p>
    <w:p w14:paraId="27B17896" w14:textId="77777777" w:rsidR="00CA0602" w:rsidRPr="00750BAE" w:rsidRDefault="00CA0602" w:rsidP="00CA060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50BAE">
        <w:rPr>
          <w:rFonts w:eastAsia="Calibri"/>
          <w:sz w:val="22"/>
          <w:szCs w:val="22"/>
          <w:lang w:val="sr-Latn-RS"/>
        </w:rPr>
        <w:t>tel: +382 (0) 20 310 280</w:t>
      </w:r>
    </w:p>
    <w:p w14:paraId="5E6BD135" w14:textId="77777777" w:rsidR="00CA0602" w:rsidRPr="00750BAE" w:rsidRDefault="00CA0602" w:rsidP="00CA060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50BAE">
        <w:rPr>
          <w:rFonts w:eastAsia="Calibri"/>
          <w:sz w:val="22"/>
          <w:szCs w:val="22"/>
          <w:lang w:val="sr-Latn-RS"/>
        </w:rPr>
        <w:t>fax: +382 (0) 20 310 581</w:t>
      </w:r>
    </w:p>
    <w:p w14:paraId="6945B95D" w14:textId="77777777" w:rsidR="00CA0602" w:rsidRPr="00750BAE" w:rsidRDefault="00632554" w:rsidP="00CA060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12" w:history="1">
        <w:r w:rsidR="00CA0602" w:rsidRPr="00750BAE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32E52031" w14:textId="77777777" w:rsidR="00CA0602" w:rsidRPr="00750BAE" w:rsidRDefault="00632554" w:rsidP="00CA0602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3" w:history="1">
        <w:r w:rsidR="00CA0602" w:rsidRPr="00750BAE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1B10D7DD" w14:textId="77777777" w:rsidR="00CA0602" w:rsidRPr="00750BAE" w:rsidRDefault="00CA0602" w:rsidP="00CA060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50BAE">
        <w:rPr>
          <w:rFonts w:eastAsia="Calibri"/>
          <w:sz w:val="22"/>
          <w:szCs w:val="22"/>
          <w:lang w:val="sr-Latn-RS"/>
        </w:rPr>
        <w:t>putem IS zdravstvene zaštite</w:t>
      </w:r>
    </w:p>
    <w:p w14:paraId="6EE51B52" w14:textId="77777777" w:rsidR="00C62DA4" w:rsidRDefault="00C62DA4" w:rsidP="00C62DA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665601CD" w14:textId="77777777" w:rsidR="00C62DA4" w:rsidRDefault="00C62DA4" w:rsidP="00C62DA4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0C8FF203" w14:textId="591CAAC6" w:rsidR="00C62DA4" w:rsidRDefault="00C62DA4" w:rsidP="00C62DA4">
      <w:pPr>
        <w:pStyle w:val="NoSpacing"/>
        <w:rPr>
          <w:rFonts w:eastAsia="Calibri"/>
          <w:sz w:val="22"/>
          <w:szCs w:val="22"/>
          <w:lang w:val="sr-Latn-RS"/>
        </w:rPr>
      </w:pPr>
      <w:r>
        <w:rPr>
          <w:noProof/>
        </w:rPr>
        <w:drawing>
          <wp:inline distT="0" distB="0" distL="0" distR="0" wp14:anchorId="26218481" wp14:editId="4BBE284B">
            <wp:extent cx="967740" cy="967740"/>
            <wp:effectExtent l="0" t="0" r="3810" b="3810"/>
            <wp:docPr id="2" name="Picture 2" descr="https://cinmed.me/wp-content/uploads/2022/11/Online-prijava-NDL-QR-code-300x30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A600D" w14:textId="77777777" w:rsidR="00CA0602" w:rsidRDefault="00CA0602" w:rsidP="004263FD">
      <w:pPr>
        <w:pStyle w:val="BodyText"/>
        <w:spacing w:before="1"/>
        <w:ind w:left="0" w:right="155"/>
        <w:jc w:val="both"/>
        <w:rPr>
          <w:lang w:val="sr-Latn-RS"/>
        </w:rPr>
      </w:pPr>
    </w:p>
    <w:p w14:paraId="0A41F0C8" w14:textId="0A1A0AC4" w:rsidR="00CA0602" w:rsidRPr="00750BAE" w:rsidRDefault="00CA0602" w:rsidP="004263FD">
      <w:pPr>
        <w:pStyle w:val="BodyText"/>
        <w:spacing w:before="1"/>
        <w:ind w:left="0" w:right="155"/>
        <w:jc w:val="both"/>
        <w:rPr>
          <w:lang w:val="sr-Latn-RS"/>
        </w:rPr>
        <w:sectPr w:rsidR="00CA0602" w:rsidRPr="00750BAE">
          <w:pgSz w:w="11910" w:h="16840"/>
          <w:pgMar w:top="1040" w:right="1320" w:bottom="900" w:left="1300" w:header="0" w:footer="716" w:gutter="0"/>
          <w:cols w:space="720"/>
        </w:sectPr>
      </w:pPr>
    </w:p>
    <w:p w14:paraId="2A71F113" w14:textId="77777777" w:rsidR="00836B35" w:rsidRPr="00750BAE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703A4030" w14:textId="77777777" w:rsidR="00CD6F02" w:rsidRPr="00750BA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50BAE">
        <w:rPr>
          <w:b/>
          <w:bCs/>
          <w:sz w:val="22"/>
          <w:szCs w:val="22"/>
        </w:rPr>
        <w:t xml:space="preserve">4.9. </w:t>
      </w:r>
      <w:r w:rsidR="00480FB1" w:rsidRPr="00750BAE">
        <w:rPr>
          <w:b/>
          <w:bCs/>
          <w:sz w:val="22"/>
          <w:szCs w:val="22"/>
        </w:rPr>
        <w:tab/>
      </w:r>
      <w:r w:rsidRPr="00750BAE">
        <w:rPr>
          <w:b/>
          <w:bCs/>
          <w:sz w:val="22"/>
          <w:szCs w:val="22"/>
        </w:rPr>
        <w:t>Predoziranje</w:t>
      </w:r>
      <w:r w:rsidR="002846DB" w:rsidRPr="00750BAE">
        <w:rPr>
          <w:b/>
          <w:bCs/>
          <w:sz w:val="22"/>
          <w:szCs w:val="22"/>
        </w:rPr>
        <w:t xml:space="preserve"> </w:t>
      </w:r>
    </w:p>
    <w:p w14:paraId="05BD6CEC" w14:textId="77777777" w:rsidR="00CD6F02" w:rsidRPr="00750BAE" w:rsidRDefault="00CD6F0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45D42C0E" w14:textId="583E686F" w:rsidR="00BC3A3A" w:rsidRPr="00750BAE" w:rsidRDefault="00BC3A3A" w:rsidP="00BC3A3A">
      <w:pPr>
        <w:pStyle w:val="BodyText"/>
        <w:spacing w:line="237" w:lineRule="auto"/>
        <w:ind w:left="116" w:right="143" w:hanging="1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Simptomi opisani u </w:t>
      </w:r>
      <w:r w:rsidR="00132BCB" w:rsidRPr="00750BAE">
        <w:rPr>
          <w:rFonts w:cs="Times New Roman"/>
          <w:lang w:val="sr-Latn-RS"/>
        </w:rPr>
        <w:t>zabilježen</w:t>
      </w:r>
      <w:r w:rsidRPr="00750BAE">
        <w:rPr>
          <w:rFonts w:cs="Times New Roman"/>
          <w:lang w:val="sr-Latn-RS"/>
        </w:rPr>
        <w:t xml:space="preserve">im slučajevima predoziranja bili su u skladu sa poznatim profilom neželjenih reakcija na 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 xml:space="preserve">. Nema poznatih terapijskih intervencija koje bi pojačale eliminaciju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 xml:space="preserve">a i nema poznatog antidota. U slučaju predoziranja, preporučuje se započinjanje pomoćnog simptomatskog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>a kako je klinički indikovano.</w:t>
      </w:r>
    </w:p>
    <w:p w14:paraId="4F085A66" w14:textId="77777777" w:rsidR="00227BDB" w:rsidRPr="00750BAE" w:rsidRDefault="00227BD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0E80CB88" w14:textId="77777777" w:rsidR="0072020E" w:rsidRPr="00750BA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50BAE">
        <w:rPr>
          <w:b/>
          <w:bCs/>
          <w:sz w:val="22"/>
          <w:szCs w:val="22"/>
        </w:rPr>
        <w:t xml:space="preserve">5. </w:t>
      </w:r>
      <w:r w:rsidR="00480FB1" w:rsidRPr="00750BAE">
        <w:rPr>
          <w:b/>
          <w:bCs/>
          <w:sz w:val="22"/>
          <w:szCs w:val="22"/>
        </w:rPr>
        <w:tab/>
      </w:r>
      <w:r w:rsidRPr="00750BAE">
        <w:rPr>
          <w:b/>
          <w:bCs/>
          <w:sz w:val="22"/>
          <w:szCs w:val="22"/>
        </w:rPr>
        <w:t>FARMAKOLOŠK</w:t>
      </w:r>
      <w:r w:rsidR="000D425A" w:rsidRPr="00750BAE">
        <w:rPr>
          <w:b/>
          <w:bCs/>
          <w:sz w:val="22"/>
          <w:szCs w:val="22"/>
        </w:rPr>
        <w:t>I</w:t>
      </w:r>
      <w:r w:rsidRPr="00750BAE">
        <w:rPr>
          <w:b/>
          <w:bCs/>
          <w:sz w:val="22"/>
          <w:szCs w:val="22"/>
        </w:rPr>
        <w:t xml:space="preserve"> PODACI</w:t>
      </w:r>
    </w:p>
    <w:p w14:paraId="7E0CD707" w14:textId="77777777" w:rsidR="0072020E" w:rsidRPr="00750BA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4DA21157" w14:textId="77777777" w:rsidR="0072020E" w:rsidRPr="00750BA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50BAE">
        <w:rPr>
          <w:b/>
          <w:bCs/>
          <w:sz w:val="22"/>
          <w:szCs w:val="22"/>
        </w:rPr>
        <w:t xml:space="preserve">5.1. </w:t>
      </w:r>
      <w:r w:rsidR="00480FB1" w:rsidRPr="00750BAE">
        <w:rPr>
          <w:b/>
          <w:bCs/>
          <w:sz w:val="22"/>
          <w:szCs w:val="22"/>
        </w:rPr>
        <w:tab/>
      </w:r>
      <w:r w:rsidRPr="00750BAE">
        <w:rPr>
          <w:b/>
          <w:bCs/>
          <w:sz w:val="22"/>
          <w:szCs w:val="22"/>
        </w:rPr>
        <w:t>Farmakodinamski podaci</w:t>
      </w:r>
      <w:r w:rsidR="003A7059" w:rsidRPr="00750BAE">
        <w:rPr>
          <w:b/>
          <w:bCs/>
          <w:sz w:val="22"/>
          <w:szCs w:val="22"/>
        </w:rPr>
        <w:t xml:space="preserve"> </w:t>
      </w:r>
    </w:p>
    <w:p w14:paraId="5D8022BA" w14:textId="77777777" w:rsidR="00F45F77" w:rsidRPr="00750BAE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08A35DC5" w14:textId="77777777" w:rsidR="00BC3A3A" w:rsidRPr="00750BAE" w:rsidRDefault="00BC3A3A" w:rsidP="00BC3A3A">
      <w:pPr>
        <w:rPr>
          <w:b/>
          <w:bCs/>
          <w:sz w:val="22"/>
          <w:szCs w:val="22"/>
        </w:rPr>
      </w:pPr>
      <w:r w:rsidRPr="00750BAE">
        <w:rPr>
          <w:b/>
          <w:bCs/>
          <w:sz w:val="22"/>
          <w:szCs w:val="22"/>
        </w:rPr>
        <w:t xml:space="preserve">Farmakoterapijska grupa: </w:t>
      </w:r>
      <w:r w:rsidRPr="00750BAE">
        <w:rPr>
          <w:sz w:val="22"/>
          <w:szCs w:val="22"/>
          <w:lang w:val="sr-Latn-RS"/>
        </w:rPr>
        <w:t>Imunosupresivi, ostali imunosupresivi</w:t>
      </w:r>
    </w:p>
    <w:p w14:paraId="7E5112BF" w14:textId="77777777" w:rsidR="00BC3A3A" w:rsidRPr="00750BAE" w:rsidRDefault="00BC3A3A" w:rsidP="00BC3A3A">
      <w:pPr>
        <w:rPr>
          <w:sz w:val="22"/>
          <w:szCs w:val="22"/>
        </w:rPr>
      </w:pPr>
    </w:p>
    <w:p w14:paraId="074934D5" w14:textId="77777777" w:rsidR="00BC3A3A" w:rsidRPr="00750BAE" w:rsidRDefault="00BC3A3A" w:rsidP="00BC3A3A">
      <w:pPr>
        <w:rPr>
          <w:b/>
          <w:bCs/>
          <w:sz w:val="22"/>
          <w:szCs w:val="22"/>
        </w:rPr>
      </w:pPr>
      <w:r w:rsidRPr="00750BAE">
        <w:rPr>
          <w:b/>
          <w:bCs/>
          <w:sz w:val="22"/>
          <w:szCs w:val="22"/>
        </w:rPr>
        <w:t>ATC šifra:</w:t>
      </w:r>
      <w:r w:rsidRPr="00750BAE">
        <w:rPr>
          <w:sz w:val="22"/>
          <w:szCs w:val="22"/>
          <w:lang w:val="sr-Latn-RS"/>
        </w:rPr>
        <w:t xml:space="preserve"> </w:t>
      </w:r>
      <w:bookmarkStart w:id="0" w:name="_Hlk98760841"/>
      <w:r w:rsidRPr="00750BAE">
        <w:rPr>
          <w:sz w:val="22"/>
          <w:szCs w:val="22"/>
          <w:lang w:val="sr-Latn-RS"/>
        </w:rPr>
        <w:t>L04AX09</w:t>
      </w:r>
      <w:bookmarkEnd w:id="0"/>
    </w:p>
    <w:p w14:paraId="1E7C8435" w14:textId="77777777" w:rsidR="00BC3A3A" w:rsidRPr="00750BAE" w:rsidRDefault="00BC3A3A" w:rsidP="00BC3A3A">
      <w:pPr>
        <w:rPr>
          <w:sz w:val="22"/>
          <w:szCs w:val="22"/>
        </w:rPr>
      </w:pPr>
    </w:p>
    <w:p w14:paraId="29E89AE7" w14:textId="69CC3A01" w:rsidR="00BC3A3A" w:rsidRPr="00750BAE" w:rsidRDefault="00BC3A3A" w:rsidP="00BC3A3A">
      <w:pPr>
        <w:pStyle w:val="BodyText"/>
        <w:spacing w:line="480" w:lineRule="auto"/>
        <w:ind w:left="116" w:right="172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 xml:space="preserve">Mehanizam </w:t>
      </w:r>
      <w:r w:rsidR="00132BCB" w:rsidRPr="00750BAE">
        <w:rPr>
          <w:rFonts w:cs="Times New Roman"/>
          <w:u w:val="single"/>
          <w:lang w:val="sr-Latn-RS"/>
        </w:rPr>
        <w:t>djelovanj</w:t>
      </w:r>
      <w:r w:rsidRPr="00750BAE">
        <w:rPr>
          <w:rFonts w:cs="Times New Roman"/>
          <w:u w:val="single"/>
          <w:lang w:val="sr-Latn-RS"/>
        </w:rPr>
        <w:t>a</w:t>
      </w:r>
    </w:p>
    <w:p w14:paraId="5B8B6BDB" w14:textId="4EF7C50E" w:rsidR="00BC3A3A" w:rsidRPr="00750BAE" w:rsidRDefault="00BC3A3A" w:rsidP="00BC3A3A">
      <w:pPr>
        <w:pStyle w:val="BodyText"/>
        <w:spacing w:before="5"/>
        <w:ind w:right="172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Mehanizam kojim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 xml:space="preserve"> terapijski</w:t>
      </w:r>
      <w:r w:rsidR="003F0FBF" w:rsidRPr="00750BAE">
        <w:rPr>
          <w:rFonts w:cs="Times New Roman"/>
          <w:lang w:val="sr-Latn-RS"/>
        </w:rPr>
        <w:t xml:space="preserve"> djeluje </w:t>
      </w:r>
      <w:r w:rsidRPr="00750BAE">
        <w:rPr>
          <w:rFonts w:cs="Times New Roman"/>
          <w:lang w:val="sr-Latn-RS"/>
        </w:rPr>
        <w:t xml:space="preserve">na MS nije u potpunosti razjašnjen. </w:t>
      </w:r>
      <w:r w:rsidR="005A3B91">
        <w:rPr>
          <w:rFonts w:cs="Times New Roman"/>
          <w:lang w:val="sr-Latn-RS"/>
        </w:rPr>
        <w:t>Diroksimel fumarat</w:t>
      </w:r>
      <w:r w:rsidR="003F0FBF" w:rsidRPr="00750BAE">
        <w:rPr>
          <w:rFonts w:cs="Times New Roman"/>
          <w:lang w:val="sr-Latn-RS"/>
        </w:rPr>
        <w:t xml:space="preserve"> djeluje </w:t>
      </w:r>
      <w:r w:rsidRPr="00750BAE">
        <w:rPr>
          <w:rFonts w:cs="Times New Roman"/>
          <w:lang w:val="sr-Latn-RS"/>
        </w:rPr>
        <w:t>putem glavnog aktivnog metabolita, monometil fumarata. Pretklinička ispitivanja pokazuju da su farmakodinamski odgovori koje izaziva monometilfumarat barem d</w:t>
      </w:r>
      <w:r w:rsidR="000036DA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>elimično posredovani aktivacijom transkripcijskog puta Nrf2, nuklearnom faktoru (derivat eritroida 2)-sličan faktor 2 (</w:t>
      </w:r>
      <w:r w:rsidRPr="00750BAE">
        <w:rPr>
          <w:rFonts w:cs="Times New Roman"/>
          <w:i/>
          <w:iCs/>
          <w:lang w:val="sr-Latn-RS"/>
        </w:rPr>
        <w:t>engl</w:t>
      </w:r>
      <w:r w:rsidRPr="00750BAE">
        <w:rPr>
          <w:rFonts w:cs="Times New Roman"/>
          <w:lang w:val="sr-Latn-RS"/>
        </w:rPr>
        <w:t xml:space="preserve">. </w:t>
      </w:r>
      <w:r w:rsidRPr="00750BAE">
        <w:rPr>
          <w:rFonts w:cs="Times New Roman"/>
          <w:i/>
          <w:iCs/>
          <w:lang w:val="sr-Latn-RS"/>
        </w:rPr>
        <w:t>nuclear factor (erythroid-derived 2)-like 2</w:t>
      </w:r>
      <w:r w:rsidRPr="00750BAE">
        <w:rPr>
          <w:rFonts w:cs="Times New Roman"/>
          <w:lang w:val="sr-Latn-RS"/>
        </w:rPr>
        <w:t>).  Pokazalo se da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 kod pacijenata podstiče ekspresiju antioksidacionih gena zavisnih od Nrf2.</w:t>
      </w:r>
    </w:p>
    <w:p w14:paraId="0EB58588" w14:textId="77777777" w:rsidR="00BC3A3A" w:rsidRPr="00750BAE" w:rsidRDefault="00BC3A3A" w:rsidP="00BC3A3A">
      <w:pPr>
        <w:spacing w:before="9"/>
        <w:rPr>
          <w:sz w:val="22"/>
          <w:szCs w:val="22"/>
          <w:lang w:val="sr-Latn-RS"/>
        </w:rPr>
      </w:pPr>
    </w:p>
    <w:p w14:paraId="64D06521" w14:textId="77777777" w:rsidR="00BC3A3A" w:rsidRPr="00750BAE" w:rsidRDefault="00BC3A3A" w:rsidP="00BC3A3A">
      <w:pPr>
        <w:pStyle w:val="BodyText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>Farmakodinamski efekti</w:t>
      </w:r>
    </w:p>
    <w:p w14:paraId="29C4A211" w14:textId="77777777" w:rsidR="00BC3A3A" w:rsidRPr="00750BAE" w:rsidRDefault="00BC3A3A" w:rsidP="00BC3A3A">
      <w:pPr>
        <w:spacing w:before="11"/>
        <w:rPr>
          <w:sz w:val="22"/>
          <w:szCs w:val="22"/>
          <w:lang w:val="sr-Latn-RS"/>
        </w:rPr>
      </w:pPr>
    </w:p>
    <w:p w14:paraId="778A4269" w14:textId="77777777" w:rsidR="00BC3A3A" w:rsidRPr="00750BAE" w:rsidRDefault="00BC3A3A" w:rsidP="00BC3A3A">
      <w:pPr>
        <w:spacing w:before="72"/>
        <w:ind w:left="115"/>
        <w:rPr>
          <w:sz w:val="22"/>
          <w:szCs w:val="22"/>
          <w:lang w:val="sr-Latn-RS"/>
        </w:rPr>
      </w:pPr>
      <w:r w:rsidRPr="00750BAE">
        <w:rPr>
          <w:i/>
          <w:iCs/>
          <w:sz w:val="22"/>
          <w:szCs w:val="22"/>
          <w:lang w:val="sr-Latn-RS"/>
        </w:rPr>
        <w:t>Uticaji na imuni sistem</w:t>
      </w:r>
    </w:p>
    <w:p w14:paraId="0E22A6FD" w14:textId="77777777" w:rsidR="00BC3A3A" w:rsidRPr="00750BAE" w:rsidRDefault="00BC3A3A" w:rsidP="00BC3A3A">
      <w:pPr>
        <w:spacing w:before="10"/>
        <w:rPr>
          <w:i/>
          <w:sz w:val="22"/>
          <w:szCs w:val="22"/>
          <w:lang w:val="sr-Latn-RS"/>
        </w:rPr>
      </w:pPr>
    </w:p>
    <w:p w14:paraId="626D00AA" w14:textId="2EF88E91" w:rsidR="00BC3A3A" w:rsidRPr="00750BAE" w:rsidRDefault="00BC3A3A" w:rsidP="00BC3A3A">
      <w:pPr>
        <w:pStyle w:val="BodyText"/>
        <w:spacing w:line="237" w:lineRule="auto"/>
        <w:ind w:left="116" w:right="225" w:hanging="1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U kliničkim ispitivanjima dimetil fumarat je pokazao protivupalna i imunomodula</w:t>
      </w:r>
      <w:r w:rsidR="00553574">
        <w:rPr>
          <w:rFonts w:cs="Times New Roman"/>
          <w:lang w:val="sr-Latn-RS"/>
        </w:rPr>
        <w:t>torna</w:t>
      </w:r>
      <w:r w:rsidRPr="00750BAE">
        <w:rPr>
          <w:rFonts w:cs="Times New Roman"/>
          <w:lang w:val="sr-Latn-RS"/>
        </w:rPr>
        <w:t xml:space="preserve"> svojstva. Dimetil fumarat i monometil fumarat (aktivni metabolit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 xml:space="preserve">a i dimetil fumarata) značajno smanjuju aktivaciju imunih ćelija i </w:t>
      </w:r>
      <w:r w:rsidR="000036DA" w:rsidRPr="00750BAE">
        <w:rPr>
          <w:rFonts w:cs="Times New Roman"/>
          <w:lang w:val="sr-Latn-RS"/>
        </w:rPr>
        <w:t>posljedično</w:t>
      </w:r>
      <w:r w:rsidRPr="00750BAE">
        <w:rPr>
          <w:rFonts w:cs="Times New Roman"/>
          <w:lang w:val="sr-Latn-RS"/>
        </w:rPr>
        <w:t xml:space="preserve"> otpuštanje proupalnih citokina kao odgovor na upalni stimulus i osim toga, utiču na fenotipove limfocita putem smanjenja proizvodnje proupalnih citokina (TH1, TH17) i sklonosti prema protivupalnoj produkciji (TH2).</w:t>
      </w:r>
    </w:p>
    <w:p w14:paraId="0ABF61E9" w14:textId="61C07930" w:rsidR="00BC3A3A" w:rsidRDefault="00BC3A3A" w:rsidP="00BC3A3A">
      <w:pPr>
        <w:pStyle w:val="BodyText"/>
        <w:spacing w:before="56" w:line="237" w:lineRule="auto"/>
        <w:ind w:right="131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U ispitivanjima faze 3 sprovedenim kod pacijenata sa multiplom sklerozom (DEFINE, CONFIRM i ENDORSE), pri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 xml:space="preserve">u dimetil fumaratom srednja </w:t>
      </w:r>
      <w:r w:rsidR="005F44D1" w:rsidRPr="00750BAE">
        <w:rPr>
          <w:rFonts w:cs="Times New Roman"/>
          <w:lang w:val="sr-Latn-RS"/>
        </w:rPr>
        <w:t>vrijednost</w:t>
      </w:r>
      <w:r w:rsidRPr="00750BAE">
        <w:rPr>
          <w:rFonts w:cs="Times New Roman"/>
          <w:lang w:val="sr-Latn-RS"/>
        </w:rPr>
        <w:t xml:space="preserve"> broja limfocita smanjivala se u pros</w:t>
      </w:r>
      <w:r w:rsidR="00116E62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 xml:space="preserve">eku za otprilike 30% od početne </w:t>
      </w:r>
      <w:r w:rsidR="005F44D1" w:rsidRPr="00750BAE">
        <w:rPr>
          <w:rFonts w:cs="Times New Roman"/>
          <w:lang w:val="sr-Latn-RS"/>
        </w:rPr>
        <w:t>vrijednost</w:t>
      </w:r>
      <w:r w:rsidRPr="00750BAE">
        <w:rPr>
          <w:rFonts w:cs="Times New Roman"/>
          <w:lang w:val="sr-Latn-RS"/>
        </w:rPr>
        <w:t>i tokom prve godine, nakon čega je usl</w:t>
      </w:r>
      <w:r w:rsidR="00116E62" w:rsidRPr="00750BAE">
        <w:rPr>
          <w:rFonts w:cs="Times New Roman"/>
          <w:lang w:val="sr-Latn-RS"/>
        </w:rPr>
        <w:t>ij</w:t>
      </w:r>
      <w:r w:rsidRPr="00750BAE">
        <w:rPr>
          <w:rFonts w:cs="Times New Roman"/>
          <w:lang w:val="sr-Latn-RS"/>
        </w:rPr>
        <w:t>edio plato.</w:t>
      </w:r>
    </w:p>
    <w:p w14:paraId="2FF607C5" w14:textId="70EAB435" w:rsidR="00A657ED" w:rsidRDefault="00A657ED" w:rsidP="00BC3A3A">
      <w:pPr>
        <w:pStyle w:val="BodyText"/>
        <w:spacing w:before="56" w:line="237" w:lineRule="auto"/>
        <w:ind w:right="131"/>
        <w:jc w:val="both"/>
      </w:pPr>
      <w:r>
        <w:t xml:space="preserve">U ovim ispitivanjima, pacijenti koji su prekinuli terapiju </w:t>
      </w:r>
      <w:r w:rsidR="00846F02">
        <w:t>dimetil</w:t>
      </w:r>
      <w:r w:rsidR="004B472C">
        <w:t xml:space="preserve"> </w:t>
      </w:r>
      <w:r w:rsidR="00846F02">
        <w:t>fumaratom</w:t>
      </w:r>
      <w:r>
        <w:t xml:space="preserve"> sa brojem limfocita ispod donje granice normale (DGN, 910 ćelija/mm3), praćeni su u pogledu povratka broja limfocita na DGN.</w:t>
      </w:r>
    </w:p>
    <w:p w14:paraId="2D7B3A90" w14:textId="041CB7E4" w:rsidR="00A657ED" w:rsidRDefault="00A657ED" w:rsidP="00BC3A3A">
      <w:pPr>
        <w:pStyle w:val="BodyText"/>
        <w:spacing w:before="56" w:line="237" w:lineRule="auto"/>
        <w:ind w:right="131"/>
        <w:jc w:val="both"/>
        <w:rPr>
          <w:rFonts w:cs="Times New Roman"/>
          <w:lang w:val="sr-Latn-RS"/>
        </w:rPr>
      </w:pPr>
    </w:p>
    <w:p w14:paraId="06FBFD21" w14:textId="17AF2642" w:rsidR="000378F4" w:rsidRDefault="000378F4" w:rsidP="000378F4">
      <w:pPr>
        <w:spacing w:line="256" w:lineRule="auto"/>
        <w:jc w:val="both"/>
        <w:rPr>
          <w:rFonts w:eastAsiaTheme="minorHAnsi"/>
          <w:sz w:val="22"/>
          <w:szCs w:val="22"/>
          <w:lang w:val="sr-Latn-ME"/>
        </w:rPr>
      </w:pPr>
      <w:r>
        <w:rPr>
          <w:rFonts w:eastAsiaTheme="minorHAnsi"/>
          <w:sz w:val="22"/>
          <w:szCs w:val="22"/>
          <w:lang w:val="sr-Latn-ME"/>
        </w:rPr>
        <w:t xml:space="preserve">Slika 1. prikazuje udio pacijenata za koje je procijenjeno da su dostigli DGN na osnovu Kaplan-Meierove metode bez produžene teške limfopenije. Vrijednost na početku oporavka (engl. </w:t>
      </w:r>
      <w:r>
        <w:rPr>
          <w:rFonts w:eastAsiaTheme="minorHAnsi"/>
          <w:i/>
          <w:sz w:val="22"/>
          <w:szCs w:val="22"/>
          <w:lang w:val="sr-Latn-ME"/>
        </w:rPr>
        <w:t>recovery baseline</w:t>
      </w:r>
      <w:r>
        <w:rPr>
          <w:rFonts w:eastAsiaTheme="minorHAnsi"/>
          <w:sz w:val="22"/>
          <w:szCs w:val="22"/>
          <w:lang w:val="sr-Latn-ME"/>
        </w:rPr>
        <w:t xml:space="preserve">, RBL) je definisana kao posljednja vrijednost ABL-a tokom liječenja prije ukidanja </w:t>
      </w:r>
      <w:r w:rsidR="00846F02">
        <w:rPr>
          <w:rFonts w:eastAsiaTheme="minorHAnsi"/>
          <w:sz w:val="22"/>
          <w:szCs w:val="22"/>
          <w:lang w:val="sr-Latn-ME"/>
        </w:rPr>
        <w:t>dimetil</w:t>
      </w:r>
      <w:r w:rsidR="004B472C">
        <w:rPr>
          <w:rFonts w:eastAsiaTheme="minorHAnsi"/>
          <w:sz w:val="22"/>
          <w:szCs w:val="22"/>
          <w:lang w:val="sr-Latn-ME"/>
        </w:rPr>
        <w:t xml:space="preserve"> </w:t>
      </w:r>
      <w:r w:rsidR="00846F02">
        <w:rPr>
          <w:rFonts w:eastAsiaTheme="minorHAnsi"/>
          <w:sz w:val="22"/>
          <w:szCs w:val="22"/>
          <w:lang w:val="sr-Latn-ME"/>
        </w:rPr>
        <w:t>fumarata</w:t>
      </w:r>
      <w:r>
        <w:rPr>
          <w:rFonts w:eastAsiaTheme="minorHAnsi"/>
          <w:sz w:val="22"/>
          <w:szCs w:val="22"/>
          <w:lang w:val="sr-Latn-ME"/>
        </w:rPr>
        <w:t>. Procijenjeni udio pacijenata sa blagom, umjerenom ili teškom limfopenijom pri RBL-u, kod kojih se broj limfocita oporavio do DGN-a (ABL ≥ 0,9 ×109/</w:t>
      </w:r>
      <w:r w:rsidR="004B472C">
        <w:rPr>
          <w:rFonts w:eastAsiaTheme="minorHAnsi"/>
          <w:sz w:val="22"/>
          <w:szCs w:val="22"/>
          <w:lang w:val="sr-Latn-ME"/>
        </w:rPr>
        <w:t>l</w:t>
      </w:r>
      <w:r>
        <w:rPr>
          <w:rFonts w:eastAsiaTheme="minorHAnsi"/>
          <w:sz w:val="22"/>
          <w:szCs w:val="22"/>
          <w:lang w:val="sr-Latn-ME"/>
        </w:rPr>
        <w:t>) u 12. nedjelji i 24. nedjelji, prikazan je u tabelama 1., 2. i 3., uz 95%-tne  intervale pouzdanosti. Standardna greška Kaplan-Meier procjenitelja funkcije preživljavanja izračunata je pomoću Greenwoodove formule.</w:t>
      </w:r>
    </w:p>
    <w:p w14:paraId="0C2A92AA" w14:textId="77777777" w:rsidR="000378F4" w:rsidRDefault="000378F4" w:rsidP="000378F4">
      <w:pPr>
        <w:spacing w:line="256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584935A9" w14:textId="77777777" w:rsidR="000378F4" w:rsidRDefault="000378F4" w:rsidP="000378F4">
      <w:pPr>
        <w:spacing w:line="256" w:lineRule="auto"/>
        <w:jc w:val="both"/>
        <w:rPr>
          <w:rFonts w:eastAsiaTheme="minorHAnsi"/>
          <w:b/>
          <w:sz w:val="22"/>
          <w:szCs w:val="22"/>
          <w:lang w:val="sr-Latn-ME"/>
        </w:rPr>
      </w:pPr>
      <w:r>
        <w:rPr>
          <w:rFonts w:eastAsiaTheme="minorHAnsi"/>
          <w:b/>
          <w:sz w:val="22"/>
          <w:szCs w:val="22"/>
          <w:lang w:val="sr-Latn-ME"/>
        </w:rPr>
        <w:t>Slika 1: Kaplan-Meierova metoda; Udio pacijenata kod kojih se broj limfocita oporavio do DGN-a ≥ 910 ćelija/mm3 u odnosu na vrijednost na početku oporavka (RBL)</w:t>
      </w:r>
    </w:p>
    <w:p w14:paraId="0B9C6D30" w14:textId="77777777" w:rsidR="000378F4" w:rsidRDefault="000378F4" w:rsidP="000378F4">
      <w:pPr>
        <w:spacing w:line="256" w:lineRule="auto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0B158748" w14:textId="1A989551" w:rsidR="000378F4" w:rsidRDefault="000378F4" w:rsidP="000378F4">
      <w:pPr>
        <w:spacing w:line="256" w:lineRule="auto"/>
        <w:jc w:val="both"/>
        <w:rPr>
          <w:rFonts w:eastAsiaTheme="minorHAnsi"/>
          <w:sz w:val="22"/>
          <w:szCs w:val="22"/>
          <w:lang w:val="sr-Latn-ME"/>
        </w:rPr>
      </w:pPr>
      <w:r>
        <w:rPr>
          <w:rFonts w:eastAsiaTheme="minorHAnsi"/>
          <w:noProof/>
          <w:sz w:val="22"/>
          <w:szCs w:val="22"/>
          <w:lang w:val="sr-Latn-ME" w:eastAsia="sr-Latn-ME"/>
        </w:rPr>
        <w:lastRenderedPageBreak/>
        <w:t>––</w:t>
      </w:r>
      <w:r>
        <w:rPr>
          <w:rFonts w:eastAsiaTheme="minorHAnsi"/>
          <w:noProof/>
          <w:sz w:val="22"/>
          <w:szCs w:val="22"/>
        </w:rPr>
        <w:drawing>
          <wp:inline distT="0" distB="0" distL="0" distR="0" wp14:anchorId="725A22F5" wp14:editId="7217EAD3">
            <wp:extent cx="5760720" cy="27736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39B83" w14:textId="77777777" w:rsidR="000378F4" w:rsidRDefault="000378F4" w:rsidP="000378F4">
      <w:pPr>
        <w:spacing w:line="256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43A1DFEF" w14:textId="0730D4DD" w:rsidR="000378F4" w:rsidRDefault="000378F4" w:rsidP="000378F4">
      <w:pPr>
        <w:spacing w:line="256" w:lineRule="auto"/>
        <w:jc w:val="both"/>
        <w:rPr>
          <w:rFonts w:eastAsiaTheme="minorHAnsi"/>
          <w:b/>
          <w:sz w:val="22"/>
          <w:szCs w:val="22"/>
          <w:lang w:val="sr-Latn-ME"/>
        </w:rPr>
      </w:pPr>
      <w:r>
        <w:rPr>
          <w:rFonts w:eastAsiaTheme="minorHAnsi"/>
          <w:b/>
          <w:sz w:val="22"/>
          <w:szCs w:val="22"/>
          <w:lang w:val="sr-Latn-ME"/>
        </w:rPr>
        <w:t xml:space="preserve">Tabela </w:t>
      </w:r>
      <w:r w:rsidR="00B9775A">
        <w:rPr>
          <w:rFonts w:eastAsiaTheme="minorHAnsi"/>
          <w:b/>
          <w:sz w:val="22"/>
          <w:szCs w:val="22"/>
          <w:lang w:val="sr-Latn-ME"/>
        </w:rPr>
        <w:t>2</w:t>
      </w:r>
      <w:r>
        <w:rPr>
          <w:rFonts w:eastAsiaTheme="minorHAnsi"/>
          <w:b/>
          <w:sz w:val="22"/>
          <w:szCs w:val="22"/>
          <w:lang w:val="sr-Latn-ME"/>
        </w:rPr>
        <w:t>: Kaplan-Meierova metoda; Udio pacijenata procijenjenih da će dostići DGN, blaga limfopenija prema vrijednosti na početku oporavka (RBL); pacijenti sa produženom teškom limfopenijom su isključeni</w:t>
      </w:r>
    </w:p>
    <w:p w14:paraId="3418AA84" w14:textId="77777777" w:rsidR="000378F4" w:rsidRDefault="000378F4" w:rsidP="000378F4">
      <w:pPr>
        <w:spacing w:line="256" w:lineRule="auto"/>
        <w:jc w:val="both"/>
        <w:rPr>
          <w:rFonts w:eastAsiaTheme="minorHAnsi"/>
          <w:sz w:val="22"/>
          <w:szCs w:val="22"/>
          <w:lang w:val="sr-Latn-ME"/>
        </w:rPr>
      </w:pPr>
    </w:p>
    <w:tbl>
      <w:tblPr>
        <w:tblStyle w:val="TableGrid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54"/>
        <w:gridCol w:w="1841"/>
        <w:gridCol w:w="1983"/>
        <w:gridCol w:w="1982"/>
      </w:tblGrid>
      <w:tr w:rsidR="000378F4" w14:paraId="7AF3B8D4" w14:textId="77777777" w:rsidTr="000378F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69DD" w14:textId="77777777" w:rsidR="000378F4" w:rsidRPr="000C092A" w:rsidRDefault="000378F4">
            <w:pPr>
              <w:pStyle w:val="Default"/>
              <w:rPr>
                <w:b/>
                <w:color w:val="auto"/>
                <w:sz w:val="22"/>
                <w:szCs w:val="22"/>
                <w:lang w:val="sr-Latn-ME"/>
              </w:rPr>
            </w:pPr>
            <w:r w:rsidRPr="000C092A">
              <w:rPr>
                <w:b/>
                <w:color w:val="auto"/>
                <w:sz w:val="22"/>
                <w:szCs w:val="22"/>
                <w:lang w:val="sr-Latn-ME"/>
              </w:rPr>
              <w:t>Broj pacijenata sa blagom limfopenijom</w:t>
            </w:r>
            <w:r w:rsidRPr="000C092A">
              <w:rPr>
                <w:b/>
                <w:color w:val="auto"/>
                <w:sz w:val="22"/>
                <w:szCs w:val="22"/>
                <w:vertAlign w:val="superscript"/>
                <w:lang w:val="sr-Latn-ME"/>
              </w:rPr>
              <w:t>a</w:t>
            </w:r>
            <w:r w:rsidRPr="000C092A">
              <w:rPr>
                <w:b/>
                <w:color w:val="auto"/>
                <w:sz w:val="22"/>
                <w:szCs w:val="22"/>
                <w:lang w:val="sr-Latn-ME"/>
              </w:rPr>
              <w:t xml:space="preserve"> koji su pod rizikom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09F1" w14:textId="77777777" w:rsidR="000378F4" w:rsidRPr="000C092A" w:rsidRDefault="000378F4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sr-Latn-ME"/>
              </w:rPr>
            </w:pPr>
            <w:r w:rsidRPr="000C092A">
              <w:rPr>
                <w:b/>
                <w:color w:val="auto"/>
                <w:sz w:val="22"/>
                <w:szCs w:val="22"/>
                <w:lang w:val="sr-Latn-ME"/>
              </w:rPr>
              <w:t>Početak</w:t>
            </w:r>
          </w:p>
          <w:p w14:paraId="32EE4768" w14:textId="77777777" w:rsidR="000378F4" w:rsidRPr="000C092A" w:rsidRDefault="000378F4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0C092A">
              <w:rPr>
                <w:b/>
                <w:sz w:val="22"/>
                <w:szCs w:val="22"/>
                <w:lang w:val="sr-Latn-ME"/>
              </w:rPr>
              <w:t>N=86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26FC" w14:textId="77777777" w:rsidR="000378F4" w:rsidRPr="000C092A" w:rsidRDefault="000378F4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sr-Latn-ME"/>
              </w:rPr>
            </w:pPr>
            <w:r w:rsidRPr="000C092A">
              <w:rPr>
                <w:b/>
                <w:color w:val="auto"/>
                <w:sz w:val="22"/>
                <w:szCs w:val="22"/>
                <w:lang w:val="sr-Latn-ME"/>
              </w:rPr>
              <w:t>12. nedjelja</w:t>
            </w:r>
          </w:p>
          <w:p w14:paraId="0A829952" w14:textId="77777777" w:rsidR="000378F4" w:rsidRPr="000C092A" w:rsidRDefault="000378F4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0C092A">
              <w:rPr>
                <w:b/>
                <w:sz w:val="22"/>
                <w:szCs w:val="22"/>
                <w:lang w:val="sr-Latn-ME"/>
              </w:rPr>
              <w:t>N=12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975C" w14:textId="77777777" w:rsidR="000378F4" w:rsidRPr="000C092A" w:rsidRDefault="000378F4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sr-Latn-ME"/>
              </w:rPr>
            </w:pPr>
            <w:r w:rsidRPr="000C092A">
              <w:rPr>
                <w:b/>
                <w:color w:val="auto"/>
                <w:sz w:val="22"/>
                <w:szCs w:val="22"/>
                <w:lang w:val="sr-Latn-ME"/>
              </w:rPr>
              <w:t>24. nedjelja</w:t>
            </w:r>
          </w:p>
          <w:p w14:paraId="7BFB8394" w14:textId="77777777" w:rsidR="000378F4" w:rsidRPr="000C092A" w:rsidRDefault="000378F4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0C092A">
              <w:rPr>
                <w:b/>
                <w:sz w:val="22"/>
                <w:szCs w:val="22"/>
                <w:lang w:val="sr-Latn-ME"/>
              </w:rPr>
              <w:t>N=4</w:t>
            </w:r>
          </w:p>
        </w:tc>
      </w:tr>
      <w:tr w:rsidR="000378F4" w14:paraId="27E84AA3" w14:textId="77777777" w:rsidTr="000378F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84CA" w14:textId="77777777" w:rsidR="000378F4" w:rsidRPr="000C092A" w:rsidRDefault="000378F4">
            <w:pPr>
              <w:pStyle w:val="Default"/>
              <w:rPr>
                <w:color w:val="auto"/>
                <w:sz w:val="22"/>
                <w:szCs w:val="22"/>
                <w:lang w:val="sr-Latn-ME"/>
              </w:rPr>
            </w:pPr>
            <w:r w:rsidRPr="000C092A">
              <w:rPr>
                <w:color w:val="auto"/>
                <w:sz w:val="22"/>
                <w:szCs w:val="22"/>
                <w:lang w:val="sr-Latn-ME"/>
              </w:rPr>
              <w:t xml:space="preserve">Udio koji je dostigao DGN (95% CI)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2940" w14:textId="77777777" w:rsidR="000378F4" w:rsidRPr="000C092A" w:rsidRDefault="000378F4">
            <w:pPr>
              <w:jc w:val="center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5D6E" w14:textId="77777777" w:rsidR="000378F4" w:rsidRPr="000C092A" w:rsidRDefault="000378F4">
            <w:pPr>
              <w:pStyle w:val="Default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0C092A">
              <w:rPr>
                <w:color w:val="auto"/>
                <w:sz w:val="22"/>
                <w:szCs w:val="22"/>
                <w:lang w:val="sr-Latn-ME"/>
              </w:rPr>
              <w:t>0,81</w:t>
            </w:r>
          </w:p>
          <w:p w14:paraId="3065355B" w14:textId="77777777" w:rsidR="000378F4" w:rsidRPr="000C092A" w:rsidRDefault="000378F4">
            <w:pPr>
              <w:jc w:val="center"/>
              <w:rPr>
                <w:bCs/>
                <w:sz w:val="22"/>
                <w:szCs w:val="22"/>
                <w:lang w:val="sr-Latn-ME"/>
              </w:rPr>
            </w:pPr>
            <w:r w:rsidRPr="000C092A">
              <w:rPr>
                <w:sz w:val="22"/>
                <w:szCs w:val="22"/>
                <w:lang w:val="sr-Latn-ME"/>
              </w:rPr>
              <w:t>(0,71; 0,89)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A938" w14:textId="77777777" w:rsidR="000378F4" w:rsidRPr="000C092A" w:rsidRDefault="000378F4">
            <w:pPr>
              <w:pStyle w:val="Default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0C092A">
              <w:rPr>
                <w:color w:val="auto"/>
                <w:sz w:val="22"/>
                <w:szCs w:val="22"/>
                <w:lang w:val="sr-Latn-ME"/>
              </w:rPr>
              <w:t>0,90</w:t>
            </w:r>
          </w:p>
          <w:p w14:paraId="21B495EC" w14:textId="77777777" w:rsidR="000378F4" w:rsidRPr="000C092A" w:rsidRDefault="000378F4">
            <w:pPr>
              <w:jc w:val="center"/>
              <w:rPr>
                <w:bCs/>
                <w:sz w:val="22"/>
                <w:szCs w:val="22"/>
                <w:lang w:val="sr-Latn-ME"/>
              </w:rPr>
            </w:pPr>
            <w:r w:rsidRPr="000C092A">
              <w:rPr>
                <w:sz w:val="22"/>
                <w:szCs w:val="22"/>
                <w:lang w:val="sr-Latn-ME"/>
              </w:rPr>
              <w:t>(0,81; 0,96)</w:t>
            </w:r>
          </w:p>
        </w:tc>
      </w:tr>
    </w:tbl>
    <w:p w14:paraId="15842922" w14:textId="77777777" w:rsidR="000378F4" w:rsidRDefault="000378F4" w:rsidP="000378F4">
      <w:pPr>
        <w:spacing w:line="256" w:lineRule="auto"/>
        <w:jc w:val="both"/>
        <w:rPr>
          <w:rFonts w:eastAsiaTheme="minorHAnsi"/>
          <w:sz w:val="22"/>
          <w:szCs w:val="22"/>
          <w:lang w:val="sr-Latn-ME"/>
        </w:rPr>
      </w:pPr>
      <w:r>
        <w:rPr>
          <w:rFonts w:eastAsiaTheme="minorHAnsi"/>
          <w:sz w:val="22"/>
          <w:szCs w:val="22"/>
          <w:vertAlign w:val="superscript"/>
          <w:lang w:val="sr-Latn-ME"/>
        </w:rPr>
        <w:t>a</w:t>
      </w:r>
      <w:r>
        <w:rPr>
          <w:rFonts w:eastAsiaTheme="minorHAnsi"/>
          <w:sz w:val="22"/>
          <w:szCs w:val="22"/>
          <w:lang w:val="sr-Latn-ME"/>
        </w:rPr>
        <w:t xml:space="preserve"> Pacijenti sa ABL-om &lt; 910 i ≥ 800 ćelija/mm3 pri RBL-u; pacijenti sa produženom teškom limfopenijom su isključeni.</w:t>
      </w:r>
    </w:p>
    <w:p w14:paraId="0A2AAFA2" w14:textId="77777777" w:rsidR="000378F4" w:rsidRDefault="000378F4" w:rsidP="000378F4">
      <w:pPr>
        <w:spacing w:line="256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22A088C2" w14:textId="276CF778" w:rsidR="000378F4" w:rsidRDefault="000378F4" w:rsidP="000378F4">
      <w:pPr>
        <w:spacing w:line="256" w:lineRule="auto"/>
        <w:jc w:val="both"/>
        <w:rPr>
          <w:rFonts w:eastAsiaTheme="minorHAnsi"/>
          <w:b/>
          <w:sz w:val="22"/>
          <w:szCs w:val="22"/>
          <w:lang w:val="sr-Latn-ME"/>
        </w:rPr>
      </w:pPr>
      <w:r>
        <w:rPr>
          <w:rFonts w:eastAsiaTheme="minorHAnsi"/>
          <w:b/>
          <w:sz w:val="22"/>
          <w:szCs w:val="22"/>
          <w:lang w:val="sr-Latn-ME"/>
        </w:rPr>
        <w:t xml:space="preserve">Tabela </w:t>
      </w:r>
      <w:r w:rsidR="00B9775A">
        <w:rPr>
          <w:rFonts w:eastAsiaTheme="minorHAnsi"/>
          <w:b/>
          <w:sz w:val="22"/>
          <w:szCs w:val="22"/>
          <w:lang w:val="sr-Latn-ME"/>
        </w:rPr>
        <w:t>3</w:t>
      </w:r>
      <w:r>
        <w:rPr>
          <w:rFonts w:eastAsiaTheme="minorHAnsi"/>
          <w:b/>
          <w:sz w:val="22"/>
          <w:szCs w:val="22"/>
          <w:lang w:val="sr-Latn-ME"/>
        </w:rPr>
        <w:t xml:space="preserve">: Kaplan-Meierova metoda; Udio pacijenata procijenjenih da će dostići DGN, umjerena limfopenija prema vrijednosti na početku oporavka (RBL); pacijenti sa produženom teškom limfopenijom su isključeni </w:t>
      </w:r>
    </w:p>
    <w:p w14:paraId="03AB4915" w14:textId="77777777" w:rsidR="000378F4" w:rsidRDefault="000378F4" w:rsidP="000378F4">
      <w:pPr>
        <w:spacing w:line="256" w:lineRule="auto"/>
        <w:jc w:val="both"/>
        <w:rPr>
          <w:rFonts w:eastAsiaTheme="minorHAnsi"/>
          <w:sz w:val="22"/>
          <w:szCs w:val="22"/>
          <w:lang w:val="sr-Latn-ME"/>
        </w:rPr>
      </w:pPr>
    </w:p>
    <w:tbl>
      <w:tblPr>
        <w:tblStyle w:val="TableGrid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54"/>
        <w:gridCol w:w="1841"/>
        <w:gridCol w:w="1983"/>
        <w:gridCol w:w="1982"/>
      </w:tblGrid>
      <w:tr w:rsidR="000378F4" w14:paraId="24A97DD8" w14:textId="77777777" w:rsidTr="000378F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4C7F" w14:textId="77777777" w:rsidR="000378F4" w:rsidRPr="000C092A" w:rsidRDefault="000378F4">
            <w:pPr>
              <w:pStyle w:val="Default"/>
              <w:rPr>
                <w:b/>
                <w:color w:val="auto"/>
                <w:sz w:val="22"/>
                <w:szCs w:val="22"/>
                <w:lang w:val="sr-Latn-ME"/>
              </w:rPr>
            </w:pPr>
            <w:r w:rsidRPr="000C092A">
              <w:rPr>
                <w:b/>
                <w:color w:val="auto"/>
                <w:sz w:val="22"/>
                <w:szCs w:val="22"/>
                <w:lang w:val="sr-Latn-ME"/>
              </w:rPr>
              <w:t>Broj pacijenata sa umjerenom limfopenijom</w:t>
            </w:r>
            <w:r w:rsidRPr="000C092A">
              <w:rPr>
                <w:b/>
                <w:color w:val="auto"/>
                <w:sz w:val="22"/>
                <w:szCs w:val="22"/>
                <w:vertAlign w:val="superscript"/>
                <w:lang w:val="sr-Latn-ME"/>
              </w:rPr>
              <w:t>a</w:t>
            </w:r>
            <w:r w:rsidRPr="000C092A">
              <w:rPr>
                <w:b/>
                <w:color w:val="auto"/>
                <w:sz w:val="22"/>
                <w:szCs w:val="22"/>
                <w:lang w:val="sr-Latn-ME"/>
              </w:rPr>
              <w:t xml:space="preserve"> koji su pod rizikom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81E0" w14:textId="77777777" w:rsidR="000378F4" w:rsidRPr="000C092A" w:rsidRDefault="000378F4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sr-Latn-ME"/>
              </w:rPr>
            </w:pPr>
            <w:r w:rsidRPr="000C092A">
              <w:rPr>
                <w:b/>
                <w:color w:val="auto"/>
                <w:sz w:val="22"/>
                <w:szCs w:val="22"/>
                <w:lang w:val="sr-Latn-ME"/>
              </w:rPr>
              <w:t>Početak</w:t>
            </w:r>
          </w:p>
          <w:p w14:paraId="1E712AC5" w14:textId="77777777" w:rsidR="000378F4" w:rsidRPr="000C092A" w:rsidRDefault="000378F4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0C092A">
              <w:rPr>
                <w:b/>
                <w:sz w:val="22"/>
                <w:szCs w:val="22"/>
                <w:lang w:val="sr-Latn-ME"/>
              </w:rPr>
              <w:t>N=124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8A79" w14:textId="77777777" w:rsidR="000378F4" w:rsidRPr="000C092A" w:rsidRDefault="000378F4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sr-Latn-ME"/>
              </w:rPr>
            </w:pPr>
            <w:r w:rsidRPr="000C092A">
              <w:rPr>
                <w:b/>
                <w:color w:val="auto"/>
                <w:sz w:val="22"/>
                <w:szCs w:val="22"/>
                <w:lang w:val="sr-Latn-ME"/>
              </w:rPr>
              <w:t>12. nedjelja</w:t>
            </w:r>
          </w:p>
          <w:p w14:paraId="09074C08" w14:textId="77777777" w:rsidR="000378F4" w:rsidRPr="000C092A" w:rsidRDefault="000378F4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0C092A">
              <w:rPr>
                <w:b/>
                <w:sz w:val="22"/>
                <w:szCs w:val="22"/>
                <w:lang w:val="sr-Latn-ME"/>
              </w:rPr>
              <w:t>N=33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7CFC" w14:textId="77777777" w:rsidR="000378F4" w:rsidRPr="000C092A" w:rsidRDefault="000378F4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sr-Latn-ME"/>
              </w:rPr>
            </w:pPr>
            <w:r w:rsidRPr="000C092A">
              <w:rPr>
                <w:b/>
                <w:color w:val="auto"/>
                <w:sz w:val="22"/>
                <w:szCs w:val="22"/>
                <w:lang w:val="sr-Latn-ME"/>
              </w:rPr>
              <w:t>24. nedjelja</w:t>
            </w:r>
          </w:p>
          <w:p w14:paraId="2C53C496" w14:textId="77777777" w:rsidR="000378F4" w:rsidRPr="000C092A" w:rsidRDefault="000378F4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0C092A">
              <w:rPr>
                <w:b/>
                <w:sz w:val="22"/>
                <w:szCs w:val="22"/>
                <w:lang w:val="sr-Latn-ME"/>
              </w:rPr>
              <w:t>N=17</w:t>
            </w:r>
          </w:p>
        </w:tc>
      </w:tr>
      <w:tr w:rsidR="000378F4" w14:paraId="67D80638" w14:textId="77777777" w:rsidTr="000378F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88A9" w14:textId="77777777" w:rsidR="000378F4" w:rsidRPr="000C092A" w:rsidRDefault="000378F4">
            <w:pPr>
              <w:pStyle w:val="Default"/>
              <w:rPr>
                <w:color w:val="auto"/>
                <w:sz w:val="22"/>
                <w:szCs w:val="22"/>
                <w:lang w:val="sr-Latn-ME"/>
              </w:rPr>
            </w:pPr>
            <w:r w:rsidRPr="000C092A">
              <w:rPr>
                <w:color w:val="auto"/>
                <w:sz w:val="22"/>
                <w:szCs w:val="22"/>
                <w:lang w:val="sr-Latn-ME"/>
              </w:rPr>
              <w:t xml:space="preserve">Udio koji je dostigao DGN (95% CI)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6FEB" w14:textId="77777777" w:rsidR="000378F4" w:rsidRPr="000C092A" w:rsidRDefault="000378F4">
            <w:pPr>
              <w:jc w:val="center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70E0" w14:textId="77777777" w:rsidR="000378F4" w:rsidRPr="000C092A" w:rsidRDefault="000378F4">
            <w:pPr>
              <w:pStyle w:val="Default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0C092A">
              <w:rPr>
                <w:color w:val="auto"/>
                <w:sz w:val="22"/>
                <w:szCs w:val="22"/>
                <w:lang w:val="sr-Latn-ME"/>
              </w:rPr>
              <w:t xml:space="preserve">0,57 </w:t>
            </w:r>
          </w:p>
          <w:p w14:paraId="51C1076F" w14:textId="77777777" w:rsidR="000378F4" w:rsidRPr="000C092A" w:rsidRDefault="000378F4">
            <w:pPr>
              <w:jc w:val="center"/>
              <w:rPr>
                <w:bCs/>
                <w:sz w:val="22"/>
                <w:szCs w:val="22"/>
                <w:lang w:val="sr-Latn-ME"/>
              </w:rPr>
            </w:pPr>
            <w:r w:rsidRPr="000C092A">
              <w:rPr>
                <w:sz w:val="22"/>
                <w:szCs w:val="22"/>
                <w:lang w:val="sr-Latn-ME"/>
              </w:rPr>
              <w:t xml:space="preserve">(0,46; 0,67)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00CB" w14:textId="77777777" w:rsidR="000378F4" w:rsidRPr="000C092A" w:rsidRDefault="000378F4">
            <w:pPr>
              <w:pStyle w:val="Default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0C092A">
              <w:rPr>
                <w:color w:val="auto"/>
                <w:sz w:val="22"/>
                <w:szCs w:val="22"/>
                <w:lang w:val="sr-Latn-ME"/>
              </w:rPr>
              <w:t xml:space="preserve">0,70 </w:t>
            </w:r>
          </w:p>
          <w:p w14:paraId="3FF652EC" w14:textId="77777777" w:rsidR="000378F4" w:rsidRPr="000C092A" w:rsidRDefault="000378F4">
            <w:pPr>
              <w:jc w:val="center"/>
              <w:rPr>
                <w:bCs/>
                <w:sz w:val="22"/>
                <w:szCs w:val="22"/>
                <w:lang w:val="sr-Latn-ME"/>
              </w:rPr>
            </w:pPr>
            <w:r w:rsidRPr="000C092A">
              <w:rPr>
                <w:sz w:val="22"/>
                <w:szCs w:val="22"/>
                <w:lang w:val="sr-Latn-ME"/>
              </w:rPr>
              <w:t>(0,60; 0,80)</w:t>
            </w:r>
          </w:p>
        </w:tc>
      </w:tr>
    </w:tbl>
    <w:p w14:paraId="65736E0E" w14:textId="77777777" w:rsidR="000378F4" w:rsidRDefault="000378F4" w:rsidP="000378F4">
      <w:pPr>
        <w:spacing w:line="256" w:lineRule="auto"/>
        <w:jc w:val="both"/>
        <w:rPr>
          <w:rFonts w:eastAsiaTheme="minorHAnsi"/>
          <w:sz w:val="22"/>
          <w:szCs w:val="22"/>
          <w:lang w:val="sr-Latn-ME"/>
        </w:rPr>
      </w:pPr>
      <w:r>
        <w:rPr>
          <w:rFonts w:eastAsiaTheme="minorHAnsi"/>
          <w:sz w:val="22"/>
          <w:szCs w:val="22"/>
          <w:vertAlign w:val="superscript"/>
          <w:lang w:val="sr-Latn-ME"/>
        </w:rPr>
        <w:t>a</w:t>
      </w:r>
      <w:r>
        <w:rPr>
          <w:rFonts w:eastAsiaTheme="minorHAnsi"/>
          <w:sz w:val="22"/>
          <w:szCs w:val="22"/>
          <w:lang w:val="sr-Latn-ME"/>
        </w:rPr>
        <w:t xml:space="preserve"> Pacijenti sa ABL-om &lt; 800 i ≥ 500 ćelija/mm</w:t>
      </w:r>
      <w:r>
        <w:rPr>
          <w:rFonts w:eastAsiaTheme="minorHAnsi"/>
          <w:sz w:val="22"/>
          <w:szCs w:val="22"/>
          <w:vertAlign w:val="superscript"/>
          <w:lang w:val="sr-Latn-ME"/>
        </w:rPr>
        <w:t>3</w:t>
      </w:r>
      <w:r>
        <w:rPr>
          <w:rFonts w:eastAsiaTheme="minorHAnsi"/>
          <w:sz w:val="22"/>
          <w:szCs w:val="22"/>
          <w:lang w:val="sr-Latn-ME"/>
        </w:rPr>
        <w:t xml:space="preserve"> pri RBL-u; pacijenti sa produženom teškom limfopenijom su isključeni.</w:t>
      </w:r>
    </w:p>
    <w:p w14:paraId="1851F584" w14:textId="77777777" w:rsidR="000378F4" w:rsidRDefault="000378F4" w:rsidP="000378F4">
      <w:pPr>
        <w:spacing w:line="256" w:lineRule="auto"/>
        <w:jc w:val="both"/>
        <w:rPr>
          <w:rFonts w:eastAsiaTheme="minorHAnsi"/>
          <w:bCs/>
          <w:sz w:val="22"/>
          <w:szCs w:val="22"/>
          <w:lang w:val="sr-Latn-ME"/>
        </w:rPr>
      </w:pPr>
    </w:p>
    <w:p w14:paraId="1B44880C" w14:textId="350C2FB6" w:rsidR="000378F4" w:rsidRDefault="000378F4" w:rsidP="000378F4">
      <w:pPr>
        <w:spacing w:line="256" w:lineRule="auto"/>
        <w:jc w:val="both"/>
        <w:rPr>
          <w:rFonts w:eastAsiaTheme="minorHAnsi"/>
          <w:b/>
          <w:sz w:val="22"/>
          <w:szCs w:val="22"/>
          <w:lang w:val="sr-Latn-ME"/>
        </w:rPr>
      </w:pPr>
      <w:r>
        <w:rPr>
          <w:rFonts w:eastAsiaTheme="minorHAnsi"/>
          <w:b/>
          <w:sz w:val="22"/>
          <w:szCs w:val="22"/>
          <w:lang w:val="sr-Latn-ME"/>
        </w:rPr>
        <w:t xml:space="preserve">Tabela </w:t>
      </w:r>
      <w:r w:rsidR="00B9775A">
        <w:rPr>
          <w:rFonts w:eastAsiaTheme="minorHAnsi"/>
          <w:b/>
          <w:sz w:val="22"/>
          <w:szCs w:val="22"/>
          <w:lang w:val="sr-Latn-ME"/>
        </w:rPr>
        <w:t>4</w:t>
      </w:r>
      <w:r>
        <w:rPr>
          <w:rFonts w:eastAsiaTheme="minorHAnsi"/>
          <w:b/>
          <w:sz w:val="22"/>
          <w:szCs w:val="22"/>
          <w:lang w:val="sr-Latn-ME"/>
        </w:rPr>
        <w:t>: Kaplan-Meierova metoda; Udio pacijenata procijenjenih da će dostići DGN, teška limfopenija prema vrijednosti na početku oporavka (RBL); pacijenti sa produženom teškom limfopenijom su isključeni</w:t>
      </w:r>
    </w:p>
    <w:p w14:paraId="2F23E597" w14:textId="77777777" w:rsidR="000378F4" w:rsidRDefault="000378F4" w:rsidP="000378F4">
      <w:pPr>
        <w:spacing w:line="256" w:lineRule="auto"/>
        <w:jc w:val="both"/>
        <w:rPr>
          <w:rFonts w:eastAsiaTheme="minorHAnsi"/>
          <w:sz w:val="22"/>
          <w:szCs w:val="22"/>
          <w:lang w:val="sr-Latn-ME"/>
        </w:rPr>
      </w:pPr>
    </w:p>
    <w:tbl>
      <w:tblPr>
        <w:tblStyle w:val="TableGrid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54"/>
        <w:gridCol w:w="1841"/>
        <w:gridCol w:w="1983"/>
        <w:gridCol w:w="1982"/>
      </w:tblGrid>
      <w:tr w:rsidR="000378F4" w14:paraId="07BF3415" w14:textId="77777777" w:rsidTr="000378F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924C" w14:textId="77777777" w:rsidR="000378F4" w:rsidRPr="000C092A" w:rsidRDefault="000378F4">
            <w:pPr>
              <w:pStyle w:val="Default"/>
              <w:rPr>
                <w:b/>
                <w:color w:val="auto"/>
                <w:sz w:val="22"/>
                <w:szCs w:val="22"/>
                <w:lang w:val="sr-Latn-ME"/>
              </w:rPr>
            </w:pPr>
            <w:r w:rsidRPr="000C092A">
              <w:rPr>
                <w:b/>
                <w:color w:val="auto"/>
                <w:sz w:val="22"/>
                <w:szCs w:val="22"/>
                <w:lang w:val="sr-Latn-ME"/>
              </w:rPr>
              <w:t>Broj pacijenata sa teškom limfopenijom</w:t>
            </w:r>
            <w:r w:rsidRPr="000C092A">
              <w:rPr>
                <w:b/>
                <w:color w:val="auto"/>
                <w:sz w:val="22"/>
                <w:szCs w:val="22"/>
                <w:vertAlign w:val="superscript"/>
                <w:lang w:val="sr-Latn-ME"/>
              </w:rPr>
              <w:t>a</w:t>
            </w:r>
            <w:r w:rsidRPr="000C092A">
              <w:rPr>
                <w:b/>
                <w:color w:val="auto"/>
                <w:sz w:val="22"/>
                <w:szCs w:val="22"/>
                <w:lang w:val="sr-Latn-ME"/>
              </w:rPr>
              <w:t xml:space="preserve"> koji su pod rizikom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292E" w14:textId="77777777" w:rsidR="000378F4" w:rsidRPr="000C092A" w:rsidRDefault="000378F4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sr-Latn-ME"/>
              </w:rPr>
            </w:pPr>
            <w:r w:rsidRPr="000C092A">
              <w:rPr>
                <w:b/>
                <w:color w:val="auto"/>
                <w:sz w:val="22"/>
                <w:szCs w:val="22"/>
                <w:lang w:val="sr-Latn-ME"/>
              </w:rPr>
              <w:t>Početak</w:t>
            </w:r>
          </w:p>
          <w:p w14:paraId="09708CB3" w14:textId="77777777" w:rsidR="000378F4" w:rsidRPr="000C092A" w:rsidRDefault="000378F4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0C092A">
              <w:rPr>
                <w:b/>
                <w:sz w:val="22"/>
                <w:szCs w:val="22"/>
                <w:lang w:val="sr-Latn-ME"/>
              </w:rPr>
              <w:t>N=18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7157" w14:textId="77777777" w:rsidR="000378F4" w:rsidRPr="000C092A" w:rsidRDefault="000378F4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sr-Latn-ME"/>
              </w:rPr>
            </w:pPr>
            <w:r w:rsidRPr="000C092A">
              <w:rPr>
                <w:b/>
                <w:color w:val="auto"/>
                <w:sz w:val="22"/>
                <w:szCs w:val="22"/>
                <w:lang w:val="sr-Latn-ME"/>
              </w:rPr>
              <w:t>12. nedjelja</w:t>
            </w:r>
          </w:p>
          <w:p w14:paraId="4D52E6EE" w14:textId="77777777" w:rsidR="000378F4" w:rsidRPr="000C092A" w:rsidRDefault="000378F4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0C092A">
              <w:rPr>
                <w:b/>
                <w:sz w:val="22"/>
                <w:szCs w:val="22"/>
                <w:lang w:val="sr-Latn-ME"/>
              </w:rPr>
              <w:t>N=6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0784" w14:textId="77777777" w:rsidR="000378F4" w:rsidRPr="000C092A" w:rsidRDefault="000378F4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sr-Latn-ME"/>
              </w:rPr>
            </w:pPr>
            <w:r w:rsidRPr="000C092A">
              <w:rPr>
                <w:b/>
                <w:color w:val="auto"/>
                <w:sz w:val="22"/>
                <w:szCs w:val="22"/>
                <w:lang w:val="sr-Latn-ME"/>
              </w:rPr>
              <w:t>24. nedjelja</w:t>
            </w:r>
          </w:p>
          <w:p w14:paraId="3196F845" w14:textId="77777777" w:rsidR="000378F4" w:rsidRPr="000C092A" w:rsidRDefault="000378F4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0C092A">
              <w:rPr>
                <w:b/>
                <w:sz w:val="22"/>
                <w:szCs w:val="22"/>
                <w:lang w:val="sr-Latn-ME"/>
              </w:rPr>
              <w:t>N=4</w:t>
            </w:r>
          </w:p>
        </w:tc>
      </w:tr>
      <w:tr w:rsidR="000378F4" w14:paraId="5BA30519" w14:textId="77777777" w:rsidTr="000378F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AD68" w14:textId="77777777" w:rsidR="000378F4" w:rsidRPr="000C092A" w:rsidRDefault="000378F4">
            <w:pPr>
              <w:pStyle w:val="Default"/>
              <w:rPr>
                <w:color w:val="auto"/>
                <w:sz w:val="22"/>
                <w:szCs w:val="22"/>
                <w:lang w:val="sr-Latn-ME"/>
              </w:rPr>
            </w:pPr>
            <w:r w:rsidRPr="000C092A">
              <w:rPr>
                <w:color w:val="auto"/>
                <w:sz w:val="22"/>
                <w:szCs w:val="22"/>
                <w:lang w:val="sr-Latn-ME"/>
              </w:rPr>
              <w:t xml:space="preserve">Udio koji je dostigao DGN (95% CI)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5193" w14:textId="77777777" w:rsidR="000378F4" w:rsidRPr="000C092A" w:rsidRDefault="000378F4">
            <w:pPr>
              <w:jc w:val="center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4E04" w14:textId="77777777" w:rsidR="000378F4" w:rsidRPr="000C092A" w:rsidRDefault="000378F4">
            <w:pPr>
              <w:pStyle w:val="Default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0C092A">
              <w:rPr>
                <w:color w:val="auto"/>
                <w:sz w:val="22"/>
                <w:szCs w:val="22"/>
                <w:lang w:val="sr-Latn-ME"/>
              </w:rPr>
              <w:t xml:space="preserve">0,43 </w:t>
            </w:r>
          </w:p>
          <w:p w14:paraId="426DD295" w14:textId="77777777" w:rsidR="000378F4" w:rsidRPr="000C092A" w:rsidRDefault="000378F4">
            <w:pPr>
              <w:jc w:val="center"/>
              <w:rPr>
                <w:bCs/>
                <w:sz w:val="22"/>
                <w:szCs w:val="22"/>
                <w:lang w:val="sr-Latn-ME"/>
              </w:rPr>
            </w:pPr>
            <w:r w:rsidRPr="000C092A">
              <w:rPr>
                <w:sz w:val="22"/>
                <w:szCs w:val="22"/>
                <w:lang w:val="sr-Latn-ME"/>
              </w:rPr>
              <w:t xml:space="preserve">(0,20; 0,75)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83F6" w14:textId="77777777" w:rsidR="000378F4" w:rsidRPr="000C092A" w:rsidRDefault="000378F4">
            <w:pPr>
              <w:pStyle w:val="Default"/>
              <w:jc w:val="center"/>
              <w:rPr>
                <w:color w:val="auto"/>
                <w:sz w:val="22"/>
                <w:szCs w:val="22"/>
                <w:lang w:val="sr-Latn-ME"/>
              </w:rPr>
            </w:pPr>
            <w:r w:rsidRPr="000C092A">
              <w:rPr>
                <w:color w:val="auto"/>
                <w:sz w:val="22"/>
                <w:szCs w:val="22"/>
                <w:lang w:val="sr-Latn-ME"/>
              </w:rPr>
              <w:t xml:space="preserve">0,62 </w:t>
            </w:r>
          </w:p>
          <w:p w14:paraId="1BB72213" w14:textId="77777777" w:rsidR="000378F4" w:rsidRPr="000C092A" w:rsidRDefault="000378F4">
            <w:pPr>
              <w:jc w:val="center"/>
              <w:rPr>
                <w:bCs/>
                <w:sz w:val="22"/>
                <w:szCs w:val="22"/>
                <w:lang w:val="sr-Latn-ME"/>
              </w:rPr>
            </w:pPr>
            <w:r w:rsidRPr="000C092A">
              <w:rPr>
                <w:sz w:val="22"/>
                <w:szCs w:val="22"/>
                <w:lang w:val="sr-Latn-ME"/>
              </w:rPr>
              <w:t>(0,35; 0,88)</w:t>
            </w:r>
          </w:p>
        </w:tc>
      </w:tr>
    </w:tbl>
    <w:p w14:paraId="180773E4" w14:textId="77777777" w:rsidR="000378F4" w:rsidRDefault="000378F4" w:rsidP="000378F4">
      <w:pPr>
        <w:spacing w:line="256" w:lineRule="auto"/>
        <w:jc w:val="both"/>
        <w:rPr>
          <w:rFonts w:eastAsiaTheme="minorHAnsi"/>
          <w:sz w:val="22"/>
          <w:szCs w:val="22"/>
          <w:lang w:val="sr-Latn-ME"/>
        </w:rPr>
      </w:pPr>
      <w:r>
        <w:rPr>
          <w:rFonts w:eastAsiaTheme="minorHAnsi"/>
          <w:sz w:val="22"/>
          <w:szCs w:val="22"/>
          <w:vertAlign w:val="superscript"/>
          <w:lang w:val="sr-Latn-ME"/>
        </w:rPr>
        <w:t>a</w:t>
      </w:r>
      <w:r>
        <w:rPr>
          <w:rFonts w:eastAsiaTheme="minorHAnsi"/>
          <w:sz w:val="22"/>
          <w:szCs w:val="22"/>
          <w:lang w:val="sr-Latn-ME"/>
        </w:rPr>
        <w:t xml:space="preserve"> Pacijenti sa ABL-om &lt; 500 ćelija/mm</w:t>
      </w:r>
      <w:r w:rsidRPr="008246C8">
        <w:rPr>
          <w:rFonts w:eastAsiaTheme="minorHAnsi"/>
          <w:sz w:val="22"/>
          <w:szCs w:val="22"/>
          <w:vertAlign w:val="superscript"/>
          <w:lang w:val="sr-Latn-ME"/>
        </w:rPr>
        <w:t>3</w:t>
      </w:r>
      <w:r>
        <w:rPr>
          <w:rFonts w:eastAsiaTheme="minorHAnsi"/>
          <w:sz w:val="22"/>
          <w:szCs w:val="22"/>
          <w:lang w:val="sr-Latn-ME"/>
        </w:rPr>
        <w:t xml:space="preserve"> pri RBL-u; pacijenti sa produženom teškom limfopenijom su isključeni.</w:t>
      </w:r>
    </w:p>
    <w:p w14:paraId="70F5A334" w14:textId="77777777" w:rsidR="000378F4" w:rsidRDefault="000378F4" w:rsidP="000378F4">
      <w:pPr>
        <w:widowControl w:val="0"/>
        <w:suppressLineNumbers/>
        <w:autoSpaceDE w:val="0"/>
        <w:spacing w:line="256" w:lineRule="auto"/>
        <w:jc w:val="both"/>
        <w:rPr>
          <w:rFonts w:eastAsiaTheme="minorHAnsi"/>
          <w:i/>
          <w:sz w:val="22"/>
          <w:szCs w:val="22"/>
          <w:lang w:val="sr-Latn-ME"/>
        </w:rPr>
      </w:pPr>
    </w:p>
    <w:p w14:paraId="5CC75CD3" w14:textId="77777777" w:rsidR="00A657ED" w:rsidRDefault="00A657ED" w:rsidP="00BC3A3A">
      <w:pPr>
        <w:pStyle w:val="BodyText"/>
        <w:spacing w:before="56" w:line="237" w:lineRule="auto"/>
        <w:ind w:right="131"/>
        <w:jc w:val="both"/>
        <w:rPr>
          <w:rFonts w:cs="Times New Roman"/>
          <w:lang w:val="sr-Latn-RS"/>
        </w:rPr>
      </w:pPr>
    </w:p>
    <w:p w14:paraId="0810CEA1" w14:textId="07D3A89E" w:rsidR="00A657ED" w:rsidRDefault="00A657ED" w:rsidP="00BC3A3A">
      <w:pPr>
        <w:pStyle w:val="BodyText"/>
        <w:spacing w:before="56" w:line="237" w:lineRule="auto"/>
        <w:ind w:right="131"/>
        <w:jc w:val="both"/>
        <w:rPr>
          <w:rFonts w:cs="Times New Roman"/>
          <w:lang w:val="sr-Latn-RS"/>
        </w:rPr>
      </w:pPr>
    </w:p>
    <w:p w14:paraId="5DF87CBB" w14:textId="20D5E8C7" w:rsidR="00A657ED" w:rsidRDefault="00A657ED" w:rsidP="00BC3A3A">
      <w:pPr>
        <w:pStyle w:val="BodyText"/>
        <w:spacing w:before="56" w:line="237" w:lineRule="auto"/>
        <w:ind w:right="131"/>
        <w:jc w:val="both"/>
        <w:rPr>
          <w:rFonts w:cs="Times New Roman"/>
          <w:lang w:val="sr-Latn-RS"/>
        </w:rPr>
      </w:pPr>
    </w:p>
    <w:p w14:paraId="2975261F" w14:textId="02E06538" w:rsidR="00BC3A3A" w:rsidRPr="00750BAE" w:rsidRDefault="00BC3A3A" w:rsidP="00BC3A3A">
      <w:pPr>
        <w:pStyle w:val="BodyText"/>
        <w:ind w:left="116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 xml:space="preserve">Klinička efikasnost i </w:t>
      </w:r>
      <w:r w:rsidR="00453DDE" w:rsidRPr="00750BAE">
        <w:rPr>
          <w:rFonts w:cs="Times New Roman"/>
          <w:u w:val="single"/>
          <w:lang w:val="sr-Latn-RS"/>
        </w:rPr>
        <w:t>bezbjednos</w:t>
      </w:r>
      <w:r w:rsidRPr="00750BAE">
        <w:rPr>
          <w:rFonts w:cs="Times New Roman"/>
          <w:u w:val="single"/>
          <w:lang w:val="sr-Latn-RS"/>
        </w:rPr>
        <w:t>t</w:t>
      </w:r>
    </w:p>
    <w:p w14:paraId="0E443C52" w14:textId="77777777" w:rsidR="00BC3A3A" w:rsidRPr="00750BAE" w:rsidRDefault="00BC3A3A" w:rsidP="00BC3A3A">
      <w:pPr>
        <w:spacing w:before="11"/>
        <w:rPr>
          <w:sz w:val="22"/>
          <w:szCs w:val="22"/>
          <w:lang w:val="sr-Latn-RS"/>
        </w:rPr>
      </w:pPr>
    </w:p>
    <w:p w14:paraId="6ACACD15" w14:textId="31A2C9B3" w:rsidR="00BC3A3A" w:rsidRPr="00750BAE" w:rsidRDefault="00BC3A3A" w:rsidP="00BC3A3A">
      <w:pPr>
        <w:pStyle w:val="BodyText"/>
        <w:spacing w:before="73" w:line="237" w:lineRule="auto"/>
        <w:ind w:right="131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Pri peroralnoj </w:t>
      </w:r>
      <w:r w:rsidR="00FE729A" w:rsidRPr="00750BAE">
        <w:rPr>
          <w:rFonts w:cs="Times New Roman"/>
          <w:lang w:val="sr-Latn-RS"/>
        </w:rPr>
        <w:t>primjeni</w:t>
      </w:r>
      <w:r w:rsidRPr="00750BAE">
        <w:rPr>
          <w:rFonts w:cs="Times New Roman"/>
          <w:lang w:val="sr-Latn-RS"/>
        </w:rPr>
        <w:t xml:space="preserve">,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 xml:space="preserve"> i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 brzo se metabolišu esterazama u jednaki aktivni metabolit, monometilfumarat, i to</w:t>
      </w:r>
      <w:r w:rsidR="00132BCB" w:rsidRPr="00750BAE">
        <w:rPr>
          <w:rFonts w:cs="Times New Roman"/>
          <w:lang w:val="sr-Latn-RS"/>
        </w:rPr>
        <w:t xml:space="preserve"> prije </w:t>
      </w:r>
      <w:r w:rsidRPr="00750BAE">
        <w:rPr>
          <w:rFonts w:cs="Times New Roman"/>
          <w:lang w:val="sr-Latn-RS"/>
        </w:rPr>
        <w:t>nego što dosp</w:t>
      </w:r>
      <w:r w:rsidR="00BA1DAA" w:rsidRPr="00750BAE">
        <w:rPr>
          <w:rFonts w:cs="Times New Roman"/>
          <w:lang w:val="sr-Latn-RS"/>
        </w:rPr>
        <w:t>i</w:t>
      </w:r>
      <w:r w:rsidRPr="00750BAE">
        <w:rPr>
          <w:rFonts w:cs="Times New Roman"/>
          <w:lang w:val="sr-Latn-RS"/>
        </w:rPr>
        <w:t xml:space="preserve">ju u sistemsku cirkulaciju. Dokazana je farmakokinetička uporedivost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>a i dimetil fumarata u analizi izloženosti monometil fumaratu (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</w:t>
      </w:r>
      <w:r w:rsidR="001508B5">
        <w:rPr>
          <w:rFonts w:cs="Times New Roman"/>
          <w:lang w:val="sr-Latn-RS"/>
        </w:rPr>
        <w:t>dio</w:t>
      </w:r>
      <w:r w:rsidR="001508B5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5.2), stoga se očekuje da su njihovi profili efikasnosti slični.</w:t>
      </w:r>
    </w:p>
    <w:p w14:paraId="012AA0C9" w14:textId="77777777" w:rsidR="00BC3A3A" w:rsidRPr="00750BAE" w:rsidRDefault="00BC3A3A" w:rsidP="00BC3A3A">
      <w:pPr>
        <w:spacing w:before="3"/>
        <w:rPr>
          <w:sz w:val="22"/>
          <w:szCs w:val="22"/>
          <w:lang w:val="sr-Latn-RS"/>
        </w:rPr>
      </w:pPr>
    </w:p>
    <w:p w14:paraId="5B66DFC3" w14:textId="22B9C081" w:rsidR="00BC3A3A" w:rsidRPr="00750BAE" w:rsidRDefault="00BC3A3A" w:rsidP="00BC3A3A">
      <w:pPr>
        <w:ind w:left="116"/>
        <w:rPr>
          <w:sz w:val="22"/>
          <w:szCs w:val="22"/>
          <w:lang w:val="sr-Latn-RS"/>
        </w:rPr>
      </w:pPr>
      <w:r w:rsidRPr="00750BAE">
        <w:rPr>
          <w:i/>
          <w:iCs/>
          <w:sz w:val="22"/>
          <w:szCs w:val="22"/>
          <w:lang w:val="sr-Latn-RS"/>
        </w:rPr>
        <w:t>Klinička ispitivanja sa dimetil</w:t>
      </w:r>
      <w:r w:rsidR="00001F91">
        <w:rPr>
          <w:i/>
          <w:iCs/>
          <w:sz w:val="22"/>
          <w:szCs w:val="22"/>
          <w:lang w:val="sr-Latn-RS"/>
        </w:rPr>
        <w:t xml:space="preserve"> </w:t>
      </w:r>
      <w:r w:rsidRPr="00750BAE">
        <w:rPr>
          <w:i/>
          <w:iCs/>
          <w:sz w:val="22"/>
          <w:szCs w:val="22"/>
          <w:lang w:val="sr-Latn-RS"/>
        </w:rPr>
        <w:t>fumaratom</w:t>
      </w:r>
    </w:p>
    <w:p w14:paraId="14A32425" w14:textId="77777777" w:rsidR="00BC3A3A" w:rsidRPr="00750BAE" w:rsidRDefault="00BC3A3A" w:rsidP="00BC3A3A">
      <w:pPr>
        <w:spacing w:before="9"/>
        <w:rPr>
          <w:i/>
          <w:sz w:val="22"/>
          <w:szCs w:val="22"/>
          <w:lang w:val="sr-Latn-RS"/>
        </w:rPr>
      </w:pPr>
    </w:p>
    <w:p w14:paraId="51AE5863" w14:textId="6B4EC6A8" w:rsidR="00BC3A3A" w:rsidRPr="00750BAE" w:rsidRDefault="00BC3A3A" w:rsidP="00BC3A3A">
      <w:pPr>
        <w:pStyle w:val="BodyText"/>
        <w:ind w:right="131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Sprovedena su dva 2-godišnja, randomizovana, dvostruko sl</w:t>
      </w:r>
      <w:r w:rsidR="00D322E5" w:rsidRPr="00750BAE">
        <w:rPr>
          <w:rFonts w:cs="Times New Roman"/>
          <w:lang w:val="sr-Latn-RS"/>
        </w:rPr>
        <w:t>ij</w:t>
      </w:r>
      <w:r w:rsidRPr="00750BAE">
        <w:rPr>
          <w:rFonts w:cs="Times New Roman"/>
          <w:lang w:val="sr-Latn-RS"/>
        </w:rPr>
        <w:t xml:space="preserve">epa, placebom kontrolisana ispitivanja kod pacijenata sa RRMS-om (DEFINE sa 1234 pacijenata i CONFIRM sa 1417 pacijenata). Pacijenti sa progresivnim oblikom MS-a </w:t>
      </w:r>
      <w:r w:rsidR="00A83B47" w:rsidRPr="00750BAE">
        <w:rPr>
          <w:rFonts w:cs="Times New Roman"/>
          <w:lang w:val="sr-Latn-RS"/>
        </w:rPr>
        <w:t>nijesu</w:t>
      </w:r>
      <w:r w:rsidRPr="00750BAE">
        <w:rPr>
          <w:rFonts w:cs="Times New Roman"/>
          <w:lang w:val="sr-Latn-RS"/>
        </w:rPr>
        <w:t xml:space="preserve"> bili uključeni u ova ispitivanja.</w:t>
      </w:r>
    </w:p>
    <w:p w14:paraId="2881A99B" w14:textId="77777777" w:rsidR="00BC3A3A" w:rsidRPr="00750BAE" w:rsidRDefault="00BC3A3A" w:rsidP="00BC3A3A">
      <w:pPr>
        <w:spacing w:before="9"/>
        <w:rPr>
          <w:sz w:val="22"/>
          <w:szCs w:val="22"/>
          <w:lang w:val="sr-Latn-RS"/>
        </w:rPr>
      </w:pPr>
    </w:p>
    <w:p w14:paraId="11545868" w14:textId="3DD14B7D" w:rsidR="00BC3A3A" w:rsidRPr="00750BAE" w:rsidRDefault="00BC3A3A" w:rsidP="00BC3A3A">
      <w:pPr>
        <w:pStyle w:val="BodyText"/>
        <w:ind w:right="11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Efikasnost (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tabelu u nastavku) i </w:t>
      </w:r>
      <w:r w:rsidR="00453DDE" w:rsidRPr="00750BAE">
        <w:rPr>
          <w:rFonts w:cs="Times New Roman"/>
          <w:lang w:val="sr-Latn-RS"/>
        </w:rPr>
        <w:t>bezbjednos</w:t>
      </w:r>
      <w:r w:rsidRPr="00750BAE">
        <w:rPr>
          <w:rFonts w:cs="Times New Roman"/>
          <w:lang w:val="sr-Latn-RS"/>
        </w:rPr>
        <w:t>t dokazane su rezultatima u rasponu od 0 do 5 bodova (uključujući navedene) na proširenoj skali za oc</w:t>
      </w:r>
      <w:r w:rsidR="00F2470A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>enjivanje</w:t>
      </w:r>
      <w:r w:rsidRPr="00750BAE">
        <w:rPr>
          <w:rFonts w:cs="Times New Roman"/>
          <w:b/>
          <w:bCs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invaliditeta (engl. </w:t>
      </w:r>
      <w:r w:rsidRPr="00750BAE">
        <w:rPr>
          <w:rFonts w:cs="Times New Roman"/>
          <w:i/>
          <w:iCs/>
          <w:lang w:val="sr-Latn-RS"/>
        </w:rPr>
        <w:t>Expanded Disability Status Scale</w:t>
      </w:r>
      <w:r w:rsidRPr="00750BAE">
        <w:rPr>
          <w:rFonts w:cs="Times New Roman"/>
          <w:lang w:val="sr-Latn-RS"/>
        </w:rPr>
        <w:t>, EDSS) kod pacijenata koji su imali barem 1 relaps tokom godine</w:t>
      </w:r>
      <w:r w:rsidR="00132BCB" w:rsidRPr="00750BAE">
        <w:rPr>
          <w:rFonts w:cs="Times New Roman"/>
          <w:lang w:val="sr-Latn-RS"/>
        </w:rPr>
        <w:t xml:space="preserve"> prije </w:t>
      </w:r>
      <w:r w:rsidRPr="00750BAE">
        <w:rPr>
          <w:rFonts w:cs="Times New Roman"/>
          <w:lang w:val="sr-Latn-RS"/>
        </w:rPr>
        <w:t xml:space="preserve">randomizacije ili im je tokom 6 </w:t>
      </w:r>
      <w:r w:rsidR="00A83B47" w:rsidRPr="00750BAE">
        <w:rPr>
          <w:rFonts w:cs="Times New Roman"/>
          <w:lang w:val="sr-Latn-RS"/>
        </w:rPr>
        <w:t>nedjelja</w:t>
      </w:r>
      <w:r w:rsidR="00132BCB" w:rsidRPr="00750BAE">
        <w:rPr>
          <w:rFonts w:cs="Times New Roman"/>
          <w:lang w:val="sr-Latn-RS"/>
        </w:rPr>
        <w:t xml:space="preserve"> prije </w:t>
      </w:r>
      <w:r w:rsidRPr="00750BAE">
        <w:rPr>
          <w:rFonts w:cs="Times New Roman"/>
          <w:lang w:val="sr-Latn-RS"/>
        </w:rPr>
        <w:t>randomizacije urađena magnetna rezonanca (MR) mozga koja je pokazala barem jednu gadolinij-pozitivnu (Gd+) leziju. Ispitivanje CONFIRM bilo je sl</w:t>
      </w:r>
      <w:r w:rsidR="00F2470A" w:rsidRPr="00750BAE">
        <w:rPr>
          <w:rFonts w:cs="Times New Roman"/>
          <w:lang w:val="sr-Latn-RS"/>
        </w:rPr>
        <w:t>ij</w:t>
      </w:r>
      <w:r w:rsidRPr="00750BAE">
        <w:rPr>
          <w:rFonts w:cs="Times New Roman"/>
          <w:lang w:val="sr-Latn-RS"/>
        </w:rPr>
        <w:t>epo za oc</w:t>
      </w:r>
      <w:r w:rsidR="00F2470A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 xml:space="preserve">enjivača (tj. </w:t>
      </w:r>
      <w:r w:rsidR="0069098C" w:rsidRPr="00750BAE">
        <w:rPr>
          <w:rFonts w:cs="Times New Roman"/>
          <w:lang w:val="sr-Latn-RS"/>
        </w:rPr>
        <w:t>ljekar</w:t>
      </w:r>
      <w:r w:rsidRPr="00750BAE">
        <w:rPr>
          <w:rFonts w:cs="Times New Roman"/>
          <w:lang w:val="sr-Latn-RS"/>
        </w:rPr>
        <w:t xml:space="preserve">/ispitivač koji </w:t>
      </w:r>
      <w:r w:rsidR="00A83B47" w:rsidRPr="00750BAE">
        <w:rPr>
          <w:rFonts w:cs="Times New Roman"/>
          <w:lang w:val="sr-Latn-RS"/>
        </w:rPr>
        <w:t>procjen</w:t>
      </w:r>
      <w:r w:rsidRPr="00750BAE">
        <w:rPr>
          <w:rFonts w:cs="Times New Roman"/>
          <w:lang w:val="sr-Latn-RS"/>
        </w:rPr>
        <w:t xml:space="preserve">juje odgovor na </w:t>
      </w:r>
      <w:r w:rsidR="0069098C" w:rsidRPr="00750BAE">
        <w:rPr>
          <w:rFonts w:cs="Times New Roman"/>
          <w:lang w:val="sr-Latn-RS"/>
        </w:rPr>
        <w:t>liječenje</w:t>
      </w:r>
      <w:r w:rsidRPr="00750BAE">
        <w:rPr>
          <w:rFonts w:cs="Times New Roman"/>
          <w:lang w:val="sr-Latn-RS"/>
        </w:rPr>
        <w:t xml:space="preserve"> u ispitivanju ne zna koju supstancu uzima ispitanik) i uključivalo je referentni 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 xml:space="preserve"> glatiramer acetat za poređenje.</w:t>
      </w:r>
    </w:p>
    <w:p w14:paraId="6BD050FD" w14:textId="77777777" w:rsidR="00BC3A3A" w:rsidRPr="00750BAE" w:rsidRDefault="00BC3A3A" w:rsidP="00BC3A3A">
      <w:pPr>
        <w:spacing w:before="9"/>
        <w:rPr>
          <w:sz w:val="22"/>
          <w:szCs w:val="22"/>
          <w:lang w:val="sr-Latn-RS"/>
        </w:rPr>
      </w:pPr>
    </w:p>
    <w:p w14:paraId="31BFF77E" w14:textId="5DDF794A" w:rsidR="00BC3A3A" w:rsidRPr="00750BAE" w:rsidRDefault="00BC3A3A" w:rsidP="00BC3A3A">
      <w:pPr>
        <w:pStyle w:val="BodyText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U ispitivanju DEFINE, </w:t>
      </w:r>
      <w:r w:rsidR="005F44D1" w:rsidRPr="00750BAE">
        <w:rPr>
          <w:rFonts w:cs="Times New Roman"/>
          <w:lang w:val="sr-Latn-RS"/>
        </w:rPr>
        <w:t>vrijednost</w:t>
      </w:r>
      <w:r w:rsidRPr="00750BAE">
        <w:rPr>
          <w:rFonts w:cs="Times New Roman"/>
          <w:lang w:val="sr-Latn-RS"/>
        </w:rPr>
        <w:t xml:space="preserve">i medijana karakteristika pacijenata na početku ispitivanja bile su </w:t>
      </w:r>
      <w:r w:rsidR="00E45E91" w:rsidRPr="00750BAE">
        <w:rPr>
          <w:rFonts w:cs="Times New Roman"/>
          <w:lang w:val="sr-Latn-RS"/>
        </w:rPr>
        <w:t>sljedeć</w:t>
      </w:r>
      <w:r w:rsidRPr="00750BAE">
        <w:rPr>
          <w:rFonts w:cs="Times New Roman"/>
          <w:lang w:val="sr-Latn-RS"/>
        </w:rPr>
        <w:t xml:space="preserve">e: </w:t>
      </w:r>
      <w:r w:rsidR="008735CF">
        <w:rPr>
          <w:rFonts w:cs="Times New Roman"/>
          <w:lang w:val="sr-Latn-RS"/>
        </w:rPr>
        <w:t>uzrast</w:t>
      </w:r>
      <w:r w:rsidR="008735CF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39 godina, trajanje bolesti 7,0 godina, EDSS bodovi 2,0. Osim toga, 16% pacijenata imalo je &gt;3,5 EDSS bodova, 28% imalo je ≥2 relapsa u prethodnoj godini, a 42% prethodno je </w:t>
      </w:r>
      <w:r w:rsidR="004B4C9F" w:rsidRPr="00750BAE">
        <w:rPr>
          <w:rFonts w:cs="Times New Roman"/>
          <w:lang w:val="sr-Latn-RS"/>
        </w:rPr>
        <w:t>liječe</w:t>
      </w:r>
      <w:r w:rsidRPr="00750BAE">
        <w:rPr>
          <w:rFonts w:cs="Times New Roman"/>
          <w:lang w:val="sr-Latn-RS"/>
        </w:rPr>
        <w:t xml:space="preserve">no drugom odobrenom terapijom za MS. U MR kohorti, 36% pacijenata koji su ušli u ispitivanje imali su Gd+ lezije na početku (srednja </w:t>
      </w:r>
      <w:r w:rsidR="005F44D1" w:rsidRPr="00750BAE">
        <w:rPr>
          <w:rFonts w:cs="Times New Roman"/>
          <w:lang w:val="sr-Latn-RS"/>
        </w:rPr>
        <w:t>vrijednost</w:t>
      </w:r>
      <w:r w:rsidRPr="00750BAE">
        <w:rPr>
          <w:rFonts w:cs="Times New Roman"/>
          <w:lang w:val="sr-Latn-RS"/>
        </w:rPr>
        <w:t xml:space="preserve"> broja Gd+ lezija 1,4).</w:t>
      </w:r>
    </w:p>
    <w:p w14:paraId="2C8660BC" w14:textId="77777777" w:rsidR="00BC3A3A" w:rsidRPr="00750BAE" w:rsidRDefault="00BC3A3A" w:rsidP="00BC3A3A">
      <w:pPr>
        <w:spacing w:before="9"/>
        <w:rPr>
          <w:sz w:val="22"/>
          <w:szCs w:val="22"/>
          <w:lang w:val="sr-Latn-RS"/>
        </w:rPr>
      </w:pPr>
    </w:p>
    <w:p w14:paraId="3A39DC79" w14:textId="7A200689" w:rsidR="00BC3A3A" w:rsidRPr="00750BAE" w:rsidRDefault="00BC3A3A" w:rsidP="00BC3A3A">
      <w:pPr>
        <w:pStyle w:val="BodyText"/>
        <w:ind w:right="11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U ispitivanju CONFIRM, </w:t>
      </w:r>
      <w:r w:rsidR="005F44D1" w:rsidRPr="00750BAE">
        <w:rPr>
          <w:rFonts w:cs="Times New Roman"/>
          <w:lang w:val="sr-Latn-RS"/>
        </w:rPr>
        <w:t>vrijednost</w:t>
      </w:r>
      <w:r w:rsidRPr="00750BAE">
        <w:rPr>
          <w:rFonts w:cs="Times New Roman"/>
          <w:lang w:val="sr-Latn-RS"/>
        </w:rPr>
        <w:t xml:space="preserve">i medijana karakteristika pacijenata na početku ispitivanja bile su </w:t>
      </w:r>
      <w:r w:rsidR="00E45E91" w:rsidRPr="00750BAE">
        <w:rPr>
          <w:rFonts w:cs="Times New Roman"/>
          <w:lang w:val="sr-Latn-RS"/>
        </w:rPr>
        <w:t>sljedeć</w:t>
      </w:r>
      <w:r w:rsidRPr="00750BAE">
        <w:rPr>
          <w:rFonts w:cs="Times New Roman"/>
          <w:lang w:val="sr-Latn-RS"/>
        </w:rPr>
        <w:t xml:space="preserve">e: </w:t>
      </w:r>
      <w:r w:rsidR="008735CF">
        <w:rPr>
          <w:rFonts w:cs="Times New Roman"/>
          <w:lang w:val="sr-Latn-RS"/>
        </w:rPr>
        <w:t>uzrast</w:t>
      </w:r>
      <w:r w:rsidR="008735CF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37 godina, trajanje bolesti 6,0 godina, EDSS bodovi 2,5. Osim toga, 17% pacijenata imalo je &gt;3,5 EDSS bodova, 32% imalo je ≥ 2 relapsa u prethodnoj godini, a </w:t>
      </w:r>
      <w:r w:rsidR="00DA7905">
        <w:rPr>
          <w:rFonts w:cs="Times New Roman"/>
          <w:lang w:val="sr-Latn-RS"/>
        </w:rPr>
        <w:t>30</w:t>
      </w:r>
      <w:r w:rsidRPr="00750BAE">
        <w:rPr>
          <w:rFonts w:cs="Times New Roman"/>
          <w:lang w:val="sr-Latn-RS"/>
        </w:rPr>
        <w:t xml:space="preserve">% prethodno je </w:t>
      </w:r>
      <w:r w:rsidR="004B4C9F" w:rsidRPr="00750BAE">
        <w:rPr>
          <w:rFonts w:cs="Times New Roman"/>
          <w:lang w:val="sr-Latn-RS"/>
        </w:rPr>
        <w:t>liječe</w:t>
      </w:r>
      <w:r w:rsidRPr="00750BAE">
        <w:rPr>
          <w:rFonts w:cs="Times New Roman"/>
          <w:lang w:val="sr-Latn-RS"/>
        </w:rPr>
        <w:t>no drugom odobrenom terapijom za MS.</w:t>
      </w:r>
    </w:p>
    <w:p w14:paraId="58CBCF12" w14:textId="5695900F" w:rsidR="00BC3A3A" w:rsidRPr="00750BAE" w:rsidRDefault="00BC3A3A" w:rsidP="00BC3A3A">
      <w:pPr>
        <w:pStyle w:val="BodyText"/>
        <w:spacing w:before="2" w:line="237" w:lineRule="auto"/>
        <w:ind w:right="11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 U MR kohorti, 45% pacijenata koji su ušli u ispitivanje imali su Gd+ lezije na početku (srednja </w:t>
      </w:r>
      <w:r w:rsidR="005F44D1" w:rsidRPr="00750BAE">
        <w:rPr>
          <w:rFonts w:cs="Times New Roman"/>
          <w:lang w:val="sr-Latn-RS"/>
        </w:rPr>
        <w:t>vrijednost</w:t>
      </w:r>
      <w:r w:rsidRPr="00750BAE">
        <w:rPr>
          <w:rFonts w:cs="Times New Roman"/>
          <w:lang w:val="sr-Latn-RS"/>
        </w:rPr>
        <w:t xml:space="preserve"> broja Gd+ lezija 2,4).</w:t>
      </w:r>
    </w:p>
    <w:p w14:paraId="1DD3B976" w14:textId="77777777" w:rsidR="00BC3A3A" w:rsidRPr="00750BAE" w:rsidRDefault="00BC3A3A" w:rsidP="00BC3A3A">
      <w:pPr>
        <w:spacing w:before="10"/>
        <w:rPr>
          <w:sz w:val="22"/>
          <w:szCs w:val="22"/>
          <w:lang w:val="sr-Latn-RS"/>
        </w:rPr>
      </w:pPr>
    </w:p>
    <w:p w14:paraId="5E7EA820" w14:textId="3DF40342" w:rsidR="00BC3A3A" w:rsidRPr="00750BAE" w:rsidRDefault="00BC3A3A" w:rsidP="00BC3A3A">
      <w:pPr>
        <w:pStyle w:val="BodyText"/>
        <w:ind w:right="291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U poređenju sa placebom, pacijenti </w:t>
      </w:r>
      <w:r w:rsidR="004B4C9F" w:rsidRPr="00750BAE">
        <w:rPr>
          <w:rFonts w:cs="Times New Roman"/>
          <w:lang w:val="sr-Latn-RS"/>
        </w:rPr>
        <w:t>liječe</w:t>
      </w:r>
      <w:r w:rsidRPr="00750BAE">
        <w:rPr>
          <w:rFonts w:cs="Times New Roman"/>
          <w:lang w:val="sr-Latn-RS"/>
        </w:rPr>
        <w:t>ni dimetil</w:t>
      </w:r>
      <w:r w:rsidR="00AA76E2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fumaratom imali su klinički i statistički značajno smanjenje u m</w:t>
      </w:r>
      <w:r w:rsidR="00F921F7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>eri primarnog ishoda u ispitivanju DEFINE,</w:t>
      </w:r>
      <w:r w:rsidR="00F921F7" w:rsidRPr="00750BAE">
        <w:rPr>
          <w:rFonts w:cs="Times New Roman"/>
          <w:lang w:val="sr-Latn-RS"/>
        </w:rPr>
        <w:t xml:space="preserve"> udio </w:t>
      </w:r>
      <w:r w:rsidRPr="00750BAE">
        <w:rPr>
          <w:rFonts w:cs="Times New Roman"/>
          <w:lang w:val="sr-Latn-RS"/>
        </w:rPr>
        <w:t>pacijenata sa relapsom nakon 2 godine, i m</w:t>
      </w:r>
      <w:r w:rsidR="00F921F7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 xml:space="preserve">eri primarnog ishoda u ispitivanju CONFIRM, godišnja stopa relapsa (engl. </w:t>
      </w:r>
      <w:r w:rsidRPr="00750BAE">
        <w:rPr>
          <w:rFonts w:cs="Times New Roman"/>
          <w:i/>
          <w:iCs/>
          <w:lang w:val="sr-Latn-RS"/>
        </w:rPr>
        <w:t>annualised relapse rate</w:t>
      </w:r>
      <w:r w:rsidRPr="00750BAE">
        <w:rPr>
          <w:rFonts w:cs="Times New Roman"/>
          <w:lang w:val="sr-Latn-RS"/>
        </w:rPr>
        <w:t>, ARR) nakon 2 godine.</w:t>
      </w:r>
    </w:p>
    <w:p w14:paraId="3C04BFAC" w14:textId="77777777" w:rsidR="00BC3A3A" w:rsidRPr="00750BAE" w:rsidRDefault="00BC3A3A" w:rsidP="00BC3A3A">
      <w:pPr>
        <w:spacing w:before="9"/>
        <w:rPr>
          <w:sz w:val="22"/>
          <w:szCs w:val="22"/>
          <w:lang w:val="sr-Latn-RS"/>
        </w:rPr>
      </w:pPr>
    </w:p>
    <w:p w14:paraId="1D3A007B" w14:textId="77777777" w:rsidR="00BC3A3A" w:rsidRPr="00750BAE" w:rsidRDefault="00BC3A3A" w:rsidP="00BC3A3A">
      <w:pPr>
        <w:pStyle w:val="BodyText"/>
        <w:ind w:right="11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ARR za glatiramer acetat i placebo iznosio je 0,286 odnosno 0,401 u ispitivanju CONFIRM, što odgovara smanjenju od 29% (p = 0,013).</w:t>
      </w:r>
    </w:p>
    <w:tbl>
      <w:tblPr>
        <w:tblW w:w="8957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1080"/>
        <w:gridCol w:w="1584"/>
        <w:gridCol w:w="965"/>
        <w:gridCol w:w="1584"/>
        <w:gridCol w:w="1310"/>
      </w:tblGrid>
      <w:tr w:rsidR="00BC3A3A" w:rsidRPr="00750BAE" w14:paraId="34077270" w14:textId="77777777" w:rsidTr="004263FD">
        <w:trPr>
          <w:trHeight w:hRule="exact" w:val="264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11DBD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2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EB832" w14:textId="77777777" w:rsidR="00BC3A3A" w:rsidRPr="00750BAE" w:rsidRDefault="00BC3A3A" w:rsidP="004263FD">
            <w:pPr>
              <w:pStyle w:val="TableParagraph"/>
              <w:spacing w:line="252" w:lineRule="exact"/>
              <w:ind w:left="1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b/>
                <w:bCs/>
                <w:lang w:val="sr-Latn-RS"/>
              </w:rPr>
              <w:t>DEFINE</w:t>
            </w:r>
          </w:p>
        </w:tc>
        <w:tc>
          <w:tcPr>
            <w:tcW w:w="38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D3C84" w14:textId="77777777" w:rsidR="00BC3A3A" w:rsidRPr="00750BAE" w:rsidRDefault="00BC3A3A" w:rsidP="004263FD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b/>
                <w:bCs/>
                <w:lang w:val="sr-Latn-RS"/>
              </w:rPr>
              <w:t>CONFIRM</w:t>
            </w:r>
          </w:p>
        </w:tc>
      </w:tr>
      <w:tr w:rsidR="00BC3A3A" w:rsidRPr="00750BAE" w14:paraId="6E001F2E" w14:textId="77777777" w:rsidTr="004263FD">
        <w:trPr>
          <w:trHeight w:hRule="exact" w:val="1500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E0E67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B457B" w14:textId="77777777" w:rsidR="00BC3A3A" w:rsidRPr="00750BAE" w:rsidRDefault="00BC3A3A">
            <w:pPr>
              <w:pStyle w:val="TableParagraph"/>
              <w:ind w:left="10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b/>
                <w:bCs/>
                <w:lang w:val="sr-Latn-RS"/>
              </w:rPr>
              <w:t>Placebo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45A4A" w14:textId="77777777" w:rsidR="00DA7905" w:rsidRDefault="00BC3A3A">
            <w:pPr>
              <w:pStyle w:val="TableParagraph"/>
              <w:spacing w:line="237" w:lineRule="auto"/>
              <w:ind w:left="262" w:right="251" w:hanging="11"/>
              <w:jc w:val="both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750BAE">
              <w:rPr>
                <w:rFonts w:ascii="Times New Roman" w:hAnsi="Times New Roman" w:cs="Times New Roman"/>
                <w:b/>
                <w:bCs/>
                <w:lang w:val="sr-Latn-RS"/>
              </w:rPr>
              <w:t>Dimetil</w:t>
            </w:r>
          </w:p>
          <w:p w14:paraId="76E56522" w14:textId="6BD80713" w:rsidR="00BC3A3A" w:rsidRPr="00750BAE" w:rsidRDefault="00BC3A3A">
            <w:pPr>
              <w:pStyle w:val="TableParagraph"/>
              <w:spacing w:line="237" w:lineRule="auto"/>
              <w:ind w:left="262" w:right="251" w:hanging="11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b/>
                <w:bCs/>
                <w:lang w:val="sr-Latn-RS"/>
              </w:rPr>
              <w:t>fumarat 240 mg dvaput na dan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5C74E" w14:textId="77777777" w:rsidR="00BC3A3A" w:rsidRPr="00750BAE" w:rsidRDefault="00BC3A3A">
            <w:pPr>
              <w:pStyle w:val="TableParagraph"/>
              <w:ind w:left="10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b/>
                <w:bCs/>
                <w:lang w:val="sr-Latn-RS"/>
              </w:rPr>
              <w:t>Placebo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49B04" w14:textId="77777777" w:rsidR="00DA7905" w:rsidRDefault="00BC3A3A">
            <w:pPr>
              <w:pStyle w:val="TableParagraph"/>
              <w:spacing w:line="237" w:lineRule="auto"/>
              <w:ind w:left="263" w:right="251" w:hanging="11"/>
              <w:jc w:val="both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750BAE">
              <w:rPr>
                <w:rFonts w:ascii="Times New Roman" w:hAnsi="Times New Roman" w:cs="Times New Roman"/>
                <w:b/>
                <w:bCs/>
                <w:lang w:val="sr-Latn-RS"/>
              </w:rPr>
              <w:t>Dimetil</w:t>
            </w:r>
          </w:p>
          <w:p w14:paraId="309BE237" w14:textId="3F84022F" w:rsidR="00BC3A3A" w:rsidRPr="00750BAE" w:rsidRDefault="00BC3A3A">
            <w:pPr>
              <w:pStyle w:val="TableParagraph"/>
              <w:spacing w:line="237" w:lineRule="auto"/>
              <w:ind w:left="263" w:right="251" w:hanging="11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b/>
                <w:bCs/>
                <w:lang w:val="sr-Latn-RS"/>
              </w:rPr>
              <w:t>fumarat 240 mg dvaput na dan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21A84" w14:textId="77777777" w:rsidR="00BC3A3A" w:rsidRPr="00750BAE" w:rsidRDefault="00BC3A3A">
            <w:pPr>
              <w:pStyle w:val="TableParagraph"/>
              <w:ind w:left="320" w:right="116" w:hanging="207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b/>
                <w:bCs/>
                <w:lang w:val="sr-Latn-RS"/>
              </w:rPr>
              <w:t>Glatiramer acetat</w:t>
            </w:r>
          </w:p>
        </w:tc>
      </w:tr>
      <w:tr w:rsidR="00BC3A3A" w:rsidRPr="00750BAE" w14:paraId="77C4D5CA" w14:textId="77777777" w:rsidTr="004263FD">
        <w:trPr>
          <w:trHeight w:val="264"/>
        </w:trPr>
        <w:tc>
          <w:tcPr>
            <w:tcW w:w="89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910C3" w14:textId="7380F1D1" w:rsidR="00BC3A3A" w:rsidRPr="00750BAE" w:rsidRDefault="00BC3A3A">
            <w:pPr>
              <w:pStyle w:val="TableParagraph"/>
              <w:spacing w:line="252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b/>
                <w:bCs/>
                <w:lang w:val="sr-Latn-RS"/>
              </w:rPr>
              <w:t>Kliničk</w:t>
            </w:r>
            <w:r w:rsidR="00DA7905">
              <w:rPr>
                <w:rFonts w:ascii="Times New Roman" w:hAnsi="Times New Roman" w:cs="Times New Roman"/>
                <w:b/>
                <w:bCs/>
                <w:lang w:val="sr-Latn-RS"/>
              </w:rPr>
              <w:t>e mjere</w:t>
            </w:r>
            <w:r w:rsidRPr="00750BAE"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 ishod</w:t>
            </w:r>
            <w:r w:rsidR="00DA7905">
              <w:rPr>
                <w:rFonts w:ascii="Times New Roman" w:hAnsi="Times New Roman" w:cs="Times New Roman"/>
                <w:b/>
                <w:bCs/>
                <w:lang w:val="sr-Latn-RS"/>
              </w:rPr>
              <w:t>a</w:t>
            </w:r>
          </w:p>
        </w:tc>
      </w:tr>
      <w:tr w:rsidR="00BC3A3A" w:rsidRPr="00750BAE" w14:paraId="464ECECB" w14:textId="77777777" w:rsidTr="004263FD">
        <w:trPr>
          <w:trHeight w:hRule="exact" w:val="264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A9520" w14:textId="77777777" w:rsidR="00BC3A3A" w:rsidRPr="00750BAE" w:rsidRDefault="00BC3A3A">
            <w:pPr>
              <w:pStyle w:val="TableParagraph"/>
              <w:spacing w:line="252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Broj pacijenata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7D873" w14:textId="77777777" w:rsidR="00BC3A3A" w:rsidRPr="00750BAE" w:rsidRDefault="00BC3A3A" w:rsidP="004263FD">
            <w:pPr>
              <w:pStyle w:val="TableParagraph"/>
              <w:spacing w:line="252" w:lineRule="exact"/>
              <w:ind w:left="311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408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775DD" w14:textId="77777777" w:rsidR="00BC3A3A" w:rsidRPr="00750BAE" w:rsidRDefault="00BC3A3A" w:rsidP="004263FD">
            <w:pPr>
              <w:pStyle w:val="TableParagraph"/>
              <w:spacing w:line="252" w:lineRule="exact"/>
              <w:ind w:left="4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410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18112" w14:textId="77777777" w:rsidR="00BC3A3A" w:rsidRPr="00750BAE" w:rsidRDefault="00BC3A3A" w:rsidP="004263FD">
            <w:pPr>
              <w:pStyle w:val="TableParagraph"/>
              <w:spacing w:line="252" w:lineRule="exact"/>
              <w:ind w:left="310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363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14496" w14:textId="77777777" w:rsidR="00BC3A3A" w:rsidRPr="00750BAE" w:rsidRDefault="00BC3A3A" w:rsidP="004263FD">
            <w:pPr>
              <w:pStyle w:val="TableParagraph"/>
              <w:spacing w:line="252" w:lineRule="exact"/>
              <w:ind w:left="4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359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11F69" w14:textId="77777777" w:rsidR="00BC3A3A" w:rsidRPr="00750BAE" w:rsidRDefault="00BC3A3A" w:rsidP="004263FD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350</w:t>
            </w:r>
          </w:p>
        </w:tc>
      </w:tr>
      <w:tr w:rsidR="00BC3A3A" w:rsidRPr="00750BAE" w14:paraId="6D0FA046" w14:textId="77777777" w:rsidTr="004263FD">
        <w:trPr>
          <w:trHeight w:hRule="exact" w:val="259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01ECE" w14:textId="77777777" w:rsidR="00BC3A3A" w:rsidRPr="00750BAE" w:rsidRDefault="00BC3A3A">
            <w:pPr>
              <w:pStyle w:val="TableParagraph"/>
              <w:spacing w:line="248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Godišnja stopa relapsa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AB59A" w14:textId="77777777" w:rsidR="00BC3A3A" w:rsidRPr="00750BAE" w:rsidRDefault="00BC3A3A">
            <w:pPr>
              <w:pStyle w:val="TableParagraph"/>
              <w:spacing w:line="248" w:lineRule="exact"/>
              <w:ind w:left="22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0,364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5BCF2" w14:textId="77777777" w:rsidR="00BC3A3A" w:rsidRPr="00750BAE" w:rsidRDefault="00BC3A3A">
            <w:pPr>
              <w:pStyle w:val="TableParagraph"/>
              <w:spacing w:line="248" w:lineRule="exact"/>
              <w:ind w:left="373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0,172***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E6E3F" w14:textId="77777777" w:rsidR="00BC3A3A" w:rsidRPr="00750BAE" w:rsidRDefault="00BC3A3A">
            <w:pPr>
              <w:pStyle w:val="TableParagraph"/>
              <w:spacing w:line="248" w:lineRule="exact"/>
              <w:ind w:left="22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0,401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85B06" w14:textId="77777777" w:rsidR="00BC3A3A" w:rsidRPr="00750BAE" w:rsidRDefault="00BC3A3A">
            <w:pPr>
              <w:pStyle w:val="TableParagraph"/>
              <w:spacing w:line="248" w:lineRule="exact"/>
              <w:ind w:left="373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0,224***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8E400" w14:textId="77777777" w:rsidR="00BC3A3A" w:rsidRPr="00750BAE" w:rsidRDefault="00BC3A3A">
            <w:pPr>
              <w:pStyle w:val="TableParagraph"/>
              <w:spacing w:line="248" w:lineRule="exact"/>
              <w:ind w:left="34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0,286*</w:t>
            </w:r>
          </w:p>
        </w:tc>
      </w:tr>
      <w:tr w:rsidR="00BC3A3A" w:rsidRPr="00750BAE" w14:paraId="33AFC8DE" w14:textId="77777777" w:rsidTr="004263FD">
        <w:trPr>
          <w:trHeight w:hRule="exact" w:val="271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B849A30" w14:textId="77777777" w:rsidR="00BC3A3A" w:rsidRPr="00750BAE" w:rsidRDefault="00BC3A3A">
            <w:pPr>
              <w:pStyle w:val="TableParagraph"/>
              <w:ind w:left="671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 xml:space="preserve">Odnos stopa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BE78B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E8EC3F8" w14:textId="77777777" w:rsidR="00BC3A3A" w:rsidRPr="00750BAE" w:rsidRDefault="00BC3A3A" w:rsidP="004263F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0,47</w:t>
            </w:r>
          </w:p>
        </w:tc>
        <w:tc>
          <w:tcPr>
            <w:tcW w:w="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0E055" w14:textId="77777777" w:rsidR="00BC3A3A" w:rsidRPr="00750BAE" w:rsidRDefault="00BC3A3A" w:rsidP="004263FD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AAACB2F" w14:textId="77777777" w:rsidR="00BC3A3A" w:rsidRPr="00750BAE" w:rsidRDefault="00BC3A3A" w:rsidP="004263F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0,56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541ADA8" w14:textId="77777777" w:rsidR="00BC3A3A" w:rsidRPr="00750BAE" w:rsidRDefault="00BC3A3A" w:rsidP="004263F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0,71</w:t>
            </w:r>
          </w:p>
        </w:tc>
      </w:tr>
      <w:tr w:rsidR="00BC3A3A" w:rsidRPr="00750BAE" w14:paraId="0D6B8AEB" w14:textId="77777777" w:rsidTr="004263FD">
        <w:trPr>
          <w:trHeight w:hRule="exact" w:val="247"/>
        </w:trPr>
        <w:tc>
          <w:tcPr>
            <w:tcW w:w="24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9C762" w14:textId="77777777" w:rsidR="00BC3A3A" w:rsidRPr="00750BAE" w:rsidRDefault="00BC3A3A">
            <w:pPr>
              <w:pStyle w:val="TableParagraph"/>
              <w:spacing w:line="241" w:lineRule="exact"/>
              <w:ind w:left="671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(95% IP)</w:t>
            </w: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2F987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BA4DB" w14:textId="77777777" w:rsidR="00BC3A3A" w:rsidRPr="00750BAE" w:rsidRDefault="00BC3A3A" w:rsidP="004263FD">
            <w:pPr>
              <w:pStyle w:val="TableParagraph"/>
              <w:spacing w:line="241" w:lineRule="exact"/>
              <w:ind w:left="272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(0,37, 0,61)</w:t>
            </w:r>
          </w:p>
        </w:tc>
        <w:tc>
          <w:tcPr>
            <w:tcW w:w="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04637" w14:textId="77777777" w:rsidR="00BC3A3A" w:rsidRPr="00750BAE" w:rsidRDefault="00BC3A3A" w:rsidP="004263FD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291F6" w14:textId="77777777" w:rsidR="00BC3A3A" w:rsidRPr="00750BAE" w:rsidRDefault="00BC3A3A" w:rsidP="004263FD">
            <w:pPr>
              <w:pStyle w:val="TableParagraph"/>
              <w:spacing w:line="241" w:lineRule="exact"/>
              <w:ind w:left="272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(0,42, 0,74)</w:t>
            </w:r>
          </w:p>
        </w:tc>
        <w:tc>
          <w:tcPr>
            <w:tcW w:w="1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64617" w14:textId="77777777" w:rsidR="00BC3A3A" w:rsidRPr="00750BAE" w:rsidRDefault="00BC3A3A" w:rsidP="004263FD">
            <w:pPr>
              <w:pStyle w:val="TableParagraph"/>
              <w:spacing w:line="241" w:lineRule="exact"/>
              <w:ind w:left="133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(0,55, 0,93)</w:t>
            </w:r>
          </w:p>
        </w:tc>
      </w:tr>
      <w:tr w:rsidR="00BC3A3A" w:rsidRPr="00750BAE" w14:paraId="486D0FDC" w14:textId="77777777" w:rsidTr="004263FD">
        <w:trPr>
          <w:trHeight w:hRule="exact" w:val="264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D1370" w14:textId="14B7EC00" w:rsidR="00BC3A3A" w:rsidRPr="00750BAE" w:rsidRDefault="00BC3A3A">
            <w:pPr>
              <w:pStyle w:val="TableParagraph"/>
              <w:spacing w:line="252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lastRenderedPageBreak/>
              <w:t>Ud</w:t>
            </w:r>
            <w:r w:rsidR="00B84A14" w:rsidRPr="00750BAE">
              <w:rPr>
                <w:rFonts w:ascii="Times New Roman" w:hAnsi="Times New Roman" w:cs="Times New Roman"/>
                <w:lang w:val="sr-Latn-RS"/>
              </w:rPr>
              <w:t>i</w:t>
            </w:r>
            <w:r w:rsidRPr="00750BAE">
              <w:rPr>
                <w:rFonts w:ascii="Times New Roman" w:hAnsi="Times New Roman" w:cs="Times New Roman"/>
                <w:lang w:val="sr-Latn-RS"/>
              </w:rPr>
              <w:t>o sa relapsom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FA71F" w14:textId="77777777" w:rsidR="00BC3A3A" w:rsidRPr="00750BAE" w:rsidRDefault="00BC3A3A">
            <w:pPr>
              <w:pStyle w:val="TableParagraph"/>
              <w:spacing w:line="252" w:lineRule="exact"/>
              <w:ind w:left="22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0,461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B3EC7" w14:textId="77777777" w:rsidR="00BC3A3A" w:rsidRPr="00750BAE" w:rsidRDefault="00BC3A3A">
            <w:pPr>
              <w:pStyle w:val="TableParagraph"/>
              <w:spacing w:line="252" w:lineRule="exact"/>
              <w:ind w:left="373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0,270***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45580" w14:textId="77777777" w:rsidR="00BC3A3A" w:rsidRPr="00750BAE" w:rsidRDefault="00BC3A3A">
            <w:pPr>
              <w:pStyle w:val="TableParagraph"/>
              <w:spacing w:line="252" w:lineRule="exact"/>
              <w:ind w:left="22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0,410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0D70F" w14:textId="77777777" w:rsidR="00BC3A3A" w:rsidRPr="00750BAE" w:rsidRDefault="00BC3A3A">
            <w:pPr>
              <w:pStyle w:val="TableParagraph"/>
              <w:spacing w:line="252" w:lineRule="exact"/>
              <w:ind w:left="430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0,291**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71FD6" w14:textId="77777777" w:rsidR="00BC3A3A" w:rsidRPr="00750BAE" w:rsidRDefault="00BC3A3A">
            <w:pPr>
              <w:pStyle w:val="TableParagraph"/>
              <w:spacing w:line="252" w:lineRule="exact"/>
              <w:ind w:left="291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0,321**</w:t>
            </w:r>
          </w:p>
        </w:tc>
      </w:tr>
      <w:tr w:rsidR="00BC3A3A" w:rsidRPr="00750BAE" w14:paraId="6CAA0827" w14:textId="77777777" w:rsidTr="004263FD">
        <w:trPr>
          <w:trHeight w:hRule="exact" w:val="266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B0650D4" w14:textId="77777777" w:rsidR="00BC3A3A" w:rsidRPr="00750BAE" w:rsidRDefault="00BC3A3A">
            <w:pPr>
              <w:pStyle w:val="TableParagraph"/>
              <w:spacing w:line="248" w:lineRule="exact"/>
              <w:ind w:left="671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Odnos hazarda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789B0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4A1961" w14:textId="77777777" w:rsidR="00BC3A3A" w:rsidRPr="00750BAE" w:rsidRDefault="00BC3A3A" w:rsidP="004263FD">
            <w:pPr>
              <w:pStyle w:val="TableParagraph"/>
              <w:spacing w:line="248" w:lineRule="exact"/>
              <w:ind w:left="4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0,51</w:t>
            </w:r>
          </w:p>
        </w:tc>
        <w:tc>
          <w:tcPr>
            <w:tcW w:w="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C5C0E" w14:textId="77777777" w:rsidR="00BC3A3A" w:rsidRPr="00750BAE" w:rsidRDefault="00BC3A3A" w:rsidP="004263FD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324594F" w14:textId="77777777" w:rsidR="00BC3A3A" w:rsidRPr="00750BAE" w:rsidRDefault="00BC3A3A" w:rsidP="004263FD">
            <w:pPr>
              <w:pStyle w:val="TableParagraph"/>
              <w:spacing w:line="248" w:lineRule="exact"/>
              <w:ind w:left="4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0,66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482E578" w14:textId="77777777" w:rsidR="00BC3A3A" w:rsidRPr="00750BAE" w:rsidRDefault="00BC3A3A" w:rsidP="004263FD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0,71</w:t>
            </w:r>
          </w:p>
        </w:tc>
      </w:tr>
      <w:tr w:rsidR="00BC3A3A" w:rsidRPr="00750BAE" w14:paraId="412DC1A6" w14:textId="77777777" w:rsidTr="004263FD">
        <w:trPr>
          <w:trHeight w:hRule="exact" w:val="247"/>
        </w:trPr>
        <w:tc>
          <w:tcPr>
            <w:tcW w:w="24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7BF05" w14:textId="77777777" w:rsidR="00BC3A3A" w:rsidRPr="00750BAE" w:rsidRDefault="00BC3A3A">
            <w:pPr>
              <w:pStyle w:val="TableParagraph"/>
              <w:spacing w:line="241" w:lineRule="exact"/>
              <w:ind w:left="671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(95% IP)</w:t>
            </w: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81097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1284E" w14:textId="77777777" w:rsidR="00BC3A3A" w:rsidRPr="00750BAE" w:rsidRDefault="00BC3A3A" w:rsidP="004263FD">
            <w:pPr>
              <w:pStyle w:val="TableParagraph"/>
              <w:spacing w:line="241" w:lineRule="exact"/>
              <w:ind w:left="272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(0,40, 0,66)</w:t>
            </w:r>
          </w:p>
        </w:tc>
        <w:tc>
          <w:tcPr>
            <w:tcW w:w="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3FBB3" w14:textId="77777777" w:rsidR="00BC3A3A" w:rsidRPr="00750BAE" w:rsidRDefault="00BC3A3A" w:rsidP="004263FD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BC0D1" w14:textId="77777777" w:rsidR="00BC3A3A" w:rsidRPr="00750BAE" w:rsidRDefault="00BC3A3A" w:rsidP="004263FD">
            <w:pPr>
              <w:pStyle w:val="TableParagraph"/>
              <w:spacing w:line="241" w:lineRule="exact"/>
              <w:ind w:left="272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(0,51, 0,86)</w:t>
            </w:r>
          </w:p>
        </w:tc>
        <w:tc>
          <w:tcPr>
            <w:tcW w:w="1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0F402" w14:textId="77777777" w:rsidR="00BC3A3A" w:rsidRPr="00750BAE" w:rsidRDefault="00BC3A3A" w:rsidP="004263FD">
            <w:pPr>
              <w:pStyle w:val="TableParagraph"/>
              <w:spacing w:line="241" w:lineRule="exact"/>
              <w:ind w:left="133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(0,55, 0,92)</w:t>
            </w:r>
          </w:p>
        </w:tc>
      </w:tr>
      <w:tr w:rsidR="00BC3A3A" w:rsidRPr="00750BAE" w14:paraId="716B2873" w14:textId="77777777" w:rsidTr="004263FD">
        <w:trPr>
          <w:trHeight w:hRule="exact" w:val="768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ADDBE" w14:textId="740F0030" w:rsidR="00BC3A3A" w:rsidRPr="00750BAE" w:rsidRDefault="00BC3A3A">
            <w:pPr>
              <w:pStyle w:val="TableParagraph"/>
              <w:spacing w:before="1" w:line="237" w:lineRule="auto"/>
              <w:ind w:left="104" w:right="23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Ud</w:t>
            </w:r>
            <w:r w:rsidR="00B84A14" w:rsidRPr="00750BAE">
              <w:rPr>
                <w:rFonts w:ascii="Times New Roman" w:hAnsi="Times New Roman" w:cs="Times New Roman"/>
                <w:lang w:val="sr-Latn-RS"/>
              </w:rPr>
              <w:t>i</w:t>
            </w:r>
            <w:r w:rsidRPr="00750BAE">
              <w:rPr>
                <w:rFonts w:ascii="Times New Roman" w:hAnsi="Times New Roman" w:cs="Times New Roman"/>
                <w:lang w:val="sr-Latn-RS"/>
              </w:rPr>
              <w:t>o sa 12-nedeljnom potvrđenom progresijom invaliditeta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96CBD" w14:textId="77777777" w:rsidR="00BC3A3A" w:rsidRPr="00750BAE" w:rsidRDefault="00BC3A3A">
            <w:pPr>
              <w:pStyle w:val="TableParagraph"/>
              <w:ind w:left="22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0,271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D304E" w14:textId="77777777" w:rsidR="00BC3A3A" w:rsidRPr="00750BAE" w:rsidRDefault="00BC3A3A">
            <w:pPr>
              <w:pStyle w:val="TableParagraph"/>
              <w:ind w:left="430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0,164**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2E92A" w14:textId="77777777" w:rsidR="00BC3A3A" w:rsidRPr="00750BAE" w:rsidRDefault="00BC3A3A">
            <w:pPr>
              <w:pStyle w:val="TableParagraph"/>
              <w:ind w:left="22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0,169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7DF61" w14:textId="77777777" w:rsidR="00BC3A3A" w:rsidRPr="00750BAE" w:rsidRDefault="00BC3A3A">
            <w:pPr>
              <w:pStyle w:val="TableParagraph"/>
              <w:spacing w:line="253" w:lineRule="exact"/>
              <w:ind w:left="502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0,128#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14E06" w14:textId="77777777" w:rsidR="00BC3A3A" w:rsidRPr="00750BAE" w:rsidRDefault="00BC3A3A">
            <w:pPr>
              <w:pStyle w:val="TableParagraph"/>
              <w:spacing w:line="253" w:lineRule="exact"/>
              <w:ind w:left="363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0,156#</w:t>
            </w:r>
          </w:p>
        </w:tc>
      </w:tr>
      <w:tr w:rsidR="00BC3A3A" w:rsidRPr="00750BAE" w14:paraId="2AAD524E" w14:textId="77777777" w:rsidTr="004263FD">
        <w:trPr>
          <w:trHeight w:hRule="exact" w:val="271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6FBAFAD" w14:textId="77777777" w:rsidR="00BC3A3A" w:rsidRPr="00750BAE" w:rsidRDefault="00BC3A3A">
            <w:pPr>
              <w:pStyle w:val="TableParagraph"/>
              <w:ind w:left="671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Odnos hazarda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F48E6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3ECA394" w14:textId="77777777" w:rsidR="00BC3A3A" w:rsidRPr="00750BAE" w:rsidRDefault="00BC3A3A" w:rsidP="004263F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0,62</w:t>
            </w:r>
          </w:p>
        </w:tc>
        <w:tc>
          <w:tcPr>
            <w:tcW w:w="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C40B3" w14:textId="77777777" w:rsidR="00BC3A3A" w:rsidRPr="00750BAE" w:rsidRDefault="00BC3A3A" w:rsidP="004263FD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05B0E5C" w14:textId="77777777" w:rsidR="00BC3A3A" w:rsidRPr="00750BAE" w:rsidRDefault="00BC3A3A" w:rsidP="004263F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0,79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042B883" w14:textId="77777777" w:rsidR="00BC3A3A" w:rsidRPr="00750BAE" w:rsidRDefault="00BC3A3A" w:rsidP="004263F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0,93</w:t>
            </w:r>
          </w:p>
        </w:tc>
      </w:tr>
      <w:tr w:rsidR="00BC3A3A" w:rsidRPr="00750BAE" w14:paraId="45FBD595" w14:textId="77777777" w:rsidTr="004263FD">
        <w:trPr>
          <w:trHeight w:hRule="exact" w:val="247"/>
        </w:trPr>
        <w:tc>
          <w:tcPr>
            <w:tcW w:w="24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B5692" w14:textId="77777777" w:rsidR="00BC3A3A" w:rsidRPr="00750BAE" w:rsidRDefault="00BC3A3A">
            <w:pPr>
              <w:pStyle w:val="TableParagraph"/>
              <w:spacing w:line="241" w:lineRule="exact"/>
              <w:ind w:left="671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(95% IP)</w:t>
            </w: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50FE2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F19B5" w14:textId="77777777" w:rsidR="00BC3A3A" w:rsidRPr="00750BAE" w:rsidRDefault="00BC3A3A" w:rsidP="004263FD">
            <w:pPr>
              <w:pStyle w:val="TableParagraph"/>
              <w:spacing w:line="241" w:lineRule="exact"/>
              <w:ind w:left="272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(0,44, 0,87)</w:t>
            </w:r>
          </w:p>
        </w:tc>
        <w:tc>
          <w:tcPr>
            <w:tcW w:w="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A0EF8" w14:textId="77777777" w:rsidR="00BC3A3A" w:rsidRPr="00750BAE" w:rsidRDefault="00BC3A3A" w:rsidP="004263FD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D0E3F" w14:textId="77777777" w:rsidR="00BC3A3A" w:rsidRPr="00750BAE" w:rsidRDefault="00BC3A3A" w:rsidP="004263FD">
            <w:pPr>
              <w:pStyle w:val="TableParagraph"/>
              <w:spacing w:line="241" w:lineRule="exact"/>
              <w:ind w:left="272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(0,52, 1,19)</w:t>
            </w:r>
          </w:p>
        </w:tc>
        <w:tc>
          <w:tcPr>
            <w:tcW w:w="1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84BAB" w14:textId="77777777" w:rsidR="00BC3A3A" w:rsidRPr="00750BAE" w:rsidRDefault="00BC3A3A" w:rsidP="004263FD">
            <w:pPr>
              <w:pStyle w:val="TableParagraph"/>
              <w:spacing w:line="241" w:lineRule="exact"/>
              <w:ind w:left="133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(0,63, 1,37)</w:t>
            </w:r>
          </w:p>
        </w:tc>
      </w:tr>
      <w:tr w:rsidR="00BC3A3A" w:rsidRPr="00750BAE" w14:paraId="266F5C92" w14:textId="77777777" w:rsidTr="004263FD">
        <w:trPr>
          <w:trHeight w:hRule="exact" w:val="768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D95B6" w14:textId="1FD39D01" w:rsidR="00BC3A3A" w:rsidRPr="00750BAE" w:rsidRDefault="00BC3A3A">
            <w:pPr>
              <w:pStyle w:val="TableParagraph"/>
              <w:spacing w:before="1" w:line="237" w:lineRule="auto"/>
              <w:ind w:left="104" w:right="248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Ud</w:t>
            </w:r>
            <w:r w:rsidR="00B84A14" w:rsidRPr="00750BAE">
              <w:rPr>
                <w:rFonts w:ascii="Times New Roman" w:hAnsi="Times New Roman" w:cs="Times New Roman"/>
                <w:lang w:val="sr-Latn-RS"/>
              </w:rPr>
              <w:t>i</w:t>
            </w:r>
            <w:r w:rsidRPr="00750BAE">
              <w:rPr>
                <w:rFonts w:ascii="Times New Roman" w:hAnsi="Times New Roman" w:cs="Times New Roman"/>
                <w:lang w:val="sr-Latn-RS"/>
              </w:rPr>
              <w:t>o sa 24-nedeljnom potvrđenom progresijom invaliditeta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5461F" w14:textId="77777777" w:rsidR="00BC3A3A" w:rsidRPr="00750BAE" w:rsidRDefault="00BC3A3A">
            <w:pPr>
              <w:pStyle w:val="TableParagraph"/>
              <w:ind w:left="22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0,169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01FC1" w14:textId="77777777" w:rsidR="00BC3A3A" w:rsidRPr="00750BAE" w:rsidRDefault="00BC3A3A">
            <w:pPr>
              <w:pStyle w:val="TableParagraph"/>
              <w:ind w:left="483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0,128#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EF8C5" w14:textId="77777777" w:rsidR="00BC3A3A" w:rsidRPr="00750BAE" w:rsidRDefault="00BC3A3A">
            <w:pPr>
              <w:pStyle w:val="TableParagraph"/>
              <w:ind w:left="22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0,125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A663F" w14:textId="77777777" w:rsidR="00BC3A3A" w:rsidRPr="00750BAE" w:rsidRDefault="00BC3A3A">
            <w:pPr>
              <w:pStyle w:val="TableParagraph"/>
              <w:ind w:left="483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0,078#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16013" w14:textId="77777777" w:rsidR="00BC3A3A" w:rsidRPr="00750BAE" w:rsidRDefault="00BC3A3A">
            <w:pPr>
              <w:pStyle w:val="TableParagraph"/>
              <w:ind w:left="34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0,108#</w:t>
            </w:r>
          </w:p>
        </w:tc>
      </w:tr>
      <w:tr w:rsidR="00BC3A3A" w:rsidRPr="00750BAE" w14:paraId="3F1A7997" w14:textId="77777777" w:rsidTr="004263FD">
        <w:trPr>
          <w:trHeight w:hRule="exact" w:val="269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3F1233" w14:textId="77777777" w:rsidR="00BC3A3A" w:rsidRPr="00750BAE" w:rsidRDefault="00BC3A3A">
            <w:pPr>
              <w:pStyle w:val="TableParagraph"/>
              <w:ind w:left="671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Odnos hazarda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9FB1B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B1306B6" w14:textId="77777777" w:rsidR="00BC3A3A" w:rsidRPr="00750BAE" w:rsidRDefault="00BC3A3A" w:rsidP="004263F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0,77</w:t>
            </w:r>
          </w:p>
        </w:tc>
        <w:tc>
          <w:tcPr>
            <w:tcW w:w="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54E08" w14:textId="77777777" w:rsidR="00BC3A3A" w:rsidRPr="00750BAE" w:rsidRDefault="00BC3A3A" w:rsidP="004263FD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4BF618B" w14:textId="77777777" w:rsidR="00BC3A3A" w:rsidRPr="00750BAE" w:rsidRDefault="00BC3A3A" w:rsidP="004263F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0,62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D0E0D21" w14:textId="77777777" w:rsidR="00BC3A3A" w:rsidRPr="00750BAE" w:rsidRDefault="00BC3A3A" w:rsidP="004263F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0,87</w:t>
            </w:r>
          </w:p>
        </w:tc>
      </w:tr>
      <w:tr w:rsidR="00BC3A3A" w:rsidRPr="00750BAE" w14:paraId="1F8C03B4" w14:textId="77777777" w:rsidTr="004263FD">
        <w:trPr>
          <w:trHeight w:hRule="exact" w:val="245"/>
        </w:trPr>
        <w:tc>
          <w:tcPr>
            <w:tcW w:w="24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75E15" w14:textId="77777777" w:rsidR="00BC3A3A" w:rsidRPr="00750BAE" w:rsidRDefault="00BC3A3A">
            <w:pPr>
              <w:pStyle w:val="TableParagraph"/>
              <w:spacing w:line="239" w:lineRule="exact"/>
              <w:ind w:left="671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(95% IP)</w:t>
            </w: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14FBB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C7567" w14:textId="77777777" w:rsidR="00BC3A3A" w:rsidRPr="00750BAE" w:rsidRDefault="00BC3A3A" w:rsidP="004263FD">
            <w:pPr>
              <w:pStyle w:val="TableParagraph"/>
              <w:spacing w:line="239" w:lineRule="exact"/>
              <w:ind w:left="272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(0,52, 1,14)</w:t>
            </w:r>
          </w:p>
        </w:tc>
        <w:tc>
          <w:tcPr>
            <w:tcW w:w="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0BA4C" w14:textId="77777777" w:rsidR="00BC3A3A" w:rsidRPr="00750BAE" w:rsidRDefault="00BC3A3A" w:rsidP="004263FD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7D331" w14:textId="77777777" w:rsidR="00BC3A3A" w:rsidRPr="00750BAE" w:rsidRDefault="00BC3A3A" w:rsidP="004263FD">
            <w:pPr>
              <w:pStyle w:val="TableParagraph"/>
              <w:spacing w:line="239" w:lineRule="exact"/>
              <w:ind w:left="272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(0,37, 1,03)</w:t>
            </w:r>
          </w:p>
        </w:tc>
        <w:tc>
          <w:tcPr>
            <w:tcW w:w="1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DF9FC" w14:textId="77777777" w:rsidR="00BC3A3A" w:rsidRPr="00750BAE" w:rsidRDefault="00BC3A3A" w:rsidP="004263FD">
            <w:pPr>
              <w:pStyle w:val="TableParagraph"/>
              <w:spacing w:line="239" w:lineRule="exact"/>
              <w:ind w:left="133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(0,55, 1,38)</w:t>
            </w:r>
          </w:p>
        </w:tc>
      </w:tr>
      <w:tr w:rsidR="00BC3A3A" w:rsidRPr="00750BAE" w14:paraId="277287CB" w14:textId="77777777" w:rsidTr="004263FD">
        <w:trPr>
          <w:trHeight w:hRule="exact" w:val="264"/>
        </w:trPr>
        <w:tc>
          <w:tcPr>
            <w:tcW w:w="5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6CAFC" w14:textId="77777777" w:rsidR="00BC3A3A" w:rsidRPr="00750BAE" w:rsidRDefault="00BC3A3A">
            <w:pPr>
              <w:pStyle w:val="TableParagraph"/>
              <w:spacing w:line="252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b/>
                <w:bCs/>
                <w:lang w:val="sr-Latn-RS"/>
              </w:rPr>
              <w:t>MRI ishodi</w:t>
            </w:r>
            <w:r w:rsidRPr="004263FD">
              <w:rPr>
                <w:rFonts w:ascii="Times New Roman" w:hAnsi="Times New Roman" w:cs="Times New Roman"/>
                <w:vertAlign w:val="superscript"/>
                <w:lang w:val="sr-Latn-RS"/>
              </w:rPr>
              <w:t>b</w:t>
            </w:r>
          </w:p>
        </w:tc>
        <w:tc>
          <w:tcPr>
            <w:tcW w:w="38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60109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</w:tr>
      <w:tr w:rsidR="00BC3A3A" w:rsidRPr="00750BAE" w14:paraId="7C4457F9" w14:textId="77777777" w:rsidTr="004263FD">
        <w:trPr>
          <w:trHeight w:hRule="exact" w:val="264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04232" w14:textId="77777777" w:rsidR="00BC3A3A" w:rsidRPr="00750BAE" w:rsidRDefault="00BC3A3A">
            <w:pPr>
              <w:pStyle w:val="TableParagraph"/>
              <w:spacing w:line="252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Broj pacijenata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874FF" w14:textId="77777777" w:rsidR="00BC3A3A" w:rsidRPr="00750BAE" w:rsidRDefault="00BC3A3A" w:rsidP="004263FD">
            <w:pPr>
              <w:pStyle w:val="TableParagraph"/>
              <w:spacing w:line="252" w:lineRule="exact"/>
              <w:ind w:left="311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165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D25CA" w14:textId="77777777" w:rsidR="00BC3A3A" w:rsidRPr="00750BAE" w:rsidRDefault="00BC3A3A" w:rsidP="004263FD">
            <w:pPr>
              <w:pStyle w:val="TableParagraph"/>
              <w:spacing w:line="252" w:lineRule="exact"/>
              <w:ind w:left="4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152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F9757" w14:textId="77777777" w:rsidR="00BC3A3A" w:rsidRPr="00750BAE" w:rsidRDefault="00BC3A3A" w:rsidP="004263FD">
            <w:pPr>
              <w:pStyle w:val="TableParagraph"/>
              <w:spacing w:line="252" w:lineRule="exact"/>
              <w:ind w:left="310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144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DC019" w14:textId="77777777" w:rsidR="00BC3A3A" w:rsidRPr="00750BAE" w:rsidRDefault="00BC3A3A" w:rsidP="004263FD">
            <w:pPr>
              <w:pStyle w:val="TableParagraph"/>
              <w:spacing w:line="252" w:lineRule="exact"/>
              <w:ind w:left="4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147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F2A3D" w14:textId="77777777" w:rsidR="00BC3A3A" w:rsidRPr="00750BAE" w:rsidRDefault="00BC3A3A" w:rsidP="004263FD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161</w:t>
            </w:r>
          </w:p>
        </w:tc>
      </w:tr>
      <w:tr w:rsidR="00BC3A3A" w:rsidRPr="00750BAE" w14:paraId="325C97DC" w14:textId="77777777" w:rsidTr="004263FD">
        <w:trPr>
          <w:trHeight w:hRule="exact" w:val="271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4EFE85C" w14:textId="0427AC23" w:rsidR="00BC3A3A" w:rsidRPr="00750BAE" w:rsidRDefault="00BC3A3A" w:rsidP="004263FD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 xml:space="preserve">Srednja </w:t>
            </w:r>
            <w:r w:rsidR="005F44D1" w:rsidRPr="00750BAE">
              <w:rPr>
                <w:rFonts w:ascii="Times New Roman" w:hAnsi="Times New Roman" w:cs="Times New Roman"/>
                <w:lang w:val="sr-Latn-RS"/>
              </w:rPr>
              <w:t>vrijednost</w:t>
            </w:r>
            <w:r w:rsidRPr="00750BAE">
              <w:rPr>
                <w:rFonts w:ascii="Times New Roman" w:hAnsi="Times New Roman" w:cs="Times New Roman"/>
                <w:lang w:val="sr-Latn-RS"/>
              </w:rPr>
              <w:t xml:space="preserve"> (medijan) broja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2B209D4" w14:textId="77777777" w:rsidR="00BC3A3A" w:rsidRPr="00750BAE" w:rsidRDefault="00BC3A3A" w:rsidP="004263FD">
            <w:pPr>
              <w:pStyle w:val="TableParagraph"/>
              <w:ind w:left="286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16,5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330063F" w14:textId="77777777" w:rsidR="00BC3A3A" w:rsidRPr="00750BAE" w:rsidRDefault="00BC3A3A" w:rsidP="004263FD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3,2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46C7EDF" w14:textId="77777777" w:rsidR="00BC3A3A" w:rsidRPr="00750BAE" w:rsidRDefault="00BC3A3A" w:rsidP="004263FD">
            <w:pPr>
              <w:pStyle w:val="TableParagraph"/>
              <w:ind w:left="286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19,9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14BFEA4" w14:textId="77777777" w:rsidR="00BC3A3A" w:rsidRPr="00750BAE" w:rsidRDefault="00BC3A3A" w:rsidP="004263FD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5,7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B7493F3" w14:textId="77777777" w:rsidR="00BC3A3A" w:rsidRPr="00750BAE" w:rsidRDefault="00BC3A3A" w:rsidP="004263F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9,6</w:t>
            </w:r>
          </w:p>
        </w:tc>
      </w:tr>
      <w:tr w:rsidR="00BC3A3A" w:rsidRPr="00750BAE" w14:paraId="169BDFA2" w14:textId="77777777" w:rsidTr="004263FD">
        <w:trPr>
          <w:trHeight w:hRule="exact" w:val="252"/>
        </w:trPr>
        <w:tc>
          <w:tcPr>
            <w:tcW w:w="24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3AB0CF" w14:textId="77777777" w:rsidR="00BC3A3A" w:rsidRPr="00750BAE" w:rsidRDefault="00BC3A3A" w:rsidP="004263FD">
            <w:pPr>
              <w:pStyle w:val="TableParagraph"/>
              <w:spacing w:line="242" w:lineRule="exact"/>
              <w:ind w:left="104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novih ili novoproširenih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DBF87" w14:textId="77777777" w:rsidR="00BC3A3A" w:rsidRPr="00750BAE" w:rsidRDefault="00BC3A3A" w:rsidP="004263FD">
            <w:pPr>
              <w:pStyle w:val="TableParagraph"/>
              <w:spacing w:line="242" w:lineRule="exact"/>
              <w:ind w:left="267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(7,0)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97F13" w14:textId="77777777" w:rsidR="00BC3A3A" w:rsidRPr="00750BAE" w:rsidRDefault="00BC3A3A" w:rsidP="004263FD">
            <w:pPr>
              <w:pStyle w:val="TableParagraph"/>
              <w:spacing w:line="242" w:lineRule="exact"/>
              <w:ind w:left="411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(1,0)***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CDE5C" w14:textId="77777777" w:rsidR="00BC3A3A" w:rsidRPr="00750BAE" w:rsidRDefault="00BC3A3A" w:rsidP="004263FD">
            <w:pPr>
              <w:pStyle w:val="TableParagraph"/>
              <w:spacing w:line="242" w:lineRule="exact"/>
              <w:ind w:left="210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(11,0)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B3CD3" w14:textId="77777777" w:rsidR="00BC3A3A" w:rsidRPr="00750BAE" w:rsidRDefault="00BC3A3A" w:rsidP="004263FD">
            <w:pPr>
              <w:pStyle w:val="TableParagraph"/>
              <w:spacing w:line="242" w:lineRule="exact"/>
              <w:ind w:left="411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(2,0)***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9367B" w14:textId="77777777" w:rsidR="00BC3A3A" w:rsidRPr="00750BAE" w:rsidRDefault="00BC3A3A" w:rsidP="004263FD">
            <w:pPr>
              <w:pStyle w:val="TableParagraph"/>
              <w:spacing w:line="242" w:lineRule="exact"/>
              <w:ind w:left="272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(3,0)***</w:t>
            </w:r>
          </w:p>
        </w:tc>
      </w:tr>
      <w:tr w:rsidR="00BC3A3A" w:rsidRPr="00750BAE" w14:paraId="16DC22D8" w14:textId="77777777" w:rsidTr="004263FD">
        <w:trPr>
          <w:trHeight w:val="245"/>
        </w:trPr>
        <w:tc>
          <w:tcPr>
            <w:tcW w:w="24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F003F" w14:textId="77777777" w:rsidR="00BC3A3A" w:rsidRPr="00750BAE" w:rsidRDefault="00BC3A3A" w:rsidP="004263FD">
            <w:pPr>
              <w:pStyle w:val="TableParagraph"/>
              <w:spacing w:line="239" w:lineRule="exact"/>
              <w:ind w:left="104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T2 lezija tokom 2 godine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96C25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699A4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0E606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5258E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EAD53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</w:tr>
      <w:tr w:rsidR="00BC3A3A" w:rsidRPr="00750BAE" w14:paraId="2DF55E29" w14:textId="77777777" w:rsidTr="004263FD">
        <w:trPr>
          <w:trHeight w:hRule="exact" w:val="271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6317C35" w14:textId="0DB7B16A" w:rsidR="00BC3A3A" w:rsidRPr="00750BAE" w:rsidRDefault="00BC3A3A" w:rsidP="004263FD">
            <w:pPr>
              <w:pStyle w:val="TableParagraph"/>
              <w:ind w:left="671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 xml:space="preserve">Odnos srednje </w:t>
            </w:r>
            <w:r w:rsidR="00335B34">
              <w:rPr>
                <w:rFonts w:ascii="Times New Roman" w:hAnsi="Times New Roman" w:cs="Times New Roman"/>
                <w:lang w:val="sr-Latn-RS"/>
              </w:rPr>
              <w:t>vvvvv</w:t>
            </w:r>
            <w:r w:rsidR="005F44D1" w:rsidRPr="00750BAE">
              <w:rPr>
                <w:rFonts w:ascii="Times New Roman" w:hAnsi="Times New Roman" w:cs="Times New Roman"/>
                <w:lang w:val="sr-Latn-RS"/>
              </w:rPr>
              <w:t>vrijednost</w:t>
            </w:r>
            <w:r w:rsidRPr="00750BAE">
              <w:rPr>
                <w:rFonts w:ascii="Times New Roman" w:hAnsi="Times New Roman" w:cs="Times New Roman"/>
                <w:lang w:val="sr-Latn-RS"/>
              </w:rPr>
              <w:t>i lezija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6B887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C91BA27" w14:textId="77777777" w:rsidR="00BC3A3A" w:rsidRPr="00750BAE" w:rsidRDefault="00BC3A3A" w:rsidP="004263F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0,15</w:t>
            </w:r>
          </w:p>
        </w:tc>
        <w:tc>
          <w:tcPr>
            <w:tcW w:w="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F6353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6B25C6A" w14:textId="77777777" w:rsidR="00BC3A3A" w:rsidRPr="00750BAE" w:rsidRDefault="00BC3A3A" w:rsidP="004263F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0,29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39032AF" w14:textId="77777777" w:rsidR="00BC3A3A" w:rsidRPr="00750BAE" w:rsidRDefault="00BC3A3A" w:rsidP="004263F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0,46</w:t>
            </w:r>
          </w:p>
        </w:tc>
      </w:tr>
      <w:tr w:rsidR="00BC3A3A" w:rsidRPr="00750BAE" w14:paraId="1DC6FC5F" w14:textId="77777777" w:rsidTr="004263FD">
        <w:trPr>
          <w:trHeight w:hRule="exact" w:val="574"/>
        </w:trPr>
        <w:tc>
          <w:tcPr>
            <w:tcW w:w="24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A04AA" w14:textId="49AB8FBA" w:rsidR="00BC3A3A" w:rsidRPr="00750BAE" w:rsidRDefault="00335B34" w:rsidP="004263FD">
            <w:pPr>
              <w:pStyle w:val="TableParagraph"/>
              <w:spacing w:line="241" w:lineRule="exact"/>
              <w:ind w:left="671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vrijednosti lezija </w:t>
            </w:r>
            <w:r w:rsidR="00BC3A3A" w:rsidRPr="00750BAE">
              <w:rPr>
                <w:rFonts w:ascii="Times New Roman" w:hAnsi="Times New Roman" w:cs="Times New Roman"/>
                <w:lang w:val="sr-Latn-RS"/>
              </w:rPr>
              <w:t>(95% IP)</w:t>
            </w: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1C953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52748" w14:textId="77777777" w:rsidR="00BC3A3A" w:rsidRPr="00750BAE" w:rsidRDefault="00BC3A3A" w:rsidP="004263FD">
            <w:pPr>
              <w:pStyle w:val="TableParagraph"/>
              <w:spacing w:line="241" w:lineRule="exact"/>
              <w:ind w:left="272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(0,10, 0,23)</w:t>
            </w:r>
          </w:p>
        </w:tc>
        <w:tc>
          <w:tcPr>
            <w:tcW w:w="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0BC7C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BDE41" w14:textId="77777777" w:rsidR="00BC3A3A" w:rsidRPr="00750BAE" w:rsidRDefault="00BC3A3A" w:rsidP="004263FD">
            <w:pPr>
              <w:pStyle w:val="TableParagraph"/>
              <w:spacing w:line="241" w:lineRule="exact"/>
              <w:ind w:left="272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(0,21, 0,41)</w:t>
            </w:r>
          </w:p>
        </w:tc>
        <w:tc>
          <w:tcPr>
            <w:tcW w:w="1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A2B2B" w14:textId="77777777" w:rsidR="00BC3A3A" w:rsidRPr="00750BAE" w:rsidRDefault="00BC3A3A" w:rsidP="004263FD">
            <w:pPr>
              <w:pStyle w:val="TableParagraph"/>
              <w:spacing w:line="241" w:lineRule="exact"/>
              <w:ind w:left="133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(0,33, 0,63)</w:t>
            </w:r>
          </w:p>
        </w:tc>
      </w:tr>
      <w:tr w:rsidR="00BC3A3A" w:rsidRPr="00750BAE" w14:paraId="623E43B5" w14:textId="77777777" w:rsidTr="004263FD">
        <w:trPr>
          <w:trHeight w:hRule="exact" w:val="266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5CC83A1" w14:textId="6134B205" w:rsidR="00BC3A3A" w:rsidRPr="00750BAE" w:rsidRDefault="00BC3A3A" w:rsidP="004263FD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 xml:space="preserve">Srednja </w:t>
            </w:r>
            <w:r w:rsidR="005F44D1" w:rsidRPr="00750BAE">
              <w:rPr>
                <w:rFonts w:ascii="Times New Roman" w:hAnsi="Times New Roman" w:cs="Times New Roman"/>
                <w:lang w:val="sr-Latn-RS"/>
              </w:rPr>
              <w:t>vrijednost</w:t>
            </w:r>
            <w:r w:rsidRPr="00750BAE">
              <w:rPr>
                <w:rFonts w:ascii="Times New Roman" w:hAnsi="Times New Roman" w:cs="Times New Roman"/>
                <w:lang w:val="sr-Latn-RS"/>
              </w:rPr>
              <w:t xml:space="preserve"> (medijan) broja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1E29D64" w14:textId="77777777" w:rsidR="00BC3A3A" w:rsidRPr="00750BAE" w:rsidRDefault="00BC3A3A" w:rsidP="004263FD">
            <w:pPr>
              <w:pStyle w:val="TableParagraph"/>
              <w:spacing w:line="248" w:lineRule="exact"/>
              <w:ind w:left="4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1,8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DBCE05E" w14:textId="77777777" w:rsidR="00BC3A3A" w:rsidRPr="00750BAE" w:rsidRDefault="00BC3A3A" w:rsidP="004263FD">
            <w:pPr>
              <w:pStyle w:val="TableParagraph"/>
              <w:spacing w:line="248" w:lineRule="exact"/>
              <w:ind w:left="9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0,1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1F84439" w14:textId="77777777" w:rsidR="00BC3A3A" w:rsidRPr="00750BAE" w:rsidRDefault="00BC3A3A" w:rsidP="004263FD">
            <w:pPr>
              <w:pStyle w:val="TableParagraph"/>
              <w:spacing w:line="248" w:lineRule="exact"/>
              <w:ind w:left="4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2,0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C5E22E2" w14:textId="77777777" w:rsidR="00BC3A3A" w:rsidRPr="00750BAE" w:rsidRDefault="00BC3A3A" w:rsidP="004263FD">
            <w:pPr>
              <w:pStyle w:val="TableParagraph"/>
              <w:spacing w:line="248" w:lineRule="exact"/>
              <w:ind w:left="9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0,5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26D32AE" w14:textId="77777777" w:rsidR="00BC3A3A" w:rsidRPr="00750BAE" w:rsidRDefault="00BC3A3A" w:rsidP="004263FD">
            <w:pPr>
              <w:pStyle w:val="TableParagraph"/>
              <w:spacing w:line="248" w:lineRule="exact"/>
              <w:ind w:left="4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0,7</w:t>
            </w:r>
          </w:p>
        </w:tc>
      </w:tr>
      <w:tr w:rsidR="00BC3A3A" w:rsidRPr="00750BAE" w14:paraId="5ACB24E3" w14:textId="77777777" w:rsidTr="004263FD">
        <w:trPr>
          <w:trHeight w:hRule="exact" w:val="247"/>
        </w:trPr>
        <w:tc>
          <w:tcPr>
            <w:tcW w:w="24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85265" w14:textId="77777777" w:rsidR="00BC3A3A" w:rsidRPr="00750BAE" w:rsidRDefault="00BC3A3A" w:rsidP="004263FD">
            <w:pPr>
              <w:pStyle w:val="TableParagraph"/>
              <w:spacing w:line="241" w:lineRule="exact"/>
              <w:ind w:left="104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 xml:space="preserve">Gd lezija nakon 2 godine  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DA5C9" w14:textId="77777777" w:rsidR="00BC3A3A" w:rsidRPr="00750BAE" w:rsidRDefault="00BC3A3A" w:rsidP="004263FD">
            <w:pPr>
              <w:pStyle w:val="TableParagraph"/>
              <w:spacing w:line="241" w:lineRule="exact"/>
              <w:ind w:left="1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(0)</w:t>
            </w:r>
          </w:p>
        </w:tc>
        <w:tc>
          <w:tcPr>
            <w:tcW w:w="1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DF997" w14:textId="77777777" w:rsidR="00BC3A3A" w:rsidRPr="00750BAE" w:rsidRDefault="00BC3A3A" w:rsidP="004263FD">
            <w:pPr>
              <w:pStyle w:val="TableParagraph"/>
              <w:spacing w:line="241" w:lineRule="exact"/>
              <w:ind w:left="493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(0)***</w:t>
            </w:r>
          </w:p>
        </w:tc>
        <w:tc>
          <w:tcPr>
            <w:tcW w:w="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D1382" w14:textId="77777777" w:rsidR="00BC3A3A" w:rsidRPr="00750BAE" w:rsidRDefault="00BC3A3A" w:rsidP="004263FD">
            <w:pPr>
              <w:pStyle w:val="TableParagraph"/>
              <w:spacing w:line="241" w:lineRule="exact"/>
              <w:ind w:left="267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(0,0)</w:t>
            </w:r>
          </w:p>
        </w:tc>
        <w:tc>
          <w:tcPr>
            <w:tcW w:w="1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25397" w14:textId="77777777" w:rsidR="00BC3A3A" w:rsidRPr="00750BAE" w:rsidRDefault="00BC3A3A" w:rsidP="004263FD">
            <w:pPr>
              <w:pStyle w:val="TableParagraph"/>
              <w:spacing w:line="241" w:lineRule="exact"/>
              <w:ind w:left="411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(0,0)***</w:t>
            </w:r>
          </w:p>
        </w:tc>
        <w:tc>
          <w:tcPr>
            <w:tcW w:w="1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DC13D" w14:textId="77777777" w:rsidR="00BC3A3A" w:rsidRPr="00750BAE" w:rsidRDefault="00BC3A3A" w:rsidP="004263FD">
            <w:pPr>
              <w:pStyle w:val="TableParagraph"/>
              <w:spacing w:line="241" w:lineRule="exact"/>
              <w:ind w:left="325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(0,0)**</w:t>
            </w:r>
          </w:p>
        </w:tc>
      </w:tr>
      <w:tr w:rsidR="00BC3A3A" w:rsidRPr="00750BAE" w14:paraId="2E038E42" w14:textId="77777777" w:rsidTr="004263FD">
        <w:trPr>
          <w:trHeight w:hRule="exact" w:val="271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E530F9A" w14:textId="6D222298" w:rsidR="00BC3A3A" w:rsidRPr="00750BAE" w:rsidRDefault="00BC3A3A">
            <w:pPr>
              <w:pStyle w:val="TableParagraph"/>
              <w:ind w:left="671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 xml:space="preserve">Odnos </w:t>
            </w:r>
            <w:r w:rsidR="00335B34">
              <w:rPr>
                <w:rFonts w:ascii="Times New Roman" w:hAnsi="Times New Roman" w:cs="Times New Roman"/>
                <w:lang w:val="sr-Latn-RS"/>
              </w:rPr>
              <w:t>iizgled</w:t>
            </w:r>
            <w:r w:rsidRPr="00750BAE">
              <w:rPr>
                <w:rFonts w:ascii="Times New Roman" w:hAnsi="Times New Roman" w:cs="Times New Roman"/>
                <w:lang w:val="sr-Latn-RS"/>
              </w:rPr>
              <w:t>v</w:t>
            </w:r>
            <w:r w:rsidR="00B84A14" w:rsidRPr="00750BAE">
              <w:rPr>
                <w:rFonts w:ascii="Times New Roman" w:hAnsi="Times New Roman" w:cs="Times New Roman"/>
                <w:lang w:val="sr-Latn-RS"/>
              </w:rPr>
              <w:t>j</w:t>
            </w:r>
            <w:r w:rsidRPr="00750BAE">
              <w:rPr>
                <w:rFonts w:ascii="Times New Roman" w:hAnsi="Times New Roman" w:cs="Times New Roman"/>
                <w:lang w:val="sr-Latn-RS"/>
              </w:rPr>
              <w:t>erovatnoća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A5972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D961D5E" w14:textId="77777777" w:rsidR="00BC3A3A" w:rsidRPr="00750BAE" w:rsidRDefault="00BC3A3A" w:rsidP="004263F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0,10</w:t>
            </w:r>
          </w:p>
        </w:tc>
        <w:tc>
          <w:tcPr>
            <w:tcW w:w="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16668" w14:textId="77777777" w:rsidR="00BC3A3A" w:rsidRPr="00750BAE" w:rsidRDefault="00BC3A3A" w:rsidP="004263FD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1F273A8" w14:textId="77777777" w:rsidR="00BC3A3A" w:rsidRPr="00750BAE" w:rsidRDefault="00BC3A3A" w:rsidP="004263F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0,26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D4BBFA3" w14:textId="77777777" w:rsidR="00BC3A3A" w:rsidRPr="00750BAE" w:rsidRDefault="00BC3A3A" w:rsidP="004263F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0,39</w:t>
            </w:r>
          </w:p>
        </w:tc>
      </w:tr>
      <w:tr w:rsidR="00BC3A3A" w:rsidRPr="00750BAE" w14:paraId="5E385643" w14:textId="77777777" w:rsidTr="004263FD">
        <w:trPr>
          <w:trHeight w:hRule="exact" w:val="480"/>
        </w:trPr>
        <w:tc>
          <w:tcPr>
            <w:tcW w:w="24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53CBD" w14:textId="3DA78837" w:rsidR="00BC3A3A" w:rsidRPr="00750BAE" w:rsidRDefault="00335B34">
            <w:pPr>
              <w:pStyle w:val="TableParagraph"/>
              <w:spacing w:line="241" w:lineRule="exact"/>
              <w:ind w:left="671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izgleda </w:t>
            </w:r>
            <w:r w:rsidR="00BC3A3A" w:rsidRPr="00750BAE">
              <w:rPr>
                <w:rFonts w:ascii="Times New Roman" w:hAnsi="Times New Roman" w:cs="Times New Roman"/>
                <w:lang w:val="sr-Latn-RS"/>
              </w:rPr>
              <w:t>(95% IP)</w:t>
            </w: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7F26F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C42A6" w14:textId="77777777" w:rsidR="00BC3A3A" w:rsidRPr="00750BAE" w:rsidRDefault="00BC3A3A" w:rsidP="004263FD">
            <w:pPr>
              <w:pStyle w:val="TableParagraph"/>
              <w:spacing w:line="241" w:lineRule="exact"/>
              <w:ind w:left="272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(0,05, 0,22)</w:t>
            </w:r>
          </w:p>
        </w:tc>
        <w:tc>
          <w:tcPr>
            <w:tcW w:w="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5A83C" w14:textId="77777777" w:rsidR="00BC3A3A" w:rsidRPr="00750BAE" w:rsidRDefault="00BC3A3A" w:rsidP="004263FD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3C12D" w14:textId="77777777" w:rsidR="00BC3A3A" w:rsidRPr="00750BAE" w:rsidRDefault="00BC3A3A" w:rsidP="004263FD">
            <w:pPr>
              <w:pStyle w:val="TableParagraph"/>
              <w:spacing w:line="241" w:lineRule="exact"/>
              <w:ind w:left="272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(0,15, 0,46)</w:t>
            </w:r>
          </w:p>
        </w:tc>
        <w:tc>
          <w:tcPr>
            <w:tcW w:w="1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6C675" w14:textId="77777777" w:rsidR="00BC3A3A" w:rsidRPr="00750BAE" w:rsidRDefault="00BC3A3A" w:rsidP="004263FD">
            <w:pPr>
              <w:pStyle w:val="TableParagraph"/>
              <w:spacing w:line="241" w:lineRule="exact"/>
              <w:ind w:left="133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(0,24, 0,65)</w:t>
            </w:r>
          </w:p>
        </w:tc>
      </w:tr>
      <w:tr w:rsidR="00BC3A3A" w:rsidRPr="00750BAE" w14:paraId="6330498C" w14:textId="77777777" w:rsidTr="004263FD">
        <w:trPr>
          <w:trHeight w:hRule="exact" w:val="266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52276D" w14:textId="7F92C7CA" w:rsidR="00BC3A3A" w:rsidRPr="00750BAE" w:rsidRDefault="00BC3A3A" w:rsidP="004263FD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 xml:space="preserve">Srednja </w:t>
            </w:r>
            <w:r w:rsidR="005F44D1" w:rsidRPr="00750BAE">
              <w:rPr>
                <w:rFonts w:ascii="Times New Roman" w:hAnsi="Times New Roman" w:cs="Times New Roman"/>
                <w:lang w:val="sr-Latn-RS"/>
              </w:rPr>
              <w:t>vrijednost</w:t>
            </w:r>
            <w:r w:rsidRPr="00750BAE">
              <w:rPr>
                <w:rFonts w:ascii="Times New Roman" w:hAnsi="Times New Roman" w:cs="Times New Roman"/>
                <w:lang w:val="sr-Latn-RS"/>
              </w:rPr>
              <w:t xml:space="preserve"> (medijan) broja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4BF4755" w14:textId="77777777" w:rsidR="00BC3A3A" w:rsidRPr="00750BAE" w:rsidRDefault="00BC3A3A" w:rsidP="004263FD">
            <w:pPr>
              <w:pStyle w:val="TableParagraph"/>
              <w:spacing w:line="248" w:lineRule="exact"/>
              <w:ind w:left="4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5,7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9204D57" w14:textId="77777777" w:rsidR="00BC3A3A" w:rsidRPr="00750BAE" w:rsidRDefault="00BC3A3A" w:rsidP="004263FD">
            <w:pPr>
              <w:pStyle w:val="TableParagraph"/>
              <w:spacing w:line="248" w:lineRule="exact"/>
              <w:ind w:left="9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2,0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743C4B1" w14:textId="77777777" w:rsidR="00BC3A3A" w:rsidRPr="00750BAE" w:rsidRDefault="00BC3A3A" w:rsidP="004263FD">
            <w:pPr>
              <w:pStyle w:val="TableParagraph"/>
              <w:spacing w:line="248" w:lineRule="exact"/>
              <w:ind w:left="4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8,1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DDD9C15" w14:textId="77777777" w:rsidR="00BC3A3A" w:rsidRPr="00750BAE" w:rsidRDefault="00BC3A3A" w:rsidP="004263FD">
            <w:pPr>
              <w:pStyle w:val="TableParagraph"/>
              <w:spacing w:line="248" w:lineRule="exact"/>
              <w:ind w:left="9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3,8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9B9AD0A" w14:textId="77777777" w:rsidR="00BC3A3A" w:rsidRPr="00750BAE" w:rsidRDefault="00BC3A3A" w:rsidP="004263FD">
            <w:pPr>
              <w:pStyle w:val="TableParagraph"/>
              <w:spacing w:line="248" w:lineRule="exact"/>
              <w:ind w:left="4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4,5</w:t>
            </w:r>
          </w:p>
        </w:tc>
      </w:tr>
      <w:tr w:rsidR="00BC3A3A" w:rsidRPr="00750BAE" w14:paraId="4734C501" w14:textId="77777777" w:rsidTr="004263FD">
        <w:trPr>
          <w:trHeight w:hRule="exact" w:val="254"/>
        </w:trPr>
        <w:tc>
          <w:tcPr>
            <w:tcW w:w="24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E8275DF" w14:textId="77777777" w:rsidR="00BC3A3A" w:rsidRPr="00750BAE" w:rsidRDefault="00BC3A3A" w:rsidP="004263FD">
            <w:pPr>
              <w:pStyle w:val="TableParagraph"/>
              <w:spacing w:line="242" w:lineRule="exact"/>
              <w:ind w:left="104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novih hipointenzivnih T1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0C912" w14:textId="77777777" w:rsidR="00BC3A3A" w:rsidRPr="00750BAE" w:rsidRDefault="00BC3A3A" w:rsidP="004263FD">
            <w:pPr>
              <w:pStyle w:val="TableParagraph"/>
              <w:spacing w:line="242" w:lineRule="exact"/>
              <w:ind w:left="267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(2,0)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EA84F" w14:textId="77777777" w:rsidR="00BC3A3A" w:rsidRPr="00750BAE" w:rsidRDefault="00BC3A3A" w:rsidP="004263FD">
            <w:pPr>
              <w:pStyle w:val="TableParagraph"/>
              <w:spacing w:line="242" w:lineRule="exact"/>
              <w:ind w:left="411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(1,0)***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BA069" w14:textId="77777777" w:rsidR="00BC3A3A" w:rsidRPr="00750BAE" w:rsidRDefault="00BC3A3A" w:rsidP="004263FD">
            <w:pPr>
              <w:pStyle w:val="TableParagraph"/>
              <w:spacing w:line="242" w:lineRule="exact"/>
              <w:ind w:left="267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(4,0)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5C173" w14:textId="77777777" w:rsidR="00BC3A3A" w:rsidRPr="00750BAE" w:rsidRDefault="00BC3A3A" w:rsidP="004263FD">
            <w:pPr>
              <w:pStyle w:val="TableParagraph"/>
              <w:spacing w:line="242" w:lineRule="exact"/>
              <w:ind w:left="411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(1,0)***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B226E" w14:textId="77777777" w:rsidR="00BC3A3A" w:rsidRPr="00750BAE" w:rsidRDefault="00BC3A3A" w:rsidP="004263FD">
            <w:pPr>
              <w:pStyle w:val="TableParagraph"/>
              <w:spacing w:line="242" w:lineRule="exact"/>
              <w:ind w:left="325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(2,0)**</w:t>
            </w:r>
          </w:p>
        </w:tc>
      </w:tr>
      <w:tr w:rsidR="00BC3A3A" w:rsidRPr="00750BAE" w14:paraId="1F8085C6" w14:textId="77777777" w:rsidTr="004263FD">
        <w:trPr>
          <w:trHeight w:val="247"/>
        </w:trPr>
        <w:tc>
          <w:tcPr>
            <w:tcW w:w="24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698B2" w14:textId="77777777" w:rsidR="00BC3A3A" w:rsidRPr="00750BAE" w:rsidRDefault="00BC3A3A" w:rsidP="004263FD">
            <w:pPr>
              <w:pStyle w:val="TableParagraph"/>
              <w:spacing w:line="241" w:lineRule="exact"/>
              <w:ind w:left="104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lezija tokom 2 godine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CBCA1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D4FC4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A05E4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0E70E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CB4CA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</w:tr>
      <w:tr w:rsidR="00BC3A3A" w:rsidRPr="00750BAE" w14:paraId="4D8E7F77" w14:textId="77777777" w:rsidTr="004263FD">
        <w:trPr>
          <w:trHeight w:hRule="exact" w:val="269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098AEFC" w14:textId="656B05DD" w:rsidR="00BC3A3A" w:rsidRPr="00750BAE" w:rsidRDefault="00BC3A3A" w:rsidP="004263FD">
            <w:pPr>
              <w:pStyle w:val="TableParagraph"/>
              <w:ind w:left="671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 xml:space="preserve">Odnos srednje </w:t>
            </w:r>
            <w:r w:rsidR="005F44D1" w:rsidRPr="00750BAE">
              <w:rPr>
                <w:rFonts w:ascii="Times New Roman" w:hAnsi="Times New Roman" w:cs="Times New Roman"/>
                <w:lang w:val="sr-Latn-RS"/>
              </w:rPr>
              <w:t>vrijednost</w:t>
            </w:r>
            <w:r w:rsidRPr="00750BAE">
              <w:rPr>
                <w:rFonts w:ascii="Times New Roman" w:hAnsi="Times New Roman" w:cs="Times New Roman"/>
                <w:lang w:val="sr-Latn-RS"/>
              </w:rPr>
              <w:t>i lezija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DB9EA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E51FA9C" w14:textId="77777777" w:rsidR="00BC3A3A" w:rsidRPr="00750BAE" w:rsidRDefault="00BC3A3A" w:rsidP="004263F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0,28</w:t>
            </w:r>
          </w:p>
        </w:tc>
        <w:tc>
          <w:tcPr>
            <w:tcW w:w="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7F9C7" w14:textId="77777777" w:rsidR="00BC3A3A" w:rsidRPr="00750BAE" w:rsidRDefault="00BC3A3A" w:rsidP="004263FD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F062F98" w14:textId="77777777" w:rsidR="00BC3A3A" w:rsidRPr="00750BAE" w:rsidRDefault="00BC3A3A" w:rsidP="004263F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0,43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B5CAE11" w14:textId="77777777" w:rsidR="00BC3A3A" w:rsidRPr="00750BAE" w:rsidRDefault="00BC3A3A" w:rsidP="004263F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0,59</w:t>
            </w:r>
          </w:p>
        </w:tc>
      </w:tr>
      <w:tr w:rsidR="00BC3A3A" w:rsidRPr="00750BAE" w14:paraId="2873DA09" w14:textId="77777777" w:rsidTr="004263FD">
        <w:trPr>
          <w:trHeight w:hRule="exact" w:val="516"/>
        </w:trPr>
        <w:tc>
          <w:tcPr>
            <w:tcW w:w="24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CE865" w14:textId="45B556EA" w:rsidR="00BC3A3A" w:rsidRPr="00750BAE" w:rsidRDefault="00FC3D31" w:rsidP="004263FD">
            <w:pPr>
              <w:pStyle w:val="TableParagraph"/>
              <w:spacing w:line="239" w:lineRule="exact"/>
              <w:ind w:left="671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vrijednosti lezija </w:t>
            </w:r>
            <w:r w:rsidR="00BC3A3A" w:rsidRPr="00750BAE">
              <w:rPr>
                <w:rFonts w:ascii="Times New Roman" w:hAnsi="Times New Roman" w:cs="Times New Roman"/>
                <w:lang w:val="sr-Latn-RS"/>
              </w:rPr>
              <w:t>(95% IP)</w:t>
            </w: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C67AC" w14:textId="77777777" w:rsidR="00BC3A3A" w:rsidRPr="00750BAE" w:rsidRDefault="00BC3A3A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20A6D" w14:textId="77777777" w:rsidR="00BC3A3A" w:rsidRPr="00750BAE" w:rsidRDefault="00BC3A3A" w:rsidP="004263FD">
            <w:pPr>
              <w:pStyle w:val="TableParagraph"/>
              <w:spacing w:line="239" w:lineRule="exact"/>
              <w:ind w:left="272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(0,20, 0,39)</w:t>
            </w:r>
          </w:p>
        </w:tc>
        <w:tc>
          <w:tcPr>
            <w:tcW w:w="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6C260" w14:textId="77777777" w:rsidR="00BC3A3A" w:rsidRPr="00750BAE" w:rsidRDefault="00BC3A3A" w:rsidP="004263FD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BC15B" w14:textId="77777777" w:rsidR="00BC3A3A" w:rsidRPr="00750BAE" w:rsidRDefault="00BC3A3A" w:rsidP="004263FD">
            <w:pPr>
              <w:pStyle w:val="TableParagraph"/>
              <w:spacing w:line="239" w:lineRule="exact"/>
              <w:ind w:left="272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(0,30, 0,61)</w:t>
            </w:r>
          </w:p>
        </w:tc>
        <w:tc>
          <w:tcPr>
            <w:tcW w:w="1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589CA" w14:textId="77777777" w:rsidR="00BC3A3A" w:rsidRPr="00750BAE" w:rsidRDefault="00BC3A3A" w:rsidP="004263FD">
            <w:pPr>
              <w:pStyle w:val="TableParagraph"/>
              <w:spacing w:line="239" w:lineRule="exact"/>
              <w:ind w:left="133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750BAE">
              <w:rPr>
                <w:rFonts w:ascii="Times New Roman" w:hAnsi="Times New Roman" w:cs="Times New Roman"/>
                <w:lang w:val="sr-Latn-RS"/>
              </w:rPr>
              <w:t>(0,42, 0,82)</w:t>
            </w:r>
          </w:p>
        </w:tc>
      </w:tr>
    </w:tbl>
    <w:p w14:paraId="7F8041F7" w14:textId="4AD0F9DB" w:rsidR="00BC3A3A" w:rsidRPr="000C092A" w:rsidRDefault="00BC3A3A" w:rsidP="00AA76E2">
      <w:pPr>
        <w:pStyle w:val="BodyText"/>
        <w:spacing w:line="253" w:lineRule="exact"/>
        <w:jc w:val="both"/>
        <w:rPr>
          <w:rFonts w:cs="Times New Roman"/>
          <w:sz w:val="20"/>
          <w:szCs w:val="20"/>
          <w:lang w:val="sr-Latn-RS"/>
        </w:rPr>
      </w:pPr>
      <w:r w:rsidRPr="000C092A">
        <w:rPr>
          <w:rFonts w:cs="Times New Roman"/>
          <w:color w:val="0000FF"/>
          <w:sz w:val="20"/>
          <w:szCs w:val="20"/>
          <w:vertAlign w:val="superscript"/>
          <w:lang w:val="sr-Latn-RS"/>
        </w:rPr>
        <w:t>a</w:t>
      </w:r>
      <w:r w:rsidRPr="000C092A">
        <w:rPr>
          <w:rFonts w:cs="Times New Roman"/>
          <w:sz w:val="20"/>
          <w:szCs w:val="20"/>
          <w:lang w:val="sr-Latn-RS"/>
        </w:rPr>
        <w:t xml:space="preserve">Sve analize kliničkih ishoda odnose se na populaciju planiranu za </w:t>
      </w:r>
      <w:r w:rsidR="0069098C" w:rsidRPr="000C092A">
        <w:rPr>
          <w:rFonts w:cs="Times New Roman"/>
          <w:sz w:val="20"/>
          <w:szCs w:val="20"/>
          <w:lang w:val="sr-Latn-RS"/>
        </w:rPr>
        <w:t>liječenje</w:t>
      </w:r>
      <w:r w:rsidRPr="000C092A">
        <w:rPr>
          <w:rFonts w:cs="Times New Roman"/>
          <w:sz w:val="20"/>
          <w:szCs w:val="20"/>
          <w:lang w:val="sr-Latn-RS"/>
        </w:rPr>
        <w:t xml:space="preserve">; </w:t>
      </w:r>
      <w:r w:rsidRPr="000C092A">
        <w:rPr>
          <w:rFonts w:cs="Times New Roman"/>
          <w:color w:val="0000FF"/>
          <w:sz w:val="20"/>
          <w:szCs w:val="20"/>
          <w:vertAlign w:val="superscript"/>
          <w:lang w:val="sr-Latn-RS"/>
        </w:rPr>
        <w:t>b</w:t>
      </w:r>
      <w:r w:rsidRPr="000C092A">
        <w:rPr>
          <w:rFonts w:cs="Times New Roman"/>
          <w:sz w:val="20"/>
          <w:szCs w:val="20"/>
          <w:lang w:val="sr-Latn-RS"/>
        </w:rPr>
        <w:t>MR analiza odnosi se na MR kohortu</w:t>
      </w:r>
    </w:p>
    <w:p w14:paraId="766F917F" w14:textId="04988A5A" w:rsidR="00BC3A3A" w:rsidRPr="000C092A" w:rsidRDefault="00BC3A3A">
      <w:pPr>
        <w:pStyle w:val="BodyText"/>
        <w:spacing w:before="1"/>
        <w:ind w:left="116"/>
        <w:jc w:val="both"/>
        <w:rPr>
          <w:rFonts w:cs="Times New Roman"/>
          <w:sz w:val="20"/>
          <w:szCs w:val="20"/>
          <w:lang w:val="sr-Latn-RS"/>
        </w:rPr>
      </w:pPr>
      <w:r w:rsidRPr="000C092A">
        <w:rPr>
          <w:rFonts w:cs="Times New Roman"/>
          <w:sz w:val="20"/>
          <w:szCs w:val="20"/>
          <w:lang w:val="sr-Latn-RS"/>
        </w:rPr>
        <w:t>*P-</w:t>
      </w:r>
      <w:r w:rsidR="005F44D1" w:rsidRPr="000C092A">
        <w:rPr>
          <w:rFonts w:cs="Times New Roman"/>
          <w:sz w:val="20"/>
          <w:szCs w:val="20"/>
          <w:lang w:val="sr-Latn-RS"/>
        </w:rPr>
        <w:t>vrijednost</w:t>
      </w:r>
      <w:r w:rsidRPr="000C092A">
        <w:rPr>
          <w:rFonts w:cs="Times New Roman"/>
          <w:sz w:val="20"/>
          <w:szCs w:val="20"/>
          <w:lang w:val="sr-Latn-RS"/>
        </w:rPr>
        <w:t xml:space="preserve"> &lt; 0,05; **P-</w:t>
      </w:r>
      <w:r w:rsidR="005F44D1" w:rsidRPr="000C092A">
        <w:rPr>
          <w:rFonts w:cs="Times New Roman"/>
          <w:sz w:val="20"/>
          <w:szCs w:val="20"/>
          <w:lang w:val="sr-Latn-RS"/>
        </w:rPr>
        <w:t>vrijednost</w:t>
      </w:r>
      <w:r w:rsidRPr="000C092A">
        <w:rPr>
          <w:rFonts w:cs="Times New Roman"/>
          <w:sz w:val="20"/>
          <w:szCs w:val="20"/>
          <w:lang w:val="sr-Latn-RS"/>
        </w:rPr>
        <w:t xml:space="preserve"> &lt; 0,01; ***P-</w:t>
      </w:r>
      <w:r w:rsidR="005F44D1" w:rsidRPr="000C092A">
        <w:rPr>
          <w:rFonts w:cs="Times New Roman"/>
          <w:sz w:val="20"/>
          <w:szCs w:val="20"/>
          <w:lang w:val="sr-Latn-RS"/>
        </w:rPr>
        <w:t>vrijednost</w:t>
      </w:r>
      <w:r w:rsidRPr="000C092A">
        <w:rPr>
          <w:rFonts w:cs="Times New Roman"/>
          <w:sz w:val="20"/>
          <w:szCs w:val="20"/>
          <w:lang w:val="sr-Latn-RS"/>
        </w:rPr>
        <w:t xml:space="preserve"> &lt; 0,0001; #nije statistički značajno</w:t>
      </w:r>
    </w:p>
    <w:p w14:paraId="312D9D37" w14:textId="0182D643" w:rsidR="00BC3A3A" w:rsidRPr="000C092A" w:rsidRDefault="00DA7905" w:rsidP="000C092A">
      <w:pPr>
        <w:spacing w:before="9"/>
        <w:jc w:val="both"/>
        <w:rPr>
          <w:sz w:val="20"/>
          <w:szCs w:val="20"/>
          <w:lang w:val="sr-Latn-RS"/>
        </w:rPr>
      </w:pPr>
      <w:r w:rsidRPr="000C092A">
        <w:rPr>
          <w:sz w:val="20"/>
          <w:szCs w:val="20"/>
          <w:lang w:val="sr-Latn-RS"/>
        </w:rPr>
        <w:t xml:space="preserve">  </w:t>
      </w:r>
      <w:r w:rsidR="00AA76E2">
        <w:rPr>
          <w:sz w:val="20"/>
          <w:szCs w:val="20"/>
          <w:lang w:val="sr-Latn-RS"/>
        </w:rPr>
        <w:t xml:space="preserve"> </w:t>
      </w:r>
      <w:r w:rsidRPr="000C092A">
        <w:rPr>
          <w:sz w:val="20"/>
          <w:szCs w:val="20"/>
          <w:lang w:val="sr-Latn-RS"/>
        </w:rPr>
        <w:t>IP- interval pouzdanosti</w:t>
      </w:r>
    </w:p>
    <w:p w14:paraId="25C4EDEC" w14:textId="77777777" w:rsidR="00255FA5" w:rsidRPr="00750BAE" w:rsidRDefault="00255FA5" w:rsidP="00BC3A3A">
      <w:pPr>
        <w:spacing w:before="9"/>
        <w:rPr>
          <w:sz w:val="22"/>
          <w:szCs w:val="22"/>
          <w:lang w:val="sr-Latn-RS"/>
        </w:rPr>
      </w:pPr>
    </w:p>
    <w:p w14:paraId="3DF505FF" w14:textId="7DE5F614" w:rsidR="00BC3A3A" w:rsidRPr="00750BAE" w:rsidRDefault="00BC3A3A" w:rsidP="00BC3A3A">
      <w:pPr>
        <w:pStyle w:val="BodyText"/>
        <w:ind w:right="170" w:hanging="1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U otvoreni nekontrolisani 8-godišnji produžetak ispitivanja (ENDORSE) bilo je uključeno 1736 odgovarajućih pacijenata sa RRMS-om iz glavnih ispitivanja (DEFINE i CONFIRM). Primarni cilj ispitivanja bio je da se utvrdi dugoročna </w:t>
      </w:r>
      <w:r w:rsidR="00453DDE" w:rsidRPr="00750BAE">
        <w:rPr>
          <w:rFonts w:cs="Times New Roman"/>
          <w:lang w:val="sr-Latn-RS"/>
        </w:rPr>
        <w:t>bezbjednos</w:t>
      </w:r>
      <w:r w:rsidRPr="00750BAE">
        <w:rPr>
          <w:rFonts w:cs="Times New Roman"/>
          <w:lang w:val="sr-Latn-RS"/>
        </w:rPr>
        <w:t>t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fumarata kod pacijenata sa RRMS-om. Od 1736 pacijenata, približno polovina pacijenata (909, 52%) </w:t>
      </w:r>
      <w:r w:rsidR="004B4C9F" w:rsidRPr="00750BAE">
        <w:rPr>
          <w:rFonts w:cs="Times New Roman"/>
          <w:lang w:val="sr-Latn-RS"/>
        </w:rPr>
        <w:t>liječe</w:t>
      </w:r>
      <w:r w:rsidRPr="00750BAE">
        <w:rPr>
          <w:rFonts w:cs="Times New Roman"/>
          <w:lang w:val="sr-Latn-RS"/>
        </w:rPr>
        <w:t xml:space="preserve">na je 6 godina ili duže. U sva 3 ispitivanja, 501 pacijent kontinuirano je </w:t>
      </w:r>
      <w:r w:rsidR="004B4C9F" w:rsidRPr="00750BAE">
        <w:rPr>
          <w:rFonts w:cs="Times New Roman"/>
          <w:lang w:val="sr-Latn-RS"/>
        </w:rPr>
        <w:t>liječe</w:t>
      </w:r>
      <w:r w:rsidRPr="00750BAE">
        <w:rPr>
          <w:rFonts w:cs="Times New Roman"/>
          <w:lang w:val="sr-Latn-RS"/>
        </w:rPr>
        <w:t xml:space="preserve">n dimetil </w:t>
      </w:r>
      <w:r w:rsidR="00255FA5">
        <w:rPr>
          <w:rFonts w:cs="Times New Roman"/>
          <w:lang w:val="sr-Latn-RS"/>
        </w:rPr>
        <w:t>f</w:t>
      </w:r>
      <w:r w:rsidRPr="00750BAE">
        <w:rPr>
          <w:rFonts w:cs="Times New Roman"/>
          <w:lang w:val="sr-Latn-RS"/>
        </w:rPr>
        <w:t xml:space="preserve">umaratom u dozi od 240 mg dvaput na dan, a 249 pacijenata koji su prethodno u ispitivanjima DEFINE i CONFIRM primali placebo, primali su u ispitivanju ENDORSE 240 mg dvaput na dan. Pacijenti koji su terapiju primali kontinuirano dvaput na dan, </w:t>
      </w:r>
      <w:r w:rsidR="004B4C9F" w:rsidRPr="00750BAE">
        <w:rPr>
          <w:rFonts w:cs="Times New Roman"/>
          <w:lang w:val="sr-Latn-RS"/>
        </w:rPr>
        <w:t>liječe</w:t>
      </w:r>
      <w:r w:rsidRPr="00750BAE">
        <w:rPr>
          <w:rFonts w:cs="Times New Roman"/>
          <w:lang w:val="sr-Latn-RS"/>
        </w:rPr>
        <w:t>ni su do 12 godina.</w:t>
      </w:r>
    </w:p>
    <w:p w14:paraId="7BF3D842" w14:textId="77777777" w:rsidR="00BC3A3A" w:rsidRPr="00750BAE" w:rsidRDefault="00BC3A3A" w:rsidP="00BC3A3A">
      <w:pPr>
        <w:spacing w:before="4"/>
        <w:rPr>
          <w:sz w:val="22"/>
          <w:szCs w:val="22"/>
          <w:lang w:val="sr-Latn-RS"/>
        </w:rPr>
      </w:pPr>
    </w:p>
    <w:p w14:paraId="54BC46E6" w14:textId="307F4EE4" w:rsidR="00BC3A3A" w:rsidRPr="00750BAE" w:rsidRDefault="00BC3A3A" w:rsidP="00BC3A3A">
      <w:pPr>
        <w:pStyle w:val="BodyText"/>
        <w:spacing w:line="237" w:lineRule="auto"/>
        <w:ind w:right="170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Tokom ispitivanja ENDORSE, više od polovine svih pacijenata </w:t>
      </w:r>
      <w:r w:rsidR="00A83B47" w:rsidRPr="00750BAE">
        <w:rPr>
          <w:rFonts w:cs="Times New Roman"/>
          <w:lang w:val="sr-Latn-RS"/>
        </w:rPr>
        <w:t>liječenih</w:t>
      </w:r>
      <w:r w:rsidRPr="00750BAE">
        <w:rPr>
          <w:rFonts w:cs="Times New Roman"/>
          <w:lang w:val="sr-Latn-RS"/>
        </w:rPr>
        <w:t xml:space="preserve">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fumaratom u dozi od 240 mg dvaput na dan nije imalo relaps. Kod pacijenata koji su kontinuirano </w:t>
      </w:r>
      <w:r w:rsidR="004B4C9F" w:rsidRPr="00750BAE">
        <w:rPr>
          <w:rFonts w:cs="Times New Roman"/>
          <w:lang w:val="sr-Latn-RS"/>
        </w:rPr>
        <w:t>liječe</w:t>
      </w:r>
      <w:r w:rsidRPr="00750BAE">
        <w:rPr>
          <w:rFonts w:cs="Times New Roman"/>
          <w:lang w:val="sr-Latn-RS"/>
        </w:rPr>
        <w:t>ni dvaput na dan u sva 3 ispitivanja, prilagođen ARR iznosio je 0,187 (95% IP: 0,156; 0,224) u ispitivanjima DEFINE i CONFIRM i 0,141 (95% IP: 0,119; 0,167) u ispitivanju ENDORSE.   Kod pacijenata koji su prethodno primali placebo, prilagođen ARR smanjio se sa 0,330 (95% IP: 0,266; 0,408) u ispitivanjima DEFINE i CONFIRM do 0,149 (95% IP: 0,116; 0,190) u ispitivanju ENDORSE.</w:t>
      </w:r>
    </w:p>
    <w:p w14:paraId="55F8C72F" w14:textId="77777777" w:rsidR="00BC3A3A" w:rsidRPr="00750BAE" w:rsidRDefault="00BC3A3A" w:rsidP="00BC3A3A">
      <w:pPr>
        <w:spacing w:before="9"/>
        <w:rPr>
          <w:sz w:val="22"/>
          <w:szCs w:val="22"/>
          <w:lang w:val="sr-Latn-RS"/>
        </w:rPr>
      </w:pPr>
    </w:p>
    <w:p w14:paraId="43FE49EA" w14:textId="638362C1" w:rsidR="00BC3A3A" w:rsidRPr="00750BAE" w:rsidRDefault="00BC3A3A" w:rsidP="00BC3A3A">
      <w:pPr>
        <w:pStyle w:val="BodyText"/>
        <w:ind w:right="153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U ispitivanju ENDORSE većina pacijenata (&gt;75%) nije imala potvrđenu progresiju invaliditeta (m</w:t>
      </w:r>
      <w:r w:rsidR="005B0268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>ereno kao 6-m</w:t>
      </w:r>
      <w:r w:rsidR="005B0268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 xml:space="preserve">esečna neprekidna progresija invaliditeta). Objedinjeni rezultati sva tri ispitivanja pokazali su kod pacijenata </w:t>
      </w:r>
      <w:r w:rsidR="00A83B47" w:rsidRPr="00750BAE">
        <w:rPr>
          <w:rFonts w:cs="Times New Roman"/>
          <w:lang w:val="sr-Latn-RS"/>
        </w:rPr>
        <w:t>liječenih</w:t>
      </w:r>
      <w:r w:rsidRPr="00750BAE">
        <w:rPr>
          <w:rFonts w:cs="Times New Roman"/>
          <w:lang w:val="sr-Latn-RS"/>
        </w:rPr>
        <w:t xml:space="preserve">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fumaratom dosl</w:t>
      </w:r>
      <w:r w:rsidR="005B0268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 xml:space="preserve">edne i niže stope potvrđene progresije </w:t>
      </w:r>
      <w:r w:rsidRPr="00750BAE">
        <w:rPr>
          <w:rFonts w:cs="Times New Roman"/>
          <w:lang w:val="sr-Latn-RS"/>
        </w:rPr>
        <w:lastRenderedPageBreak/>
        <w:t xml:space="preserve">invaliditeta, uz neznatni porast srednjih </w:t>
      </w:r>
      <w:r w:rsidR="005F44D1" w:rsidRPr="00750BAE">
        <w:rPr>
          <w:rFonts w:cs="Times New Roman"/>
          <w:lang w:val="sr-Latn-RS"/>
        </w:rPr>
        <w:t>vrijednost</w:t>
      </w:r>
      <w:r w:rsidRPr="00750BAE">
        <w:rPr>
          <w:rFonts w:cs="Times New Roman"/>
          <w:lang w:val="sr-Latn-RS"/>
        </w:rPr>
        <w:t xml:space="preserve">i u rezultatima EDSS u ispitivanju ENDORSE. </w:t>
      </w:r>
      <w:r w:rsidR="00A83B47" w:rsidRPr="00750BAE">
        <w:rPr>
          <w:rFonts w:cs="Times New Roman"/>
          <w:lang w:val="sr-Latn-RS"/>
        </w:rPr>
        <w:t>Procjen</w:t>
      </w:r>
      <w:r w:rsidRPr="00750BAE">
        <w:rPr>
          <w:rFonts w:cs="Times New Roman"/>
          <w:lang w:val="sr-Latn-RS"/>
        </w:rPr>
        <w:t xml:space="preserve">e MR snimaka (do 6. godine), uključujući 752 pacijenta koji su prethodno bili uključeni u MR kohortu u ispitivanjima DEFINE i CONFIRM, pokazale su da većina pacijenata (približno 90%) nije imala Gd-pozitivne lezije. Nakon 6 godina, srednja </w:t>
      </w:r>
      <w:r w:rsidR="005F44D1" w:rsidRPr="00750BAE">
        <w:rPr>
          <w:rFonts w:cs="Times New Roman"/>
          <w:lang w:val="sr-Latn-RS"/>
        </w:rPr>
        <w:t>vrijednost</w:t>
      </w:r>
      <w:r w:rsidRPr="00750BAE">
        <w:rPr>
          <w:rFonts w:cs="Times New Roman"/>
          <w:lang w:val="sr-Latn-RS"/>
        </w:rPr>
        <w:t xml:space="preserve"> broja novih ili novoproširenih T2 lezija i novih T1 lezija prilagođena za godišnji nivo, ostala je niska.</w:t>
      </w:r>
    </w:p>
    <w:p w14:paraId="0D6668CF" w14:textId="77777777" w:rsidR="00BC3A3A" w:rsidRPr="00750BAE" w:rsidRDefault="00BC3A3A" w:rsidP="00BC3A3A">
      <w:pPr>
        <w:spacing w:before="3"/>
        <w:rPr>
          <w:sz w:val="22"/>
          <w:szCs w:val="22"/>
          <w:lang w:val="sr-Latn-RS"/>
        </w:rPr>
      </w:pPr>
    </w:p>
    <w:p w14:paraId="2CCF75A9" w14:textId="77777777" w:rsidR="00BC3A3A" w:rsidRPr="00750BAE" w:rsidRDefault="00BC3A3A" w:rsidP="00BC3A3A">
      <w:pPr>
        <w:pStyle w:val="BodyText"/>
        <w:spacing w:line="251" w:lineRule="exact"/>
        <w:ind w:left="116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Efikasnost kod pacijenata sa visokoaktivnom bolešću:</w:t>
      </w:r>
    </w:p>
    <w:p w14:paraId="2DE1B188" w14:textId="4AC0F892" w:rsidR="00BC3A3A" w:rsidRPr="00750BAE" w:rsidRDefault="00BC3A3A" w:rsidP="00BC3A3A">
      <w:pPr>
        <w:pStyle w:val="BodyText"/>
        <w:ind w:left="116" w:right="25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U ispitivanjima DEFINE i CONFIRM </w:t>
      </w:r>
      <w:r w:rsidR="00132BCB" w:rsidRPr="00750BAE">
        <w:rPr>
          <w:rFonts w:cs="Times New Roman"/>
          <w:lang w:val="sr-Latn-RS"/>
        </w:rPr>
        <w:t>zabilježen</w:t>
      </w:r>
      <w:r w:rsidRPr="00750BAE">
        <w:rPr>
          <w:rFonts w:cs="Times New Roman"/>
          <w:lang w:val="sr-Latn-RS"/>
        </w:rPr>
        <w:t xml:space="preserve"> je dosl</w:t>
      </w:r>
      <w:r w:rsidR="004055A7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 xml:space="preserve">edan uticaj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 xml:space="preserve">a na pojavu relapsa u podgrupi pacijenata sa visokoaktivnom bolešću, dok uticaj na </w:t>
      </w:r>
      <w:r w:rsidR="00DD7D46" w:rsidRPr="00750BAE">
        <w:rPr>
          <w:rFonts w:cs="Times New Roman"/>
          <w:lang w:val="sr-Latn-RS"/>
        </w:rPr>
        <w:t>vrijeme</w:t>
      </w:r>
      <w:r w:rsidRPr="00750BAE">
        <w:rPr>
          <w:rFonts w:cs="Times New Roman"/>
          <w:lang w:val="sr-Latn-RS"/>
        </w:rPr>
        <w:t xml:space="preserve"> do 3-m</w:t>
      </w:r>
      <w:r w:rsidR="00463CE1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>esečne kontinuirane progresije invaliditeta nije jasno utvrđen. Zbog strukture ispitivanja, visokoaktivna bolest definisana je kao što sl</w:t>
      </w:r>
      <w:r w:rsidR="004055A7" w:rsidRPr="00750BAE">
        <w:rPr>
          <w:rFonts w:cs="Times New Roman"/>
          <w:lang w:val="sr-Latn-RS"/>
        </w:rPr>
        <w:t>ij</w:t>
      </w:r>
      <w:r w:rsidRPr="00750BAE">
        <w:rPr>
          <w:rFonts w:cs="Times New Roman"/>
          <w:lang w:val="sr-Latn-RS"/>
        </w:rPr>
        <w:t>edi:</w:t>
      </w:r>
    </w:p>
    <w:p w14:paraId="46647FC7" w14:textId="77777777" w:rsidR="00BC3A3A" w:rsidRPr="00750BAE" w:rsidRDefault="00BC3A3A" w:rsidP="00BC3A3A">
      <w:pPr>
        <w:pStyle w:val="BodyText"/>
        <w:numPr>
          <w:ilvl w:val="0"/>
          <w:numId w:val="15"/>
        </w:numPr>
        <w:tabs>
          <w:tab w:val="left" w:pos="683"/>
        </w:tabs>
        <w:ind w:right="515" w:hanging="566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Pacijenti sa 2 ili više relapsa u jednoj godini i sa jednom ili više Gd-pozitivnih lezija na MR snimcima mozga (n = 42 u ispitivanju DEFINE; n = 51 u ispitivanju CONFIRM) ili </w:t>
      </w:r>
    </w:p>
    <w:p w14:paraId="1886D92D" w14:textId="34C9D95C" w:rsidR="00BC3A3A" w:rsidRPr="00750BAE" w:rsidRDefault="00255FA5" w:rsidP="00BC3A3A">
      <w:pPr>
        <w:pStyle w:val="BodyText"/>
        <w:numPr>
          <w:ilvl w:val="0"/>
          <w:numId w:val="15"/>
        </w:numPr>
        <w:tabs>
          <w:tab w:val="left" w:pos="683"/>
        </w:tabs>
        <w:spacing w:line="237" w:lineRule="auto"/>
        <w:ind w:right="144" w:hanging="566"/>
        <w:jc w:val="both"/>
        <w:rPr>
          <w:rFonts w:cs="Times New Roman"/>
          <w:lang w:val="sr-Latn-RS"/>
        </w:rPr>
      </w:pPr>
      <w:r>
        <w:rPr>
          <w:rFonts w:cs="Times New Roman"/>
          <w:lang w:val="sr-Latn-RS"/>
        </w:rPr>
        <w:t>P</w:t>
      </w:r>
      <w:r w:rsidRPr="00750BAE">
        <w:rPr>
          <w:rFonts w:cs="Times New Roman"/>
          <w:lang w:val="sr-Latn-RS"/>
        </w:rPr>
        <w:t xml:space="preserve">acijenti </w:t>
      </w:r>
      <w:r w:rsidR="00BC3A3A" w:rsidRPr="00750BAE">
        <w:rPr>
          <w:rFonts w:cs="Times New Roman"/>
          <w:lang w:val="sr-Latn-RS"/>
        </w:rPr>
        <w:t xml:space="preserve">koji </w:t>
      </w:r>
      <w:r w:rsidR="00A83B47" w:rsidRPr="00750BAE">
        <w:rPr>
          <w:rFonts w:cs="Times New Roman"/>
          <w:lang w:val="sr-Latn-RS"/>
        </w:rPr>
        <w:t>nijesu</w:t>
      </w:r>
      <w:r w:rsidR="00BC3A3A" w:rsidRPr="00750BAE">
        <w:rPr>
          <w:rFonts w:cs="Times New Roman"/>
          <w:lang w:val="sr-Latn-RS"/>
        </w:rPr>
        <w:t xml:space="preserve"> imali odgovor na potpun i odgovarajući ciklus </w:t>
      </w:r>
      <w:r w:rsidR="0069098C" w:rsidRPr="00750BAE">
        <w:rPr>
          <w:rFonts w:cs="Times New Roman"/>
          <w:lang w:val="sr-Latn-RS"/>
        </w:rPr>
        <w:t>liječenj</w:t>
      </w:r>
      <w:r w:rsidR="00BC3A3A" w:rsidRPr="00750BAE">
        <w:rPr>
          <w:rFonts w:cs="Times New Roman"/>
          <w:lang w:val="sr-Latn-RS"/>
        </w:rPr>
        <w:t xml:space="preserve">a (barem godinu dana </w:t>
      </w:r>
      <w:r w:rsidR="0069098C" w:rsidRPr="00750BAE">
        <w:rPr>
          <w:rFonts w:cs="Times New Roman"/>
          <w:lang w:val="sr-Latn-RS"/>
        </w:rPr>
        <w:t>liječenj</w:t>
      </w:r>
      <w:r w:rsidR="00BC3A3A" w:rsidRPr="00750BAE">
        <w:rPr>
          <w:rFonts w:cs="Times New Roman"/>
          <w:lang w:val="sr-Latn-RS"/>
        </w:rPr>
        <w:t>a) beta-interferonom, imali su najmanje 1 relaps u prethodnoj godini dok su bili na terapiji, i najmanje 9 T2-hiperintenzivnih lezija u kranijalnoj MR ili najmanje 1 Gd-pozitivnu leziju, ili pacijenti sa ne</w:t>
      </w:r>
      <w:r w:rsidR="00A83B47" w:rsidRPr="00750BAE">
        <w:rPr>
          <w:rFonts w:cs="Times New Roman"/>
          <w:lang w:val="sr-Latn-RS"/>
        </w:rPr>
        <w:t>prom</w:t>
      </w:r>
      <w:r w:rsidR="00463CE1" w:rsidRPr="00750BAE">
        <w:rPr>
          <w:rFonts w:cs="Times New Roman"/>
          <w:lang w:val="sr-Latn-RS"/>
        </w:rPr>
        <w:t>i</w:t>
      </w:r>
      <w:r w:rsidR="00A83B47" w:rsidRPr="00750BAE">
        <w:rPr>
          <w:rFonts w:cs="Times New Roman"/>
          <w:lang w:val="sr-Latn-RS"/>
        </w:rPr>
        <w:t>jen</w:t>
      </w:r>
      <w:r w:rsidR="00BC3A3A" w:rsidRPr="00750BAE">
        <w:rPr>
          <w:rFonts w:cs="Times New Roman"/>
          <w:lang w:val="sr-Latn-RS"/>
        </w:rPr>
        <w:t>jenom ili povećanom stopom relapsa u prethodnoj godini u poređenju sa prethodne 2 godine (n = 177 u ispitivanju DEFINE; n = 141 u ispitivanju CONFIRM).</w:t>
      </w:r>
    </w:p>
    <w:p w14:paraId="08464BB3" w14:textId="77777777" w:rsidR="00BC3A3A" w:rsidRPr="00750BAE" w:rsidRDefault="00BC3A3A" w:rsidP="00BC3A3A">
      <w:pPr>
        <w:spacing w:before="3"/>
        <w:rPr>
          <w:sz w:val="22"/>
          <w:szCs w:val="22"/>
          <w:lang w:val="sr-Latn-RS"/>
        </w:rPr>
      </w:pPr>
    </w:p>
    <w:p w14:paraId="73192F04" w14:textId="77777777" w:rsidR="006D501D" w:rsidRDefault="006D501D" w:rsidP="00BC3A3A">
      <w:pPr>
        <w:ind w:left="116"/>
        <w:rPr>
          <w:i/>
          <w:iCs/>
          <w:sz w:val="22"/>
          <w:szCs w:val="22"/>
          <w:lang w:val="sr-Latn-RS"/>
        </w:rPr>
      </w:pPr>
    </w:p>
    <w:p w14:paraId="7A64B79E" w14:textId="77777777" w:rsidR="006D501D" w:rsidRDefault="006D501D" w:rsidP="00BC3A3A">
      <w:pPr>
        <w:ind w:left="116"/>
        <w:rPr>
          <w:i/>
          <w:iCs/>
          <w:sz w:val="22"/>
          <w:szCs w:val="22"/>
          <w:lang w:val="sr-Latn-RS"/>
        </w:rPr>
      </w:pPr>
    </w:p>
    <w:p w14:paraId="0BD2B5EC" w14:textId="5E6C4375" w:rsidR="00BC3A3A" w:rsidRPr="00750BAE" w:rsidRDefault="00BC3A3A" w:rsidP="00BC3A3A">
      <w:pPr>
        <w:ind w:left="116"/>
        <w:rPr>
          <w:sz w:val="22"/>
          <w:szCs w:val="22"/>
          <w:lang w:val="sr-Latn-RS"/>
        </w:rPr>
      </w:pPr>
      <w:r w:rsidRPr="00750BAE">
        <w:rPr>
          <w:i/>
          <w:iCs/>
          <w:sz w:val="22"/>
          <w:szCs w:val="22"/>
          <w:lang w:val="sr-Latn-RS"/>
        </w:rPr>
        <w:t xml:space="preserve">Klinička ispitivanja sa </w:t>
      </w:r>
      <w:r w:rsidR="004A63C1" w:rsidRPr="00750BAE">
        <w:rPr>
          <w:i/>
          <w:iCs/>
          <w:sz w:val="22"/>
          <w:szCs w:val="22"/>
          <w:lang w:val="sr-Latn-RS"/>
        </w:rPr>
        <w:t>lijek</w:t>
      </w:r>
      <w:r w:rsidRPr="00750BAE">
        <w:rPr>
          <w:i/>
          <w:iCs/>
          <w:sz w:val="22"/>
          <w:szCs w:val="22"/>
          <w:lang w:val="sr-Latn-RS"/>
        </w:rPr>
        <w:t>om Vumerity</w:t>
      </w:r>
    </w:p>
    <w:p w14:paraId="2D99D270" w14:textId="77777777" w:rsidR="00BC3A3A" w:rsidRPr="00750BAE" w:rsidRDefault="00BC3A3A" w:rsidP="00BC3A3A">
      <w:pPr>
        <w:spacing w:before="9"/>
        <w:rPr>
          <w:i/>
          <w:sz w:val="22"/>
          <w:szCs w:val="22"/>
          <w:lang w:val="sr-Latn-RS"/>
        </w:rPr>
      </w:pPr>
    </w:p>
    <w:p w14:paraId="012AD2E8" w14:textId="472C9990" w:rsidR="00BC3A3A" w:rsidRPr="00750BAE" w:rsidRDefault="00BC3A3A" w:rsidP="00BC3A3A">
      <w:pPr>
        <w:pStyle w:val="BodyText"/>
        <w:ind w:left="116" w:right="128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Gastrointestinalna podnošljivost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 xml:space="preserve">a </w:t>
      </w:r>
      <w:r w:rsidR="00A83B47" w:rsidRPr="00750BAE">
        <w:rPr>
          <w:rFonts w:cs="Times New Roman"/>
          <w:lang w:val="sr-Latn-RS"/>
        </w:rPr>
        <w:t>proc</w:t>
      </w:r>
      <w:r w:rsidR="00996EA6" w:rsidRPr="00750BAE">
        <w:rPr>
          <w:rFonts w:cs="Times New Roman"/>
          <w:lang w:val="sr-Latn-RS"/>
        </w:rPr>
        <w:t>i</w:t>
      </w:r>
      <w:r w:rsidR="00A83B47" w:rsidRPr="00750BAE">
        <w:rPr>
          <w:rFonts w:cs="Times New Roman"/>
          <w:lang w:val="sr-Latn-RS"/>
        </w:rPr>
        <w:t>jen</w:t>
      </w:r>
      <w:r w:rsidRPr="00750BAE">
        <w:rPr>
          <w:rFonts w:cs="Times New Roman"/>
          <w:lang w:val="sr-Latn-RS"/>
        </w:rPr>
        <w:t>jena je u randomizovanom, multicentričnom ispitivanju faze 3 (EVOLVE-MS-2) kod 504 odraslih pacijenata sa RRMS-om. Ispitivanje je obuhvatalo 5-ned</w:t>
      </w:r>
      <w:r w:rsidR="00400315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>eljni period dvostruko sl</w:t>
      </w:r>
      <w:r w:rsidR="00400315" w:rsidRPr="00750BAE">
        <w:rPr>
          <w:rFonts w:cs="Times New Roman"/>
          <w:lang w:val="sr-Latn-RS"/>
        </w:rPr>
        <w:t>ij</w:t>
      </w:r>
      <w:r w:rsidRPr="00750BAE">
        <w:rPr>
          <w:rFonts w:cs="Times New Roman"/>
          <w:lang w:val="sr-Latn-RS"/>
        </w:rPr>
        <w:t xml:space="preserve">epog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>a dv</w:t>
      </w:r>
      <w:r w:rsidR="00400315" w:rsidRPr="00750BAE">
        <w:rPr>
          <w:rFonts w:cs="Times New Roman"/>
          <w:lang w:val="sr-Latn-RS"/>
        </w:rPr>
        <w:t>ij</w:t>
      </w:r>
      <w:r w:rsidRPr="00750BAE">
        <w:rPr>
          <w:rFonts w:cs="Times New Roman"/>
          <w:lang w:val="sr-Latn-RS"/>
        </w:rPr>
        <w:t>e grupe. Pacijenti su nakon 1-ned</w:t>
      </w:r>
      <w:r w:rsidR="00255FA5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 xml:space="preserve">eljne titracije randomizovani (1:1) u grupu koja je primala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 xml:space="preserve"> u dozi od 462 mg dvaput na dan (n = 253) ili onu koja je primala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 u dozi od 240 mg dvaput na dan (n = 251). Medijani karakteristika pacijenata na početku ispitivanja bili su </w:t>
      </w:r>
      <w:r w:rsidR="00E45E91" w:rsidRPr="00750BAE">
        <w:rPr>
          <w:rFonts w:cs="Times New Roman"/>
          <w:lang w:val="sr-Latn-RS"/>
        </w:rPr>
        <w:t>sljedeć</w:t>
      </w:r>
      <w:r w:rsidRPr="00750BAE">
        <w:rPr>
          <w:rFonts w:cs="Times New Roman"/>
          <w:lang w:val="sr-Latn-RS"/>
        </w:rPr>
        <w:t xml:space="preserve">i: </w:t>
      </w:r>
      <w:r w:rsidR="00D93541">
        <w:rPr>
          <w:rFonts w:cs="Times New Roman"/>
          <w:lang w:val="sr-Latn-RS"/>
        </w:rPr>
        <w:t>uzrast</w:t>
      </w:r>
      <w:r w:rsidR="00D93541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44 godina, trajanje bolesti 6,0 godina, EDSS bodovi 2,5. U ovom ispitivanju, gastrointestinalna podnošljivost je ispitana prim</w:t>
      </w:r>
      <w:r w:rsidR="00400315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 xml:space="preserve">enom skale individualnih gastrointestinalnih simptoma i uticaja (engl. </w:t>
      </w:r>
      <w:r w:rsidRPr="00750BAE">
        <w:rPr>
          <w:rFonts w:cs="Times New Roman"/>
          <w:i/>
          <w:iCs/>
          <w:lang w:val="sr-Latn-RS"/>
        </w:rPr>
        <w:t>Individual GI Symptom and Impact Scale</w:t>
      </w:r>
      <w:r w:rsidRPr="00750BAE">
        <w:rPr>
          <w:rFonts w:cs="Times New Roman"/>
          <w:lang w:val="sr-Latn-RS"/>
        </w:rPr>
        <w:t xml:space="preserve">, IGISIS) koja je </w:t>
      </w:r>
      <w:r w:rsidR="00A83B47" w:rsidRPr="00750BAE">
        <w:rPr>
          <w:rFonts w:cs="Times New Roman"/>
          <w:lang w:val="sr-Latn-RS"/>
        </w:rPr>
        <w:t>proc</w:t>
      </w:r>
      <w:r w:rsidR="00400315" w:rsidRPr="00750BAE">
        <w:rPr>
          <w:rFonts w:cs="Times New Roman"/>
          <w:lang w:val="sr-Latn-RS"/>
        </w:rPr>
        <w:t>i</w:t>
      </w:r>
      <w:r w:rsidR="00A83B47" w:rsidRPr="00750BAE">
        <w:rPr>
          <w:rFonts w:cs="Times New Roman"/>
          <w:lang w:val="sr-Latn-RS"/>
        </w:rPr>
        <w:t>jen</w:t>
      </w:r>
      <w:r w:rsidRPr="00750BAE">
        <w:rPr>
          <w:rFonts w:cs="Times New Roman"/>
          <w:lang w:val="sr-Latn-RS"/>
        </w:rPr>
        <w:t>ila incidenciju, intenzitet, pojavu, trajanje i funkcionalni uticaj pet pojedinačnih gastrointestinalnih simptoma: mučnine, povraćanja, boli u gornjem</w:t>
      </w:r>
      <w:r w:rsidR="00E44A7F" w:rsidRPr="00750BAE">
        <w:rPr>
          <w:rFonts w:cs="Times New Roman"/>
          <w:lang w:val="sr-Latn-RS"/>
        </w:rPr>
        <w:t xml:space="preserve"> dijelu </w:t>
      </w:r>
      <w:r w:rsidRPr="00750BAE">
        <w:rPr>
          <w:rFonts w:cs="Times New Roman"/>
          <w:lang w:val="sr-Latn-RS"/>
        </w:rPr>
        <w:t>abdomena, boli u donjem</w:t>
      </w:r>
      <w:r w:rsidR="00E44A7F" w:rsidRPr="00750BAE">
        <w:rPr>
          <w:rFonts w:cs="Times New Roman"/>
          <w:lang w:val="sr-Latn-RS"/>
        </w:rPr>
        <w:t xml:space="preserve"> dijelu </w:t>
      </w:r>
      <w:r w:rsidRPr="00750BAE">
        <w:rPr>
          <w:rFonts w:cs="Times New Roman"/>
          <w:lang w:val="sr-Latn-RS"/>
        </w:rPr>
        <w:t>abdomena i proliva.</w:t>
      </w:r>
    </w:p>
    <w:p w14:paraId="62E9B4F1" w14:textId="77777777" w:rsidR="00BC3A3A" w:rsidRPr="00750BAE" w:rsidRDefault="00BC3A3A" w:rsidP="00BC3A3A">
      <w:pPr>
        <w:spacing w:before="9"/>
        <w:rPr>
          <w:sz w:val="22"/>
          <w:szCs w:val="22"/>
          <w:lang w:val="sr-Latn-RS"/>
        </w:rPr>
      </w:pPr>
    </w:p>
    <w:p w14:paraId="3ACF7744" w14:textId="788F3FD7" w:rsidR="00BC3A3A" w:rsidRPr="00750BAE" w:rsidRDefault="00BC3A3A" w:rsidP="00BC3A3A">
      <w:pPr>
        <w:pStyle w:val="BodyText"/>
        <w:ind w:left="116" w:right="155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Gastrointestinalne neželjene reakcije su </w:t>
      </w:r>
      <w:r w:rsidR="00A83B47" w:rsidRPr="00750BAE">
        <w:rPr>
          <w:rFonts w:cs="Times New Roman"/>
          <w:lang w:val="sr-Latn-RS"/>
        </w:rPr>
        <w:t>primijećen</w:t>
      </w:r>
      <w:r w:rsidRPr="00750BAE">
        <w:rPr>
          <w:rFonts w:cs="Times New Roman"/>
          <w:lang w:val="sr-Latn-RS"/>
        </w:rPr>
        <w:t xml:space="preserve">e kod 34,8% pacijenata </w:t>
      </w:r>
      <w:r w:rsidR="00A83B47" w:rsidRPr="00750BAE">
        <w:rPr>
          <w:rFonts w:cs="Times New Roman"/>
          <w:lang w:val="sr-Latn-RS"/>
        </w:rPr>
        <w:t>liječenih</w:t>
      </w:r>
      <w:r w:rsidRPr="00750BAE">
        <w:rPr>
          <w:rFonts w:cs="Times New Roman"/>
          <w:lang w:val="sr-Latn-RS"/>
        </w:rPr>
        <w:t xml:space="preserve">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 xml:space="preserve">om i kod 49,0% pacijenata </w:t>
      </w:r>
      <w:r w:rsidR="00A83B47" w:rsidRPr="00750BAE">
        <w:rPr>
          <w:rFonts w:cs="Times New Roman"/>
          <w:lang w:val="sr-Latn-RS"/>
        </w:rPr>
        <w:t>liječenih</w:t>
      </w:r>
      <w:r w:rsidRPr="00750BAE">
        <w:rPr>
          <w:rFonts w:cs="Times New Roman"/>
          <w:lang w:val="sr-Latn-RS"/>
        </w:rPr>
        <w:t xml:space="preserve">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fumaratom. Do prekida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 xml:space="preserve">a došlo je kod ukupno 1,6% i 6,0% pacijenata </w:t>
      </w:r>
      <w:r w:rsidR="00A83B47" w:rsidRPr="00750BAE">
        <w:rPr>
          <w:rFonts w:cs="Times New Roman"/>
          <w:lang w:val="sr-Latn-RS"/>
        </w:rPr>
        <w:t>liječenih</w:t>
      </w:r>
      <w:r w:rsidRPr="00750BAE">
        <w:rPr>
          <w:rFonts w:cs="Times New Roman"/>
          <w:lang w:val="sr-Latn-RS"/>
        </w:rPr>
        <w:t xml:space="preserve">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>om odnosno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fumaratom. Prekidi zbog gastrointestinalne podnošljivosti </w:t>
      </w:r>
      <w:r w:rsidR="00132BCB" w:rsidRPr="00750BAE">
        <w:rPr>
          <w:rFonts w:cs="Times New Roman"/>
          <w:lang w:val="sr-Latn-RS"/>
        </w:rPr>
        <w:t>zabilježen</w:t>
      </w:r>
      <w:r w:rsidRPr="00750BAE">
        <w:rPr>
          <w:rFonts w:cs="Times New Roman"/>
          <w:lang w:val="sr-Latn-RS"/>
        </w:rPr>
        <w:t xml:space="preserve">i su kod 0,8% i 4,8% pacijenata </w:t>
      </w:r>
      <w:r w:rsidR="00A83B47" w:rsidRPr="00750BAE">
        <w:rPr>
          <w:rFonts w:cs="Times New Roman"/>
          <w:lang w:val="sr-Latn-RS"/>
        </w:rPr>
        <w:t>liječenih</w:t>
      </w:r>
      <w:r w:rsidRPr="00750BAE">
        <w:rPr>
          <w:rFonts w:cs="Times New Roman"/>
          <w:lang w:val="sr-Latn-RS"/>
        </w:rPr>
        <w:t xml:space="preserve">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>om odnosno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fumaratom. Gastrointestinalne neželjene reakcije nastale tokom </w:t>
      </w:r>
      <w:r w:rsidR="0069098C" w:rsidRPr="00750BAE">
        <w:rPr>
          <w:rFonts w:cs="Times New Roman"/>
          <w:lang w:val="sr-Latn-RS"/>
        </w:rPr>
        <w:t>liječenj</w:t>
      </w:r>
      <w:r w:rsidRPr="00750BAE">
        <w:rPr>
          <w:rFonts w:cs="Times New Roman"/>
          <w:lang w:val="sr-Latn-RS"/>
        </w:rPr>
        <w:t xml:space="preserve">a ≥ 5% za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 xml:space="preserve"> i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 bil</w:t>
      </w:r>
      <w:r w:rsidR="00255FA5">
        <w:rPr>
          <w:rFonts w:cs="Times New Roman"/>
          <w:lang w:val="sr-Latn-RS"/>
        </w:rPr>
        <w:t>e</w:t>
      </w:r>
      <w:r w:rsidRPr="00750BAE">
        <w:rPr>
          <w:rFonts w:cs="Times New Roman"/>
          <w:lang w:val="sr-Latn-RS"/>
        </w:rPr>
        <w:t xml:space="preserve"> su: proliv (15,4% i 22,3%), mučnina (14,6% i 20,7%), bol u gornjem</w:t>
      </w:r>
      <w:r w:rsidR="00E44A7F" w:rsidRPr="00750BAE">
        <w:rPr>
          <w:rFonts w:cs="Times New Roman"/>
          <w:lang w:val="sr-Latn-RS"/>
        </w:rPr>
        <w:t xml:space="preserve"> dijelu </w:t>
      </w:r>
      <w:r w:rsidRPr="00750BAE">
        <w:rPr>
          <w:rFonts w:cs="Times New Roman"/>
          <w:lang w:val="sr-Latn-RS"/>
        </w:rPr>
        <w:t>abdomena (6,7% i 15,5%), bol u abdomenu (6,3% i 9,6%), bol u donjem</w:t>
      </w:r>
      <w:r w:rsidR="00E44A7F" w:rsidRPr="00750BAE">
        <w:rPr>
          <w:rFonts w:cs="Times New Roman"/>
          <w:lang w:val="sr-Latn-RS"/>
        </w:rPr>
        <w:t xml:space="preserve"> dijelu </w:t>
      </w:r>
      <w:r w:rsidRPr="00750BAE">
        <w:rPr>
          <w:rFonts w:cs="Times New Roman"/>
          <w:lang w:val="sr-Latn-RS"/>
        </w:rPr>
        <w:t>abdomena (5,9% i 6,8%) i povraćanje (3,6% i 8,8%).</w:t>
      </w:r>
    </w:p>
    <w:p w14:paraId="441F385B" w14:textId="77777777" w:rsidR="00BC3A3A" w:rsidRPr="00750BAE" w:rsidRDefault="00BC3A3A" w:rsidP="00BC3A3A">
      <w:pPr>
        <w:pStyle w:val="BodyText"/>
        <w:ind w:left="116" w:right="155"/>
        <w:jc w:val="both"/>
        <w:rPr>
          <w:rFonts w:cs="Times New Roman"/>
          <w:lang w:val="sr-Latn-RS"/>
        </w:rPr>
      </w:pPr>
    </w:p>
    <w:p w14:paraId="7CC1CDED" w14:textId="77777777" w:rsidR="00BC3A3A" w:rsidRPr="00750BAE" w:rsidRDefault="00BC3A3A" w:rsidP="00BC3A3A">
      <w:pPr>
        <w:pStyle w:val="BodyText"/>
        <w:spacing w:line="480" w:lineRule="auto"/>
        <w:ind w:left="117" w:right="3910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u w:val="single"/>
          <w:lang w:val="sr-Latn-RS"/>
        </w:rPr>
        <w:t>Pedijatrijska populacija</w:t>
      </w:r>
    </w:p>
    <w:p w14:paraId="3205F941" w14:textId="6478D56C" w:rsidR="00BC3A3A" w:rsidRPr="00750BAE" w:rsidRDefault="00BC3A3A" w:rsidP="00BC3A3A">
      <w:pPr>
        <w:pStyle w:val="BodyText"/>
        <w:spacing w:before="7"/>
        <w:ind w:right="141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Efikasnost 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>a Vumerity kod pedijatrijskih pacijenata nije utvrđena.</w:t>
      </w:r>
    </w:p>
    <w:p w14:paraId="2A380BB4" w14:textId="77777777" w:rsidR="00BC3A3A" w:rsidRPr="00750BAE" w:rsidRDefault="00BC3A3A" w:rsidP="00BC3A3A">
      <w:pPr>
        <w:spacing w:before="9"/>
        <w:rPr>
          <w:sz w:val="22"/>
          <w:szCs w:val="22"/>
          <w:lang w:val="sr-Latn-RS"/>
        </w:rPr>
      </w:pPr>
    </w:p>
    <w:p w14:paraId="4325D11B" w14:textId="06C198A3" w:rsidR="00BC3A3A" w:rsidRPr="00750BAE" w:rsidRDefault="00BC3A3A" w:rsidP="00BC3A3A">
      <w:pPr>
        <w:rPr>
          <w:sz w:val="22"/>
          <w:szCs w:val="22"/>
        </w:rPr>
      </w:pPr>
      <w:r w:rsidRPr="00750BAE">
        <w:rPr>
          <w:sz w:val="22"/>
          <w:szCs w:val="22"/>
          <w:lang w:val="sr-Latn-RS"/>
        </w:rPr>
        <w:t xml:space="preserve">Evropska agencija za </w:t>
      </w:r>
      <w:r w:rsidR="00F13949" w:rsidRPr="00750BAE">
        <w:rPr>
          <w:sz w:val="22"/>
          <w:szCs w:val="22"/>
          <w:lang w:val="sr-Latn-RS"/>
        </w:rPr>
        <w:t>ljekove</w:t>
      </w:r>
      <w:r w:rsidRPr="00750BAE">
        <w:rPr>
          <w:sz w:val="22"/>
          <w:szCs w:val="22"/>
          <w:lang w:val="sr-Latn-RS"/>
        </w:rPr>
        <w:t xml:space="preserve"> odložila je obavezu dostavljanja rezultata ispitivanja </w:t>
      </w:r>
      <w:r w:rsidR="004A63C1" w:rsidRPr="00750BAE">
        <w:rPr>
          <w:sz w:val="22"/>
          <w:szCs w:val="22"/>
          <w:lang w:val="sr-Latn-RS"/>
        </w:rPr>
        <w:t>lijek</w:t>
      </w:r>
      <w:r w:rsidRPr="00750BAE">
        <w:rPr>
          <w:sz w:val="22"/>
          <w:szCs w:val="22"/>
          <w:lang w:val="sr-Latn-RS"/>
        </w:rPr>
        <w:t xml:space="preserve">a Vumerity u jednoj ili više podgrupa pedijatrijske populacije u </w:t>
      </w:r>
      <w:r w:rsidR="0069098C" w:rsidRPr="00750BAE">
        <w:rPr>
          <w:sz w:val="22"/>
          <w:szCs w:val="22"/>
          <w:lang w:val="sr-Latn-RS"/>
        </w:rPr>
        <w:t>liječenj</w:t>
      </w:r>
      <w:r w:rsidRPr="00750BAE">
        <w:rPr>
          <w:sz w:val="22"/>
          <w:szCs w:val="22"/>
          <w:lang w:val="sr-Latn-RS"/>
        </w:rPr>
        <w:t>u MS-a (</w:t>
      </w:r>
      <w:r w:rsidR="0069098C" w:rsidRPr="00750BAE">
        <w:rPr>
          <w:sz w:val="22"/>
          <w:szCs w:val="22"/>
          <w:lang w:val="sr-Latn-RS"/>
        </w:rPr>
        <w:t>vidjeti</w:t>
      </w:r>
      <w:r w:rsidRPr="00750BAE">
        <w:rPr>
          <w:sz w:val="22"/>
          <w:szCs w:val="22"/>
          <w:lang w:val="sr-Latn-RS"/>
        </w:rPr>
        <w:t xml:space="preserve"> </w:t>
      </w:r>
      <w:r w:rsidR="005A06B9">
        <w:rPr>
          <w:sz w:val="22"/>
          <w:szCs w:val="22"/>
          <w:lang w:val="sr-Latn-RS"/>
        </w:rPr>
        <w:t>dio</w:t>
      </w:r>
      <w:r w:rsidR="005A06B9" w:rsidRPr="00750BAE">
        <w:rPr>
          <w:sz w:val="22"/>
          <w:szCs w:val="22"/>
          <w:lang w:val="sr-Latn-RS"/>
        </w:rPr>
        <w:t xml:space="preserve"> </w:t>
      </w:r>
      <w:r w:rsidRPr="00750BAE">
        <w:rPr>
          <w:sz w:val="22"/>
          <w:szCs w:val="22"/>
          <w:lang w:val="sr-Latn-RS"/>
        </w:rPr>
        <w:t xml:space="preserve">4.2 za informacije o pedijatrijskoj </w:t>
      </w:r>
      <w:r w:rsidR="00FE729A" w:rsidRPr="00750BAE">
        <w:rPr>
          <w:sz w:val="22"/>
          <w:szCs w:val="22"/>
          <w:lang w:val="sr-Latn-RS"/>
        </w:rPr>
        <w:t>primjeni</w:t>
      </w:r>
      <w:r w:rsidRPr="00750BAE">
        <w:rPr>
          <w:sz w:val="22"/>
          <w:szCs w:val="22"/>
          <w:lang w:val="sr-Latn-RS"/>
        </w:rPr>
        <w:t>)</w:t>
      </w:r>
    </w:p>
    <w:p w14:paraId="450CDFCE" w14:textId="77777777" w:rsidR="002E37A5" w:rsidRPr="00750BAE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19F2ABB8" w14:textId="77777777" w:rsidR="0072020E" w:rsidRPr="00750BA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50BAE">
        <w:rPr>
          <w:b/>
          <w:bCs/>
          <w:sz w:val="22"/>
          <w:szCs w:val="22"/>
        </w:rPr>
        <w:t xml:space="preserve">5.2. </w:t>
      </w:r>
      <w:r w:rsidR="00480FB1" w:rsidRPr="00750BAE">
        <w:rPr>
          <w:b/>
          <w:bCs/>
          <w:sz w:val="22"/>
          <w:szCs w:val="22"/>
        </w:rPr>
        <w:tab/>
      </w:r>
      <w:r w:rsidRPr="00750BAE">
        <w:rPr>
          <w:b/>
          <w:bCs/>
          <w:sz w:val="22"/>
          <w:szCs w:val="22"/>
        </w:rPr>
        <w:t>Farmakokinetički podaci</w:t>
      </w:r>
      <w:r w:rsidR="003A7059" w:rsidRPr="00750BAE">
        <w:rPr>
          <w:b/>
          <w:bCs/>
          <w:sz w:val="22"/>
          <w:szCs w:val="22"/>
        </w:rPr>
        <w:t xml:space="preserve"> </w:t>
      </w:r>
    </w:p>
    <w:p w14:paraId="0DB26912" w14:textId="1DC01B76" w:rsidR="0072020E" w:rsidRPr="00750BA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FE00203" w14:textId="16C0109C" w:rsidR="00BC3A3A" w:rsidRPr="00750BAE" w:rsidRDefault="00BC3A3A" w:rsidP="00BC3A3A">
      <w:pPr>
        <w:pStyle w:val="BodyText"/>
        <w:spacing w:line="250" w:lineRule="exact"/>
        <w:ind w:left="116" w:right="155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Peroralno prim</w:t>
      </w:r>
      <w:r w:rsidR="00935514" w:rsidRPr="00750BAE">
        <w:rPr>
          <w:rFonts w:cs="Times New Roman"/>
          <w:lang w:val="sr-Latn-RS"/>
        </w:rPr>
        <w:t>ij</w:t>
      </w:r>
      <w:r w:rsidRPr="00750BAE">
        <w:rPr>
          <w:rFonts w:cs="Times New Roman"/>
          <w:lang w:val="sr-Latn-RS"/>
        </w:rPr>
        <w:t xml:space="preserve">enjeni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 xml:space="preserve"> prolazi brzu presistemsku hidrolizu pomoću esteraza i pretvara se prvenstveno u svoj aktivni metabolit, monometilfumarat, i glavni neaktivni metabolit </w:t>
      </w:r>
      <w:r w:rsidRPr="00750BAE">
        <w:rPr>
          <w:rFonts w:cs="Times New Roman"/>
          <w:lang w:val="sr-Latn-RS"/>
        </w:rPr>
        <w:lastRenderedPageBreak/>
        <w:t xml:space="preserve">HES.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 xml:space="preserve"> se ne može kvantifikovati u plazmi nakon peroralne </w:t>
      </w:r>
      <w:r w:rsidR="004A63C1" w:rsidRPr="00750BAE">
        <w:rPr>
          <w:rFonts w:cs="Times New Roman"/>
          <w:lang w:val="sr-Latn-RS"/>
        </w:rPr>
        <w:t>primjene</w:t>
      </w:r>
      <w:r w:rsidRPr="00750BAE">
        <w:rPr>
          <w:rFonts w:cs="Times New Roman"/>
          <w:lang w:val="sr-Latn-RS"/>
        </w:rPr>
        <w:t xml:space="preserve">. Prema tome, sve farmakokinetičke analize povezane sa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 xml:space="preserve">om, sprovedene su sa koncentracijama monometilfumarata u plazmi. Farmakokinetički podaci dobijeni su iz 10 kliničkih ispitivanja sa zdravim dobrovoljcima, 2 ispitivanja s pacijentima sa MS-om i analiza populacione farmakokinetike. Farmakokinetička </w:t>
      </w:r>
      <w:r w:rsidR="00A83B47" w:rsidRPr="00750BAE">
        <w:rPr>
          <w:rFonts w:cs="Times New Roman"/>
          <w:lang w:val="sr-Latn-RS"/>
        </w:rPr>
        <w:t>procjen</w:t>
      </w:r>
      <w:r w:rsidRPr="00750BAE">
        <w:rPr>
          <w:rFonts w:cs="Times New Roman"/>
          <w:lang w:val="sr-Latn-RS"/>
        </w:rPr>
        <w:t xml:space="preserve">a pokazala je da je nakon peroralne </w:t>
      </w:r>
      <w:r w:rsidR="004A63C1" w:rsidRPr="00750BAE">
        <w:rPr>
          <w:rFonts w:cs="Times New Roman"/>
          <w:lang w:val="sr-Latn-RS"/>
        </w:rPr>
        <w:t>primjene</w:t>
      </w:r>
      <w:r w:rsidRPr="00750BAE">
        <w:rPr>
          <w:rFonts w:cs="Times New Roman"/>
          <w:lang w:val="sr-Latn-RS"/>
        </w:rPr>
        <w:t xml:space="preserve"> 462 mg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>a i 240 mg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fumarata kod odraslih izloženost monometilfumaratu bioekvivalentna, stoga se očekuje da je profil ukupne efikasnosti i </w:t>
      </w:r>
      <w:r w:rsidR="00453DDE" w:rsidRPr="00750BAE">
        <w:rPr>
          <w:rFonts w:cs="Times New Roman"/>
          <w:lang w:val="sr-Latn-RS"/>
        </w:rPr>
        <w:t>bezbjednos</w:t>
      </w:r>
      <w:r w:rsidRPr="00750BAE">
        <w:rPr>
          <w:rFonts w:cs="Times New Roman"/>
          <w:lang w:val="sr-Latn-RS"/>
        </w:rPr>
        <w:t xml:space="preserve">ti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>a sličan profilu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fumarata.</w:t>
      </w:r>
    </w:p>
    <w:p w14:paraId="4FBA24E6" w14:textId="77777777" w:rsidR="00BC3A3A" w:rsidRPr="00750BAE" w:rsidRDefault="00BC3A3A" w:rsidP="00BC3A3A">
      <w:pPr>
        <w:spacing w:before="3"/>
        <w:rPr>
          <w:sz w:val="22"/>
          <w:szCs w:val="22"/>
          <w:lang w:val="sr-Latn-RS"/>
        </w:rPr>
      </w:pPr>
    </w:p>
    <w:p w14:paraId="3326767A" w14:textId="4C09517F" w:rsidR="00BC3A3A" w:rsidRPr="00750BAE" w:rsidRDefault="005A06B9" w:rsidP="00BC3A3A">
      <w:pPr>
        <w:pStyle w:val="BodyText"/>
        <w:ind w:left="116"/>
        <w:jc w:val="both"/>
        <w:rPr>
          <w:rFonts w:cs="Times New Roman"/>
          <w:lang w:val="sr-Latn-RS"/>
        </w:rPr>
      </w:pPr>
      <w:r>
        <w:rPr>
          <w:rFonts w:cs="Times New Roman"/>
          <w:u w:val="single"/>
          <w:lang w:val="sr-Latn-RS"/>
        </w:rPr>
        <w:t>Resorpcija</w:t>
      </w:r>
    </w:p>
    <w:p w14:paraId="659C07E0" w14:textId="77777777" w:rsidR="00BC3A3A" w:rsidRPr="00750BAE" w:rsidRDefault="00BC3A3A" w:rsidP="00BC3A3A">
      <w:pPr>
        <w:spacing w:before="7"/>
        <w:rPr>
          <w:sz w:val="22"/>
          <w:szCs w:val="22"/>
          <w:lang w:val="sr-Latn-RS"/>
        </w:rPr>
      </w:pPr>
    </w:p>
    <w:p w14:paraId="2DE7093F" w14:textId="30F6A50F" w:rsidR="00BC3A3A" w:rsidRPr="00750BAE" w:rsidRDefault="00BC3A3A" w:rsidP="00BC3A3A">
      <w:pPr>
        <w:pStyle w:val="BodyText"/>
        <w:spacing w:before="71"/>
        <w:ind w:right="172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Medijan Tmax monometil fumarata iznosi 2,5 do 3 sata. U ispitivanom rasponu</w:t>
      </w:r>
      <w:r w:rsidR="005A06B9">
        <w:rPr>
          <w:rFonts w:cs="Times New Roman"/>
          <w:lang w:val="sr-Latn-RS"/>
        </w:rPr>
        <w:t xml:space="preserve"> doza</w:t>
      </w:r>
      <w:r w:rsidRPr="00750BAE">
        <w:rPr>
          <w:rFonts w:cs="Times New Roman"/>
          <w:lang w:val="sr-Latn-RS"/>
        </w:rPr>
        <w:t xml:space="preserve"> (od 49 mg do 980 mg), vršna koncentracija u plazmi (Cmax) i ukupna izloženost (AUC) povećavali su se srazm</w:t>
      </w:r>
      <w:r w:rsidR="00935514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>erno dozi.</w:t>
      </w:r>
    </w:p>
    <w:p w14:paraId="135A8CCE" w14:textId="12E41A63" w:rsidR="00BC3A3A" w:rsidRPr="00750BAE" w:rsidRDefault="00BC3A3A" w:rsidP="00BC3A3A">
      <w:pPr>
        <w:pStyle w:val="BodyText"/>
        <w:ind w:right="172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Nakon </w:t>
      </w:r>
      <w:r w:rsidR="004A63C1" w:rsidRPr="00750BAE">
        <w:rPr>
          <w:rFonts w:cs="Times New Roman"/>
          <w:lang w:val="sr-Latn-RS"/>
        </w:rPr>
        <w:t>primjene</w:t>
      </w:r>
      <w:r w:rsidRPr="00750BAE">
        <w:rPr>
          <w:rFonts w:cs="Times New Roman"/>
          <w:lang w:val="sr-Latn-RS"/>
        </w:rPr>
        <w:t xml:space="preserve">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 xml:space="preserve">a u dozi od 462 mg dvaput na dan kod pacijenata sa MS-om u ispitivanju EVOLVE-MS-1, srednja </w:t>
      </w:r>
      <w:r w:rsidR="005F44D1" w:rsidRPr="00750BAE">
        <w:rPr>
          <w:rFonts w:cs="Times New Roman"/>
          <w:lang w:val="sr-Latn-RS"/>
        </w:rPr>
        <w:t>vrijednost</w:t>
      </w:r>
      <w:r w:rsidRPr="00750BAE">
        <w:rPr>
          <w:rFonts w:cs="Times New Roman"/>
          <w:lang w:val="sr-Latn-RS"/>
        </w:rPr>
        <w:t xml:space="preserve"> Cmax  monometilfumarata iznosila je 2,11 mg/l. Srednja </w:t>
      </w:r>
      <w:r w:rsidR="005F44D1" w:rsidRPr="00750BAE">
        <w:rPr>
          <w:rFonts w:cs="Times New Roman"/>
          <w:lang w:val="sr-Latn-RS"/>
        </w:rPr>
        <w:t>vrijednost</w:t>
      </w:r>
      <w:r w:rsidRPr="00750BAE">
        <w:rPr>
          <w:rFonts w:cs="Times New Roman"/>
          <w:lang w:val="sr-Latn-RS"/>
        </w:rPr>
        <w:t xml:space="preserve"> AUClast nakon jutarnje doze iznosila je 4,15 mg.h/l. </w:t>
      </w:r>
      <w:r w:rsidR="00A83B47" w:rsidRPr="00750BAE">
        <w:rPr>
          <w:rFonts w:cs="Times New Roman"/>
          <w:lang w:val="sr-Latn-RS"/>
        </w:rPr>
        <w:t>Proc</w:t>
      </w:r>
      <w:r w:rsidR="0094779A" w:rsidRPr="00750BAE">
        <w:rPr>
          <w:rFonts w:cs="Times New Roman"/>
          <w:lang w:val="sr-Latn-RS"/>
        </w:rPr>
        <w:t>i</w:t>
      </w:r>
      <w:r w:rsidR="00A83B47" w:rsidRPr="00750BAE">
        <w:rPr>
          <w:rFonts w:cs="Times New Roman"/>
          <w:lang w:val="sr-Latn-RS"/>
        </w:rPr>
        <w:t>jen</w:t>
      </w:r>
      <w:r w:rsidRPr="00750BAE">
        <w:rPr>
          <w:rFonts w:cs="Times New Roman"/>
          <w:lang w:val="sr-Latn-RS"/>
        </w:rPr>
        <w:t xml:space="preserve">jeno je da kod pacijenata sa MS-om dnevna srednja </w:t>
      </w:r>
      <w:r w:rsidR="005F44D1" w:rsidRPr="00750BAE">
        <w:rPr>
          <w:rFonts w:cs="Times New Roman"/>
          <w:lang w:val="sr-Latn-RS"/>
        </w:rPr>
        <w:t>vrijednost</w:t>
      </w:r>
      <w:r w:rsidRPr="00750BAE">
        <w:rPr>
          <w:rFonts w:cs="Times New Roman"/>
          <w:lang w:val="sr-Latn-RS"/>
        </w:rPr>
        <w:t xml:space="preserve"> AUC-a (AUCss) monometil fumarata u stanju dinamičke ravnoteže iznosi 8,32 mg.h/l.</w:t>
      </w:r>
    </w:p>
    <w:p w14:paraId="7517962D" w14:textId="77777777" w:rsidR="00BC3A3A" w:rsidRPr="00750BAE" w:rsidRDefault="00BC3A3A" w:rsidP="00BC3A3A">
      <w:pPr>
        <w:spacing w:before="11"/>
        <w:rPr>
          <w:sz w:val="22"/>
          <w:szCs w:val="22"/>
          <w:lang w:val="sr-Latn-RS"/>
        </w:rPr>
      </w:pPr>
    </w:p>
    <w:p w14:paraId="24E92254" w14:textId="2B26C217" w:rsidR="00BC3A3A" w:rsidRPr="00750BAE" w:rsidRDefault="00A83B47" w:rsidP="00BC3A3A">
      <w:pPr>
        <w:pStyle w:val="BodyText"/>
        <w:spacing w:line="237" w:lineRule="auto"/>
        <w:ind w:right="225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Istovreme</w:t>
      </w:r>
      <w:r w:rsidR="00BC3A3A" w:rsidRPr="00750BAE">
        <w:rPr>
          <w:rFonts w:cs="Times New Roman"/>
          <w:lang w:val="sr-Latn-RS"/>
        </w:rPr>
        <w:t xml:space="preserve">na </w:t>
      </w:r>
      <w:r w:rsidR="00675CD9" w:rsidRPr="00750BAE">
        <w:rPr>
          <w:rFonts w:cs="Times New Roman"/>
          <w:lang w:val="sr-Latn-RS"/>
        </w:rPr>
        <w:t>primjena</w:t>
      </w:r>
      <w:r w:rsidR="00BC3A3A" w:rsidRPr="00750BAE">
        <w:rPr>
          <w:rFonts w:cs="Times New Roman"/>
          <w:lang w:val="sr-Latn-RS"/>
        </w:rPr>
        <w:t xml:space="preserve"> </w:t>
      </w:r>
      <w:r w:rsidR="005A3B91">
        <w:rPr>
          <w:rFonts w:cs="Times New Roman"/>
          <w:lang w:val="sr-Latn-RS"/>
        </w:rPr>
        <w:t>diroksimel fumarat</w:t>
      </w:r>
      <w:r w:rsidR="00BC3A3A" w:rsidRPr="00750BAE">
        <w:rPr>
          <w:rFonts w:cs="Times New Roman"/>
          <w:lang w:val="sr-Latn-RS"/>
        </w:rPr>
        <w:t>a i visokokaloričnog obroka sa velikim ud</w:t>
      </w:r>
      <w:r w:rsidR="00935514" w:rsidRPr="00750BAE">
        <w:rPr>
          <w:rFonts w:cs="Times New Roman"/>
          <w:lang w:val="sr-Latn-RS"/>
        </w:rPr>
        <w:t>j</w:t>
      </w:r>
      <w:r w:rsidR="00BC3A3A" w:rsidRPr="00750BAE">
        <w:rPr>
          <w:rFonts w:cs="Times New Roman"/>
          <w:lang w:val="sr-Latn-RS"/>
        </w:rPr>
        <w:t>elom masti nije uticala na AUC monometil fumarata, ali je u poređenju sa prim</w:t>
      </w:r>
      <w:r w:rsidR="00935514" w:rsidRPr="00750BAE">
        <w:rPr>
          <w:rFonts w:cs="Times New Roman"/>
          <w:lang w:val="sr-Latn-RS"/>
        </w:rPr>
        <w:t>j</w:t>
      </w:r>
      <w:r w:rsidR="00BC3A3A" w:rsidRPr="00750BAE">
        <w:rPr>
          <w:rFonts w:cs="Times New Roman"/>
          <w:lang w:val="sr-Latn-RS"/>
        </w:rPr>
        <w:t xml:space="preserve">enom na prazan stomak rezultirala smanjenjem </w:t>
      </w:r>
      <w:r w:rsidR="005F44D1" w:rsidRPr="00750BAE">
        <w:rPr>
          <w:rFonts w:cs="Times New Roman"/>
          <w:lang w:val="sr-Latn-RS"/>
        </w:rPr>
        <w:t>vrijednost</w:t>
      </w:r>
      <w:r w:rsidR="00BC3A3A" w:rsidRPr="00750BAE">
        <w:rPr>
          <w:rFonts w:cs="Times New Roman"/>
          <w:lang w:val="sr-Latn-RS"/>
        </w:rPr>
        <w:t xml:space="preserve">i Cmax od približno 44%. Kod </w:t>
      </w:r>
      <w:r w:rsidR="004A63C1" w:rsidRPr="00750BAE">
        <w:rPr>
          <w:rFonts w:cs="Times New Roman"/>
          <w:lang w:val="sr-Latn-RS"/>
        </w:rPr>
        <w:t>primjene</w:t>
      </w:r>
      <w:r w:rsidR="00BC3A3A" w:rsidRPr="00750BAE">
        <w:rPr>
          <w:rFonts w:cs="Times New Roman"/>
          <w:lang w:val="sr-Latn-RS"/>
        </w:rPr>
        <w:t xml:space="preserve"> s obrocima koji sadrže mali i </w:t>
      </w:r>
      <w:r w:rsidR="00B53AD3" w:rsidRPr="00750BAE">
        <w:rPr>
          <w:rFonts w:cs="Times New Roman"/>
          <w:lang w:val="sr-Latn-RS"/>
        </w:rPr>
        <w:t>umjeren</w:t>
      </w:r>
      <w:r w:rsidR="00F921F7" w:rsidRPr="00750BAE">
        <w:rPr>
          <w:rFonts w:cs="Times New Roman"/>
          <w:lang w:val="sr-Latn-RS"/>
        </w:rPr>
        <w:t xml:space="preserve"> udio </w:t>
      </w:r>
      <w:r w:rsidR="00BC3A3A" w:rsidRPr="00750BAE">
        <w:rPr>
          <w:rFonts w:cs="Times New Roman"/>
          <w:lang w:val="sr-Latn-RS"/>
        </w:rPr>
        <w:t xml:space="preserve">masti, </w:t>
      </w:r>
      <w:r w:rsidR="005F44D1" w:rsidRPr="00750BAE">
        <w:rPr>
          <w:rFonts w:cs="Times New Roman"/>
          <w:lang w:val="sr-Latn-RS"/>
        </w:rPr>
        <w:t>vrijednost</w:t>
      </w:r>
      <w:r w:rsidR="00BC3A3A" w:rsidRPr="00750BAE">
        <w:rPr>
          <w:rFonts w:cs="Times New Roman"/>
          <w:lang w:val="sr-Latn-RS"/>
        </w:rPr>
        <w:t xml:space="preserve"> Cmax smanjila se približno 12% odnosno 25%.</w:t>
      </w:r>
    </w:p>
    <w:p w14:paraId="1ED6AC3C" w14:textId="77777777" w:rsidR="00BC3A3A" w:rsidRPr="00750BAE" w:rsidRDefault="00BC3A3A" w:rsidP="00BC3A3A">
      <w:pPr>
        <w:spacing w:before="10"/>
        <w:rPr>
          <w:sz w:val="22"/>
          <w:szCs w:val="22"/>
          <w:lang w:val="sr-Latn-RS"/>
        </w:rPr>
      </w:pPr>
    </w:p>
    <w:p w14:paraId="2C9A4AB9" w14:textId="00F42AC8" w:rsidR="00BC3A3A" w:rsidRPr="00750BAE" w:rsidRDefault="00BC3A3A" w:rsidP="00BC3A3A">
      <w:pPr>
        <w:pStyle w:val="BodyText"/>
        <w:ind w:left="116" w:right="172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Hrana nema klinički značajan uticaj na izloženost monometilfumaratu. Stoga se 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 xml:space="preserve"> Vumerity može uzimati sa hranom ili bez nje (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</w:t>
      </w:r>
      <w:r w:rsidR="005A06B9">
        <w:rPr>
          <w:rFonts w:cs="Times New Roman"/>
          <w:lang w:val="sr-Latn-RS"/>
        </w:rPr>
        <w:t>dio</w:t>
      </w:r>
      <w:r w:rsidR="005A06B9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4.2).</w:t>
      </w:r>
    </w:p>
    <w:p w14:paraId="36315547" w14:textId="77777777" w:rsidR="00BC3A3A" w:rsidRPr="00750BAE" w:rsidRDefault="00BC3A3A" w:rsidP="00BC3A3A">
      <w:pPr>
        <w:spacing w:before="3"/>
        <w:rPr>
          <w:sz w:val="22"/>
          <w:szCs w:val="22"/>
          <w:lang w:val="sr-Latn-RS"/>
        </w:rPr>
      </w:pPr>
    </w:p>
    <w:p w14:paraId="1DA155DE" w14:textId="77777777" w:rsidR="00BC3A3A" w:rsidRPr="00750BAE" w:rsidRDefault="00BC3A3A" w:rsidP="00BC3A3A">
      <w:pPr>
        <w:pStyle w:val="BodyText"/>
        <w:ind w:left="116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>Distribucija</w:t>
      </w:r>
    </w:p>
    <w:p w14:paraId="5167EDA7" w14:textId="77777777" w:rsidR="00BC3A3A" w:rsidRPr="00750BAE" w:rsidRDefault="00BC3A3A" w:rsidP="00BC3A3A">
      <w:pPr>
        <w:spacing w:before="7"/>
        <w:rPr>
          <w:sz w:val="22"/>
          <w:szCs w:val="22"/>
          <w:lang w:val="sr-Latn-RS"/>
        </w:rPr>
      </w:pPr>
    </w:p>
    <w:p w14:paraId="1B150EDD" w14:textId="1394F004" w:rsidR="00BC3A3A" w:rsidRPr="00750BAE" w:rsidRDefault="00BC3A3A" w:rsidP="00BC3A3A">
      <w:pPr>
        <w:pStyle w:val="BodyText"/>
        <w:spacing w:before="73" w:line="237" w:lineRule="auto"/>
        <w:ind w:right="172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Nakon </w:t>
      </w:r>
      <w:r w:rsidR="004A63C1" w:rsidRPr="00750BAE">
        <w:rPr>
          <w:rFonts w:cs="Times New Roman"/>
          <w:lang w:val="sr-Latn-RS"/>
        </w:rPr>
        <w:t>primjene</w:t>
      </w:r>
      <w:r w:rsidRPr="00750BAE">
        <w:rPr>
          <w:rFonts w:cs="Times New Roman"/>
          <w:lang w:val="sr-Latn-RS"/>
        </w:rPr>
        <w:t xml:space="preserve">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>a kod zdravih ispitanika, prividni volumen distribucije (Vd) monometilfumarata iznosio je između 72 l i 83 l. Vezivanje monometilfumarata na proteine u ljudskoj plazmi bilo je manje od 25% i nije zavisilo od koncentracije.</w:t>
      </w:r>
    </w:p>
    <w:p w14:paraId="11E7FD0B" w14:textId="77777777" w:rsidR="00BC3A3A" w:rsidRPr="00750BAE" w:rsidRDefault="00BC3A3A" w:rsidP="00BC3A3A">
      <w:pPr>
        <w:spacing w:before="3"/>
        <w:rPr>
          <w:sz w:val="22"/>
          <w:szCs w:val="22"/>
          <w:lang w:val="sr-Latn-RS"/>
        </w:rPr>
      </w:pPr>
    </w:p>
    <w:p w14:paraId="0BE350C9" w14:textId="77777777" w:rsidR="00BC3A3A" w:rsidRPr="00750BAE" w:rsidRDefault="00BC3A3A" w:rsidP="00BC3A3A">
      <w:pPr>
        <w:pStyle w:val="BodyText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>Biotransformacija</w:t>
      </w:r>
    </w:p>
    <w:p w14:paraId="2A9EF4EE" w14:textId="77777777" w:rsidR="00BC3A3A" w:rsidRPr="00750BAE" w:rsidRDefault="00BC3A3A" w:rsidP="00BC3A3A">
      <w:pPr>
        <w:spacing w:before="6"/>
        <w:rPr>
          <w:sz w:val="22"/>
          <w:szCs w:val="22"/>
          <w:lang w:val="sr-Latn-RS"/>
        </w:rPr>
      </w:pPr>
    </w:p>
    <w:p w14:paraId="2F2713FF" w14:textId="156324F7" w:rsidR="00BC3A3A" w:rsidRPr="00750BAE" w:rsidRDefault="005A3B91" w:rsidP="00BC3A3A">
      <w:pPr>
        <w:pStyle w:val="BodyText"/>
        <w:spacing w:before="72" w:line="237" w:lineRule="auto"/>
        <w:ind w:right="214"/>
        <w:jc w:val="both"/>
        <w:rPr>
          <w:rFonts w:cs="Times New Roman"/>
          <w:lang w:val="sr-Latn-RS"/>
        </w:rPr>
      </w:pPr>
      <w:r>
        <w:rPr>
          <w:rFonts w:cs="Times New Roman"/>
          <w:lang w:val="sr-Latn-RS"/>
        </w:rPr>
        <w:t>Diroksimel fumarat</w:t>
      </w:r>
      <w:r w:rsidR="00BC3A3A" w:rsidRPr="00750BAE">
        <w:rPr>
          <w:rFonts w:cs="Times New Roman"/>
          <w:lang w:val="sr-Latn-RS"/>
        </w:rPr>
        <w:t xml:space="preserve"> kod ljudi,</w:t>
      </w:r>
      <w:r w:rsidR="00132BCB" w:rsidRPr="00750BAE">
        <w:rPr>
          <w:rFonts w:cs="Times New Roman"/>
          <w:lang w:val="sr-Latn-RS"/>
        </w:rPr>
        <w:t xml:space="preserve"> prije </w:t>
      </w:r>
      <w:r w:rsidR="00BC3A3A" w:rsidRPr="00750BAE">
        <w:rPr>
          <w:rFonts w:cs="Times New Roman"/>
          <w:lang w:val="sr-Latn-RS"/>
        </w:rPr>
        <w:t xml:space="preserve">nego što dođe u sistemski krvotok, opsežno metabolišu esteraze koje su prisutne svuda u gastrointestinalnom traktu, krvi i tkivima. Metabolizmom </w:t>
      </w:r>
      <w:r>
        <w:rPr>
          <w:rFonts w:cs="Times New Roman"/>
          <w:lang w:val="sr-Latn-RS"/>
        </w:rPr>
        <w:t>diroksimel fumarat</w:t>
      </w:r>
      <w:r w:rsidR="00BC3A3A" w:rsidRPr="00750BAE">
        <w:rPr>
          <w:rFonts w:cs="Times New Roman"/>
          <w:lang w:val="sr-Latn-RS"/>
        </w:rPr>
        <w:t>a pomoću esteraza prvenstveno nastaju monometilfumarat, aktivan metabolit, i HES, neaktivan metabolit.</w:t>
      </w:r>
    </w:p>
    <w:p w14:paraId="0936E6B2" w14:textId="77777777" w:rsidR="00BC3A3A" w:rsidRPr="00750BAE" w:rsidRDefault="00BC3A3A" w:rsidP="00BC3A3A">
      <w:pPr>
        <w:spacing w:before="4"/>
        <w:rPr>
          <w:sz w:val="22"/>
          <w:szCs w:val="22"/>
          <w:lang w:val="sr-Latn-RS"/>
        </w:rPr>
      </w:pPr>
    </w:p>
    <w:p w14:paraId="1A3CF1F7" w14:textId="00A348F2" w:rsidR="00BC3A3A" w:rsidRPr="00750BAE" w:rsidRDefault="00BC3A3A" w:rsidP="00BC3A3A">
      <w:pPr>
        <w:pStyle w:val="BodyText"/>
        <w:spacing w:line="237" w:lineRule="auto"/>
        <w:ind w:right="225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Monometilfumarat se dalje metaboliše esterazama, nakon čega sl</w:t>
      </w:r>
      <w:r w:rsidR="00935514" w:rsidRPr="00750BAE">
        <w:rPr>
          <w:rFonts w:cs="Times New Roman"/>
          <w:lang w:val="sr-Latn-RS"/>
        </w:rPr>
        <w:t>ij</w:t>
      </w:r>
      <w:r w:rsidRPr="00750BAE">
        <w:rPr>
          <w:rFonts w:cs="Times New Roman"/>
          <w:lang w:val="sr-Latn-RS"/>
        </w:rPr>
        <w:t>edi ciklus trikarboksilne kiseline (TCA) bez posredovanja sistema citohroma P450 (CYP). Fumarna i limunska kiselina, kao i glukoza, su rezultujući metaboliti monometilfumarata u plazmi.</w:t>
      </w:r>
    </w:p>
    <w:p w14:paraId="2F1B4628" w14:textId="77777777" w:rsidR="00BC3A3A" w:rsidRPr="00750BAE" w:rsidRDefault="00BC3A3A" w:rsidP="00BC3A3A">
      <w:pPr>
        <w:spacing w:before="3"/>
        <w:rPr>
          <w:sz w:val="22"/>
          <w:szCs w:val="22"/>
          <w:lang w:val="sr-Latn-RS"/>
        </w:rPr>
      </w:pPr>
    </w:p>
    <w:p w14:paraId="445F3390" w14:textId="77777777" w:rsidR="00BC3A3A" w:rsidRPr="00750BAE" w:rsidRDefault="00BC3A3A" w:rsidP="00BC3A3A">
      <w:pPr>
        <w:pStyle w:val="BodyText"/>
        <w:ind w:left="116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>Eliminacija</w:t>
      </w:r>
    </w:p>
    <w:p w14:paraId="1349FCA6" w14:textId="77777777" w:rsidR="00BC3A3A" w:rsidRPr="00750BAE" w:rsidRDefault="00BC3A3A" w:rsidP="00BC3A3A">
      <w:pPr>
        <w:spacing w:before="7"/>
        <w:rPr>
          <w:sz w:val="22"/>
          <w:szCs w:val="22"/>
          <w:lang w:val="sr-Latn-RS"/>
        </w:rPr>
      </w:pPr>
    </w:p>
    <w:p w14:paraId="186E1DE9" w14:textId="36603A6D" w:rsidR="00BC3A3A" w:rsidRPr="00750BAE" w:rsidRDefault="00BC3A3A" w:rsidP="00BC3A3A">
      <w:pPr>
        <w:pStyle w:val="BodyText"/>
        <w:spacing w:before="72"/>
        <w:ind w:right="21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Monometilfumarat se uglavnom eliminiše kao ugljenik-dioksid u izdahnutom vazduhu, a samo se u tragovima nađe u urinu. Terminalni poluživot (t1/2) monometilfumarata iznosi približno 1 sat, a uz</w:t>
      </w:r>
      <w:r w:rsidR="003F15CD" w:rsidRPr="00750BAE">
        <w:rPr>
          <w:rFonts w:cs="Times New Roman"/>
          <w:lang w:val="sr-Latn-RS"/>
        </w:rPr>
        <w:t xml:space="preserve"> primjenu </w:t>
      </w:r>
      <w:r w:rsidRPr="00750BAE">
        <w:rPr>
          <w:rFonts w:cs="Times New Roman"/>
          <w:lang w:val="sr-Latn-RS"/>
        </w:rPr>
        <w:t xml:space="preserve">višestrukih doza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>a nije došlo do akumulacije i izloženosti monometilfumaratu u plazmi.</w:t>
      </w:r>
    </w:p>
    <w:p w14:paraId="537E308F" w14:textId="17B4C781" w:rsidR="00BC3A3A" w:rsidRPr="00750BAE" w:rsidRDefault="00BC3A3A" w:rsidP="004263FD">
      <w:pPr>
        <w:pStyle w:val="BodyText"/>
        <w:tabs>
          <w:tab w:val="left" w:pos="285"/>
        </w:tabs>
        <w:spacing w:line="237" w:lineRule="auto"/>
        <w:ind w:left="116" w:right="172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 U ispitivanju sa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fumaratom, utvrđeno je da je glavni put eliminacije izdisanje CO2, čime se eliminiše približno 60% doze. Eliminacija putem bubrega i fecesa sekundarni su putevi eliminacije i čine 15,5% odnosno 0,9% doze.</w:t>
      </w:r>
    </w:p>
    <w:p w14:paraId="2B19D1A4" w14:textId="77777777" w:rsidR="00BC3A3A" w:rsidRPr="00750BAE" w:rsidRDefault="00BC3A3A" w:rsidP="00BC3A3A">
      <w:pPr>
        <w:spacing w:before="9"/>
        <w:rPr>
          <w:sz w:val="22"/>
          <w:szCs w:val="22"/>
          <w:lang w:val="sr-Latn-RS"/>
        </w:rPr>
      </w:pPr>
    </w:p>
    <w:p w14:paraId="188C4571" w14:textId="77777777" w:rsidR="00BC3A3A" w:rsidRPr="00750BAE" w:rsidRDefault="00BC3A3A" w:rsidP="00BC3A3A">
      <w:pPr>
        <w:pStyle w:val="BodyText"/>
        <w:spacing w:line="230" w:lineRule="exact"/>
        <w:ind w:right="172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HES se eliminiše iz plazme uz terminalni poluživot t1/2 od 10,7 sati do 14,8 sati. HES se uglavnom </w:t>
      </w:r>
      <w:r w:rsidRPr="00750BAE">
        <w:rPr>
          <w:rFonts w:cs="Times New Roman"/>
          <w:lang w:val="sr-Latn-RS"/>
        </w:rPr>
        <w:lastRenderedPageBreak/>
        <w:t>izlučuje putem urina.</w:t>
      </w:r>
    </w:p>
    <w:p w14:paraId="5850B0C1" w14:textId="77777777" w:rsidR="00BC3A3A" w:rsidRPr="00750BAE" w:rsidRDefault="00BC3A3A" w:rsidP="00BC3A3A">
      <w:pPr>
        <w:pStyle w:val="BodyText"/>
        <w:spacing w:before="55"/>
        <w:ind w:right="141"/>
        <w:jc w:val="both"/>
        <w:rPr>
          <w:rFonts w:cs="Times New Roman"/>
          <w:u w:val="single"/>
          <w:lang w:val="sr-Latn-RS"/>
        </w:rPr>
      </w:pPr>
    </w:p>
    <w:p w14:paraId="2A99B880" w14:textId="77777777" w:rsidR="00BC3A3A" w:rsidRPr="00750BAE" w:rsidRDefault="00BC3A3A" w:rsidP="00BC3A3A">
      <w:pPr>
        <w:pStyle w:val="BodyText"/>
        <w:spacing w:before="55"/>
        <w:ind w:right="141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>Linearnost</w:t>
      </w:r>
    </w:p>
    <w:p w14:paraId="6647DEEA" w14:textId="77777777" w:rsidR="00BC3A3A" w:rsidRPr="00750BAE" w:rsidRDefault="00BC3A3A" w:rsidP="00BC3A3A">
      <w:pPr>
        <w:spacing w:before="6"/>
        <w:rPr>
          <w:sz w:val="22"/>
          <w:szCs w:val="22"/>
          <w:lang w:val="sr-Latn-RS"/>
        </w:rPr>
      </w:pPr>
    </w:p>
    <w:p w14:paraId="6E3F9DBB" w14:textId="0802C8C2" w:rsidR="00BC3A3A" w:rsidRPr="00750BAE" w:rsidRDefault="00BC3A3A" w:rsidP="00BC3A3A">
      <w:pPr>
        <w:pStyle w:val="BodyText"/>
        <w:spacing w:before="72"/>
        <w:ind w:right="25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Pri jednokratnim i višekratnim dozama, izloženost monometilfumaratu u ispitivanom rasponu </w:t>
      </w:r>
      <w:r w:rsidR="005A06B9">
        <w:rPr>
          <w:rFonts w:cs="Times New Roman"/>
          <w:lang w:val="sr-Latn-RS"/>
        </w:rPr>
        <w:t xml:space="preserve">doza </w:t>
      </w:r>
      <w:r w:rsidRPr="00750BAE">
        <w:rPr>
          <w:rFonts w:cs="Times New Roman"/>
          <w:lang w:val="sr-Latn-RS"/>
        </w:rPr>
        <w:t>od 49 mg do 980 mg povećava se približno srazm</w:t>
      </w:r>
      <w:r w:rsidR="00935514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>erno dozi.</w:t>
      </w:r>
    </w:p>
    <w:p w14:paraId="19931043" w14:textId="77777777" w:rsidR="00BC3A3A" w:rsidRPr="00750BAE" w:rsidRDefault="00BC3A3A" w:rsidP="00BC3A3A">
      <w:pPr>
        <w:spacing w:before="9"/>
        <w:rPr>
          <w:sz w:val="22"/>
          <w:szCs w:val="22"/>
          <w:lang w:val="sr-Latn-RS"/>
        </w:rPr>
      </w:pPr>
    </w:p>
    <w:p w14:paraId="39E3A199" w14:textId="77777777" w:rsidR="00BC3A3A" w:rsidRPr="00750BAE" w:rsidRDefault="00BC3A3A" w:rsidP="00BC3A3A">
      <w:pPr>
        <w:pStyle w:val="BodyText"/>
        <w:ind w:left="116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>Farmakokinetika kod posebnih populacija</w:t>
      </w:r>
    </w:p>
    <w:p w14:paraId="6CBB3A74" w14:textId="77777777" w:rsidR="00BC3A3A" w:rsidRPr="00750BAE" w:rsidRDefault="00BC3A3A" w:rsidP="00BC3A3A">
      <w:pPr>
        <w:spacing w:before="11"/>
        <w:rPr>
          <w:sz w:val="22"/>
          <w:szCs w:val="22"/>
          <w:lang w:val="sr-Latn-RS"/>
        </w:rPr>
      </w:pPr>
    </w:p>
    <w:p w14:paraId="65BE661B" w14:textId="04B245D0" w:rsidR="00BC3A3A" w:rsidRPr="00750BAE" w:rsidRDefault="00BC3A3A" w:rsidP="00BC3A3A">
      <w:pPr>
        <w:pStyle w:val="BodyText"/>
        <w:spacing w:before="72" w:line="237" w:lineRule="auto"/>
        <w:ind w:left="116" w:right="108" w:hanging="1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T</w:t>
      </w:r>
      <w:r w:rsidR="00935514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 xml:space="preserve">elesna </w:t>
      </w:r>
      <w:r w:rsidR="005A06B9">
        <w:rPr>
          <w:rFonts w:cs="Times New Roman"/>
          <w:lang w:val="sr-Latn-RS"/>
        </w:rPr>
        <w:t>masa</w:t>
      </w:r>
      <w:r w:rsidR="005A06B9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je glavna kovarijata pri izloženosti monometilfumaratu koja povećava </w:t>
      </w:r>
      <w:r w:rsidR="005F44D1" w:rsidRPr="00750BAE">
        <w:rPr>
          <w:rFonts w:cs="Times New Roman"/>
          <w:lang w:val="sr-Latn-RS"/>
        </w:rPr>
        <w:t>vrijednost</w:t>
      </w:r>
      <w:r w:rsidRPr="00750BAE">
        <w:rPr>
          <w:rFonts w:cs="Times New Roman"/>
          <w:lang w:val="sr-Latn-RS"/>
        </w:rPr>
        <w:t xml:space="preserve">i Cmax i AUC kod ispitanika manje </w:t>
      </w:r>
      <w:r w:rsidR="00935514" w:rsidRPr="00750BAE">
        <w:rPr>
          <w:rFonts w:cs="Times New Roman"/>
          <w:lang w:val="sr-Latn-RS"/>
        </w:rPr>
        <w:t>tjelesne</w:t>
      </w:r>
      <w:r w:rsidRPr="00750BAE">
        <w:rPr>
          <w:rFonts w:cs="Times New Roman"/>
          <w:lang w:val="sr-Latn-RS"/>
        </w:rPr>
        <w:t xml:space="preserve"> </w:t>
      </w:r>
      <w:r w:rsidR="005A06B9">
        <w:rPr>
          <w:rFonts w:cs="Times New Roman"/>
          <w:lang w:val="sr-Latn-RS"/>
        </w:rPr>
        <w:t>mase</w:t>
      </w:r>
      <w:r w:rsidR="005A06B9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nakon </w:t>
      </w:r>
      <w:r w:rsidR="004A63C1" w:rsidRPr="00750BAE">
        <w:rPr>
          <w:rFonts w:cs="Times New Roman"/>
          <w:lang w:val="sr-Latn-RS"/>
        </w:rPr>
        <w:t>primjene</w:t>
      </w:r>
      <w:r w:rsidRPr="00750BAE">
        <w:rPr>
          <w:rFonts w:cs="Times New Roman"/>
          <w:lang w:val="sr-Latn-RS"/>
        </w:rPr>
        <w:t xml:space="preserve">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 xml:space="preserve">a. U kliničkim ispitivanjima nije ustanovljen uticaj na </w:t>
      </w:r>
      <w:r w:rsidR="00A83B47" w:rsidRPr="00750BAE">
        <w:rPr>
          <w:rFonts w:cs="Times New Roman"/>
          <w:lang w:val="sr-Latn-RS"/>
        </w:rPr>
        <w:t>procjen</w:t>
      </w:r>
      <w:r w:rsidRPr="00750BAE">
        <w:rPr>
          <w:rFonts w:cs="Times New Roman"/>
          <w:lang w:val="sr-Latn-RS"/>
        </w:rPr>
        <w:t>jivane m</w:t>
      </w:r>
      <w:r w:rsidR="00142AD8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 xml:space="preserve">ere </w:t>
      </w:r>
      <w:r w:rsidR="00453DDE" w:rsidRPr="00750BAE">
        <w:rPr>
          <w:rFonts w:cs="Times New Roman"/>
          <w:lang w:val="sr-Latn-RS"/>
        </w:rPr>
        <w:t>bezbjednos</w:t>
      </w:r>
      <w:r w:rsidRPr="00750BAE">
        <w:rPr>
          <w:rFonts w:cs="Times New Roman"/>
          <w:lang w:val="sr-Latn-RS"/>
        </w:rPr>
        <w:t xml:space="preserve">ti i efikasnosti. Stoga nije potrebno prilagođavanje doze na osnovu </w:t>
      </w:r>
      <w:r w:rsidR="00935514" w:rsidRPr="00750BAE">
        <w:rPr>
          <w:rFonts w:cs="Times New Roman"/>
          <w:lang w:val="sr-Latn-RS"/>
        </w:rPr>
        <w:t>tjelesne</w:t>
      </w:r>
      <w:r w:rsidRPr="00750BAE">
        <w:rPr>
          <w:rFonts w:cs="Times New Roman"/>
          <w:lang w:val="sr-Latn-RS"/>
        </w:rPr>
        <w:t xml:space="preserve"> </w:t>
      </w:r>
      <w:r w:rsidR="005A06B9">
        <w:rPr>
          <w:rFonts w:cs="Times New Roman"/>
          <w:lang w:val="sr-Latn-RS"/>
        </w:rPr>
        <w:t>mase</w:t>
      </w:r>
      <w:r w:rsidRPr="00750BAE">
        <w:rPr>
          <w:rFonts w:cs="Times New Roman"/>
          <w:lang w:val="sr-Latn-RS"/>
        </w:rPr>
        <w:t>.</w:t>
      </w:r>
    </w:p>
    <w:p w14:paraId="545FFE49" w14:textId="77777777" w:rsidR="00BC3A3A" w:rsidRPr="00750BAE" w:rsidRDefault="00BC3A3A" w:rsidP="00BC3A3A">
      <w:pPr>
        <w:spacing w:before="9"/>
        <w:rPr>
          <w:sz w:val="22"/>
          <w:szCs w:val="22"/>
          <w:lang w:val="sr-Latn-RS"/>
        </w:rPr>
      </w:pPr>
    </w:p>
    <w:p w14:paraId="01AB269E" w14:textId="457E8BAE" w:rsidR="00BC3A3A" w:rsidRPr="00750BAE" w:rsidRDefault="00BC3A3A" w:rsidP="00BC3A3A">
      <w:pPr>
        <w:pStyle w:val="BodyText"/>
        <w:ind w:right="14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Pol i </w:t>
      </w:r>
      <w:r w:rsidR="005A06B9">
        <w:rPr>
          <w:rFonts w:cs="Times New Roman"/>
          <w:lang w:val="sr-Latn-RS"/>
        </w:rPr>
        <w:t>uzrast</w:t>
      </w:r>
      <w:r w:rsidR="005A06B9" w:rsidRPr="00750BAE">
        <w:rPr>
          <w:rFonts w:cs="Times New Roman"/>
          <w:lang w:val="sr-Latn-RS"/>
        </w:rPr>
        <w:t xml:space="preserve"> </w:t>
      </w:r>
      <w:r w:rsidR="00A83B47" w:rsidRPr="00750BAE">
        <w:rPr>
          <w:rFonts w:cs="Times New Roman"/>
          <w:lang w:val="sr-Latn-RS"/>
        </w:rPr>
        <w:t>nijesu</w:t>
      </w:r>
      <w:r w:rsidRPr="00750BAE">
        <w:rPr>
          <w:rFonts w:cs="Times New Roman"/>
          <w:lang w:val="sr-Latn-RS"/>
        </w:rPr>
        <w:t xml:space="preserve"> imali statistički značajan uticaj na Cmax i AUC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 xml:space="preserve">a. Farmakokinetika kod pacijenata </w:t>
      </w:r>
      <w:r w:rsidR="005A06B9">
        <w:rPr>
          <w:rFonts w:cs="Times New Roman"/>
          <w:lang w:val="sr-Latn-RS"/>
        </w:rPr>
        <w:t>uzrasta</w:t>
      </w:r>
      <w:r w:rsidR="005A06B9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od 65 i više godina nije ispitivana.</w:t>
      </w:r>
    </w:p>
    <w:p w14:paraId="1DF524B0" w14:textId="77777777" w:rsidR="00BC3A3A" w:rsidRPr="00750BAE" w:rsidRDefault="00BC3A3A" w:rsidP="00BC3A3A">
      <w:pPr>
        <w:spacing w:before="3"/>
        <w:rPr>
          <w:sz w:val="22"/>
          <w:szCs w:val="22"/>
          <w:lang w:val="sr-Latn-RS"/>
        </w:rPr>
      </w:pPr>
    </w:p>
    <w:p w14:paraId="608D2AA3" w14:textId="77777777" w:rsidR="00BC3A3A" w:rsidRPr="00750BAE" w:rsidRDefault="00BC3A3A" w:rsidP="00BC3A3A">
      <w:pPr>
        <w:ind w:left="115" w:right="141"/>
        <w:rPr>
          <w:sz w:val="22"/>
          <w:szCs w:val="22"/>
          <w:lang w:val="sr-Latn-RS"/>
        </w:rPr>
      </w:pPr>
      <w:r w:rsidRPr="00750BAE">
        <w:rPr>
          <w:i/>
          <w:iCs/>
          <w:sz w:val="22"/>
          <w:szCs w:val="22"/>
          <w:lang w:val="sr-Latn-RS"/>
        </w:rPr>
        <w:t>Pedijatrijska populacija</w:t>
      </w:r>
    </w:p>
    <w:p w14:paraId="22A990A0" w14:textId="77777777" w:rsidR="00BC3A3A" w:rsidRPr="00750BAE" w:rsidRDefault="00BC3A3A" w:rsidP="00BC3A3A">
      <w:pPr>
        <w:spacing w:before="9"/>
        <w:rPr>
          <w:i/>
          <w:sz w:val="22"/>
          <w:szCs w:val="22"/>
          <w:lang w:val="sr-Latn-RS"/>
        </w:rPr>
      </w:pPr>
    </w:p>
    <w:p w14:paraId="5E1E02B2" w14:textId="2C10E3B9" w:rsidR="00BC3A3A" w:rsidRPr="00750BAE" w:rsidRDefault="00BC3A3A" w:rsidP="00BC3A3A">
      <w:pPr>
        <w:pStyle w:val="BodyText"/>
        <w:ind w:right="25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Farmakokinetički profil monometilfumarata nakon </w:t>
      </w:r>
      <w:r w:rsidR="004A63C1" w:rsidRPr="00750BAE">
        <w:rPr>
          <w:rFonts w:cs="Times New Roman"/>
          <w:lang w:val="sr-Latn-RS"/>
        </w:rPr>
        <w:t>primjene</w:t>
      </w:r>
      <w:r w:rsidRPr="00750BAE">
        <w:rPr>
          <w:rFonts w:cs="Times New Roman"/>
          <w:lang w:val="sr-Latn-RS"/>
        </w:rPr>
        <w:t xml:space="preserve">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 xml:space="preserve">a nije ispitivan. Farmakokinetički parametri monometilfumarata nakon </w:t>
      </w:r>
      <w:r w:rsidR="004A63C1" w:rsidRPr="00750BAE">
        <w:rPr>
          <w:rFonts w:cs="Times New Roman"/>
          <w:lang w:val="sr-Latn-RS"/>
        </w:rPr>
        <w:t>primjene</w:t>
      </w:r>
      <w:r w:rsidRPr="00750BAE">
        <w:rPr>
          <w:rFonts w:cs="Times New Roman"/>
          <w:lang w:val="sr-Latn-RS"/>
        </w:rPr>
        <w:t xml:space="preserve">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>a u korelaciji su sa t</w:t>
      </w:r>
      <w:r w:rsidR="00142AD8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 xml:space="preserve">elesnom </w:t>
      </w:r>
      <w:r w:rsidR="005A06B9">
        <w:rPr>
          <w:rFonts w:cs="Times New Roman"/>
          <w:lang w:val="sr-Latn-RS"/>
        </w:rPr>
        <w:t>masom</w:t>
      </w:r>
      <w:r w:rsidRPr="00750BAE">
        <w:rPr>
          <w:rFonts w:cs="Times New Roman"/>
          <w:lang w:val="sr-Latn-RS"/>
        </w:rPr>
        <w:t xml:space="preserve">. Stoga se očekuje da će kod pedijatrijskih pacijenata manje </w:t>
      </w:r>
      <w:r w:rsidR="00935514" w:rsidRPr="00750BAE">
        <w:rPr>
          <w:rFonts w:cs="Times New Roman"/>
          <w:lang w:val="sr-Latn-RS"/>
        </w:rPr>
        <w:t>tjelesne</w:t>
      </w:r>
      <w:r w:rsidRPr="00750BAE">
        <w:rPr>
          <w:rFonts w:cs="Times New Roman"/>
          <w:lang w:val="sr-Latn-RS"/>
        </w:rPr>
        <w:t xml:space="preserve"> </w:t>
      </w:r>
      <w:r w:rsidR="005A06B9">
        <w:rPr>
          <w:rFonts w:cs="Times New Roman"/>
          <w:lang w:val="sr-Latn-RS"/>
        </w:rPr>
        <w:t xml:space="preserve">mase </w:t>
      </w:r>
      <w:r w:rsidRPr="00750BAE">
        <w:rPr>
          <w:rFonts w:cs="Times New Roman"/>
          <w:lang w:val="sr-Latn-RS"/>
        </w:rPr>
        <w:t>jednaka doza dovesti do veće izloženosti nego kod odraslih. Farmakokinetički profil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fumarata u dozi od 240 mg prim</w:t>
      </w:r>
      <w:r w:rsidR="00142AD8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 xml:space="preserve">enjivanoj dvaput na dan </w:t>
      </w:r>
      <w:r w:rsidR="00A83B47" w:rsidRPr="00750BAE">
        <w:rPr>
          <w:rFonts w:cs="Times New Roman"/>
          <w:lang w:val="sr-Latn-RS"/>
        </w:rPr>
        <w:t>proc</w:t>
      </w:r>
      <w:r w:rsidR="00996EA6" w:rsidRPr="00750BAE">
        <w:rPr>
          <w:rFonts w:cs="Times New Roman"/>
          <w:lang w:val="sr-Latn-RS"/>
        </w:rPr>
        <w:t>i</w:t>
      </w:r>
      <w:r w:rsidR="00A83B47" w:rsidRPr="00750BAE">
        <w:rPr>
          <w:rFonts w:cs="Times New Roman"/>
          <w:lang w:val="sr-Latn-RS"/>
        </w:rPr>
        <w:t>jen</w:t>
      </w:r>
      <w:r w:rsidRPr="00750BAE">
        <w:rPr>
          <w:rFonts w:cs="Times New Roman"/>
          <w:lang w:val="sr-Latn-RS"/>
        </w:rPr>
        <w:t xml:space="preserve">jen je u malom, otvorenom, nekontrolisanom ispitivanju kod pacijenata sa RRMS-om </w:t>
      </w:r>
      <w:r w:rsidR="000E2BE3">
        <w:rPr>
          <w:rFonts w:cs="Times New Roman"/>
          <w:lang w:val="sr-Latn-RS"/>
        </w:rPr>
        <w:t>uzrasta</w:t>
      </w:r>
      <w:r w:rsidR="000E2BE3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od 13 do 17 godina (n = 21).</w:t>
      </w:r>
    </w:p>
    <w:p w14:paraId="405A45D3" w14:textId="183BE5FB" w:rsidR="00BC3A3A" w:rsidRPr="00750BAE" w:rsidRDefault="00BC3A3A" w:rsidP="00BC3A3A">
      <w:pPr>
        <w:pStyle w:val="BodyText"/>
        <w:ind w:left="116" w:right="155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Farmakokinetika dimetil</w:t>
      </w:r>
      <w:r w:rsidR="00001F91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fumarata kod ovih adolescentnih pacijenata bila je u skladu sa onom koja je prethodno </w:t>
      </w:r>
      <w:r w:rsidR="00A83B47" w:rsidRPr="00750BAE">
        <w:rPr>
          <w:rFonts w:cs="Times New Roman"/>
          <w:lang w:val="sr-Latn-RS"/>
        </w:rPr>
        <w:t>primijećen</w:t>
      </w:r>
      <w:r w:rsidRPr="00750BAE">
        <w:rPr>
          <w:rFonts w:cs="Times New Roman"/>
          <w:lang w:val="sr-Latn-RS"/>
        </w:rPr>
        <w:t>a kod odraslih pacijenata.</w:t>
      </w:r>
    </w:p>
    <w:p w14:paraId="62357D5A" w14:textId="77777777" w:rsidR="00BC3A3A" w:rsidRPr="00750BAE" w:rsidRDefault="00BC3A3A" w:rsidP="00BC3A3A">
      <w:pPr>
        <w:spacing w:before="8"/>
        <w:rPr>
          <w:sz w:val="22"/>
          <w:szCs w:val="22"/>
          <w:lang w:val="sr-Latn-RS"/>
        </w:rPr>
      </w:pPr>
    </w:p>
    <w:p w14:paraId="3916CD66" w14:textId="77777777" w:rsidR="00BC3A3A" w:rsidRPr="00750BAE" w:rsidRDefault="00BC3A3A" w:rsidP="00BC3A3A">
      <w:pPr>
        <w:ind w:left="116"/>
        <w:rPr>
          <w:sz w:val="22"/>
          <w:szCs w:val="22"/>
          <w:lang w:val="sr-Latn-RS"/>
        </w:rPr>
      </w:pPr>
      <w:r w:rsidRPr="00750BAE">
        <w:rPr>
          <w:i/>
          <w:iCs/>
          <w:sz w:val="22"/>
          <w:szCs w:val="22"/>
          <w:lang w:val="sr-Latn-RS"/>
        </w:rPr>
        <w:t>Rasa i etnička pripadnost</w:t>
      </w:r>
    </w:p>
    <w:p w14:paraId="3AD28484" w14:textId="77777777" w:rsidR="00BC3A3A" w:rsidRPr="00750BAE" w:rsidRDefault="00BC3A3A" w:rsidP="00BC3A3A">
      <w:pPr>
        <w:spacing w:before="8"/>
        <w:rPr>
          <w:i/>
          <w:sz w:val="22"/>
          <w:szCs w:val="22"/>
          <w:lang w:val="sr-Latn-RS"/>
        </w:rPr>
      </w:pPr>
    </w:p>
    <w:p w14:paraId="39329A37" w14:textId="0367BD7E" w:rsidR="00BC3A3A" w:rsidRPr="00750BAE" w:rsidRDefault="00BC3A3A" w:rsidP="00BC3A3A">
      <w:pPr>
        <w:pStyle w:val="BodyText"/>
        <w:spacing w:line="250" w:lineRule="exact"/>
        <w:ind w:left="116" w:right="25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Rasa i etnička pripadnost ne utiču na farmakokinetički profil monometil fumarata ili HES-a nakon </w:t>
      </w:r>
      <w:r w:rsidR="004A63C1" w:rsidRPr="00750BAE">
        <w:rPr>
          <w:rFonts w:cs="Times New Roman"/>
          <w:lang w:val="sr-Latn-RS"/>
        </w:rPr>
        <w:t>primjene</w:t>
      </w:r>
      <w:r w:rsidRPr="00750BAE">
        <w:rPr>
          <w:rFonts w:cs="Times New Roman"/>
          <w:lang w:val="sr-Latn-RS"/>
        </w:rPr>
        <w:t xml:space="preserve">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>a.</w:t>
      </w:r>
    </w:p>
    <w:p w14:paraId="6552F6C9" w14:textId="77777777" w:rsidR="00BC3A3A" w:rsidRPr="00750BAE" w:rsidRDefault="00BC3A3A" w:rsidP="00BC3A3A">
      <w:pPr>
        <w:rPr>
          <w:sz w:val="22"/>
          <w:szCs w:val="22"/>
          <w:lang w:val="sr-Latn-RS"/>
        </w:rPr>
      </w:pPr>
    </w:p>
    <w:p w14:paraId="3AD26FCF" w14:textId="77777777" w:rsidR="00BC3A3A" w:rsidRPr="00750BAE" w:rsidRDefault="00BC3A3A" w:rsidP="00BC3A3A">
      <w:pPr>
        <w:ind w:left="116"/>
        <w:rPr>
          <w:sz w:val="22"/>
          <w:szCs w:val="22"/>
          <w:lang w:val="sr-Latn-RS"/>
        </w:rPr>
      </w:pPr>
      <w:r w:rsidRPr="00750BAE">
        <w:rPr>
          <w:i/>
          <w:iCs/>
          <w:sz w:val="22"/>
          <w:szCs w:val="22"/>
          <w:lang w:val="sr-Latn-RS"/>
        </w:rPr>
        <w:t>Oštećenje funkcije bubrega</w:t>
      </w:r>
    </w:p>
    <w:p w14:paraId="36183C87" w14:textId="77777777" w:rsidR="00BC3A3A" w:rsidRPr="00750BAE" w:rsidRDefault="00BC3A3A" w:rsidP="00BC3A3A">
      <w:pPr>
        <w:spacing w:before="2"/>
        <w:rPr>
          <w:i/>
          <w:sz w:val="22"/>
          <w:szCs w:val="22"/>
          <w:lang w:val="sr-Latn-RS"/>
        </w:rPr>
      </w:pPr>
    </w:p>
    <w:p w14:paraId="5AD6E933" w14:textId="32169084" w:rsidR="00BC3A3A" w:rsidRPr="00750BAE" w:rsidRDefault="00BC3A3A" w:rsidP="00BC3A3A">
      <w:pPr>
        <w:pStyle w:val="BodyText"/>
        <w:spacing w:line="232" w:lineRule="auto"/>
        <w:ind w:right="108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U ispitivanju u kojem se ispitivao uticaj oštećenja funkcije bubrega na farmakokinetički profil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 xml:space="preserve">a, ispitanici sa blagim (eGFR 60 - 89 ml/min/1,73 cm3), </w:t>
      </w:r>
      <w:r w:rsidR="00B53AD3" w:rsidRPr="00750BAE">
        <w:rPr>
          <w:rFonts w:cs="Times New Roman"/>
          <w:lang w:val="sr-Latn-RS"/>
        </w:rPr>
        <w:t>umjeren</w:t>
      </w:r>
      <w:r w:rsidRPr="00750BAE">
        <w:rPr>
          <w:rFonts w:cs="Times New Roman"/>
          <w:lang w:val="sr-Latn-RS"/>
        </w:rPr>
        <w:t xml:space="preserve">im (eGFR 30 - 59 ml/min/1,73 cm3) ili teškim oštećenjem funkcije bubrega (eGFR &lt; 30 ml/min/1,73 cm3) </w:t>
      </w:r>
      <w:r w:rsidR="00A83B47" w:rsidRPr="00750BAE">
        <w:rPr>
          <w:rFonts w:cs="Times New Roman"/>
          <w:lang w:val="sr-Latn-RS"/>
        </w:rPr>
        <w:t>nijesu</w:t>
      </w:r>
      <w:r w:rsidRPr="00750BAE">
        <w:rPr>
          <w:rFonts w:cs="Times New Roman"/>
          <w:lang w:val="sr-Latn-RS"/>
        </w:rPr>
        <w:t xml:space="preserve"> imali klinički relevantne </w:t>
      </w:r>
      <w:r w:rsidR="00A83B47" w:rsidRPr="00750BAE">
        <w:rPr>
          <w:rFonts w:cs="Times New Roman"/>
          <w:lang w:val="sr-Latn-RS"/>
        </w:rPr>
        <w:t>promjen</w:t>
      </w:r>
      <w:r w:rsidRPr="00750BAE">
        <w:rPr>
          <w:rFonts w:cs="Times New Roman"/>
          <w:lang w:val="sr-Latn-RS"/>
        </w:rPr>
        <w:t xml:space="preserve">e u izloženosti MMF-u. Međutim, izloženost HES-u povećala se 1,3, 1,8 i 2,7 puta uz blago, </w:t>
      </w:r>
      <w:r w:rsidR="00B53AD3" w:rsidRPr="00750BAE">
        <w:rPr>
          <w:rFonts w:cs="Times New Roman"/>
          <w:lang w:val="sr-Latn-RS"/>
        </w:rPr>
        <w:t>umjeren</w:t>
      </w:r>
      <w:r w:rsidRPr="00750BAE">
        <w:rPr>
          <w:rFonts w:cs="Times New Roman"/>
          <w:lang w:val="sr-Latn-RS"/>
        </w:rPr>
        <w:t>o odnosno teško oštećenje funkcije bubrega (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</w:t>
      </w:r>
      <w:r w:rsidR="000E2BE3">
        <w:rPr>
          <w:rFonts w:cs="Times New Roman"/>
          <w:lang w:val="sr-Latn-RS"/>
        </w:rPr>
        <w:t>dio</w:t>
      </w:r>
      <w:r w:rsidR="000E2BE3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4.8). </w:t>
      </w:r>
      <w:r w:rsidR="00A83B47" w:rsidRPr="00750BAE">
        <w:rPr>
          <w:rFonts w:cs="Times New Roman"/>
          <w:lang w:val="sr-Latn-RS"/>
        </w:rPr>
        <w:t>Nijesu</w:t>
      </w:r>
      <w:r w:rsidRPr="00750BAE">
        <w:rPr>
          <w:rFonts w:cs="Times New Roman"/>
          <w:lang w:val="sr-Latn-RS"/>
        </w:rPr>
        <w:t xml:space="preserve"> dostupni podaci o dugoročnoj </w:t>
      </w:r>
      <w:r w:rsidR="00453DDE" w:rsidRPr="00750BAE">
        <w:rPr>
          <w:rFonts w:cs="Times New Roman"/>
          <w:lang w:val="sr-Latn-RS"/>
        </w:rPr>
        <w:t>bezbjednos</w:t>
      </w:r>
      <w:r w:rsidRPr="00750BAE">
        <w:rPr>
          <w:rFonts w:cs="Times New Roman"/>
          <w:lang w:val="sr-Latn-RS"/>
        </w:rPr>
        <w:t xml:space="preserve">ti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 xml:space="preserve">a kod pacijenata sa </w:t>
      </w:r>
      <w:r w:rsidR="00B53AD3" w:rsidRPr="00750BAE">
        <w:rPr>
          <w:rFonts w:cs="Times New Roman"/>
          <w:lang w:val="sr-Latn-RS"/>
        </w:rPr>
        <w:t>umjeren</w:t>
      </w:r>
      <w:r w:rsidRPr="00750BAE">
        <w:rPr>
          <w:rFonts w:cs="Times New Roman"/>
          <w:lang w:val="sr-Latn-RS"/>
        </w:rPr>
        <w:t>im ili teškim oštećenjem funkcije bubrega (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</w:t>
      </w:r>
      <w:r w:rsidR="000E2BE3">
        <w:rPr>
          <w:rFonts w:cs="Times New Roman"/>
          <w:lang w:val="sr-Latn-RS"/>
        </w:rPr>
        <w:t>djelove</w:t>
      </w:r>
      <w:r w:rsidR="000E2BE3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4.2 i 4.4).</w:t>
      </w:r>
    </w:p>
    <w:p w14:paraId="01BD216C" w14:textId="77777777" w:rsidR="00BC3A3A" w:rsidRPr="00750BAE" w:rsidRDefault="00BC3A3A" w:rsidP="00BC3A3A">
      <w:pPr>
        <w:spacing w:before="4"/>
        <w:rPr>
          <w:sz w:val="22"/>
          <w:szCs w:val="22"/>
          <w:lang w:val="sr-Latn-RS"/>
        </w:rPr>
      </w:pPr>
    </w:p>
    <w:p w14:paraId="42929246" w14:textId="77777777" w:rsidR="008735CF" w:rsidRDefault="008735CF" w:rsidP="00BC3A3A">
      <w:pPr>
        <w:ind w:left="115"/>
        <w:rPr>
          <w:i/>
          <w:iCs/>
          <w:sz w:val="22"/>
          <w:szCs w:val="22"/>
          <w:lang w:val="sr-Latn-RS"/>
        </w:rPr>
      </w:pPr>
    </w:p>
    <w:p w14:paraId="4FB7E22F" w14:textId="17C38358" w:rsidR="00BC3A3A" w:rsidRPr="00750BAE" w:rsidRDefault="00BC3A3A" w:rsidP="00BC3A3A">
      <w:pPr>
        <w:ind w:left="115"/>
        <w:rPr>
          <w:sz w:val="22"/>
          <w:szCs w:val="22"/>
          <w:lang w:val="sr-Latn-RS"/>
        </w:rPr>
      </w:pPr>
      <w:r w:rsidRPr="00750BAE">
        <w:rPr>
          <w:i/>
          <w:iCs/>
          <w:sz w:val="22"/>
          <w:szCs w:val="22"/>
          <w:lang w:val="sr-Latn-RS"/>
        </w:rPr>
        <w:t>Oštećenje funkcije jetre</w:t>
      </w:r>
    </w:p>
    <w:p w14:paraId="5C6CF686" w14:textId="77777777" w:rsidR="00BC3A3A" w:rsidRPr="00750BAE" w:rsidRDefault="00BC3A3A" w:rsidP="00BC3A3A">
      <w:pPr>
        <w:spacing w:before="9"/>
        <w:rPr>
          <w:i/>
          <w:sz w:val="22"/>
          <w:szCs w:val="22"/>
          <w:lang w:val="sr-Latn-RS"/>
        </w:rPr>
      </w:pPr>
    </w:p>
    <w:p w14:paraId="5B3A4E2A" w14:textId="399F6E2B" w:rsidR="00BC3A3A" w:rsidRPr="00750BAE" w:rsidRDefault="00BC3A3A" w:rsidP="00BC3A3A">
      <w:pPr>
        <w:rPr>
          <w:b/>
          <w:bCs/>
          <w:sz w:val="22"/>
          <w:szCs w:val="22"/>
        </w:rPr>
      </w:pPr>
      <w:r w:rsidRPr="00750BAE">
        <w:rPr>
          <w:sz w:val="22"/>
          <w:szCs w:val="22"/>
          <w:lang w:val="sr-Latn-RS"/>
        </w:rPr>
        <w:t xml:space="preserve">Budući da se </w:t>
      </w:r>
      <w:r w:rsidR="005A3B91">
        <w:rPr>
          <w:sz w:val="22"/>
          <w:szCs w:val="22"/>
          <w:lang w:val="sr-Latn-RS"/>
        </w:rPr>
        <w:t>diroksimel fumarat</w:t>
      </w:r>
      <w:r w:rsidRPr="00750BAE">
        <w:rPr>
          <w:sz w:val="22"/>
          <w:szCs w:val="22"/>
          <w:lang w:val="sr-Latn-RS"/>
        </w:rPr>
        <w:t xml:space="preserve"> i monometilfumarat metabolišu esterazama, bez učešća sistema CYP450, </w:t>
      </w:r>
      <w:r w:rsidR="00A83B47" w:rsidRPr="00750BAE">
        <w:rPr>
          <w:sz w:val="22"/>
          <w:szCs w:val="22"/>
          <w:lang w:val="sr-Latn-RS"/>
        </w:rPr>
        <w:t>procjen</w:t>
      </w:r>
      <w:r w:rsidRPr="00750BAE">
        <w:rPr>
          <w:sz w:val="22"/>
          <w:szCs w:val="22"/>
          <w:lang w:val="sr-Latn-RS"/>
        </w:rPr>
        <w:t>a farmakokinetike kod osoba sa oštećenjem jetre nije bila sprovedena (</w:t>
      </w:r>
      <w:r w:rsidR="0069098C" w:rsidRPr="00750BAE">
        <w:rPr>
          <w:sz w:val="22"/>
          <w:szCs w:val="22"/>
          <w:lang w:val="sr-Latn-RS"/>
        </w:rPr>
        <w:t>vidjeti</w:t>
      </w:r>
      <w:r w:rsidRPr="00750BAE">
        <w:rPr>
          <w:sz w:val="22"/>
          <w:szCs w:val="22"/>
          <w:lang w:val="sr-Latn-RS"/>
        </w:rPr>
        <w:t xml:space="preserve"> </w:t>
      </w:r>
      <w:r w:rsidR="000E2BE3">
        <w:rPr>
          <w:sz w:val="22"/>
          <w:szCs w:val="22"/>
          <w:lang w:val="sr-Latn-RS"/>
        </w:rPr>
        <w:t>djelove</w:t>
      </w:r>
      <w:r w:rsidR="000E2BE3" w:rsidRPr="00750BAE">
        <w:rPr>
          <w:sz w:val="22"/>
          <w:szCs w:val="22"/>
          <w:lang w:val="sr-Latn-RS"/>
        </w:rPr>
        <w:t xml:space="preserve"> </w:t>
      </w:r>
      <w:r w:rsidRPr="00750BAE">
        <w:rPr>
          <w:sz w:val="22"/>
          <w:szCs w:val="22"/>
          <w:lang w:val="sr-Latn-RS"/>
        </w:rPr>
        <w:t>4.2 i 4.4).</w:t>
      </w:r>
    </w:p>
    <w:p w14:paraId="6DEA37B6" w14:textId="77777777" w:rsidR="00BC3A3A" w:rsidRPr="00750BAE" w:rsidRDefault="00BC3A3A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107585FF" w14:textId="77777777" w:rsidR="0072020E" w:rsidRPr="00750BA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50BAE">
        <w:rPr>
          <w:b/>
          <w:bCs/>
          <w:sz w:val="22"/>
          <w:szCs w:val="22"/>
        </w:rPr>
        <w:t xml:space="preserve">5.3. </w:t>
      </w:r>
      <w:r w:rsidR="00480FB1" w:rsidRPr="00750BAE">
        <w:rPr>
          <w:b/>
          <w:bCs/>
          <w:sz w:val="22"/>
          <w:szCs w:val="22"/>
        </w:rPr>
        <w:tab/>
      </w:r>
      <w:r w:rsidRPr="00750BAE">
        <w:rPr>
          <w:b/>
          <w:bCs/>
          <w:sz w:val="22"/>
          <w:szCs w:val="22"/>
        </w:rPr>
        <w:t xml:space="preserve">Pretklinički podaci o bezbjednosti </w:t>
      </w:r>
    </w:p>
    <w:p w14:paraId="07A252CB" w14:textId="4BC28502" w:rsidR="00836B35" w:rsidRPr="00750BAE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044726F" w14:textId="77777777" w:rsidR="00BC3A3A" w:rsidRPr="00750BAE" w:rsidRDefault="00BC3A3A" w:rsidP="00BC3A3A">
      <w:pPr>
        <w:pStyle w:val="BodyText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>Toksikologija</w:t>
      </w:r>
    </w:p>
    <w:p w14:paraId="0CE70556" w14:textId="77777777" w:rsidR="00BC3A3A" w:rsidRPr="00750BAE" w:rsidRDefault="00BC3A3A" w:rsidP="00BC3A3A">
      <w:pPr>
        <w:rPr>
          <w:sz w:val="22"/>
          <w:szCs w:val="22"/>
          <w:lang w:val="sr-Latn-RS"/>
        </w:rPr>
      </w:pPr>
    </w:p>
    <w:p w14:paraId="15C47535" w14:textId="6CA49944" w:rsidR="00BC3A3A" w:rsidRPr="00750BAE" w:rsidRDefault="00BC3A3A" w:rsidP="00BC3A3A">
      <w:pPr>
        <w:pStyle w:val="BodyText"/>
        <w:spacing w:before="72"/>
        <w:ind w:right="182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Bubrežna toksičnost kod pacova i majmuna uključivala je degeneraciju tubula/nekrozu sa regeneracijom, tubularnu hipertrofiju i/ili intersticijalnu fibrozu, povećanu težinu bubrega i </w:t>
      </w:r>
      <w:r w:rsidR="00A83B47" w:rsidRPr="00750BAE">
        <w:rPr>
          <w:rFonts w:cs="Times New Roman"/>
          <w:lang w:val="sr-Latn-RS"/>
        </w:rPr>
        <w:t>promjen</w:t>
      </w:r>
      <w:r w:rsidRPr="00750BAE">
        <w:rPr>
          <w:rFonts w:cs="Times New Roman"/>
          <w:lang w:val="sr-Latn-RS"/>
        </w:rPr>
        <w:t xml:space="preserve">e </w:t>
      </w:r>
      <w:r w:rsidRPr="00750BAE">
        <w:rPr>
          <w:rFonts w:cs="Times New Roman"/>
          <w:lang w:val="sr-Latn-RS"/>
        </w:rPr>
        <w:lastRenderedPageBreak/>
        <w:t xml:space="preserve">u parametrima kliničke patologije (volumen urina, specifična težina i biomarkeri oštećenja bubrežne funkcije). U ispitivanjima hronične toksičnosti nalazi funkcije bubrega pokazivali su neželjene reakcije pri izloženosti monometil fumaratu koja je bila jednaka AUC-u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>a pri maksimalnoj preporučenoj dozi za ljude.</w:t>
      </w:r>
    </w:p>
    <w:p w14:paraId="2CD1383D" w14:textId="5A88E2A6" w:rsidR="00BC3A3A" w:rsidRPr="00750BAE" w:rsidRDefault="00BC3A3A" w:rsidP="00BC3A3A">
      <w:pPr>
        <w:pStyle w:val="BodyText"/>
        <w:spacing w:before="55" w:line="237" w:lineRule="auto"/>
        <w:ind w:left="116" w:right="101" w:hanging="1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Gastrointestinalna toksičnost kod miševa i pacova obuhvatala je hiperplaziju sluznice i hiperkeratozu u nežlezdanom</w:t>
      </w:r>
      <w:r w:rsidR="00E44A7F" w:rsidRPr="00750BAE">
        <w:rPr>
          <w:rFonts w:cs="Times New Roman"/>
          <w:lang w:val="sr-Latn-RS"/>
        </w:rPr>
        <w:t xml:space="preserve"> dijelu </w:t>
      </w:r>
      <w:r w:rsidRPr="00750BAE">
        <w:rPr>
          <w:rFonts w:cs="Times New Roman"/>
          <w:lang w:val="sr-Latn-RS"/>
        </w:rPr>
        <w:t xml:space="preserve">želuca (predželudac) i duodenumu. Kod majmuna su slabu gastrointestinalnu podnošljivost karakterisale emeza/povraćanje zavisno od doze, iritacija želuca, hemoragija i upala, a takođe i proliv. Do nje je došlo pri izloženosti monometilfumaratu najmanje 2 puta većoj od AUC-a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>a pri maksimalnoj preporučenoj dozi za ljude.</w:t>
      </w:r>
    </w:p>
    <w:p w14:paraId="716748A9" w14:textId="77777777" w:rsidR="00BC3A3A" w:rsidRPr="00750BAE" w:rsidRDefault="00BC3A3A" w:rsidP="00BC3A3A">
      <w:pPr>
        <w:spacing w:before="2"/>
        <w:rPr>
          <w:sz w:val="22"/>
          <w:szCs w:val="22"/>
          <w:lang w:val="sr-Latn-RS"/>
        </w:rPr>
      </w:pPr>
    </w:p>
    <w:p w14:paraId="225B66B2" w14:textId="550C7D30" w:rsidR="00BC3A3A" w:rsidRPr="00750BAE" w:rsidRDefault="00BC3A3A" w:rsidP="00BC3A3A">
      <w:pPr>
        <w:pStyle w:val="BodyText"/>
        <w:spacing w:line="237" w:lineRule="auto"/>
        <w:ind w:left="116" w:right="155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Upala srca i nekroza utvrđeni su kod tri mužjaka pacova u 91-dnevnom ispitivanju toksičnosti pri izloženosti monometilfumaratu koja je bila 4 puta veća od AUC-a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 xml:space="preserve">a pri maksimalnoj preporučenoj dozi za ljude. Takvi nalazi na srcu </w:t>
      </w:r>
      <w:r w:rsidR="00132BCB" w:rsidRPr="00750BAE">
        <w:rPr>
          <w:rFonts w:cs="Times New Roman"/>
          <w:lang w:val="sr-Latn-RS"/>
        </w:rPr>
        <w:t>zabilježen</w:t>
      </w:r>
      <w:r w:rsidRPr="00750BAE">
        <w:rPr>
          <w:rFonts w:cs="Times New Roman"/>
          <w:lang w:val="sr-Latn-RS"/>
        </w:rPr>
        <w:t>i su i u drugim ispitivanjima toksičnosti kod pacova, uključujući ne</w:t>
      </w:r>
      <w:r w:rsidR="004B4C9F" w:rsidRPr="00750BAE">
        <w:rPr>
          <w:rFonts w:cs="Times New Roman"/>
          <w:lang w:val="sr-Latn-RS"/>
        </w:rPr>
        <w:t>liječe</w:t>
      </w:r>
      <w:r w:rsidRPr="00750BAE">
        <w:rPr>
          <w:rFonts w:cs="Times New Roman"/>
          <w:lang w:val="sr-Latn-RS"/>
        </w:rPr>
        <w:t xml:space="preserve">ne kontrole, ali </w:t>
      </w:r>
      <w:r w:rsidR="00A83B47" w:rsidRPr="00750BAE">
        <w:rPr>
          <w:rFonts w:cs="Times New Roman"/>
          <w:lang w:val="sr-Latn-RS"/>
        </w:rPr>
        <w:t>nijesu</w:t>
      </w:r>
      <w:r w:rsidRPr="00750BAE">
        <w:rPr>
          <w:rFonts w:cs="Times New Roman"/>
          <w:lang w:val="sr-Latn-RS"/>
        </w:rPr>
        <w:t xml:space="preserve"> </w:t>
      </w:r>
      <w:r w:rsidR="00132BCB" w:rsidRPr="00750BAE">
        <w:rPr>
          <w:rFonts w:cs="Times New Roman"/>
          <w:lang w:val="sr-Latn-RS"/>
        </w:rPr>
        <w:t>zabilježen</w:t>
      </w:r>
      <w:r w:rsidRPr="00750BAE">
        <w:rPr>
          <w:rFonts w:cs="Times New Roman"/>
          <w:lang w:val="sr-Latn-RS"/>
        </w:rPr>
        <w:t>i kod majmuna. Takve upale srca stoga v</w:t>
      </w:r>
      <w:r w:rsidR="00142AD8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>erovatnije predstavljaju egzacerbaciju uobičajenih osnovnih lezija kod pacova, bez značaja za kliničku prim</w:t>
      </w:r>
      <w:r w:rsidR="00142AD8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>enu.</w:t>
      </w:r>
    </w:p>
    <w:p w14:paraId="277F7256" w14:textId="77777777" w:rsidR="00BC3A3A" w:rsidRPr="00750BAE" w:rsidRDefault="00BC3A3A" w:rsidP="00BC3A3A">
      <w:pPr>
        <w:spacing w:before="9"/>
        <w:rPr>
          <w:sz w:val="22"/>
          <w:szCs w:val="22"/>
          <w:lang w:val="sr-Latn-RS"/>
        </w:rPr>
      </w:pPr>
    </w:p>
    <w:p w14:paraId="5F522582" w14:textId="2D12D9BA" w:rsidR="00BC3A3A" w:rsidRPr="00750BAE" w:rsidRDefault="00BC3A3A" w:rsidP="00BC3A3A">
      <w:pPr>
        <w:pStyle w:val="BodyText"/>
        <w:ind w:left="116" w:right="155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D</w:t>
      </w:r>
      <w:r w:rsidR="00334E22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 xml:space="preserve">elimično reverzibilna fizealna displazija proksimalnog i distalnog femura i proksimalne tibije </w:t>
      </w:r>
      <w:r w:rsidR="00A83B47" w:rsidRPr="00750BAE">
        <w:rPr>
          <w:rFonts w:cs="Times New Roman"/>
          <w:lang w:val="sr-Latn-RS"/>
        </w:rPr>
        <w:t>primijećen</w:t>
      </w:r>
      <w:r w:rsidRPr="00750BAE">
        <w:rPr>
          <w:rFonts w:cs="Times New Roman"/>
          <w:lang w:val="sr-Latn-RS"/>
        </w:rPr>
        <w:t xml:space="preserve">a je kod majmuna u 91-dnevnom ispitivanju toksičnosti pri izloženosti monometilfumaratu koja je bila 15 puta veća od AUC-a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>a pri maksimalnoj preporučenoj dozi za ljude. Koštana toksičnost može biti povezana sa predpubertetskom starošću majmuna, jer je razvoj kostiju bio narušen i kod juvenilnih pacova (</w:t>
      </w:r>
      <w:r w:rsidR="0069098C" w:rsidRPr="00750BAE">
        <w:rPr>
          <w:rFonts w:cs="Times New Roman"/>
          <w:lang w:val="sr-Latn-RS"/>
        </w:rPr>
        <w:t>vidjeti</w:t>
      </w:r>
      <w:r w:rsidRPr="00750BAE">
        <w:rPr>
          <w:rFonts w:cs="Times New Roman"/>
          <w:lang w:val="sr-Latn-RS"/>
        </w:rPr>
        <w:t xml:space="preserve"> u nastavku), ali uticaj nije </w:t>
      </w:r>
      <w:r w:rsidR="00A83B47" w:rsidRPr="00750BAE">
        <w:rPr>
          <w:rFonts w:cs="Times New Roman"/>
          <w:lang w:val="sr-Latn-RS"/>
        </w:rPr>
        <w:t>primijećen</w:t>
      </w:r>
      <w:r w:rsidRPr="00750BAE">
        <w:rPr>
          <w:rFonts w:cs="Times New Roman"/>
          <w:lang w:val="sr-Latn-RS"/>
        </w:rPr>
        <w:t xml:space="preserve"> pri nižim dozama u hroničnom ispitivanju kod majmuna ili kod polno zrelih odraslih pacova. Nalazi na kostima imaju ograničen značaj za odrasle pacijente kod </w:t>
      </w:r>
      <w:r w:rsidR="004A63C1" w:rsidRPr="00750BAE">
        <w:rPr>
          <w:rFonts w:cs="Times New Roman"/>
          <w:lang w:val="sr-Latn-RS"/>
        </w:rPr>
        <w:t>primjene</w:t>
      </w:r>
      <w:r w:rsidRPr="00750BAE">
        <w:rPr>
          <w:rFonts w:cs="Times New Roman"/>
          <w:lang w:val="sr-Latn-RS"/>
        </w:rPr>
        <w:t xml:space="preserve"> terapijske doze.</w:t>
      </w:r>
    </w:p>
    <w:p w14:paraId="6D75C504" w14:textId="77777777" w:rsidR="00BC3A3A" w:rsidRPr="00750BAE" w:rsidRDefault="00BC3A3A" w:rsidP="00BC3A3A">
      <w:pPr>
        <w:spacing w:before="3"/>
        <w:rPr>
          <w:sz w:val="22"/>
          <w:szCs w:val="22"/>
          <w:lang w:val="sr-Latn-RS"/>
        </w:rPr>
      </w:pPr>
    </w:p>
    <w:p w14:paraId="5A140DA8" w14:textId="34CA5895" w:rsidR="00BC3A3A" w:rsidRPr="00750BAE" w:rsidRDefault="00BC3A3A" w:rsidP="00BC3A3A">
      <w:pPr>
        <w:pStyle w:val="BodyText"/>
        <w:spacing w:line="237" w:lineRule="auto"/>
        <w:ind w:left="116" w:right="155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U leglu divljeg tipa miševa </w:t>
      </w:r>
      <w:r w:rsidRPr="00750BAE">
        <w:rPr>
          <w:rFonts w:cs="Times New Roman"/>
          <w:i/>
          <w:iCs/>
          <w:lang w:val="sr-Latn-RS"/>
        </w:rPr>
        <w:t>ras</w:t>
      </w:r>
      <w:r w:rsidRPr="00750BAE">
        <w:rPr>
          <w:rFonts w:cs="Times New Roman"/>
          <w:lang w:val="sr-Latn-RS"/>
        </w:rPr>
        <w:t xml:space="preserve">H2 </w:t>
      </w:r>
      <w:r w:rsidR="00A83B47" w:rsidRPr="00750BAE">
        <w:rPr>
          <w:rFonts w:cs="Times New Roman"/>
          <w:lang w:val="sr-Latn-RS"/>
        </w:rPr>
        <w:t>primijećen</w:t>
      </w:r>
      <w:r w:rsidRPr="00750BAE">
        <w:rPr>
          <w:rFonts w:cs="Times New Roman"/>
          <w:lang w:val="sr-Latn-RS"/>
        </w:rPr>
        <w:t xml:space="preserve">a je toksičnost testisa koja je uključivala minimalnu degeneraciju germinalnog epitela, povećanu incidencu gigantskih spermatida, neznatno smanjenje broja spermatida u tubularnom epitelu i smanjenje težine testisa. Ti nalazi su dobijeni pri izloženosti monometil fumaratu koja je bila 15 puta veća od AUC-a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>a pri maksimalnoj preporučenoj dozi za ljude, što upućuje na ograničen značaj za</w:t>
      </w:r>
      <w:r w:rsidR="003F15CD" w:rsidRPr="00750BAE">
        <w:rPr>
          <w:rFonts w:cs="Times New Roman"/>
          <w:lang w:val="sr-Latn-RS"/>
        </w:rPr>
        <w:t xml:space="preserve"> primjenu </w:t>
      </w:r>
      <w:r w:rsidRPr="00750BAE">
        <w:rPr>
          <w:rFonts w:cs="Times New Roman"/>
          <w:lang w:val="sr-Latn-RS"/>
        </w:rPr>
        <w:t>terapijske doze kod ljudi.</w:t>
      </w:r>
    </w:p>
    <w:p w14:paraId="4E5CD2C0" w14:textId="77777777" w:rsidR="00BC3A3A" w:rsidRPr="00750BAE" w:rsidRDefault="00BC3A3A" w:rsidP="00BC3A3A">
      <w:pPr>
        <w:spacing w:before="10"/>
        <w:rPr>
          <w:sz w:val="22"/>
          <w:szCs w:val="22"/>
          <w:lang w:val="sr-Latn-RS"/>
        </w:rPr>
      </w:pPr>
    </w:p>
    <w:p w14:paraId="5A0DFF18" w14:textId="77777777" w:rsidR="00BC3A3A" w:rsidRPr="00750BAE" w:rsidRDefault="00BC3A3A" w:rsidP="00BC3A3A">
      <w:pPr>
        <w:pStyle w:val="BodyText"/>
        <w:ind w:left="116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>Genotoksičnost</w:t>
      </w:r>
    </w:p>
    <w:p w14:paraId="66001269" w14:textId="77777777" w:rsidR="00BC3A3A" w:rsidRPr="00750BAE" w:rsidRDefault="00BC3A3A" w:rsidP="00BC3A3A">
      <w:pPr>
        <w:spacing w:before="1"/>
        <w:rPr>
          <w:sz w:val="22"/>
          <w:szCs w:val="22"/>
          <w:lang w:val="sr-Latn-RS"/>
        </w:rPr>
      </w:pPr>
    </w:p>
    <w:p w14:paraId="2BCF260E" w14:textId="2C7038EC" w:rsidR="00BC3A3A" w:rsidRPr="00750BAE" w:rsidRDefault="00BC3A3A" w:rsidP="00BC3A3A">
      <w:pPr>
        <w:pStyle w:val="BodyText"/>
        <w:spacing w:before="77" w:line="250" w:lineRule="exact"/>
        <w:ind w:right="254"/>
        <w:jc w:val="both"/>
        <w:rPr>
          <w:rFonts w:cs="Times New Roman"/>
          <w:lang w:val="sr-Latn-RS"/>
        </w:rPr>
      </w:pPr>
      <w:r w:rsidRPr="00750BAE">
        <w:rPr>
          <w:rFonts w:cs="Times New Roman"/>
          <w:i/>
          <w:iCs/>
          <w:lang w:val="sr-Latn-RS"/>
        </w:rPr>
        <w:t xml:space="preserve">In vitro </w:t>
      </w:r>
      <w:r w:rsidRPr="00750BAE">
        <w:rPr>
          <w:rFonts w:cs="Times New Roman"/>
          <w:lang w:val="sr-Latn-RS"/>
        </w:rPr>
        <w:t xml:space="preserve">i </w:t>
      </w:r>
      <w:r w:rsidRPr="00750BAE">
        <w:rPr>
          <w:rFonts w:cs="Times New Roman"/>
          <w:i/>
          <w:iCs/>
          <w:lang w:val="sr-Latn-RS"/>
        </w:rPr>
        <w:t xml:space="preserve">in vivo </w:t>
      </w:r>
      <w:r w:rsidRPr="00750BAE">
        <w:rPr>
          <w:rFonts w:cs="Times New Roman"/>
          <w:lang w:val="sr-Latn-RS"/>
        </w:rPr>
        <w:t xml:space="preserve">ispitivanja sa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 xml:space="preserve">om </w:t>
      </w:r>
      <w:r w:rsidR="00A83B47" w:rsidRPr="00750BAE">
        <w:rPr>
          <w:rFonts w:cs="Times New Roman"/>
          <w:lang w:val="sr-Latn-RS"/>
        </w:rPr>
        <w:t>nijesu</w:t>
      </w:r>
      <w:r w:rsidRPr="00750BAE">
        <w:rPr>
          <w:rFonts w:cs="Times New Roman"/>
          <w:lang w:val="sr-Latn-RS"/>
        </w:rPr>
        <w:t xml:space="preserve"> pružila dokaz o klinički značajnom genotoksičnom potencijalu.</w:t>
      </w:r>
    </w:p>
    <w:p w14:paraId="44F3ADBE" w14:textId="77777777" w:rsidR="00BC3A3A" w:rsidRPr="00750BAE" w:rsidRDefault="00BC3A3A" w:rsidP="00BC3A3A">
      <w:pPr>
        <w:rPr>
          <w:sz w:val="22"/>
          <w:szCs w:val="22"/>
          <w:lang w:val="sr-Latn-RS"/>
        </w:rPr>
      </w:pPr>
    </w:p>
    <w:p w14:paraId="535D36E0" w14:textId="77777777" w:rsidR="00BC3A3A" w:rsidRPr="00750BAE" w:rsidRDefault="00BC3A3A" w:rsidP="00BC3A3A">
      <w:pPr>
        <w:pStyle w:val="BodyText"/>
        <w:ind w:right="141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>Kancerogeneza</w:t>
      </w:r>
    </w:p>
    <w:p w14:paraId="3A0F1BF2" w14:textId="77777777" w:rsidR="00BC3A3A" w:rsidRPr="00750BAE" w:rsidRDefault="00BC3A3A" w:rsidP="00BC3A3A">
      <w:pPr>
        <w:spacing w:before="6"/>
        <w:rPr>
          <w:sz w:val="22"/>
          <w:szCs w:val="22"/>
          <w:lang w:val="sr-Latn-RS"/>
        </w:rPr>
      </w:pPr>
    </w:p>
    <w:p w14:paraId="70AFF451" w14:textId="3AF5AA65" w:rsidR="00BC3A3A" w:rsidRPr="00750BAE" w:rsidRDefault="005A3B91" w:rsidP="00BC3A3A">
      <w:pPr>
        <w:pStyle w:val="BodyText"/>
        <w:spacing w:before="72"/>
        <w:ind w:right="174"/>
        <w:jc w:val="both"/>
        <w:rPr>
          <w:rFonts w:cs="Times New Roman"/>
          <w:lang w:val="sr-Latn-RS"/>
        </w:rPr>
      </w:pPr>
      <w:r>
        <w:rPr>
          <w:rFonts w:cs="Times New Roman"/>
          <w:lang w:val="sr-Latn-RS"/>
        </w:rPr>
        <w:t>Diroksimel fumarat</w:t>
      </w:r>
      <w:r w:rsidR="00BC3A3A" w:rsidRPr="00750BAE">
        <w:rPr>
          <w:rFonts w:cs="Times New Roman"/>
          <w:lang w:val="sr-Latn-RS"/>
        </w:rPr>
        <w:t xml:space="preserve"> je testiran u transgeničnom testu kod transgeničnih </w:t>
      </w:r>
      <w:r w:rsidR="00BC3A3A" w:rsidRPr="00750BAE">
        <w:rPr>
          <w:rFonts w:cs="Times New Roman"/>
          <w:i/>
          <w:iCs/>
          <w:lang w:val="sr-Latn-RS"/>
        </w:rPr>
        <w:t>ras</w:t>
      </w:r>
      <w:r w:rsidR="00BC3A3A" w:rsidRPr="00750BAE">
        <w:rPr>
          <w:rFonts w:cs="Times New Roman"/>
          <w:lang w:val="sr-Latn-RS"/>
        </w:rPr>
        <w:t xml:space="preserve">H2 miševa i 2-godišnjem testu kod pacova. </w:t>
      </w:r>
      <w:r>
        <w:rPr>
          <w:rFonts w:cs="Times New Roman"/>
          <w:lang w:val="sr-Latn-RS"/>
        </w:rPr>
        <w:t>Diroksimel fumarat</w:t>
      </w:r>
      <w:r w:rsidR="00BC3A3A" w:rsidRPr="00750BAE">
        <w:rPr>
          <w:rFonts w:cs="Times New Roman"/>
          <w:lang w:val="sr-Latn-RS"/>
        </w:rPr>
        <w:t xml:space="preserve"> nije bio kancerogen kod transgeničnih miševa i ženki pacova, ali je povećao incidencu adenoma Lajdigovih ćelija testisa pri dozi od 150 mg/kg na dan kod mužjaka pacova (izloženost monometil fumaratu bila je približno 2 puta viša od AUC-a pri MRHD). Nije poznat značaj ovih nalaza za rizik kod ljudi.</w:t>
      </w:r>
    </w:p>
    <w:p w14:paraId="293CCCBA" w14:textId="77777777" w:rsidR="00BC3A3A" w:rsidRPr="00750BAE" w:rsidRDefault="00BC3A3A" w:rsidP="00BC3A3A">
      <w:pPr>
        <w:spacing w:before="9"/>
        <w:rPr>
          <w:sz w:val="22"/>
          <w:szCs w:val="22"/>
          <w:lang w:val="sr-Latn-RS"/>
        </w:rPr>
      </w:pPr>
    </w:p>
    <w:p w14:paraId="4C07FDAE" w14:textId="77777777" w:rsidR="008735CF" w:rsidRDefault="008735CF" w:rsidP="00BC3A3A">
      <w:pPr>
        <w:pStyle w:val="BodyText"/>
        <w:jc w:val="both"/>
        <w:rPr>
          <w:rFonts w:cs="Times New Roman"/>
          <w:u w:val="single"/>
          <w:lang w:val="sr-Latn-RS"/>
        </w:rPr>
      </w:pPr>
    </w:p>
    <w:p w14:paraId="1C86B472" w14:textId="42E45119" w:rsidR="00BC3A3A" w:rsidRPr="00750BAE" w:rsidRDefault="00BC3A3A" w:rsidP="00BC3A3A">
      <w:pPr>
        <w:pStyle w:val="BodyText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>Reproduktivna i razvojna toksičnost</w:t>
      </w:r>
    </w:p>
    <w:p w14:paraId="76C527B7" w14:textId="77777777" w:rsidR="00BC3A3A" w:rsidRPr="00750BAE" w:rsidRDefault="00BC3A3A" w:rsidP="00BC3A3A">
      <w:pPr>
        <w:spacing w:before="7"/>
        <w:rPr>
          <w:sz w:val="22"/>
          <w:szCs w:val="22"/>
          <w:lang w:val="sr-Latn-RS"/>
        </w:rPr>
      </w:pPr>
    </w:p>
    <w:p w14:paraId="0491A16D" w14:textId="4B15C9D2" w:rsidR="00BC3A3A" w:rsidRPr="00750BAE" w:rsidRDefault="005A3B91" w:rsidP="00BC3A3A">
      <w:pPr>
        <w:pStyle w:val="BodyText"/>
        <w:spacing w:before="72"/>
        <w:ind w:right="254"/>
        <w:jc w:val="both"/>
        <w:rPr>
          <w:rFonts w:cs="Times New Roman"/>
          <w:lang w:val="sr-Latn-RS"/>
        </w:rPr>
      </w:pPr>
      <w:r>
        <w:rPr>
          <w:rFonts w:cs="Times New Roman"/>
          <w:lang w:val="sr-Latn-RS"/>
        </w:rPr>
        <w:t>Diroksimel fumarat</w:t>
      </w:r>
      <w:r w:rsidR="00BC3A3A" w:rsidRPr="00750BAE">
        <w:rPr>
          <w:rFonts w:cs="Times New Roman"/>
          <w:lang w:val="sr-Latn-RS"/>
        </w:rPr>
        <w:t xml:space="preserve"> nije oštetio plodnost kod mužjaka i ženki pacova pri izloženosti monometilfumaratu koja je bila približno 7 puta veća od AUC-a </w:t>
      </w:r>
      <w:r>
        <w:rPr>
          <w:rFonts w:cs="Times New Roman"/>
          <w:lang w:val="sr-Latn-RS"/>
        </w:rPr>
        <w:t>diroksimel fumarat</w:t>
      </w:r>
      <w:r w:rsidR="00BC3A3A" w:rsidRPr="00750BAE">
        <w:rPr>
          <w:rFonts w:cs="Times New Roman"/>
          <w:lang w:val="sr-Latn-RS"/>
        </w:rPr>
        <w:t>a pri maksimalnoj preporučenoj dozi za ljude.</w:t>
      </w:r>
    </w:p>
    <w:p w14:paraId="61EA9582" w14:textId="77777777" w:rsidR="00BC3A3A" w:rsidRPr="00750BAE" w:rsidRDefault="00BC3A3A" w:rsidP="00BC3A3A">
      <w:pPr>
        <w:spacing w:before="3"/>
        <w:rPr>
          <w:sz w:val="22"/>
          <w:szCs w:val="22"/>
          <w:lang w:val="sr-Latn-RS"/>
        </w:rPr>
      </w:pPr>
    </w:p>
    <w:p w14:paraId="7F767DEE" w14:textId="3452456F" w:rsidR="00BC3A3A" w:rsidRPr="00750BAE" w:rsidRDefault="00BC3A3A" w:rsidP="00BC3A3A">
      <w:pPr>
        <w:pStyle w:val="BodyText"/>
        <w:spacing w:line="237" w:lineRule="auto"/>
        <w:ind w:right="157" w:hanging="1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Kod peroralne </w:t>
      </w:r>
      <w:r w:rsidR="004A63C1" w:rsidRPr="00750BAE">
        <w:rPr>
          <w:rFonts w:cs="Times New Roman"/>
          <w:lang w:val="sr-Latn-RS"/>
        </w:rPr>
        <w:t>primjene</w:t>
      </w:r>
      <w:r w:rsidRPr="00750BAE">
        <w:rPr>
          <w:rFonts w:cs="Times New Roman"/>
          <w:lang w:val="sr-Latn-RS"/>
        </w:rPr>
        <w:t xml:space="preserve">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 xml:space="preserve">a kod pacova u periodu organogeneze pri dozama od 40, 100 i 400 mg/kg na dan </w:t>
      </w:r>
      <w:r w:rsidR="00A83B47" w:rsidRPr="00750BAE">
        <w:rPr>
          <w:rFonts w:cs="Times New Roman"/>
          <w:lang w:val="sr-Latn-RS"/>
        </w:rPr>
        <w:t>primijećen</w:t>
      </w:r>
      <w:r w:rsidRPr="00750BAE">
        <w:rPr>
          <w:rFonts w:cs="Times New Roman"/>
          <w:lang w:val="sr-Latn-RS"/>
        </w:rPr>
        <w:t>e su smanjena t</w:t>
      </w:r>
      <w:r w:rsidR="002057AF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 xml:space="preserve">elesna </w:t>
      </w:r>
      <w:r w:rsidR="000E2BE3">
        <w:rPr>
          <w:rFonts w:cs="Times New Roman"/>
          <w:lang w:val="sr-Latn-RS"/>
        </w:rPr>
        <w:t>masa</w:t>
      </w:r>
      <w:r w:rsidR="000E2BE3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fetusa i varijacije fetalne osifikacije skeleta pri maternalno toksičnim dozama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 xml:space="preserve">a od 400 mg/kg na dan. Nivo izloženosti pri kojoj </w:t>
      </w:r>
      <w:r w:rsidR="00A83B47" w:rsidRPr="00750BAE">
        <w:rPr>
          <w:rFonts w:cs="Times New Roman"/>
          <w:lang w:val="sr-Latn-RS"/>
        </w:rPr>
        <w:t>nijesu</w:t>
      </w:r>
      <w:r w:rsidRPr="00750BAE">
        <w:rPr>
          <w:rFonts w:cs="Times New Roman"/>
          <w:lang w:val="sr-Latn-RS"/>
        </w:rPr>
        <w:t xml:space="preserve"> </w:t>
      </w:r>
      <w:r w:rsidR="00A83B47" w:rsidRPr="00750BAE">
        <w:rPr>
          <w:rFonts w:cs="Times New Roman"/>
          <w:lang w:val="sr-Latn-RS"/>
        </w:rPr>
        <w:t>primijećen</w:t>
      </w:r>
      <w:r w:rsidRPr="00750BAE">
        <w:rPr>
          <w:rFonts w:cs="Times New Roman"/>
          <w:lang w:val="sr-Latn-RS"/>
        </w:rPr>
        <w:t xml:space="preserve">i štetni uticaji (NOAEL) bio je približno 2 puta veći od AUC-a monometilfumarata pri maksimalnoj preporučenoj dozi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>a kod ljudi.</w:t>
      </w:r>
    </w:p>
    <w:p w14:paraId="7FCA0E44" w14:textId="77777777" w:rsidR="00BC3A3A" w:rsidRPr="00750BAE" w:rsidRDefault="00BC3A3A" w:rsidP="00BC3A3A">
      <w:pPr>
        <w:spacing w:before="2"/>
        <w:rPr>
          <w:sz w:val="22"/>
          <w:szCs w:val="22"/>
          <w:lang w:val="sr-Latn-RS"/>
        </w:rPr>
      </w:pPr>
    </w:p>
    <w:p w14:paraId="05923BD2" w14:textId="09165560" w:rsidR="00BC3A3A" w:rsidRPr="00750BAE" w:rsidRDefault="00BC3A3A" w:rsidP="00BC3A3A">
      <w:pPr>
        <w:pStyle w:val="BodyText"/>
        <w:ind w:right="254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Kod peroralne </w:t>
      </w:r>
      <w:r w:rsidR="004A63C1" w:rsidRPr="00750BAE">
        <w:rPr>
          <w:rFonts w:cs="Times New Roman"/>
          <w:lang w:val="sr-Latn-RS"/>
        </w:rPr>
        <w:t>primjene</w:t>
      </w:r>
      <w:r w:rsidRPr="00750BAE">
        <w:rPr>
          <w:rFonts w:cs="Times New Roman"/>
          <w:lang w:val="sr-Latn-RS"/>
        </w:rPr>
        <w:t xml:space="preserve">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 xml:space="preserve">a kod zečeva tokom čitave organogeneze pri dozama od 50, 150 i 350 mg/kg na dan </w:t>
      </w:r>
      <w:r w:rsidR="00A83B47" w:rsidRPr="00750BAE">
        <w:rPr>
          <w:rFonts w:cs="Times New Roman"/>
          <w:lang w:val="sr-Latn-RS"/>
        </w:rPr>
        <w:t>primijećen</w:t>
      </w:r>
      <w:r w:rsidRPr="00750BAE">
        <w:rPr>
          <w:rFonts w:cs="Times New Roman"/>
          <w:lang w:val="sr-Latn-RS"/>
        </w:rPr>
        <w:t xml:space="preserve"> je porast malformacija skeleta (anomalija trupa pršljena, teški poremećaj položaja grudne kosti i anomalija pršljena udružena s anomalijom rebra) pri dozama ≥ 150 mg/kg na dan. Pri dozi od 350 mg/kg na dan, došlo je takođe do porasta varijacija skeleta, abortusa, većih postimplantacionih gubitaka i smanjenja održivosti fetusa, moguće povezanih sa maternalnom toksičnošću. Nivo izloženosti pri kojoj </w:t>
      </w:r>
      <w:r w:rsidR="00A83B47" w:rsidRPr="00750BAE">
        <w:rPr>
          <w:rFonts w:cs="Times New Roman"/>
          <w:lang w:val="sr-Latn-RS"/>
        </w:rPr>
        <w:t>nijesu</w:t>
      </w:r>
      <w:r w:rsidRPr="00750BAE">
        <w:rPr>
          <w:rFonts w:cs="Times New Roman"/>
          <w:lang w:val="sr-Latn-RS"/>
        </w:rPr>
        <w:t xml:space="preserve"> </w:t>
      </w:r>
      <w:r w:rsidR="00A83B47" w:rsidRPr="00750BAE">
        <w:rPr>
          <w:rFonts w:cs="Times New Roman"/>
          <w:lang w:val="sr-Latn-RS"/>
        </w:rPr>
        <w:t>primijećen</w:t>
      </w:r>
      <w:r w:rsidRPr="00750BAE">
        <w:rPr>
          <w:rFonts w:cs="Times New Roman"/>
          <w:lang w:val="sr-Latn-RS"/>
        </w:rPr>
        <w:t xml:space="preserve">i štetni uticaji (NOAEL) bio je približno 2 puta veći od AUC-a monometilfumarata pri maksimalnoj preporučenoj dozi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>a kod ljudi. Značaj skeletnih malformacija za ljude za sada nije poznat.</w:t>
      </w:r>
    </w:p>
    <w:p w14:paraId="560D972B" w14:textId="22A514F5" w:rsidR="00BC3A3A" w:rsidRPr="00750BAE" w:rsidRDefault="00BC3A3A" w:rsidP="00BC3A3A">
      <w:pPr>
        <w:pStyle w:val="BodyText"/>
        <w:spacing w:before="56" w:line="237" w:lineRule="auto"/>
        <w:ind w:right="170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U ispitivanju prenatalnog i postnatalnog razvoja kod skotnih ženki pacova kod kojih je prim</w:t>
      </w:r>
      <w:r w:rsidR="002057AF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 xml:space="preserve">enjivan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 xml:space="preserve"> u oralnim dozama od 40, 100 ili 400 mg/kg na dan tokom gestacije, u </w:t>
      </w:r>
      <w:r w:rsidR="00DD7D46" w:rsidRPr="00750BAE">
        <w:rPr>
          <w:rFonts w:cs="Times New Roman"/>
          <w:lang w:val="sr-Latn-RS"/>
        </w:rPr>
        <w:t>vrijeme</w:t>
      </w:r>
      <w:r w:rsidRPr="00750BAE">
        <w:rPr>
          <w:rFonts w:cs="Times New Roman"/>
          <w:lang w:val="sr-Latn-RS"/>
        </w:rPr>
        <w:t xml:space="preserve"> okota i u periodu laktacije </w:t>
      </w:r>
      <w:r w:rsidR="00A83B47" w:rsidRPr="00750BAE">
        <w:rPr>
          <w:rFonts w:cs="Times New Roman"/>
          <w:lang w:val="sr-Latn-RS"/>
        </w:rPr>
        <w:t>primijećen</w:t>
      </w:r>
      <w:r w:rsidRPr="00750BAE">
        <w:rPr>
          <w:rFonts w:cs="Times New Roman"/>
          <w:lang w:val="sr-Latn-RS"/>
        </w:rPr>
        <w:t>e su smanjena t</w:t>
      </w:r>
      <w:r w:rsidR="002057AF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 xml:space="preserve">elesna </w:t>
      </w:r>
      <w:r w:rsidR="008735CF">
        <w:rPr>
          <w:rFonts w:cs="Times New Roman"/>
          <w:lang w:val="sr-Latn-RS"/>
        </w:rPr>
        <w:t>masa</w:t>
      </w:r>
      <w:r w:rsidRPr="00750BAE">
        <w:rPr>
          <w:rFonts w:cs="Times New Roman"/>
          <w:lang w:val="sr-Latn-RS"/>
        </w:rPr>
        <w:t xml:space="preserve">/dobijanje na </w:t>
      </w:r>
      <w:r w:rsidR="008735CF">
        <w:rPr>
          <w:rFonts w:cs="Times New Roman"/>
          <w:lang w:val="sr-Latn-RS"/>
        </w:rPr>
        <w:t>masi</w:t>
      </w:r>
      <w:r w:rsidRPr="00750BAE">
        <w:rPr>
          <w:rFonts w:cs="Times New Roman"/>
          <w:lang w:val="sr-Latn-RS"/>
        </w:rPr>
        <w:t xml:space="preserve"> i konzumacija hrane kod majki povezane s manjom </w:t>
      </w:r>
      <w:r w:rsidR="008735CF">
        <w:rPr>
          <w:rFonts w:cs="Times New Roman"/>
          <w:lang w:val="sr-Latn-RS"/>
        </w:rPr>
        <w:t>masom</w:t>
      </w:r>
      <w:r w:rsidR="008735CF" w:rsidRPr="00750BAE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mladunčadi na okotu i t</w:t>
      </w:r>
      <w:r w:rsidR="002057AF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 xml:space="preserve">elesnom </w:t>
      </w:r>
      <w:r w:rsidR="008735CF">
        <w:rPr>
          <w:rFonts w:cs="Times New Roman"/>
          <w:lang w:val="sr-Latn-RS"/>
        </w:rPr>
        <w:t>masom</w:t>
      </w:r>
      <w:r w:rsidRPr="00750BAE">
        <w:rPr>
          <w:rFonts w:cs="Times New Roman"/>
          <w:lang w:val="sr-Latn-RS"/>
        </w:rPr>
        <w:t xml:space="preserve">/dobijanjem na </w:t>
      </w:r>
      <w:r w:rsidR="008735CF">
        <w:rPr>
          <w:rFonts w:cs="Times New Roman"/>
          <w:lang w:val="sr-Latn-RS"/>
        </w:rPr>
        <w:t>masi</w:t>
      </w:r>
      <w:r w:rsidRPr="00750BAE">
        <w:rPr>
          <w:rFonts w:cs="Times New Roman"/>
          <w:lang w:val="sr-Latn-RS"/>
        </w:rPr>
        <w:t xml:space="preserve">. Nivo izloženosti pri kojem </w:t>
      </w:r>
      <w:r w:rsidR="00A83B47" w:rsidRPr="00750BAE">
        <w:rPr>
          <w:rFonts w:cs="Times New Roman"/>
          <w:lang w:val="sr-Latn-RS"/>
        </w:rPr>
        <w:t>nijesu</w:t>
      </w:r>
      <w:r w:rsidRPr="00750BAE">
        <w:rPr>
          <w:rFonts w:cs="Times New Roman"/>
          <w:lang w:val="sr-Latn-RS"/>
        </w:rPr>
        <w:t xml:space="preserve"> </w:t>
      </w:r>
      <w:r w:rsidR="00A83B47" w:rsidRPr="00750BAE">
        <w:rPr>
          <w:rFonts w:cs="Times New Roman"/>
          <w:lang w:val="sr-Latn-RS"/>
        </w:rPr>
        <w:t>primijećen</w:t>
      </w:r>
      <w:r w:rsidRPr="00750BAE">
        <w:rPr>
          <w:rFonts w:cs="Times New Roman"/>
          <w:lang w:val="sr-Latn-RS"/>
        </w:rPr>
        <w:t xml:space="preserve">i štetni uticaji (NOAEL) bio je približno 3 puta veći od AUC-a monometil fumarata pri maksimalnoj preporučenoj dozi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>a kod ljudi.</w:t>
      </w:r>
    </w:p>
    <w:p w14:paraId="626D2915" w14:textId="77777777" w:rsidR="00BC3A3A" w:rsidRPr="00750BAE" w:rsidRDefault="00BC3A3A" w:rsidP="00BC3A3A">
      <w:pPr>
        <w:spacing w:before="3"/>
        <w:rPr>
          <w:sz w:val="22"/>
          <w:szCs w:val="22"/>
          <w:lang w:val="sr-Latn-RS"/>
        </w:rPr>
      </w:pPr>
    </w:p>
    <w:p w14:paraId="10CDEA04" w14:textId="77777777" w:rsidR="00BC3A3A" w:rsidRPr="00750BAE" w:rsidRDefault="00BC3A3A" w:rsidP="00BC3A3A">
      <w:pPr>
        <w:pStyle w:val="BodyText"/>
        <w:ind w:left="116"/>
        <w:jc w:val="both"/>
        <w:rPr>
          <w:rFonts w:cs="Times New Roman"/>
          <w:lang w:val="sr-Latn-RS"/>
        </w:rPr>
      </w:pPr>
      <w:r w:rsidRPr="00750BAE">
        <w:rPr>
          <w:rFonts w:cs="Times New Roman"/>
          <w:u w:val="single"/>
          <w:lang w:val="sr-Latn-RS"/>
        </w:rPr>
        <w:t>Toksičnost kod mladih životinja</w:t>
      </w:r>
    </w:p>
    <w:p w14:paraId="469757B2" w14:textId="77777777" w:rsidR="00BC3A3A" w:rsidRPr="00750BAE" w:rsidRDefault="00BC3A3A" w:rsidP="00BC3A3A">
      <w:pPr>
        <w:spacing w:before="7"/>
        <w:rPr>
          <w:sz w:val="22"/>
          <w:szCs w:val="22"/>
          <w:lang w:val="sr-Latn-RS"/>
        </w:rPr>
      </w:pPr>
    </w:p>
    <w:p w14:paraId="370C2301" w14:textId="3221C303" w:rsidR="00BC3A3A" w:rsidRPr="00750BAE" w:rsidRDefault="00BC3A3A" w:rsidP="008735CF">
      <w:pPr>
        <w:pStyle w:val="BodyText"/>
        <w:spacing w:before="72"/>
        <w:ind w:right="242"/>
        <w:jc w:val="both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U ispitivanju toksičnosti na mladim pacovima,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 xml:space="preserve"> je prim</w:t>
      </w:r>
      <w:r w:rsidR="002057AF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 xml:space="preserve">enjivan peroralno od 25. do 63. postnatalnog dana, što kod ljudi približno odgovara starosti od 2. do 3. godine pa do puberteta. Osim toksičnih uticaja na ciljne organe u bubrezima i nežlezdanom želucu, </w:t>
      </w:r>
      <w:r w:rsidR="00A83B47" w:rsidRPr="00750BAE">
        <w:rPr>
          <w:rFonts w:cs="Times New Roman"/>
          <w:lang w:val="sr-Latn-RS"/>
        </w:rPr>
        <w:t>primijećen</w:t>
      </w:r>
      <w:r w:rsidRPr="00750BAE">
        <w:rPr>
          <w:rFonts w:cs="Times New Roman"/>
          <w:lang w:val="sr-Latn-RS"/>
        </w:rPr>
        <w:t xml:space="preserve">i su štetni uticaji na kosti, uključujući smanjenu veličinu, masu i gustinu femura i </w:t>
      </w:r>
      <w:r w:rsidR="00A83B47" w:rsidRPr="00750BAE">
        <w:rPr>
          <w:rFonts w:cs="Times New Roman"/>
          <w:lang w:val="sr-Latn-RS"/>
        </w:rPr>
        <w:t>promjen</w:t>
      </w:r>
      <w:r w:rsidRPr="00750BAE">
        <w:rPr>
          <w:rFonts w:cs="Times New Roman"/>
          <w:lang w:val="sr-Latn-RS"/>
        </w:rPr>
        <w:t>e geometrije kosti. Moguće je da su uticaji na kosti povezani sa smanjenom t</w:t>
      </w:r>
      <w:r w:rsidR="002057AF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 xml:space="preserve">elesnom </w:t>
      </w:r>
      <w:r w:rsidR="008735CF">
        <w:rPr>
          <w:rFonts w:cs="Times New Roman"/>
          <w:lang w:val="sr-Latn-RS"/>
        </w:rPr>
        <w:t>masom</w:t>
      </w:r>
      <w:r w:rsidRPr="00750BAE">
        <w:rPr>
          <w:rFonts w:cs="Times New Roman"/>
          <w:lang w:val="sr-Latn-RS"/>
        </w:rPr>
        <w:t xml:space="preserve">, ali ne može se isključiti ni direktan uticaj. Nivo izloženosti pri kojem </w:t>
      </w:r>
      <w:r w:rsidR="00A83B47" w:rsidRPr="00750BAE">
        <w:rPr>
          <w:rFonts w:cs="Times New Roman"/>
          <w:lang w:val="sr-Latn-RS"/>
        </w:rPr>
        <w:t>nijesu</w:t>
      </w:r>
      <w:r w:rsidRPr="00750BAE">
        <w:rPr>
          <w:rFonts w:cs="Times New Roman"/>
          <w:lang w:val="sr-Latn-RS"/>
        </w:rPr>
        <w:t xml:space="preserve"> </w:t>
      </w:r>
      <w:r w:rsidR="00A83B47" w:rsidRPr="00750BAE">
        <w:rPr>
          <w:rFonts w:cs="Times New Roman"/>
          <w:lang w:val="sr-Latn-RS"/>
        </w:rPr>
        <w:t>primijećen</w:t>
      </w:r>
      <w:r w:rsidRPr="00750BAE">
        <w:rPr>
          <w:rFonts w:cs="Times New Roman"/>
          <w:lang w:val="sr-Latn-RS"/>
        </w:rPr>
        <w:t xml:space="preserve">i štetni uticaji (NOAEL) bio je približno 1,4 puta veći od AUC-a monometil fumarata pri maksimalnoj preporučenoj dozi </w:t>
      </w:r>
      <w:r w:rsidR="005A3B91">
        <w:rPr>
          <w:rFonts w:cs="Times New Roman"/>
          <w:lang w:val="sr-Latn-RS"/>
        </w:rPr>
        <w:t>diroksimel fumarat</w:t>
      </w:r>
      <w:r w:rsidRPr="00750BAE">
        <w:rPr>
          <w:rFonts w:cs="Times New Roman"/>
          <w:lang w:val="sr-Latn-RS"/>
        </w:rPr>
        <w:t>a za odrasle pacijente.</w:t>
      </w:r>
    </w:p>
    <w:p w14:paraId="13323305" w14:textId="77777777" w:rsidR="008735CF" w:rsidRDefault="008735CF" w:rsidP="004263FD">
      <w:p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 </w:t>
      </w:r>
      <w:r w:rsidR="00BC3A3A" w:rsidRPr="00750BAE">
        <w:rPr>
          <w:sz w:val="22"/>
          <w:szCs w:val="22"/>
          <w:lang w:val="sr-Latn-RS"/>
        </w:rPr>
        <w:t xml:space="preserve"> Nalazi na kostima imaju ograničen značaj za odrasle pacijente. Značaj za pedijatrijske pacijente </w:t>
      </w:r>
    </w:p>
    <w:p w14:paraId="67A7A0F2" w14:textId="311E2D30" w:rsidR="00BC3A3A" w:rsidRPr="004263FD" w:rsidRDefault="008735CF" w:rsidP="004263FD">
      <w:p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  </w:t>
      </w:r>
      <w:r w:rsidR="00BC3A3A" w:rsidRPr="00750BAE">
        <w:rPr>
          <w:sz w:val="22"/>
          <w:szCs w:val="22"/>
          <w:lang w:val="sr-Latn-RS"/>
        </w:rPr>
        <w:t>nije poznat.</w:t>
      </w:r>
    </w:p>
    <w:p w14:paraId="00756EF4" w14:textId="77777777" w:rsidR="00BC3A3A" w:rsidRPr="00750BAE" w:rsidRDefault="00BC3A3A" w:rsidP="004263F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94EF056" w14:textId="77777777" w:rsidR="00396DFD" w:rsidRPr="00750BAE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64671517" w14:textId="77777777" w:rsidR="0072020E" w:rsidRPr="00750BA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50BAE">
        <w:rPr>
          <w:b/>
          <w:bCs/>
          <w:sz w:val="22"/>
          <w:szCs w:val="22"/>
        </w:rPr>
        <w:t xml:space="preserve">6. </w:t>
      </w:r>
      <w:r w:rsidR="00480FB1" w:rsidRPr="00750BAE">
        <w:rPr>
          <w:b/>
          <w:bCs/>
          <w:sz w:val="22"/>
          <w:szCs w:val="22"/>
        </w:rPr>
        <w:tab/>
      </w:r>
      <w:r w:rsidRPr="00750BAE">
        <w:rPr>
          <w:b/>
          <w:bCs/>
          <w:sz w:val="22"/>
          <w:szCs w:val="22"/>
        </w:rPr>
        <w:t>FARMACEUTSKI PODACI</w:t>
      </w:r>
    </w:p>
    <w:p w14:paraId="61A10B50" w14:textId="77777777" w:rsidR="00836B35" w:rsidRPr="00750BAE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A3BF4D8" w14:textId="77777777" w:rsidR="0072020E" w:rsidRPr="00750BA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50BAE">
        <w:rPr>
          <w:b/>
          <w:bCs/>
          <w:sz w:val="22"/>
          <w:szCs w:val="22"/>
        </w:rPr>
        <w:t xml:space="preserve">6.1. </w:t>
      </w:r>
      <w:r w:rsidR="00480FB1" w:rsidRPr="00750BAE">
        <w:rPr>
          <w:b/>
          <w:bCs/>
          <w:sz w:val="22"/>
          <w:szCs w:val="22"/>
        </w:rPr>
        <w:tab/>
      </w:r>
      <w:r w:rsidRPr="00750BAE">
        <w:rPr>
          <w:b/>
          <w:bCs/>
          <w:sz w:val="22"/>
          <w:szCs w:val="22"/>
        </w:rPr>
        <w:t>Lista pomoćnih supstanci</w:t>
      </w:r>
      <w:r w:rsidR="002E0135" w:rsidRPr="00750BAE">
        <w:rPr>
          <w:b/>
          <w:bCs/>
          <w:sz w:val="22"/>
          <w:szCs w:val="22"/>
        </w:rPr>
        <w:t xml:space="preserve"> (ekscipijenasa)</w:t>
      </w:r>
    </w:p>
    <w:p w14:paraId="692CFB2D" w14:textId="172639F7" w:rsidR="0072020E" w:rsidRPr="00750BA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30946012" w14:textId="751B981E" w:rsidR="001E5A33" w:rsidRPr="00750BAE" w:rsidRDefault="001E5A33" w:rsidP="00253923">
      <w:pPr>
        <w:pStyle w:val="BodyText"/>
        <w:rPr>
          <w:lang w:val="sr-Latn-RS"/>
        </w:rPr>
      </w:pPr>
      <w:r w:rsidRPr="00750BAE">
        <w:rPr>
          <w:rFonts w:cs="Times New Roman"/>
          <w:u w:val="single"/>
          <w:lang w:val="sr-Latn-RS"/>
        </w:rPr>
        <w:t>Sadržaj kapsule</w:t>
      </w:r>
    </w:p>
    <w:p w14:paraId="47365E24" w14:textId="2C83EDBB" w:rsidR="001E5A33" w:rsidRPr="00750BAE" w:rsidRDefault="00C81C61" w:rsidP="00253923">
      <w:pPr>
        <w:pStyle w:val="BodyText"/>
        <w:spacing w:before="72" w:line="251" w:lineRule="exact"/>
        <w:rPr>
          <w:rFonts w:cs="Times New Roman"/>
          <w:lang w:val="sr-Latn-RS"/>
        </w:rPr>
      </w:pPr>
      <w:r>
        <w:rPr>
          <w:rFonts w:cs="Times New Roman"/>
          <w:lang w:val="sr-Latn-RS"/>
        </w:rPr>
        <w:t>M</w:t>
      </w:r>
      <w:r w:rsidR="001E5A33" w:rsidRPr="00750BAE">
        <w:rPr>
          <w:rFonts w:cs="Times New Roman"/>
          <w:lang w:val="sr-Latn-RS"/>
        </w:rPr>
        <w:t>etakriln</w:t>
      </w:r>
      <w:r>
        <w:rPr>
          <w:rFonts w:cs="Times New Roman"/>
          <w:lang w:val="sr-Latn-RS"/>
        </w:rPr>
        <w:t>a</w:t>
      </w:r>
      <w:r w:rsidR="001E5A33" w:rsidRPr="00750BAE">
        <w:rPr>
          <w:rFonts w:cs="Times New Roman"/>
          <w:lang w:val="sr-Latn-RS"/>
        </w:rPr>
        <w:t xml:space="preserve"> kiselin</w:t>
      </w:r>
      <w:r>
        <w:rPr>
          <w:rFonts w:cs="Times New Roman"/>
          <w:lang w:val="sr-Latn-RS"/>
        </w:rPr>
        <w:t>a</w:t>
      </w:r>
      <w:r w:rsidR="001E5A33" w:rsidRPr="00750BAE">
        <w:rPr>
          <w:rFonts w:cs="Times New Roman"/>
          <w:lang w:val="sr-Latn-RS"/>
        </w:rPr>
        <w:t xml:space="preserve">-etilakrilat </w:t>
      </w:r>
      <w:r>
        <w:rPr>
          <w:rFonts w:cs="Times New Roman"/>
          <w:lang w:val="sr-Latn-RS"/>
        </w:rPr>
        <w:t xml:space="preserve">kopolimer </w:t>
      </w:r>
      <w:r w:rsidR="001E5A33" w:rsidRPr="00750BAE">
        <w:rPr>
          <w:rFonts w:cs="Times New Roman"/>
          <w:lang w:val="sr-Latn-RS"/>
        </w:rPr>
        <w:t xml:space="preserve">(1:1) tip A </w:t>
      </w:r>
    </w:p>
    <w:p w14:paraId="0BC66F7C" w14:textId="77777777" w:rsidR="001E5A33" w:rsidRPr="00750BAE" w:rsidRDefault="001E5A33" w:rsidP="00253923">
      <w:pPr>
        <w:pStyle w:val="BodyText"/>
        <w:spacing w:before="72" w:line="251" w:lineRule="exact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Krospovidon tip A</w:t>
      </w:r>
    </w:p>
    <w:p w14:paraId="56AFAACF" w14:textId="77777777" w:rsidR="001E5A33" w:rsidRPr="00750BAE" w:rsidRDefault="001E5A33" w:rsidP="00253923">
      <w:pPr>
        <w:pStyle w:val="BodyText"/>
        <w:spacing w:before="72" w:line="251" w:lineRule="exact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Celuloza, mikrokristalna</w:t>
      </w:r>
    </w:p>
    <w:p w14:paraId="1EA6AEE6" w14:textId="4F5D18F4" w:rsidR="00D47673" w:rsidRDefault="00D47673" w:rsidP="00253923">
      <w:pPr>
        <w:pStyle w:val="BodyText"/>
        <w:spacing w:before="72" w:line="251" w:lineRule="exact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S</w:t>
      </w:r>
      <w:r w:rsidR="001E5A33" w:rsidRPr="00750BAE">
        <w:rPr>
          <w:rFonts w:cs="Times New Roman"/>
          <w:lang w:val="sr-Latn-RS"/>
        </w:rPr>
        <w:t>ilicijum</w:t>
      </w:r>
      <w:r>
        <w:rPr>
          <w:rFonts w:cs="Times New Roman"/>
          <w:lang w:val="sr-Latn-RS"/>
        </w:rPr>
        <w:t xml:space="preserve"> </w:t>
      </w:r>
      <w:r w:rsidR="001E5A33" w:rsidRPr="00750BAE">
        <w:rPr>
          <w:rFonts w:cs="Times New Roman"/>
          <w:lang w:val="sr-Latn-RS"/>
        </w:rPr>
        <w:t>dioksid,</w:t>
      </w:r>
      <w:r>
        <w:rPr>
          <w:rFonts w:cs="Times New Roman"/>
          <w:lang w:val="sr-Latn-RS"/>
        </w:rPr>
        <w:t xml:space="preserve"> </w:t>
      </w:r>
      <w:r w:rsidR="001E5A33" w:rsidRPr="00750BAE">
        <w:rPr>
          <w:rFonts w:cs="Times New Roman"/>
          <w:lang w:val="sr-Latn-RS"/>
        </w:rPr>
        <w:t>koloid</w:t>
      </w:r>
      <w:r>
        <w:rPr>
          <w:rFonts w:cs="Times New Roman"/>
          <w:lang w:val="sr-Latn-RS"/>
        </w:rPr>
        <w:t>ni bezvodni</w:t>
      </w:r>
      <w:r w:rsidR="001E5A33" w:rsidRPr="00750BAE">
        <w:rPr>
          <w:rFonts w:cs="Times New Roman"/>
          <w:lang w:val="sr-Latn-RS"/>
        </w:rPr>
        <w:t xml:space="preserve"> </w:t>
      </w:r>
    </w:p>
    <w:p w14:paraId="129DF8C8" w14:textId="419338CF" w:rsidR="001E5A33" w:rsidRPr="00750BAE" w:rsidRDefault="00D47673" w:rsidP="00253923">
      <w:pPr>
        <w:pStyle w:val="BodyText"/>
        <w:spacing w:before="72" w:line="251" w:lineRule="exact"/>
        <w:rPr>
          <w:rFonts w:cs="Times New Roman"/>
          <w:lang w:val="sr-Latn-RS"/>
        </w:rPr>
      </w:pPr>
      <w:r>
        <w:rPr>
          <w:rFonts w:cs="Times New Roman"/>
          <w:lang w:val="sr-Latn-RS"/>
        </w:rPr>
        <w:t>T</w:t>
      </w:r>
      <w:r w:rsidR="001E5A33" w:rsidRPr="00750BAE">
        <w:rPr>
          <w:rFonts w:cs="Times New Roman"/>
          <w:lang w:val="sr-Latn-RS"/>
        </w:rPr>
        <w:t>rietil</w:t>
      </w:r>
      <w:r w:rsidR="00C81C61">
        <w:rPr>
          <w:rFonts w:cs="Times New Roman"/>
          <w:lang w:val="sr-Latn-RS"/>
        </w:rPr>
        <w:t xml:space="preserve"> </w:t>
      </w:r>
      <w:r w:rsidR="001E5A33" w:rsidRPr="00750BAE">
        <w:rPr>
          <w:rFonts w:cs="Times New Roman"/>
          <w:lang w:val="sr-Latn-RS"/>
        </w:rPr>
        <w:t>citrat</w:t>
      </w:r>
    </w:p>
    <w:p w14:paraId="515DDE95" w14:textId="77777777" w:rsidR="001E5A33" w:rsidRPr="00750BAE" w:rsidRDefault="001E5A33" w:rsidP="00253923">
      <w:pPr>
        <w:pStyle w:val="BodyText"/>
        <w:spacing w:before="72" w:line="251" w:lineRule="exact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Talk</w:t>
      </w:r>
    </w:p>
    <w:p w14:paraId="1930D060" w14:textId="77777777" w:rsidR="001E5A33" w:rsidRPr="00750BAE" w:rsidRDefault="001E5A33" w:rsidP="00253923">
      <w:pPr>
        <w:pStyle w:val="BodyText"/>
        <w:spacing w:before="72" w:line="251" w:lineRule="exact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Magnezijum stearat </w:t>
      </w:r>
    </w:p>
    <w:p w14:paraId="07E0D3EC" w14:textId="77777777" w:rsidR="00D47673" w:rsidRDefault="00D47673" w:rsidP="00253923">
      <w:pPr>
        <w:pStyle w:val="BodyText"/>
        <w:ind w:left="116"/>
        <w:rPr>
          <w:rFonts w:cs="Times New Roman"/>
          <w:u w:val="single"/>
          <w:lang w:val="sr-Latn-RS"/>
        </w:rPr>
      </w:pPr>
    </w:p>
    <w:p w14:paraId="7C83ED46" w14:textId="17335C6E" w:rsidR="00D47673" w:rsidRPr="00D47673" w:rsidRDefault="001E5A33" w:rsidP="00253923">
      <w:pPr>
        <w:pStyle w:val="BodyText"/>
        <w:ind w:left="116"/>
        <w:rPr>
          <w:rFonts w:cs="Times New Roman"/>
          <w:u w:val="single"/>
          <w:lang w:val="sr-Latn-RS"/>
        </w:rPr>
      </w:pPr>
      <w:r w:rsidRPr="00D47673">
        <w:rPr>
          <w:u w:val="single"/>
          <w:lang w:val="sr-Latn-RS"/>
        </w:rPr>
        <w:t>Omotač kapsule</w:t>
      </w:r>
    </w:p>
    <w:p w14:paraId="619DB1BE" w14:textId="2FD0D811" w:rsidR="00D47673" w:rsidRDefault="001E5A33" w:rsidP="00253923">
      <w:pPr>
        <w:pStyle w:val="BodyText"/>
        <w:spacing w:before="72" w:line="251" w:lineRule="exact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Hipromeloza</w:t>
      </w:r>
    </w:p>
    <w:p w14:paraId="30D415B7" w14:textId="5A35EBA3" w:rsidR="001E5A33" w:rsidRPr="00750BAE" w:rsidRDefault="001E5A33" w:rsidP="00253923">
      <w:pPr>
        <w:pStyle w:val="BodyText"/>
        <w:spacing w:before="72" w:line="251" w:lineRule="exact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Titanijum dioksid (E171) </w:t>
      </w:r>
    </w:p>
    <w:p w14:paraId="5C5BDD5A" w14:textId="79FDE1FC" w:rsidR="00D47673" w:rsidRDefault="001E5A33" w:rsidP="00253923">
      <w:pPr>
        <w:pStyle w:val="BodyText"/>
        <w:spacing w:before="72" w:line="251" w:lineRule="exact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Kalijum</w:t>
      </w:r>
      <w:r w:rsidR="003C61D8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>hlorid</w:t>
      </w:r>
    </w:p>
    <w:p w14:paraId="5351CDFE" w14:textId="18A0BE4C" w:rsidR="001E5A33" w:rsidRPr="00750BAE" w:rsidRDefault="001E5A33" w:rsidP="00253923">
      <w:pPr>
        <w:pStyle w:val="BodyText"/>
        <w:spacing w:before="72" w:line="251" w:lineRule="exact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Karag</w:t>
      </w:r>
      <w:r w:rsidR="00C81C61">
        <w:rPr>
          <w:rFonts w:cs="Times New Roman"/>
          <w:lang w:val="sr-Latn-RS"/>
        </w:rPr>
        <w:t>i</w:t>
      </w:r>
      <w:r w:rsidRPr="00750BAE">
        <w:rPr>
          <w:rFonts w:cs="Times New Roman"/>
          <w:lang w:val="sr-Latn-RS"/>
        </w:rPr>
        <w:t>nan</w:t>
      </w:r>
    </w:p>
    <w:p w14:paraId="0458722D" w14:textId="77777777" w:rsidR="001E5A33" w:rsidRPr="00D47673" w:rsidRDefault="001E5A33" w:rsidP="00253923">
      <w:pPr>
        <w:pStyle w:val="BodyText"/>
        <w:spacing w:before="72" w:line="251" w:lineRule="exact"/>
        <w:rPr>
          <w:lang w:val="sr-Latn-RS"/>
        </w:rPr>
      </w:pPr>
    </w:p>
    <w:p w14:paraId="1952EBAB" w14:textId="279D98F4" w:rsidR="001E5A33" w:rsidRPr="00750BAE" w:rsidRDefault="001E5A33" w:rsidP="00253923">
      <w:pPr>
        <w:pStyle w:val="BodyText"/>
        <w:ind w:left="116"/>
        <w:rPr>
          <w:lang w:val="sr-Latn-RS"/>
        </w:rPr>
      </w:pPr>
      <w:r w:rsidRPr="00750BAE">
        <w:rPr>
          <w:rFonts w:cs="Times New Roman"/>
          <w:u w:val="single"/>
          <w:lang w:val="sr-Latn-RS"/>
        </w:rPr>
        <w:t>Označavanje na kapsuli (crno mastilo)</w:t>
      </w:r>
    </w:p>
    <w:p w14:paraId="1D27CBED" w14:textId="77777777" w:rsidR="001E5A33" w:rsidRPr="00750BAE" w:rsidRDefault="001E5A33" w:rsidP="001E5A33">
      <w:pPr>
        <w:pStyle w:val="BodyText"/>
        <w:spacing w:before="72" w:line="251" w:lineRule="exact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Šelak</w:t>
      </w:r>
    </w:p>
    <w:p w14:paraId="1AC6FD8B" w14:textId="64019631" w:rsidR="001E5A33" w:rsidRPr="00750BAE" w:rsidRDefault="001E5A33" w:rsidP="001E5A33">
      <w:pPr>
        <w:pStyle w:val="BodyText"/>
        <w:ind w:left="116" w:right="6786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Kalijum</w:t>
      </w:r>
      <w:r w:rsidR="003C61D8">
        <w:rPr>
          <w:rFonts w:cs="Times New Roman"/>
          <w:lang w:val="sr-Latn-RS"/>
        </w:rPr>
        <w:t xml:space="preserve"> </w:t>
      </w:r>
      <w:r w:rsidRPr="00750BAE">
        <w:rPr>
          <w:rFonts w:cs="Times New Roman"/>
          <w:lang w:val="sr-Latn-RS"/>
        </w:rPr>
        <w:t xml:space="preserve">hidroksid </w:t>
      </w:r>
    </w:p>
    <w:p w14:paraId="5EF98B0C" w14:textId="0BBB1862" w:rsidR="001E5A33" w:rsidRPr="00750BAE" w:rsidRDefault="00D47673" w:rsidP="001E5A33">
      <w:pPr>
        <w:pStyle w:val="BodyText"/>
        <w:ind w:left="116" w:right="6111"/>
        <w:rPr>
          <w:rFonts w:cs="Times New Roman"/>
          <w:lang w:val="sr-Latn-RS"/>
        </w:rPr>
      </w:pPr>
      <w:r>
        <w:rPr>
          <w:rFonts w:cs="Times New Roman"/>
          <w:lang w:val="sr-Latn-RS"/>
        </w:rPr>
        <w:lastRenderedPageBreak/>
        <w:t>G</w:t>
      </w:r>
      <w:r w:rsidR="001E5A33" w:rsidRPr="00750BAE">
        <w:rPr>
          <w:rFonts w:cs="Times New Roman"/>
          <w:lang w:val="sr-Latn-RS"/>
        </w:rPr>
        <w:t>vožđe (III)</w:t>
      </w:r>
      <w:r w:rsidR="003C61D8">
        <w:rPr>
          <w:rFonts w:cs="Times New Roman"/>
          <w:lang w:val="sr-Latn-RS"/>
        </w:rPr>
        <w:t xml:space="preserve"> </w:t>
      </w:r>
      <w:r w:rsidR="001E5A33" w:rsidRPr="00750BAE">
        <w:rPr>
          <w:rFonts w:cs="Times New Roman"/>
          <w:lang w:val="sr-Latn-RS"/>
        </w:rPr>
        <w:t>oksid</w:t>
      </w:r>
      <w:r>
        <w:rPr>
          <w:rFonts w:cs="Times New Roman"/>
          <w:lang w:val="sr-Latn-RS"/>
        </w:rPr>
        <w:t>, crni</w:t>
      </w:r>
      <w:r w:rsidR="001E5A33" w:rsidRPr="00750BAE">
        <w:rPr>
          <w:rFonts w:cs="Times New Roman"/>
          <w:lang w:val="sr-Latn-RS"/>
        </w:rPr>
        <w:t xml:space="preserve"> (E172)</w:t>
      </w:r>
    </w:p>
    <w:p w14:paraId="308A7965" w14:textId="77777777" w:rsidR="001E5A33" w:rsidRPr="00750BAE" w:rsidRDefault="001E5A33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DACDF29" w14:textId="77777777" w:rsidR="0072020E" w:rsidRPr="00750BA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50BAE">
        <w:rPr>
          <w:b/>
          <w:bCs/>
          <w:sz w:val="22"/>
          <w:szCs w:val="22"/>
        </w:rPr>
        <w:t xml:space="preserve">6.2. </w:t>
      </w:r>
      <w:r w:rsidR="00480FB1" w:rsidRPr="00750BAE">
        <w:rPr>
          <w:b/>
          <w:bCs/>
          <w:sz w:val="22"/>
          <w:szCs w:val="22"/>
        </w:rPr>
        <w:tab/>
      </w:r>
      <w:r w:rsidRPr="00750BAE">
        <w:rPr>
          <w:b/>
          <w:bCs/>
          <w:sz w:val="22"/>
          <w:szCs w:val="22"/>
        </w:rPr>
        <w:t>Inkompatibilnost</w:t>
      </w:r>
      <w:r w:rsidR="002846DB" w:rsidRPr="00750BAE">
        <w:rPr>
          <w:b/>
          <w:bCs/>
          <w:sz w:val="22"/>
          <w:szCs w:val="22"/>
        </w:rPr>
        <w:t>i</w:t>
      </w:r>
    </w:p>
    <w:p w14:paraId="6BFA24B9" w14:textId="76168072" w:rsidR="0072020E" w:rsidRPr="00750BA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457D022E" w14:textId="22C9EAC0" w:rsidR="001E5A33" w:rsidRPr="00750BAE" w:rsidRDefault="001E5A33" w:rsidP="001E5A33">
      <w:pPr>
        <w:pStyle w:val="BodyText"/>
        <w:ind w:left="116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Nije prim</w:t>
      </w:r>
      <w:r w:rsidR="002057AF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>en</w:t>
      </w:r>
      <w:r w:rsidR="002057AF" w:rsidRPr="00750BAE">
        <w:rPr>
          <w:rFonts w:cs="Times New Roman"/>
          <w:lang w:val="sr-Latn-RS"/>
        </w:rPr>
        <w:t>l</w:t>
      </w:r>
      <w:r w:rsidRPr="00750BAE">
        <w:rPr>
          <w:rFonts w:cs="Times New Roman"/>
          <w:lang w:val="sr-Latn-RS"/>
        </w:rPr>
        <w:t>jivo.</w:t>
      </w:r>
    </w:p>
    <w:p w14:paraId="584A7D43" w14:textId="77777777" w:rsidR="001E5A33" w:rsidRPr="00750BAE" w:rsidRDefault="001E5A33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65FBEB8" w14:textId="77777777" w:rsidR="0072020E" w:rsidRPr="00750BA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50BAE">
        <w:rPr>
          <w:b/>
          <w:bCs/>
          <w:sz w:val="22"/>
          <w:szCs w:val="22"/>
        </w:rPr>
        <w:t>6.3.</w:t>
      </w:r>
      <w:r w:rsidR="00C05DF8" w:rsidRPr="00750BAE">
        <w:rPr>
          <w:b/>
          <w:bCs/>
          <w:sz w:val="22"/>
          <w:szCs w:val="22"/>
        </w:rPr>
        <w:t xml:space="preserve"> </w:t>
      </w:r>
      <w:r w:rsidR="00480FB1" w:rsidRPr="00750BAE">
        <w:rPr>
          <w:b/>
          <w:bCs/>
          <w:sz w:val="22"/>
          <w:szCs w:val="22"/>
        </w:rPr>
        <w:tab/>
      </w:r>
      <w:r w:rsidRPr="00750BAE">
        <w:rPr>
          <w:b/>
          <w:bCs/>
          <w:sz w:val="22"/>
          <w:szCs w:val="22"/>
        </w:rPr>
        <w:t>Rok upotrebe</w:t>
      </w:r>
    </w:p>
    <w:p w14:paraId="5224A03D" w14:textId="3334390F" w:rsidR="0072020E" w:rsidRPr="00750BA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CAE014B" w14:textId="77777777" w:rsidR="001E5A33" w:rsidRPr="00750BAE" w:rsidRDefault="001E5A33" w:rsidP="001E5A33">
      <w:pPr>
        <w:rPr>
          <w:sz w:val="22"/>
          <w:szCs w:val="22"/>
        </w:rPr>
      </w:pPr>
      <w:r w:rsidRPr="00750BAE">
        <w:rPr>
          <w:sz w:val="22"/>
          <w:szCs w:val="22"/>
        </w:rPr>
        <w:t xml:space="preserve">2 godine. </w:t>
      </w:r>
    </w:p>
    <w:p w14:paraId="757DD45B" w14:textId="77777777" w:rsidR="001E5A33" w:rsidRPr="00750BAE" w:rsidRDefault="001E5A33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22426B0" w14:textId="77777777" w:rsidR="0072020E" w:rsidRPr="00750BA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50BAE">
        <w:rPr>
          <w:b/>
          <w:bCs/>
          <w:sz w:val="22"/>
          <w:szCs w:val="22"/>
        </w:rPr>
        <w:t xml:space="preserve">6.4. </w:t>
      </w:r>
      <w:r w:rsidR="00480FB1" w:rsidRPr="00750BAE">
        <w:rPr>
          <w:b/>
          <w:bCs/>
          <w:sz w:val="22"/>
          <w:szCs w:val="22"/>
        </w:rPr>
        <w:tab/>
      </w:r>
      <w:r w:rsidRPr="00750BAE">
        <w:rPr>
          <w:b/>
          <w:bCs/>
          <w:sz w:val="22"/>
          <w:szCs w:val="22"/>
        </w:rPr>
        <w:t>Posebne mjere upozorenja pri čuvanju</w:t>
      </w:r>
      <w:r w:rsidR="00F8570A" w:rsidRPr="00750BAE">
        <w:rPr>
          <w:b/>
          <w:bCs/>
          <w:sz w:val="22"/>
          <w:szCs w:val="22"/>
        </w:rPr>
        <w:t xml:space="preserve"> lijeka</w:t>
      </w:r>
    </w:p>
    <w:p w14:paraId="1FED28AC" w14:textId="58A51B20" w:rsidR="00EC2532" w:rsidRPr="00750BAE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3A1E06A3" w14:textId="77777777" w:rsidR="00E02067" w:rsidRPr="00750BAE" w:rsidRDefault="00E02067" w:rsidP="00E02067">
      <w:pPr>
        <w:pStyle w:val="BodyText"/>
        <w:ind w:left="116"/>
        <w:rPr>
          <w:rFonts w:cs="Times New Roman"/>
          <w:lang w:val="sr-Latn-RS"/>
        </w:rPr>
      </w:pPr>
      <w:bookmarkStart w:id="1" w:name="_Hlk98760795"/>
      <w:r w:rsidRPr="00750BAE">
        <w:rPr>
          <w:rFonts w:cs="Times New Roman"/>
          <w:lang w:val="sr-Latn-RS"/>
        </w:rPr>
        <w:t>Čuvajte na temperaturi ispod 25 °C.</w:t>
      </w:r>
    </w:p>
    <w:p w14:paraId="2CF16BEA" w14:textId="77777777" w:rsidR="00E02067" w:rsidRPr="00750BAE" w:rsidRDefault="00E02067" w:rsidP="00E02067">
      <w:pPr>
        <w:pStyle w:val="BodyText"/>
        <w:spacing w:before="55"/>
        <w:rPr>
          <w:rFonts w:cs="Times New Roman"/>
          <w:lang w:val="sr-Latn-RS"/>
        </w:rPr>
      </w:pPr>
      <w:bookmarkStart w:id="2" w:name="_Hlk98761221"/>
      <w:r w:rsidRPr="00750BAE">
        <w:rPr>
          <w:rFonts w:cs="Times New Roman"/>
          <w:lang w:val="sr-Latn-RS"/>
        </w:rPr>
        <w:t>Čuvajte u originalnoj bočici radi zaštite od vlage</w:t>
      </w:r>
      <w:bookmarkEnd w:id="1"/>
      <w:r w:rsidRPr="00750BAE">
        <w:rPr>
          <w:rFonts w:cs="Times New Roman"/>
          <w:lang w:val="sr-Latn-RS"/>
        </w:rPr>
        <w:t>.</w:t>
      </w:r>
      <w:bookmarkEnd w:id="2"/>
    </w:p>
    <w:p w14:paraId="510E877F" w14:textId="77777777" w:rsidR="00E02067" w:rsidRPr="00750BAE" w:rsidRDefault="00E02067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83E1630" w14:textId="77777777" w:rsidR="0072020E" w:rsidRPr="00750BA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50BAE">
        <w:rPr>
          <w:b/>
          <w:bCs/>
          <w:sz w:val="22"/>
          <w:szCs w:val="22"/>
        </w:rPr>
        <w:t xml:space="preserve">6.5. </w:t>
      </w:r>
      <w:r w:rsidR="00480FB1" w:rsidRPr="00750BAE">
        <w:rPr>
          <w:b/>
          <w:bCs/>
          <w:sz w:val="22"/>
          <w:szCs w:val="22"/>
        </w:rPr>
        <w:tab/>
      </w:r>
      <w:r w:rsidR="002846DB" w:rsidRPr="00750BAE">
        <w:rPr>
          <w:b/>
          <w:bCs/>
          <w:sz w:val="22"/>
          <w:szCs w:val="22"/>
        </w:rPr>
        <w:t xml:space="preserve">Vrsta i sadržaj </w:t>
      </w:r>
      <w:r w:rsidR="00F8570A" w:rsidRPr="00750BAE">
        <w:rPr>
          <w:b/>
          <w:bCs/>
          <w:sz w:val="22"/>
          <w:szCs w:val="22"/>
        </w:rPr>
        <w:t>pakovanja</w:t>
      </w:r>
      <w:r w:rsidR="00C06864" w:rsidRPr="00750BAE">
        <w:rPr>
          <w:b/>
          <w:bCs/>
          <w:sz w:val="22"/>
          <w:szCs w:val="22"/>
        </w:rPr>
        <w:t xml:space="preserve"> </w:t>
      </w:r>
    </w:p>
    <w:p w14:paraId="30E6291F" w14:textId="3F572779" w:rsidR="0072020E" w:rsidRPr="00750BA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6D10E41" w14:textId="373F96BA" w:rsidR="00E02067" w:rsidRPr="00750BAE" w:rsidRDefault="00E02067" w:rsidP="00473003">
      <w:pPr>
        <w:pStyle w:val="BodyText"/>
        <w:spacing w:line="250" w:lineRule="exact"/>
        <w:ind w:left="0" w:right="98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>HDPE bočica s polipropilenskim zatvaračem sigurnim za d</w:t>
      </w:r>
      <w:r w:rsidR="002057AF" w:rsidRPr="00750BAE">
        <w:rPr>
          <w:rFonts w:cs="Times New Roman"/>
          <w:lang w:val="sr-Latn-RS"/>
        </w:rPr>
        <w:t>j</w:t>
      </w:r>
      <w:r w:rsidRPr="00750BAE">
        <w:rPr>
          <w:rFonts w:cs="Times New Roman"/>
          <w:lang w:val="sr-Latn-RS"/>
        </w:rPr>
        <w:t xml:space="preserve">ecu i sredstvom za sušenje od silikagela. </w:t>
      </w:r>
    </w:p>
    <w:p w14:paraId="7D1CB551" w14:textId="77777777" w:rsidR="00E02067" w:rsidRPr="00750BAE" w:rsidRDefault="00E02067" w:rsidP="00E02067">
      <w:pPr>
        <w:pStyle w:val="BodyText"/>
        <w:spacing w:line="250" w:lineRule="exact"/>
        <w:ind w:right="98"/>
        <w:rPr>
          <w:rFonts w:cs="Times New Roman"/>
          <w:lang w:val="sr-Latn-RS"/>
        </w:rPr>
      </w:pPr>
    </w:p>
    <w:p w14:paraId="5164DF3C" w14:textId="23A31EC0" w:rsidR="00E02067" w:rsidRPr="00750BAE" w:rsidRDefault="00E02067" w:rsidP="00E02067">
      <w:pPr>
        <w:rPr>
          <w:sz w:val="22"/>
          <w:szCs w:val="22"/>
          <w:lang w:val="sr-Latn-RS"/>
        </w:rPr>
      </w:pPr>
      <w:r w:rsidRPr="00750BAE">
        <w:rPr>
          <w:sz w:val="22"/>
          <w:szCs w:val="22"/>
          <w:lang w:val="sr-Latn-RS"/>
        </w:rPr>
        <w:t xml:space="preserve">Pakovanje od 120 gastrorezistentnih kapsula, tvrdih u 1 bočici. </w:t>
      </w:r>
    </w:p>
    <w:p w14:paraId="0D9224C7" w14:textId="77777777" w:rsidR="00E02067" w:rsidRPr="00750BAE" w:rsidRDefault="00E02067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08C46381" w14:textId="77777777" w:rsidR="002846DB" w:rsidRPr="00750BA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50BAE">
        <w:rPr>
          <w:b/>
          <w:bCs/>
          <w:sz w:val="22"/>
          <w:szCs w:val="22"/>
        </w:rPr>
        <w:t xml:space="preserve">6.6. </w:t>
      </w:r>
      <w:r w:rsidR="00480FB1" w:rsidRPr="00750BAE">
        <w:rPr>
          <w:b/>
          <w:bCs/>
          <w:sz w:val="22"/>
          <w:szCs w:val="22"/>
        </w:rPr>
        <w:tab/>
      </w:r>
      <w:r w:rsidRPr="00750BAE">
        <w:rPr>
          <w:b/>
          <w:bCs/>
          <w:color w:val="000000"/>
          <w:sz w:val="22"/>
          <w:szCs w:val="22"/>
        </w:rPr>
        <w:t>Posebne mjere opreza pri odlaganju materijala koji treba odbaciti nakon primjene lijeka</w:t>
      </w:r>
      <w:r w:rsidRPr="00750BAE">
        <w:rPr>
          <w:b/>
          <w:bCs/>
          <w:sz w:val="22"/>
          <w:szCs w:val="22"/>
        </w:rPr>
        <w:t xml:space="preserve"> </w:t>
      </w:r>
      <w:r w:rsidR="00310F03" w:rsidRPr="00750BAE">
        <w:rPr>
          <w:b/>
          <w:bCs/>
          <w:sz w:val="22"/>
          <w:szCs w:val="22"/>
        </w:rPr>
        <w:t>(i druga uputs</w:t>
      </w:r>
      <w:r w:rsidR="004109FA" w:rsidRPr="00750BAE">
        <w:rPr>
          <w:b/>
          <w:bCs/>
          <w:sz w:val="22"/>
          <w:szCs w:val="22"/>
        </w:rPr>
        <w:t>t</w:t>
      </w:r>
      <w:r w:rsidR="00310F03" w:rsidRPr="00750BAE">
        <w:rPr>
          <w:b/>
          <w:bCs/>
          <w:sz w:val="22"/>
          <w:szCs w:val="22"/>
        </w:rPr>
        <w:t xml:space="preserve">va za rukovanje lijekom) </w:t>
      </w:r>
    </w:p>
    <w:p w14:paraId="712A0C26" w14:textId="1FCBC103" w:rsidR="00B66A70" w:rsidRPr="00750BAE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60EF1B1C" w14:textId="798F2383" w:rsidR="00E02067" w:rsidRPr="00750BAE" w:rsidRDefault="00E02067" w:rsidP="00E02067">
      <w:pPr>
        <w:pStyle w:val="BodyText"/>
        <w:rPr>
          <w:rFonts w:cs="Times New Roman"/>
          <w:lang w:val="sr-Latn-RS"/>
        </w:rPr>
      </w:pPr>
      <w:r w:rsidRPr="00750BAE">
        <w:rPr>
          <w:rFonts w:cs="Times New Roman"/>
          <w:lang w:val="sr-Latn-RS"/>
        </w:rPr>
        <w:t xml:space="preserve">Neiskorišćeni </w:t>
      </w:r>
      <w:r w:rsidR="004A63C1" w:rsidRPr="00750BAE">
        <w:rPr>
          <w:rFonts w:cs="Times New Roman"/>
          <w:lang w:val="sr-Latn-RS"/>
        </w:rPr>
        <w:t>lijek</w:t>
      </w:r>
      <w:r w:rsidRPr="00750BAE">
        <w:rPr>
          <w:rFonts w:cs="Times New Roman"/>
          <w:lang w:val="sr-Latn-RS"/>
        </w:rPr>
        <w:t xml:space="preserve"> ili otpadni materijal potrebno je odložiti u skladu sa nacionalnim propisima.</w:t>
      </w:r>
    </w:p>
    <w:p w14:paraId="66B857CB" w14:textId="77777777" w:rsidR="00E02067" w:rsidRPr="00750BAE" w:rsidRDefault="00E0206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75210829" w14:textId="77777777" w:rsidR="0072020E" w:rsidRPr="00750BA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0F42FE90" w14:textId="77777777" w:rsidR="00F8570A" w:rsidRPr="00750BA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50BAE">
        <w:rPr>
          <w:b/>
          <w:bCs/>
          <w:sz w:val="22"/>
          <w:szCs w:val="22"/>
        </w:rPr>
        <w:t xml:space="preserve">7. </w:t>
      </w:r>
      <w:r w:rsidR="00480FB1" w:rsidRPr="00750BAE">
        <w:rPr>
          <w:b/>
          <w:bCs/>
          <w:sz w:val="22"/>
          <w:szCs w:val="22"/>
        </w:rPr>
        <w:tab/>
      </w:r>
      <w:r w:rsidRPr="00750BAE">
        <w:rPr>
          <w:b/>
          <w:bCs/>
          <w:sz w:val="22"/>
          <w:szCs w:val="22"/>
        </w:rPr>
        <w:t>NOSILAC DOZVOLE</w:t>
      </w:r>
      <w:r w:rsidR="00483928" w:rsidRPr="00750BAE">
        <w:rPr>
          <w:b/>
          <w:bCs/>
          <w:sz w:val="22"/>
          <w:szCs w:val="22"/>
        </w:rPr>
        <w:t xml:space="preserve"> </w:t>
      </w:r>
    </w:p>
    <w:p w14:paraId="182CA2EC" w14:textId="0298BED7" w:rsidR="00C61BE0" w:rsidRPr="00750BAE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34C35BBA" w14:textId="43DF799A" w:rsidR="008A455C" w:rsidRPr="00750BAE" w:rsidRDefault="008A455C" w:rsidP="008A455C">
      <w:pPr>
        <w:tabs>
          <w:tab w:val="left" w:pos="284"/>
        </w:tabs>
        <w:rPr>
          <w:sz w:val="22"/>
          <w:szCs w:val="22"/>
        </w:rPr>
      </w:pPr>
      <w:r w:rsidRPr="00750BAE">
        <w:rPr>
          <w:sz w:val="22"/>
          <w:szCs w:val="22"/>
        </w:rPr>
        <w:t>G</w:t>
      </w:r>
      <w:r w:rsidR="003C61D8">
        <w:rPr>
          <w:sz w:val="22"/>
          <w:szCs w:val="22"/>
        </w:rPr>
        <w:t>losarij d.o.o</w:t>
      </w:r>
      <w:r w:rsidRPr="00750BAE">
        <w:rPr>
          <w:sz w:val="22"/>
          <w:szCs w:val="22"/>
        </w:rPr>
        <w:t>.</w:t>
      </w:r>
    </w:p>
    <w:p w14:paraId="45A2C869" w14:textId="77777777" w:rsidR="008A455C" w:rsidRPr="00750BAE" w:rsidRDefault="008A455C" w:rsidP="008A455C">
      <w:pPr>
        <w:tabs>
          <w:tab w:val="left" w:pos="284"/>
        </w:tabs>
        <w:rPr>
          <w:sz w:val="22"/>
          <w:szCs w:val="22"/>
        </w:rPr>
      </w:pPr>
      <w:r w:rsidRPr="00750BAE">
        <w:rPr>
          <w:sz w:val="22"/>
          <w:szCs w:val="22"/>
        </w:rPr>
        <w:t>Vojislavljevića 76, 81 000 Podgorica, Crna Gora</w:t>
      </w:r>
    </w:p>
    <w:p w14:paraId="38DDEC69" w14:textId="77777777" w:rsidR="008A455C" w:rsidRPr="00750BAE" w:rsidRDefault="008A455C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0372EB97" w14:textId="77777777" w:rsidR="00C37FD7" w:rsidRPr="00750BAE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AC4A7A4" w14:textId="77777777" w:rsidR="0072020E" w:rsidRPr="00750BA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50BAE">
        <w:rPr>
          <w:b/>
          <w:bCs/>
          <w:sz w:val="22"/>
          <w:szCs w:val="22"/>
        </w:rPr>
        <w:t xml:space="preserve">8. </w:t>
      </w:r>
      <w:r w:rsidR="00480FB1" w:rsidRPr="00750BAE">
        <w:rPr>
          <w:b/>
          <w:bCs/>
          <w:sz w:val="22"/>
          <w:szCs w:val="22"/>
        </w:rPr>
        <w:tab/>
      </w:r>
      <w:r w:rsidRPr="00750BAE">
        <w:rPr>
          <w:b/>
          <w:bCs/>
          <w:sz w:val="22"/>
          <w:szCs w:val="22"/>
        </w:rPr>
        <w:t>BROJ DOZVOLE</w:t>
      </w:r>
      <w:r w:rsidR="008A6D43" w:rsidRPr="00750BAE">
        <w:rPr>
          <w:b/>
          <w:bCs/>
          <w:sz w:val="22"/>
          <w:szCs w:val="22"/>
        </w:rPr>
        <w:t xml:space="preserve"> ZA STAVLJANJE LIJEKA U PROMET</w:t>
      </w:r>
    </w:p>
    <w:p w14:paraId="156029BA" w14:textId="77777777" w:rsidR="0072020E" w:rsidRPr="00750BA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52D94AC" w14:textId="2347EF27" w:rsidR="00F45F77" w:rsidRDefault="00B20A37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2030/23/262-2564 </w:t>
      </w:r>
    </w:p>
    <w:p w14:paraId="19AE6A7C" w14:textId="77777777" w:rsidR="00B20A37" w:rsidRPr="00750BAE" w:rsidRDefault="00B20A37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0AD44A1" w14:textId="77777777" w:rsidR="0072020E" w:rsidRPr="00750BA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50BAE">
        <w:rPr>
          <w:b/>
          <w:bCs/>
          <w:sz w:val="22"/>
          <w:szCs w:val="22"/>
        </w:rPr>
        <w:t xml:space="preserve">9. </w:t>
      </w:r>
      <w:r w:rsidR="00480FB1" w:rsidRPr="00750BAE">
        <w:rPr>
          <w:b/>
          <w:bCs/>
          <w:sz w:val="22"/>
          <w:szCs w:val="22"/>
        </w:rPr>
        <w:tab/>
      </w:r>
      <w:r w:rsidRPr="00750BAE">
        <w:rPr>
          <w:b/>
          <w:bCs/>
          <w:sz w:val="22"/>
          <w:szCs w:val="22"/>
        </w:rPr>
        <w:t xml:space="preserve">DATUM </w:t>
      </w:r>
      <w:r w:rsidR="00C05DF8" w:rsidRPr="00750BAE">
        <w:rPr>
          <w:b/>
          <w:bCs/>
          <w:sz w:val="22"/>
          <w:szCs w:val="22"/>
        </w:rPr>
        <w:t xml:space="preserve">PRVE </w:t>
      </w:r>
      <w:r w:rsidR="008A6D43" w:rsidRPr="00750BAE">
        <w:rPr>
          <w:b/>
          <w:bCs/>
          <w:sz w:val="22"/>
          <w:szCs w:val="22"/>
        </w:rPr>
        <w:t>DOZVOLE</w:t>
      </w:r>
      <w:r w:rsidR="00C05DF8" w:rsidRPr="00750BAE">
        <w:rPr>
          <w:b/>
          <w:bCs/>
          <w:sz w:val="22"/>
          <w:szCs w:val="22"/>
        </w:rPr>
        <w:t>/OBNOVE DOZVOLE</w:t>
      </w:r>
      <w:r w:rsidR="008A6D43" w:rsidRPr="00750BAE">
        <w:rPr>
          <w:b/>
          <w:bCs/>
          <w:sz w:val="22"/>
          <w:szCs w:val="22"/>
        </w:rPr>
        <w:t xml:space="preserve"> ZA STAVLJANJE LIJEKA U PROMET</w:t>
      </w:r>
    </w:p>
    <w:p w14:paraId="722EAC87" w14:textId="20425667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BF9761A" w14:textId="5F34555C" w:rsidR="00B20A37" w:rsidRPr="00750BAE" w:rsidRDefault="00B20A37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23.01.2023. godine</w:t>
      </w:r>
    </w:p>
    <w:p w14:paraId="039DA14C" w14:textId="77777777" w:rsidR="00836B35" w:rsidRPr="00750BAE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5141839A" w14:textId="77777777" w:rsidR="003F6A59" w:rsidRPr="00750BAE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</w:rPr>
      </w:pPr>
      <w:r w:rsidRPr="00750BAE">
        <w:rPr>
          <w:b/>
          <w:bCs/>
          <w:sz w:val="22"/>
          <w:szCs w:val="22"/>
        </w:rPr>
        <w:t xml:space="preserve">10. </w:t>
      </w:r>
      <w:r w:rsidR="00480FB1" w:rsidRPr="00750BAE">
        <w:rPr>
          <w:b/>
          <w:bCs/>
          <w:sz w:val="22"/>
          <w:szCs w:val="22"/>
        </w:rPr>
        <w:tab/>
      </w:r>
      <w:r w:rsidR="002846DB" w:rsidRPr="00750BAE">
        <w:rPr>
          <w:b/>
          <w:bCs/>
          <w:sz w:val="22"/>
          <w:szCs w:val="22"/>
        </w:rPr>
        <w:t>D</w:t>
      </w:r>
      <w:r w:rsidR="00EC2532" w:rsidRPr="00750BAE">
        <w:rPr>
          <w:b/>
          <w:bCs/>
          <w:sz w:val="22"/>
          <w:szCs w:val="22"/>
        </w:rPr>
        <w:t xml:space="preserve">ATUM REVIZIJE TEKSTA </w:t>
      </w:r>
    </w:p>
    <w:p w14:paraId="59627E1D" w14:textId="77777777" w:rsidR="003F6A59" w:rsidRPr="00750BAE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4D9EFAD4" w14:textId="5C76F636" w:rsidR="003F6A59" w:rsidRPr="00750BAE" w:rsidRDefault="006350F1" w:rsidP="00DE3F5C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Septembar, 2023. godine</w:t>
      </w:r>
      <w:bookmarkStart w:id="3" w:name="_GoBack"/>
      <w:bookmarkEnd w:id="3"/>
    </w:p>
    <w:sectPr w:rsidR="003F6A59" w:rsidRPr="00750BAE" w:rsidSect="006B5404">
      <w:footerReference w:type="default" r:id="rId17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BD469" w14:textId="77777777" w:rsidR="00632554" w:rsidRDefault="00632554">
      <w:r>
        <w:separator/>
      </w:r>
    </w:p>
  </w:endnote>
  <w:endnote w:type="continuationSeparator" w:id="0">
    <w:p w14:paraId="20550002" w14:textId="77777777" w:rsidR="00632554" w:rsidRDefault="0063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25655763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2A9151" w14:textId="1FF4FEC9" w:rsidR="00D5567D" w:rsidRPr="002B3834" w:rsidRDefault="00D5567D">
            <w:pPr>
              <w:pStyle w:val="Footer"/>
              <w:jc w:val="center"/>
              <w:rPr>
                <w:sz w:val="20"/>
                <w:szCs w:val="20"/>
              </w:rPr>
            </w:pPr>
            <w:r w:rsidRPr="002B3834">
              <w:rPr>
                <w:sz w:val="20"/>
                <w:szCs w:val="20"/>
              </w:rPr>
              <w:t xml:space="preserve"> </w:t>
            </w:r>
            <w:r w:rsidRPr="002B3834">
              <w:rPr>
                <w:bCs/>
                <w:sz w:val="20"/>
                <w:szCs w:val="20"/>
              </w:rPr>
              <w:fldChar w:fldCharType="begin"/>
            </w:r>
            <w:r w:rsidRPr="002B3834">
              <w:rPr>
                <w:bCs/>
                <w:sz w:val="20"/>
                <w:szCs w:val="20"/>
              </w:rPr>
              <w:instrText xml:space="preserve"> PAGE </w:instrText>
            </w:r>
            <w:r w:rsidRPr="002B3834">
              <w:rPr>
                <w:bCs/>
                <w:sz w:val="20"/>
                <w:szCs w:val="20"/>
              </w:rPr>
              <w:fldChar w:fldCharType="separate"/>
            </w:r>
            <w:r w:rsidR="006350F1">
              <w:rPr>
                <w:bCs/>
                <w:noProof/>
                <w:sz w:val="20"/>
                <w:szCs w:val="20"/>
              </w:rPr>
              <w:t>11</w:t>
            </w:r>
            <w:r w:rsidRPr="002B3834">
              <w:rPr>
                <w:bCs/>
                <w:sz w:val="20"/>
                <w:szCs w:val="20"/>
              </w:rPr>
              <w:fldChar w:fldCharType="end"/>
            </w:r>
            <w:r w:rsidRPr="002B3834">
              <w:rPr>
                <w:sz w:val="20"/>
                <w:szCs w:val="20"/>
              </w:rPr>
              <w:t xml:space="preserve">/ </w:t>
            </w:r>
            <w:r w:rsidRPr="002B3834">
              <w:rPr>
                <w:bCs/>
                <w:sz w:val="20"/>
                <w:szCs w:val="20"/>
              </w:rPr>
              <w:fldChar w:fldCharType="begin"/>
            </w:r>
            <w:r w:rsidRPr="002B3834">
              <w:rPr>
                <w:bCs/>
                <w:sz w:val="20"/>
                <w:szCs w:val="20"/>
              </w:rPr>
              <w:instrText xml:space="preserve"> NUMPAGES  </w:instrText>
            </w:r>
            <w:r w:rsidRPr="002B3834">
              <w:rPr>
                <w:bCs/>
                <w:sz w:val="20"/>
                <w:szCs w:val="20"/>
              </w:rPr>
              <w:fldChar w:fldCharType="separate"/>
            </w:r>
            <w:r w:rsidR="006350F1">
              <w:rPr>
                <w:bCs/>
                <w:noProof/>
                <w:sz w:val="20"/>
                <w:szCs w:val="20"/>
              </w:rPr>
              <w:t>21</w:t>
            </w:r>
            <w:r w:rsidRPr="002B3834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D34C5BF" w14:textId="77777777" w:rsidR="00D5567D" w:rsidRPr="002B3834" w:rsidRDefault="00D55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7F83B" w14:textId="0F97C7EA" w:rsidR="00D5567D" w:rsidRPr="00B23F69" w:rsidRDefault="00D5567D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6350F1">
      <w:rPr>
        <w:noProof/>
        <w:sz w:val="22"/>
        <w:szCs w:val="22"/>
      </w:rPr>
      <w:t>21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6350F1">
      <w:rPr>
        <w:noProof/>
        <w:sz w:val="22"/>
        <w:szCs w:val="22"/>
      </w:rPr>
      <w:t>21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21A5B" w14:textId="77777777" w:rsidR="00632554" w:rsidRDefault="00632554">
      <w:r>
        <w:separator/>
      </w:r>
    </w:p>
  </w:footnote>
  <w:footnote w:type="continuationSeparator" w:id="0">
    <w:p w14:paraId="413E7EE9" w14:textId="77777777" w:rsidR="00632554" w:rsidRDefault="00632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0416ADB"/>
    <w:multiLevelType w:val="hybridMultilevel"/>
    <w:tmpl w:val="40066FB4"/>
    <w:lvl w:ilvl="0" w:tplc="B37C5384">
      <w:start w:val="1"/>
      <w:numFmt w:val="bullet"/>
      <w:lvlText w:val=""/>
      <w:lvlJc w:val="left"/>
      <w:pPr>
        <w:ind w:left="682" w:hanging="567"/>
      </w:pPr>
      <w:rPr>
        <w:rFonts w:ascii="Symbol" w:eastAsia="Symbol" w:hAnsi="Symbol" w:hint="default"/>
        <w:sz w:val="22"/>
        <w:szCs w:val="22"/>
      </w:rPr>
    </w:lvl>
    <w:lvl w:ilvl="1" w:tplc="53EE31E6">
      <w:start w:val="1"/>
      <w:numFmt w:val="bullet"/>
      <w:lvlText w:val="•"/>
      <w:lvlJc w:val="left"/>
      <w:pPr>
        <w:ind w:left="1543" w:hanging="567"/>
      </w:pPr>
    </w:lvl>
    <w:lvl w:ilvl="2" w:tplc="CC3EF1B0">
      <w:start w:val="1"/>
      <w:numFmt w:val="bullet"/>
      <w:lvlText w:val="•"/>
      <w:lvlJc w:val="left"/>
      <w:pPr>
        <w:ind w:left="2403" w:hanging="567"/>
      </w:pPr>
    </w:lvl>
    <w:lvl w:ilvl="3" w:tplc="8354B4EA">
      <w:start w:val="1"/>
      <w:numFmt w:val="bullet"/>
      <w:lvlText w:val="•"/>
      <w:lvlJc w:val="left"/>
      <w:pPr>
        <w:ind w:left="3264" w:hanging="567"/>
      </w:pPr>
    </w:lvl>
    <w:lvl w:ilvl="4" w:tplc="E5EC3E3C">
      <w:start w:val="1"/>
      <w:numFmt w:val="bullet"/>
      <w:lvlText w:val="•"/>
      <w:lvlJc w:val="left"/>
      <w:pPr>
        <w:ind w:left="4125" w:hanging="567"/>
      </w:pPr>
    </w:lvl>
    <w:lvl w:ilvl="5" w:tplc="170A5F7E">
      <w:start w:val="1"/>
      <w:numFmt w:val="bullet"/>
      <w:lvlText w:val="•"/>
      <w:lvlJc w:val="left"/>
      <w:pPr>
        <w:ind w:left="4985" w:hanging="567"/>
      </w:pPr>
    </w:lvl>
    <w:lvl w:ilvl="6" w:tplc="D652A8A8">
      <w:start w:val="1"/>
      <w:numFmt w:val="bullet"/>
      <w:lvlText w:val="•"/>
      <w:lvlJc w:val="left"/>
      <w:pPr>
        <w:ind w:left="5846" w:hanging="567"/>
      </w:pPr>
    </w:lvl>
    <w:lvl w:ilvl="7" w:tplc="C07E1A54">
      <w:start w:val="1"/>
      <w:numFmt w:val="bullet"/>
      <w:lvlText w:val="•"/>
      <w:lvlJc w:val="left"/>
      <w:pPr>
        <w:ind w:left="6706" w:hanging="567"/>
      </w:pPr>
    </w:lvl>
    <w:lvl w:ilvl="8" w:tplc="5CC6870C">
      <w:start w:val="1"/>
      <w:numFmt w:val="bullet"/>
      <w:lvlText w:val="•"/>
      <w:lvlJc w:val="left"/>
      <w:pPr>
        <w:ind w:left="7567" w:hanging="567"/>
      </w:pPr>
    </w:lvl>
  </w:abstractNum>
  <w:abstractNum w:abstractNumId="8" w15:restartNumberingAfterBreak="0">
    <w:nsid w:val="46BC5660"/>
    <w:multiLevelType w:val="hybridMultilevel"/>
    <w:tmpl w:val="AF9808A6"/>
    <w:lvl w:ilvl="0" w:tplc="029469BE">
      <w:start w:val="1"/>
      <w:numFmt w:val="bullet"/>
      <w:lvlText w:val=""/>
      <w:lvlJc w:val="left"/>
      <w:pPr>
        <w:ind w:left="682" w:hanging="567"/>
      </w:pPr>
      <w:rPr>
        <w:rFonts w:ascii="Symbol" w:eastAsia="Symbol" w:hAnsi="Symbol" w:hint="default"/>
        <w:sz w:val="24"/>
        <w:szCs w:val="24"/>
      </w:rPr>
    </w:lvl>
    <w:lvl w:ilvl="1" w:tplc="2878FAD0">
      <w:start w:val="1"/>
      <w:numFmt w:val="bullet"/>
      <w:lvlText w:val="•"/>
      <w:lvlJc w:val="left"/>
      <w:pPr>
        <w:ind w:left="1543" w:hanging="567"/>
      </w:pPr>
    </w:lvl>
    <w:lvl w:ilvl="2" w:tplc="CAFA6358">
      <w:start w:val="1"/>
      <w:numFmt w:val="bullet"/>
      <w:lvlText w:val="•"/>
      <w:lvlJc w:val="left"/>
      <w:pPr>
        <w:ind w:left="2403" w:hanging="567"/>
      </w:pPr>
    </w:lvl>
    <w:lvl w:ilvl="3" w:tplc="AF76E3AC">
      <w:start w:val="1"/>
      <w:numFmt w:val="bullet"/>
      <w:lvlText w:val="•"/>
      <w:lvlJc w:val="left"/>
      <w:pPr>
        <w:ind w:left="3264" w:hanging="567"/>
      </w:pPr>
    </w:lvl>
    <w:lvl w:ilvl="4" w:tplc="D10C5DD8">
      <w:start w:val="1"/>
      <w:numFmt w:val="bullet"/>
      <w:lvlText w:val="•"/>
      <w:lvlJc w:val="left"/>
      <w:pPr>
        <w:ind w:left="4124" w:hanging="567"/>
      </w:pPr>
    </w:lvl>
    <w:lvl w:ilvl="5" w:tplc="B7942B9A">
      <w:start w:val="1"/>
      <w:numFmt w:val="bullet"/>
      <w:lvlText w:val="•"/>
      <w:lvlJc w:val="left"/>
      <w:pPr>
        <w:ind w:left="4985" w:hanging="567"/>
      </w:pPr>
    </w:lvl>
    <w:lvl w:ilvl="6" w:tplc="01927AAC">
      <w:start w:val="1"/>
      <w:numFmt w:val="bullet"/>
      <w:lvlText w:val="•"/>
      <w:lvlJc w:val="left"/>
      <w:pPr>
        <w:ind w:left="5846" w:hanging="567"/>
      </w:pPr>
    </w:lvl>
    <w:lvl w:ilvl="7" w:tplc="96D05706">
      <w:start w:val="1"/>
      <w:numFmt w:val="bullet"/>
      <w:lvlText w:val="•"/>
      <w:lvlJc w:val="left"/>
      <w:pPr>
        <w:ind w:left="6706" w:hanging="567"/>
      </w:pPr>
    </w:lvl>
    <w:lvl w:ilvl="8" w:tplc="18C6D67E">
      <w:start w:val="1"/>
      <w:numFmt w:val="bullet"/>
      <w:lvlText w:val="•"/>
      <w:lvlJc w:val="left"/>
      <w:pPr>
        <w:ind w:left="7567" w:hanging="567"/>
      </w:pPr>
    </w:lvl>
  </w:abstractNum>
  <w:abstractNum w:abstractNumId="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4D347D7B"/>
    <w:multiLevelType w:val="hybridMultilevel"/>
    <w:tmpl w:val="3C7CE988"/>
    <w:lvl w:ilvl="0" w:tplc="AF7A7D46">
      <w:start w:val="1"/>
      <w:numFmt w:val="decimal"/>
      <w:lvlText w:val="%1"/>
      <w:lvlJc w:val="left"/>
      <w:pPr>
        <w:ind w:left="116" w:hanging="169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6E3EBC62">
      <w:start w:val="1"/>
      <w:numFmt w:val="bullet"/>
      <w:lvlText w:val="•"/>
      <w:lvlJc w:val="left"/>
      <w:pPr>
        <w:ind w:left="1031" w:hanging="169"/>
      </w:pPr>
    </w:lvl>
    <w:lvl w:ilvl="2" w:tplc="7D28D76A">
      <w:start w:val="1"/>
      <w:numFmt w:val="bullet"/>
      <w:lvlText w:val="•"/>
      <w:lvlJc w:val="left"/>
      <w:pPr>
        <w:ind w:left="1946" w:hanging="169"/>
      </w:pPr>
    </w:lvl>
    <w:lvl w:ilvl="3" w:tplc="A89C1358">
      <w:start w:val="1"/>
      <w:numFmt w:val="bullet"/>
      <w:lvlText w:val="•"/>
      <w:lvlJc w:val="left"/>
      <w:pPr>
        <w:ind w:left="2861" w:hanging="169"/>
      </w:pPr>
    </w:lvl>
    <w:lvl w:ilvl="4" w:tplc="55889314">
      <w:start w:val="1"/>
      <w:numFmt w:val="bullet"/>
      <w:lvlText w:val="•"/>
      <w:lvlJc w:val="left"/>
      <w:pPr>
        <w:ind w:left="3777" w:hanging="169"/>
      </w:pPr>
    </w:lvl>
    <w:lvl w:ilvl="5" w:tplc="E06C2312">
      <w:start w:val="1"/>
      <w:numFmt w:val="bullet"/>
      <w:lvlText w:val="•"/>
      <w:lvlJc w:val="left"/>
      <w:pPr>
        <w:ind w:left="4692" w:hanging="169"/>
      </w:pPr>
    </w:lvl>
    <w:lvl w:ilvl="6" w:tplc="B198815C">
      <w:start w:val="1"/>
      <w:numFmt w:val="bullet"/>
      <w:lvlText w:val="•"/>
      <w:lvlJc w:val="left"/>
      <w:pPr>
        <w:ind w:left="5607" w:hanging="169"/>
      </w:pPr>
    </w:lvl>
    <w:lvl w:ilvl="7" w:tplc="05C226DE">
      <w:start w:val="1"/>
      <w:numFmt w:val="bullet"/>
      <w:lvlText w:val="•"/>
      <w:lvlJc w:val="left"/>
      <w:pPr>
        <w:ind w:left="6523" w:hanging="169"/>
      </w:pPr>
    </w:lvl>
    <w:lvl w:ilvl="8" w:tplc="8318C646">
      <w:start w:val="1"/>
      <w:numFmt w:val="bullet"/>
      <w:lvlText w:val="•"/>
      <w:lvlJc w:val="left"/>
      <w:pPr>
        <w:ind w:left="7438" w:hanging="169"/>
      </w:pPr>
    </w:lvl>
  </w:abstractNum>
  <w:abstractNum w:abstractNumId="11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723707"/>
    <w:multiLevelType w:val="hybridMultilevel"/>
    <w:tmpl w:val="A14C8254"/>
    <w:lvl w:ilvl="0" w:tplc="6338E376">
      <w:start w:val="1"/>
      <w:numFmt w:val="bullet"/>
      <w:lvlText w:val="-"/>
      <w:lvlJc w:val="left"/>
      <w:pPr>
        <w:ind w:left="682" w:hanging="567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E5B0581A">
      <w:start w:val="1"/>
      <w:numFmt w:val="bullet"/>
      <w:lvlText w:val="•"/>
      <w:lvlJc w:val="left"/>
      <w:pPr>
        <w:ind w:left="1543" w:hanging="567"/>
      </w:pPr>
    </w:lvl>
    <w:lvl w:ilvl="2" w:tplc="3A3EDC64">
      <w:start w:val="1"/>
      <w:numFmt w:val="bullet"/>
      <w:lvlText w:val="•"/>
      <w:lvlJc w:val="left"/>
      <w:pPr>
        <w:ind w:left="2404" w:hanging="567"/>
      </w:pPr>
    </w:lvl>
    <w:lvl w:ilvl="3" w:tplc="72B60C20">
      <w:start w:val="1"/>
      <w:numFmt w:val="bullet"/>
      <w:lvlText w:val="•"/>
      <w:lvlJc w:val="left"/>
      <w:pPr>
        <w:ind w:left="3264" w:hanging="567"/>
      </w:pPr>
    </w:lvl>
    <w:lvl w:ilvl="4" w:tplc="8202E484">
      <w:start w:val="1"/>
      <w:numFmt w:val="bullet"/>
      <w:lvlText w:val="•"/>
      <w:lvlJc w:val="left"/>
      <w:pPr>
        <w:ind w:left="4125" w:hanging="567"/>
      </w:pPr>
    </w:lvl>
    <w:lvl w:ilvl="5" w:tplc="245AFCE6">
      <w:start w:val="1"/>
      <w:numFmt w:val="bullet"/>
      <w:lvlText w:val="•"/>
      <w:lvlJc w:val="left"/>
      <w:pPr>
        <w:ind w:left="4985" w:hanging="567"/>
      </w:pPr>
    </w:lvl>
    <w:lvl w:ilvl="6" w:tplc="A408593E">
      <w:start w:val="1"/>
      <w:numFmt w:val="bullet"/>
      <w:lvlText w:val="•"/>
      <w:lvlJc w:val="left"/>
      <w:pPr>
        <w:ind w:left="5846" w:hanging="567"/>
      </w:pPr>
    </w:lvl>
    <w:lvl w:ilvl="7" w:tplc="FCD89D9A">
      <w:start w:val="1"/>
      <w:numFmt w:val="bullet"/>
      <w:lvlText w:val="•"/>
      <w:lvlJc w:val="left"/>
      <w:pPr>
        <w:ind w:left="6707" w:hanging="567"/>
      </w:pPr>
    </w:lvl>
    <w:lvl w:ilvl="8" w:tplc="9A4A8670">
      <w:start w:val="1"/>
      <w:numFmt w:val="bullet"/>
      <w:lvlText w:val="•"/>
      <w:lvlJc w:val="left"/>
      <w:pPr>
        <w:ind w:left="7567" w:hanging="567"/>
      </w:pPr>
    </w:lvl>
  </w:abstractNum>
  <w:abstractNum w:abstractNumId="14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30E54"/>
    <w:multiLevelType w:val="hybridMultilevel"/>
    <w:tmpl w:val="B8EE035C"/>
    <w:lvl w:ilvl="0" w:tplc="31C81DEE">
      <w:start w:val="1"/>
      <w:numFmt w:val="bullet"/>
      <w:lvlText w:val=""/>
      <w:lvlJc w:val="left"/>
      <w:pPr>
        <w:ind w:left="683" w:hanging="567"/>
      </w:pPr>
      <w:rPr>
        <w:rFonts w:ascii="Symbol" w:eastAsia="Symbol" w:hAnsi="Symbol" w:hint="default"/>
        <w:sz w:val="22"/>
        <w:szCs w:val="22"/>
      </w:rPr>
    </w:lvl>
    <w:lvl w:ilvl="1" w:tplc="BDAC0046">
      <w:start w:val="1"/>
      <w:numFmt w:val="bullet"/>
      <w:lvlText w:val="•"/>
      <w:lvlJc w:val="left"/>
      <w:pPr>
        <w:ind w:left="1543" w:hanging="567"/>
      </w:pPr>
    </w:lvl>
    <w:lvl w:ilvl="2" w:tplc="BDACE180">
      <w:start w:val="1"/>
      <w:numFmt w:val="bullet"/>
      <w:lvlText w:val="•"/>
      <w:lvlJc w:val="left"/>
      <w:pPr>
        <w:ind w:left="2404" w:hanging="567"/>
      </w:pPr>
    </w:lvl>
    <w:lvl w:ilvl="3" w:tplc="852ECD4E">
      <w:start w:val="1"/>
      <w:numFmt w:val="bullet"/>
      <w:lvlText w:val="•"/>
      <w:lvlJc w:val="left"/>
      <w:pPr>
        <w:ind w:left="3264" w:hanging="567"/>
      </w:pPr>
    </w:lvl>
    <w:lvl w:ilvl="4" w:tplc="ACD61E12">
      <w:start w:val="1"/>
      <w:numFmt w:val="bullet"/>
      <w:lvlText w:val="•"/>
      <w:lvlJc w:val="left"/>
      <w:pPr>
        <w:ind w:left="4125" w:hanging="567"/>
      </w:pPr>
    </w:lvl>
    <w:lvl w:ilvl="5" w:tplc="09E8667C">
      <w:start w:val="1"/>
      <w:numFmt w:val="bullet"/>
      <w:lvlText w:val="•"/>
      <w:lvlJc w:val="left"/>
      <w:pPr>
        <w:ind w:left="4986" w:hanging="567"/>
      </w:pPr>
    </w:lvl>
    <w:lvl w:ilvl="6" w:tplc="0F72D45C">
      <w:start w:val="1"/>
      <w:numFmt w:val="bullet"/>
      <w:lvlText w:val="•"/>
      <w:lvlJc w:val="left"/>
      <w:pPr>
        <w:ind w:left="5846" w:hanging="567"/>
      </w:pPr>
    </w:lvl>
    <w:lvl w:ilvl="7" w:tplc="7CA682B0">
      <w:start w:val="1"/>
      <w:numFmt w:val="bullet"/>
      <w:lvlText w:val="•"/>
      <w:lvlJc w:val="left"/>
      <w:pPr>
        <w:ind w:left="6707" w:hanging="567"/>
      </w:pPr>
    </w:lvl>
    <w:lvl w:ilvl="8" w:tplc="426222C6">
      <w:start w:val="1"/>
      <w:numFmt w:val="bullet"/>
      <w:lvlText w:val="•"/>
      <w:lvlJc w:val="left"/>
      <w:pPr>
        <w:ind w:left="7567" w:hanging="567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1"/>
  </w:num>
  <w:num w:numId="5">
    <w:abstractNumId w:val="4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14"/>
  </w:num>
  <w:num w:numId="11">
    <w:abstractNumId w:val="5"/>
  </w:num>
  <w:num w:numId="12">
    <w:abstractNumId w:val="7"/>
  </w:num>
  <w:num w:numId="13">
    <w:abstractNumId w:val="8"/>
  </w:num>
  <w:num w:numId="14">
    <w:abstractNumId w:val="15"/>
  </w:num>
  <w:num w:numId="15">
    <w:abstractNumId w:val="13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1F91"/>
    <w:rsid w:val="000036DA"/>
    <w:rsid w:val="00005126"/>
    <w:rsid w:val="000176CA"/>
    <w:rsid w:val="00036FA0"/>
    <w:rsid w:val="000378F4"/>
    <w:rsid w:val="0003793F"/>
    <w:rsid w:val="00057E35"/>
    <w:rsid w:val="00076726"/>
    <w:rsid w:val="00080303"/>
    <w:rsid w:val="0008044B"/>
    <w:rsid w:val="00092916"/>
    <w:rsid w:val="000A3F58"/>
    <w:rsid w:val="000C092A"/>
    <w:rsid w:val="000D2343"/>
    <w:rsid w:val="000D3449"/>
    <w:rsid w:val="000D425A"/>
    <w:rsid w:val="000D60CC"/>
    <w:rsid w:val="000E2084"/>
    <w:rsid w:val="000E2BE3"/>
    <w:rsid w:val="000E6D63"/>
    <w:rsid w:val="000E6F55"/>
    <w:rsid w:val="000F77FA"/>
    <w:rsid w:val="00107BF7"/>
    <w:rsid w:val="00116E62"/>
    <w:rsid w:val="00126F53"/>
    <w:rsid w:val="00132BCB"/>
    <w:rsid w:val="00142AD8"/>
    <w:rsid w:val="0014766D"/>
    <w:rsid w:val="001508B5"/>
    <w:rsid w:val="00150C86"/>
    <w:rsid w:val="001536CC"/>
    <w:rsid w:val="00172CEA"/>
    <w:rsid w:val="00177066"/>
    <w:rsid w:val="00190B4B"/>
    <w:rsid w:val="001A19F4"/>
    <w:rsid w:val="001A3FBA"/>
    <w:rsid w:val="001A5518"/>
    <w:rsid w:val="001B1C6A"/>
    <w:rsid w:val="001C1263"/>
    <w:rsid w:val="001C1417"/>
    <w:rsid w:val="001C7447"/>
    <w:rsid w:val="001D75D2"/>
    <w:rsid w:val="001E390B"/>
    <w:rsid w:val="001E5A33"/>
    <w:rsid w:val="001F42FB"/>
    <w:rsid w:val="001F719A"/>
    <w:rsid w:val="002031B3"/>
    <w:rsid w:val="002057AF"/>
    <w:rsid w:val="00215931"/>
    <w:rsid w:val="0022321A"/>
    <w:rsid w:val="00224C91"/>
    <w:rsid w:val="00227BDB"/>
    <w:rsid w:val="00234CB1"/>
    <w:rsid w:val="002352F8"/>
    <w:rsid w:val="002510A5"/>
    <w:rsid w:val="00253923"/>
    <w:rsid w:val="00254A0A"/>
    <w:rsid w:val="00255FA5"/>
    <w:rsid w:val="002629EF"/>
    <w:rsid w:val="00266046"/>
    <w:rsid w:val="002846DB"/>
    <w:rsid w:val="00284CCD"/>
    <w:rsid w:val="002955FD"/>
    <w:rsid w:val="002B3834"/>
    <w:rsid w:val="002B7901"/>
    <w:rsid w:val="002C6637"/>
    <w:rsid w:val="002E0135"/>
    <w:rsid w:val="002E37A5"/>
    <w:rsid w:val="00310F03"/>
    <w:rsid w:val="003247D2"/>
    <w:rsid w:val="00334E22"/>
    <w:rsid w:val="00335B34"/>
    <w:rsid w:val="003445C1"/>
    <w:rsid w:val="00355B61"/>
    <w:rsid w:val="00362686"/>
    <w:rsid w:val="00371510"/>
    <w:rsid w:val="0037575D"/>
    <w:rsid w:val="00396DFD"/>
    <w:rsid w:val="003A2150"/>
    <w:rsid w:val="003A7059"/>
    <w:rsid w:val="003B4A63"/>
    <w:rsid w:val="003B7A36"/>
    <w:rsid w:val="003C17AB"/>
    <w:rsid w:val="003C61D8"/>
    <w:rsid w:val="003C7823"/>
    <w:rsid w:val="003D0800"/>
    <w:rsid w:val="003E1DCC"/>
    <w:rsid w:val="003E34EF"/>
    <w:rsid w:val="003F0FBF"/>
    <w:rsid w:val="003F11A1"/>
    <w:rsid w:val="003F15CD"/>
    <w:rsid w:val="003F6A59"/>
    <w:rsid w:val="00400315"/>
    <w:rsid w:val="00405023"/>
    <w:rsid w:val="004055A7"/>
    <w:rsid w:val="004065C8"/>
    <w:rsid w:val="004109FA"/>
    <w:rsid w:val="00411B4B"/>
    <w:rsid w:val="00415BEE"/>
    <w:rsid w:val="004263FD"/>
    <w:rsid w:val="00427F85"/>
    <w:rsid w:val="00436F42"/>
    <w:rsid w:val="004378B4"/>
    <w:rsid w:val="00451314"/>
    <w:rsid w:val="00452E9D"/>
    <w:rsid w:val="004534C7"/>
    <w:rsid w:val="00453DDE"/>
    <w:rsid w:val="00463CE1"/>
    <w:rsid w:val="004671AA"/>
    <w:rsid w:val="00473003"/>
    <w:rsid w:val="00480FB1"/>
    <w:rsid w:val="00483928"/>
    <w:rsid w:val="004A63C1"/>
    <w:rsid w:val="004B0373"/>
    <w:rsid w:val="004B472C"/>
    <w:rsid w:val="004B4C9F"/>
    <w:rsid w:val="004C331F"/>
    <w:rsid w:val="004D56DD"/>
    <w:rsid w:val="004D6103"/>
    <w:rsid w:val="004E3BCE"/>
    <w:rsid w:val="004E70AD"/>
    <w:rsid w:val="004F0E97"/>
    <w:rsid w:val="00501DD1"/>
    <w:rsid w:val="00515C21"/>
    <w:rsid w:val="00530BD7"/>
    <w:rsid w:val="00545CD2"/>
    <w:rsid w:val="005476F3"/>
    <w:rsid w:val="00553574"/>
    <w:rsid w:val="00567FA3"/>
    <w:rsid w:val="00572527"/>
    <w:rsid w:val="00573E40"/>
    <w:rsid w:val="00576348"/>
    <w:rsid w:val="005A06B9"/>
    <w:rsid w:val="005A0B2E"/>
    <w:rsid w:val="005A23D2"/>
    <w:rsid w:val="005A36CB"/>
    <w:rsid w:val="005A3B91"/>
    <w:rsid w:val="005B0268"/>
    <w:rsid w:val="005B49B8"/>
    <w:rsid w:val="005C0741"/>
    <w:rsid w:val="005C5726"/>
    <w:rsid w:val="005C5EF4"/>
    <w:rsid w:val="005E2E0B"/>
    <w:rsid w:val="005E7A7D"/>
    <w:rsid w:val="005F4039"/>
    <w:rsid w:val="005F44D1"/>
    <w:rsid w:val="006012A5"/>
    <w:rsid w:val="00602457"/>
    <w:rsid w:val="00632554"/>
    <w:rsid w:val="006350F1"/>
    <w:rsid w:val="00644FC3"/>
    <w:rsid w:val="00646BD1"/>
    <w:rsid w:val="00646EA3"/>
    <w:rsid w:val="006561C2"/>
    <w:rsid w:val="00661C2A"/>
    <w:rsid w:val="00671CB3"/>
    <w:rsid w:val="00674BAF"/>
    <w:rsid w:val="00675CD9"/>
    <w:rsid w:val="00682200"/>
    <w:rsid w:val="00685B6B"/>
    <w:rsid w:val="0069098C"/>
    <w:rsid w:val="00692BF6"/>
    <w:rsid w:val="006A1497"/>
    <w:rsid w:val="006B0BD1"/>
    <w:rsid w:val="006B5404"/>
    <w:rsid w:val="006B7EE5"/>
    <w:rsid w:val="006D0DCA"/>
    <w:rsid w:val="006D20A5"/>
    <w:rsid w:val="006D37BF"/>
    <w:rsid w:val="006D501D"/>
    <w:rsid w:val="00702E22"/>
    <w:rsid w:val="0072020E"/>
    <w:rsid w:val="0073013B"/>
    <w:rsid w:val="007460F5"/>
    <w:rsid w:val="00750BAE"/>
    <w:rsid w:val="00786071"/>
    <w:rsid w:val="007A3ECB"/>
    <w:rsid w:val="007D298E"/>
    <w:rsid w:val="007D7BB3"/>
    <w:rsid w:val="00807D38"/>
    <w:rsid w:val="00811CCE"/>
    <w:rsid w:val="008246C8"/>
    <w:rsid w:val="00824AB9"/>
    <w:rsid w:val="00831A7E"/>
    <w:rsid w:val="00836B35"/>
    <w:rsid w:val="00843BDE"/>
    <w:rsid w:val="00846F02"/>
    <w:rsid w:val="008735CF"/>
    <w:rsid w:val="0087588C"/>
    <w:rsid w:val="00884610"/>
    <w:rsid w:val="0089705C"/>
    <w:rsid w:val="008A455C"/>
    <w:rsid w:val="008A6D43"/>
    <w:rsid w:val="008B491E"/>
    <w:rsid w:val="008C1A28"/>
    <w:rsid w:val="008C2E98"/>
    <w:rsid w:val="008C41BF"/>
    <w:rsid w:val="008E49BD"/>
    <w:rsid w:val="008E53E9"/>
    <w:rsid w:val="008E5771"/>
    <w:rsid w:val="008F4ACF"/>
    <w:rsid w:val="00914015"/>
    <w:rsid w:val="00924166"/>
    <w:rsid w:val="00935514"/>
    <w:rsid w:val="00940B9B"/>
    <w:rsid w:val="0094779A"/>
    <w:rsid w:val="0095676E"/>
    <w:rsid w:val="00956983"/>
    <w:rsid w:val="00963CF0"/>
    <w:rsid w:val="00964BB1"/>
    <w:rsid w:val="009775D9"/>
    <w:rsid w:val="00996EA6"/>
    <w:rsid w:val="00997175"/>
    <w:rsid w:val="009A1847"/>
    <w:rsid w:val="009B062A"/>
    <w:rsid w:val="009C7F5B"/>
    <w:rsid w:val="009E7C6F"/>
    <w:rsid w:val="009F1793"/>
    <w:rsid w:val="009F2D23"/>
    <w:rsid w:val="00A01D69"/>
    <w:rsid w:val="00A02335"/>
    <w:rsid w:val="00A02E9B"/>
    <w:rsid w:val="00A40747"/>
    <w:rsid w:val="00A46C9A"/>
    <w:rsid w:val="00A619F3"/>
    <w:rsid w:val="00A62A73"/>
    <w:rsid w:val="00A657ED"/>
    <w:rsid w:val="00A83B47"/>
    <w:rsid w:val="00A87FF6"/>
    <w:rsid w:val="00AA0A3B"/>
    <w:rsid w:val="00AA2763"/>
    <w:rsid w:val="00AA33B6"/>
    <w:rsid w:val="00AA76E2"/>
    <w:rsid w:val="00AB0C79"/>
    <w:rsid w:val="00AB50CA"/>
    <w:rsid w:val="00AB6D64"/>
    <w:rsid w:val="00AB715A"/>
    <w:rsid w:val="00AC53CE"/>
    <w:rsid w:val="00AD2193"/>
    <w:rsid w:val="00AF2AC7"/>
    <w:rsid w:val="00AF74CE"/>
    <w:rsid w:val="00B208DB"/>
    <w:rsid w:val="00B20A37"/>
    <w:rsid w:val="00B212A3"/>
    <w:rsid w:val="00B23F69"/>
    <w:rsid w:val="00B318C7"/>
    <w:rsid w:val="00B44FEE"/>
    <w:rsid w:val="00B53AD3"/>
    <w:rsid w:val="00B550EE"/>
    <w:rsid w:val="00B60619"/>
    <w:rsid w:val="00B66A70"/>
    <w:rsid w:val="00B67366"/>
    <w:rsid w:val="00B72231"/>
    <w:rsid w:val="00B80EE1"/>
    <w:rsid w:val="00B84135"/>
    <w:rsid w:val="00B84A14"/>
    <w:rsid w:val="00B955BF"/>
    <w:rsid w:val="00B96351"/>
    <w:rsid w:val="00B9775A"/>
    <w:rsid w:val="00BA1DAA"/>
    <w:rsid w:val="00BB2A2E"/>
    <w:rsid w:val="00BC3A3A"/>
    <w:rsid w:val="00BC3BCD"/>
    <w:rsid w:val="00C04D34"/>
    <w:rsid w:val="00C05DF8"/>
    <w:rsid w:val="00C06864"/>
    <w:rsid w:val="00C10F54"/>
    <w:rsid w:val="00C20B66"/>
    <w:rsid w:val="00C23D8D"/>
    <w:rsid w:val="00C37AA3"/>
    <w:rsid w:val="00C37FD7"/>
    <w:rsid w:val="00C43419"/>
    <w:rsid w:val="00C44CF3"/>
    <w:rsid w:val="00C61BE0"/>
    <w:rsid w:val="00C62DA4"/>
    <w:rsid w:val="00C6707E"/>
    <w:rsid w:val="00C70B0E"/>
    <w:rsid w:val="00C773CA"/>
    <w:rsid w:val="00C81C61"/>
    <w:rsid w:val="00C83785"/>
    <w:rsid w:val="00C94C0D"/>
    <w:rsid w:val="00CA0602"/>
    <w:rsid w:val="00CA1FEB"/>
    <w:rsid w:val="00CC16A1"/>
    <w:rsid w:val="00CD4F85"/>
    <w:rsid w:val="00CD5E12"/>
    <w:rsid w:val="00CD6F02"/>
    <w:rsid w:val="00CE05FB"/>
    <w:rsid w:val="00CE246D"/>
    <w:rsid w:val="00CF07A0"/>
    <w:rsid w:val="00CF3E03"/>
    <w:rsid w:val="00D0082A"/>
    <w:rsid w:val="00D21455"/>
    <w:rsid w:val="00D322E5"/>
    <w:rsid w:val="00D47634"/>
    <w:rsid w:val="00D47673"/>
    <w:rsid w:val="00D5567D"/>
    <w:rsid w:val="00D709B3"/>
    <w:rsid w:val="00D84132"/>
    <w:rsid w:val="00D93541"/>
    <w:rsid w:val="00DA2ED6"/>
    <w:rsid w:val="00DA7905"/>
    <w:rsid w:val="00DB76B8"/>
    <w:rsid w:val="00DC2EA1"/>
    <w:rsid w:val="00DD6AAF"/>
    <w:rsid w:val="00DD7D46"/>
    <w:rsid w:val="00DE3F5C"/>
    <w:rsid w:val="00DF1D20"/>
    <w:rsid w:val="00E02067"/>
    <w:rsid w:val="00E21324"/>
    <w:rsid w:val="00E246B9"/>
    <w:rsid w:val="00E31FEA"/>
    <w:rsid w:val="00E329A2"/>
    <w:rsid w:val="00E44A7F"/>
    <w:rsid w:val="00E45169"/>
    <w:rsid w:val="00E45E91"/>
    <w:rsid w:val="00E47787"/>
    <w:rsid w:val="00E51C30"/>
    <w:rsid w:val="00E64180"/>
    <w:rsid w:val="00E64BFF"/>
    <w:rsid w:val="00E74AEE"/>
    <w:rsid w:val="00E868E5"/>
    <w:rsid w:val="00E9237A"/>
    <w:rsid w:val="00E939FA"/>
    <w:rsid w:val="00EA5765"/>
    <w:rsid w:val="00EC2532"/>
    <w:rsid w:val="00ED0119"/>
    <w:rsid w:val="00ED7812"/>
    <w:rsid w:val="00EF3B86"/>
    <w:rsid w:val="00F061EE"/>
    <w:rsid w:val="00F13949"/>
    <w:rsid w:val="00F2470A"/>
    <w:rsid w:val="00F317E9"/>
    <w:rsid w:val="00F31838"/>
    <w:rsid w:val="00F34554"/>
    <w:rsid w:val="00F45F77"/>
    <w:rsid w:val="00F5167F"/>
    <w:rsid w:val="00F52258"/>
    <w:rsid w:val="00F67F16"/>
    <w:rsid w:val="00F7214A"/>
    <w:rsid w:val="00F8570A"/>
    <w:rsid w:val="00F91C7B"/>
    <w:rsid w:val="00F921F7"/>
    <w:rsid w:val="00FC3D31"/>
    <w:rsid w:val="00FD087B"/>
    <w:rsid w:val="00FE676F"/>
    <w:rsid w:val="00FE729A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3F4E9E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C3A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BC3A3A"/>
    <w:pPr>
      <w:widowControl w:val="0"/>
      <w:ind w:left="115"/>
    </w:pPr>
    <w:rPr>
      <w:rFonts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C3A3A"/>
    <w:rPr>
      <w:rFonts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BC3A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C3A3A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B0373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253923"/>
    <w:rPr>
      <w:sz w:val="24"/>
      <w:szCs w:val="24"/>
      <w:lang w:val="en-US" w:eastAsia="en-US"/>
    </w:rPr>
  </w:style>
  <w:style w:type="paragraph" w:customStyle="1" w:styleId="Default">
    <w:name w:val="Default"/>
    <w:rsid w:val="000378F4"/>
    <w:pPr>
      <w:autoSpaceDE w:val="0"/>
      <w:autoSpaceDN w:val="0"/>
      <w:adjustRightInd w:val="0"/>
    </w:pPr>
    <w:rPr>
      <w:color w:val="000000"/>
      <w:sz w:val="24"/>
      <w:szCs w:val="24"/>
      <w:lang w:val="sr-Latn-RS" w:eastAsia="en-US"/>
    </w:rPr>
  </w:style>
  <w:style w:type="table" w:styleId="TableGrid">
    <w:name w:val="Table Grid"/>
    <w:basedOn w:val="TableNormal"/>
    <w:rsid w:val="000378F4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zeljenadejstva@cinmed.m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inmed.m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imaryreporting.who-umc.org/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2dd15-0cc3-46e3-907b-6b87426d7430">
      <Value>767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190549BEED489CAEEBE10B944C4E" ma:contentTypeVersion="25" ma:contentTypeDescription="Create a new document." ma:contentTypeScope="" ma:versionID="f11813e5a6014cb953ceb8098258989e">
  <xsd:schema xmlns:xsd="http://www.w3.org/2001/XMLSchema" xmlns:xs="http://www.w3.org/2001/XMLSchema" xmlns:p="http://schemas.microsoft.com/office/2006/metadata/properties" xmlns:ns2="b952dd15-0cc3-46e3-907b-6b87426d7430" targetNamespace="http://schemas.microsoft.com/office/2006/metadata/properties" ma:root="true" ma:fieldsID="c8f486b0a33c4f0d126ae4bfecb122ea" ns2:_="">
    <xsd:import namespace="b952dd15-0cc3-46e3-907b-6b87426d743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2dd15-0cc3-46e3-907b-6b87426d743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c487ea8-5e15-4499-a51c-3ffa2a75685b}" ma:internalName="TaxCatchAll" ma:showField="CatchAllData" ma:web="b952dd15-0cc3-46e3-907b-6b8742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c487ea8-5e15-4499-a51c-3ffa2a75685b}" ma:internalName="TaxCatchAllLabel" ma:readOnly="true" ma:showField="CatchAllDataLabel" ma:web="b952dd15-0cc3-46e3-907b-6b8742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B1314-71DC-4BF8-B9CD-455FAD3A2369}">
  <ds:schemaRefs>
    <ds:schemaRef ds:uri="http://schemas.microsoft.com/office/2006/metadata/properties"/>
    <ds:schemaRef ds:uri="http://schemas.microsoft.com/office/infopath/2007/PartnerControls"/>
    <ds:schemaRef ds:uri="b952dd15-0cc3-46e3-907b-6b87426d7430"/>
  </ds:schemaRefs>
</ds:datastoreItem>
</file>

<file path=customXml/itemProps2.xml><?xml version="1.0" encoding="utf-8"?>
<ds:datastoreItem xmlns:ds="http://schemas.openxmlformats.org/officeDocument/2006/customXml" ds:itemID="{73198DFD-B0FE-49A7-A0B4-048E6A7A40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1C86A7-D0AF-4A96-9DEB-B5D642166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2dd15-0cc3-46e3-907b-6b87426d7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60C358-D8BA-44E0-9458-0D3382C4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9423</Words>
  <Characters>53712</Characters>
  <Application>Microsoft Office Word</Application>
  <DocSecurity>0</DocSecurity>
  <Lines>447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63009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Ljumović</cp:lastModifiedBy>
  <cp:revision>3</cp:revision>
  <dcterms:created xsi:type="dcterms:W3CDTF">2023-09-12T07:09:00Z</dcterms:created>
  <dcterms:modified xsi:type="dcterms:W3CDTF">2023-09-12T07:10:00Z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j989daef41b9495a8fbce00462fa7651">
    <vt:lpwstr/>
  </property>
  <property fmtid="{D5CDD505-2E9C-101B-9397-08002B2CF9AE}" pid="4" name="Market">
    <vt:lpwstr/>
  </property>
  <property fmtid="{D5CDD505-2E9C-101B-9397-08002B2CF9AE}" pid="5" name="Year">
    <vt:lpwstr>767;#2021|bdef83c5-aafc-43a4-ab85-d37a464e3076</vt:lpwstr>
  </property>
  <property fmtid="{D5CDD505-2E9C-101B-9397-08002B2CF9AE}" pid="6" name="Product">
    <vt:lpwstr/>
  </property>
  <property fmtid="{D5CDD505-2E9C-101B-9397-08002B2CF9AE}" pid="7" name="ContentTypeId">
    <vt:lpwstr>0x010100F194190549BEED489CAEEBE10B944C4E</vt:lpwstr>
  </property>
  <property fmtid="{D5CDD505-2E9C-101B-9397-08002B2CF9AE}" pid="8" name="nfa878bc9a6d4a39b45b19238f9d72ba">
    <vt:lpwstr>2021|bdef83c5-aafc-43a4-ab85-d37a464e3076</vt:lpwstr>
  </property>
  <property fmtid="{D5CDD505-2E9C-101B-9397-08002B2CF9AE}" pid="9" name="k10395a1545d42c9a28bb8ddc503f409">
    <vt:lpwstr/>
  </property>
</Properties>
</file>