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0DDB7" w14:textId="63B2C004" w:rsidR="003C17AB" w:rsidRPr="00641EEB" w:rsidRDefault="002510A5" w:rsidP="00641EEB">
      <w:pPr>
        <w:jc w:val="center"/>
        <w:rPr>
          <w:b/>
          <w:bCs/>
          <w:iCs/>
          <w:sz w:val="22"/>
          <w:szCs w:val="22"/>
          <w:u w:val="single"/>
        </w:rPr>
      </w:pPr>
      <w:r w:rsidRPr="002510A5">
        <w:rPr>
          <w:b/>
          <w:bCs/>
          <w:iCs/>
          <w:sz w:val="22"/>
          <w:szCs w:val="22"/>
          <w:u w:val="single"/>
        </w:rPr>
        <w:t>SAŽE</w:t>
      </w:r>
      <w:bookmarkStart w:id="0" w:name="_GoBack"/>
      <w:bookmarkEnd w:id="0"/>
      <w:r w:rsidRPr="002510A5">
        <w:rPr>
          <w:b/>
          <w:bCs/>
          <w:iCs/>
          <w:sz w:val="22"/>
          <w:szCs w:val="22"/>
          <w:u w:val="single"/>
        </w:rPr>
        <w:t>TAK KARAKTERISTIKA LIJEKA</w:t>
      </w:r>
    </w:p>
    <w:p w14:paraId="69791035" w14:textId="77777777" w:rsidR="00DA2DF6" w:rsidRDefault="00DA2DF6" w:rsidP="00641EEB">
      <w:pPr>
        <w:tabs>
          <w:tab w:val="left" w:pos="540"/>
          <w:tab w:val="left" w:pos="569"/>
        </w:tabs>
        <w:rPr>
          <w:noProof/>
          <w:sz w:val="22"/>
          <w:szCs w:val="22"/>
          <w:lang w:val="hr-HR"/>
        </w:rPr>
      </w:pPr>
    </w:p>
    <w:p w14:paraId="1880DDB8" w14:textId="77777777" w:rsidR="00C37FD7" w:rsidRPr="00786071" w:rsidRDefault="00C37FD7" w:rsidP="00641EEB">
      <w:pPr>
        <w:tabs>
          <w:tab w:val="left" w:pos="540"/>
          <w:tab w:val="left" w:pos="569"/>
        </w:tabs>
        <w:rPr>
          <w:bCs/>
          <w:sz w:val="22"/>
          <w:szCs w:val="22"/>
        </w:rPr>
      </w:pPr>
    </w:p>
    <w:p w14:paraId="1880DDB9" w14:textId="77777777" w:rsidR="00411B4B" w:rsidRPr="00786071" w:rsidRDefault="00411B4B" w:rsidP="00641EEB">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1880DDBA" w14:textId="77777777" w:rsidR="00EC2532" w:rsidRPr="00146DC6" w:rsidRDefault="00EC2532" w:rsidP="00641EEB">
      <w:pPr>
        <w:rPr>
          <w:sz w:val="22"/>
          <w:szCs w:val="22"/>
          <w:lang w:val="pl-PL"/>
        </w:rPr>
      </w:pPr>
    </w:p>
    <w:p w14:paraId="29FFA15A" w14:textId="07DDB6D8" w:rsidR="00DA2DF6" w:rsidRPr="00FF2E23" w:rsidRDefault="00DA2DF6" w:rsidP="00641EEB">
      <w:pPr>
        <w:rPr>
          <w:iCs/>
          <w:color w:val="808080"/>
          <w:sz w:val="22"/>
          <w:szCs w:val="22"/>
          <w:lang w:val="sr-Latn-ME"/>
        </w:rPr>
      </w:pPr>
      <w:r w:rsidRPr="00FF2E23">
        <w:rPr>
          <w:iCs/>
          <w:sz w:val="22"/>
          <w:szCs w:val="22"/>
          <w:lang w:val="sr-Latn-ME"/>
        </w:rPr>
        <w:t>Herceptin, 150 mg, prašak za koncentrat za rastvor za infuziju</w:t>
      </w:r>
    </w:p>
    <w:p w14:paraId="68C957FC" w14:textId="77777777" w:rsidR="00844AD7" w:rsidRDefault="00844AD7" w:rsidP="00641EEB">
      <w:pPr>
        <w:rPr>
          <w:sz w:val="22"/>
          <w:szCs w:val="22"/>
          <w:lang w:val="sv-SE"/>
        </w:rPr>
      </w:pPr>
    </w:p>
    <w:p w14:paraId="1880DDBD" w14:textId="72F2D459" w:rsidR="006D20A5" w:rsidRPr="00844AD7" w:rsidRDefault="006D20A5" w:rsidP="00641EEB">
      <w:pPr>
        <w:rPr>
          <w:sz w:val="22"/>
          <w:szCs w:val="22"/>
          <w:lang w:val="sr-Latn-CS"/>
        </w:rPr>
      </w:pPr>
      <w:r w:rsidRPr="00844AD7">
        <w:rPr>
          <w:sz w:val="22"/>
          <w:szCs w:val="22"/>
          <w:lang w:val="sv-SE"/>
        </w:rPr>
        <w:t>INN:</w:t>
      </w:r>
      <w:r w:rsidR="00DA2DF6" w:rsidRPr="00844AD7">
        <w:rPr>
          <w:sz w:val="22"/>
          <w:szCs w:val="22"/>
          <w:lang w:val="sv-SE"/>
        </w:rPr>
        <w:t xml:space="preserve"> trastuzumab</w:t>
      </w:r>
    </w:p>
    <w:p w14:paraId="1880DDBE" w14:textId="77777777" w:rsidR="006D20A5" w:rsidRPr="00786071" w:rsidRDefault="006D20A5" w:rsidP="00641EEB">
      <w:pPr>
        <w:rPr>
          <w:bCs/>
          <w:sz w:val="22"/>
          <w:szCs w:val="22"/>
          <w:lang w:val="sv-SE"/>
        </w:rPr>
      </w:pPr>
    </w:p>
    <w:p w14:paraId="1880DDBF" w14:textId="77777777" w:rsidR="00530BD7" w:rsidRPr="00786071" w:rsidRDefault="00530BD7" w:rsidP="00641EEB">
      <w:pPr>
        <w:rPr>
          <w:bCs/>
          <w:sz w:val="22"/>
          <w:szCs w:val="22"/>
          <w:lang w:val="sv-SE"/>
        </w:rPr>
      </w:pPr>
    </w:p>
    <w:p w14:paraId="1880DDC0" w14:textId="77777777" w:rsidR="00411B4B" w:rsidRPr="00442616" w:rsidRDefault="00411B4B" w:rsidP="00641EEB">
      <w:pPr>
        <w:tabs>
          <w:tab w:val="left" w:pos="540"/>
          <w:tab w:val="left" w:pos="569"/>
        </w:tabs>
        <w:rPr>
          <w:b/>
          <w:bCs/>
          <w:sz w:val="22"/>
          <w:szCs w:val="22"/>
          <w:lang w:val="it-IT"/>
        </w:rPr>
      </w:pPr>
      <w:r w:rsidRPr="00442616">
        <w:rPr>
          <w:b/>
          <w:bCs/>
          <w:sz w:val="22"/>
          <w:szCs w:val="22"/>
          <w:lang w:val="it-IT"/>
        </w:rPr>
        <w:t xml:space="preserve">2. </w:t>
      </w:r>
      <w:r w:rsidR="00F5167F" w:rsidRPr="00442616">
        <w:rPr>
          <w:b/>
          <w:bCs/>
          <w:sz w:val="22"/>
          <w:szCs w:val="22"/>
          <w:lang w:val="it-IT"/>
        </w:rPr>
        <w:tab/>
      </w:r>
      <w:r w:rsidRPr="00442616">
        <w:rPr>
          <w:b/>
          <w:bCs/>
          <w:sz w:val="22"/>
          <w:szCs w:val="22"/>
          <w:lang w:val="it-IT"/>
        </w:rPr>
        <w:t>KVALITATIVNI I KVANTITATIVNI SASTAV</w:t>
      </w:r>
    </w:p>
    <w:p w14:paraId="1880DDC1" w14:textId="77777777" w:rsidR="005A0B2E" w:rsidRPr="00786071" w:rsidRDefault="005A0B2E" w:rsidP="00641EEB">
      <w:pPr>
        <w:rPr>
          <w:sz w:val="22"/>
          <w:szCs w:val="22"/>
          <w:lang w:val="sr-Latn-CS"/>
        </w:rPr>
      </w:pPr>
    </w:p>
    <w:p w14:paraId="7E54E03E" w14:textId="77777777" w:rsidR="00DA2DF6" w:rsidRDefault="00DA2DF6" w:rsidP="00641EEB">
      <w:pPr>
        <w:jc w:val="both"/>
        <w:rPr>
          <w:sz w:val="22"/>
          <w:szCs w:val="22"/>
          <w:lang w:val="sr-Latn-CS"/>
        </w:rPr>
      </w:pPr>
      <w:r>
        <w:rPr>
          <w:sz w:val="22"/>
          <w:szCs w:val="22"/>
          <w:lang w:val="sr-Latn-CS"/>
        </w:rPr>
        <w:t>Jedna bočica sadrži 150 mg trastuzumaba, humanizovanog IgG1 monoklonskog antitijela koje se proizvodi iz ćelijske linije sisara (jajnici kineskog hrčka, CHO) i prečišćava afinitetnom i jonoizmjenjivačkom hromatografijom uključujući specifičnu inaktivaciju virusa i postupke uklanjanja.</w:t>
      </w:r>
    </w:p>
    <w:p w14:paraId="192BB8F7" w14:textId="77777777" w:rsidR="00DA2DF6" w:rsidRDefault="00DA2DF6" w:rsidP="00641EEB">
      <w:pPr>
        <w:jc w:val="both"/>
        <w:rPr>
          <w:sz w:val="22"/>
          <w:szCs w:val="22"/>
          <w:lang w:val="sr-Latn-CS"/>
        </w:rPr>
      </w:pPr>
    </w:p>
    <w:p w14:paraId="3D639ABF" w14:textId="77777777" w:rsidR="00DA2DF6" w:rsidRDefault="00DA2DF6" w:rsidP="00641EEB">
      <w:pPr>
        <w:jc w:val="both"/>
        <w:rPr>
          <w:sz w:val="22"/>
          <w:szCs w:val="22"/>
          <w:lang w:val="sr-Latn-CS"/>
        </w:rPr>
      </w:pPr>
      <w:r>
        <w:rPr>
          <w:sz w:val="22"/>
          <w:szCs w:val="22"/>
          <w:lang w:val="sr-Latn-CS"/>
        </w:rPr>
        <w:t xml:space="preserve">Rekonstituisani rastvor lijeka Herceptin sadrži 21 mg/ml trastuzumaba. </w:t>
      </w:r>
    </w:p>
    <w:p w14:paraId="7993E3CE" w14:textId="77777777" w:rsidR="00DA2DF6" w:rsidRDefault="00DA2DF6" w:rsidP="00641EEB">
      <w:pPr>
        <w:rPr>
          <w:sz w:val="22"/>
          <w:szCs w:val="22"/>
          <w:lang w:val="sr-Latn-CS"/>
        </w:rPr>
      </w:pPr>
    </w:p>
    <w:p w14:paraId="1880DDC2" w14:textId="672B0CB8" w:rsidR="0003793F" w:rsidRPr="00786071" w:rsidRDefault="0003793F" w:rsidP="00BA76B8">
      <w:pPr>
        <w:jc w:val="both"/>
        <w:rPr>
          <w:sz w:val="22"/>
          <w:szCs w:val="22"/>
          <w:lang w:val="sr-Latn-CS"/>
        </w:rPr>
      </w:pPr>
      <w:r w:rsidRPr="00786071">
        <w:rPr>
          <w:sz w:val="22"/>
          <w:szCs w:val="22"/>
          <w:lang w:val="sr-Latn-CS"/>
        </w:rPr>
        <w:t>Za spisak svih ekscipijenasa, pogledati dio 6.1.</w:t>
      </w:r>
    </w:p>
    <w:p w14:paraId="1880DDC3" w14:textId="77777777" w:rsidR="0003793F" w:rsidRDefault="0003793F" w:rsidP="00BA76B8">
      <w:pPr>
        <w:jc w:val="both"/>
        <w:rPr>
          <w:sz w:val="22"/>
          <w:szCs w:val="22"/>
          <w:lang w:val="sr-Latn-CS"/>
        </w:rPr>
      </w:pPr>
    </w:p>
    <w:p w14:paraId="1880DDC4" w14:textId="77777777" w:rsidR="00C37FD7" w:rsidRPr="00786071" w:rsidRDefault="00C37FD7" w:rsidP="00BA76B8">
      <w:pPr>
        <w:jc w:val="both"/>
        <w:rPr>
          <w:sz w:val="22"/>
          <w:szCs w:val="22"/>
          <w:lang w:val="sr-Latn-CS"/>
        </w:rPr>
      </w:pPr>
    </w:p>
    <w:p w14:paraId="1880DDC5" w14:textId="77777777" w:rsidR="00411B4B" w:rsidRPr="00786071" w:rsidRDefault="00411B4B" w:rsidP="00BA76B8">
      <w:pPr>
        <w:tabs>
          <w:tab w:val="left" w:pos="540"/>
          <w:tab w:val="left" w:pos="569"/>
        </w:tabs>
        <w:jc w:val="both"/>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1880DDC6" w14:textId="77777777" w:rsidR="00411B4B" w:rsidRPr="00786071" w:rsidRDefault="00411B4B" w:rsidP="00BA76B8">
      <w:pPr>
        <w:jc w:val="both"/>
        <w:rPr>
          <w:bCs/>
          <w:sz w:val="22"/>
          <w:szCs w:val="22"/>
          <w:lang w:val="sr-Latn-CS"/>
        </w:rPr>
      </w:pPr>
    </w:p>
    <w:p w14:paraId="744FEECD" w14:textId="77777777" w:rsidR="00DA2DF6" w:rsidRDefault="00DA2DF6" w:rsidP="00641EEB">
      <w:pPr>
        <w:jc w:val="both"/>
        <w:rPr>
          <w:sz w:val="22"/>
          <w:szCs w:val="22"/>
          <w:lang w:val="sr-Latn-CS"/>
        </w:rPr>
      </w:pPr>
      <w:r>
        <w:rPr>
          <w:sz w:val="22"/>
          <w:szCs w:val="22"/>
          <w:lang w:val="sr-Latn-CS"/>
        </w:rPr>
        <w:t>Prašak  za koncentrat za rastvor za infuziju.</w:t>
      </w:r>
    </w:p>
    <w:p w14:paraId="398921B7" w14:textId="77777777" w:rsidR="00DA2DF6" w:rsidRDefault="00DA2DF6" w:rsidP="00641EEB">
      <w:pPr>
        <w:jc w:val="both"/>
        <w:rPr>
          <w:sz w:val="22"/>
          <w:szCs w:val="22"/>
          <w:lang w:val="sr-Latn-CS"/>
        </w:rPr>
      </w:pPr>
    </w:p>
    <w:p w14:paraId="1880DDC7" w14:textId="2A677116" w:rsidR="00EC2532" w:rsidRDefault="00DA2DF6" w:rsidP="00BA76B8">
      <w:pPr>
        <w:jc w:val="both"/>
        <w:rPr>
          <w:sz w:val="22"/>
          <w:szCs w:val="22"/>
          <w:lang w:val="sr-Latn-CS"/>
        </w:rPr>
      </w:pPr>
      <w:r>
        <w:rPr>
          <w:sz w:val="22"/>
          <w:szCs w:val="22"/>
          <w:lang w:val="sr-Latn-CS"/>
        </w:rPr>
        <w:t>Liofilizirani prašak bijele do blijedožute boje.</w:t>
      </w:r>
    </w:p>
    <w:p w14:paraId="5D6A3261" w14:textId="77777777" w:rsidR="004F34EB" w:rsidRDefault="004F34EB" w:rsidP="00BA76B8">
      <w:pPr>
        <w:jc w:val="both"/>
        <w:rPr>
          <w:sz w:val="22"/>
          <w:szCs w:val="22"/>
          <w:lang w:val="sr-Latn-CS"/>
        </w:rPr>
      </w:pPr>
    </w:p>
    <w:p w14:paraId="59971C1B" w14:textId="77777777" w:rsidR="00DA2DF6" w:rsidRPr="00786071" w:rsidRDefault="00DA2DF6" w:rsidP="00BA76B8">
      <w:pPr>
        <w:jc w:val="both"/>
        <w:rPr>
          <w:bCs/>
          <w:sz w:val="22"/>
          <w:szCs w:val="22"/>
          <w:lang w:val="sr-Latn-CS"/>
        </w:rPr>
      </w:pPr>
    </w:p>
    <w:p w14:paraId="1880DDC8" w14:textId="77777777" w:rsidR="00411B4B" w:rsidRPr="00442616" w:rsidRDefault="00411B4B" w:rsidP="00BA76B8">
      <w:pPr>
        <w:tabs>
          <w:tab w:val="left" w:pos="540"/>
          <w:tab w:val="left" w:pos="569"/>
        </w:tabs>
        <w:jc w:val="both"/>
        <w:rPr>
          <w:b/>
          <w:bCs/>
          <w:sz w:val="22"/>
          <w:szCs w:val="22"/>
          <w:lang w:val="sr-Latn-CS"/>
        </w:rPr>
      </w:pPr>
      <w:r w:rsidRPr="00442616">
        <w:rPr>
          <w:b/>
          <w:bCs/>
          <w:sz w:val="22"/>
          <w:szCs w:val="22"/>
          <w:lang w:val="sr-Latn-CS"/>
        </w:rPr>
        <w:t xml:space="preserve">4. </w:t>
      </w:r>
      <w:r w:rsidR="00480FB1" w:rsidRPr="00442616">
        <w:rPr>
          <w:b/>
          <w:bCs/>
          <w:sz w:val="22"/>
          <w:szCs w:val="22"/>
          <w:lang w:val="sr-Latn-CS"/>
        </w:rPr>
        <w:tab/>
      </w:r>
      <w:r w:rsidRPr="00786071">
        <w:rPr>
          <w:b/>
          <w:bCs/>
          <w:sz w:val="22"/>
          <w:szCs w:val="22"/>
        </w:rPr>
        <w:t>KLINI</w:t>
      </w:r>
      <w:r w:rsidRPr="00442616">
        <w:rPr>
          <w:b/>
          <w:bCs/>
          <w:sz w:val="22"/>
          <w:szCs w:val="22"/>
          <w:lang w:val="sr-Latn-CS"/>
        </w:rPr>
        <w:t>Č</w:t>
      </w:r>
      <w:r w:rsidRPr="00786071">
        <w:rPr>
          <w:b/>
          <w:bCs/>
          <w:sz w:val="22"/>
          <w:szCs w:val="22"/>
        </w:rPr>
        <w:t>KI</w:t>
      </w:r>
      <w:r w:rsidRPr="00442616">
        <w:rPr>
          <w:b/>
          <w:bCs/>
          <w:sz w:val="22"/>
          <w:szCs w:val="22"/>
          <w:lang w:val="sr-Latn-CS"/>
        </w:rPr>
        <w:t xml:space="preserve"> </w:t>
      </w:r>
      <w:r w:rsidRPr="00786071">
        <w:rPr>
          <w:b/>
          <w:bCs/>
          <w:sz w:val="22"/>
          <w:szCs w:val="22"/>
        </w:rPr>
        <w:t>PODACI</w:t>
      </w:r>
    </w:p>
    <w:p w14:paraId="1880DDC9" w14:textId="77777777" w:rsidR="00CD6F02" w:rsidRPr="00442616" w:rsidRDefault="00CD6F02" w:rsidP="00BA76B8">
      <w:pPr>
        <w:tabs>
          <w:tab w:val="left" w:pos="540"/>
          <w:tab w:val="left" w:pos="569"/>
        </w:tabs>
        <w:jc w:val="both"/>
        <w:rPr>
          <w:bCs/>
          <w:sz w:val="22"/>
          <w:szCs w:val="22"/>
          <w:lang w:val="sr-Latn-CS"/>
        </w:rPr>
      </w:pPr>
    </w:p>
    <w:p w14:paraId="1880DDCA" w14:textId="16C91032" w:rsidR="00411B4B" w:rsidRDefault="00411B4B" w:rsidP="00BA76B8">
      <w:pPr>
        <w:tabs>
          <w:tab w:val="left" w:pos="540"/>
          <w:tab w:val="left" w:pos="569"/>
        </w:tabs>
        <w:jc w:val="both"/>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14:paraId="3A7EFC2C" w14:textId="77777777" w:rsidR="00DA2DF6" w:rsidRPr="00786071" w:rsidRDefault="00DA2DF6" w:rsidP="00BA76B8">
      <w:pPr>
        <w:tabs>
          <w:tab w:val="left" w:pos="540"/>
          <w:tab w:val="left" w:pos="569"/>
        </w:tabs>
        <w:jc w:val="both"/>
        <w:rPr>
          <w:b/>
          <w:bCs/>
          <w:sz w:val="22"/>
          <w:szCs w:val="22"/>
        </w:rPr>
      </w:pPr>
    </w:p>
    <w:p w14:paraId="2447EBC3" w14:textId="77777777" w:rsidR="00DA2DF6" w:rsidRPr="00146DC6" w:rsidRDefault="00DA2DF6" w:rsidP="00BA76B8">
      <w:pPr>
        <w:jc w:val="both"/>
        <w:rPr>
          <w:sz w:val="22"/>
          <w:szCs w:val="22"/>
          <w:u w:val="single"/>
          <w:lang w:val="sr-Latn-CS" w:eastAsia="de-AT"/>
        </w:rPr>
      </w:pPr>
      <w:r w:rsidRPr="00146DC6">
        <w:rPr>
          <w:sz w:val="22"/>
          <w:szCs w:val="22"/>
          <w:u w:val="single"/>
          <w:lang w:val="sr-Latn-CS" w:eastAsia="de-AT"/>
        </w:rPr>
        <w:t>Karcinom dojke</w:t>
      </w:r>
    </w:p>
    <w:p w14:paraId="762C4B3D" w14:textId="77777777" w:rsidR="00DA2DF6" w:rsidRDefault="00DA2DF6" w:rsidP="00BA76B8">
      <w:pPr>
        <w:jc w:val="both"/>
        <w:rPr>
          <w:sz w:val="22"/>
          <w:szCs w:val="22"/>
          <w:lang w:val="sr-Latn-CS" w:eastAsia="de-AT"/>
        </w:rPr>
      </w:pPr>
    </w:p>
    <w:p w14:paraId="1C4F543B" w14:textId="42880F54" w:rsidR="00DA2DF6" w:rsidRDefault="00DA2DF6" w:rsidP="00BA76B8">
      <w:pPr>
        <w:jc w:val="both"/>
        <w:rPr>
          <w:i/>
          <w:sz w:val="22"/>
          <w:szCs w:val="22"/>
          <w:u w:val="single"/>
          <w:lang w:val="sr-Latn-CS" w:eastAsia="de-AT"/>
        </w:rPr>
      </w:pPr>
      <w:r w:rsidRPr="00146DC6">
        <w:rPr>
          <w:i/>
          <w:sz w:val="22"/>
          <w:szCs w:val="22"/>
          <w:u w:val="single"/>
          <w:lang w:val="sr-Latn-CS" w:eastAsia="de-AT"/>
        </w:rPr>
        <w:t xml:space="preserve">Metastatski karcinom dojke </w:t>
      </w:r>
    </w:p>
    <w:p w14:paraId="78C0F3B0" w14:textId="77777777" w:rsidR="00146DC6" w:rsidRPr="00146DC6" w:rsidRDefault="00146DC6" w:rsidP="00BA76B8">
      <w:pPr>
        <w:jc w:val="both"/>
        <w:rPr>
          <w:i/>
          <w:sz w:val="22"/>
          <w:szCs w:val="22"/>
          <w:u w:val="single"/>
          <w:lang w:val="sr-Latn-CS" w:eastAsia="de-AT"/>
        </w:rPr>
      </w:pPr>
    </w:p>
    <w:p w14:paraId="2A5F12A8" w14:textId="43B82E51" w:rsidR="00DA2DF6" w:rsidRDefault="007A6421" w:rsidP="00BA76B8">
      <w:pPr>
        <w:jc w:val="both"/>
        <w:rPr>
          <w:sz w:val="22"/>
          <w:szCs w:val="22"/>
          <w:lang w:val="sr-Latn-CS" w:eastAsia="de-AT"/>
        </w:rPr>
      </w:pPr>
      <w:r>
        <w:rPr>
          <w:sz w:val="22"/>
          <w:szCs w:val="22"/>
          <w:lang w:val="sr-Latn-CS" w:eastAsia="de-AT"/>
        </w:rPr>
        <w:t xml:space="preserve">Lijek </w:t>
      </w:r>
      <w:r w:rsidR="00DA2DF6">
        <w:rPr>
          <w:sz w:val="22"/>
          <w:szCs w:val="22"/>
          <w:lang w:val="sr-Latn-CS" w:eastAsia="de-AT"/>
        </w:rPr>
        <w:t xml:space="preserve">Herceptin je indikovan za liječenje odraslih pacijenata sa HER2 pozitivnim metastatskim karcinomom dojke: </w:t>
      </w:r>
    </w:p>
    <w:p w14:paraId="1C5B8BDA" w14:textId="5640C3FF" w:rsidR="00DA2DF6" w:rsidRDefault="00DA2DF6" w:rsidP="00BA76B8">
      <w:pPr>
        <w:numPr>
          <w:ilvl w:val="0"/>
          <w:numId w:val="12"/>
        </w:numPr>
        <w:jc w:val="both"/>
        <w:rPr>
          <w:sz w:val="22"/>
          <w:szCs w:val="22"/>
          <w:lang w:val="sr-Latn-CS" w:eastAsia="de-AT"/>
        </w:rPr>
      </w:pPr>
      <w:r>
        <w:rPr>
          <w:sz w:val="22"/>
          <w:szCs w:val="22"/>
          <w:lang w:val="sr-Latn-CS" w:eastAsia="de-AT"/>
        </w:rPr>
        <w:t>kao monoterapija za liječenje onih pacijenata koji su primili bar dva hemoterapijska režima zbog metastatske bolesti. Prethodna hemoterapija je morala uključiti najmanje barem jedan antraciklin i jedan taksan, osim kod pacijenata koji nijesu pogodni za liječenje navedenim ljekovima. Pacijenati koji su hormon zavisni moraju se prethodno podvrgnuti hormonskoj terapiji, osim ukoliko nijesu pogodni kandidati za nju.</w:t>
      </w:r>
    </w:p>
    <w:p w14:paraId="253B36D5" w14:textId="77777777" w:rsidR="00146DC6" w:rsidRDefault="00146DC6" w:rsidP="00BA76B8">
      <w:pPr>
        <w:ind w:left="720"/>
        <w:jc w:val="both"/>
        <w:rPr>
          <w:sz w:val="22"/>
          <w:szCs w:val="22"/>
          <w:lang w:val="sr-Latn-CS" w:eastAsia="de-AT"/>
        </w:rPr>
      </w:pPr>
    </w:p>
    <w:p w14:paraId="7F10F558" w14:textId="76D14EFB" w:rsidR="00DA2DF6" w:rsidRDefault="00DA2DF6" w:rsidP="00BA76B8">
      <w:pPr>
        <w:numPr>
          <w:ilvl w:val="0"/>
          <w:numId w:val="12"/>
        </w:numPr>
        <w:jc w:val="both"/>
        <w:rPr>
          <w:sz w:val="22"/>
          <w:szCs w:val="22"/>
          <w:lang w:val="sr-Latn-CS" w:eastAsia="de-AT"/>
        </w:rPr>
      </w:pPr>
      <w:r>
        <w:rPr>
          <w:sz w:val="22"/>
          <w:szCs w:val="22"/>
          <w:lang w:val="sr-Latn-CS" w:eastAsia="de-AT"/>
        </w:rPr>
        <w:t xml:space="preserve">u kombinaciji sa paklitakselom za liječenje onih pacijenata koji nijesu primili hemoterapiju zbog metastatske bolesti i za koje antraciklin nije odgovarajući lijek. </w:t>
      </w:r>
    </w:p>
    <w:p w14:paraId="56CFE706" w14:textId="77777777" w:rsidR="00146DC6" w:rsidRDefault="00146DC6" w:rsidP="00BA76B8">
      <w:pPr>
        <w:ind w:left="720"/>
        <w:jc w:val="both"/>
        <w:rPr>
          <w:sz w:val="22"/>
          <w:szCs w:val="22"/>
          <w:lang w:val="sr-Latn-CS" w:eastAsia="de-AT"/>
        </w:rPr>
      </w:pPr>
    </w:p>
    <w:p w14:paraId="48A1384A" w14:textId="22FFE96E" w:rsidR="00DA2DF6" w:rsidRDefault="00DA2DF6" w:rsidP="00BA76B8">
      <w:pPr>
        <w:numPr>
          <w:ilvl w:val="0"/>
          <w:numId w:val="12"/>
        </w:numPr>
        <w:jc w:val="both"/>
        <w:rPr>
          <w:sz w:val="22"/>
          <w:szCs w:val="22"/>
          <w:lang w:val="sr-Latn-CS" w:eastAsia="de-AT"/>
        </w:rPr>
      </w:pPr>
      <w:r>
        <w:rPr>
          <w:sz w:val="22"/>
          <w:szCs w:val="22"/>
          <w:lang w:val="sr-Latn-CS" w:eastAsia="de-AT"/>
        </w:rPr>
        <w:t xml:space="preserve">u kombinaciji sa docetakselom za liječenje onih pacijenata koji nijesu primali hemoterapiju zbog svoje metastatske bolesti. </w:t>
      </w:r>
    </w:p>
    <w:p w14:paraId="4EAAEBE3" w14:textId="77777777" w:rsidR="00146DC6" w:rsidRDefault="00146DC6" w:rsidP="00BA76B8">
      <w:pPr>
        <w:ind w:left="720"/>
        <w:jc w:val="both"/>
        <w:rPr>
          <w:sz w:val="22"/>
          <w:szCs w:val="22"/>
          <w:lang w:val="sr-Latn-CS" w:eastAsia="de-AT"/>
        </w:rPr>
      </w:pPr>
    </w:p>
    <w:p w14:paraId="6BF94A85" w14:textId="0DABF843" w:rsidR="00DA2DF6" w:rsidRDefault="00DA2DF6" w:rsidP="00BA76B8">
      <w:pPr>
        <w:numPr>
          <w:ilvl w:val="0"/>
          <w:numId w:val="12"/>
        </w:numPr>
        <w:jc w:val="both"/>
        <w:rPr>
          <w:sz w:val="22"/>
          <w:szCs w:val="22"/>
          <w:lang w:val="sr-Latn-CS" w:eastAsia="de-AT"/>
        </w:rPr>
      </w:pPr>
      <w:r>
        <w:rPr>
          <w:sz w:val="22"/>
          <w:szCs w:val="22"/>
          <w:lang w:val="sr-Latn-CS" w:eastAsia="de-AT"/>
        </w:rPr>
        <w:t>u kombinaciji sa inhibitorom aromataze za liječenje postmenopauzalnih žena sa hormon receptor pozitivnim metastatskim karcinomom dojke MBC, koje ranije nijesu bile liječene lijekom trastuzumab.</w:t>
      </w:r>
    </w:p>
    <w:p w14:paraId="55ACAFC6" w14:textId="77777777" w:rsidR="00DA2DF6" w:rsidRDefault="00DA2DF6" w:rsidP="00BA76B8">
      <w:pPr>
        <w:jc w:val="both"/>
        <w:rPr>
          <w:sz w:val="22"/>
          <w:szCs w:val="22"/>
          <w:lang w:val="sr-Latn-CS"/>
        </w:rPr>
      </w:pPr>
    </w:p>
    <w:p w14:paraId="5CE028A7" w14:textId="68551528" w:rsidR="00DA2DF6" w:rsidRDefault="00DA2DF6" w:rsidP="00BA76B8">
      <w:pPr>
        <w:tabs>
          <w:tab w:val="left" w:pos="708"/>
        </w:tabs>
        <w:jc w:val="both"/>
        <w:rPr>
          <w:i/>
          <w:sz w:val="22"/>
          <w:szCs w:val="22"/>
          <w:u w:val="single"/>
          <w:lang w:val="sr-Latn-CS" w:eastAsia="de-AT"/>
        </w:rPr>
      </w:pPr>
      <w:r w:rsidRPr="00146DC6">
        <w:rPr>
          <w:i/>
          <w:sz w:val="22"/>
          <w:szCs w:val="22"/>
          <w:u w:val="single"/>
          <w:lang w:val="sr-Latn-CS" w:eastAsia="de-AT"/>
        </w:rPr>
        <w:t xml:space="preserve">Rani karcinom dojke </w:t>
      </w:r>
    </w:p>
    <w:p w14:paraId="23199685" w14:textId="77777777" w:rsidR="00146DC6" w:rsidRPr="00146DC6" w:rsidRDefault="00146DC6" w:rsidP="00BA76B8">
      <w:pPr>
        <w:tabs>
          <w:tab w:val="left" w:pos="708"/>
        </w:tabs>
        <w:jc w:val="both"/>
        <w:rPr>
          <w:i/>
          <w:sz w:val="22"/>
          <w:szCs w:val="22"/>
          <w:u w:val="single"/>
          <w:lang w:val="sr-Latn-CS" w:eastAsia="de-AT"/>
        </w:rPr>
      </w:pPr>
    </w:p>
    <w:p w14:paraId="1E8473D3" w14:textId="3A661DDA" w:rsidR="00DA2DF6" w:rsidRDefault="00BA4FFC" w:rsidP="00BA76B8">
      <w:pPr>
        <w:tabs>
          <w:tab w:val="left" w:pos="708"/>
        </w:tabs>
        <w:jc w:val="both"/>
        <w:rPr>
          <w:sz w:val="22"/>
          <w:szCs w:val="22"/>
          <w:lang w:val="sr-Latn-CS" w:eastAsia="de-AT"/>
        </w:rPr>
      </w:pPr>
      <w:r>
        <w:rPr>
          <w:sz w:val="22"/>
          <w:szCs w:val="22"/>
          <w:lang w:val="sr-Latn-CS" w:eastAsia="de-AT"/>
        </w:rPr>
        <w:lastRenderedPageBreak/>
        <w:t xml:space="preserve">Lijek </w:t>
      </w:r>
      <w:r w:rsidR="00DA2DF6">
        <w:rPr>
          <w:sz w:val="22"/>
          <w:szCs w:val="22"/>
          <w:lang w:val="sr-Latn-CS" w:eastAsia="de-AT"/>
        </w:rPr>
        <w:t>Herceptin je indikovan za terapiju odraslih pacijenata sa HER2 pozitivnim ranim karcinomom dojke EBC:</w:t>
      </w:r>
    </w:p>
    <w:p w14:paraId="5A5C215E" w14:textId="154D6383" w:rsidR="00DA2DF6" w:rsidRDefault="00DA2DF6" w:rsidP="00BA76B8">
      <w:pPr>
        <w:numPr>
          <w:ilvl w:val="0"/>
          <w:numId w:val="13"/>
        </w:numPr>
        <w:tabs>
          <w:tab w:val="left" w:pos="708"/>
        </w:tabs>
        <w:jc w:val="both"/>
        <w:rPr>
          <w:sz w:val="22"/>
          <w:szCs w:val="22"/>
          <w:lang w:val="sr-Latn-CS" w:eastAsia="de-AT"/>
        </w:rPr>
      </w:pPr>
      <w:r>
        <w:rPr>
          <w:sz w:val="22"/>
          <w:szCs w:val="22"/>
          <w:lang w:val="sr-Latn-CS" w:eastAsia="de-AT"/>
        </w:rPr>
        <w:t>nakon hirurške intervencije, hemoterapije (neoadjuvantne ili adjuvantne) i radioterapije (ukoliko je primjenjljiva) (vidjeti dio 5.1)</w:t>
      </w:r>
    </w:p>
    <w:p w14:paraId="54EF4F96" w14:textId="77777777" w:rsidR="00146DC6" w:rsidRDefault="00146DC6" w:rsidP="00BA76B8">
      <w:pPr>
        <w:tabs>
          <w:tab w:val="left" w:pos="708"/>
        </w:tabs>
        <w:ind w:left="720"/>
        <w:jc w:val="both"/>
        <w:rPr>
          <w:sz w:val="22"/>
          <w:szCs w:val="22"/>
          <w:lang w:val="sr-Latn-CS" w:eastAsia="de-AT"/>
        </w:rPr>
      </w:pPr>
    </w:p>
    <w:p w14:paraId="1B790A70" w14:textId="195FE807" w:rsidR="00DA2DF6" w:rsidRDefault="00DA2DF6" w:rsidP="00BA76B8">
      <w:pPr>
        <w:numPr>
          <w:ilvl w:val="0"/>
          <w:numId w:val="13"/>
        </w:numPr>
        <w:tabs>
          <w:tab w:val="left" w:pos="708"/>
        </w:tabs>
        <w:jc w:val="both"/>
        <w:rPr>
          <w:sz w:val="22"/>
          <w:szCs w:val="22"/>
          <w:lang w:val="sr-Latn-CS" w:eastAsia="de-AT"/>
        </w:rPr>
      </w:pPr>
      <w:r>
        <w:rPr>
          <w:sz w:val="22"/>
          <w:szCs w:val="22"/>
          <w:lang w:val="sr-Latn-CS" w:eastAsia="de-AT"/>
        </w:rPr>
        <w:t>nakon adjuvantne hemoterapije sa doksorubicinom i ciklofosfamidom u kombinaciji sa paklitakselom ili docetakselom</w:t>
      </w:r>
    </w:p>
    <w:p w14:paraId="1FD27AA9" w14:textId="77777777" w:rsidR="00146DC6" w:rsidRDefault="00146DC6" w:rsidP="00BA76B8">
      <w:pPr>
        <w:tabs>
          <w:tab w:val="left" w:pos="708"/>
        </w:tabs>
        <w:ind w:left="720"/>
        <w:jc w:val="both"/>
        <w:rPr>
          <w:sz w:val="22"/>
          <w:szCs w:val="22"/>
          <w:lang w:val="sr-Latn-CS" w:eastAsia="de-AT"/>
        </w:rPr>
      </w:pPr>
    </w:p>
    <w:p w14:paraId="0D9224C3" w14:textId="45F164FB" w:rsidR="00DA2DF6" w:rsidRDefault="00DA2DF6" w:rsidP="00BA76B8">
      <w:pPr>
        <w:numPr>
          <w:ilvl w:val="0"/>
          <w:numId w:val="13"/>
        </w:numPr>
        <w:tabs>
          <w:tab w:val="left" w:pos="708"/>
        </w:tabs>
        <w:jc w:val="both"/>
        <w:rPr>
          <w:sz w:val="22"/>
          <w:szCs w:val="22"/>
          <w:lang w:val="sr-Latn-CS" w:eastAsia="de-AT"/>
        </w:rPr>
      </w:pPr>
      <w:r>
        <w:rPr>
          <w:sz w:val="22"/>
          <w:szCs w:val="22"/>
          <w:lang w:val="sr-Latn-CS" w:eastAsia="de-AT"/>
        </w:rPr>
        <w:t>u kombinaciji sa adjuvantnom hemoterapijom koja uključuje docetaksel i karboplatin</w:t>
      </w:r>
    </w:p>
    <w:p w14:paraId="58BBBF42" w14:textId="77777777" w:rsidR="00146DC6" w:rsidRDefault="00146DC6" w:rsidP="00BA76B8">
      <w:pPr>
        <w:tabs>
          <w:tab w:val="left" w:pos="708"/>
        </w:tabs>
        <w:ind w:left="720"/>
        <w:jc w:val="both"/>
        <w:rPr>
          <w:sz w:val="22"/>
          <w:szCs w:val="22"/>
          <w:lang w:val="sr-Latn-CS" w:eastAsia="de-AT"/>
        </w:rPr>
      </w:pPr>
    </w:p>
    <w:p w14:paraId="195DA43B" w14:textId="5CCAD1F4" w:rsidR="00DA2DF6" w:rsidRPr="00BA4FFC" w:rsidRDefault="00DA2DF6" w:rsidP="00BA76B8">
      <w:pPr>
        <w:numPr>
          <w:ilvl w:val="0"/>
          <w:numId w:val="13"/>
        </w:numPr>
        <w:tabs>
          <w:tab w:val="left" w:pos="708"/>
        </w:tabs>
        <w:jc w:val="both"/>
        <w:rPr>
          <w:sz w:val="22"/>
          <w:szCs w:val="22"/>
          <w:lang w:val="sr-Latn-CS" w:eastAsia="de-AT"/>
        </w:rPr>
      </w:pPr>
      <w:r>
        <w:rPr>
          <w:sz w:val="22"/>
          <w:szCs w:val="22"/>
          <w:lang w:val="sr-Latn-CS" w:eastAsia="de-AT"/>
        </w:rPr>
        <w:t xml:space="preserve">u kombinaciji sa neoadjuvantnom hemoterapijom nakon čega slijedi adjuvantna terapija </w:t>
      </w:r>
      <w:r w:rsidR="00BA4FFC">
        <w:rPr>
          <w:sz w:val="22"/>
          <w:szCs w:val="22"/>
          <w:lang w:val="sr-Latn-CS" w:eastAsia="de-AT"/>
        </w:rPr>
        <w:t xml:space="preserve">lijekom </w:t>
      </w:r>
      <w:r>
        <w:rPr>
          <w:sz w:val="22"/>
          <w:szCs w:val="22"/>
          <w:lang w:val="sr-Latn-CS" w:eastAsia="de-AT"/>
        </w:rPr>
        <w:t xml:space="preserve">Herceptin, za lokalno uznapredovalu (uključujući inflamatornu) bolest ili tumore promjera </w:t>
      </w:r>
      <w:r w:rsidRPr="00BA4FFC">
        <w:rPr>
          <w:sz w:val="22"/>
          <w:szCs w:val="22"/>
          <w:lang w:val="sr-Latn-CS" w:eastAsia="de-AT"/>
        </w:rPr>
        <w:t>&gt; 2cm  (vidjeti djelove 4.4 i 5.1)</w:t>
      </w:r>
    </w:p>
    <w:p w14:paraId="38723444" w14:textId="77777777" w:rsidR="00DA2DF6" w:rsidRDefault="00DA2DF6" w:rsidP="00BA76B8">
      <w:pPr>
        <w:tabs>
          <w:tab w:val="left" w:pos="708"/>
        </w:tabs>
        <w:jc w:val="both"/>
        <w:rPr>
          <w:sz w:val="22"/>
          <w:szCs w:val="22"/>
          <w:lang w:val="sr-Latn-CS" w:eastAsia="de-AT"/>
        </w:rPr>
      </w:pPr>
    </w:p>
    <w:p w14:paraId="104BDD76" w14:textId="7A301F43" w:rsidR="00DA2DF6" w:rsidRDefault="00BA4FFC" w:rsidP="00BA76B8">
      <w:pPr>
        <w:tabs>
          <w:tab w:val="left" w:pos="708"/>
        </w:tabs>
        <w:jc w:val="both"/>
        <w:rPr>
          <w:sz w:val="22"/>
          <w:szCs w:val="22"/>
          <w:lang w:val="sr-Latn-CS"/>
        </w:rPr>
      </w:pPr>
      <w:r>
        <w:rPr>
          <w:sz w:val="22"/>
          <w:szCs w:val="22"/>
          <w:lang w:val="sr-Latn-CS" w:eastAsia="de-AT"/>
        </w:rPr>
        <w:t xml:space="preserve">Lijek </w:t>
      </w:r>
      <w:r w:rsidR="00DA2DF6">
        <w:rPr>
          <w:sz w:val="22"/>
          <w:szCs w:val="22"/>
          <w:lang w:val="sr-Latn-CS" w:eastAsia="de-AT"/>
        </w:rPr>
        <w:t xml:space="preserve">Herceptin treba </w:t>
      </w:r>
      <w:r>
        <w:rPr>
          <w:sz w:val="22"/>
          <w:szCs w:val="22"/>
          <w:lang w:val="sr-Latn-CS" w:eastAsia="de-AT"/>
        </w:rPr>
        <w:t xml:space="preserve">da se daje </w:t>
      </w:r>
      <w:r w:rsidR="00DA2DF6">
        <w:rPr>
          <w:sz w:val="22"/>
          <w:szCs w:val="22"/>
          <w:lang w:val="sr-Latn-CS" w:eastAsia="de-AT"/>
        </w:rPr>
        <w:t>samo pacijenat</w:t>
      </w:r>
      <w:r w:rsidR="007A6421">
        <w:rPr>
          <w:sz w:val="22"/>
          <w:szCs w:val="22"/>
          <w:lang w:val="sr-Latn-CS" w:eastAsia="de-AT"/>
        </w:rPr>
        <w:t>ima</w:t>
      </w:r>
      <w:r w:rsidR="00DA2DF6">
        <w:rPr>
          <w:sz w:val="22"/>
          <w:szCs w:val="22"/>
          <w:lang w:val="sr-Latn-CS" w:eastAsia="de-AT"/>
        </w:rPr>
        <w:t xml:space="preserve"> sa metastatskim ili ranim karcinomom dojke čije tumorske ćelije pokazuju prekomjernu ekspresiju HER2 ili amplifikaciju HER2 gena, što je potvrđeno preciznim i validiranim testom</w:t>
      </w:r>
      <w:r w:rsidR="00DA2DF6">
        <w:rPr>
          <w:sz w:val="22"/>
          <w:szCs w:val="22"/>
          <w:lang w:val="sr-Latn-CS"/>
        </w:rPr>
        <w:t xml:space="preserve"> (</w:t>
      </w:r>
      <w:r w:rsidR="00DA2DF6">
        <w:rPr>
          <w:sz w:val="22"/>
          <w:szCs w:val="22"/>
          <w:lang w:val="sr-Latn-CS" w:eastAsia="de-AT"/>
        </w:rPr>
        <w:t>vidjeti djelove 4.4 i 5.1).</w:t>
      </w:r>
    </w:p>
    <w:p w14:paraId="497BB9A7" w14:textId="77777777" w:rsidR="00DA2DF6" w:rsidRDefault="00DA2DF6" w:rsidP="00BA76B8">
      <w:pPr>
        <w:pStyle w:val="Default"/>
        <w:jc w:val="both"/>
        <w:rPr>
          <w:b/>
          <w:bCs/>
          <w:color w:val="auto"/>
          <w:sz w:val="22"/>
          <w:szCs w:val="22"/>
          <w:lang w:val="sr-Latn-RS"/>
        </w:rPr>
      </w:pPr>
    </w:p>
    <w:p w14:paraId="2A8E27F1" w14:textId="5567FFBD" w:rsidR="00DA2DF6" w:rsidRDefault="00DA2DF6" w:rsidP="00BA76B8">
      <w:pPr>
        <w:pStyle w:val="Default"/>
        <w:jc w:val="both"/>
        <w:rPr>
          <w:bCs/>
          <w:i/>
          <w:color w:val="auto"/>
          <w:sz w:val="22"/>
          <w:szCs w:val="22"/>
          <w:u w:val="single"/>
          <w:lang w:val="sr-Latn-RS"/>
        </w:rPr>
      </w:pPr>
      <w:r w:rsidRPr="00146DC6">
        <w:rPr>
          <w:bCs/>
          <w:i/>
          <w:color w:val="auto"/>
          <w:sz w:val="22"/>
          <w:szCs w:val="22"/>
          <w:u w:val="single"/>
          <w:lang w:val="sr-Latn-RS"/>
        </w:rPr>
        <w:t>Metastatski karcinom želuca</w:t>
      </w:r>
    </w:p>
    <w:p w14:paraId="11CADAF7" w14:textId="77777777" w:rsidR="001E26E9" w:rsidRPr="00146DC6" w:rsidRDefault="001E26E9" w:rsidP="00BA76B8">
      <w:pPr>
        <w:pStyle w:val="Default"/>
        <w:jc w:val="both"/>
        <w:rPr>
          <w:bCs/>
          <w:i/>
          <w:color w:val="auto"/>
          <w:sz w:val="22"/>
          <w:szCs w:val="22"/>
          <w:u w:val="single"/>
          <w:lang w:val="sr-Latn-RS"/>
        </w:rPr>
      </w:pPr>
    </w:p>
    <w:p w14:paraId="2A9F0E16" w14:textId="1B883B75" w:rsidR="00DA2DF6" w:rsidRDefault="001E26E9" w:rsidP="00BA76B8">
      <w:pPr>
        <w:pStyle w:val="Default"/>
        <w:jc w:val="both"/>
        <w:rPr>
          <w:color w:val="auto"/>
          <w:sz w:val="22"/>
          <w:szCs w:val="22"/>
          <w:lang w:val="sr-Latn-RS"/>
        </w:rPr>
      </w:pPr>
      <w:r>
        <w:rPr>
          <w:color w:val="auto"/>
          <w:sz w:val="22"/>
          <w:szCs w:val="22"/>
          <w:lang w:val="sr-Latn-RS"/>
        </w:rPr>
        <w:t xml:space="preserve">Lijek </w:t>
      </w:r>
      <w:r w:rsidR="00DA2DF6">
        <w:rPr>
          <w:color w:val="auto"/>
          <w:sz w:val="22"/>
          <w:szCs w:val="22"/>
          <w:lang w:val="sr-Latn-RS"/>
        </w:rPr>
        <w:t>Herceptin, u kombinaciji sa kapecitabinom ili 5-fluorouracilom  i cisplatinom  indikovan je za liječenje odraslih pacijenata sa HER2 pozitivnim metastatskim adenokarcinomom želuca ili gastro-ezofagealnog  spoja</w:t>
      </w:r>
      <w:r>
        <w:rPr>
          <w:color w:val="auto"/>
          <w:sz w:val="22"/>
          <w:szCs w:val="22"/>
          <w:lang w:val="sr-Latn-RS"/>
        </w:rPr>
        <w:t>,</w:t>
      </w:r>
      <w:r w:rsidR="00DA2DF6">
        <w:rPr>
          <w:color w:val="auto"/>
          <w:sz w:val="22"/>
          <w:szCs w:val="22"/>
          <w:lang w:val="sr-Latn-RS"/>
        </w:rPr>
        <w:t xml:space="preserve"> koji prethodno nijesu primali </w:t>
      </w:r>
      <w:r>
        <w:rPr>
          <w:color w:val="auto"/>
          <w:sz w:val="22"/>
          <w:szCs w:val="22"/>
          <w:lang w:val="sr-Latn-RS"/>
        </w:rPr>
        <w:t>hemo</w:t>
      </w:r>
      <w:r w:rsidR="00DA2DF6">
        <w:rPr>
          <w:color w:val="auto"/>
          <w:sz w:val="22"/>
          <w:szCs w:val="22"/>
          <w:lang w:val="sr-Latn-RS"/>
        </w:rPr>
        <w:t>terapiju za metastatsku bolest.</w:t>
      </w:r>
    </w:p>
    <w:p w14:paraId="32EC2B0C" w14:textId="77777777" w:rsidR="00DA2DF6" w:rsidRDefault="00DA2DF6" w:rsidP="00BA76B8">
      <w:pPr>
        <w:pStyle w:val="Default"/>
        <w:jc w:val="both"/>
        <w:rPr>
          <w:color w:val="auto"/>
          <w:sz w:val="22"/>
          <w:szCs w:val="22"/>
          <w:lang w:val="sr-Latn-RS"/>
        </w:rPr>
      </w:pPr>
    </w:p>
    <w:p w14:paraId="1880DDCB" w14:textId="545DB492" w:rsidR="00411B4B" w:rsidRDefault="001E26E9" w:rsidP="00BA76B8">
      <w:pPr>
        <w:tabs>
          <w:tab w:val="left" w:pos="540"/>
          <w:tab w:val="left" w:pos="569"/>
        </w:tabs>
        <w:jc w:val="both"/>
        <w:rPr>
          <w:sz w:val="22"/>
          <w:szCs w:val="22"/>
          <w:lang w:val="sr-Latn-CS" w:eastAsia="de-AT"/>
        </w:rPr>
      </w:pPr>
      <w:r>
        <w:rPr>
          <w:sz w:val="22"/>
          <w:szCs w:val="22"/>
          <w:lang w:val="sr-Latn-CS" w:eastAsia="de-AT"/>
        </w:rPr>
        <w:t xml:space="preserve">Lijek </w:t>
      </w:r>
      <w:r w:rsidR="00DA2DF6">
        <w:rPr>
          <w:sz w:val="22"/>
          <w:szCs w:val="22"/>
          <w:lang w:val="sr-Latn-CS" w:eastAsia="de-AT"/>
        </w:rPr>
        <w:t xml:space="preserve">Herceptin treba upotrebljavati samo kod pacijenata sa metastatskim karcinomom želuca (MGC) čiji tumori pokazuju prekomjernu ekspresiju HER2, definisanu kao IHC2+ i potvrđenu SISH ili FISH+ rezultatom, ili IHC 3+, utvrđenim tačnim i provjerenim testom (vidjeti </w:t>
      </w:r>
      <w:r>
        <w:rPr>
          <w:sz w:val="22"/>
          <w:szCs w:val="22"/>
          <w:lang w:val="sr-Latn-CS" w:eastAsia="de-AT"/>
        </w:rPr>
        <w:t xml:space="preserve">djelove </w:t>
      </w:r>
      <w:r w:rsidR="00DA2DF6">
        <w:rPr>
          <w:sz w:val="22"/>
          <w:szCs w:val="22"/>
          <w:lang w:val="sr-Latn-CS" w:eastAsia="de-AT"/>
        </w:rPr>
        <w:t>4.4 i 5.1).</w:t>
      </w:r>
    </w:p>
    <w:p w14:paraId="4AEE0BA1" w14:textId="77777777" w:rsidR="00DA2DF6" w:rsidRPr="00442616" w:rsidRDefault="00DA2DF6" w:rsidP="00BA76B8">
      <w:pPr>
        <w:tabs>
          <w:tab w:val="left" w:pos="540"/>
          <w:tab w:val="left" w:pos="569"/>
        </w:tabs>
        <w:jc w:val="both"/>
        <w:rPr>
          <w:bCs/>
          <w:sz w:val="22"/>
          <w:szCs w:val="22"/>
          <w:lang w:val="sr-Latn-RS"/>
        </w:rPr>
      </w:pPr>
    </w:p>
    <w:p w14:paraId="1880DDCC" w14:textId="77777777" w:rsidR="00411B4B" w:rsidRPr="00786071" w:rsidRDefault="00411B4B" w:rsidP="00BA76B8">
      <w:pPr>
        <w:tabs>
          <w:tab w:val="left" w:pos="540"/>
          <w:tab w:val="left" w:pos="569"/>
        </w:tabs>
        <w:jc w:val="both"/>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14:paraId="1880DDCD" w14:textId="77777777" w:rsidR="0072020E" w:rsidRPr="00786071" w:rsidRDefault="0072020E" w:rsidP="00BA76B8">
      <w:pPr>
        <w:tabs>
          <w:tab w:val="left" w:pos="540"/>
          <w:tab w:val="left" w:pos="569"/>
        </w:tabs>
        <w:jc w:val="both"/>
        <w:rPr>
          <w:bCs/>
          <w:sz w:val="22"/>
          <w:szCs w:val="22"/>
        </w:rPr>
      </w:pPr>
    </w:p>
    <w:p w14:paraId="4C2ED5D9" w14:textId="009EC476" w:rsidR="00DA2DF6" w:rsidRDefault="00DA2DF6" w:rsidP="00641EEB">
      <w:pPr>
        <w:jc w:val="both"/>
        <w:rPr>
          <w:sz w:val="22"/>
          <w:szCs w:val="22"/>
        </w:rPr>
      </w:pPr>
      <w:r w:rsidRPr="00442616">
        <w:rPr>
          <w:sz w:val="22"/>
          <w:szCs w:val="22"/>
        </w:rPr>
        <w:t>Testiranje ekspresije HER</w:t>
      </w:r>
      <w:r>
        <w:rPr>
          <w:sz w:val="22"/>
          <w:szCs w:val="22"/>
        </w:rPr>
        <w:t xml:space="preserve">2 </w:t>
      </w:r>
      <w:r w:rsidRPr="00442616">
        <w:rPr>
          <w:sz w:val="22"/>
          <w:szCs w:val="22"/>
        </w:rPr>
        <w:t>je obavezno prije zapo</w:t>
      </w:r>
      <w:r>
        <w:rPr>
          <w:sz w:val="22"/>
          <w:szCs w:val="22"/>
        </w:rPr>
        <w:t>č</w:t>
      </w:r>
      <w:r w:rsidRPr="00442616">
        <w:rPr>
          <w:sz w:val="22"/>
          <w:szCs w:val="22"/>
        </w:rPr>
        <w:t xml:space="preserve">injanja terapije </w:t>
      </w:r>
      <w:r w:rsidR="001E26E9">
        <w:rPr>
          <w:sz w:val="22"/>
          <w:szCs w:val="22"/>
        </w:rPr>
        <w:t xml:space="preserve">lijekim </w:t>
      </w:r>
      <w:r w:rsidRPr="00442616">
        <w:rPr>
          <w:sz w:val="22"/>
          <w:szCs w:val="22"/>
        </w:rPr>
        <w:t>Herceptin</w:t>
      </w:r>
      <w:r>
        <w:rPr>
          <w:sz w:val="22"/>
          <w:szCs w:val="22"/>
        </w:rPr>
        <w:t xml:space="preserve"> (</w:t>
      </w:r>
      <w:r w:rsidRPr="00442616">
        <w:rPr>
          <w:sz w:val="22"/>
          <w:szCs w:val="22"/>
        </w:rPr>
        <w:t>vidjeti djelove</w:t>
      </w:r>
      <w:r>
        <w:rPr>
          <w:sz w:val="22"/>
          <w:szCs w:val="22"/>
        </w:rPr>
        <w:t xml:space="preserve"> 4.4 </w:t>
      </w:r>
      <w:r w:rsidRPr="00442616">
        <w:rPr>
          <w:sz w:val="22"/>
          <w:szCs w:val="22"/>
        </w:rPr>
        <w:t>i</w:t>
      </w:r>
      <w:r>
        <w:rPr>
          <w:sz w:val="22"/>
          <w:szCs w:val="22"/>
        </w:rPr>
        <w:t xml:space="preserve"> 5.1). </w:t>
      </w:r>
      <w:r w:rsidRPr="00442616">
        <w:rPr>
          <w:sz w:val="22"/>
          <w:szCs w:val="22"/>
        </w:rPr>
        <w:t xml:space="preserve">Terapiju </w:t>
      </w:r>
      <w:r w:rsidR="001E26E9">
        <w:rPr>
          <w:sz w:val="22"/>
          <w:szCs w:val="22"/>
        </w:rPr>
        <w:t xml:space="preserve">lijekom </w:t>
      </w:r>
      <w:r w:rsidRPr="00442616">
        <w:rPr>
          <w:sz w:val="22"/>
          <w:szCs w:val="22"/>
        </w:rPr>
        <w:t>Herceptin treba da zapo</w:t>
      </w:r>
      <w:r>
        <w:rPr>
          <w:sz w:val="22"/>
          <w:szCs w:val="22"/>
        </w:rPr>
        <w:t>č</w:t>
      </w:r>
      <w:r w:rsidRPr="00442616">
        <w:rPr>
          <w:sz w:val="22"/>
          <w:szCs w:val="22"/>
        </w:rPr>
        <w:t>inje samo ljekar koji je iskusan u davanju cititoksi</w:t>
      </w:r>
      <w:r>
        <w:rPr>
          <w:sz w:val="22"/>
          <w:szCs w:val="22"/>
        </w:rPr>
        <w:t>č</w:t>
      </w:r>
      <w:r w:rsidRPr="00442616">
        <w:rPr>
          <w:sz w:val="22"/>
          <w:szCs w:val="22"/>
        </w:rPr>
        <w:t>ne hemoterapije</w:t>
      </w:r>
      <w:r>
        <w:rPr>
          <w:sz w:val="22"/>
          <w:szCs w:val="22"/>
        </w:rPr>
        <w:t xml:space="preserve"> (</w:t>
      </w:r>
      <w:r w:rsidRPr="00442616">
        <w:rPr>
          <w:sz w:val="22"/>
          <w:szCs w:val="22"/>
        </w:rPr>
        <w:t>vidjeti dio</w:t>
      </w:r>
      <w:r>
        <w:rPr>
          <w:sz w:val="22"/>
          <w:szCs w:val="22"/>
        </w:rPr>
        <w:t xml:space="preserve"> 4.4), </w:t>
      </w:r>
      <w:r w:rsidRPr="00442616">
        <w:rPr>
          <w:sz w:val="22"/>
          <w:szCs w:val="22"/>
        </w:rPr>
        <w:t xml:space="preserve">a lijek </w:t>
      </w:r>
      <w:r w:rsidR="001E26E9">
        <w:rPr>
          <w:sz w:val="22"/>
          <w:szCs w:val="22"/>
        </w:rPr>
        <w:t>smije</w:t>
      </w:r>
      <w:r w:rsidR="001E26E9" w:rsidRPr="00442616">
        <w:rPr>
          <w:sz w:val="22"/>
          <w:szCs w:val="22"/>
        </w:rPr>
        <w:t xml:space="preserve"> </w:t>
      </w:r>
      <w:r w:rsidRPr="00442616">
        <w:rPr>
          <w:sz w:val="22"/>
          <w:szCs w:val="22"/>
        </w:rPr>
        <w:t>da primjeni samo zdravstveni radnik</w:t>
      </w:r>
      <w:r>
        <w:rPr>
          <w:sz w:val="22"/>
          <w:szCs w:val="22"/>
        </w:rPr>
        <w:t xml:space="preserve">. </w:t>
      </w:r>
    </w:p>
    <w:p w14:paraId="3BCEB149" w14:textId="77777777" w:rsidR="00DA2DF6" w:rsidRDefault="00DA2DF6" w:rsidP="00641EEB">
      <w:pPr>
        <w:jc w:val="both"/>
        <w:rPr>
          <w:sz w:val="22"/>
          <w:szCs w:val="22"/>
        </w:rPr>
      </w:pPr>
    </w:p>
    <w:p w14:paraId="037413FE" w14:textId="65E391D8" w:rsidR="00DA2DF6" w:rsidRDefault="00DA2DF6" w:rsidP="00641EEB">
      <w:pPr>
        <w:jc w:val="both"/>
        <w:rPr>
          <w:sz w:val="22"/>
          <w:szCs w:val="22"/>
        </w:rPr>
      </w:pPr>
      <w:r w:rsidRPr="00442616">
        <w:rPr>
          <w:sz w:val="22"/>
          <w:szCs w:val="22"/>
        </w:rPr>
        <w:t>Va</w:t>
      </w:r>
      <w:r>
        <w:rPr>
          <w:sz w:val="22"/>
          <w:szCs w:val="22"/>
        </w:rPr>
        <w:t>ž</w:t>
      </w:r>
      <w:r w:rsidRPr="00442616">
        <w:rPr>
          <w:sz w:val="22"/>
          <w:szCs w:val="22"/>
        </w:rPr>
        <w:t xml:space="preserve">no je provjeriti podatke </w:t>
      </w:r>
      <w:proofErr w:type="gramStart"/>
      <w:r w:rsidRPr="00442616">
        <w:rPr>
          <w:sz w:val="22"/>
          <w:szCs w:val="22"/>
        </w:rPr>
        <w:t>na</w:t>
      </w:r>
      <w:proofErr w:type="gramEnd"/>
      <w:r w:rsidRPr="00442616">
        <w:rPr>
          <w:sz w:val="22"/>
          <w:szCs w:val="22"/>
        </w:rPr>
        <w:t xml:space="preserve"> pakovanju lijeka kako bi se </w:t>
      </w:r>
      <w:r w:rsidR="007A6421">
        <w:rPr>
          <w:sz w:val="22"/>
          <w:szCs w:val="22"/>
        </w:rPr>
        <w:t>obezbjedilo</w:t>
      </w:r>
      <w:r w:rsidR="007A6421" w:rsidRPr="00442616">
        <w:rPr>
          <w:sz w:val="22"/>
          <w:szCs w:val="22"/>
        </w:rPr>
        <w:t xml:space="preserve"> </w:t>
      </w:r>
      <w:r w:rsidRPr="00442616">
        <w:rPr>
          <w:sz w:val="22"/>
          <w:szCs w:val="22"/>
        </w:rPr>
        <w:t>da pacijent primi odgovaraju</w:t>
      </w:r>
      <w:r>
        <w:rPr>
          <w:sz w:val="22"/>
          <w:szCs w:val="22"/>
        </w:rPr>
        <w:t>ć</w:t>
      </w:r>
      <w:r w:rsidRPr="00442616">
        <w:rPr>
          <w:sz w:val="22"/>
          <w:szCs w:val="22"/>
        </w:rPr>
        <w:t>u formulaciju lijeka</w:t>
      </w:r>
      <w:r>
        <w:rPr>
          <w:sz w:val="22"/>
          <w:szCs w:val="22"/>
        </w:rPr>
        <w:t xml:space="preserve"> (</w:t>
      </w:r>
      <w:r w:rsidRPr="00442616">
        <w:rPr>
          <w:sz w:val="22"/>
          <w:szCs w:val="22"/>
        </w:rPr>
        <w:t>intravensku ili subkutanu u fiksnoj dozi</w:t>
      </w:r>
      <w:r>
        <w:rPr>
          <w:sz w:val="22"/>
          <w:szCs w:val="22"/>
        </w:rPr>
        <w:t xml:space="preserve">) </w:t>
      </w:r>
      <w:r w:rsidRPr="00442616">
        <w:rPr>
          <w:sz w:val="22"/>
          <w:szCs w:val="22"/>
        </w:rPr>
        <w:t>koja mu je propisana</w:t>
      </w:r>
      <w:r>
        <w:rPr>
          <w:sz w:val="22"/>
          <w:szCs w:val="22"/>
        </w:rPr>
        <w:t xml:space="preserve">. </w:t>
      </w:r>
      <w:r w:rsidR="001E26E9">
        <w:rPr>
          <w:sz w:val="22"/>
          <w:szCs w:val="22"/>
        </w:rPr>
        <w:t xml:space="preserve">Lijek </w:t>
      </w:r>
      <w:r w:rsidRPr="00442616">
        <w:rPr>
          <w:sz w:val="22"/>
          <w:szCs w:val="22"/>
        </w:rPr>
        <w:t>Herceptin u intravenskoj formulaciji nije namijenjen za subkutanu primjenu i smije se primijeniti isklju</w:t>
      </w:r>
      <w:r>
        <w:rPr>
          <w:sz w:val="22"/>
          <w:szCs w:val="22"/>
        </w:rPr>
        <w:t>č</w:t>
      </w:r>
      <w:r w:rsidRPr="00442616">
        <w:rPr>
          <w:sz w:val="22"/>
          <w:szCs w:val="22"/>
        </w:rPr>
        <w:t>ivo intravenskom infuzijom</w:t>
      </w:r>
      <w:r>
        <w:rPr>
          <w:sz w:val="22"/>
          <w:szCs w:val="22"/>
        </w:rPr>
        <w:t>.</w:t>
      </w:r>
    </w:p>
    <w:p w14:paraId="4828BD36" w14:textId="77777777" w:rsidR="00146DC6" w:rsidRDefault="00146DC6" w:rsidP="00641EEB">
      <w:pPr>
        <w:jc w:val="both"/>
        <w:rPr>
          <w:sz w:val="22"/>
          <w:szCs w:val="22"/>
        </w:rPr>
      </w:pPr>
    </w:p>
    <w:p w14:paraId="172F9BEB" w14:textId="5BEB051C" w:rsidR="00DA2DF6" w:rsidRDefault="00DA2DF6" w:rsidP="00BA76B8">
      <w:pPr>
        <w:tabs>
          <w:tab w:val="left" w:pos="0"/>
        </w:tabs>
        <w:jc w:val="both"/>
        <w:rPr>
          <w:sz w:val="22"/>
          <w:szCs w:val="22"/>
        </w:rPr>
      </w:pPr>
      <w:r w:rsidRPr="00442616">
        <w:rPr>
          <w:sz w:val="22"/>
          <w:szCs w:val="22"/>
        </w:rPr>
        <w:t xml:space="preserve">Prelazak </w:t>
      </w:r>
      <w:proofErr w:type="gramStart"/>
      <w:r w:rsidRPr="00442616">
        <w:rPr>
          <w:sz w:val="22"/>
          <w:szCs w:val="22"/>
        </w:rPr>
        <w:t>sa</w:t>
      </w:r>
      <w:proofErr w:type="gramEnd"/>
      <w:r w:rsidRPr="00442616">
        <w:rPr>
          <w:sz w:val="22"/>
          <w:szCs w:val="22"/>
        </w:rPr>
        <w:t xml:space="preserve"> lije</w:t>
      </w:r>
      <w:r>
        <w:rPr>
          <w:sz w:val="22"/>
          <w:szCs w:val="22"/>
        </w:rPr>
        <w:t>č</w:t>
      </w:r>
      <w:r w:rsidRPr="00442616">
        <w:rPr>
          <w:sz w:val="22"/>
          <w:szCs w:val="22"/>
        </w:rPr>
        <w:t>enja intravenskom formulacijom lijeka Herceptin na subkutanu formulaciju lijeka Herceptin i obrnuto</w:t>
      </w:r>
      <w:r>
        <w:rPr>
          <w:sz w:val="22"/>
          <w:szCs w:val="22"/>
        </w:rPr>
        <w:t xml:space="preserve">, </w:t>
      </w:r>
      <w:r w:rsidRPr="00442616">
        <w:rPr>
          <w:sz w:val="22"/>
          <w:szCs w:val="22"/>
        </w:rPr>
        <w:t>uz tronedjeljni</w:t>
      </w:r>
      <w:r>
        <w:rPr>
          <w:sz w:val="22"/>
          <w:szCs w:val="22"/>
        </w:rPr>
        <w:t xml:space="preserve"> </w:t>
      </w:r>
      <w:r w:rsidRPr="00442616">
        <w:rPr>
          <w:sz w:val="22"/>
          <w:szCs w:val="22"/>
        </w:rPr>
        <w:t>re</w:t>
      </w:r>
      <w:r>
        <w:rPr>
          <w:sz w:val="22"/>
          <w:szCs w:val="22"/>
        </w:rPr>
        <w:t>ž</w:t>
      </w:r>
      <w:r w:rsidRPr="00442616">
        <w:rPr>
          <w:sz w:val="22"/>
          <w:szCs w:val="22"/>
        </w:rPr>
        <w:t>im doziranja</w:t>
      </w:r>
      <w:r>
        <w:rPr>
          <w:sz w:val="22"/>
          <w:szCs w:val="22"/>
        </w:rPr>
        <w:t xml:space="preserve"> (</w:t>
      </w:r>
      <w:r w:rsidRPr="00442616">
        <w:rPr>
          <w:sz w:val="22"/>
          <w:szCs w:val="22"/>
        </w:rPr>
        <w:t>q</w:t>
      </w:r>
      <w:r>
        <w:rPr>
          <w:sz w:val="22"/>
          <w:szCs w:val="22"/>
        </w:rPr>
        <w:t>3</w:t>
      </w:r>
      <w:r w:rsidRPr="00442616">
        <w:rPr>
          <w:sz w:val="22"/>
          <w:szCs w:val="22"/>
        </w:rPr>
        <w:t>w</w:t>
      </w:r>
      <w:r>
        <w:rPr>
          <w:sz w:val="22"/>
          <w:szCs w:val="22"/>
        </w:rPr>
        <w:t xml:space="preserve">), </w:t>
      </w:r>
      <w:r w:rsidRPr="00442616">
        <w:rPr>
          <w:sz w:val="22"/>
          <w:szCs w:val="22"/>
        </w:rPr>
        <w:t>is</w:t>
      </w:r>
      <w:r w:rsidR="001E26E9">
        <w:rPr>
          <w:sz w:val="22"/>
          <w:szCs w:val="22"/>
        </w:rPr>
        <w:t>pitivao</w:t>
      </w:r>
      <w:r w:rsidRPr="00442616">
        <w:rPr>
          <w:sz w:val="22"/>
          <w:szCs w:val="22"/>
        </w:rPr>
        <w:t xml:space="preserve"> se u Studiji</w:t>
      </w:r>
      <w:r>
        <w:rPr>
          <w:sz w:val="22"/>
          <w:szCs w:val="22"/>
        </w:rPr>
        <w:t xml:space="preserve"> </w:t>
      </w:r>
      <w:r w:rsidRPr="00442616">
        <w:rPr>
          <w:sz w:val="22"/>
          <w:szCs w:val="22"/>
        </w:rPr>
        <w:t>MO</w:t>
      </w:r>
      <w:r>
        <w:rPr>
          <w:sz w:val="22"/>
          <w:szCs w:val="22"/>
        </w:rPr>
        <w:t>22982 (</w:t>
      </w:r>
      <w:r w:rsidRPr="00442616">
        <w:rPr>
          <w:sz w:val="22"/>
          <w:szCs w:val="22"/>
        </w:rPr>
        <w:t>vidjeti dio </w:t>
      </w:r>
      <w:r>
        <w:rPr>
          <w:sz w:val="22"/>
          <w:szCs w:val="22"/>
        </w:rPr>
        <w:t>4.8).</w:t>
      </w:r>
    </w:p>
    <w:p w14:paraId="187D3308" w14:textId="77777777" w:rsidR="00DA2DF6" w:rsidRDefault="00DA2DF6" w:rsidP="00641EEB">
      <w:pPr>
        <w:jc w:val="both"/>
        <w:rPr>
          <w:sz w:val="22"/>
          <w:szCs w:val="22"/>
        </w:rPr>
      </w:pPr>
    </w:p>
    <w:p w14:paraId="538B6263" w14:textId="5D5E48CE" w:rsidR="00DA2DF6" w:rsidRDefault="00DA2DF6" w:rsidP="00641EEB">
      <w:pPr>
        <w:jc w:val="both"/>
        <w:rPr>
          <w:sz w:val="22"/>
          <w:szCs w:val="22"/>
        </w:rPr>
      </w:pPr>
      <w:r w:rsidRPr="00442616">
        <w:rPr>
          <w:sz w:val="22"/>
          <w:szCs w:val="22"/>
        </w:rPr>
        <w:t>U cilju spre</w:t>
      </w:r>
      <w:r>
        <w:rPr>
          <w:sz w:val="22"/>
          <w:szCs w:val="22"/>
        </w:rPr>
        <w:t>č</w:t>
      </w:r>
      <w:r w:rsidRPr="00442616">
        <w:rPr>
          <w:sz w:val="22"/>
          <w:szCs w:val="22"/>
        </w:rPr>
        <w:t>avanja medikacijskih gre</w:t>
      </w:r>
      <w:r>
        <w:rPr>
          <w:sz w:val="22"/>
          <w:szCs w:val="22"/>
        </w:rPr>
        <w:t>š</w:t>
      </w:r>
      <w:r w:rsidRPr="00442616">
        <w:rPr>
          <w:sz w:val="22"/>
          <w:szCs w:val="22"/>
        </w:rPr>
        <w:t>aka</w:t>
      </w:r>
      <w:r>
        <w:rPr>
          <w:sz w:val="22"/>
          <w:szCs w:val="22"/>
        </w:rPr>
        <w:t xml:space="preserve">, </w:t>
      </w:r>
      <w:r w:rsidRPr="00442616">
        <w:rPr>
          <w:sz w:val="22"/>
          <w:szCs w:val="22"/>
        </w:rPr>
        <w:t>va</w:t>
      </w:r>
      <w:r>
        <w:rPr>
          <w:sz w:val="22"/>
          <w:szCs w:val="22"/>
        </w:rPr>
        <w:t>ž</w:t>
      </w:r>
      <w:r w:rsidRPr="00442616">
        <w:rPr>
          <w:sz w:val="22"/>
          <w:szCs w:val="22"/>
        </w:rPr>
        <w:t xml:space="preserve">no je provjeriti naljepnice </w:t>
      </w:r>
      <w:proofErr w:type="gramStart"/>
      <w:r w:rsidRPr="00442616">
        <w:rPr>
          <w:sz w:val="22"/>
          <w:szCs w:val="22"/>
        </w:rPr>
        <w:t>na</w:t>
      </w:r>
      <w:proofErr w:type="gramEnd"/>
      <w:r w:rsidRPr="00442616">
        <w:rPr>
          <w:sz w:val="22"/>
          <w:szCs w:val="22"/>
        </w:rPr>
        <w:t xml:space="preserve"> bo</w:t>
      </w:r>
      <w:r>
        <w:rPr>
          <w:sz w:val="22"/>
          <w:szCs w:val="22"/>
        </w:rPr>
        <w:t>č</w:t>
      </w:r>
      <w:r w:rsidRPr="00442616">
        <w:rPr>
          <w:sz w:val="22"/>
          <w:szCs w:val="22"/>
        </w:rPr>
        <w:t xml:space="preserve">icama kako biste bili sigurni da je lijek koji se priprema i primjenjuje </w:t>
      </w:r>
      <w:r w:rsidR="007A6421">
        <w:rPr>
          <w:sz w:val="22"/>
          <w:szCs w:val="22"/>
        </w:rPr>
        <w:t xml:space="preserve">lijek </w:t>
      </w:r>
      <w:r w:rsidRPr="00442616">
        <w:rPr>
          <w:sz w:val="22"/>
          <w:szCs w:val="22"/>
        </w:rPr>
        <w:t>Herceptin</w:t>
      </w:r>
      <w:r>
        <w:rPr>
          <w:sz w:val="22"/>
          <w:szCs w:val="22"/>
        </w:rPr>
        <w:t xml:space="preserve"> (</w:t>
      </w:r>
      <w:r w:rsidRPr="00442616">
        <w:rPr>
          <w:sz w:val="22"/>
          <w:szCs w:val="22"/>
        </w:rPr>
        <w:t>trastuzumab</w:t>
      </w:r>
      <w:r>
        <w:rPr>
          <w:sz w:val="22"/>
          <w:szCs w:val="22"/>
        </w:rPr>
        <w:t xml:space="preserve">), </w:t>
      </w:r>
      <w:r w:rsidRPr="00442616">
        <w:rPr>
          <w:sz w:val="22"/>
          <w:szCs w:val="22"/>
        </w:rPr>
        <w:t xml:space="preserve">a ne </w:t>
      </w:r>
      <w:r w:rsidR="00636210" w:rsidRPr="00636210">
        <w:rPr>
          <w:sz w:val="22"/>
          <w:szCs w:val="22"/>
        </w:rPr>
        <w:t>neki drugi l</w:t>
      </w:r>
      <w:r w:rsidR="00F02BDC">
        <w:rPr>
          <w:sz w:val="22"/>
          <w:szCs w:val="22"/>
        </w:rPr>
        <w:t>ij</w:t>
      </w:r>
      <w:r w:rsidR="00636210" w:rsidRPr="00636210">
        <w:rPr>
          <w:sz w:val="22"/>
          <w:szCs w:val="22"/>
        </w:rPr>
        <w:t>ek koji sadrži trastuzumab (npr. trastuzumab emtanzin ili trastuzumab derukstekan).</w:t>
      </w:r>
    </w:p>
    <w:p w14:paraId="254A4948" w14:textId="77777777" w:rsidR="00DA2DF6" w:rsidRPr="00DA2DF6" w:rsidRDefault="00DA2DF6" w:rsidP="00641EEB">
      <w:pPr>
        <w:jc w:val="both"/>
        <w:rPr>
          <w:sz w:val="22"/>
          <w:szCs w:val="22"/>
          <w:u w:val="single"/>
        </w:rPr>
      </w:pPr>
      <w:r w:rsidRPr="00442616">
        <w:rPr>
          <w:sz w:val="22"/>
          <w:szCs w:val="22"/>
          <w:u w:val="single"/>
        </w:rPr>
        <w:t>Doziranje</w:t>
      </w:r>
    </w:p>
    <w:p w14:paraId="2DEA166A" w14:textId="77777777" w:rsidR="00DA2DF6" w:rsidRDefault="00DA2DF6" w:rsidP="00641EEB">
      <w:pPr>
        <w:jc w:val="both"/>
        <w:rPr>
          <w:sz w:val="22"/>
          <w:szCs w:val="22"/>
        </w:rPr>
      </w:pPr>
    </w:p>
    <w:p w14:paraId="086AB063" w14:textId="77777777" w:rsidR="00DA2DF6" w:rsidRDefault="00DA2DF6" w:rsidP="00641EEB">
      <w:pPr>
        <w:jc w:val="both"/>
        <w:rPr>
          <w:i/>
          <w:sz w:val="22"/>
          <w:szCs w:val="22"/>
          <w:u w:val="single"/>
        </w:rPr>
      </w:pPr>
      <w:r w:rsidRPr="00442616">
        <w:rPr>
          <w:i/>
          <w:sz w:val="22"/>
          <w:szCs w:val="22"/>
          <w:u w:val="single"/>
        </w:rPr>
        <w:t>Metastatski karcinom dojke</w:t>
      </w:r>
      <w:r>
        <w:rPr>
          <w:i/>
          <w:sz w:val="22"/>
          <w:szCs w:val="22"/>
          <w:u w:val="single"/>
        </w:rPr>
        <w:t xml:space="preserve"> </w:t>
      </w:r>
    </w:p>
    <w:p w14:paraId="7FFD6B33" w14:textId="77777777" w:rsidR="00DA2DF6" w:rsidRDefault="00DA2DF6" w:rsidP="00641EEB">
      <w:pPr>
        <w:jc w:val="both"/>
        <w:rPr>
          <w:sz w:val="22"/>
          <w:szCs w:val="22"/>
          <w:u w:val="single"/>
        </w:rPr>
      </w:pPr>
    </w:p>
    <w:p w14:paraId="38068E4C" w14:textId="77777777" w:rsidR="00DA2DF6" w:rsidRDefault="00DA2DF6" w:rsidP="00641EEB">
      <w:pPr>
        <w:jc w:val="both"/>
        <w:rPr>
          <w:i/>
          <w:sz w:val="22"/>
          <w:szCs w:val="22"/>
        </w:rPr>
      </w:pPr>
      <w:r w:rsidRPr="00442616">
        <w:rPr>
          <w:i/>
          <w:sz w:val="22"/>
          <w:szCs w:val="22"/>
        </w:rPr>
        <w:t>Tronedjeljni re</w:t>
      </w:r>
      <w:r>
        <w:rPr>
          <w:i/>
          <w:sz w:val="22"/>
          <w:szCs w:val="22"/>
        </w:rPr>
        <w:t>ž</w:t>
      </w:r>
      <w:r w:rsidRPr="00442616">
        <w:rPr>
          <w:i/>
          <w:sz w:val="22"/>
          <w:szCs w:val="22"/>
        </w:rPr>
        <w:t>im doziranja</w:t>
      </w:r>
    </w:p>
    <w:p w14:paraId="07D4B2ED" w14:textId="5771BA8E" w:rsidR="00DA2DF6" w:rsidRDefault="00DA2DF6" w:rsidP="00641EEB">
      <w:pPr>
        <w:jc w:val="both"/>
        <w:rPr>
          <w:sz w:val="22"/>
          <w:szCs w:val="22"/>
        </w:rPr>
      </w:pPr>
      <w:r w:rsidRPr="00442616">
        <w:rPr>
          <w:sz w:val="22"/>
          <w:szCs w:val="22"/>
        </w:rPr>
        <w:t>Preporu</w:t>
      </w:r>
      <w:r>
        <w:rPr>
          <w:sz w:val="22"/>
          <w:szCs w:val="22"/>
        </w:rPr>
        <w:t>č</w:t>
      </w:r>
      <w:r w:rsidRPr="00442616">
        <w:rPr>
          <w:sz w:val="22"/>
          <w:szCs w:val="22"/>
        </w:rPr>
        <w:t>ena po</w:t>
      </w:r>
      <w:r>
        <w:rPr>
          <w:sz w:val="22"/>
          <w:szCs w:val="22"/>
        </w:rPr>
        <w:t>č</w:t>
      </w:r>
      <w:r w:rsidRPr="00442616">
        <w:rPr>
          <w:sz w:val="22"/>
          <w:szCs w:val="22"/>
        </w:rPr>
        <w:t xml:space="preserve">etna doza </w:t>
      </w:r>
      <w:r w:rsidR="001E26E9">
        <w:rPr>
          <w:sz w:val="22"/>
          <w:szCs w:val="22"/>
        </w:rPr>
        <w:t xml:space="preserve">lijeka </w:t>
      </w:r>
      <w:r w:rsidRPr="00442616">
        <w:rPr>
          <w:sz w:val="22"/>
          <w:szCs w:val="22"/>
        </w:rPr>
        <w:t>Herceptin iznosi</w:t>
      </w:r>
      <w:r>
        <w:rPr>
          <w:sz w:val="22"/>
          <w:szCs w:val="22"/>
        </w:rPr>
        <w:t xml:space="preserve"> 8 </w:t>
      </w:r>
      <w:r w:rsidRPr="00442616">
        <w:rPr>
          <w:sz w:val="22"/>
          <w:szCs w:val="22"/>
        </w:rPr>
        <w:t>mg</w:t>
      </w:r>
      <w:r>
        <w:rPr>
          <w:sz w:val="22"/>
          <w:szCs w:val="22"/>
        </w:rPr>
        <w:t>/</w:t>
      </w:r>
      <w:r w:rsidRPr="00442616">
        <w:rPr>
          <w:sz w:val="22"/>
          <w:szCs w:val="22"/>
        </w:rPr>
        <w:t>kg tjelesne mase</w:t>
      </w:r>
      <w:r>
        <w:rPr>
          <w:sz w:val="22"/>
          <w:szCs w:val="22"/>
        </w:rPr>
        <w:t xml:space="preserve">. </w:t>
      </w:r>
      <w:r w:rsidRPr="00442616">
        <w:rPr>
          <w:sz w:val="22"/>
          <w:szCs w:val="22"/>
        </w:rPr>
        <w:t>Preporu</w:t>
      </w:r>
      <w:r>
        <w:rPr>
          <w:sz w:val="22"/>
          <w:szCs w:val="22"/>
        </w:rPr>
        <w:t>č</w:t>
      </w:r>
      <w:r w:rsidRPr="00442616">
        <w:rPr>
          <w:sz w:val="22"/>
          <w:szCs w:val="22"/>
        </w:rPr>
        <w:t>ena doza odr</w:t>
      </w:r>
      <w:r>
        <w:rPr>
          <w:sz w:val="22"/>
          <w:szCs w:val="22"/>
        </w:rPr>
        <w:t>ž</w:t>
      </w:r>
      <w:r w:rsidRPr="00442616">
        <w:rPr>
          <w:sz w:val="22"/>
          <w:szCs w:val="22"/>
        </w:rPr>
        <w:t>avanja koja se primjenjuje u tronedeljnim intervalima iznosi</w:t>
      </w:r>
      <w:r>
        <w:rPr>
          <w:sz w:val="22"/>
          <w:szCs w:val="22"/>
        </w:rPr>
        <w:t xml:space="preserve"> 6</w:t>
      </w:r>
      <w:r w:rsidR="00173CA7">
        <w:rPr>
          <w:sz w:val="22"/>
          <w:szCs w:val="22"/>
        </w:rPr>
        <w:t xml:space="preserve"> </w:t>
      </w:r>
      <w:r w:rsidRPr="00442616">
        <w:rPr>
          <w:sz w:val="22"/>
          <w:szCs w:val="22"/>
        </w:rPr>
        <w:t>mg</w:t>
      </w:r>
      <w:r>
        <w:rPr>
          <w:sz w:val="22"/>
          <w:szCs w:val="22"/>
        </w:rPr>
        <w:t>/</w:t>
      </w:r>
      <w:r w:rsidRPr="00442616">
        <w:rPr>
          <w:sz w:val="22"/>
          <w:szCs w:val="22"/>
        </w:rPr>
        <w:t>kg tjelesne mase i po</w:t>
      </w:r>
      <w:r>
        <w:rPr>
          <w:sz w:val="22"/>
          <w:szCs w:val="22"/>
        </w:rPr>
        <w:t>č</w:t>
      </w:r>
      <w:r w:rsidRPr="00442616">
        <w:rPr>
          <w:sz w:val="22"/>
          <w:szCs w:val="22"/>
        </w:rPr>
        <w:t xml:space="preserve">inje se primjenjivati tri nedjelje nakon </w:t>
      </w:r>
      <w:r w:rsidR="001E26E9">
        <w:rPr>
          <w:sz w:val="22"/>
          <w:szCs w:val="22"/>
        </w:rPr>
        <w:t xml:space="preserve">udarne </w:t>
      </w:r>
      <w:r w:rsidRPr="00442616">
        <w:rPr>
          <w:sz w:val="22"/>
          <w:szCs w:val="22"/>
        </w:rPr>
        <w:t>doze</w:t>
      </w:r>
      <w:r>
        <w:rPr>
          <w:sz w:val="22"/>
          <w:szCs w:val="22"/>
        </w:rPr>
        <w:t>.</w:t>
      </w:r>
    </w:p>
    <w:p w14:paraId="05E0F0F0" w14:textId="77777777" w:rsidR="00DA2DF6" w:rsidRDefault="00DA2DF6" w:rsidP="00641EEB">
      <w:pPr>
        <w:jc w:val="both"/>
        <w:rPr>
          <w:strike/>
          <w:sz w:val="22"/>
          <w:szCs w:val="22"/>
        </w:rPr>
      </w:pPr>
      <w:r>
        <w:rPr>
          <w:strike/>
          <w:sz w:val="22"/>
          <w:szCs w:val="22"/>
        </w:rPr>
        <w:t xml:space="preserve"> </w:t>
      </w:r>
    </w:p>
    <w:p w14:paraId="2187DB91" w14:textId="77777777" w:rsidR="00DA2DF6" w:rsidRDefault="00DA2DF6" w:rsidP="00641EEB">
      <w:pPr>
        <w:jc w:val="both"/>
        <w:rPr>
          <w:i/>
          <w:sz w:val="22"/>
          <w:szCs w:val="22"/>
        </w:rPr>
      </w:pPr>
      <w:r w:rsidRPr="00442616">
        <w:rPr>
          <w:i/>
          <w:sz w:val="22"/>
          <w:szCs w:val="22"/>
        </w:rPr>
        <w:t>Nedjeljni re</w:t>
      </w:r>
      <w:r>
        <w:rPr>
          <w:i/>
          <w:sz w:val="22"/>
          <w:szCs w:val="22"/>
        </w:rPr>
        <w:t>ž</w:t>
      </w:r>
      <w:r w:rsidRPr="00442616">
        <w:rPr>
          <w:i/>
          <w:sz w:val="22"/>
          <w:szCs w:val="22"/>
        </w:rPr>
        <w:t>im doziranja</w:t>
      </w:r>
    </w:p>
    <w:p w14:paraId="73FEFBE0" w14:textId="77777777" w:rsidR="00DA2DF6" w:rsidRDefault="00DA2DF6" w:rsidP="00641EEB">
      <w:pPr>
        <w:jc w:val="both"/>
        <w:rPr>
          <w:sz w:val="22"/>
          <w:szCs w:val="22"/>
        </w:rPr>
      </w:pPr>
      <w:r w:rsidRPr="00442616">
        <w:rPr>
          <w:sz w:val="22"/>
          <w:szCs w:val="22"/>
        </w:rPr>
        <w:lastRenderedPageBreak/>
        <w:t>Preporu</w:t>
      </w:r>
      <w:r>
        <w:rPr>
          <w:sz w:val="22"/>
          <w:szCs w:val="22"/>
        </w:rPr>
        <w:t>č</w:t>
      </w:r>
      <w:r w:rsidRPr="00442616">
        <w:rPr>
          <w:sz w:val="22"/>
          <w:szCs w:val="22"/>
        </w:rPr>
        <w:t>ena po</w:t>
      </w:r>
      <w:r>
        <w:rPr>
          <w:sz w:val="22"/>
          <w:szCs w:val="22"/>
        </w:rPr>
        <w:t>č</w:t>
      </w:r>
      <w:r w:rsidRPr="00442616">
        <w:rPr>
          <w:sz w:val="22"/>
          <w:szCs w:val="22"/>
        </w:rPr>
        <w:t>etna doza lijeka Herceptin iznosi</w:t>
      </w:r>
      <w:r>
        <w:rPr>
          <w:sz w:val="22"/>
          <w:szCs w:val="22"/>
        </w:rPr>
        <w:t xml:space="preserve"> 4 </w:t>
      </w:r>
      <w:r w:rsidRPr="00442616">
        <w:rPr>
          <w:sz w:val="22"/>
          <w:szCs w:val="22"/>
        </w:rPr>
        <w:t>mg</w:t>
      </w:r>
      <w:r>
        <w:rPr>
          <w:sz w:val="22"/>
          <w:szCs w:val="22"/>
        </w:rPr>
        <w:t>/</w:t>
      </w:r>
      <w:r w:rsidRPr="00442616">
        <w:rPr>
          <w:sz w:val="22"/>
          <w:szCs w:val="22"/>
        </w:rPr>
        <w:t>kg tjelesne mase</w:t>
      </w:r>
      <w:r>
        <w:rPr>
          <w:sz w:val="22"/>
          <w:szCs w:val="22"/>
        </w:rPr>
        <w:t xml:space="preserve">. </w:t>
      </w:r>
      <w:r w:rsidRPr="00442616">
        <w:rPr>
          <w:sz w:val="22"/>
          <w:szCs w:val="22"/>
        </w:rPr>
        <w:t>Preporu</w:t>
      </w:r>
      <w:r>
        <w:rPr>
          <w:sz w:val="22"/>
          <w:szCs w:val="22"/>
        </w:rPr>
        <w:t>č</w:t>
      </w:r>
      <w:r w:rsidRPr="00442616">
        <w:rPr>
          <w:sz w:val="22"/>
          <w:szCs w:val="22"/>
        </w:rPr>
        <w:t>ena doza odr</w:t>
      </w:r>
      <w:r>
        <w:rPr>
          <w:sz w:val="22"/>
          <w:szCs w:val="22"/>
        </w:rPr>
        <w:t>ž</w:t>
      </w:r>
      <w:r w:rsidRPr="00442616">
        <w:rPr>
          <w:sz w:val="22"/>
          <w:szCs w:val="22"/>
        </w:rPr>
        <w:t>avanja lijeka Herceptin koja se primjenjuje u nedjeljnim intervalima iznosi</w:t>
      </w:r>
      <w:r>
        <w:rPr>
          <w:sz w:val="22"/>
          <w:szCs w:val="22"/>
        </w:rPr>
        <w:t xml:space="preserve"> 2 </w:t>
      </w:r>
      <w:r w:rsidRPr="00442616">
        <w:rPr>
          <w:sz w:val="22"/>
          <w:szCs w:val="22"/>
        </w:rPr>
        <w:t>mg</w:t>
      </w:r>
      <w:r>
        <w:rPr>
          <w:sz w:val="22"/>
          <w:szCs w:val="22"/>
        </w:rPr>
        <w:t>/</w:t>
      </w:r>
      <w:r w:rsidRPr="00442616">
        <w:rPr>
          <w:sz w:val="22"/>
          <w:szCs w:val="22"/>
        </w:rPr>
        <w:t>kg tjelesne mase i po</w:t>
      </w:r>
      <w:r>
        <w:rPr>
          <w:sz w:val="22"/>
          <w:szCs w:val="22"/>
        </w:rPr>
        <w:t>č</w:t>
      </w:r>
      <w:r w:rsidRPr="00442616">
        <w:rPr>
          <w:sz w:val="22"/>
          <w:szCs w:val="22"/>
        </w:rPr>
        <w:t xml:space="preserve">inje se primjenjivati nedjelju </w:t>
      </w:r>
      <w:proofErr w:type="gramStart"/>
      <w:r w:rsidRPr="00442616">
        <w:rPr>
          <w:sz w:val="22"/>
          <w:szCs w:val="22"/>
        </w:rPr>
        <w:t>dana</w:t>
      </w:r>
      <w:proofErr w:type="gramEnd"/>
      <w:r w:rsidRPr="00442616">
        <w:rPr>
          <w:sz w:val="22"/>
          <w:szCs w:val="22"/>
        </w:rPr>
        <w:t xml:space="preserve"> nakon po</w:t>
      </w:r>
      <w:r>
        <w:rPr>
          <w:sz w:val="22"/>
          <w:szCs w:val="22"/>
        </w:rPr>
        <w:t>č</w:t>
      </w:r>
      <w:r w:rsidRPr="00442616">
        <w:rPr>
          <w:sz w:val="22"/>
          <w:szCs w:val="22"/>
        </w:rPr>
        <w:t>etne doze</w:t>
      </w:r>
      <w:r>
        <w:rPr>
          <w:sz w:val="22"/>
          <w:szCs w:val="22"/>
        </w:rPr>
        <w:t>.</w:t>
      </w:r>
    </w:p>
    <w:p w14:paraId="1811B50B" w14:textId="77777777" w:rsidR="00DA2DF6" w:rsidRDefault="00DA2DF6" w:rsidP="00641EEB">
      <w:pPr>
        <w:jc w:val="both"/>
        <w:rPr>
          <w:sz w:val="22"/>
          <w:szCs w:val="22"/>
          <w:u w:val="single"/>
        </w:rPr>
      </w:pPr>
    </w:p>
    <w:p w14:paraId="7A5B136D" w14:textId="77777777" w:rsidR="00DA2DF6" w:rsidRDefault="00DA2DF6" w:rsidP="00641EEB">
      <w:pPr>
        <w:jc w:val="both"/>
        <w:rPr>
          <w:i/>
          <w:sz w:val="22"/>
          <w:szCs w:val="22"/>
        </w:rPr>
      </w:pPr>
      <w:r w:rsidRPr="00442616">
        <w:rPr>
          <w:i/>
          <w:sz w:val="22"/>
          <w:szCs w:val="22"/>
        </w:rPr>
        <w:t xml:space="preserve">Primjene u kombinaciji </w:t>
      </w:r>
      <w:proofErr w:type="gramStart"/>
      <w:r w:rsidRPr="00442616">
        <w:rPr>
          <w:i/>
          <w:sz w:val="22"/>
          <w:szCs w:val="22"/>
        </w:rPr>
        <w:t>sa</w:t>
      </w:r>
      <w:proofErr w:type="gramEnd"/>
      <w:r w:rsidRPr="00442616">
        <w:rPr>
          <w:i/>
          <w:sz w:val="22"/>
          <w:szCs w:val="22"/>
        </w:rPr>
        <w:t xml:space="preserve"> paklitakselom ili docetakselom</w:t>
      </w:r>
    </w:p>
    <w:p w14:paraId="130531CA" w14:textId="7027FEAD" w:rsidR="00DA2DF6" w:rsidRDefault="00DA2DF6" w:rsidP="00641EEB">
      <w:pPr>
        <w:jc w:val="both"/>
        <w:rPr>
          <w:sz w:val="22"/>
          <w:szCs w:val="22"/>
        </w:rPr>
      </w:pPr>
      <w:r w:rsidRPr="00442616">
        <w:rPr>
          <w:sz w:val="22"/>
          <w:szCs w:val="22"/>
        </w:rPr>
        <w:t>U pivotalnim klini</w:t>
      </w:r>
      <w:r>
        <w:rPr>
          <w:sz w:val="22"/>
          <w:szCs w:val="22"/>
        </w:rPr>
        <w:t>č</w:t>
      </w:r>
      <w:r w:rsidRPr="00442616">
        <w:rPr>
          <w:sz w:val="22"/>
          <w:szCs w:val="22"/>
        </w:rPr>
        <w:t>kim ispitivanjima</w:t>
      </w:r>
      <w:r>
        <w:rPr>
          <w:sz w:val="22"/>
          <w:szCs w:val="22"/>
        </w:rPr>
        <w:t xml:space="preserve"> (</w:t>
      </w:r>
      <w:r w:rsidRPr="00442616">
        <w:rPr>
          <w:sz w:val="22"/>
          <w:szCs w:val="22"/>
        </w:rPr>
        <w:t>HO</w:t>
      </w:r>
      <w:r>
        <w:rPr>
          <w:sz w:val="22"/>
          <w:szCs w:val="22"/>
        </w:rPr>
        <w:t>648</w:t>
      </w:r>
      <w:r w:rsidRPr="00442616">
        <w:rPr>
          <w:sz w:val="22"/>
          <w:szCs w:val="22"/>
        </w:rPr>
        <w:t>g</w:t>
      </w:r>
      <w:r>
        <w:rPr>
          <w:sz w:val="22"/>
          <w:szCs w:val="22"/>
        </w:rPr>
        <w:t xml:space="preserve">, </w:t>
      </w:r>
      <w:r w:rsidRPr="00442616">
        <w:rPr>
          <w:sz w:val="22"/>
          <w:szCs w:val="22"/>
        </w:rPr>
        <w:t>M</w:t>
      </w:r>
      <w:r>
        <w:rPr>
          <w:sz w:val="22"/>
          <w:szCs w:val="22"/>
        </w:rPr>
        <w:t xml:space="preserve">77001), </w:t>
      </w:r>
      <w:r w:rsidRPr="00442616">
        <w:rPr>
          <w:sz w:val="22"/>
          <w:szCs w:val="22"/>
        </w:rPr>
        <w:t xml:space="preserve">paklitaksel </w:t>
      </w:r>
      <w:proofErr w:type="gramStart"/>
      <w:r w:rsidRPr="00442616">
        <w:rPr>
          <w:sz w:val="22"/>
          <w:szCs w:val="22"/>
        </w:rPr>
        <w:t>ili</w:t>
      </w:r>
      <w:proofErr w:type="gramEnd"/>
      <w:r w:rsidRPr="00442616">
        <w:rPr>
          <w:sz w:val="22"/>
          <w:szCs w:val="22"/>
        </w:rPr>
        <w:t xml:space="preserve"> docetaksel su primjenjivani dan nakon prve doze lijeka Herceptin</w:t>
      </w:r>
      <w:r>
        <w:rPr>
          <w:sz w:val="22"/>
          <w:szCs w:val="22"/>
        </w:rPr>
        <w:t xml:space="preserve"> (</w:t>
      </w:r>
      <w:r w:rsidRPr="00442616">
        <w:rPr>
          <w:sz w:val="22"/>
          <w:szCs w:val="22"/>
        </w:rPr>
        <w:t>za doze vidjeti Sa</w:t>
      </w:r>
      <w:r>
        <w:rPr>
          <w:sz w:val="22"/>
          <w:szCs w:val="22"/>
        </w:rPr>
        <w:t>ž</w:t>
      </w:r>
      <w:r w:rsidRPr="00442616">
        <w:rPr>
          <w:sz w:val="22"/>
          <w:szCs w:val="22"/>
        </w:rPr>
        <w:t>etak karakteristika lijeka za paklitaksel i docetaksel</w:t>
      </w:r>
      <w:r>
        <w:rPr>
          <w:sz w:val="22"/>
          <w:szCs w:val="22"/>
        </w:rPr>
        <w:t xml:space="preserve">) </w:t>
      </w:r>
      <w:r w:rsidRPr="00442616">
        <w:rPr>
          <w:sz w:val="22"/>
          <w:szCs w:val="22"/>
        </w:rPr>
        <w:t xml:space="preserve">i odmah </w:t>
      </w:r>
      <w:r w:rsidR="001E26E9">
        <w:rPr>
          <w:sz w:val="22"/>
          <w:szCs w:val="22"/>
        </w:rPr>
        <w:t>nakon sljedećih</w:t>
      </w:r>
      <w:r w:rsidRPr="00442616">
        <w:rPr>
          <w:sz w:val="22"/>
          <w:szCs w:val="22"/>
        </w:rPr>
        <w:t xml:space="preserve"> doz</w:t>
      </w:r>
      <w:r w:rsidR="001E26E9">
        <w:rPr>
          <w:sz w:val="22"/>
          <w:szCs w:val="22"/>
        </w:rPr>
        <w:t>a</w:t>
      </w:r>
      <w:r w:rsidRPr="00442616">
        <w:rPr>
          <w:sz w:val="22"/>
          <w:szCs w:val="22"/>
        </w:rPr>
        <w:t xml:space="preserve"> lijeka Herceptin</w:t>
      </w:r>
      <w:r>
        <w:rPr>
          <w:sz w:val="22"/>
          <w:szCs w:val="22"/>
        </w:rPr>
        <w:t xml:space="preserve">, </w:t>
      </w:r>
      <w:r w:rsidRPr="00442616">
        <w:rPr>
          <w:sz w:val="22"/>
          <w:szCs w:val="22"/>
        </w:rPr>
        <w:t>ako je pacijent prethodnu dozu lijeka Herceptin dobro podnio</w:t>
      </w:r>
      <w:r>
        <w:rPr>
          <w:sz w:val="22"/>
          <w:szCs w:val="22"/>
        </w:rPr>
        <w:t xml:space="preserve">. </w:t>
      </w:r>
    </w:p>
    <w:p w14:paraId="4953C928" w14:textId="77777777" w:rsidR="00DA2DF6" w:rsidRDefault="00DA2DF6" w:rsidP="00641EEB">
      <w:pPr>
        <w:jc w:val="both"/>
        <w:rPr>
          <w:sz w:val="22"/>
          <w:szCs w:val="22"/>
        </w:rPr>
      </w:pPr>
    </w:p>
    <w:p w14:paraId="2E58D4E8" w14:textId="77777777" w:rsidR="00DA2DF6" w:rsidRDefault="00DA2DF6" w:rsidP="00641EEB">
      <w:pPr>
        <w:jc w:val="both"/>
        <w:rPr>
          <w:i/>
          <w:sz w:val="22"/>
          <w:szCs w:val="22"/>
        </w:rPr>
      </w:pPr>
      <w:r w:rsidRPr="00442616">
        <w:rPr>
          <w:i/>
          <w:sz w:val="22"/>
          <w:szCs w:val="22"/>
        </w:rPr>
        <w:t xml:space="preserve">Primjena u kombinaciji </w:t>
      </w:r>
      <w:proofErr w:type="gramStart"/>
      <w:r w:rsidRPr="00442616">
        <w:rPr>
          <w:i/>
          <w:sz w:val="22"/>
          <w:szCs w:val="22"/>
        </w:rPr>
        <w:t>sa</w:t>
      </w:r>
      <w:proofErr w:type="gramEnd"/>
      <w:r w:rsidRPr="00442616">
        <w:rPr>
          <w:i/>
          <w:sz w:val="22"/>
          <w:szCs w:val="22"/>
        </w:rPr>
        <w:t xml:space="preserve"> inhibitorom aromataze</w:t>
      </w:r>
    </w:p>
    <w:p w14:paraId="20EC85CD" w14:textId="49621E38" w:rsidR="00DA2DF6" w:rsidRDefault="00DA2DF6" w:rsidP="00641EEB">
      <w:pPr>
        <w:jc w:val="both"/>
        <w:rPr>
          <w:sz w:val="22"/>
          <w:szCs w:val="22"/>
        </w:rPr>
      </w:pPr>
      <w:r w:rsidRPr="00442616">
        <w:rPr>
          <w:sz w:val="22"/>
          <w:szCs w:val="22"/>
        </w:rPr>
        <w:t>U pivotalnim klini</w:t>
      </w:r>
      <w:r>
        <w:rPr>
          <w:sz w:val="22"/>
          <w:szCs w:val="22"/>
        </w:rPr>
        <w:t>č</w:t>
      </w:r>
      <w:r w:rsidRPr="00442616">
        <w:rPr>
          <w:sz w:val="22"/>
          <w:szCs w:val="22"/>
        </w:rPr>
        <w:t>kim ispitivanjima</w:t>
      </w:r>
      <w:r>
        <w:rPr>
          <w:sz w:val="22"/>
          <w:szCs w:val="22"/>
        </w:rPr>
        <w:t xml:space="preserve"> (</w:t>
      </w:r>
      <w:r w:rsidRPr="00442616">
        <w:rPr>
          <w:sz w:val="22"/>
          <w:szCs w:val="22"/>
        </w:rPr>
        <w:t>BO</w:t>
      </w:r>
      <w:r>
        <w:rPr>
          <w:sz w:val="22"/>
          <w:szCs w:val="22"/>
        </w:rPr>
        <w:t>16216),</w:t>
      </w:r>
      <w:r w:rsidR="001E26E9">
        <w:rPr>
          <w:sz w:val="22"/>
          <w:szCs w:val="22"/>
        </w:rPr>
        <w:t xml:space="preserve"> lijek</w:t>
      </w:r>
      <w:r>
        <w:rPr>
          <w:sz w:val="22"/>
          <w:szCs w:val="22"/>
        </w:rPr>
        <w:t xml:space="preserve"> </w:t>
      </w:r>
      <w:r w:rsidRPr="00442616">
        <w:rPr>
          <w:sz w:val="22"/>
          <w:szCs w:val="22"/>
        </w:rPr>
        <w:t xml:space="preserve">Herceptin i anastrozol su primjenjivani </w:t>
      </w:r>
      <w:proofErr w:type="gramStart"/>
      <w:r w:rsidRPr="00442616">
        <w:rPr>
          <w:sz w:val="22"/>
          <w:szCs w:val="22"/>
        </w:rPr>
        <w:t>od</w:t>
      </w:r>
      <w:proofErr w:type="gramEnd"/>
      <w:r w:rsidRPr="00442616">
        <w:rPr>
          <w:sz w:val="22"/>
          <w:szCs w:val="22"/>
        </w:rPr>
        <w:t xml:space="preserve"> prvog dana</w:t>
      </w:r>
      <w:r>
        <w:rPr>
          <w:sz w:val="22"/>
          <w:szCs w:val="22"/>
        </w:rPr>
        <w:t xml:space="preserve">. </w:t>
      </w:r>
      <w:r w:rsidRPr="00442616">
        <w:rPr>
          <w:sz w:val="22"/>
          <w:szCs w:val="22"/>
        </w:rPr>
        <w:t>Nije bilo ograni</w:t>
      </w:r>
      <w:r>
        <w:rPr>
          <w:sz w:val="22"/>
          <w:szCs w:val="22"/>
        </w:rPr>
        <w:t>č</w:t>
      </w:r>
      <w:r w:rsidRPr="00442616">
        <w:rPr>
          <w:sz w:val="22"/>
          <w:szCs w:val="22"/>
        </w:rPr>
        <w:t xml:space="preserve">enja koja se odnose </w:t>
      </w:r>
      <w:proofErr w:type="gramStart"/>
      <w:r w:rsidRPr="00442616">
        <w:rPr>
          <w:sz w:val="22"/>
          <w:szCs w:val="22"/>
        </w:rPr>
        <w:t>na</w:t>
      </w:r>
      <w:proofErr w:type="gramEnd"/>
      <w:r w:rsidRPr="00442616">
        <w:rPr>
          <w:sz w:val="22"/>
          <w:szCs w:val="22"/>
        </w:rPr>
        <w:t xml:space="preserve"> redosljed primjene </w:t>
      </w:r>
      <w:r w:rsidR="001E26E9">
        <w:rPr>
          <w:sz w:val="22"/>
          <w:szCs w:val="22"/>
        </w:rPr>
        <w:t xml:space="preserve">lijeka </w:t>
      </w:r>
      <w:r w:rsidRPr="00442616">
        <w:rPr>
          <w:sz w:val="22"/>
          <w:szCs w:val="22"/>
        </w:rPr>
        <w:t>Herceptin i anastrozola</w:t>
      </w:r>
      <w:r>
        <w:rPr>
          <w:sz w:val="22"/>
          <w:szCs w:val="22"/>
        </w:rPr>
        <w:t xml:space="preserve"> (</w:t>
      </w:r>
      <w:r w:rsidRPr="00442616">
        <w:rPr>
          <w:sz w:val="22"/>
          <w:szCs w:val="22"/>
        </w:rPr>
        <w:t>za dozu pro</w:t>
      </w:r>
      <w:r>
        <w:rPr>
          <w:sz w:val="22"/>
          <w:szCs w:val="22"/>
        </w:rPr>
        <w:t>č</w:t>
      </w:r>
      <w:r w:rsidRPr="00442616">
        <w:rPr>
          <w:sz w:val="22"/>
          <w:szCs w:val="22"/>
        </w:rPr>
        <w:t>itati Sa</w:t>
      </w:r>
      <w:r>
        <w:rPr>
          <w:sz w:val="22"/>
          <w:szCs w:val="22"/>
        </w:rPr>
        <w:t>ž</w:t>
      </w:r>
      <w:r w:rsidRPr="00442616">
        <w:rPr>
          <w:sz w:val="22"/>
          <w:szCs w:val="22"/>
        </w:rPr>
        <w:t>etak karakteristika lijeka za anastrozol ili druge inhibitore aromataze</w:t>
      </w:r>
      <w:r>
        <w:rPr>
          <w:sz w:val="22"/>
          <w:szCs w:val="22"/>
        </w:rPr>
        <w:t xml:space="preserve">). </w:t>
      </w:r>
    </w:p>
    <w:p w14:paraId="74454898" w14:textId="1A316CD3" w:rsidR="00DA2DF6" w:rsidRDefault="00DA2DF6" w:rsidP="00641EEB">
      <w:pPr>
        <w:jc w:val="both"/>
        <w:rPr>
          <w:sz w:val="22"/>
          <w:szCs w:val="22"/>
        </w:rPr>
      </w:pPr>
    </w:p>
    <w:p w14:paraId="57BBCC78" w14:textId="77777777" w:rsidR="00DA2DF6" w:rsidRDefault="00DA2DF6" w:rsidP="00641EEB">
      <w:pPr>
        <w:jc w:val="both"/>
        <w:rPr>
          <w:i/>
          <w:sz w:val="22"/>
          <w:szCs w:val="22"/>
          <w:u w:val="single"/>
        </w:rPr>
      </w:pPr>
      <w:r w:rsidRPr="00442616">
        <w:rPr>
          <w:i/>
          <w:sz w:val="22"/>
          <w:szCs w:val="22"/>
          <w:u w:val="single"/>
        </w:rPr>
        <w:t xml:space="preserve">Rani </w:t>
      </w:r>
      <w:proofErr w:type="gramStart"/>
      <w:r w:rsidRPr="00442616">
        <w:rPr>
          <w:i/>
          <w:sz w:val="22"/>
          <w:szCs w:val="22"/>
          <w:u w:val="single"/>
        </w:rPr>
        <w:t>karcinom</w:t>
      </w:r>
      <w:proofErr w:type="gramEnd"/>
      <w:r w:rsidRPr="00442616">
        <w:rPr>
          <w:i/>
          <w:sz w:val="22"/>
          <w:szCs w:val="22"/>
          <w:u w:val="single"/>
        </w:rPr>
        <w:t xml:space="preserve"> dojke</w:t>
      </w:r>
    </w:p>
    <w:p w14:paraId="5AA00463" w14:textId="77777777" w:rsidR="00DA2DF6" w:rsidRDefault="00DA2DF6" w:rsidP="00641EEB">
      <w:pPr>
        <w:jc w:val="both"/>
        <w:rPr>
          <w:sz w:val="22"/>
          <w:szCs w:val="22"/>
        </w:rPr>
      </w:pPr>
    </w:p>
    <w:p w14:paraId="47D54047" w14:textId="271AEFEC" w:rsidR="00DA2DF6" w:rsidRPr="00146DC6" w:rsidRDefault="00DA2DF6" w:rsidP="00641EEB">
      <w:pPr>
        <w:jc w:val="both"/>
        <w:rPr>
          <w:i/>
          <w:sz w:val="22"/>
          <w:szCs w:val="22"/>
        </w:rPr>
      </w:pPr>
      <w:r w:rsidRPr="00146DC6">
        <w:rPr>
          <w:i/>
          <w:sz w:val="22"/>
          <w:szCs w:val="22"/>
        </w:rPr>
        <w:t>Tronedjeljni i ned</w:t>
      </w:r>
      <w:r w:rsidR="001E26E9">
        <w:rPr>
          <w:i/>
          <w:sz w:val="22"/>
          <w:szCs w:val="22"/>
        </w:rPr>
        <w:t>j</w:t>
      </w:r>
      <w:r w:rsidRPr="00146DC6">
        <w:rPr>
          <w:i/>
          <w:sz w:val="22"/>
          <w:szCs w:val="22"/>
        </w:rPr>
        <w:t xml:space="preserve">eljni režim doziranja </w:t>
      </w:r>
    </w:p>
    <w:p w14:paraId="5B0FB65D" w14:textId="542E2F6C" w:rsidR="00DA2DF6" w:rsidRDefault="00DA2DF6" w:rsidP="00641EEB">
      <w:pPr>
        <w:jc w:val="both"/>
        <w:rPr>
          <w:sz w:val="22"/>
          <w:szCs w:val="22"/>
        </w:rPr>
      </w:pPr>
      <w:r w:rsidRPr="00442616">
        <w:rPr>
          <w:sz w:val="22"/>
          <w:szCs w:val="22"/>
        </w:rPr>
        <w:t>U tronedjeljnim ciklusima</w:t>
      </w:r>
      <w:r>
        <w:rPr>
          <w:sz w:val="22"/>
          <w:szCs w:val="22"/>
        </w:rPr>
        <w:t xml:space="preserve">, </w:t>
      </w:r>
      <w:r w:rsidRPr="00442616">
        <w:rPr>
          <w:sz w:val="22"/>
          <w:szCs w:val="22"/>
        </w:rPr>
        <w:t>preporu</w:t>
      </w:r>
      <w:r>
        <w:rPr>
          <w:sz w:val="22"/>
          <w:szCs w:val="22"/>
        </w:rPr>
        <w:t>č</w:t>
      </w:r>
      <w:r w:rsidRPr="00442616">
        <w:rPr>
          <w:sz w:val="22"/>
          <w:szCs w:val="22"/>
        </w:rPr>
        <w:t>ena inicijalna doza lijeka Herceptin iznosi</w:t>
      </w:r>
      <w:r>
        <w:rPr>
          <w:sz w:val="22"/>
          <w:szCs w:val="22"/>
        </w:rPr>
        <w:t xml:space="preserve"> 8</w:t>
      </w:r>
      <w:r w:rsidR="00173CA7">
        <w:rPr>
          <w:sz w:val="22"/>
          <w:szCs w:val="22"/>
        </w:rPr>
        <w:t xml:space="preserve"> </w:t>
      </w:r>
      <w:r w:rsidRPr="00442616">
        <w:rPr>
          <w:sz w:val="22"/>
          <w:szCs w:val="22"/>
        </w:rPr>
        <w:t>mg</w:t>
      </w:r>
      <w:r>
        <w:rPr>
          <w:sz w:val="22"/>
          <w:szCs w:val="22"/>
        </w:rPr>
        <w:t>/</w:t>
      </w:r>
      <w:r w:rsidRPr="00442616">
        <w:rPr>
          <w:sz w:val="22"/>
          <w:szCs w:val="22"/>
        </w:rPr>
        <w:t>kg tjelesne mase</w:t>
      </w:r>
      <w:r>
        <w:rPr>
          <w:sz w:val="22"/>
          <w:szCs w:val="22"/>
        </w:rPr>
        <w:t xml:space="preserve">. </w:t>
      </w:r>
      <w:r w:rsidRPr="00442616">
        <w:rPr>
          <w:sz w:val="22"/>
          <w:szCs w:val="22"/>
        </w:rPr>
        <w:t>Preporu</w:t>
      </w:r>
      <w:r>
        <w:rPr>
          <w:sz w:val="22"/>
          <w:szCs w:val="22"/>
        </w:rPr>
        <w:t>č</w:t>
      </w:r>
      <w:r w:rsidRPr="00442616">
        <w:rPr>
          <w:sz w:val="22"/>
          <w:szCs w:val="22"/>
        </w:rPr>
        <w:t>ena doza odr</w:t>
      </w:r>
      <w:r>
        <w:rPr>
          <w:sz w:val="22"/>
          <w:szCs w:val="22"/>
        </w:rPr>
        <w:t>ž</w:t>
      </w:r>
      <w:r w:rsidRPr="00442616">
        <w:rPr>
          <w:sz w:val="22"/>
          <w:szCs w:val="22"/>
        </w:rPr>
        <w:t>avanja lijeka Herceptin koja se primjenjuje u tronedjeljnim intervalima iznosi</w:t>
      </w:r>
      <w:r>
        <w:rPr>
          <w:sz w:val="22"/>
          <w:szCs w:val="22"/>
        </w:rPr>
        <w:t xml:space="preserve"> 6</w:t>
      </w:r>
      <w:r w:rsidR="00173CA7">
        <w:rPr>
          <w:sz w:val="22"/>
          <w:szCs w:val="22"/>
        </w:rPr>
        <w:t xml:space="preserve"> </w:t>
      </w:r>
      <w:r w:rsidRPr="00442616">
        <w:rPr>
          <w:sz w:val="22"/>
          <w:szCs w:val="22"/>
        </w:rPr>
        <w:t>mg</w:t>
      </w:r>
      <w:r>
        <w:rPr>
          <w:sz w:val="22"/>
          <w:szCs w:val="22"/>
        </w:rPr>
        <w:t>/</w:t>
      </w:r>
      <w:r w:rsidRPr="00442616">
        <w:rPr>
          <w:sz w:val="22"/>
          <w:szCs w:val="22"/>
        </w:rPr>
        <w:t>kg tjelesne mase</w:t>
      </w:r>
      <w:r>
        <w:rPr>
          <w:sz w:val="22"/>
          <w:szCs w:val="22"/>
        </w:rPr>
        <w:t xml:space="preserve">, </w:t>
      </w:r>
      <w:r w:rsidRPr="00442616">
        <w:rPr>
          <w:sz w:val="22"/>
          <w:szCs w:val="22"/>
        </w:rPr>
        <w:t>a po</w:t>
      </w:r>
      <w:r>
        <w:rPr>
          <w:sz w:val="22"/>
          <w:szCs w:val="22"/>
        </w:rPr>
        <w:t>č</w:t>
      </w:r>
      <w:r w:rsidRPr="00442616">
        <w:rPr>
          <w:sz w:val="22"/>
          <w:szCs w:val="22"/>
        </w:rPr>
        <w:t>inje se primjenjivati</w:t>
      </w:r>
      <w:r>
        <w:rPr>
          <w:sz w:val="22"/>
          <w:szCs w:val="22"/>
        </w:rPr>
        <w:t xml:space="preserve"> 3 </w:t>
      </w:r>
      <w:r w:rsidRPr="00442616">
        <w:rPr>
          <w:sz w:val="22"/>
          <w:szCs w:val="22"/>
        </w:rPr>
        <w:t xml:space="preserve">nedjelje nakon </w:t>
      </w:r>
      <w:r w:rsidR="001E26E9">
        <w:rPr>
          <w:sz w:val="22"/>
          <w:szCs w:val="22"/>
        </w:rPr>
        <w:t>udarne</w:t>
      </w:r>
      <w:r w:rsidR="001E26E9" w:rsidRPr="00442616">
        <w:rPr>
          <w:sz w:val="22"/>
          <w:szCs w:val="22"/>
        </w:rPr>
        <w:t xml:space="preserve"> </w:t>
      </w:r>
      <w:r w:rsidRPr="00442616">
        <w:rPr>
          <w:sz w:val="22"/>
          <w:szCs w:val="22"/>
        </w:rPr>
        <w:t>doze</w:t>
      </w:r>
      <w:r>
        <w:rPr>
          <w:sz w:val="22"/>
          <w:szCs w:val="22"/>
        </w:rPr>
        <w:t>.</w:t>
      </w:r>
    </w:p>
    <w:p w14:paraId="7FCBCAE6" w14:textId="0ADE1D5A" w:rsidR="004E1F29" w:rsidRDefault="00DA2DF6" w:rsidP="00641EEB">
      <w:pPr>
        <w:jc w:val="both"/>
        <w:rPr>
          <w:sz w:val="22"/>
          <w:szCs w:val="22"/>
        </w:rPr>
      </w:pPr>
      <w:r w:rsidRPr="00442616">
        <w:rPr>
          <w:sz w:val="22"/>
          <w:szCs w:val="22"/>
        </w:rPr>
        <w:t>U nedjeljnim ciklusima</w:t>
      </w:r>
      <w:r>
        <w:rPr>
          <w:sz w:val="22"/>
          <w:szCs w:val="22"/>
        </w:rPr>
        <w:t xml:space="preserve"> (</w:t>
      </w:r>
      <w:r w:rsidRPr="00442616">
        <w:rPr>
          <w:sz w:val="22"/>
          <w:szCs w:val="22"/>
        </w:rPr>
        <w:t xml:space="preserve">inicijalna udarna doza </w:t>
      </w:r>
      <w:proofErr w:type="gramStart"/>
      <w:r w:rsidRPr="00442616">
        <w:rPr>
          <w:sz w:val="22"/>
          <w:szCs w:val="22"/>
        </w:rPr>
        <w:t>od</w:t>
      </w:r>
      <w:proofErr w:type="gramEnd"/>
      <w:r>
        <w:rPr>
          <w:sz w:val="22"/>
          <w:szCs w:val="22"/>
        </w:rPr>
        <w:t xml:space="preserve"> 4</w:t>
      </w:r>
      <w:r w:rsidR="00173CA7">
        <w:rPr>
          <w:sz w:val="22"/>
          <w:szCs w:val="22"/>
        </w:rPr>
        <w:t xml:space="preserve"> </w:t>
      </w:r>
      <w:r w:rsidRPr="00442616">
        <w:rPr>
          <w:sz w:val="22"/>
          <w:szCs w:val="22"/>
        </w:rPr>
        <w:t>mg</w:t>
      </w:r>
      <w:r>
        <w:rPr>
          <w:sz w:val="22"/>
          <w:szCs w:val="22"/>
        </w:rPr>
        <w:t>/</w:t>
      </w:r>
      <w:r w:rsidRPr="00442616">
        <w:rPr>
          <w:sz w:val="22"/>
          <w:szCs w:val="22"/>
        </w:rPr>
        <w:t>kg nakon koje se nastavlja primjena doze od</w:t>
      </w:r>
      <w:r>
        <w:rPr>
          <w:sz w:val="22"/>
          <w:szCs w:val="22"/>
        </w:rPr>
        <w:t xml:space="preserve"> 2</w:t>
      </w:r>
      <w:r w:rsidR="00173CA7">
        <w:rPr>
          <w:sz w:val="22"/>
          <w:szCs w:val="22"/>
        </w:rPr>
        <w:t xml:space="preserve"> </w:t>
      </w:r>
      <w:r w:rsidRPr="00442616">
        <w:rPr>
          <w:sz w:val="22"/>
          <w:szCs w:val="22"/>
        </w:rPr>
        <w:t>mg</w:t>
      </w:r>
      <w:r>
        <w:rPr>
          <w:sz w:val="22"/>
          <w:szCs w:val="22"/>
        </w:rPr>
        <w:t>/</w:t>
      </w:r>
      <w:r w:rsidRPr="00442616">
        <w:rPr>
          <w:sz w:val="22"/>
          <w:szCs w:val="22"/>
        </w:rPr>
        <w:t>kg svake nedjelje</w:t>
      </w:r>
      <w:r>
        <w:rPr>
          <w:sz w:val="22"/>
          <w:szCs w:val="22"/>
        </w:rPr>
        <w:t xml:space="preserve">), </w:t>
      </w:r>
      <w:r w:rsidR="000273B3">
        <w:rPr>
          <w:sz w:val="22"/>
          <w:szCs w:val="22"/>
        </w:rPr>
        <w:t>istovremeno</w:t>
      </w:r>
      <w:r w:rsidR="000273B3" w:rsidRPr="00442616">
        <w:rPr>
          <w:sz w:val="22"/>
          <w:szCs w:val="22"/>
        </w:rPr>
        <w:t xml:space="preserve"> </w:t>
      </w:r>
      <w:r w:rsidRPr="00442616">
        <w:rPr>
          <w:sz w:val="22"/>
          <w:szCs w:val="22"/>
        </w:rPr>
        <w:t>sa paklitakselom nakon hemoterapije doksorubicinom i ciklofosfamidom</w:t>
      </w:r>
      <w:r>
        <w:rPr>
          <w:sz w:val="22"/>
          <w:szCs w:val="22"/>
        </w:rPr>
        <w:t xml:space="preserve">.  </w:t>
      </w:r>
    </w:p>
    <w:p w14:paraId="61C87A1B" w14:textId="77777777" w:rsidR="000273B3" w:rsidRDefault="000273B3" w:rsidP="00641EEB">
      <w:pPr>
        <w:jc w:val="both"/>
        <w:rPr>
          <w:sz w:val="22"/>
          <w:szCs w:val="22"/>
        </w:rPr>
      </w:pPr>
    </w:p>
    <w:p w14:paraId="5160EBAD" w14:textId="0065367A" w:rsidR="00DA2DF6" w:rsidRPr="00442616" w:rsidRDefault="00DA2DF6" w:rsidP="00641EEB">
      <w:pPr>
        <w:jc w:val="both"/>
        <w:rPr>
          <w:sz w:val="22"/>
          <w:szCs w:val="22"/>
        </w:rPr>
      </w:pPr>
      <w:r w:rsidRPr="00442616">
        <w:rPr>
          <w:sz w:val="22"/>
          <w:szCs w:val="22"/>
        </w:rPr>
        <w:t xml:space="preserve">Vidjeti dio 5.1. </w:t>
      </w:r>
      <w:proofErr w:type="gramStart"/>
      <w:r w:rsidRPr="00442616">
        <w:rPr>
          <w:sz w:val="22"/>
          <w:szCs w:val="22"/>
        </w:rPr>
        <w:t>za</w:t>
      </w:r>
      <w:proofErr w:type="gramEnd"/>
      <w:r w:rsidRPr="00442616">
        <w:rPr>
          <w:sz w:val="22"/>
          <w:szCs w:val="22"/>
        </w:rPr>
        <w:t xml:space="preserve"> doziranje u kombinaciji sa hemoterapij</w:t>
      </w:r>
      <w:r w:rsidR="004E1F29">
        <w:rPr>
          <w:sz w:val="22"/>
          <w:szCs w:val="22"/>
        </w:rPr>
        <w:t>o</w:t>
      </w:r>
      <w:r w:rsidRPr="00442616">
        <w:rPr>
          <w:sz w:val="22"/>
          <w:szCs w:val="22"/>
        </w:rPr>
        <w:t>m</w:t>
      </w:r>
      <w:r w:rsidR="004E1F29">
        <w:rPr>
          <w:sz w:val="22"/>
          <w:szCs w:val="22"/>
        </w:rPr>
        <w:t>.</w:t>
      </w:r>
    </w:p>
    <w:p w14:paraId="0E3E1C19" w14:textId="77777777" w:rsidR="00DA2DF6" w:rsidRPr="00442616" w:rsidRDefault="00DA2DF6" w:rsidP="00641EEB">
      <w:pPr>
        <w:jc w:val="both"/>
        <w:rPr>
          <w:sz w:val="22"/>
          <w:szCs w:val="22"/>
          <w:u w:val="single"/>
        </w:rPr>
      </w:pPr>
    </w:p>
    <w:p w14:paraId="7FC8B329" w14:textId="77777777" w:rsidR="00DA2DF6" w:rsidRPr="00146DC6" w:rsidRDefault="00DA2DF6" w:rsidP="00641EEB">
      <w:pPr>
        <w:jc w:val="both"/>
        <w:rPr>
          <w:i/>
          <w:sz w:val="22"/>
          <w:szCs w:val="22"/>
          <w:u w:val="single"/>
        </w:rPr>
      </w:pPr>
      <w:r w:rsidRPr="00146DC6">
        <w:rPr>
          <w:i/>
          <w:sz w:val="22"/>
          <w:szCs w:val="22"/>
          <w:u w:val="single"/>
        </w:rPr>
        <w:t xml:space="preserve">Metastatski karcinom želuca </w:t>
      </w:r>
    </w:p>
    <w:p w14:paraId="518E220E" w14:textId="77777777" w:rsidR="00DA2DF6" w:rsidRPr="00442616" w:rsidRDefault="00DA2DF6" w:rsidP="00641EEB">
      <w:pPr>
        <w:jc w:val="both"/>
        <w:rPr>
          <w:sz w:val="22"/>
          <w:szCs w:val="22"/>
          <w:u w:val="single"/>
        </w:rPr>
      </w:pPr>
    </w:p>
    <w:p w14:paraId="54BD5E28" w14:textId="77777777" w:rsidR="00DA2DF6" w:rsidRPr="00146DC6" w:rsidRDefault="00DA2DF6" w:rsidP="00641EEB">
      <w:pPr>
        <w:jc w:val="both"/>
        <w:rPr>
          <w:i/>
          <w:sz w:val="22"/>
          <w:szCs w:val="22"/>
        </w:rPr>
      </w:pPr>
      <w:r w:rsidRPr="00146DC6">
        <w:rPr>
          <w:i/>
          <w:sz w:val="22"/>
          <w:szCs w:val="22"/>
        </w:rPr>
        <w:t>Tronedjeljni režim doziranja</w:t>
      </w:r>
    </w:p>
    <w:p w14:paraId="7FD21405" w14:textId="0618B461" w:rsidR="00DA2DF6" w:rsidRPr="00442616" w:rsidRDefault="00DA2DF6" w:rsidP="00641EEB">
      <w:pPr>
        <w:jc w:val="both"/>
        <w:rPr>
          <w:sz w:val="22"/>
          <w:szCs w:val="22"/>
        </w:rPr>
      </w:pPr>
      <w:r w:rsidRPr="00442616">
        <w:rPr>
          <w:sz w:val="22"/>
          <w:szCs w:val="22"/>
        </w:rPr>
        <w:t xml:space="preserve">Preporučena početna doza iznosi 8 mg/kg tjelesne mase. Preporučena doza održavanja koja se primjenjuje u tronedjeljnim intervalima iznosi 6 mg/kg tjelesne mase i počinje se primjenjivati tri nedjelje nakon početne doze. </w:t>
      </w:r>
    </w:p>
    <w:p w14:paraId="7528A0DB" w14:textId="04999CF1" w:rsidR="00DA2DF6" w:rsidRDefault="00DA2DF6" w:rsidP="00641EEB">
      <w:pPr>
        <w:jc w:val="both"/>
        <w:rPr>
          <w:sz w:val="22"/>
          <w:szCs w:val="22"/>
        </w:rPr>
      </w:pPr>
    </w:p>
    <w:p w14:paraId="5DB645A5" w14:textId="77777777" w:rsidR="00DA2DF6" w:rsidRPr="00146DC6" w:rsidRDefault="00DA2DF6" w:rsidP="00641EEB">
      <w:pPr>
        <w:jc w:val="both"/>
        <w:rPr>
          <w:sz w:val="22"/>
          <w:szCs w:val="22"/>
          <w:u w:val="single"/>
        </w:rPr>
      </w:pPr>
      <w:r w:rsidRPr="00146DC6">
        <w:rPr>
          <w:sz w:val="22"/>
          <w:szCs w:val="22"/>
          <w:u w:val="single"/>
        </w:rPr>
        <w:t xml:space="preserve">Karcinom dojke i karcinom želuca: </w:t>
      </w:r>
    </w:p>
    <w:p w14:paraId="349AA468" w14:textId="77777777" w:rsidR="00DA2DF6" w:rsidRPr="00146DC6" w:rsidRDefault="00DA2DF6" w:rsidP="00641EEB">
      <w:pPr>
        <w:jc w:val="both"/>
        <w:rPr>
          <w:sz w:val="22"/>
          <w:szCs w:val="22"/>
        </w:rPr>
      </w:pPr>
    </w:p>
    <w:p w14:paraId="2BA1FEFA" w14:textId="77777777" w:rsidR="00DA2DF6" w:rsidRPr="00146DC6" w:rsidRDefault="00DA2DF6" w:rsidP="00641EEB">
      <w:pPr>
        <w:jc w:val="both"/>
        <w:rPr>
          <w:i/>
          <w:sz w:val="22"/>
          <w:szCs w:val="22"/>
        </w:rPr>
      </w:pPr>
      <w:r w:rsidRPr="00146DC6">
        <w:rPr>
          <w:i/>
          <w:sz w:val="22"/>
          <w:szCs w:val="22"/>
        </w:rPr>
        <w:t xml:space="preserve">Trajanje liječenja </w:t>
      </w:r>
    </w:p>
    <w:p w14:paraId="00BF8475" w14:textId="7CCCA6EE" w:rsidR="00DA2DF6" w:rsidRPr="00442616" w:rsidRDefault="00DA2DF6" w:rsidP="00641EEB">
      <w:pPr>
        <w:jc w:val="both"/>
        <w:rPr>
          <w:sz w:val="22"/>
          <w:szCs w:val="22"/>
        </w:rPr>
      </w:pPr>
      <w:r w:rsidRPr="00442616">
        <w:rPr>
          <w:sz w:val="22"/>
          <w:szCs w:val="22"/>
        </w:rPr>
        <w:t xml:space="preserve">Kod pacijenata </w:t>
      </w:r>
      <w:proofErr w:type="gramStart"/>
      <w:r w:rsidRPr="00442616">
        <w:rPr>
          <w:sz w:val="22"/>
          <w:szCs w:val="22"/>
        </w:rPr>
        <w:t>sa</w:t>
      </w:r>
      <w:proofErr w:type="gramEnd"/>
      <w:r w:rsidRPr="00442616">
        <w:rPr>
          <w:sz w:val="22"/>
          <w:szCs w:val="22"/>
        </w:rPr>
        <w:t xml:space="preserve"> metastatskim karcinomom dojke ili metastatskim karcinomom želuca liječenje lijekom Herceptin traje do progresije bolesti. Kod pacijenata </w:t>
      </w:r>
      <w:proofErr w:type="gramStart"/>
      <w:r w:rsidRPr="00442616">
        <w:rPr>
          <w:sz w:val="22"/>
          <w:szCs w:val="22"/>
        </w:rPr>
        <w:t>sa</w:t>
      </w:r>
      <w:proofErr w:type="gramEnd"/>
      <w:r w:rsidRPr="00442616">
        <w:rPr>
          <w:sz w:val="22"/>
          <w:szCs w:val="22"/>
        </w:rPr>
        <w:t xml:space="preserve"> ranim karcinomom dojke</w:t>
      </w:r>
      <w:r w:rsidR="000273B3">
        <w:rPr>
          <w:sz w:val="22"/>
          <w:szCs w:val="22"/>
        </w:rPr>
        <w:t xml:space="preserve"> </w:t>
      </w:r>
      <w:r w:rsidRPr="00442616">
        <w:rPr>
          <w:sz w:val="22"/>
          <w:szCs w:val="22"/>
        </w:rPr>
        <w:t>liječenje lijekom Herceptin traje godinu dana ili do relapsa bolesti, šta god nastupi ranije; ne preporučuje se produ</w:t>
      </w:r>
      <w:r>
        <w:rPr>
          <w:sz w:val="22"/>
          <w:szCs w:val="22"/>
        </w:rPr>
        <w:t>žiti</w:t>
      </w:r>
      <w:r w:rsidRPr="00442616">
        <w:rPr>
          <w:sz w:val="22"/>
          <w:szCs w:val="22"/>
        </w:rPr>
        <w:t xml:space="preserve"> liječenje ranog raka dojke duže od jedne godine (vidjeti dio 5.1).</w:t>
      </w:r>
    </w:p>
    <w:p w14:paraId="4E49227E" w14:textId="77777777" w:rsidR="00DA2DF6" w:rsidRPr="00442616" w:rsidRDefault="00DA2DF6" w:rsidP="00641EEB">
      <w:pPr>
        <w:jc w:val="both"/>
        <w:rPr>
          <w:sz w:val="22"/>
          <w:szCs w:val="22"/>
        </w:rPr>
      </w:pPr>
    </w:p>
    <w:p w14:paraId="66BD1922" w14:textId="77777777" w:rsidR="00DA2DF6" w:rsidRPr="00442616" w:rsidRDefault="00DA2DF6" w:rsidP="00641EEB">
      <w:pPr>
        <w:jc w:val="both"/>
        <w:rPr>
          <w:i/>
          <w:sz w:val="22"/>
          <w:szCs w:val="22"/>
        </w:rPr>
      </w:pPr>
      <w:r w:rsidRPr="00442616">
        <w:rPr>
          <w:i/>
          <w:sz w:val="22"/>
          <w:szCs w:val="22"/>
        </w:rPr>
        <w:t>Smanjenje doze</w:t>
      </w:r>
    </w:p>
    <w:p w14:paraId="6053392E" w14:textId="522CF36B" w:rsidR="00DA2DF6" w:rsidRDefault="00DA2DF6" w:rsidP="00641EEB">
      <w:pPr>
        <w:jc w:val="both"/>
        <w:rPr>
          <w:sz w:val="22"/>
          <w:szCs w:val="22"/>
        </w:rPr>
      </w:pPr>
      <w:r w:rsidRPr="00442616">
        <w:rPr>
          <w:sz w:val="22"/>
          <w:szCs w:val="22"/>
        </w:rPr>
        <w:t xml:space="preserve">Tokom kliničkih ispitivanja doza lijeka Herceptin nije smanjivana. Liječenje se može nastaviti tokom perioda reverzibilne, hemoterapijom izazvane mijelosupresije, </w:t>
      </w:r>
      <w:proofErr w:type="gramStart"/>
      <w:r w:rsidRPr="00442616">
        <w:rPr>
          <w:sz w:val="22"/>
          <w:szCs w:val="22"/>
        </w:rPr>
        <w:t>ali</w:t>
      </w:r>
      <w:proofErr w:type="gramEnd"/>
      <w:r w:rsidRPr="00442616">
        <w:rPr>
          <w:sz w:val="22"/>
          <w:szCs w:val="22"/>
        </w:rPr>
        <w:t xml:space="preserve"> je pacijente tokom tog perioda potrebno pažljivo pratiti kako bi se pravovremeno zapazile komplikacija neutropenije. Pogledajte Sažetak karakteristika lijeka za paklitaksel, docetaksel </w:t>
      </w:r>
      <w:proofErr w:type="gramStart"/>
      <w:r w:rsidRPr="00442616">
        <w:rPr>
          <w:sz w:val="22"/>
          <w:szCs w:val="22"/>
        </w:rPr>
        <w:t>ili</w:t>
      </w:r>
      <w:proofErr w:type="gramEnd"/>
      <w:r w:rsidRPr="00442616">
        <w:rPr>
          <w:sz w:val="22"/>
          <w:szCs w:val="22"/>
        </w:rPr>
        <w:t xml:space="preserve"> inhibitore aromataze za informacije o smanjenju doze ili odlaganju doze.</w:t>
      </w:r>
    </w:p>
    <w:p w14:paraId="058AAF0B" w14:textId="77777777" w:rsidR="004E1F29" w:rsidRPr="00442616" w:rsidRDefault="004E1F29" w:rsidP="00641EEB">
      <w:pPr>
        <w:jc w:val="both"/>
        <w:rPr>
          <w:sz w:val="22"/>
          <w:szCs w:val="22"/>
        </w:rPr>
      </w:pPr>
    </w:p>
    <w:p w14:paraId="73C583BB" w14:textId="21832C8F" w:rsidR="00DA2DF6" w:rsidRDefault="00DA2DF6" w:rsidP="00641EEB">
      <w:pPr>
        <w:jc w:val="both"/>
        <w:rPr>
          <w:sz w:val="22"/>
          <w:szCs w:val="22"/>
          <w:lang w:val="it-IT"/>
        </w:rPr>
      </w:pPr>
      <w:r w:rsidRPr="00442616">
        <w:rPr>
          <w:sz w:val="22"/>
          <w:szCs w:val="22"/>
        </w:rPr>
        <w:t xml:space="preserve">Ako procenat ejekcione frakcije lijeve komore (engl. </w:t>
      </w:r>
      <w:r w:rsidRPr="00BA76B8">
        <w:rPr>
          <w:i/>
          <w:sz w:val="22"/>
          <w:szCs w:val="22"/>
        </w:rPr>
        <w:t>left ventricular ejection fraction</w:t>
      </w:r>
      <w:r w:rsidRPr="00442616">
        <w:rPr>
          <w:sz w:val="22"/>
          <w:szCs w:val="22"/>
        </w:rPr>
        <w:t xml:space="preserve">, LVEF) padne za ≥ 10 bodova </w:t>
      </w:r>
      <w:proofErr w:type="gramStart"/>
      <w:r w:rsidRPr="00442616">
        <w:rPr>
          <w:sz w:val="22"/>
          <w:szCs w:val="22"/>
        </w:rPr>
        <w:t>od</w:t>
      </w:r>
      <w:proofErr w:type="gramEnd"/>
      <w:r w:rsidRPr="00442616">
        <w:rPr>
          <w:sz w:val="22"/>
          <w:szCs w:val="22"/>
        </w:rPr>
        <w:t xml:space="preserve"> početne vrijednosti i na manje od 50%, terapiju je potrebno prekinuti i ponoviti procjenu LVEF-a u roku od otprilike 3 nedjelje. Ako se LVEF ne poboljša ili se još više smanji, ili ako se razvije simptomatska kongestivna srčana insuficijencija (CHF), potrebno je ozbiljno da se razmotri mogućnost prekida liječenja lijekom Herceptin, osim u slučaju kada korist za pojedinog pacijenta nadmašuje rizik. </w:t>
      </w:r>
      <w:r>
        <w:rPr>
          <w:sz w:val="22"/>
          <w:szCs w:val="22"/>
          <w:lang w:val="it-IT"/>
        </w:rPr>
        <w:t>Sve takve pacijente treba uputiti na kardiološki pregled i pratiti.</w:t>
      </w:r>
    </w:p>
    <w:p w14:paraId="7B5B9DF5" w14:textId="77777777" w:rsidR="00DA2DF6" w:rsidRDefault="00DA2DF6" w:rsidP="00641EEB">
      <w:pPr>
        <w:jc w:val="both"/>
        <w:rPr>
          <w:sz w:val="22"/>
          <w:szCs w:val="22"/>
          <w:lang w:val="it-IT"/>
        </w:rPr>
      </w:pPr>
    </w:p>
    <w:p w14:paraId="04C7B81E" w14:textId="77777777" w:rsidR="00DA2DF6" w:rsidRDefault="00DA2DF6" w:rsidP="00641EEB">
      <w:pPr>
        <w:jc w:val="both"/>
        <w:rPr>
          <w:i/>
          <w:sz w:val="22"/>
          <w:szCs w:val="22"/>
          <w:lang w:val="it-IT"/>
        </w:rPr>
      </w:pPr>
      <w:r>
        <w:rPr>
          <w:i/>
          <w:sz w:val="22"/>
          <w:szCs w:val="22"/>
          <w:lang w:val="it-IT"/>
        </w:rPr>
        <w:t xml:space="preserve">Propuštene doze </w:t>
      </w:r>
    </w:p>
    <w:p w14:paraId="7CEF10F7" w14:textId="77777777" w:rsidR="00DA2DF6" w:rsidRDefault="00DA2DF6" w:rsidP="00641EEB">
      <w:pPr>
        <w:jc w:val="both"/>
        <w:rPr>
          <w:sz w:val="22"/>
          <w:szCs w:val="22"/>
          <w:lang w:val="it-IT"/>
        </w:rPr>
      </w:pPr>
      <w:r>
        <w:rPr>
          <w:sz w:val="22"/>
          <w:szCs w:val="22"/>
          <w:lang w:val="it-IT"/>
        </w:rPr>
        <w:lastRenderedPageBreak/>
        <w:t>Ukoliko je pacijent propustio dozu lijeka Herceptin za nedjelju dana ili manje, neophodno je što prije primijeniti uobičajenu dozu održavanja (nedjeljni ciklusi 2 mg/kg, tronedjeljni ciklusi 6 mg/kg, ne čekajte do sljedećeg planiranog ciklusa).  Narednu doze održavanja  treba primjeniti 7 dana nakon toga, ako pacijent prima nedjeljni respored doziranja, odnosno 21 dan nakon toga, ako prima tronedjeljni respored doziranja.</w:t>
      </w:r>
    </w:p>
    <w:p w14:paraId="7A6ACB2A" w14:textId="77777777" w:rsidR="00DA2DF6" w:rsidRDefault="00DA2DF6" w:rsidP="00641EEB">
      <w:pPr>
        <w:jc w:val="both"/>
        <w:rPr>
          <w:sz w:val="22"/>
          <w:szCs w:val="22"/>
          <w:lang w:val="it-IT"/>
        </w:rPr>
      </w:pPr>
    </w:p>
    <w:p w14:paraId="6E00F8C6" w14:textId="405137E0" w:rsidR="00DA2DF6" w:rsidRDefault="00DA2DF6" w:rsidP="00641EEB">
      <w:pPr>
        <w:jc w:val="both"/>
        <w:rPr>
          <w:sz w:val="22"/>
          <w:szCs w:val="22"/>
          <w:lang w:val="it-IT"/>
        </w:rPr>
      </w:pPr>
      <w:r>
        <w:rPr>
          <w:sz w:val="22"/>
          <w:szCs w:val="22"/>
          <w:lang w:val="it-IT"/>
        </w:rPr>
        <w:t>Ukoliko je pacijent propustio da primi dozu lijeka Herceptin za više od nedjelju dana, potrebno je  ponoviti početnu dozu lijeka Herceptin u infuziji u trajanju od oko 90 minuta (nedjeljni režim 4</w:t>
      </w:r>
      <w:r w:rsidR="000273B3">
        <w:rPr>
          <w:sz w:val="22"/>
          <w:szCs w:val="22"/>
          <w:lang w:val="it-IT"/>
        </w:rPr>
        <w:t xml:space="preserve"> </w:t>
      </w:r>
      <w:r>
        <w:rPr>
          <w:sz w:val="22"/>
          <w:szCs w:val="22"/>
          <w:lang w:val="it-IT"/>
        </w:rPr>
        <w:t>mg/ kg; tronedjeljni režim 8 mg/kg) što je prije mogu</w:t>
      </w:r>
      <w:r w:rsidRPr="00442616">
        <w:rPr>
          <w:sz w:val="22"/>
          <w:szCs w:val="22"/>
          <w:lang w:val="it-IT"/>
        </w:rPr>
        <w:t xml:space="preserve">će. </w:t>
      </w:r>
      <w:r>
        <w:rPr>
          <w:sz w:val="22"/>
          <w:szCs w:val="22"/>
          <w:lang w:val="it-IT"/>
        </w:rPr>
        <w:t xml:space="preserve"> Sljedeću dozu održavanja lijeka Herceptin (nedjeljni režim 2 mg/kg, tronedjeljni režim 6 mg/kg) treba primjeniti 7 dana nakon toga, ako pacijent prima nedjeljni raspored doziranja, odnosno 21 dan nakon toga ako pacijent prima tronedjeljni režim doziranja. </w:t>
      </w:r>
    </w:p>
    <w:p w14:paraId="3654C123" w14:textId="77777777" w:rsidR="00DA2DF6" w:rsidRDefault="00DA2DF6" w:rsidP="00641EEB">
      <w:pPr>
        <w:jc w:val="both"/>
        <w:rPr>
          <w:sz w:val="22"/>
          <w:szCs w:val="22"/>
          <w:lang w:val="it-IT"/>
        </w:rPr>
      </w:pPr>
    </w:p>
    <w:p w14:paraId="5AC50B5B" w14:textId="1B18900E" w:rsidR="00DA2DF6" w:rsidRDefault="00DA2DF6" w:rsidP="00641EEB">
      <w:pPr>
        <w:jc w:val="both"/>
        <w:rPr>
          <w:i/>
          <w:sz w:val="22"/>
          <w:szCs w:val="22"/>
          <w:lang w:val="it-IT"/>
        </w:rPr>
      </w:pPr>
      <w:r>
        <w:rPr>
          <w:i/>
          <w:sz w:val="22"/>
          <w:szCs w:val="22"/>
          <w:lang w:val="it-IT"/>
        </w:rPr>
        <w:t xml:space="preserve">Posebne populacije </w:t>
      </w:r>
    </w:p>
    <w:p w14:paraId="545188DC" w14:textId="06D9629F" w:rsidR="00DA2DF6" w:rsidRDefault="00DA2DF6" w:rsidP="00641EEB">
      <w:pPr>
        <w:jc w:val="both"/>
        <w:rPr>
          <w:sz w:val="22"/>
          <w:szCs w:val="22"/>
          <w:lang w:val="it-IT"/>
        </w:rPr>
      </w:pPr>
      <w:r>
        <w:rPr>
          <w:sz w:val="22"/>
          <w:szCs w:val="22"/>
          <w:lang w:val="it-IT"/>
        </w:rPr>
        <w:t xml:space="preserve">Nijesu </w:t>
      </w:r>
      <w:r w:rsidR="000273B3">
        <w:rPr>
          <w:sz w:val="22"/>
          <w:szCs w:val="22"/>
          <w:lang w:val="it-IT"/>
        </w:rPr>
        <w:t xml:space="preserve">sprovedene </w:t>
      </w:r>
      <w:r>
        <w:rPr>
          <w:sz w:val="22"/>
          <w:szCs w:val="22"/>
          <w:lang w:val="it-IT"/>
        </w:rPr>
        <w:t xml:space="preserve">specijalne farmakokinetičke studije na pacijentima starijeg životnog doba ili onima sa oslabljenom funkcijom jetre ili bubrega. U populacionoj farmakokinetičkoj analizi, pokazalo se da godine starosti i oslabljena funkcija bubrega ne utiču na raspoloživost trastuzumaba. </w:t>
      </w:r>
    </w:p>
    <w:p w14:paraId="56FC41DA" w14:textId="77777777" w:rsidR="00DA2DF6" w:rsidRDefault="00DA2DF6" w:rsidP="00641EEB">
      <w:pPr>
        <w:jc w:val="both"/>
        <w:rPr>
          <w:sz w:val="22"/>
          <w:szCs w:val="22"/>
          <w:lang w:val="it-IT"/>
        </w:rPr>
      </w:pPr>
    </w:p>
    <w:p w14:paraId="2677318C" w14:textId="7CF3AF13" w:rsidR="00DA2DF6" w:rsidRDefault="00DA2DF6" w:rsidP="00641EEB">
      <w:pPr>
        <w:jc w:val="both"/>
        <w:rPr>
          <w:i/>
          <w:sz w:val="22"/>
          <w:szCs w:val="22"/>
          <w:lang w:val="it-IT"/>
        </w:rPr>
      </w:pPr>
      <w:r>
        <w:rPr>
          <w:i/>
          <w:sz w:val="22"/>
          <w:szCs w:val="22"/>
          <w:lang w:val="it-IT"/>
        </w:rPr>
        <w:t>Pedijatrijska populacija</w:t>
      </w:r>
    </w:p>
    <w:p w14:paraId="45B48A2C" w14:textId="77777777" w:rsidR="00DA2DF6" w:rsidRDefault="00DA2DF6" w:rsidP="00641EEB">
      <w:pPr>
        <w:jc w:val="both"/>
        <w:rPr>
          <w:sz w:val="22"/>
          <w:szCs w:val="22"/>
          <w:lang w:val="it-IT"/>
        </w:rPr>
      </w:pPr>
      <w:r>
        <w:rPr>
          <w:sz w:val="22"/>
          <w:szCs w:val="22"/>
          <w:lang w:val="it-IT"/>
        </w:rPr>
        <w:t xml:space="preserve">Nema relevantne primjene lijeka Herceptin u pedijatrijskoj populaciji. </w:t>
      </w:r>
    </w:p>
    <w:p w14:paraId="3A258A4F" w14:textId="77777777" w:rsidR="00DA2DF6" w:rsidRDefault="00DA2DF6" w:rsidP="00641EEB">
      <w:pPr>
        <w:jc w:val="both"/>
        <w:rPr>
          <w:i/>
          <w:sz w:val="22"/>
          <w:szCs w:val="22"/>
          <w:lang w:val="it-IT"/>
        </w:rPr>
      </w:pPr>
    </w:p>
    <w:p w14:paraId="495C6D68" w14:textId="28B9D327" w:rsidR="00DA2DF6" w:rsidRDefault="00DA2DF6" w:rsidP="00641EEB">
      <w:pPr>
        <w:tabs>
          <w:tab w:val="left" w:pos="540"/>
          <w:tab w:val="left" w:pos="569"/>
        </w:tabs>
        <w:rPr>
          <w:bCs/>
          <w:sz w:val="22"/>
          <w:szCs w:val="22"/>
          <w:u w:val="single"/>
          <w:lang w:val="it-IT"/>
        </w:rPr>
      </w:pPr>
      <w:r w:rsidRPr="00442616">
        <w:rPr>
          <w:bCs/>
          <w:sz w:val="22"/>
          <w:szCs w:val="22"/>
          <w:u w:val="single"/>
          <w:lang w:val="it-IT"/>
        </w:rPr>
        <w:t>Način primjene</w:t>
      </w:r>
    </w:p>
    <w:p w14:paraId="7BE64CCA" w14:textId="77777777" w:rsidR="00146DC6" w:rsidRPr="00442616" w:rsidRDefault="00146DC6" w:rsidP="00641EEB">
      <w:pPr>
        <w:tabs>
          <w:tab w:val="left" w:pos="540"/>
          <w:tab w:val="left" w:pos="569"/>
        </w:tabs>
        <w:rPr>
          <w:bCs/>
          <w:sz w:val="22"/>
          <w:szCs w:val="22"/>
          <w:u w:val="single"/>
          <w:lang w:val="it-IT"/>
        </w:rPr>
      </w:pPr>
    </w:p>
    <w:p w14:paraId="6FF6DC6D" w14:textId="054D28F2" w:rsidR="00DA2DF6" w:rsidRDefault="00DA2DF6" w:rsidP="00641EEB">
      <w:pPr>
        <w:jc w:val="both"/>
        <w:rPr>
          <w:sz w:val="22"/>
          <w:szCs w:val="22"/>
          <w:lang w:val="it-IT"/>
        </w:rPr>
      </w:pPr>
      <w:r>
        <w:rPr>
          <w:sz w:val="22"/>
          <w:szCs w:val="22"/>
          <w:lang w:val="it-IT"/>
        </w:rPr>
        <w:t xml:space="preserve">Početnu dozu lijeka Herceptin treba primijeniti kao 90-minutnu intravensku infuziju. Ne smije se koristiti kao intravenska ili bolus injekcija. Intravensku infuziju lijeka Herceptin treba da primijeni zdravstveni radnik koji je obučen za </w:t>
      </w:r>
      <w:r w:rsidR="00F50316">
        <w:rPr>
          <w:sz w:val="22"/>
          <w:szCs w:val="22"/>
          <w:lang w:val="it-IT"/>
        </w:rPr>
        <w:t>liječenje</w:t>
      </w:r>
      <w:r>
        <w:rPr>
          <w:sz w:val="22"/>
          <w:szCs w:val="22"/>
          <w:lang w:val="it-IT"/>
        </w:rPr>
        <w:t xml:space="preserve"> anafilakse i sva oprema za hitne slučajeve mora biti na raspolaganju. Pacijente treba pratiti najmanje 6 sati nakon početka prve infuzije i dva sata nakon svake sljedeće infuzije</w:t>
      </w:r>
      <w:r>
        <w:rPr>
          <w:sz w:val="22"/>
          <w:szCs w:val="22"/>
          <w:u w:val="single"/>
          <w:lang w:val="it-IT"/>
        </w:rPr>
        <w:t xml:space="preserve"> </w:t>
      </w:r>
      <w:r>
        <w:rPr>
          <w:sz w:val="22"/>
          <w:szCs w:val="22"/>
          <w:lang w:val="it-IT"/>
        </w:rPr>
        <w:t>zbog simptoma sličnih gripu, odnosno drugih simptoma koji su vezani za primjenu infuzije (vidjeti dio 4.4 i 4.8). Prekid infuzije  ili sporija brzina primjene infuzije mogu pomoći u kontroli ovih simptoma. Infuzija se može nastaviti nakon povlačenja simptoma.</w:t>
      </w:r>
    </w:p>
    <w:p w14:paraId="5D833828" w14:textId="77777777" w:rsidR="00DA2DF6" w:rsidRPr="00442616" w:rsidRDefault="00DA2DF6" w:rsidP="00641EEB">
      <w:pPr>
        <w:jc w:val="both"/>
        <w:rPr>
          <w:sz w:val="22"/>
          <w:szCs w:val="22"/>
          <w:lang w:val="it-IT"/>
        </w:rPr>
      </w:pPr>
    </w:p>
    <w:p w14:paraId="111930A7" w14:textId="77777777" w:rsidR="00DA2DF6" w:rsidRDefault="00DA2DF6" w:rsidP="00641EEB">
      <w:pPr>
        <w:pStyle w:val="Header"/>
        <w:tabs>
          <w:tab w:val="left" w:pos="284"/>
        </w:tabs>
        <w:jc w:val="both"/>
        <w:rPr>
          <w:sz w:val="22"/>
          <w:szCs w:val="22"/>
          <w:lang w:val="sr-Latn-CS"/>
        </w:rPr>
      </w:pPr>
      <w:r>
        <w:rPr>
          <w:sz w:val="22"/>
          <w:szCs w:val="22"/>
          <w:lang w:val="sr-Latn-CS"/>
        </w:rPr>
        <w:t>Ako je pacijent dobro podnio početnu dozu, sljedeće se doze mogu primijeniti kao 30-minutna infuzija.</w:t>
      </w:r>
    </w:p>
    <w:p w14:paraId="0E6C3B15" w14:textId="77777777" w:rsidR="00DA2DF6" w:rsidRDefault="00DA2DF6" w:rsidP="00641EEB">
      <w:pPr>
        <w:pStyle w:val="Header"/>
        <w:tabs>
          <w:tab w:val="left" w:pos="284"/>
        </w:tabs>
        <w:jc w:val="both"/>
        <w:rPr>
          <w:sz w:val="22"/>
          <w:szCs w:val="22"/>
          <w:lang w:val="sr-Latn-CS"/>
        </w:rPr>
      </w:pPr>
    </w:p>
    <w:p w14:paraId="1880DDD1" w14:textId="0EE2324A" w:rsidR="00452E9D" w:rsidRDefault="00DA2DF6" w:rsidP="00641EEB">
      <w:pPr>
        <w:pStyle w:val="Header"/>
        <w:tabs>
          <w:tab w:val="left" w:pos="284"/>
        </w:tabs>
        <w:jc w:val="both"/>
        <w:rPr>
          <w:sz w:val="22"/>
          <w:szCs w:val="22"/>
          <w:lang w:val="sr-Latn-CS"/>
        </w:rPr>
      </w:pPr>
      <w:r>
        <w:rPr>
          <w:sz w:val="22"/>
          <w:szCs w:val="22"/>
          <w:lang w:val="sr-Latn-CS"/>
        </w:rPr>
        <w:t>Za instrukcije o rekonstrukciji  lijeka Herceptin u intravenskoj formulaciji prije primjene vidjeti dio 6.6.</w:t>
      </w:r>
    </w:p>
    <w:p w14:paraId="1F8B6AE2" w14:textId="77777777" w:rsidR="00146DC6" w:rsidRPr="00DA2DF6" w:rsidRDefault="00146DC6" w:rsidP="00641EEB">
      <w:pPr>
        <w:pStyle w:val="Header"/>
        <w:tabs>
          <w:tab w:val="left" w:pos="284"/>
        </w:tabs>
        <w:jc w:val="both"/>
        <w:rPr>
          <w:sz w:val="22"/>
          <w:szCs w:val="22"/>
          <w:lang w:val="sr-Latn-CS"/>
        </w:rPr>
      </w:pPr>
    </w:p>
    <w:p w14:paraId="1880DDD2" w14:textId="0A05F032" w:rsidR="00411B4B" w:rsidRDefault="00411B4B" w:rsidP="00641EEB">
      <w:pPr>
        <w:tabs>
          <w:tab w:val="left" w:pos="540"/>
          <w:tab w:val="left" w:pos="569"/>
        </w:tabs>
        <w:rPr>
          <w:b/>
          <w:bCs/>
          <w:sz w:val="22"/>
          <w:szCs w:val="22"/>
        </w:rPr>
      </w:pPr>
      <w:r w:rsidRPr="00786071">
        <w:rPr>
          <w:b/>
          <w:bCs/>
          <w:sz w:val="22"/>
          <w:szCs w:val="22"/>
        </w:rPr>
        <w:t xml:space="preserve">4.3. </w:t>
      </w:r>
      <w:r w:rsidR="00480FB1" w:rsidRPr="00786071">
        <w:rPr>
          <w:b/>
          <w:bCs/>
          <w:sz w:val="22"/>
          <w:szCs w:val="22"/>
        </w:rPr>
        <w:tab/>
      </w:r>
      <w:r w:rsidRPr="00786071">
        <w:rPr>
          <w:b/>
          <w:bCs/>
          <w:sz w:val="22"/>
          <w:szCs w:val="22"/>
        </w:rPr>
        <w:t>Kontraindikacije</w:t>
      </w:r>
    </w:p>
    <w:p w14:paraId="20DC6A7C" w14:textId="77777777" w:rsidR="00DA2DF6" w:rsidRPr="00786071" w:rsidRDefault="00DA2DF6" w:rsidP="00641EEB">
      <w:pPr>
        <w:tabs>
          <w:tab w:val="left" w:pos="540"/>
          <w:tab w:val="left" w:pos="569"/>
        </w:tabs>
        <w:rPr>
          <w:b/>
          <w:bCs/>
          <w:sz w:val="22"/>
          <w:szCs w:val="22"/>
        </w:rPr>
      </w:pPr>
    </w:p>
    <w:p w14:paraId="1B68C3AC" w14:textId="77777777" w:rsidR="00DA2DF6" w:rsidRDefault="00DA2DF6" w:rsidP="00641EEB">
      <w:pPr>
        <w:numPr>
          <w:ilvl w:val="0"/>
          <w:numId w:val="14"/>
        </w:numPr>
        <w:ind w:left="426" w:hanging="284"/>
        <w:jc w:val="both"/>
        <w:rPr>
          <w:sz w:val="22"/>
          <w:szCs w:val="22"/>
          <w:lang w:val="sr-Latn-CS"/>
        </w:rPr>
      </w:pPr>
      <w:r>
        <w:rPr>
          <w:sz w:val="22"/>
          <w:szCs w:val="22"/>
          <w:lang w:val="sr-Latn-CS"/>
        </w:rPr>
        <w:t>Preosjetljivost  na trastuzumab, mišje proteine ili neku od pomoćnih supstanci navedenih u dijelu 6.1.</w:t>
      </w:r>
    </w:p>
    <w:p w14:paraId="1D2764AB" w14:textId="77777777" w:rsidR="00DA2DF6" w:rsidRDefault="00DA2DF6" w:rsidP="00641EEB">
      <w:pPr>
        <w:numPr>
          <w:ilvl w:val="0"/>
          <w:numId w:val="14"/>
        </w:numPr>
        <w:ind w:left="426" w:hanging="284"/>
        <w:jc w:val="both"/>
        <w:rPr>
          <w:sz w:val="22"/>
          <w:szCs w:val="22"/>
          <w:lang w:val="sr-Latn-CS"/>
        </w:rPr>
      </w:pPr>
      <w:r>
        <w:rPr>
          <w:sz w:val="22"/>
          <w:szCs w:val="22"/>
          <w:lang w:val="sr-Latn-CS"/>
        </w:rPr>
        <w:t>Pacijenti sa teškom dispnejom pri mirovanju zbog komplikacije uznapredovalog maligniteta ili kojima je potrebna kiseonička terapija.</w:t>
      </w:r>
    </w:p>
    <w:p w14:paraId="1880DDD3" w14:textId="77777777" w:rsidR="0072020E" w:rsidRPr="00442616" w:rsidRDefault="0072020E" w:rsidP="00641EEB">
      <w:pPr>
        <w:tabs>
          <w:tab w:val="left" w:pos="540"/>
          <w:tab w:val="left" w:pos="569"/>
        </w:tabs>
        <w:rPr>
          <w:bCs/>
          <w:sz w:val="22"/>
          <w:szCs w:val="22"/>
          <w:lang w:val="sr-Latn-CS"/>
        </w:rPr>
      </w:pPr>
    </w:p>
    <w:p w14:paraId="1880DDD4" w14:textId="77777777" w:rsidR="00411B4B" w:rsidRPr="00442616" w:rsidRDefault="00411B4B" w:rsidP="00641EEB">
      <w:pPr>
        <w:tabs>
          <w:tab w:val="left" w:pos="540"/>
          <w:tab w:val="left" w:pos="569"/>
        </w:tabs>
        <w:rPr>
          <w:b/>
          <w:bCs/>
          <w:sz w:val="22"/>
          <w:szCs w:val="22"/>
          <w:lang w:val="sr-Latn-CS"/>
        </w:rPr>
      </w:pPr>
      <w:r w:rsidRPr="00442616">
        <w:rPr>
          <w:b/>
          <w:bCs/>
          <w:sz w:val="22"/>
          <w:szCs w:val="22"/>
          <w:lang w:val="sr-Latn-CS"/>
        </w:rPr>
        <w:t xml:space="preserve">4.4. </w:t>
      </w:r>
      <w:r w:rsidR="00480FB1" w:rsidRPr="00442616">
        <w:rPr>
          <w:b/>
          <w:bCs/>
          <w:sz w:val="22"/>
          <w:szCs w:val="22"/>
          <w:lang w:val="sr-Latn-CS"/>
        </w:rPr>
        <w:tab/>
      </w:r>
      <w:r w:rsidRPr="00786071">
        <w:rPr>
          <w:b/>
          <w:bCs/>
          <w:sz w:val="22"/>
          <w:szCs w:val="22"/>
        </w:rPr>
        <w:t>Posebna</w:t>
      </w:r>
      <w:r w:rsidRPr="00442616">
        <w:rPr>
          <w:b/>
          <w:bCs/>
          <w:sz w:val="22"/>
          <w:szCs w:val="22"/>
          <w:lang w:val="sr-Latn-CS"/>
        </w:rPr>
        <w:t xml:space="preserve"> </w:t>
      </w:r>
      <w:r w:rsidRPr="00786071">
        <w:rPr>
          <w:b/>
          <w:bCs/>
          <w:sz w:val="22"/>
          <w:szCs w:val="22"/>
        </w:rPr>
        <w:t>upozorenja</w:t>
      </w:r>
      <w:r w:rsidRPr="00442616">
        <w:rPr>
          <w:b/>
          <w:bCs/>
          <w:sz w:val="22"/>
          <w:szCs w:val="22"/>
          <w:lang w:val="sr-Latn-CS"/>
        </w:rPr>
        <w:t xml:space="preserve"> </w:t>
      </w:r>
      <w:r w:rsidRPr="00786071">
        <w:rPr>
          <w:b/>
          <w:bCs/>
          <w:sz w:val="22"/>
          <w:szCs w:val="22"/>
        </w:rPr>
        <w:t>i</w:t>
      </w:r>
      <w:r w:rsidRPr="00442616">
        <w:rPr>
          <w:b/>
          <w:bCs/>
          <w:sz w:val="22"/>
          <w:szCs w:val="22"/>
          <w:lang w:val="sr-Latn-CS"/>
        </w:rPr>
        <w:t xml:space="preserve"> </w:t>
      </w:r>
      <w:r w:rsidRPr="00786071">
        <w:rPr>
          <w:b/>
          <w:bCs/>
          <w:sz w:val="22"/>
          <w:szCs w:val="22"/>
        </w:rPr>
        <w:t>mjere</w:t>
      </w:r>
      <w:r w:rsidRPr="00442616">
        <w:rPr>
          <w:b/>
          <w:bCs/>
          <w:sz w:val="22"/>
          <w:szCs w:val="22"/>
          <w:lang w:val="sr-Latn-CS"/>
        </w:rPr>
        <w:t xml:space="preserve"> </w:t>
      </w:r>
      <w:r w:rsidRPr="00786071">
        <w:rPr>
          <w:b/>
          <w:bCs/>
          <w:sz w:val="22"/>
          <w:szCs w:val="22"/>
        </w:rPr>
        <w:t>opreza</w:t>
      </w:r>
      <w:r w:rsidRPr="00442616">
        <w:rPr>
          <w:b/>
          <w:bCs/>
          <w:sz w:val="22"/>
          <w:szCs w:val="22"/>
          <w:lang w:val="sr-Latn-CS"/>
        </w:rPr>
        <w:t xml:space="preserve"> </w:t>
      </w:r>
      <w:r w:rsidRPr="00786071">
        <w:rPr>
          <w:b/>
          <w:bCs/>
          <w:sz w:val="22"/>
          <w:szCs w:val="22"/>
        </w:rPr>
        <w:t>pri</w:t>
      </w:r>
      <w:r w:rsidRPr="00442616">
        <w:rPr>
          <w:b/>
          <w:bCs/>
          <w:sz w:val="22"/>
          <w:szCs w:val="22"/>
          <w:lang w:val="sr-Latn-CS"/>
        </w:rPr>
        <w:t xml:space="preserve"> </w:t>
      </w:r>
      <w:r w:rsidRPr="00786071">
        <w:rPr>
          <w:b/>
          <w:bCs/>
          <w:sz w:val="22"/>
          <w:szCs w:val="22"/>
        </w:rPr>
        <w:t>upotrebi</w:t>
      </w:r>
      <w:r w:rsidRPr="00442616">
        <w:rPr>
          <w:b/>
          <w:bCs/>
          <w:sz w:val="22"/>
          <w:szCs w:val="22"/>
          <w:lang w:val="sr-Latn-CS"/>
        </w:rPr>
        <w:t xml:space="preserve"> </w:t>
      </w:r>
      <w:r w:rsidRPr="00786071">
        <w:rPr>
          <w:b/>
          <w:bCs/>
          <w:sz w:val="22"/>
          <w:szCs w:val="22"/>
        </w:rPr>
        <w:t>lijeka</w:t>
      </w:r>
    </w:p>
    <w:p w14:paraId="1880DDD7" w14:textId="29ED67E3" w:rsidR="00057E35" w:rsidRPr="00442616" w:rsidRDefault="00057E35" w:rsidP="00641EEB">
      <w:pPr>
        <w:tabs>
          <w:tab w:val="left" w:pos="540"/>
          <w:tab w:val="left" w:pos="569"/>
        </w:tabs>
        <w:rPr>
          <w:sz w:val="22"/>
          <w:szCs w:val="22"/>
          <w:u w:val="single"/>
          <w:lang w:val="sr-Latn-CS"/>
        </w:rPr>
      </w:pPr>
    </w:p>
    <w:p w14:paraId="2F0944F9" w14:textId="62CDB09A" w:rsidR="00B05AA9" w:rsidRPr="00146DC6" w:rsidRDefault="00B05AA9" w:rsidP="00641EEB">
      <w:pPr>
        <w:rPr>
          <w:sz w:val="22"/>
          <w:szCs w:val="22"/>
          <w:u w:val="single"/>
          <w:lang w:val="sr-Latn-CS"/>
        </w:rPr>
      </w:pPr>
      <w:r w:rsidRPr="00146DC6">
        <w:rPr>
          <w:sz w:val="22"/>
          <w:szCs w:val="22"/>
          <w:u w:val="single"/>
          <w:lang w:val="sr-Latn-CS"/>
        </w:rPr>
        <w:t>Sledljivost</w:t>
      </w:r>
    </w:p>
    <w:p w14:paraId="11A7CFEA" w14:textId="77777777" w:rsidR="00B05AA9" w:rsidRDefault="00B05AA9" w:rsidP="00641EEB">
      <w:pPr>
        <w:rPr>
          <w:sz w:val="22"/>
          <w:szCs w:val="22"/>
          <w:lang w:val="sr-Latn-CS"/>
        </w:rPr>
      </w:pPr>
    </w:p>
    <w:p w14:paraId="6DDFF41C" w14:textId="77777777" w:rsidR="00B05AA9" w:rsidRDefault="00B05AA9" w:rsidP="00641EEB">
      <w:pPr>
        <w:keepNext/>
        <w:jc w:val="both"/>
        <w:rPr>
          <w:sz w:val="22"/>
          <w:szCs w:val="22"/>
          <w:lang w:val="sr-Latn-CS"/>
        </w:rPr>
      </w:pPr>
      <w:r>
        <w:rPr>
          <w:sz w:val="22"/>
          <w:szCs w:val="22"/>
          <w:lang w:val="sr-Latn-CS"/>
        </w:rPr>
        <w:t>Kako bi se poboljšala sledljivost bioloških ljekova, zaštićeno ime i broj serije primjenjenog lijeka potrebno je jasno evidentirati.</w:t>
      </w:r>
    </w:p>
    <w:p w14:paraId="43A4C78A" w14:textId="77777777" w:rsidR="00B05AA9" w:rsidRDefault="00B05AA9" w:rsidP="00641EEB">
      <w:pPr>
        <w:jc w:val="both"/>
        <w:rPr>
          <w:sz w:val="22"/>
          <w:szCs w:val="22"/>
          <w:lang w:val="sr-Latn-CS"/>
        </w:rPr>
      </w:pPr>
    </w:p>
    <w:p w14:paraId="2387CC3B" w14:textId="77777777" w:rsidR="00B05AA9" w:rsidRDefault="00B05AA9" w:rsidP="00641EEB">
      <w:pPr>
        <w:jc w:val="both"/>
        <w:rPr>
          <w:sz w:val="22"/>
          <w:szCs w:val="22"/>
          <w:lang w:val="sr-Latn-CS"/>
        </w:rPr>
      </w:pPr>
      <w:r>
        <w:rPr>
          <w:sz w:val="22"/>
          <w:szCs w:val="22"/>
          <w:lang w:val="sr-Latn-CS"/>
        </w:rPr>
        <w:t>Testiranje ekspresije HER2 mora se obaviti u specijalizovanoj laboratoriji koja može da obezbijedi adekvatnu validaciju postupka testiranja (vidjeti dio 5.1).</w:t>
      </w:r>
    </w:p>
    <w:p w14:paraId="2BB2B7C5" w14:textId="77777777" w:rsidR="00B05AA9" w:rsidRDefault="00B05AA9" w:rsidP="00641EEB">
      <w:pPr>
        <w:jc w:val="both"/>
        <w:rPr>
          <w:sz w:val="22"/>
          <w:szCs w:val="22"/>
          <w:lang w:val="sr-Latn-CS"/>
        </w:rPr>
      </w:pPr>
    </w:p>
    <w:p w14:paraId="0240CD39" w14:textId="57E5DC59" w:rsidR="00B05AA9" w:rsidRDefault="00F50316" w:rsidP="00641EEB">
      <w:pPr>
        <w:jc w:val="both"/>
        <w:rPr>
          <w:sz w:val="22"/>
          <w:szCs w:val="22"/>
          <w:lang w:val="sr-Latn-CS"/>
        </w:rPr>
      </w:pPr>
      <w:r>
        <w:rPr>
          <w:sz w:val="22"/>
          <w:szCs w:val="22"/>
          <w:lang w:val="sr-Latn-CS"/>
        </w:rPr>
        <w:t>Trenutno</w:t>
      </w:r>
      <w:r w:rsidR="00B05AA9">
        <w:rPr>
          <w:sz w:val="22"/>
          <w:szCs w:val="22"/>
          <w:lang w:val="sr-Latn-CS"/>
        </w:rPr>
        <w:t xml:space="preserve"> nema </w:t>
      </w:r>
      <w:r>
        <w:rPr>
          <w:sz w:val="22"/>
          <w:szCs w:val="22"/>
          <w:lang w:val="sr-Latn-CS"/>
        </w:rPr>
        <w:t xml:space="preserve">dostupnih </w:t>
      </w:r>
      <w:r w:rsidR="00B05AA9">
        <w:rPr>
          <w:sz w:val="22"/>
          <w:szCs w:val="22"/>
          <w:lang w:val="sr-Latn-CS"/>
        </w:rPr>
        <w:t xml:space="preserve">podataka iz kliničkih ispitivanja o ponovnoj upotrebi lijeka Herceptin kod pacijenata koji su ranije </w:t>
      </w:r>
      <w:r>
        <w:rPr>
          <w:sz w:val="22"/>
          <w:szCs w:val="22"/>
          <w:lang w:val="sr-Latn-CS"/>
        </w:rPr>
        <w:t>adjuvantno liječeni</w:t>
      </w:r>
      <w:r w:rsidR="00B05AA9">
        <w:rPr>
          <w:sz w:val="22"/>
          <w:szCs w:val="22"/>
          <w:lang w:val="sr-Latn-CS"/>
        </w:rPr>
        <w:t xml:space="preserve"> lijek</w:t>
      </w:r>
      <w:r>
        <w:rPr>
          <w:sz w:val="22"/>
          <w:szCs w:val="22"/>
          <w:lang w:val="sr-Latn-CS"/>
        </w:rPr>
        <w:t>om</w:t>
      </w:r>
      <w:r w:rsidR="00B05AA9">
        <w:rPr>
          <w:sz w:val="22"/>
          <w:szCs w:val="22"/>
          <w:lang w:val="sr-Latn-CS"/>
        </w:rPr>
        <w:t xml:space="preserve"> Herceptin.</w:t>
      </w:r>
    </w:p>
    <w:p w14:paraId="0B0DB038" w14:textId="77777777" w:rsidR="00B05AA9" w:rsidRDefault="00B05AA9" w:rsidP="00641EEB">
      <w:pPr>
        <w:jc w:val="both"/>
        <w:rPr>
          <w:sz w:val="22"/>
          <w:szCs w:val="22"/>
          <w:lang w:val="sr-Latn-CS"/>
        </w:rPr>
      </w:pPr>
    </w:p>
    <w:p w14:paraId="272E03C7" w14:textId="77777777" w:rsidR="00B05AA9" w:rsidRPr="00146DC6" w:rsidRDefault="00B05AA9" w:rsidP="00641EEB">
      <w:pPr>
        <w:jc w:val="both"/>
        <w:rPr>
          <w:sz w:val="22"/>
          <w:szCs w:val="22"/>
          <w:u w:val="single"/>
          <w:lang w:val="sr-Latn-CS"/>
        </w:rPr>
      </w:pPr>
      <w:r w:rsidRPr="00146DC6">
        <w:rPr>
          <w:sz w:val="22"/>
          <w:szCs w:val="22"/>
          <w:u w:val="single"/>
          <w:lang w:val="pt-BR"/>
        </w:rPr>
        <w:t>Disfunkcija</w:t>
      </w:r>
      <w:r w:rsidRPr="00146DC6">
        <w:rPr>
          <w:sz w:val="22"/>
          <w:szCs w:val="22"/>
          <w:u w:val="single"/>
          <w:lang w:val="sr-Latn-CS"/>
        </w:rPr>
        <w:t xml:space="preserve"> </w:t>
      </w:r>
      <w:r w:rsidRPr="00146DC6">
        <w:rPr>
          <w:sz w:val="22"/>
          <w:szCs w:val="22"/>
          <w:u w:val="single"/>
          <w:lang w:val="pt-BR"/>
        </w:rPr>
        <w:t>srca</w:t>
      </w:r>
    </w:p>
    <w:p w14:paraId="2B53B2F1" w14:textId="77777777" w:rsidR="00B05AA9" w:rsidRDefault="00B05AA9" w:rsidP="00641EEB">
      <w:pPr>
        <w:jc w:val="both"/>
        <w:rPr>
          <w:i/>
          <w:sz w:val="22"/>
          <w:szCs w:val="22"/>
          <w:lang w:val="sr-Latn-CS"/>
        </w:rPr>
      </w:pPr>
    </w:p>
    <w:p w14:paraId="450480FC" w14:textId="77777777" w:rsidR="00B05AA9" w:rsidRPr="00146DC6" w:rsidRDefault="00B05AA9" w:rsidP="00641EEB">
      <w:pPr>
        <w:jc w:val="both"/>
        <w:rPr>
          <w:i/>
          <w:sz w:val="22"/>
          <w:szCs w:val="22"/>
          <w:u w:val="single"/>
          <w:lang w:val="sr-Latn-CS"/>
        </w:rPr>
      </w:pPr>
      <w:r w:rsidRPr="00146DC6">
        <w:rPr>
          <w:i/>
          <w:sz w:val="22"/>
          <w:szCs w:val="22"/>
          <w:u w:val="single"/>
          <w:lang w:val="pt-BR"/>
        </w:rPr>
        <w:t>Op</w:t>
      </w:r>
      <w:r w:rsidRPr="00146DC6">
        <w:rPr>
          <w:i/>
          <w:sz w:val="22"/>
          <w:szCs w:val="22"/>
          <w:u w:val="single"/>
          <w:lang w:val="sr-Latn-CS"/>
        </w:rPr>
        <w:t>š</w:t>
      </w:r>
      <w:r w:rsidRPr="00146DC6">
        <w:rPr>
          <w:i/>
          <w:sz w:val="22"/>
          <w:szCs w:val="22"/>
          <w:u w:val="single"/>
          <w:lang w:val="pt-BR"/>
        </w:rPr>
        <w:t>ta</w:t>
      </w:r>
      <w:r w:rsidRPr="00146DC6">
        <w:rPr>
          <w:i/>
          <w:sz w:val="22"/>
          <w:szCs w:val="22"/>
          <w:u w:val="single"/>
          <w:lang w:val="sr-Latn-CS"/>
        </w:rPr>
        <w:t xml:space="preserve"> </w:t>
      </w:r>
      <w:r w:rsidRPr="00146DC6">
        <w:rPr>
          <w:i/>
          <w:sz w:val="22"/>
          <w:szCs w:val="22"/>
          <w:u w:val="single"/>
          <w:lang w:val="pt-BR"/>
        </w:rPr>
        <w:t>razmatranja</w:t>
      </w:r>
    </w:p>
    <w:p w14:paraId="58D512EF" w14:textId="77777777" w:rsidR="00B05AA9" w:rsidRDefault="00B05AA9" w:rsidP="00641EEB">
      <w:pPr>
        <w:jc w:val="both"/>
        <w:rPr>
          <w:sz w:val="22"/>
          <w:szCs w:val="22"/>
          <w:lang w:val="sr-Latn-CS"/>
        </w:rPr>
      </w:pPr>
    </w:p>
    <w:p w14:paraId="014432A5" w14:textId="28433280" w:rsidR="00B05AA9" w:rsidRDefault="00B05AA9" w:rsidP="00641EEB">
      <w:pPr>
        <w:jc w:val="both"/>
        <w:rPr>
          <w:sz w:val="22"/>
          <w:szCs w:val="22"/>
          <w:lang w:val="sr-Latn-CS"/>
        </w:rPr>
      </w:pPr>
      <w:r>
        <w:rPr>
          <w:sz w:val="22"/>
          <w:szCs w:val="22"/>
          <w:lang w:val="pt-BR"/>
        </w:rPr>
        <w:t>Kod</w:t>
      </w:r>
      <w:r>
        <w:rPr>
          <w:sz w:val="22"/>
          <w:szCs w:val="22"/>
          <w:lang w:val="sr-Latn-CS"/>
        </w:rPr>
        <w:t xml:space="preserve"> </w:t>
      </w:r>
      <w:r>
        <w:rPr>
          <w:sz w:val="22"/>
          <w:szCs w:val="22"/>
          <w:lang w:val="pt-BR"/>
        </w:rPr>
        <w:t>pacijenata</w:t>
      </w:r>
      <w:r>
        <w:rPr>
          <w:sz w:val="22"/>
          <w:szCs w:val="22"/>
          <w:lang w:val="sr-Latn-CS"/>
        </w:rPr>
        <w:t xml:space="preserve"> </w:t>
      </w:r>
      <w:r>
        <w:rPr>
          <w:sz w:val="22"/>
          <w:szCs w:val="22"/>
          <w:lang w:val="pt-BR"/>
        </w:rPr>
        <w:t>lije</w:t>
      </w:r>
      <w:r>
        <w:rPr>
          <w:sz w:val="22"/>
          <w:szCs w:val="22"/>
          <w:lang w:val="sr-Latn-CS"/>
        </w:rPr>
        <w:t>č</w:t>
      </w:r>
      <w:r>
        <w:rPr>
          <w:sz w:val="22"/>
          <w:szCs w:val="22"/>
          <w:lang w:val="pt-BR"/>
        </w:rPr>
        <w:t>enih</w:t>
      </w:r>
      <w:r>
        <w:rPr>
          <w:sz w:val="22"/>
          <w:szCs w:val="22"/>
          <w:lang w:val="sr-Latn-CS"/>
        </w:rPr>
        <w:t xml:space="preserve"> </w:t>
      </w:r>
      <w:r>
        <w:rPr>
          <w:sz w:val="22"/>
          <w:szCs w:val="22"/>
          <w:lang w:val="pt-BR"/>
        </w:rPr>
        <w:t>lijekom</w:t>
      </w:r>
      <w:r>
        <w:rPr>
          <w:sz w:val="22"/>
          <w:szCs w:val="22"/>
          <w:lang w:val="sr-Latn-CS"/>
        </w:rPr>
        <w:t xml:space="preserve"> </w:t>
      </w:r>
      <w:r>
        <w:rPr>
          <w:sz w:val="22"/>
          <w:szCs w:val="22"/>
          <w:lang w:val="pt-BR"/>
        </w:rPr>
        <w:t>Herceptin</w:t>
      </w:r>
      <w:r>
        <w:rPr>
          <w:sz w:val="22"/>
          <w:szCs w:val="22"/>
          <w:lang w:val="sr-Latn-CS"/>
        </w:rPr>
        <w:t xml:space="preserve"> </w:t>
      </w:r>
      <w:r>
        <w:rPr>
          <w:sz w:val="22"/>
          <w:szCs w:val="22"/>
          <w:lang w:val="pt-BR"/>
        </w:rPr>
        <w:t>postoji</w:t>
      </w:r>
      <w:r>
        <w:rPr>
          <w:sz w:val="22"/>
          <w:szCs w:val="22"/>
          <w:lang w:val="sr-Latn-CS"/>
        </w:rPr>
        <w:t xml:space="preserve"> </w:t>
      </w:r>
      <w:r>
        <w:rPr>
          <w:sz w:val="22"/>
          <w:szCs w:val="22"/>
          <w:lang w:val="pt-BR"/>
        </w:rPr>
        <w:t>pove</w:t>
      </w:r>
      <w:r>
        <w:rPr>
          <w:sz w:val="22"/>
          <w:szCs w:val="22"/>
          <w:lang w:val="sr-Latn-CS"/>
        </w:rPr>
        <w:t>ć</w:t>
      </w:r>
      <w:r>
        <w:rPr>
          <w:sz w:val="22"/>
          <w:szCs w:val="22"/>
          <w:lang w:val="pt-BR"/>
        </w:rPr>
        <w:t>an</w:t>
      </w:r>
      <w:r>
        <w:rPr>
          <w:sz w:val="22"/>
          <w:szCs w:val="22"/>
          <w:lang w:val="sr-Latn-CS"/>
        </w:rPr>
        <w:t xml:space="preserve"> </w:t>
      </w:r>
      <w:r>
        <w:rPr>
          <w:sz w:val="22"/>
          <w:szCs w:val="22"/>
          <w:lang w:val="pt-BR"/>
        </w:rPr>
        <w:t>rizik</w:t>
      </w:r>
      <w:r>
        <w:rPr>
          <w:sz w:val="22"/>
          <w:szCs w:val="22"/>
          <w:lang w:val="sr-Latn-CS"/>
        </w:rPr>
        <w:t xml:space="preserve"> </w:t>
      </w:r>
      <w:r>
        <w:rPr>
          <w:sz w:val="22"/>
          <w:szCs w:val="22"/>
          <w:lang w:val="pt-BR"/>
        </w:rPr>
        <w:t>od</w:t>
      </w:r>
      <w:r>
        <w:rPr>
          <w:sz w:val="22"/>
          <w:szCs w:val="22"/>
          <w:lang w:val="sr-Latn-CS"/>
        </w:rPr>
        <w:t xml:space="preserve"> </w:t>
      </w:r>
      <w:r>
        <w:rPr>
          <w:sz w:val="22"/>
          <w:szCs w:val="22"/>
          <w:lang w:val="pt-BR"/>
        </w:rPr>
        <w:t>razvoja</w:t>
      </w:r>
      <w:r>
        <w:rPr>
          <w:sz w:val="22"/>
          <w:szCs w:val="22"/>
          <w:lang w:val="sr-Latn-CS"/>
        </w:rPr>
        <w:t xml:space="preserve"> </w:t>
      </w:r>
      <w:r>
        <w:rPr>
          <w:sz w:val="22"/>
          <w:szCs w:val="22"/>
          <w:lang w:val="pt-BR"/>
        </w:rPr>
        <w:t>kongestivne</w:t>
      </w:r>
      <w:r>
        <w:rPr>
          <w:sz w:val="22"/>
          <w:szCs w:val="22"/>
          <w:lang w:val="sr-Latn-CS"/>
        </w:rPr>
        <w:t xml:space="preserve"> </w:t>
      </w:r>
      <w:r>
        <w:rPr>
          <w:sz w:val="22"/>
          <w:szCs w:val="22"/>
          <w:lang w:val="pt-BR"/>
        </w:rPr>
        <w:t>sr</w:t>
      </w:r>
      <w:r>
        <w:rPr>
          <w:sz w:val="22"/>
          <w:szCs w:val="22"/>
          <w:lang w:val="sr-Latn-CS"/>
        </w:rPr>
        <w:t>č</w:t>
      </w:r>
      <w:r>
        <w:rPr>
          <w:sz w:val="22"/>
          <w:szCs w:val="22"/>
          <w:lang w:val="pt-BR"/>
        </w:rPr>
        <w:t>ane</w:t>
      </w:r>
      <w:r>
        <w:rPr>
          <w:sz w:val="22"/>
          <w:szCs w:val="22"/>
          <w:lang w:val="sr-Latn-CS"/>
        </w:rPr>
        <w:t xml:space="preserve"> </w:t>
      </w:r>
      <w:r>
        <w:rPr>
          <w:sz w:val="22"/>
          <w:szCs w:val="22"/>
          <w:lang w:val="pt-BR"/>
        </w:rPr>
        <w:t>insuficijencije</w:t>
      </w:r>
      <w:r>
        <w:rPr>
          <w:sz w:val="22"/>
          <w:szCs w:val="22"/>
          <w:lang w:val="sr-Latn-CS"/>
        </w:rPr>
        <w:t xml:space="preserve"> (</w:t>
      </w:r>
      <w:r>
        <w:rPr>
          <w:sz w:val="22"/>
          <w:szCs w:val="22"/>
          <w:lang w:val="pt-BR"/>
        </w:rPr>
        <w:t>engl</w:t>
      </w:r>
      <w:r>
        <w:rPr>
          <w:sz w:val="22"/>
          <w:szCs w:val="22"/>
          <w:lang w:val="sr-Latn-CS"/>
        </w:rPr>
        <w:t xml:space="preserve">. </w:t>
      </w:r>
      <w:r w:rsidRPr="00BA76B8">
        <w:rPr>
          <w:i/>
          <w:sz w:val="22"/>
          <w:szCs w:val="22"/>
          <w:lang w:val="pt-BR"/>
        </w:rPr>
        <w:t>congestive</w:t>
      </w:r>
      <w:r w:rsidRPr="00BA76B8">
        <w:rPr>
          <w:i/>
          <w:sz w:val="22"/>
          <w:szCs w:val="22"/>
          <w:lang w:val="sr-Latn-CS"/>
        </w:rPr>
        <w:t xml:space="preserve"> </w:t>
      </w:r>
      <w:r w:rsidRPr="00BA76B8">
        <w:rPr>
          <w:i/>
          <w:sz w:val="22"/>
          <w:szCs w:val="22"/>
          <w:lang w:val="pt-BR"/>
        </w:rPr>
        <w:t>heart</w:t>
      </w:r>
      <w:r w:rsidRPr="00BA76B8">
        <w:rPr>
          <w:i/>
          <w:sz w:val="22"/>
          <w:szCs w:val="22"/>
          <w:lang w:val="sr-Latn-CS"/>
        </w:rPr>
        <w:t xml:space="preserve"> </w:t>
      </w:r>
      <w:r w:rsidRPr="00BA76B8">
        <w:rPr>
          <w:i/>
          <w:sz w:val="22"/>
          <w:szCs w:val="22"/>
          <w:lang w:val="pt-BR"/>
        </w:rPr>
        <w:t>failure</w:t>
      </w:r>
      <w:r w:rsidRPr="00BA76B8">
        <w:rPr>
          <w:i/>
          <w:sz w:val="22"/>
          <w:szCs w:val="22"/>
          <w:lang w:val="sr-Latn-CS"/>
        </w:rPr>
        <w:t>,</w:t>
      </w:r>
      <w:r>
        <w:rPr>
          <w:sz w:val="22"/>
          <w:szCs w:val="22"/>
          <w:lang w:val="sr-Latn-CS"/>
        </w:rPr>
        <w:t xml:space="preserve"> </w:t>
      </w:r>
      <w:r>
        <w:rPr>
          <w:sz w:val="22"/>
          <w:szCs w:val="22"/>
          <w:lang w:val="pt-BR"/>
        </w:rPr>
        <w:t>CHF</w:t>
      </w:r>
      <w:r>
        <w:rPr>
          <w:sz w:val="22"/>
          <w:szCs w:val="22"/>
          <w:lang w:val="sr-Latn-CS"/>
        </w:rPr>
        <w:t>) (</w:t>
      </w:r>
      <w:r>
        <w:rPr>
          <w:sz w:val="22"/>
          <w:szCs w:val="22"/>
          <w:lang w:val="pt-BR"/>
        </w:rPr>
        <w:t>klasa</w:t>
      </w:r>
      <w:r>
        <w:rPr>
          <w:sz w:val="22"/>
          <w:szCs w:val="22"/>
          <w:lang w:val="sr-Latn-CS"/>
        </w:rPr>
        <w:t xml:space="preserve"> </w:t>
      </w:r>
      <w:r>
        <w:rPr>
          <w:sz w:val="22"/>
          <w:szCs w:val="22"/>
          <w:lang w:val="pt-BR"/>
        </w:rPr>
        <w:t>II</w:t>
      </w:r>
      <w:r>
        <w:rPr>
          <w:sz w:val="22"/>
          <w:szCs w:val="22"/>
          <w:lang w:val="sr-Latn-CS"/>
        </w:rPr>
        <w:t>-</w:t>
      </w:r>
      <w:r>
        <w:rPr>
          <w:sz w:val="22"/>
          <w:szCs w:val="22"/>
          <w:lang w:val="pt-BR"/>
        </w:rPr>
        <w:t>IV</w:t>
      </w:r>
      <w:r>
        <w:rPr>
          <w:sz w:val="22"/>
          <w:szCs w:val="22"/>
          <w:lang w:val="sr-Latn-CS"/>
        </w:rPr>
        <w:t xml:space="preserve"> </w:t>
      </w:r>
      <w:r>
        <w:rPr>
          <w:sz w:val="22"/>
          <w:szCs w:val="22"/>
          <w:lang w:val="pt-BR"/>
        </w:rPr>
        <w:t>prema</w:t>
      </w:r>
      <w:r>
        <w:rPr>
          <w:sz w:val="22"/>
          <w:szCs w:val="22"/>
          <w:lang w:val="sr-Latn-CS"/>
        </w:rPr>
        <w:t xml:space="preserve"> </w:t>
      </w:r>
      <w:r w:rsidRPr="00BA76B8">
        <w:rPr>
          <w:i/>
          <w:sz w:val="22"/>
          <w:szCs w:val="22"/>
          <w:lang w:val="pt-BR"/>
        </w:rPr>
        <w:t>New</w:t>
      </w:r>
      <w:r w:rsidRPr="00BA76B8">
        <w:rPr>
          <w:i/>
          <w:sz w:val="22"/>
          <w:szCs w:val="22"/>
          <w:lang w:val="sr-Latn-CS"/>
        </w:rPr>
        <w:t xml:space="preserve"> </w:t>
      </w:r>
      <w:r w:rsidRPr="00BA76B8">
        <w:rPr>
          <w:i/>
          <w:sz w:val="22"/>
          <w:szCs w:val="22"/>
          <w:lang w:val="pt-BR"/>
        </w:rPr>
        <w:t>York</w:t>
      </w:r>
      <w:r w:rsidRPr="00BA76B8">
        <w:rPr>
          <w:i/>
          <w:sz w:val="22"/>
          <w:szCs w:val="22"/>
          <w:lang w:val="sr-Latn-CS"/>
        </w:rPr>
        <w:t xml:space="preserve"> </w:t>
      </w:r>
      <w:r w:rsidRPr="00BA76B8">
        <w:rPr>
          <w:i/>
          <w:sz w:val="22"/>
          <w:szCs w:val="22"/>
          <w:lang w:val="pt-BR"/>
        </w:rPr>
        <w:t>Heart</w:t>
      </w:r>
      <w:r w:rsidRPr="00BA76B8">
        <w:rPr>
          <w:i/>
          <w:sz w:val="22"/>
          <w:szCs w:val="22"/>
          <w:lang w:val="sr-Latn-CS"/>
        </w:rPr>
        <w:t xml:space="preserve"> </w:t>
      </w:r>
      <w:r w:rsidRPr="00BA76B8">
        <w:rPr>
          <w:i/>
          <w:sz w:val="22"/>
          <w:szCs w:val="22"/>
          <w:lang w:val="pt-BR"/>
        </w:rPr>
        <w:t>Association</w:t>
      </w:r>
      <w:r>
        <w:rPr>
          <w:sz w:val="22"/>
          <w:szCs w:val="22"/>
          <w:lang w:val="sr-Latn-CS"/>
        </w:rPr>
        <w:t xml:space="preserve"> [</w:t>
      </w:r>
      <w:r>
        <w:rPr>
          <w:sz w:val="22"/>
          <w:szCs w:val="22"/>
          <w:lang w:val="pt-BR"/>
        </w:rPr>
        <w:t>NYHA</w:t>
      </w:r>
      <w:r>
        <w:rPr>
          <w:sz w:val="22"/>
          <w:szCs w:val="22"/>
          <w:lang w:val="sr-Latn-CS"/>
        </w:rPr>
        <w:t xml:space="preserve">]) </w:t>
      </w:r>
      <w:r>
        <w:rPr>
          <w:sz w:val="22"/>
          <w:szCs w:val="22"/>
          <w:lang w:val="pt-BR"/>
        </w:rPr>
        <w:t>ili</w:t>
      </w:r>
      <w:r>
        <w:rPr>
          <w:sz w:val="22"/>
          <w:szCs w:val="22"/>
          <w:lang w:val="sr-Latn-CS"/>
        </w:rPr>
        <w:t xml:space="preserve"> </w:t>
      </w:r>
      <w:r>
        <w:rPr>
          <w:sz w:val="22"/>
          <w:szCs w:val="22"/>
          <w:lang w:val="pt-BR"/>
        </w:rPr>
        <w:t>asimptomatske</w:t>
      </w:r>
      <w:r>
        <w:rPr>
          <w:sz w:val="22"/>
          <w:szCs w:val="22"/>
          <w:lang w:val="sr-Latn-CS"/>
        </w:rPr>
        <w:t xml:space="preserve"> </w:t>
      </w:r>
      <w:r>
        <w:rPr>
          <w:sz w:val="22"/>
          <w:szCs w:val="22"/>
          <w:lang w:val="pt-BR"/>
        </w:rPr>
        <w:t>disfunkcije</w:t>
      </w:r>
      <w:r>
        <w:rPr>
          <w:sz w:val="22"/>
          <w:szCs w:val="22"/>
          <w:lang w:val="sr-Latn-CS"/>
        </w:rPr>
        <w:t xml:space="preserve"> </w:t>
      </w:r>
      <w:r>
        <w:rPr>
          <w:sz w:val="22"/>
          <w:szCs w:val="22"/>
          <w:lang w:val="pt-BR"/>
        </w:rPr>
        <w:t>srca</w:t>
      </w:r>
      <w:r>
        <w:rPr>
          <w:sz w:val="22"/>
          <w:szCs w:val="22"/>
          <w:lang w:val="sr-Latn-CS"/>
        </w:rPr>
        <w:t xml:space="preserve">. </w:t>
      </w:r>
      <w:r>
        <w:rPr>
          <w:sz w:val="22"/>
          <w:szCs w:val="22"/>
          <w:lang w:val="pt-BR"/>
        </w:rPr>
        <w:t>Ti</w:t>
      </w:r>
      <w:r>
        <w:rPr>
          <w:sz w:val="22"/>
          <w:szCs w:val="22"/>
          <w:lang w:val="sr-Latn-CS"/>
        </w:rPr>
        <w:t xml:space="preserve"> </w:t>
      </w:r>
      <w:r>
        <w:rPr>
          <w:sz w:val="22"/>
          <w:szCs w:val="22"/>
          <w:lang w:val="pt-BR"/>
        </w:rPr>
        <w:t>su</w:t>
      </w:r>
      <w:r>
        <w:rPr>
          <w:sz w:val="22"/>
          <w:szCs w:val="22"/>
          <w:lang w:val="sr-Latn-CS"/>
        </w:rPr>
        <w:t xml:space="preserve"> </w:t>
      </w:r>
      <w:r>
        <w:rPr>
          <w:sz w:val="22"/>
          <w:szCs w:val="22"/>
          <w:lang w:val="pt-BR"/>
        </w:rPr>
        <w:t>doga</w:t>
      </w:r>
      <w:r>
        <w:rPr>
          <w:sz w:val="22"/>
          <w:szCs w:val="22"/>
          <w:lang w:val="sr-Latn-CS"/>
        </w:rPr>
        <w:t>đ</w:t>
      </w:r>
      <w:r>
        <w:rPr>
          <w:sz w:val="22"/>
          <w:szCs w:val="22"/>
          <w:lang w:val="pt-BR"/>
        </w:rPr>
        <w:t>aji</w:t>
      </w:r>
      <w:r>
        <w:rPr>
          <w:sz w:val="22"/>
          <w:szCs w:val="22"/>
          <w:lang w:val="sr-Latn-CS"/>
        </w:rPr>
        <w:t xml:space="preserve"> </w:t>
      </w:r>
      <w:r>
        <w:rPr>
          <w:sz w:val="22"/>
          <w:szCs w:val="22"/>
          <w:lang w:val="pt-BR"/>
        </w:rPr>
        <w:t>zabilje</w:t>
      </w:r>
      <w:r>
        <w:rPr>
          <w:sz w:val="22"/>
          <w:szCs w:val="22"/>
          <w:lang w:val="sr-Latn-CS"/>
        </w:rPr>
        <w:t>ž</w:t>
      </w:r>
      <w:r>
        <w:rPr>
          <w:sz w:val="22"/>
          <w:szCs w:val="22"/>
          <w:lang w:val="pt-BR"/>
        </w:rPr>
        <w:t>eni</w:t>
      </w:r>
      <w:r>
        <w:rPr>
          <w:sz w:val="22"/>
          <w:szCs w:val="22"/>
          <w:lang w:val="sr-Latn-CS"/>
        </w:rPr>
        <w:t xml:space="preserve"> </w:t>
      </w:r>
      <w:r>
        <w:rPr>
          <w:sz w:val="22"/>
          <w:szCs w:val="22"/>
          <w:lang w:val="pt-BR"/>
        </w:rPr>
        <w:t>kod</w:t>
      </w:r>
      <w:r>
        <w:rPr>
          <w:sz w:val="22"/>
          <w:szCs w:val="22"/>
          <w:lang w:val="sr-Latn-CS"/>
        </w:rPr>
        <w:t xml:space="preserve"> </w:t>
      </w:r>
      <w:r>
        <w:rPr>
          <w:sz w:val="22"/>
          <w:szCs w:val="22"/>
          <w:lang w:val="pt-BR"/>
        </w:rPr>
        <w:t>pacijenata</w:t>
      </w:r>
      <w:r>
        <w:rPr>
          <w:sz w:val="22"/>
          <w:szCs w:val="22"/>
          <w:lang w:val="sr-Latn-CS"/>
        </w:rPr>
        <w:t xml:space="preserve"> </w:t>
      </w:r>
      <w:r>
        <w:rPr>
          <w:sz w:val="22"/>
          <w:szCs w:val="22"/>
          <w:lang w:val="pt-BR"/>
        </w:rPr>
        <w:t>koji</w:t>
      </w:r>
      <w:r>
        <w:rPr>
          <w:sz w:val="22"/>
          <w:szCs w:val="22"/>
          <w:lang w:val="sr-Latn-CS"/>
        </w:rPr>
        <w:t xml:space="preserve"> </w:t>
      </w:r>
      <w:r>
        <w:rPr>
          <w:sz w:val="22"/>
          <w:szCs w:val="22"/>
          <w:lang w:val="pt-BR"/>
        </w:rPr>
        <w:t>su</w:t>
      </w:r>
      <w:r>
        <w:rPr>
          <w:sz w:val="22"/>
          <w:szCs w:val="22"/>
          <w:lang w:val="sr-Latn-CS"/>
        </w:rPr>
        <w:t xml:space="preserve"> </w:t>
      </w:r>
      <w:r>
        <w:rPr>
          <w:sz w:val="22"/>
          <w:szCs w:val="22"/>
          <w:lang w:val="pt-BR"/>
        </w:rPr>
        <w:t>primali</w:t>
      </w:r>
      <w:r>
        <w:rPr>
          <w:sz w:val="22"/>
          <w:szCs w:val="22"/>
          <w:lang w:val="sr-Latn-CS"/>
        </w:rPr>
        <w:t xml:space="preserve"> </w:t>
      </w:r>
      <w:r>
        <w:rPr>
          <w:sz w:val="22"/>
          <w:szCs w:val="22"/>
          <w:lang w:val="pt-BR"/>
        </w:rPr>
        <w:t>monoterapiju</w:t>
      </w:r>
      <w:r>
        <w:rPr>
          <w:sz w:val="22"/>
          <w:szCs w:val="22"/>
          <w:lang w:val="sr-Latn-CS"/>
        </w:rPr>
        <w:t xml:space="preserve"> </w:t>
      </w:r>
      <w:r>
        <w:rPr>
          <w:sz w:val="22"/>
          <w:szCs w:val="22"/>
          <w:lang w:val="pt-BR"/>
        </w:rPr>
        <w:t>lijekom</w:t>
      </w:r>
      <w:r>
        <w:rPr>
          <w:sz w:val="22"/>
          <w:szCs w:val="22"/>
          <w:lang w:val="sr-Latn-CS"/>
        </w:rPr>
        <w:t xml:space="preserve"> </w:t>
      </w:r>
      <w:r>
        <w:rPr>
          <w:sz w:val="22"/>
          <w:szCs w:val="22"/>
          <w:lang w:val="pt-BR"/>
        </w:rPr>
        <w:t>Herceptin</w:t>
      </w:r>
      <w:r>
        <w:rPr>
          <w:sz w:val="22"/>
          <w:szCs w:val="22"/>
          <w:lang w:val="sr-Latn-CS"/>
        </w:rPr>
        <w:t xml:space="preserve"> </w:t>
      </w:r>
      <w:r>
        <w:rPr>
          <w:sz w:val="22"/>
          <w:szCs w:val="22"/>
          <w:lang w:val="pt-BR"/>
        </w:rPr>
        <w:t>ili</w:t>
      </w:r>
      <w:r>
        <w:rPr>
          <w:sz w:val="22"/>
          <w:szCs w:val="22"/>
          <w:lang w:val="sr-Latn-CS"/>
        </w:rPr>
        <w:t xml:space="preserve"> </w:t>
      </w:r>
      <w:r>
        <w:rPr>
          <w:sz w:val="22"/>
          <w:szCs w:val="22"/>
          <w:lang w:val="pt-BR"/>
        </w:rPr>
        <w:t>Herceptin</w:t>
      </w:r>
      <w:r>
        <w:rPr>
          <w:sz w:val="22"/>
          <w:szCs w:val="22"/>
          <w:lang w:val="sr-Latn-CS"/>
        </w:rPr>
        <w:t xml:space="preserve"> </w:t>
      </w:r>
      <w:r>
        <w:rPr>
          <w:sz w:val="22"/>
          <w:szCs w:val="22"/>
          <w:lang w:val="pt-BR"/>
        </w:rPr>
        <w:t>u</w:t>
      </w:r>
      <w:r>
        <w:rPr>
          <w:sz w:val="22"/>
          <w:szCs w:val="22"/>
          <w:lang w:val="sr-Latn-CS"/>
        </w:rPr>
        <w:t xml:space="preserve"> </w:t>
      </w:r>
      <w:r>
        <w:rPr>
          <w:sz w:val="22"/>
          <w:szCs w:val="22"/>
          <w:lang w:val="pt-BR"/>
        </w:rPr>
        <w:t>kombinaciji</w:t>
      </w:r>
      <w:r>
        <w:rPr>
          <w:sz w:val="22"/>
          <w:szCs w:val="22"/>
          <w:lang w:val="sr-Latn-CS"/>
        </w:rPr>
        <w:t xml:space="preserve"> </w:t>
      </w:r>
      <w:r>
        <w:rPr>
          <w:sz w:val="22"/>
          <w:szCs w:val="22"/>
          <w:lang w:val="pt-BR"/>
        </w:rPr>
        <w:t>sa</w:t>
      </w:r>
      <w:r>
        <w:rPr>
          <w:sz w:val="22"/>
          <w:szCs w:val="22"/>
          <w:lang w:val="sr-Latn-CS"/>
        </w:rPr>
        <w:t xml:space="preserve"> </w:t>
      </w:r>
      <w:r>
        <w:rPr>
          <w:sz w:val="22"/>
          <w:szCs w:val="22"/>
          <w:lang w:val="pt-BR"/>
        </w:rPr>
        <w:t>paklitakselom</w:t>
      </w:r>
      <w:r>
        <w:rPr>
          <w:sz w:val="22"/>
          <w:szCs w:val="22"/>
          <w:lang w:val="sr-Latn-CS"/>
        </w:rPr>
        <w:t xml:space="preserve"> </w:t>
      </w:r>
      <w:r>
        <w:rPr>
          <w:sz w:val="22"/>
          <w:szCs w:val="22"/>
          <w:lang w:val="pt-BR"/>
        </w:rPr>
        <w:t>ili</w:t>
      </w:r>
      <w:r>
        <w:rPr>
          <w:sz w:val="22"/>
          <w:szCs w:val="22"/>
          <w:lang w:val="sr-Latn-CS"/>
        </w:rPr>
        <w:t xml:space="preserve"> </w:t>
      </w:r>
      <w:r>
        <w:rPr>
          <w:sz w:val="22"/>
          <w:szCs w:val="22"/>
          <w:lang w:val="pt-BR"/>
        </w:rPr>
        <w:t>docetakselom</w:t>
      </w:r>
      <w:r>
        <w:rPr>
          <w:sz w:val="22"/>
          <w:szCs w:val="22"/>
          <w:lang w:val="sr-Latn-CS"/>
        </w:rPr>
        <w:t xml:space="preserve">, </w:t>
      </w:r>
      <w:r>
        <w:rPr>
          <w:sz w:val="22"/>
          <w:szCs w:val="22"/>
          <w:lang w:val="pt-BR"/>
        </w:rPr>
        <w:t>naro</w:t>
      </w:r>
      <w:r>
        <w:rPr>
          <w:sz w:val="22"/>
          <w:szCs w:val="22"/>
          <w:lang w:val="sr-Latn-CS"/>
        </w:rPr>
        <w:t>č</w:t>
      </w:r>
      <w:r>
        <w:rPr>
          <w:sz w:val="22"/>
          <w:szCs w:val="22"/>
          <w:lang w:val="pt-BR"/>
        </w:rPr>
        <w:t>ito</w:t>
      </w:r>
      <w:r>
        <w:rPr>
          <w:sz w:val="22"/>
          <w:szCs w:val="22"/>
          <w:lang w:val="sr-Latn-CS"/>
        </w:rPr>
        <w:t xml:space="preserve"> </w:t>
      </w:r>
      <w:r>
        <w:rPr>
          <w:sz w:val="22"/>
          <w:szCs w:val="22"/>
          <w:lang w:val="pt-BR"/>
        </w:rPr>
        <w:t>nakon</w:t>
      </w:r>
      <w:r>
        <w:rPr>
          <w:sz w:val="22"/>
          <w:szCs w:val="22"/>
          <w:lang w:val="sr-Latn-CS"/>
        </w:rPr>
        <w:t xml:space="preserve"> </w:t>
      </w:r>
      <w:r>
        <w:rPr>
          <w:sz w:val="22"/>
          <w:szCs w:val="22"/>
          <w:lang w:val="pt-BR"/>
        </w:rPr>
        <w:t>hemoterapije</w:t>
      </w:r>
      <w:r>
        <w:rPr>
          <w:sz w:val="22"/>
          <w:szCs w:val="22"/>
          <w:lang w:val="sr-Latn-CS"/>
        </w:rPr>
        <w:t xml:space="preserve"> </w:t>
      </w:r>
      <w:r>
        <w:rPr>
          <w:sz w:val="22"/>
          <w:szCs w:val="22"/>
          <w:lang w:val="pt-BR"/>
        </w:rPr>
        <w:t>koja</w:t>
      </w:r>
      <w:r>
        <w:rPr>
          <w:sz w:val="22"/>
          <w:szCs w:val="22"/>
          <w:lang w:val="sr-Latn-CS"/>
        </w:rPr>
        <w:t xml:space="preserve"> </w:t>
      </w:r>
      <w:r>
        <w:rPr>
          <w:sz w:val="22"/>
          <w:szCs w:val="22"/>
          <w:lang w:val="pt-BR"/>
        </w:rPr>
        <w:t>je</w:t>
      </w:r>
      <w:r>
        <w:rPr>
          <w:sz w:val="22"/>
          <w:szCs w:val="22"/>
          <w:lang w:val="sr-Latn-CS"/>
        </w:rPr>
        <w:t xml:space="preserve"> </w:t>
      </w:r>
      <w:r>
        <w:rPr>
          <w:sz w:val="22"/>
          <w:szCs w:val="22"/>
          <w:lang w:val="pt-BR"/>
        </w:rPr>
        <w:t>sadr</w:t>
      </w:r>
      <w:r>
        <w:rPr>
          <w:sz w:val="22"/>
          <w:szCs w:val="22"/>
          <w:lang w:val="sr-Latn-CS"/>
        </w:rPr>
        <w:t>ž</w:t>
      </w:r>
      <w:r>
        <w:rPr>
          <w:sz w:val="22"/>
          <w:szCs w:val="22"/>
          <w:lang w:val="pt-BR"/>
        </w:rPr>
        <w:t>ala</w:t>
      </w:r>
      <w:r>
        <w:rPr>
          <w:sz w:val="22"/>
          <w:szCs w:val="22"/>
          <w:lang w:val="sr-Latn-CS"/>
        </w:rPr>
        <w:t xml:space="preserve"> </w:t>
      </w:r>
      <w:r>
        <w:rPr>
          <w:sz w:val="22"/>
          <w:szCs w:val="22"/>
          <w:lang w:val="pt-BR"/>
        </w:rPr>
        <w:t>antracikline</w:t>
      </w:r>
      <w:r>
        <w:rPr>
          <w:sz w:val="22"/>
          <w:szCs w:val="22"/>
          <w:lang w:val="sr-Latn-CS"/>
        </w:rPr>
        <w:t xml:space="preserve"> (</w:t>
      </w:r>
      <w:r>
        <w:rPr>
          <w:sz w:val="22"/>
          <w:szCs w:val="22"/>
          <w:lang w:val="pt-BR"/>
        </w:rPr>
        <w:t>doksorubicin</w:t>
      </w:r>
      <w:r>
        <w:rPr>
          <w:sz w:val="22"/>
          <w:szCs w:val="22"/>
          <w:lang w:val="sr-Latn-CS"/>
        </w:rPr>
        <w:t xml:space="preserve"> </w:t>
      </w:r>
      <w:r>
        <w:rPr>
          <w:sz w:val="22"/>
          <w:szCs w:val="22"/>
          <w:lang w:val="pt-BR"/>
        </w:rPr>
        <w:t>ili</w:t>
      </w:r>
      <w:r>
        <w:rPr>
          <w:sz w:val="22"/>
          <w:szCs w:val="22"/>
          <w:lang w:val="sr-Latn-CS"/>
        </w:rPr>
        <w:t xml:space="preserve"> </w:t>
      </w:r>
      <w:r>
        <w:rPr>
          <w:sz w:val="22"/>
          <w:szCs w:val="22"/>
          <w:lang w:val="pt-BR"/>
        </w:rPr>
        <w:t>epirubicin</w:t>
      </w:r>
      <w:r>
        <w:rPr>
          <w:sz w:val="22"/>
          <w:szCs w:val="22"/>
          <w:lang w:val="sr-Latn-CS"/>
        </w:rPr>
        <w:t xml:space="preserve">). </w:t>
      </w:r>
      <w:r>
        <w:rPr>
          <w:sz w:val="22"/>
          <w:szCs w:val="22"/>
          <w:lang w:val="pt-BR"/>
        </w:rPr>
        <w:t>Navedeni</w:t>
      </w:r>
      <w:r>
        <w:rPr>
          <w:sz w:val="22"/>
          <w:szCs w:val="22"/>
          <w:lang w:val="sr-Latn-CS"/>
        </w:rPr>
        <w:t xml:space="preserve"> </w:t>
      </w:r>
      <w:r>
        <w:rPr>
          <w:sz w:val="22"/>
          <w:szCs w:val="22"/>
          <w:lang w:val="pt-BR"/>
        </w:rPr>
        <w:t>doga</w:t>
      </w:r>
      <w:r>
        <w:rPr>
          <w:sz w:val="22"/>
          <w:szCs w:val="22"/>
          <w:lang w:val="sr-Latn-CS"/>
        </w:rPr>
        <w:t>đ</w:t>
      </w:r>
      <w:r>
        <w:rPr>
          <w:sz w:val="22"/>
          <w:szCs w:val="22"/>
          <w:lang w:val="pt-BR"/>
        </w:rPr>
        <w:t>aji</w:t>
      </w:r>
      <w:r>
        <w:rPr>
          <w:sz w:val="22"/>
          <w:szCs w:val="22"/>
          <w:lang w:val="sr-Latn-CS"/>
        </w:rPr>
        <w:t xml:space="preserve"> </w:t>
      </w:r>
      <w:r>
        <w:rPr>
          <w:sz w:val="22"/>
          <w:szCs w:val="22"/>
          <w:lang w:val="pt-BR"/>
        </w:rPr>
        <w:t>mogu</w:t>
      </w:r>
      <w:r>
        <w:rPr>
          <w:sz w:val="22"/>
          <w:szCs w:val="22"/>
          <w:lang w:val="sr-Latn-CS"/>
        </w:rPr>
        <w:t xml:space="preserve"> </w:t>
      </w:r>
      <w:r>
        <w:rPr>
          <w:sz w:val="22"/>
          <w:szCs w:val="22"/>
          <w:lang w:val="pt-BR"/>
        </w:rPr>
        <w:t>biti</w:t>
      </w:r>
      <w:r>
        <w:rPr>
          <w:sz w:val="22"/>
          <w:szCs w:val="22"/>
          <w:lang w:val="sr-Latn-CS"/>
        </w:rPr>
        <w:t xml:space="preserve"> </w:t>
      </w:r>
      <w:r>
        <w:rPr>
          <w:sz w:val="22"/>
          <w:szCs w:val="22"/>
          <w:lang w:val="pt-BR"/>
        </w:rPr>
        <w:t>umjereni</w:t>
      </w:r>
      <w:r>
        <w:rPr>
          <w:sz w:val="22"/>
          <w:szCs w:val="22"/>
          <w:lang w:val="sr-Latn-CS"/>
        </w:rPr>
        <w:t xml:space="preserve"> </w:t>
      </w:r>
      <w:r>
        <w:rPr>
          <w:sz w:val="22"/>
          <w:szCs w:val="22"/>
          <w:lang w:val="pt-BR"/>
        </w:rPr>
        <w:t>do</w:t>
      </w:r>
      <w:r>
        <w:rPr>
          <w:sz w:val="22"/>
          <w:szCs w:val="22"/>
          <w:lang w:val="sr-Latn-CS"/>
        </w:rPr>
        <w:t xml:space="preserve"> </w:t>
      </w:r>
      <w:r>
        <w:rPr>
          <w:sz w:val="22"/>
          <w:szCs w:val="22"/>
          <w:lang w:val="pt-BR"/>
        </w:rPr>
        <w:t>te</w:t>
      </w:r>
      <w:r>
        <w:rPr>
          <w:sz w:val="22"/>
          <w:szCs w:val="22"/>
          <w:lang w:val="sr-Latn-CS"/>
        </w:rPr>
        <w:t>š</w:t>
      </w:r>
      <w:r>
        <w:rPr>
          <w:sz w:val="22"/>
          <w:szCs w:val="22"/>
          <w:lang w:val="pt-BR"/>
        </w:rPr>
        <w:t>ki</w:t>
      </w:r>
      <w:r>
        <w:rPr>
          <w:sz w:val="22"/>
          <w:szCs w:val="22"/>
          <w:lang w:val="sr-Latn-CS"/>
        </w:rPr>
        <w:t xml:space="preserve"> </w:t>
      </w:r>
      <w:r>
        <w:rPr>
          <w:sz w:val="22"/>
          <w:szCs w:val="22"/>
          <w:lang w:val="pt-BR"/>
        </w:rPr>
        <w:t>i</w:t>
      </w:r>
      <w:r>
        <w:rPr>
          <w:sz w:val="22"/>
          <w:szCs w:val="22"/>
          <w:lang w:val="sr-Latn-CS"/>
        </w:rPr>
        <w:t xml:space="preserve"> </w:t>
      </w:r>
      <w:r>
        <w:rPr>
          <w:sz w:val="22"/>
          <w:szCs w:val="22"/>
          <w:lang w:val="pt-BR"/>
        </w:rPr>
        <w:t>u</w:t>
      </w:r>
      <w:r>
        <w:rPr>
          <w:sz w:val="22"/>
          <w:szCs w:val="22"/>
          <w:lang w:val="sr-Latn-CS"/>
        </w:rPr>
        <w:t xml:space="preserve"> </w:t>
      </w:r>
      <w:r>
        <w:rPr>
          <w:sz w:val="22"/>
          <w:szCs w:val="22"/>
          <w:lang w:val="pt-BR"/>
        </w:rPr>
        <w:t>nekim</w:t>
      </w:r>
      <w:r>
        <w:rPr>
          <w:sz w:val="22"/>
          <w:szCs w:val="22"/>
          <w:lang w:val="sr-Latn-CS"/>
        </w:rPr>
        <w:t xml:space="preserve"> </w:t>
      </w:r>
      <w:r>
        <w:rPr>
          <w:sz w:val="22"/>
          <w:szCs w:val="22"/>
          <w:lang w:val="pt-BR"/>
        </w:rPr>
        <w:t>slu</w:t>
      </w:r>
      <w:r>
        <w:rPr>
          <w:sz w:val="22"/>
          <w:szCs w:val="22"/>
          <w:lang w:val="sr-Latn-CS"/>
        </w:rPr>
        <w:t>č</w:t>
      </w:r>
      <w:r>
        <w:rPr>
          <w:sz w:val="22"/>
          <w:szCs w:val="22"/>
          <w:lang w:val="pt-BR"/>
        </w:rPr>
        <w:t>ajevima</w:t>
      </w:r>
      <w:r>
        <w:rPr>
          <w:sz w:val="22"/>
          <w:szCs w:val="22"/>
          <w:lang w:val="sr-Latn-CS"/>
        </w:rPr>
        <w:t xml:space="preserve"> </w:t>
      </w:r>
      <w:r>
        <w:rPr>
          <w:sz w:val="22"/>
          <w:szCs w:val="22"/>
          <w:lang w:val="pt-BR"/>
        </w:rPr>
        <w:t>povezani</w:t>
      </w:r>
      <w:r>
        <w:rPr>
          <w:sz w:val="22"/>
          <w:szCs w:val="22"/>
          <w:lang w:val="sr-Latn-CS"/>
        </w:rPr>
        <w:t xml:space="preserve"> </w:t>
      </w:r>
      <w:r>
        <w:rPr>
          <w:sz w:val="22"/>
          <w:szCs w:val="22"/>
          <w:lang w:val="pt-BR"/>
        </w:rPr>
        <w:t>sa</w:t>
      </w:r>
      <w:r>
        <w:rPr>
          <w:sz w:val="22"/>
          <w:szCs w:val="22"/>
          <w:lang w:val="sr-Latn-CS"/>
        </w:rPr>
        <w:t xml:space="preserve"> </w:t>
      </w:r>
      <w:r>
        <w:rPr>
          <w:sz w:val="22"/>
          <w:szCs w:val="22"/>
          <w:lang w:val="pt-BR"/>
        </w:rPr>
        <w:t>fatalnim</w:t>
      </w:r>
      <w:r>
        <w:rPr>
          <w:sz w:val="22"/>
          <w:szCs w:val="22"/>
          <w:lang w:val="sr-Latn-CS"/>
        </w:rPr>
        <w:t xml:space="preserve"> </w:t>
      </w:r>
      <w:r>
        <w:rPr>
          <w:sz w:val="22"/>
          <w:szCs w:val="22"/>
          <w:lang w:val="pt-BR"/>
        </w:rPr>
        <w:t>ishodom</w:t>
      </w:r>
      <w:r>
        <w:rPr>
          <w:sz w:val="22"/>
          <w:szCs w:val="22"/>
          <w:lang w:val="sr-Latn-CS"/>
        </w:rPr>
        <w:t xml:space="preserve"> (</w:t>
      </w:r>
      <w:r>
        <w:rPr>
          <w:sz w:val="22"/>
          <w:szCs w:val="22"/>
          <w:lang w:val="pt-BR"/>
        </w:rPr>
        <w:t>vidjeti</w:t>
      </w:r>
      <w:r>
        <w:rPr>
          <w:sz w:val="22"/>
          <w:szCs w:val="22"/>
          <w:lang w:val="sr-Latn-CS"/>
        </w:rPr>
        <w:t xml:space="preserve"> </w:t>
      </w:r>
      <w:r>
        <w:rPr>
          <w:sz w:val="22"/>
          <w:szCs w:val="22"/>
          <w:lang w:val="pt-BR"/>
        </w:rPr>
        <w:t>dio </w:t>
      </w:r>
      <w:r>
        <w:rPr>
          <w:sz w:val="22"/>
          <w:szCs w:val="22"/>
          <w:lang w:val="sr-Latn-CS"/>
        </w:rPr>
        <w:t xml:space="preserve">4.8). </w:t>
      </w:r>
      <w:r>
        <w:rPr>
          <w:sz w:val="22"/>
          <w:szCs w:val="22"/>
          <w:lang w:val="pt-BR"/>
        </w:rPr>
        <w:t>Osim</w:t>
      </w:r>
      <w:r>
        <w:rPr>
          <w:sz w:val="22"/>
          <w:szCs w:val="22"/>
          <w:lang w:val="sr-Latn-CS"/>
        </w:rPr>
        <w:t xml:space="preserve"> </w:t>
      </w:r>
      <w:r>
        <w:rPr>
          <w:sz w:val="22"/>
          <w:szCs w:val="22"/>
          <w:lang w:val="pt-BR"/>
        </w:rPr>
        <w:t>toga</w:t>
      </w:r>
      <w:r>
        <w:rPr>
          <w:sz w:val="22"/>
          <w:szCs w:val="22"/>
          <w:lang w:val="sr-Latn-CS"/>
        </w:rPr>
        <w:t xml:space="preserve">, </w:t>
      </w:r>
      <w:r>
        <w:rPr>
          <w:sz w:val="22"/>
          <w:szCs w:val="22"/>
          <w:lang w:val="pt-BR"/>
        </w:rPr>
        <w:t>neophodan</w:t>
      </w:r>
      <w:r>
        <w:rPr>
          <w:sz w:val="22"/>
          <w:szCs w:val="22"/>
          <w:lang w:val="sr-Latn-CS"/>
        </w:rPr>
        <w:t xml:space="preserve"> </w:t>
      </w:r>
      <w:r>
        <w:rPr>
          <w:sz w:val="22"/>
          <w:szCs w:val="22"/>
          <w:lang w:val="pt-BR"/>
        </w:rPr>
        <w:t>je</w:t>
      </w:r>
      <w:r>
        <w:rPr>
          <w:sz w:val="22"/>
          <w:szCs w:val="22"/>
          <w:lang w:val="sr-Latn-CS"/>
        </w:rPr>
        <w:t xml:space="preserve"> </w:t>
      </w:r>
      <w:r>
        <w:rPr>
          <w:sz w:val="22"/>
          <w:szCs w:val="22"/>
          <w:lang w:val="pt-BR"/>
        </w:rPr>
        <w:t>oprez</w:t>
      </w:r>
      <w:r>
        <w:rPr>
          <w:sz w:val="22"/>
          <w:szCs w:val="22"/>
          <w:lang w:val="sr-Latn-CS"/>
        </w:rPr>
        <w:t xml:space="preserve"> </w:t>
      </w:r>
      <w:r>
        <w:rPr>
          <w:sz w:val="22"/>
          <w:szCs w:val="22"/>
          <w:lang w:val="pt-BR"/>
        </w:rPr>
        <w:t>pri</w:t>
      </w:r>
      <w:r>
        <w:rPr>
          <w:sz w:val="22"/>
          <w:szCs w:val="22"/>
          <w:lang w:val="sr-Latn-CS"/>
        </w:rPr>
        <w:t xml:space="preserve"> </w:t>
      </w:r>
      <w:r>
        <w:rPr>
          <w:sz w:val="22"/>
          <w:szCs w:val="22"/>
          <w:lang w:val="pt-BR"/>
        </w:rPr>
        <w:t>lije</w:t>
      </w:r>
      <w:r>
        <w:rPr>
          <w:sz w:val="22"/>
          <w:szCs w:val="22"/>
          <w:lang w:val="sr-Latn-CS"/>
        </w:rPr>
        <w:t>č</w:t>
      </w:r>
      <w:r>
        <w:rPr>
          <w:sz w:val="22"/>
          <w:szCs w:val="22"/>
          <w:lang w:val="pt-BR"/>
        </w:rPr>
        <w:t>enju</w:t>
      </w:r>
      <w:r>
        <w:rPr>
          <w:sz w:val="22"/>
          <w:szCs w:val="22"/>
          <w:lang w:val="sr-Latn-CS"/>
        </w:rPr>
        <w:t xml:space="preserve"> </w:t>
      </w:r>
      <w:r>
        <w:rPr>
          <w:sz w:val="22"/>
          <w:szCs w:val="22"/>
          <w:lang w:val="pt-BR"/>
        </w:rPr>
        <w:t>pacijenata</w:t>
      </w:r>
      <w:r>
        <w:rPr>
          <w:sz w:val="22"/>
          <w:szCs w:val="22"/>
          <w:lang w:val="sr-Latn-CS"/>
        </w:rPr>
        <w:t xml:space="preserve"> </w:t>
      </w:r>
      <w:r>
        <w:rPr>
          <w:sz w:val="22"/>
          <w:szCs w:val="22"/>
          <w:lang w:val="pt-BR"/>
        </w:rPr>
        <w:t>kod</w:t>
      </w:r>
      <w:r>
        <w:rPr>
          <w:sz w:val="22"/>
          <w:szCs w:val="22"/>
          <w:lang w:val="sr-Latn-CS"/>
        </w:rPr>
        <w:t xml:space="preserve"> </w:t>
      </w:r>
      <w:r>
        <w:rPr>
          <w:sz w:val="22"/>
          <w:szCs w:val="22"/>
          <w:lang w:val="pt-BR"/>
        </w:rPr>
        <w:t>kojih</w:t>
      </w:r>
      <w:r>
        <w:rPr>
          <w:sz w:val="22"/>
          <w:szCs w:val="22"/>
          <w:lang w:val="sr-Latn-CS"/>
        </w:rPr>
        <w:t xml:space="preserve"> </w:t>
      </w:r>
      <w:r>
        <w:rPr>
          <w:sz w:val="22"/>
          <w:szCs w:val="22"/>
          <w:lang w:val="pt-BR"/>
        </w:rPr>
        <w:t>postoji</w:t>
      </w:r>
      <w:r>
        <w:rPr>
          <w:sz w:val="22"/>
          <w:szCs w:val="22"/>
          <w:lang w:val="sr-Latn-CS"/>
        </w:rPr>
        <w:t xml:space="preserve"> </w:t>
      </w:r>
      <w:r>
        <w:rPr>
          <w:sz w:val="22"/>
          <w:szCs w:val="22"/>
          <w:lang w:val="pt-BR"/>
        </w:rPr>
        <w:t>pove</w:t>
      </w:r>
      <w:r>
        <w:rPr>
          <w:sz w:val="22"/>
          <w:szCs w:val="22"/>
          <w:lang w:val="sr-Latn-CS"/>
        </w:rPr>
        <w:t>ć</w:t>
      </w:r>
      <w:r>
        <w:rPr>
          <w:sz w:val="22"/>
          <w:szCs w:val="22"/>
          <w:lang w:val="pt-BR"/>
        </w:rPr>
        <w:t>an</w:t>
      </w:r>
      <w:r>
        <w:rPr>
          <w:sz w:val="22"/>
          <w:szCs w:val="22"/>
          <w:lang w:val="sr-Latn-CS"/>
        </w:rPr>
        <w:t xml:space="preserve"> </w:t>
      </w:r>
      <w:r>
        <w:rPr>
          <w:sz w:val="22"/>
          <w:szCs w:val="22"/>
          <w:lang w:val="pt-BR"/>
        </w:rPr>
        <w:t>sr</w:t>
      </w:r>
      <w:r>
        <w:rPr>
          <w:sz w:val="22"/>
          <w:szCs w:val="22"/>
          <w:lang w:val="sr-Latn-CS"/>
        </w:rPr>
        <w:t>č</w:t>
      </w:r>
      <w:r>
        <w:rPr>
          <w:sz w:val="22"/>
          <w:szCs w:val="22"/>
          <w:lang w:val="pt-BR"/>
        </w:rPr>
        <w:t>ani</w:t>
      </w:r>
      <w:r>
        <w:rPr>
          <w:sz w:val="22"/>
          <w:szCs w:val="22"/>
          <w:lang w:val="sr-Latn-CS"/>
        </w:rPr>
        <w:t xml:space="preserve"> </w:t>
      </w:r>
      <w:r>
        <w:rPr>
          <w:sz w:val="22"/>
          <w:szCs w:val="22"/>
          <w:lang w:val="pt-BR"/>
        </w:rPr>
        <w:t>rizik</w:t>
      </w:r>
      <w:r>
        <w:rPr>
          <w:sz w:val="22"/>
          <w:szCs w:val="22"/>
          <w:lang w:val="sr-Latn-CS"/>
        </w:rPr>
        <w:t xml:space="preserve">, </w:t>
      </w:r>
      <w:r>
        <w:rPr>
          <w:sz w:val="22"/>
          <w:szCs w:val="22"/>
          <w:lang w:val="pt-BR"/>
        </w:rPr>
        <w:t>npr</w:t>
      </w:r>
      <w:r>
        <w:rPr>
          <w:sz w:val="22"/>
          <w:szCs w:val="22"/>
          <w:lang w:val="sr-Latn-CS"/>
        </w:rPr>
        <w:t xml:space="preserve">. </w:t>
      </w:r>
      <w:r>
        <w:rPr>
          <w:sz w:val="22"/>
          <w:szCs w:val="22"/>
          <w:lang w:val="pt-BR"/>
        </w:rPr>
        <w:t>hipertenzija</w:t>
      </w:r>
      <w:r>
        <w:rPr>
          <w:sz w:val="22"/>
          <w:szCs w:val="22"/>
          <w:lang w:val="sr-Latn-CS"/>
        </w:rPr>
        <w:t xml:space="preserve">, </w:t>
      </w:r>
      <w:r>
        <w:rPr>
          <w:sz w:val="22"/>
          <w:szCs w:val="22"/>
          <w:lang w:val="pt-BR"/>
        </w:rPr>
        <w:t>dokumentovana</w:t>
      </w:r>
      <w:r>
        <w:rPr>
          <w:sz w:val="22"/>
          <w:szCs w:val="22"/>
          <w:lang w:val="sr-Latn-CS"/>
        </w:rPr>
        <w:t xml:space="preserve"> </w:t>
      </w:r>
      <w:r>
        <w:rPr>
          <w:sz w:val="22"/>
          <w:szCs w:val="22"/>
          <w:lang w:val="pt-BR"/>
        </w:rPr>
        <w:t>bolest</w:t>
      </w:r>
      <w:r>
        <w:rPr>
          <w:sz w:val="22"/>
          <w:szCs w:val="22"/>
          <w:lang w:val="sr-Latn-CS"/>
        </w:rPr>
        <w:t xml:space="preserve"> </w:t>
      </w:r>
      <w:r>
        <w:rPr>
          <w:sz w:val="22"/>
          <w:szCs w:val="22"/>
          <w:lang w:val="pt-BR"/>
        </w:rPr>
        <w:t>koronarnih</w:t>
      </w:r>
      <w:r>
        <w:rPr>
          <w:sz w:val="22"/>
          <w:szCs w:val="22"/>
          <w:lang w:val="sr-Latn-CS"/>
        </w:rPr>
        <w:t xml:space="preserve"> </w:t>
      </w:r>
      <w:r>
        <w:rPr>
          <w:sz w:val="22"/>
          <w:szCs w:val="22"/>
          <w:lang w:val="pt-BR"/>
        </w:rPr>
        <w:t>arterija</w:t>
      </w:r>
      <w:r>
        <w:rPr>
          <w:sz w:val="22"/>
          <w:szCs w:val="22"/>
          <w:lang w:val="sr-Latn-CS"/>
        </w:rPr>
        <w:t xml:space="preserve">, </w:t>
      </w:r>
      <w:r>
        <w:rPr>
          <w:sz w:val="22"/>
          <w:szCs w:val="22"/>
          <w:lang w:val="pt-BR"/>
        </w:rPr>
        <w:t>kongestivna</w:t>
      </w:r>
      <w:r>
        <w:rPr>
          <w:sz w:val="22"/>
          <w:szCs w:val="22"/>
          <w:lang w:val="sr-Latn-CS"/>
        </w:rPr>
        <w:t xml:space="preserve"> </w:t>
      </w:r>
      <w:r>
        <w:rPr>
          <w:sz w:val="22"/>
          <w:szCs w:val="22"/>
          <w:lang w:val="pt-BR"/>
        </w:rPr>
        <w:t>sr</w:t>
      </w:r>
      <w:r>
        <w:rPr>
          <w:sz w:val="22"/>
          <w:szCs w:val="22"/>
          <w:lang w:val="sr-Latn-CS"/>
        </w:rPr>
        <w:t>č</w:t>
      </w:r>
      <w:r>
        <w:rPr>
          <w:sz w:val="22"/>
          <w:szCs w:val="22"/>
          <w:lang w:val="pt-BR"/>
        </w:rPr>
        <w:t>ana</w:t>
      </w:r>
      <w:r>
        <w:rPr>
          <w:sz w:val="22"/>
          <w:szCs w:val="22"/>
          <w:lang w:val="sr-Latn-CS"/>
        </w:rPr>
        <w:t xml:space="preserve"> </w:t>
      </w:r>
      <w:r>
        <w:rPr>
          <w:sz w:val="22"/>
          <w:szCs w:val="22"/>
          <w:lang w:val="pt-BR"/>
        </w:rPr>
        <w:t>insuficijencija</w:t>
      </w:r>
      <w:r>
        <w:rPr>
          <w:sz w:val="22"/>
          <w:szCs w:val="22"/>
          <w:lang w:val="sr-Latn-CS"/>
        </w:rPr>
        <w:t xml:space="preserve">, </w:t>
      </w:r>
      <w:r>
        <w:rPr>
          <w:sz w:val="22"/>
          <w:szCs w:val="22"/>
          <w:lang w:val="pt-BR"/>
        </w:rPr>
        <w:t>ejekciona</w:t>
      </w:r>
      <w:r>
        <w:rPr>
          <w:sz w:val="22"/>
          <w:szCs w:val="22"/>
          <w:lang w:val="sr-Latn-CS"/>
        </w:rPr>
        <w:t xml:space="preserve"> </w:t>
      </w:r>
      <w:r>
        <w:rPr>
          <w:sz w:val="22"/>
          <w:szCs w:val="22"/>
          <w:lang w:val="pt-BR"/>
        </w:rPr>
        <w:t>frakcija</w:t>
      </w:r>
      <w:r>
        <w:rPr>
          <w:sz w:val="22"/>
          <w:szCs w:val="22"/>
          <w:lang w:val="sr-Latn-CS"/>
        </w:rPr>
        <w:t xml:space="preserve"> </w:t>
      </w:r>
      <w:r>
        <w:rPr>
          <w:sz w:val="22"/>
          <w:szCs w:val="22"/>
          <w:lang w:val="pt-BR"/>
        </w:rPr>
        <w:t>lijeve</w:t>
      </w:r>
      <w:r>
        <w:rPr>
          <w:sz w:val="22"/>
          <w:szCs w:val="22"/>
          <w:lang w:val="sr-Latn-CS"/>
        </w:rPr>
        <w:t xml:space="preserve"> </w:t>
      </w:r>
      <w:r>
        <w:rPr>
          <w:sz w:val="22"/>
          <w:szCs w:val="22"/>
          <w:lang w:val="pt-BR"/>
        </w:rPr>
        <w:t>komore</w:t>
      </w:r>
      <w:r>
        <w:rPr>
          <w:sz w:val="22"/>
          <w:szCs w:val="22"/>
          <w:lang w:val="sr-Latn-CS"/>
        </w:rPr>
        <w:t xml:space="preserve"> (</w:t>
      </w:r>
      <w:r>
        <w:rPr>
          <w:sz w:val="22"/>
          <w:szCs w:val="22"/>
          <w:lang w:val="pt-BR"/>
        </w:rPr>
        <w:t>LVEF</w:t>
      </w:r>
      <w:r>
        <w:rPr>
          <w:sz w:val="22"/>
          <w:szCs w:val="22"/>
          <w:lang w:val="sr-Latn-CS"/>
        </w:rPr>
        <w:t>) &lt;</w:t>
      </w:r>
      <w:r>
        <w:rPr>
          <w:sz w:val="22"/>
          <w:szCs w:val="22"/>
          <w:lang w:val="pt-BR"/>
        </w:rPr>
        <w:t> </w:t>
      </w:r>
      <w:r>
        <w:rPr>
          <w:sz w:val="22"/>
          <w:szCs w:val="22"/>
          <w:lang w:val="sr-Latn-CS"/>
        </w:rPr>
        <w:t xml:space="preserve">55%, </w:t>
      </w:r>
      <w:r>
        <w:rPr>
          <w:sz w:val="22"/>
          <w:szCs w:val="22"/>
          <w:lang w:val="pt-BR"/>
        </w:rPr>
        <w:t>stariji</w:t>
      </w:r>
      <w:r>
        <w:rPr>
          <w:sz w:val="22"/>
          <w:szCs w:val="22"/>
          <w:lang w:val="sr-Latn-CS"/>
        </w:rPr>
        <w:t xml:space="preserve"> </w:t>
      </w:r>
      <w:r w:rsidR="00F50316">
        <w:rPr>
          <w:sz w:val="22"/>
          <w:szCs w:val="22"/>
          <w:lang w:val="pt-BR"/>
        </w:rPr>
        <w:t>pacijenti</w:t>
      </w:r>
      <w:r>
        <w:rPr>
          <w:sz w:val="22"/>
          <w:szCs w:val="22"/>
          <w:lang w:val="sr-Latn-CS"/>
        </w:rPr>
        <w:t>.</w:t>
      </w:r>
    </w:p>
    <w:p w14:paraId="305792EC" w14:textId="77777777" w:rsidR="00B05AA9" w:rsidRDefault="00B05AA9" w:rsidP="00641EEB">
      <w:pPr>
        <w:jc w:val="both"/>
        <w:rPr>
          <w:sz w:val="22"/>
          <w:szCs w:val="22"/>
          <w:lang w:val="sr-Latn-CS"/>
        </w:rPr>
      </w:pPr>
    </w:p>
    <w:p w14:paraId="2AAC3D4E" w14:textId="3D1D6AD7" w:rsidR="00B05AA9" w:rsidRDefault="00B05AA9" w:rsidP="00641EEB">
      <w:pPr>
        <w:jc w:val="both"/>
        <w:rPr>
          <w:sz w:val="22"/>
          <w:szCs w:val="22"/>
          <w:lang w:val="sr-Latn-CS"/>
        </w:rPr>
      </w:pPr>
      <w:r>
        <w:rPr>
          <w:sz w:val="22"/>
          <w:szCs w:val="22"/>
          <w:lang w:val="pt-BR"/>
        </w:rPr>
        <w:t>Svi</w:t>
      </w:r>
      <w:r>
        <w:rPr>
          <w:sz w:val="22"/>
          <w:szCs w:val="22"/>
          <w:lang w:val="sr-Latn-CS"/>
        </w:rPr>
        <w:t xml:space="preserve"> </w:t>
      </w:r>
      <w:r>
        <w:rPr>
          <w:sz w:val="22"/>
          <w:szCs w:val="22"/>
          <w:lang w:val="pt-BR"/>
        </w:rPr>
        <w:t>kandidati</w:t>
      </w:r>
      <w:r>
        <w:rPr>
          <w:sz w:val="22"/>
          <w:szCs w:val="22"/>
          <w:lang w:val="sr-Latn-CS"/>
        </w:rPr>
        <w:t xml:space="preserve"> </w:t>
      </w:r>
      <w:r>
        <w:rPr>
          <w:sz w:val="22"/>
          <w:szCs w:val="22"/>
          <w:lang w:val="pt-BR"/>
        </w:rPr>
        <w:t>za</w:t>
      </w:r>
      <w:r>
        <w:rPr>
          <w:sz w:val="22"/>
          <w:szCs w:val="22"/>
          <w:lang w:val="sr-Latn-CS"/>
        </w:rPr>
        <w:t xml:space="preserve"> </w:t>
      </w:r>
      <w:r>
        <w:rPr>
          <w:sz w:val="22"/>
          <w:szCs w:val="22"/>
          <w:lang w:val="pt-BR"/>
        </w:rPr>
        <w:t>terapiju</w:t>
      </w:r>
      <w:r>
        <w:rPr>
          <w:sz w:val="22"/>
          <w:szCs w:val="22"/>
          <w:lang w:val="sr-Latn-CS"/>
        </w:rPr>
        <w:t xml:space="preserve"> </w:t>
      </w:r>
      <w:r>
        <w:rPr>
          <w:sz w:val="22"/>
          <w:szCs w:val="22"/>
          <w:lang w:val="pt-BR"/>
        </w:rPr>
        <w:t>lijekom</w:t>
      </w:r>
      <w:r>
        <w:rPr>
          <w:sz w:val="22"/>
          <w:szCs w:val="22"/>
          <w:lang w:val="sr-Latn-CS"/>
        </w:rPr>
        <w:t xml:space="preserve"> </w:t>
      </w:r>
      <w:r>
        <w:rPr>
          <w:sz w:val="22"/>
          <w:szCs w:val="22"/>
          <w:lang w:val="pt-BR"/>
        </w:rPr>
        <w:t>Herceptin</w:t>
      </w:r>
      <w:r>
        <w:rPr>
          <w:sz w:val="22"/>
          <w:szCs w:val="22"/>
          <w:lang w:val="sr-Latn-CS"/>
        </w:rPr>
        <w:t xml:space="preserve">, </w:t>
      </w:r>
      <w:r>
        <w:rPr>
          <w:sz w:val="22"/>
          <w:szCs w:val="22"/>
          <w:lang w:val="pt-BR"/>
        </w:rPr>
        <w:t>ali</w:t>
      </w:r>
      <w:r>
        <w:rPr>
          <w:sz w:val="22"/>
          <w:szCs w:val="22"/>
          <w:lang w:val="sr-Latn-CS"/>
        </w:rPr>
        <w:t xml:space="preserve"> </w:t>
      </w:r>
      <w:r>
        <w:rPr>
          <w:sz w:val="22"/>
          <w:szCs w:val="22"/>
          <w:lang w:val="pt-BR"/>
        </w:rPr>
        <w:t>posebno</w:t>
      </w:r>
      <w:r>
        <w:rPr>
          <w:sz w:val="22"/>
          <w:szCs w:val="22"/>
          <w:lang w:val="sr-Latn-CS"/>
        </w:rPr>
        <w:t xml:space="preserve"> </w:t>
      </w:r>
      <w:r>
        <w:rPr>
          <w:sz w:val="22"/>
          <w:szCs w:val="22"/>
          <w:lang w:val="pt-BR"/>
        </w:rPr>
        <w:t>oni</w:t>
      </w:r>
      <w:r>
        <w:rPr>
          <w:sz w:val="22"/>
          <w:szCs w:val="22"/>
          <w:lang w:val="sr-Latn-CS"/>
        </w:rPr>
        <w:t xml:space="preserve"> </w:t>
      </w:r>
      <w:r>
        <w:rPr>
          <w:sz w:val="22"/>
          <w:szCs w:val="22"/>
          <w:lang w:val="pt-BR"/>
        </w:rPr>
        <w:t>koji</w:t>
      </w:r>
      <w:r>
        <w:rPr>
          <w:sz w:val="22"/>
          <w:szCs w:val="22"/>
          <w:lang w:val="sr-Latn-CS"/>
        </w:rPr>
        <w:t xml:space="preserve"> </w:t>
      </w:r>
      <w:r>
        <w:rPr>
          <w:sz w:val="22"/>
          <w:szCs w:val="22"/>
          <w:lang w:val="pt-BR"/>
        </w:rPr>
        <w:t>su</w:t>
      </w:r>
      <w:r>
        <w:rPr>
          <w:sz w:val="22"/>
          <w:szCs w:val="22"/>
          <w:lang w:val="sr-Latn-CS"/>
        </w:rPr>
        <w:t xml:space="preserve"> </w:t>
      </w:r>
      <w:r>
        <w:rPr>
          <w:sz w:val="22"/>
          <w:szCs w:val="22"/>
          <w:lang w:val="pt-BR"/>
        </w:rPr>
        <w:t>prethodno</w:t>
      </w:r>
      <w:r>
        <w:rPr>
          <w:sz w:val="22"/>
          <w:szCs w:val="22"/>
          <w:lang w:val="sr-Latn-CS"/>
        </w:rPr>
        <w:t xml:space="preserve"> </w:t>
      </w:r>
      <w:r>
        <w:rPr>
          <w:sz w:val="22"/>
          <w:szCs w:val="22"/>
          <w:lang w:val="pt-BR"/>
        </w:rPr>
        <w:t>izlagani</w:t>
      </w:r>
      <w:r>
        <w:rPr>
          <w:sz w:val="22"/>
          <w:szCs w:val="22"/>
          <w:lang w:val="sr-Latn-CS"/>
        </w:rPr>
        <w:t xml:space="preserve"> </w:t>
      </w:r>
      <w:r>
        <w:rPr>
          <w:sz w:val="22"/>
          <w:szCs w:val="22"/>
          <w:lang w:val="pt-BR"/>
        </w:rPr>
        <w:t>antraciklinu</w:t>
      </w:r>
      <w:r>
        <w:rPr>
          <w:sz w:val="22"/>
          <w:szCs w:val="22"/>
          <w:lang w:val="sr-Latn-CS"/>
        </w:rPr>
        <w:t xml:space="preserve"> </w:t>
      </w:r>
      <w:r>
        <w:rPr>
          <w:sz w:val="22"/>
          <w:szCs w:val="22"/>
          <w:lang w:val="pt-BR"/>
        </w:rPr>
        <w:t>i</w:t>
      </w:r>
      <w:r>
        <w:rPr>
          <w:sz w:val="22"/>
          <w:szCs w:val="22"/>
          <w:lang w:val="sr-Latn-CS"/>
        </w:rPr>
        <w:t xml:space="preserve"> </w:t>
      </w:r>
      <w:r>
        <w:rPr>
          <w:sz w:val="22"/>
          <w:szCs w:val="22"/>
          <w:lang w:val="pt-BR"/>
        </w:rPr>
        <w:t>ciklofosfamidu</w:t>
      </w:r>
      <w:r>
        <w:rPr>
          <w:sz w:val="22"/>
          <w:szCs w:val="22"/>
          <w:lang w:val="sr-Latn-CS"/>
        </w:rPr>
        <w:t xml:space="preserve"> (</w:t>
      </w:r>
      <w:r>
        <w:rPr>
          <w:sz w:val="22"/>
          <w:szCs w:val="22"/>
          <w:lang w:val="pt-BR"/>
        </w:rPr>
        <w:t>AC</w:t>
      </w:r>
      <w:r>
        <w:rPr>
          <w:sz w:val="22"/>
          <w:szCs w:val="22"/>
          <w:lang w:val="sr-Latn-CS"/>
        </w:rPr>
        <w:t xml:space="preserve"> </w:t>
      </w:r>
      <w:r>
        <w:rPr>
          <w:sz w:val="22"/>
          <w:szCs w:val="22"/>
          <w:lang w:val="pt-BR"/>
        </w:rPr>
        <w:t>protokol</w:t>
      </w:r>
      <w:r>
        <w:rPr>
          <w:sz w:val="22"/>
          <w:szCs w:val="22"/>
          <w:lang w:val="sr-Latn-CS"/>
        </w:rPr>
        <w:t xml:space="preserve">), </w:t>
      </w:r>
      <w:r>
        <w:rPr>
          <w:sz w:val="22"/>
          <w:szCs w:val="22"/>
          <w:lang w:val="pt-BR"/>
        </w:rPr>
        <w:t>prije</w:t>
      </w:r>
      <w:r>
        <w:rPr>
          <w:sz w:val="22"/>
          <w:szCs w:val="22"/>
          <w:lang w:val="sr-Latn-CS"/>
        </w:rPr>
        <w:t xml:space="preserve"> </w:t>
      </w:r>
      <w:r>
        <w:rPr>
          <w:sz w:val="22"/>
          <w:szCs w:val="22"/>
          <w:lang w:val="pt-BR"/>
        </w:rPr>
        <w:t>po</w:t>
      </w:r>
      <w:r>
        <w:rPr>
          <w:sz w:val="22"/>
          <w:szCs w:val="22"/>
          <w:lang w:val="sr-Latn-CS"/>
        </w:rPr>
        <w:t>č</w:t>
      </w:r>
      <w:r>
        <w:rPr>
          <w:sz w:val="22"/>
          <w:szCs w:val="22"/>
          <w:lang w:val="pt-BR"/>
        </w:rPr>
        <w:t>etka</w:t>
      </w:r>
      <w:r>
        <w:rPr>
          <w:sz w:val="22"/>
          <w:szCs w:val="22"/>
          <w:lang w:val="sr-Latn-CS"/>
        </w:rPr>
        <w:t xml:space="preserve"> </w:t>
      </w:r>
      <w:r>
        <w:rPr>
          <w:sz w:val="22"/>
          <w:szCs w:val="22"/>
          <w:lang w:val="pt-BR"/>
        </w:rPr>
        <w:t>lije</w:t>
      </w:r>
      <w:r>
        <w:rPr>
          <w:sz w:val="22"/>
          <w:szCs w:val="22"/>
          <w:lang w:val="sr-Latn-CS"/>
        </w:rPr>
        <w:t>č</w:t>
      </w:r>
      <w:r>
        <w:rPr>
          <w:sz w:val="22"/>
          <w:szCs w:val="22"/>
          <w:lang w:val="pt-BR"/>
        </w:rPr>
        <w:t>enja</w:t>
      </w:r>
      <w:r>
        <w:rPr>
          <w:sz w:val="22"/>
          <w:szCs w:val="22"/>
          <w:lang w:val="sr-Latn-CS"/>
        </w:rPr>
        <w:t xml:space="preserve"> </w:t>
      </w:r>
      <w:r>
        <w:rPr>
          <w:sz w:val="22"/>
          <w:szCs w:val="22"/>
          <w:lang w:val="pt-BR"/>
        </w:rPr>
        <w:t>moraju</w:t>
      </w:r>
      <w:r>
        <w:rPr>
          <w:sz w:val="22"/>
          <w:szCs w:val="22"/>
          <w:lang w:val="sr-Latn-CS"/>
        </w:rPr>
        <w:t xml:space="preserve"> </w:t>
      </w:r>
      <w:r>
        <w:rPr>
          <w:sz w:val="22"/>
          <w:szCs w:val="22"/>
          <w:lang w:val="pt-BR"/>
        </w:rPr>
        <w:t>obaviti</w:t>
      </w:r>
      <w:r>
        <w:rPr>
          <w:sz w:val="22"/>
          <w:szCs w:val="22"/>
          <w:lang w:val="sr-Latn-CS"/>
        </w:rPr>
        <w:t xml:space="preserve"> </w:t>
      </w:r>
      <w:r>
        <w:rPr>
          <w:sz w:val="22"/>
          <w:szCs w:val="22"/>
          <w:lang w:val="pt-BR"/>
        </w:rPr>
        <w:t>osnovni</w:t>
      </w:r>
      <w:r>
        <w:rPr>
          <w:sz w:val="22"/>
          <w:szCs w:val="22"/>
          <w:lang w:val="sr-Latn-CS"/>
        </w:rPr>
        <w:t xml:space="preserve"> </w:t>
      </w:r>
      <w:r>
        <w:rPr>
          <w:sz w:val="22"/>
          <w:szCs w:val="22"/>
          <w:lang w:val="pt-BR"/>
        </w:rPr>
        <w:t>kardiolo</w:t>
      </w:r>
      <w:r>
        <w:rPr>
          <w:sz w:val="22"/>
          <w:szCs w:val="22"/>
          <w:lang w:val="sr-Latn-CS"/>
        </w:rPr>
        <w:t>š</w:t>
      </w:r>
      <w:r>
        <w:rPr>
          <w:sz w:val="22"/>
          <w:szCs w:val="22"/>
          <w:lang w:val="pt-BR"/>
        </w:rPr>
        <w:t>ki</w:t>
      </w:r>
      <w:r>
        <w:rPr>
          <w:sz w:val="22"/>
          <w:szCs w:val="22"/>
          <w:lang w:val="sr-Latn-CS"/>
        </w:rPr>
        <w:t xml:space="preserve"> </w:t>
      </w:r>
      <w:r>
        <w:rPr>
          <w:sz w:val="22"/>
          <w:szCs w:val="22"/>
          <w:lang w:val="pt-BR"/>
        </w:rPr>
        <w:t>pregled</w:t>
      </w:r>
      <w:r>
        <w:rPr>
          <w:sz w:val="22"/>
          <w:szCs w:val="22"/>
          <w:lang w:val="sr-Latn-CS"/>
        </w:rPr>
        <w:t xml:space="preserve">, </w:t>
      </w:r>
      <w:r>
        <w:rPr>
          <w:sz w:val="22"/>
          <w:szCs w:val="22"/>
          <w:lang w:val="pt-BR"/>
        </w:rPr>
        <w:t>uklju</w:t>
      </w:r>
      <w:r>
        <w:rPr>
          <w:sz w:val="22"/>
          <w:szCs w:val="22"/>
          <w:lang w:val="sr-Latn-CS"/>
        </w:rPr>
        <w:t>č</w:t>
      </w:r>
      <w:r>
        <w:rPr>
          <w:sz w:val="22"/>
          <w:szCs w:val="22"/>
          <w:lang w:val="pt-BR"/>
        </w:rPr>
        <w:t>uju</w:t>
      </w:r>
      <w:r>
        <w:rPr>
          <w:sz w:val="22"/>
          <w:szCs w:val="22"/>
          <w:lang w:val="sr-Latn-CS"/>
        </w:rPr>
        <w:t>ć</w:t>
      </w:r>
      <w:r>
        <w:rPr>
          <w:sz w:val="22"/>
          <w:szCs w:val="22"/>
          <w:lang w:val="pt-BR"/>
        </w:rPr>
        <w:t>i</w:t>
      </w:r>
      <w:r>
        <w:rPr>
          <w:sz w:val="22"/>
          <w:szCs w:val="22"/>
          <w:lang w:val="sr-Latn-CS"/>
        </w:rPr>
        <w:t xml:space="preserve"> </w:t>
      </w:r>
      <w:r>
        <w:rPr>
          <w:sz w:val="22"/>
          <w:szCs w:val="22"/>
          <w:lang w:val="pt-BR"/>
        </w:rPr>
        <w:t>anamnezu</w:t>
      </w:r>
      <w:r>
        <w:rPr>
          <w:sz w:val="22"/>
          <w:szCs w:val="22"/>
          <w:lang w:val="sr-Latn-CS"/>
        </w:rPr>
        <w:t xml:space="preserve"> </w:t>
      </w:r>
      <w:r>
        <w:rPr>
          <w:sz w:val="22"/>
          <w:szCs w:val="22"/>
          <w:lang w:val="pt-BR"/>
        </w:rPr>
        <w:t>i</w:t>
      </w:r>
      <w:r>
        <w:rPr>
          <w:sz w:val="22"/>
          <w:szCs w:val="22"/>
          <w:lang w:val="sr-Latn-CS"/>
        </w:rPr>
        <w:t xml:space="preserve"> </w:t>
      </w:r>
      <w:r>
        <w:rPr>
          <w:sz w:val="22"/>
          <w:szCs w:val="22"/>
          <w:lang w:val="pt-BR"/>
        </w:rPr>
        <w:t>fizikalni</w:t>
      </w:r>
      <w:r>
        <w:rPr>
          <w:sz w:val="22"/>
          <w:szCs w:val="22"/>
          <w:lang w:val="sr-Latn-CS"/>
        </w:rPr>
        <w:t xml:space="preserve"> </w:t>
      </w:r>
      <w:r>
        <w:rPr>
          <w:sz w:val="22"/>
          <w:szCs w:val="22"/>
          <w:lang w:val="pt-BR"/>
        </w:rPr>
        <w:t>pregled</w:t>
      </w:r>
      <w:r>
        <w:rPr>
          <w:sz w:val="22"/>
          <w:szCs w:val="22"/>
          <w:lang w:val="sr-Latn-CS"/>
        </w:rPr>
        <w:t xml:space="preserve">, </w:t>
      </w:r>
      <w:r>
        <w:rPr>
          <w:sz w:val="22"/>
          <w:szCs w:val="22"/>
          <w:lang w:val="pt-BR"/>
        </w:rPr>
        <w:t>elektrokardiogram</w:t>
      </w:r>
      <w:r>
        <w:rPr>
          <w:sz w:val="22"/>
          <w:szCs w:val="22"/>
          <w:lang w:val="sr-Latn-CS"/>
        </w:rPr>
        <w:t xml:space="preserve"> (</w:t>
      </w:r>
      <w:r>
        <w:rPr>
          <w:sz w:val="22"/>
          <w:szCs w:val="22"/>
          <w:lang w:val="pt-BR"/>
        </w:rPr>
        <w:t>EKG</w:t>
      </w:r>
      <w:r>
        <w:rPr>
          <w:sz w:val="22"/>
          <w:szCs w:val="22"/>
          <w:lang w:val="sr-Latn-CS"/>
        </w:rPr>
        <w:t xml:space="preserve">), </w:t>
      </w:r>
      <w:r>
        <w:rPr>
          <w:sz w:val="22"/>
          <w:szCs w:val="22"/>
          <w:lang w:val="pt-BR"/>
        </w:rPr>
        <w:t>ultrazvuk</w:t>
      </w:r>
      <w:r>
        <w:rPr>
          <w:sz w:val="22"/>
          <w:szCs w:val="22"/>
          <w:lang w:val="sr-Latn-CS"/>
        </w:rPr>
        <w:t xml:space="preserve"> </w:t>
      </w:r>
      <w:r>
        <w:rPr>
          <w:sz w:val="22"/>
          <w:szCs w:val="22"/>
          <w:lang w:val="pt-BR"/>
        </w:rPr>
        <w:t>srca</w:t>
      </w:r>
      <w:r>
        <w:rPr>
          <w:sz w:val="22"/>
          <w:szCs w:val="22"/>
          <w:lang w:val="sr-Latn-CS"/>
        </w:rPr>
        <w:t xml:space="preserve"> </w:t>
      </w:r>
      <w:r>
        <w:rPr>
          <w:sz w:val="22"/>
          <w:szCs w:val="22"/>
          <w:lang w:val="pt-BR"/>
        </w:rPr>
        <w:t>i</w:t>
      </w:r>
      <w:r>
        <w:rPr>
          <w:sz w:val="22"/>
          <w:szCs w:val="22"/>
          <w:lang w:val="sr-Latn-CS"/>
        </w:rPr>
        <w:t>/</w:t>
      </w:r>
      <w:r>
        <w:rPr>
          <w:sz w:val="22"/>
          <w:szCs w:val="22"/>
          <w:lang w:val="pt-BR"/>
        </w:rPr>
        <w:t>ili</w:t>
      </w:r>
      <w:r>
        <w:rPr>
          <w:sz w:val="22"/>
          <w:szCs w:val="22"/>
          <w:lang w:val="sr-Latn-CS"/>
        </w:rPr>
        <w:t xml:space="preserve"> </w:t>
      </w:r>
      <w:r>
        <w:rPr>
          <w:sz w:val="22"/>
          <w:szCs w:val="22"/>
          <w:lang w:val="pt-BR"/>
        </w:rPr>
        <w:t>radionuklidnu</w:t>
      </w:r>
      <w:r>
        <w:rPr>
          <w:sz w:val="22"/>
          <w:szCs w:val="22"/>
          <w:lang w:val="sr-Latn-CS"/>
        </w:rPr>
        <w:t xml:space="preserve"> </w:t>
      </w:r>
      <w:r>
        <w:rPr>
          <w:sz w:val="22"/>
          <w:szCs w:val="22"/>
          <w:lang w:val="pt-BR"/>
        </w:rPr>
        <w:t>ventrikulografiju</w:t>
      </w:r>
      <w:r>
        <w:rPr>
          <w:sz w:val="22"/>
          <w:szCs w:val="22"/>
          <w:lang w:val="sr-Latn-CS"/>
        </w:rPr>
        <w:t xml:space="preserve"> (</w:t>
      </w:r>
      <w:r>
        <w:rPr>
          <w:sz w:val="22"/>
          <w:szCs w:val="22"/>
          <w:lang w:val="pt-BR"/>
        </w:rPr>
        <w:t>MUGA</w:t>
      </w:r>
      <w:r>
        <w:rPr>
          <w:sz w:val="22"/>
          <w:szCs w:val="22"/>
          <w:lang w:val="sr-Latn-CS"/>
        </w:rPr>
        <w:t xml:space="preserve">) </w:t>
      </w:r>
      <w:r>
        <w:rPr>
          <w:sz w:val="22"/>
          <w:szCs w:val="22"/>
          <w:lang w:val="pt-BR"/>
        </w:rPr>
        <w:t>ili</w:t>
      </w:r>
      <w:r>
        <w:rPr>
          <w:sz w:val="22"/>
          <w:szCs w:val="22"/>
          <w:lang w:val="sr-Latn-CS"/>
        </w:rPr>
        <w:t xml:space="preserve"> </w:t>
      </w:r>
      <w:r>
        <w:rPr>
          <w:sz w:val="22"/>
          <w:szCs w:val="22"/>
          <w:lang w:val="pt-BR"/>
        </w:rPr>
        <w:t>magnetnu</w:t>
      </w:r>
      <w:r>
        <w:rPr>
          <w:sz w:val="22"/>
          <w:szCs w:val="22"/>
          <w:lang w:val="sr-Latn-CS"/>
        </w:rPr>
        <w:t xml:space="preserve"> </w:t>
      </w:r>
      <w:r>
        <w:rPr>
          <w:sz w:val="22"/>
          <w:szCs w:val="22"/>
          <w:lang w:val="pt-BR"/>
        </w:rPr>
        <w:t>rezonancu</w:t>
      </w:r>
      <w:r>
        <w:rPr>
          <w:sz w:val="22"/>
          <w:szCs w:val="22"/>
          <w:lang w:val="sr-Latn-CS"/>
        </w:rPr>
        <w:t xml:space="preserve">. </w:t>
      </w:r>
      <w:r>
        <w:rPr>
          <w:sz w:val="22"/>
          <w:szCs w:val="22"/>
          <w:lang w:val="pt-BR"/>
        </w:rPr>
        <w:t>Pra</w:t>
      </w:r>
      <w:r>
        <w:rPr>
          <w:sz w:val="22"/>
          <w:szCs w:val="22"/>
          <w:lang w:val="sr-Latn-CS"/>
        </w:rPr>
        <w:t>ć</w:t>
      </w:r>
      <w:r>
        <w:rPr>
          <w:sz w:val="22"/>
          <w:szCs w:val="22"/>
          <w:lang w:val="pt-BR"/>
        </w:rPr>
        <w:t>enjem</w:t>
      </w:r>
      <w:r>
        <w:rPr>
          <w:sz w:val="22"/>
          <w:szCs w:val="22"/>
          <w:lang w:val="sr-Latn-CS"/>
        </w:rPr>
        <w:t xml:space="preserve"> </w:t>
      </w:r>
      <w:r>
        <w:rPr>
          <w:sz w:val="22"/>
          <w:szCs w:val="22"/>
          <w:lang w:val="pt-BR"/>
        </w:rPr>
        <w:t>je</w:t>
      </w:r>
      <w:r>
        <w:rPr>
          <w:sz w:val="22"/>
          <w:szCs w:val="22"/>
          <w:lang w:val="sr-Latn-CS"/>
        </w:rPr>
        <w:t xml:space="preserve">  </w:t>
      </w:r>
      <w:r>
        <w:rPr>
          <w:sz w:val="22"/>
          <w:szCs w:val="22"/>
          <w:lang w:val="pt-BR"/>
        </w:rPr>
        <w:t>mogu</w:t>
      </w:r>
      <w:r>
        <w:rPr>
          <w:sz w:val="22"/>
          <w:szCs w:val="22"/>
          <w:lang w:val="sr-Latn-CS"/>
        </w:rPr>
        <w:t>ć</w:t>
      </w:r>
      <w:r>
        <w:rPr>
          <w:sz w:val="22"/>
          <w:szCs w:val="22"/>
          <w:lang w:val="pt-BR"/>
        </w:rPr>
        <w:t>e</w:t>
      </w:r>
      <w:r>
        <w:rPr>
          <w:sz w:val="22"/>
          <w:szCs w:val="22"/>
          <w:lang w:val="sr-Latn-CS"/>
        </w:rPr>
        <w:t xml:space="preserve"> </w:t>
      </w:r>
      <w:r>
        <w:rPr>
          <w:sz w:val="22"/>
          <w:szCs w:val="22"/>
          <w:lang w:val="pt-BR"/>
        </w:rPr>
        <w:t>uo</w:t>
      </w:r>
      <w:r>
        <w:rPr>
          <w:sz w:val="22"/>
          <w:szCs w:val="22"/>
          <w:lang w:val="sr-Latn-CS"/>
        </w:rPr>
        <w:t>č</w:t>
      </w:r>
      <w:r>
        <w:rPr>
          <w:sz w:val="22"/>
          <w:szCs w:val="22"/>
          <w:lang w:val="pt-BR"/>
        </w:rPr>
        <w:t>iti</w:t>
      </w:r>
      <w:r>
        <w:rPr>
          <w:sz w:val="22"/>
          <w:szCs w:val="22"/>
          <w:lang w:val="sr-Latn-CS"/>
        </w:rPr>
        <w:t xml:space="preserve"> </w:t>
      </w:r>
      <w:r>
        <w:rPr>
          <w:sz w:val="22"/>
          <w:szCs w:val="22"/>
          <w:lang w:val="pt-BR"/>
        </w:rPr>
        <w:t>pacijente</w:t>
      </w:r>
      <w:r>
        <w:rPr>
          <w:sz w:val="22"/>
          <w:szCs w:val="22"/>
          <w:lang w:val="sr-Latn-CS"/>
        </w:rPr>
        <w:t xml:space="preserve"> </w:t>
      </w:r>
      <w:r>
        <w:rPr>
          <w:sz w:val="22"/>
          <w:szCs w:val="22"/>
          <w:lang w:val="pt-BR"/>
        </w:rPr>
        <w:t>koji</w:t>
      </w:r>
      <w:r>
        <w:rPr>
          <w:sz w:val="22"/>
          <w:szCs w:val="22"/>
          <w:lang w:val="sr-Latn-CS"/>
        </w:rPr>
        <w:t xml:space="preserve"> </w:t>
      </w:r>
      <w:r>
        <w:rPr>
          <w:sz w:val="22"/>
          <w:szCs w:val="22"/>
          <w:lang w:val="pt-BR"/>
        </w:rPr>
        <w:t>razvijaju</w:t>
      </w:r>
      <w:r>
        <w:rPr>
          <w:sz w:val="22"/>
          <w:szCs w:val="22"/>
          <w:lang w:val="sr-Latn-CS"/>
        </w:rPr>
        <w:t xml:space="preserve"> </w:t>
      </w:r>
      <w:r>
        <w:rPr>
          <w:sz w:val="22"/>
          <w:szCs w:val="22"/>
          <w:lang w:val="pt-BR"/>
        </w:rPr>
        <w:t>disfunkciju</w:t>
      </w:r>
      <w:r>
        <w:rPr>
          <w:sz w:val="22"/>
          <w:szCs w:val="22"/>
          <w:lang w:val="sr-Latn-CS"/>
        </w:rPr>
        <w:t xml:space="preserve"> </w:t>
      </w:r>
      <w:r>
        <w:rPr>
          <w:sz w:val="22"/>
          <w:szCs w:val="22"/>
          <w:lang w:val="pt-BR"/>
        </w:rPr>
        <w:t>srca</w:t>
      </w:r>
      <w:r>
        <w:rPr>
          <w:sz w:val="22"/>
          <w:szCs w:val="22"/>
          <w:lang w:val="sr-Latn-CS"/>
        </w:rPr>
        <w:t xml:space="preserve">. </w:t>
      </w:r>
      <w:r>
        <w:rPr>
          <w:sz w:val="22"/>
          <w:szCs w:val="22"/>
          <w:lang w:val="pt-BR"/>
        </w:rPr>
        <w:t>Kardiolo</w:t>
      </w:r>
      <w:r>
        <w:rPr>
          <w:sz w:val="22"/>
          <w:szCs w:val="22"/>
          <w:lang w:val="sr-Latn-CS"/>
        </w:rPr>
        <w:t>š</w:t>
      </w:r>
      <w:r>
        <w:rPr>
          <w:sz w:val="22"/>
          <w:szCs w:val="22"/>
          <w:lang w:val="pt-BR"/>
        </w:rPr>
        <w:t>ke</w:t>
      </w:r>
      <w:r>
        <w:rPr>
          <w:sz w:val="22"/>
          <w:szCs w:val="22"/>
          <w:lang w:val="sr-Latn-CS"/>
        </w:rPr>
        <w:t xml:space="preserve"> </w:t>
      </w:r>
      <w:r>
        <w:rPr>
          <w:sz w:val="22"/>
          <w:szCs w:val="22"/>
          <w:lang w:val="pt-BR"/>
        </w:rPr>
        <w:t>preglede</w:t>
      </w:r>
      <w:r>
        <w:rPr>
          <w:sz w:val="22"/>
          <w:szCs w:val="22"/>
          <w:lang w:val="sr-Latn-CS"/>
        </w:rPr>
        <w:t xml:space="preserve">, </w:t>
      </w:r>
      <w:r>
        <w:rPr>
          <w:sz w:val="22"/>
          <w:szCs w:val="22"/>
          <w:lang w:val="pt-BR"/>
        </w:rPr>
        <w:t>iste</w:t>
      </w:r>
      <w:r>
        <w:rPr>
          <w:sz w:val="22"/>
          <w:szCs w:val="22"/>
          <w:lang w:val="sr-Latn-CS"/>
        </w:rPr>
        <w:t xml:space="preserve"> </w:t>
      </w:r>
      <w:r>
        <w:rPr>
          <w:sz w:val="22"/>
          <w:szCs w:val="22"/>
          <w:lang w:val="pt-BR"/>
        </w:rPr>
        <w:t>kao</w:t>
      </w:r>
      <w:r>
        <w:rPr>
          <w:sz w:val="22"/>
          <w:szCs w:val="22"/>
          <w:lang w:val="sr-Latn-CS"/>
        </w:rPr>
        <w:t xml:space="preserve"> </w:t>
      </w:r>
      <w:r>
        <w:rPr>
          <w:sz w:val="22"/>
          <w:szCs w:val="22"/>
          <w:lang w:val="pt-BR"/>
        </w:rPr>
        <w:t>i</w:t>
      </w:r>
      <w:r>
        <w:rPr>
          <w:sz w:val="22"/>
          <w:szCs w:val="22"/>
          <w:lang w:val="sr-Latn-CS"/>
        </w:rPr>
        <w:t xml:space="preserve"> </w:t>
      </w:r>
      <w:r>
        <w:rPr>
          <w:sz w:val="22"/>
          <w:szCs w:val="22"/>
          <w:lang w:val="pt-BR"/>
        </w:rPr>
        <w:t>one</w:t>
      </w:r>
      <w:r>
        <w:rPr>
          <w:sz w:val="22"/>
          <w:szCs w:val="22"/>
          <w:lang w:val="sr-Latn-CS"/>
        </w:rPr>
        <w:t xml:space="preserve"> </w:t>
      </w:r>
      <w:r>
        <w:rPr>
          <w:sz w:val="22"/>
          <w:szCs w:val="22"/>
          <w:lang w:val="pt-BR"/>
        </w:rPr>
        <w:t>obavljene</w:t>
      </w:r>
      <w:r>
        <w:rPr>
          <w:sz w:val="22"/>
          <w:szCs w:val="22"/>
          <w:lang w:val="sr-Latn-CS"/>
        </w:rPr>
        <w:t xml:space="preserve"> </w:t>
      </w:r>
      <w:r>
        <w:rPr>
          <w:sz w:val="22"/>
          <w:szCs w:val="22"/>
          <w:lang w:val="pt-BR"/>
        </w:rPr>
        <w:t>u</w:t>
      </w:r>
      <w:r>
        <w:rPr>
          <w:sz w:val="22"/>
          <w:szCs w:val="22"/>
          <w:lang w:val="sr-Latn-CS"/>
        </w:rPr>
        <w:t xml:space="preserve"> </w:t>
      </w:r>
      <w:r>
        <w:rPr>
          <w:sz w:val="22"/>
          <w:szCs w:val="22"/>
          <w:lang w:val="pt-BR"/>
        </w:rPr>
        <w:t>okviru</w:t>
      </w:r>
      <w:r>
        <w:rPr>
          <w:sz w:val="22"/>
          <w:szCs w:val="22"/>
          <w:lang w:val="sr-Latn-CS"/>
        </w:rPr>
        <w:t xml:space="preserve"> </w:t>
      </w:r>
      <w:r>
        <w:rPr>
          <w:sz w:val="22"/>
          <w:szCs w:val="22"/>
          <w:lang w:val="pt-BR"/>
        </w:rPr>
        <w:t>po</w:t>
      </w:r>
      <w:r>
        <w:rPr>
          <w:sz w:val="22"/>
          <w:szCs w:val="22"/>
          <w:lang w:val="sr-Latn-CS"/>
        </w:rPr>
        <w:t>č</w:t>
      </w:r>
      <w:r>
        <w:rPr>
          <w:sz w:val="22"/>
          <w:szCs w:val="22"/>
          <w:lang w:val="pt-BR"/>
        </w:rPr>
        <w:t>etne</w:t>
      </w:r>
      <w:r>
        <w:rPr>
          <w:sz w:val="22"/>
          <w:szCs w:val="22"/>
          <w:lang w:val="sr-Latn-CS"/>
        </w:rPr>
        <w:t xml:space="preserve"> </w:t>
      </w:r>
      <w:r>
        <w:rPr>
          <w:sz w:val="22"/>
          <w:szCs w:val="22"/>
          <w:lang w:val="pt-BR"/>
        </w:rPr>
        <w:t>procjene</w:t>
      </w:r>
      <w:r>
        <w:rPr>
          <w:sz w:val="22"/>
          <w:szCs w:val="22"/>
          <w:lang w:val="sr-Latn-CS"/>
        </w:rPr>
        <w:t xml:space="preserve">, </w:t>
      </w:r>
      <w:r>
        <w:rPr>
          <w:sz w:val="22"/>
          <w:szCs w:val="22"/>
          <w:lang w:val="pt-BR"/>
        </w:rPr>
        <w:t>potrebno</w:t>
      </w:r>
      <w:r>
        <w:rPr>
          <w:sz w:val="22"/>
          <w:szCs w:val="22"/>
          <w:lang w:val="sr-Latn-CS"/>
        </w:rPr>
        <w:t xml:space="preserve"> </w:t>
      </w:r>
      <w:r>
        <w:rPr>
          <w:sz w:val="22"/>
          <w:szCs w:val="22"/>
          <w:lang w:val="pt-BR"/>
        </w:rPr>
        <w:t>je</w:t>
      </w:r>
      <w:r>
        <w:rPr>
          <w:sz w:val="22"/>
          <w:szCs w:val="22"/>
          <w:lang w:val="sr-Latn-CS"/>
        </w:rPr>
        <w:t xml:space="preserve"> </w:t>
      </w:r>
      <w:r>
        <w:rPr>
          <w:sz w:val="22"/>
          <w:szCs w:val="22"/>
          <w:lang w:val="pt-BR"/>
        </w:rPr>
        <w:t>ponavljati</w:t>
      </w:r>
      <w:r>
        <w:rPr>
          <w:sz w:val="22"/>
          <w:szCs w:val="22"/>
          <w:lang w:val="sr-Latn-CS"/>
        </w:rPr>
        <w:t xml:space="preserve"> </w:t>
      </w:r>
      <w:r>
        <w:rPr>
          <w:sz w:val="22"/>
          <w:szCs w:val="22"/>
          <w:lang w:val="pt-BR"/>
        </w:rPr>
        <w:t>svaka</w:t>
      </w:r>
      <w:r>
        <w:rPr>
          <w:sz w:val="22"/>
          <w:szCs w:val="22"/>
          <w:lang w:val="sr-Latn-CS"/>
        </w:rPr>
        <w:t xml:space="preserve"> 3 </w:t>
      </w:r>
      <w:r>
        <w:rPr>
          <w:sz w:val="22"/>
          <w:szCs w:val="22"/>
          <w:lang w:val="pt-BR"/>
        </w:rPr>
        <w:t>mjeseca</w:t>
      </w:r>
      <w:r>
        <w:rPr>
          <w:sz w:val="22"/>
          <w:szCs w:val="22"/>
          <w:lang w:val="sr-Latn-CS"/>
        </w:rPr>
        <w:t xml:space="preserve"> </w:t>
      </w:r>
      <w:r>
        <w:rPr>
          <w:sz w:val="22"/>
          <w:szCs w:val="22"/>
          <w:lang w:val="pt-BR"/>
        </w:rPr>
        <w:t>tokom</w:t>
      </w:r>
      <w:r>
        <w:rPr>
          <w:sz w:val="22"/>
          <w:szCs w:val="22"/>
          <w:lang w:val="sr-Latn-CS"/>
        </w:rPr>
        <w:t xml:space="preserve"> </w:t>
      </w:r>
      <w:r>
        <w:rPr>
          <w:sz w:val="22"/>
          <w:szCs w:val="22"/>
          <w:lang w:val="pt-BR"/>
        </w:rPr>
        <w:t>lije</w:t>
      </w:r>
      <w:r>
        <w:rPr>
          <w:sz w:val="22"/>
          <w:szCs w:val="22"/>
          <w:lang w:val="sr-Latn-CS"/>
        </w:rPr>
        <w:t>č</w:t>
      </w:r>
      <w:r>
        <w:rPr>
          <w:sz w:val="22"/>
          <w:szCs w:val="22"/>
          <w:lang w:val="pt-BR"/>
        </w:rPr>
        <w:t>enja</w:t>
      </w:r>
      <w:r>
        <w:rPr>
          <w:sz w:val="22"/>
          <w:szCs w:val="22"/>
          <w:lang w:val="sr-Latn-CS"/>
        </w:rPr>
        <w:t xml:space="preserve"> </w:t>
      </w:r>
      <w:r>
        <w:rPr>
          <w:sz w:val="22"/>
          <w:szCs w:val="22"/>
          <w:lang w:val="pt-BR"/>
        </w:rPr>
        <w:t>te</w:t>
      </w:r>
      <w:r>
        <w:rPr>
          <w:sz w:val="22"/>
          <w:szCs w:val="22"/>
          <w:lang w:val="sr-Latn-CS"/>
        </w:rPr>
        <w:t xml:space="preserve"> </w:t>
      </w:r>
      <w:r>
        <w:rPr>
          <w:sz w:val="22"/>
          <w:szCs w:val="22"/>
          <w:lang w:val="pt-BR"/>
        </w:rPr>
        <w:t>svakih</w:t>
      </w:r>
      <w:r>
        <w:rPr>
          <w:sz w:val="22"/>
          <w:szCs w:val="22"/>
          <w:lang w:val="sr-Latn-CS"/>
        </w:rPr>
        <w:t xml:space="preserve"> 6 </w:t>
      </w:r>
      <w:r>
        <w:rPr>
          <w:sz w:val="22"/>
          <w:szCs w:val="22"/>
          <w:lang w:val="pt-BR"/>
        </w:rPr>
        <w:t>mjeseci</w:t>
      </w:r>
      <w:r>
        <w:rPr>
          <w:sz w:val="22"/>
          <w:szCs w:val="22"/>
          <w:lang w:val="sr-Latn-CS"/>
        </w:rPr>
        <w:t xml:space="preserve"> </w:t>
      </w:r>
      <w:r>
        <w:rPr>
          <w:sz w:val="22"/>
          <w:szCs w:val="22"/>
          <w:lang w:val="pt-BR"/>
        </w:rPr>
        <w:t>nakon</w:t>
      </w:r>
      <w:r>
        <w:rPr>
          <w:sz w:val="22"/>
          <w:szCs w:val="22"/>
          <w:lang w:val="sr-Latn-CS"/>
        </w:rPr>
        <w:t xml:space="preserve"> </w:t>
      </w:r>
      <w:r>
        <w:rPr>
          <w:sz w:val="22"/>
          <w:szCs w:val="22"/>
          <w:lang w:val="pt-BR"/>
        </w:rPr>
        <w:t>zavr</w:t>
      </w:r>
      <w:r>
        <w:rPr>
          <w:sz w:val="22"/>
          <w:szCs w:val="22"/>
          <w:lang w:val="sr-Latn-CS"/>
        </w:rPr>
        <w:t>š</w:t>
      </w:r>
      <w:r>
        <w:rPr>
          <w:sz w:val="22"/>
          <w:szCs w:val="22"/>
          <w:lang w:val="pt-BR"/>
        </w:rPr>
        <w:t>etka</w:t>
      </w:r>
      <w:r>
        <w:rPr>
          <w:sz w:val="22"/>
          <w:szCs w:val="22"/>
          <w:lang w:val="sr-Latn-CS"/>
        </w:rPr>
        <w:t xml:space="preserve"> </w:t>
      </w:r>
      <w:r>
        <w:rPr>
          <w:sz w:val="22"/>
          <w:szCs w:val="22"/>
          <w:lang w:val="pt-BR"/>
        </w:rPr>
        <w:t>lije</w:t>
      </w:r>
      <w:r>
        <w:rPr>
          <w:sz w:val="22"/>
          <w:szCs w:val="22"/>
          <w:lang w:val="sr-Latn-CS"/>
        </w:rPr>
        <w:t>č</w:t>
      </w:r>
      <w:r>
        <w:rPr>
          <w:sz w:val="22"/>
          <w:szCs w:val="22"/>
          <w:lang w:val="pt-BR"/>
        </w:rPr>
        <w:t>enja</w:t>
      </w:r>
      <w:r>
        <w:rPr>
          <w:sz w:val="22"/>
          <w:szCs w:val="22"/>
          <w:lang w:val="sr-Latn-CS"/>
        </w:rPr>
        <w:t xml:space="preserve"> </w:t>
      </w:r>
      <w:r>
        <w:rPr>
          <w:sz w:val="22"/>
          <w:szCs w:val="22"/>
          <w:lang w:val="pt-BR"/>
        </w:rPr>
        <w:t>do</w:t>
      </w:r>
      <w:r>
        <w:rPr>
          <w:sz w:val="22"/>
          <w:szCs w:val="22"/>
          <w:lang w:val="sr-Latn-CS"/>
        </w:rPr>
        <w:t xml:space="preserve"> 24 </w:t>
      </w:r>
      <w:r>
        <w:rPr>
          <w:sz w:val="22"/>
          <w:szCs w:val="22"/>
          <w:lang w:val="pt-BR"/>
        </w:rPr>
        <w:t>mjeseca</w:t>
      </w:r>
      <w:r>
        <w:rPr>
          <w:sz w:val="22"/>
          <w:szCs w:val="22"/>
          <w:lang w:val="sr-Latn-CS"/>
        </w:rPr>
        <w:t xml:space="preserve"> </w:t>
      </w:r>
      <w:r>
        <w:rPr>
          <w:sz w:val="22"/>
          <w:szCs w:val="22"/>
          <w:lang w:val="pt-BR"/>
        </w:rPr>
        <w:t>od</w:t>
      </w:r>
      <w:r>
        <w:rPr>
          <w:sz w:val="22"/>
          <w:szCs w:val="22"/>
          <w:lang w:val="sr-Latn-CS"/>
        </w:rPr>
        <w:t xml:space="preserve"> </w:t>
      </w:r>
      <w:r>
        <w:rPr>
          <w:sz w:val="22"/>
          <w:szCs w:val="22"/>
          <w:lang w:val="pt-BR"/>
        </w:rPr>
        <w:t>posljednje</w:t>
      </w:r>
      <w:r>
        <w:rPr>
          <w:sz w:val="22"/>
          <w:szCs w:val="22"/>
          <w:lang w:val="sr-Latn-CS"/>
        </w:rPr>
        <w:t xml:space="preserve"> </w:t>
      </w:r>
      <w:r>
        <w:rPr>
          <w:sz w:val="22"/>
          <w:szCs w:val="22"/>
          <w:lang w:val="pt-BR"/>
        </w:rPr>
        <w:t>primjene</w:t>
      </w:r>
      <w:r>
        <w:rPr>
          <w:sz w:val="22"/>
          <w:szCs w:val="22"/>
          <w:lang w:val="sr-Latn-CS"/>
        </w:rPr>
        <w:t xml:space="preserve"> </w:t>
      </w:r>
      <w:r>
        <w:rPr>
          <w:sz w:val="22"/>
          <w:szCs w:val="22"/>
          <w:lang w:val="pt-BR"/>
        </w:rPr>
        <w:t>lijeka</w:t>
      </w:r>
      <w:r>
        <w:rPr>
          <w:sz w:val="22"/>
          <w:szCs w:val="22"/>
          <w:lang w:val="sr-Latn-CS"/>
        </w:rPr>
        <w:t xml:space="preserve"> </w:t>
      </w:r>
      <w:r>
        <w:rPr>
          <w:sz w:val="22"/>
          <w:szCs w:val="22"/>
          <w:lang w:val="pt-BR"/>
        </w:rPr>
        <w:t>Herceptin</w:t>
      </w:r>
      <w:r>
        <w:rPr>
          <w:sz w:val="22"/>
          <w:szCs w:val="22"/>
          <w:lang w:val="sr-Latn-CS"/>
        </w:rPr>
        <w:t xml:space="preserve">. </w:t>
      </w:r>
      <w:r>
        <w:rPr>
          <w:sz w:val="22"/>
          <w:szCs w:val="22"/>
          <w:lang w:val="pt-BR"/>
        </w:rPr>
        <w:t>Prije</w:t>
      </w:r>
      <w:r>
        <w:rPr>
          <w:sz w:val="22"/>
          <w:szCs w:val="22"/>
          <w:lang w:val="sr-Latn-CS"/>
        </w:rPr>
        <w:t xml:space="preserve"> </w:t>
      </w:r>
      <w:r>
        <w:rPr>
          <w:sz w:val="22"/>
          <w:szCs w:val="22"/>
          <w:lang w:val="pt-BR"/>
        </w:rPr>
        <w:t>odluke</w:t>
      </w:r>
      <w:r>
        <w:rPr>
          <w:sz w:val="22"/>
          <w:szCs w:val="22"/>
          <w:lang w:val="sr-Latn-CS"/>
        </w:rPr>
        <w:t xml:space="preserve"> </w:t>
      </w:r>
      <w:r>
        <w:rPr>
          <w:sz w:val="22"/>
          <w:szCs w:val="22"/>
          <w:lang w:val="pt-BR"/>
        </w:rPr>
        <w:t>da</w:t>
      </w:r>
      <w:r>
        <w:rPr>
          <w:sz w:val="22"/>
          <w:szCs w:val="22"/>
          <w:lang w:val="sr-Latn-CS"/>
        </w:rPr>
        <w:t xml:space="preserve"> </w:t>
      </w:r>
      <w:r>
        <w:rPr>
          <w:sz w:val="22"/>
          <w:szCs w:val="22"/>
          <w:lang w:val="pt-BR"/>
        </w:rPr>
        <w:t>se</w:t>
      </w:r>
      <w:r>
        <w:rPr>
          <w:sz w:val="22"/>
          <w:szCs w:val="22"/>
          <w:lang w:val="sr-Latn-CS"/>
        </w:rPr>
        <w:t xml:space="preserve"> </w:t>
      </w:r>
      <w:r>
        <w:rPr>
          <w:sz w:val="22"/>
          <w:szCs w:val="22"/>
          <w:lang w:val="pt-BR"/>
        </w:rPr>
        <w:t>uvede</w:t>
      </w:r>
      <w:r>
        <w:rPr>
          <w:sz w:val="22"/>
          <w:szCs w:val="22"/>
          <w:lang w:val="sr-Latn-CS"/>
        </w:rPr>
        <w:t xml:space="preserve"> </w:t>
      </w:r>
      <w:r>
        <w:rPr>
          <w:sz w:val="22"/>
          <w:szCs w:val="22"/>
          <w:lang w:val="pt-BR"/>
        </w:rPr>
        <w:t>lijek</w:t>
      </w:r>
      <w:r>
        <w:rPr>
          <w:sz w:val="22"/>
          <w:szCs w:val="22"/>
          <w:lang w:val="sr-Latn-CS"/>
        </w:rPr>
        <w:t xml:space="preserve"> </w:t>
      </w:r>
      <w:r>
        <w:rPr>
          <w:sz w:val="22"/>
          <w:szCs w:val="22"/>
          <w:lang w:val="pt-BR"/>
        </w:rPr>
        <w:t>Herceptin</w:t>
      </w:r>
      <w:r>
        <w:rPr>
          <w:sz w:val="22"/>
          <w:szCs w:val="22"/>
          <w:lang w:val="sr-Latn-CS"/>
        </w:rPr>
        <w:t xml:space="preserve"> </w:t>
      </w:r>
      <w:r>
        <w:rPr>
          <w:sz w:val="22"/>
          <w:szCs w:val="22"/>
          <w:lang w:val="pt-BR"/>
        </w:rPr>
        <w:t>treba</w:t>
      </w:r>
      <w:r>
        <w:rPr>
          <w:sz w:val="22"/>
          <w:szCs w:val="22"/>
          <w:lang w:val="sr-Latn-CS"/>
        </w:rPr>
        <w:t xml:space="preserve"> </w:t>
      </w:r>
      <w:r>
        <w:rPr>
          <w:sz w:val="22"/>
          <w:szCs w:val="22"/>
          <w:lang w:val="pt-BR"/>
        </w:rPr>
        <w:t>pa</w:t>
      </w:r>
      <w:r>
        <w:rPr>
          <w:sz w:val="22"/>
          <w:szCs w:val="22"/>
          <w:lang w:val="sr-Latn-CS"/>
        </w:rPr>
        <w:t>ž</w:t>
      </w:r>
      <w:r>
        <w:rPr>
          <w:sz w:val="22"/>
          <w:szCs w:val="22"/>
          <w:lang w:val="pt-BR"/>
        </w:rPr>
        <w:t>ljivo</w:t>
      </w:r>
      <w:r>
        <w:rPr>
          <w:sz w:val="22"/>
          <w:szCs w:val="22"/>
          <w:lang w:val="sr-Latn-CS"/>
        </w:rPr>
        <w:t xml:space="preserve"> </w:t>
      </w:r>
      <w:r>
        <w:rPr>
          <w:sz w:val="22"/>
          <w:szCs w:val="22"/>
          <w:lang w:val="pt-BR"/>
        </w:rPr>
        <w:t>izvr</w:t>
      </w:r>
      <w:r>
        <w:rPr>
          <w:sz w:val="22"/>
          <w:szCs w:val="22"/>
          <w:lang w:val="sr-Latn-CS"/>
        </w:rPr>
        <w:t>š</w:t>
      </w:r>
      <w:r>
        <w:rPr>
          <w:sz w:val="22"/>
          <w:szCs w:val="22"/>
          <w:lang w:val="pt-BR"/>
        </w:rPr>
        <w:t>iti</w:t>
      </w:r>
      <w:r>
        <w:rPr>
          <w:sz w:val="22"/>
          <w:szCs w:val="22"/>
          <w:lang w:val="sr-Latn-CS"/>
        </w:rPr>
        <w:t xml:space="preserve"> </w:t>
      </w:r>
      <w:r>
        <w:rPr>
          <w:sz w:val="22"/>
          <w:szCs w:val="22"/>
          <w:lang w:val="pt-BR"/>
        </w:rPr>
        <w:t>analizu</w:t>
      </w:r>
      <w:r>
        <w:rPr>
          <w:sz w:val="22"/>
          <w:szCs w:val="22"/>
          <w:lang w:val="sr-Latn-CS"/>
        </w:rPr>
        <w:t xml:space="preserve"> </w:t>
      </w:r>
      <w:r>
        <w:rPr>
          <w:sz w:val="22"/>
          <w:szCs w:val="22"/>
          <w:lang w:val="pt-BR"/>
        </w:rPr>
        <w:t>koristi</w:t>
      </w:r>
      <w:r>
        <w:rPr>
          <w:sz w:val="22"/>
          <w:szCs w:val="22"/>
          <w:lang w:val="sr-Latn-CS"/>
        </w:rPr>
        <w:t xml:space="preserve"> </w:t>
      </w:r>
      <w:r>
        <w:rPr>
          <w:sz w:val="22"/>
          <w:szCs w:val="22"/>
          <w:lang w:val="pt-BR"/>
        </w:rPr>
        <w:t>i</w:t>
      </w:r>
      <w:r>
        <w:rPr>
          <w:sz w:val="22"/>
          <w:szCs w:val="22"/>
          <w:lang w:val="sr-Latn-CS"/>
        </w:rPr>
        <w:t xml:space="preserve"> </w:t>
      </w:r>
      <w:r>
        <w:rPr>
          <w:sz w:val="22"/>
          <w:szCs w:val="22"/>
          <w:lang w:val="pt-BR"/>
        </w:rPr>
        <w:t>rizika</w:t>
      </w:r>
      <w:r>
        <w:rPr>
          <w:sz w:val="22"/>
          <w:szCs w:val="22"/>
          <w:lang w:val="sr-Latn-CS"/>
        </w:rPr>
        <w:t xml:space="preserve">. </w:t>
      </w:r>
    </w:p>
    <w:p w14:paraId="2CB8A8F3" w14:textId="77777777" w:rsidR="00B05AA9" w:rsidRDefault="00B05AA9" w:rsidP="00641EEB">
      <w:pPr>
        <w:jc w:val="both"/>
        <w:rPr>
          <w:sz w:val="22"/>
          <w:szCs w:val="22"/>
          <w:lang w:val="sr-Latn-CS"/>
        </w:rPr>
      </w:pPr>
    </w:p>
    <w:p w14:paraId="433638AC" w14:textId="77777777" w:rsidR="00B05AA9" w:rsidRDefault="00B05AA9" w:rsidP="00641EEB">
      <w:pPr>
        <w:jc w:val="both"/>
        <w:rPr>
          <w:sz w:val="22"/>
          <w:szCs w:val="22"/>
          <w:lang w:val="sr-Latn-CS"/>
        </w:rPr>
      </w:pPr>
      <w:r>
        <w:rPr>
          <w:sz w:val="22"/>
          <w:szCs w:val="22"/>
          <w:lang w:val="pt-BR"/>
        </w:rPr>
        <w:t>Na</w:t>
      </w:r>
      <w:r>
        <w:rPr>
          <w:sz w:val="22"/>
          <w:szCs w:val="22"/>
          <w:lang w:val="sr-Latn-CS"/>
        </w:rPr>
        <w:t xml:space="preserve"> </w:t>
      </w:r>
      <w:r>
        <w:rPr>
          <w:sz w:val="22"/>
          <w:szCs w:val="22"/>
          <w:lang w:val="pt-BR"/>
        </w:rPr>
        <w:t>osnovu</w:t>
      </w:r>
      <w:r>
        <w:rPr>
          <w:sz w:val="22"/>
          <w:szCs w:val="22"/>
          <w:lang w:val="sr-Latn-CS"/>
        </w:rPr>
        <w:t xml:space="preserve">  </w:t>
      </w:r>
      <w:r>
        <w:rPr>
          <w:sz w:val="22"/>
          <w:szCs w:val="22"/>
          <w:lang w:val="pt-BR"/>
        </w:rPr>
        <w:t>populacijske</w:t>
      </w:r>
      <w:r>
        <w:rPr>
          <w:sz w:val="22"/>
          <w:szCs w:val="22"/>
          <w:lang w:val="sr-Latn-CS"/>
        </w:rPr>
        <w:t xml:space="preserve"> </w:t>
      </w:r>
      <w:r>
        <w:rPr>
          <w:sz w:val="22"/>
          <w:szCs w:val="22"/>
          <w:lang w:val="pt-BR"/>
        </w:rPr>
        <w:t>farmakokineti</w:t>
      </w:r>
      <w:r>
        <w:rPr>
          <w:sz w:val="22"/>
          <w:szCs w:val="22"/>
          <w:lang w:val="sr-Latn-CS"/>
        </w:rPr>
        <w:t>č</w:t>
      </w:r>
      <w:r>
        <w:rPr>
          <w:sz w:val="22"/>
          <w:szCs w:val="22"/>
          <w:lang w:val="pt-BR"/>
        </w:rPr>
        <w:t>ke</w:t>
      </w:r>
      <w:r>
        <w:rPr>
          <w:sz w:val="22"/>
          <w:szCs w:val="22"/>
          <w:lang w:val="sr-Latn-CS"/>
        </w:rPr>
        <w:t xml:space="preserve"> </w:t>
      </w:r>
      <w:r>
        <w:rPr>
          <w:sz w:val="22"/>
          <w:szCs w:val="22"/>
          <w:lang w:val="pt-BR"/>
        </w:rPr>
        <w:t>analize</w:t>
      </w:r>
      <w:r>
        <w:rPr>
          <w:sz w:val="22"/>
          <w:szCs w:val="22"/>
          <w:lang w:val="sr-Latn-CS"/>
        </w:rPr>
        <w:t xml:space="preserve"> </w:t>
      </w:r>
      <w:r>
        <w:rPr>
          <w:sz w:val="22"/>
          <w:szCs w:val="22"/>
          <w:lang w:val="pt-BR"/>
        </w:rPr>
        <w:t>svih</w:t>
      </w:r>
      <w:r>
        <w:rPr>
          <w:sz w:val="22"/>
          <w:szCs w:val="22"/>
          <w:lang w:val="sr-Latn-CS"/>
        </w:rPr>
        <w:t xml:space="preserve"> </w:t>
      </w:r>
      <w:r>
        <w:rPr>
          <w:sz w:val="22"/>
          <w:szCs w:val="22"/>
          <w:lang w:val="pt-BR"/>
        </w:rPr>
        <w:t>dostupnih</w:t>
      </w:r>
      <w:r>
        <w:rPr>
          <w:sz w:val="22"/>
          <w:szCs w:val="22"/>
          <w:lang w:val="sr-Latn-CS"/>
        </w:rPr>
        <w:t xml:space="preserve"> </w:t>
      </w:r>
      <w:r>
        <w:rPr>
          <w:sz w:val="22"/>
          <w:szCs w:val="22"/>
          <w:lang w:val="pt-BR"/>
        </w:rPr>
        <w:t>podataka</w:t>
      </w:r>
      <w:r>
        <w:rPr>
          <w:sz w:val="22"/>
          <w:szCs w:val="22"/>
          <w:lang w:val="sr-Latn-CS"/>
        </w:rPr>
        <w:t xml:space="preserve"> (</w:t>
      </w:r>
      <w:r>
        <w:rPr>
          <w:sz w:val="22"/>
          <w:szCs w:val="22"/>
          <w:lang w:val="pt-BR"/>
        </w:rPr>
        <w:t>vidjeti</w:t>
      </w:r>
      <w:r>
        <w:rPr>
          <w:sz w:val="22"/>
          <w:szCs w:val="22"/>
          <w:lang w:val="sr-Latn-CS"/>
        </w:rPr>
        <w:t xml:space="preserve"> </w:t>
      </w:r>
      <w:r>
        <w:rPr>
          <w:sz w:val="22"/>
          <w:szCs w:val="22"/>
          <w:lang w:val="pt-BR"/>
        </w:rPr>
        <w:t>dio</w:t>
      </w:r>
      <w:r>
        <w:rPr>
          <w:sz w:val="22"/>
          <w:szCs w:val="22"/>
          <w:lang w:val="sr-Latn-CS"/>
        </w:rPr>
        <w:t xml:space="preserve"> 5.2), </w:t>
      </w:r>
      <w:r>
        <w:rPr>
          <w:sz w:val="22"/>
          <w:szCs w:val="22"/>
          <w:lang w:val="pt-BR"/>
        </w:rPr>
        <w:t>trastuzumab</w:t>
      </w:r>
      <w:r>
        <w:rPr>
          <w:sz w:val="22"/>
          <w:szCs w:val="22"/>
          <w:lang w:val="sr-Latn-CS"/>
        </w:rPr>
        <w:t xml:space="preserve"> </w:t>
      </w:r>
      <w:r>
        <w:rPr>
          <w:sz w:val="22"/>
          <w:szCs w:val="22"/>
          <w:lang w:val="pt-BR"/>
        </w:rPr>
        <w:t>se</w:t>
      </w:r>
      <w:r>
        <w:rPr>
          <w:sz w:val="22"/>
          <w:szCs w:val="22"/>
          <w:lang w:val="sr-Latn-CS"/>
        </w:rPr>
        <w:t xml:space="preserve"> </w:t>
      </w:r>
      <w:r>
        <w:rPr>
          <w:sz w:val="22"/>
          <w:szCs w:val="22"/>
          <w:lang w:val="pt-BR"/>
        </w:rPr>
        <w:t>mo</w:t>
      </w:r>
      <w:r>
        <w:rPr>
          <w:sz w:val="22"/>
          <w:szCs w:val="22"/>
          <w:lang w:val="sr-Latn-CS"/>
        </w:rPr>
        <w:t>ž</w:t>
      </w:r>
      <w:r>
        <w:rPr>
          <w:sz w:val="22"/>
          <w:szCs w:val="22"/>
          <w:lang w:val="pt-BR"/>
        </w:rPr>
        <w:t>e</w:t>
      </w:r>
      <w:r>
        <w:rPr>
          <w:sz w:val="22"/>
          <w:szCs w:val="22"/>
          <w:lang w:val="sr-Latn-CS"/>
        </w:rPr>
        <w:t xml:space="preserve"> </w:t>
      </w:r>
      <w:r>
        <w:rPr>
          <w:sz w:val="22"/>
          <w:szCs w:val="22"/>
          <w:lang w:val="pt-BR"/>
        </w:rPr>
        <w:t>nalaziti</w:t>
      </w:r>
      <w:r>
        <w:rPr>
          <w:sz w:val="22"/>
          <w:szCs w:val="22"/>
          <w:lang w:val="sr-Latn-CS"/>
        </w:rPr>
        <w:t xml:space="preserve"> </w:t>
      </w:r>
      <w:r>
        <w:rPr>
          <w:sz w:val="22"/>
          <w:szCs w:val="22"/>
          <w:lang w:val="pt-BR"/>
        </w:rPr>
        <w:t>u</w:t>
      </w:r>
      <w:r>
        <w:rPr>
          <w:sz w:val="22"/>
          <w:szCs w:val="22"/>
          <w:lang w:val="sr-Latn-CS"/>
        </w:rPr>
        <w:t xml:space="preserve"> </w:t>
      </w:r>
      <w:r>
        <w:rPr>
          <w:sz w:val="22"/>
          <w:szCs w:val="22"/>
          <w:lang w:val="pt-BR"/>
        </w:rPr>
        <w:t>cirkulaciji</w:t>
      </w:r>
      <w:r>
        <w:rPr>
          <w:sz w:val="22"/>
          <w:szCs w:val="22"/>
          <w:lang w:val="sr-Latn-CS"/>
        </w:rPr>
        <w:t xml:space="preserve"> </w:t>
      </w:r>
      <w:r>
        <w:rPr>
          <w:sz w:val="22"/>
          <w:szCs w:val="22"/>
          <w:lang w:val="pt-BR"/>
        </w:rPr>
        <w:t>i</w:t>
      </w:r>
      <w:r>
        <w:rPr>
          <w:sz w:val="22"/>
          <w:szCs w:val="22"/>
          <w:lang w:val="sr-Latn-CS"/>
        </w:rPr>
        <w:t xml:space="preserve"> </w:t>
      </w:r>
      <w:r>
        <w:rPr>
          <w:sz w:val="22"/>
          <w:szCs w:val="22"/>
          <w:lang w:val="pt-BR"/>
        </w:rPr>
        <w:t>do</w:t>
      </w:r>
      <w:r>
        <w:rPr>
          <w:sz w:val="22"/>
          <w:szCs w:val="22"/>
          <w:lang w:val="sr-Latn-CS"/>
        </w:rPr>
        <w:t xml:space="preserve"> 7 </w:t>
      </w:r>
      <w:r>
        <w:rPr>
          <w:sz w:val="22"/>
          <w:szCs w:val="22"/>
          <w:lang w:val="pt-BR"/>
        </w:rPr>
        <w:t>mjeseci</w:t>
      </w:r>
      <w:r>
        <w:rPr>
          <w:sz w:val="22"/>
          <w:szCs w:val="22"/>
          <w:lang w:val="sr-Latn-CS"/>
        </w:rPr>
        <w:t xml:space="preserve"> </w:t>
      </w:r>
      <w:r>
        <w:rPr>
          <w:sz w:val="22"/>
          <w:szCs w:val="22"/>
          <w:lang w:val="pt-BR"/>
        </w:rPr>
        <w:t>nakon</w:t>
      </w:r>
      <w:r>
        <w:rPr>
          <w:sz w:val="22"/>
          <w:szCs w:val="22"/>
          <w:lang w:val="sr-Latn-CS"/>
        </w:rPr>
        <w:t xml:space="preserve"> </w:t>
      </w:r>
      <w:r>
        <w:rPr>
          <w:sz w:val="22"/>
          <w:szCs w:val="22"/>
          <w:lang w:val="pt-BR"/>
        </w:rPr>
        <w:t>prestanka</w:t>
      </w:r>
      <w:r>
        <w:rPr>
          <w:sz w:val="22"/>
          <w:szCs w:val="22"/>
          <w:lang w:val="sr-Latn-CS"/>
        </w:rPr>
        <w:t xml:space="preserve"> </w:t>
      </w:r>
      <w:r>
        <w:rPr>
          <w:sz w:val="22"/>
          <w:szCs w:val="22"/>
          <w:lang w:val="pt-BR"/>
        </w:rPr>
        <w:t>lije</w:t>
      </w:r>
      <w:r>
        <w:rPr>
          <w:sz w:val="22"/>
          <w:szCs w:val="22"/>
          <w:lang w:val="sr-Latn-CS"/>
        </w:rPr>
        <w:t>č</w:t>
      </w:r>
      <w:r>
        <w:rPr>
          <w:sz w:val="22"/>
          <w:szCs w:val="22"/>
          <w:lang w:val="pt-BR"/>
        </w:rPr>
        <w:t>enja</w:t>
      </w:r>
      <w:r>
        <w:rPr>
          <w:sz w:val="22"/>
          <w:szCs w:val="22"/>
          <w:lang w:val="sr-Latn-CS"/>
        </w:rPr>
        <w:t xml:space="preserve">. </w:t>
      </w:r>
      <w:r>
        <w:rPr>
          <w:sz w:val="22"/>
          <w:szCs w:val="22"/>
          <w:lang w:val="pt-BR"/>
        </w:rPr>
        <w:t>Kod</w:t>
      </w:r>
      <w:r>
        <w:rPr>
          <w:sz w:val="22"/>
          <w:szCs w:val="22"/>
          <w:lang w:val="sr-Latn-CS"/>
        </w:rPr>
        <w:t xml:space="preserve"> </w:t>
      </w:r>
      <w:r>
        <w:rPr>
          <w:sz w:val="22"/>
          <w:szCs w:val="22"/>
          <w:lang w:val="pt-BR"/>
        </w:rPr>
        <w:t>pacijenata</w:t>
      </w:r>
      <w:r>
        <w:rPr>
          <w:sz w:val="22"/>
          <w:szCs w:val="22"/>
          <w:lang w:val="sr-Latn-CS"/>
        </w:rPr>
        <w:t xml:space="preserve"> </w:t>
      </w:r>
      <w:r>
        <w:rPr>
          <w:sz w:val="22"/>
          <w:szCs w:val="22"/>
          <w:lang w:val="pt-BR"/>
        </w:rPr>
        <w:t>koji</w:t>
      </w:r>
      <w:r>
        <w:rPr>
          <w:sz w:val="22"/>
          <w:szCs w:val="22"/>
          <w:lang w:val="sr-Latn-CS"/>
        </w:rPr>
        <w:t xml:space="preserve"> </w:t>
      </w:r>
      <w:r>
        <w:rPr>
          <w:sz w:val="22"/>
          <w:szCs w:val="22"/>
          <w:lang w:val="pt-BR"/>
        </w:rPr>
        <w:t>nakon</w:t>
      </w:r>
      <w:r>
        <w:rPr>
          <w:sz w:val="22"/>
          <w:szCs w:val="22"/>
          <w:lang w:val="sr-Latn-CS"/>
        </w:rPr>
        <w:t xml:space="preserve"> </w:t>
      </w:r>
      <w:r>
        <w:rPr>
          <w:sz w:val="22"/>
          <w:szCs w:val="22"/>
          <w:lang w:val="pt-BR"/>
        </w:rPr>
        <w:t>prestanka</w:t>
      </w:r>
      <w:r>
        <w:rPr>
          <w:sz w:val="22"/>
          <w:szCs w:val="22"/>
          <w:lang w:val="sr-Latn-CS"/>
        </w:rPr>
        <w:t xml:space="preserve"> </w:t>
      </w:r>
      <w:r>
        <w:rPr>
          <w:sz w:val="22"/>
          <w:szCs w:val="22"/>
          <w:lang w:val="pt-BR"/>
        </w:rPr>
        <w:t>lije</w:t>
      </w:r>
      <w:r>
        <w:rPr>
          <w:sz w:val="22"/>
          <w:szCs w:val="22"/>
          <w:lang w:val="sr-Latn-CS"/>
        </w:rPr>
        <w:t>č</w:t>
      </w:r>
      <w:r>
        <w:rPr>
          <w:sz w:val="22"/>
          <w:szCs w:val="22"/>
          <w:lang w:val="pt-BR"/>
        </w:rPr>
        <w:t>enja</w:t>
      </w:r>
      <w:r>
        <w:rPr>
          <w:sz w:val="22"/>
          <w:szCs w:val="22"/>
          <w:lang w:val="sr-Latn-CS"/>
        </w:rPr>
        <w:t xml:space="preserve"> </w:t>
      </w:r>
      <w:r>
        <w:rPr>
          <w:sz w:val="22"/>
          <w:szCs w:val="22"/>
          <w:lang w:val="pt-BR"/>
        </w:rPr>
        <w:t>lijekom</w:t>
      </w:r>
      <w:r>
        <w:rPr>
          <w:sz w:val="22"/>
          <w:szCs w:val="22"/>
          <w:lang w:val="sr-Latn-CS"/>
        </w:rPr>
        <w:t xml:space="preserve"> </w:t>
      </w:r>
      <w:r>
        <w:rPr>
          <w:sz w:val="22"/>
          <w:szCs w:val="22"/>
          <w:lang w:val="pt-BR"/>
        </w:rPr>
        <w:t>Herceptin</w:t>
      </w:r>
      <w:r>
        <w:rPr>
          <w:sz w:val="22"/>
          <w:szCs w:val="22"/>
          <w:lang w:val="sr-Latn-CS"/>
        </w:rPr>
        <w:t xml:space="preserve"> </w:t>
      </w:r>
      <w:r>
        <w:rPr>
          <w:sz w:val="22"/>
          <w:szCs w:val="22"/>
          <w:lang w:val="pt-BR"/>
        </w:rPr>
        <w:t>po</w:t>
      </w:r>
      <w:r>
        <w:rPr>
          <w:sz w:val="22"/>
          <w:szCs w:val="22"/>
          <w:lang w:val="sr-Latn-CS"/>
        </w:rPr>
        <w:t>č</w:t>
      </w:r>
      <w:r>
        <w:rPr>
          <w:sz w:val="22"/>
          <w:szCs w:val="22"/>
          <w:lang w:val="pt-BR"/>
        </w:rPr>
        <w:t>nu</w:t>
      </w:r>
      <w:r>
        <w:rPr>
          <w:sz w:val="22"/>
          <w:szCs w:val="22"/>
          <w:lang w:val="sr-Latn-CS"/>
        </w:rPr>
        <w:t xml:space="preserve"> </w:t>
      </w:r>
      <w:r>
        <w:rPr>
          <w:sz w:val="22"/>
          <w:szCs w:val="22"/>
          <w:lang w:val="pt-BR"/>
        </w:rPr>
        <w:t>uzimati</w:t>
      </w:r>
      <w:r>
        <w:rPr>
          <w:sz w:val="22"/>
          <w:szCs w:val="22"/>
          <w:lang w:val="sr-Latn-CS"/>
        </w:rPr>
        <w:t xml:space="preserve"> </w:t>
      </w:r>
      <w:r>
        <w:rPr>
          <w:sz w:val="22"/>
          <w:szCs w:val="22"/>
          <w:lang w:val="pt-BR"/>
        </w:rPr>
        <w:t>antracikline</w:t>
      </w:r>
      <w:r>
        <w:rPr>
          <w:sz w:val="22"/>
          <w:szCs w:val="22"/>
          <w:lang w:val="sr-Latn-CS"/>
        </w:rPr>
        <w:t xml:space="preserve"> </w:t>
      </w:r>
      <w:r>
        <w:rPr>
          <w:sz w:val="22"/>
          <w:szCs w:val="22"/>
          <w:lang w:val="pt-BR"/>
        </w:rPr>
        <w:t>postoji</w:t>
      </w:r>
      <w:r>
        <w:rPr>
          <w:sz w:val="22"/>
          <w:szCs w:val="22"/>
          <w:lang w:val="sr-Latn-CS"/>
        </w:rPr>
        <w:t xml:space="preserve"> </w:t>
      </w:r>
      <w:r>
        <w:rPr>
          <w:sz w:val="22"/>
          <w:szCs w:val="22"/>
          <w:lang w:val="pt-BR"/>
        </w:rPr>
        <w:t>pove</w:t>
      </w:r>
      <w:r>
        <w:rPr>
          <w:sz w:val="22"/>
          <w:szCs w:val="22"/>
          <w:lang w:val="sr-Latn-CS"/>
        </w:rPr>
        <w:t>ć</w:t>
      </w:r>
      <w:r>
        <w:rPr>
          <w:sz w:val="22"/>
          <w:szCs w:val="22"/>
          <w:lang w:val="pt-BR"/>
        </w:rPr>
        <w:t>an</w:t>
      </w:r>
      <w:r>
        <w:rPr>
          <w:sz w:val="22"/>
          <w:szCs w:val="22"/>
          <w:lang w:val="sr-Latn-CS"/>
        </w:rPr>
        <w:t xml:space="preserve"> </w:t>
      </w:r>
      <w:r>
        <w:rPr>
          <w:sz w:val="22"/>
          <w:szCs w:val="22"/>
          <w:lang w:val="pt-BR"/>
        </w:rPr>
        <w:t>rizik</w:t>
      </w:r>
      <w:r>
        <w:rPr>
          <w:sz w:val="22"/>
          <w:szCs w:val="22"/>
          <w:lang w:val="sr-Latn-CS"/>
        </w:rPr>
        <w:t xml:space="preserve"> </w:t>
      </w:r>
      <w:r>
        <w:rPr>
          <w:sz w:val="22"/>
          <w:szCs w:val="22"/>
          <w:lang w:val="pt-BR"/>
        </w:rPr>
        <w:t>od</w:t>
      </w:r>
      <w:r>
        <w:rPr>
          <w:sz w:val="22"/>
          <w:szCs w:val="22"/>
          <w:lang w:val="sr-Latn-CS"/>
        </w:rPr>
        <w:t xml:space="preserve"> </w:t>
      </w:r>
      <w:r>
        <w:rPr>
          <w:sz w:val="22"/>
          <w:szCs w:val="22"/>
          <w:lang w:val="pt-BR"/>
        </w:rPr>
        <w:t>kardiotoksi</w:t>
      </w:r>
      <w:r>
        <w:rPr>
          <w:sz w:val="22"/>
          <w:szCs w:val="22"/>
          <w:lang w:val="sr-Latn-CS"/>
        </w:rPr>
        <w:t>č</w:t>
      </w:r>
      <w:r>
        <w:rPr>
          <w:sz w:val="22"/>
          <w:szCs w:val="22"/>
          <w:lang w:val="pt-BR"/>
        </w:rPr>
        <w:t>nosti</w:t>
      </w:r>
      <w:r>
        <w:rPr>
          <w:sz w:val="22"/>
          <w:szCs w:val="22"/>
          <w:lang w:val="sr-Latn-CS"/>
        </w:rPr>
        <w:t xml:space="preserve">. </w:t>
      </w:r>
      <w:r>
        <w:rPr>
          <w:sz w:val="22"/>
          <w:szCs w:val="22"/>
          <w:lang w:val="pt-BR"/>
        </w:rPr>
        <w:t>Ako</w:t>
      </w:r>
      <w:r>
        <w:rPr>
          <w:sz w:val="22"/>
          <w:szCs w:val="22"/>
          <w:lang w:val="sr-Latn-CS"/>
        </w:rPr>
        <w:t xml:space="preserve"> </w:t>
      </w:r>
      <w:r>
        <w:rPr>
          <w:sz w:val="22"/>
          <w:szCs w:val="22"/>
          <w:lang w:val="pt-BR"/>
        </w:rPr>
        <w:t>je</w:t>
      </w:r>
      <w:r>
        <w:rPr>
          <w:sz w:val="22"/>
          <w:szCs w:val="22"/>
          <w:lang w:val="sr-Latn-CS"/>
        </w:rPr>
        <w:t xml:space="preserve"> </w:t>
      </w:r>
      <w:r>
        <w:rPr>
          <w:sz w:val="22"/>
          <w:szCs w:val="22"/>
          <w:lang w:val="pt-BR"/>
        </w:rPr>
        <w:t>mogu</w:t>
      </w:r>
      <w:r>
        <w:rPr>
          <w:sz w:val="22"/>
          <w:szCs w:val="22"/>
          <w:lang w:val="sr-Latn-CS"/>
        </w:rPr>
        <w:t>ć</w:t>
      </w:r>
      <w:r>
        <w:rPr>
          <w:sz w:val="22"/>
          <w:szCs w:val="22"/>
          <w:lang w:val="pt-BR"/>
        </w:rPr>
        <w:t>e</w:t>
      </w:r>
      <w:r>
        <w:rPr>
          <w:sz w:val="22"/>
          <w:szCs w:val="22"/>
          <w:lang w:val="sr-Latn-CS"/>
        </w:rPr>
        <w:t xml:space="preserve">, </w:t>
      </w:r>
      <w:r>
        <w:rPr>
          <w:sz w:val="22"/>
          <w:szCs w:val="22"/>
          <w:lang w:val="pt-BR"/>
        </w:rPr>
        <w:t>ljekari</w:t>
      </w:r>
      <w:r>
        <w:rPr>
          <w:sz w:val="22"/>
          <w:szCs w:val="22"/>
          <w:lang w:val="sr-Latn-CS"/>
        </w:rPr>
        <w:t xml:space="preserve"> </w:t>
      </w:r>
      <w:r>
        <w:rPr>
          <w:sz w:val="22"/>
          <w:szCs w:val="22"/>
          <w:lang w:val="pt-BR"/>
        </w:rPr>
        <w:t>bi</w:t>
      </w:r>
      <w:r>
        <w:rPr>
          <w:sz w:val="22"/>
          <w:szCs w:val="22"/>
          <w:lang w:val="sr-Latn-CS"/>
        </w:rPr>
        <w:t xml:space="preserve"> </w:t>
      </w:r>
      <w:r>
        <w:rPr>
          <w:sz w:val="22"/>
          <w:szCs w:val="22"/>
          <w:lang w:val="pt-BR"/>
        </w:rPr>
        <w:t>trebalo</w:t>
      </w:r>
      <w:r>
        <w:rPr>
          <w:sz w:val="22"/>
          <w:szCs w:val="22"/>
          <w:lang w:val="sr-Latn-CS"/>
        </w:rPr>
        <w:t xml:space="preserve"> </w:t>
      </w:r>
      <w:r>
        <w:rPr>
          <w:sz w:val="22"/>
          <w:szCs w:val="22"/>
          <w:lang w:val="pt-BR"/>
        </w:rPr>
        <w:t>da</w:t>
      </w:r>
      <w:r>
        <w:rPr>
          <w:sz w:val="22"/>
          <w:szCs w:val="22"/>
          <w:lang w:val="sr-Latn-CS"/>
        </w:rPr>
        <w:t xml:space="preserve"> </w:t>
      </w:r>
      <w:r>
        <w:rPr>
          <w:sz w:val="22"/>
          <w:szCs w:val="22"/>
          <w:lang w:val="pt-BR"/>
        </w:rPr>
        <w:t>izbjegavaju</w:t>
      </w:r>
      <w:r>
        <w:rPr>
          <w:sz w:val="22"/>
          <w:szCs w:val="22"/>
          <w:lang w:val="sr-Latn-CS"/>
        </w:rPr>
        <w:t xml:space="preserve"> </w:t>
      </w:r>
      <w:r>
        <w:rPr>
          <w:sz w:val="22"/>
          <w:szCs w:val="22"/>
          <w:lang w:val="pt-BR"/>
        </w:rPr>
        <w:t>terapiju</w:t>
      </w:r>
      <w:r>
        <w:rPr>
          <w:sz w:val="22"/>
          <w:szCs w:val="22"/>
          <w:lang w:val="sr-Latn-CS"/>
        </w:rPr>
        <w:t xml:space="preserve"> </w:t>
      </w:r>
      <w:r>
        <w:rPr>
          <w:sz w:val="22"/>
          <w:szCs w:val="22"/>
          <w:lang w:val="pt-BR"/>
        </w:rPr>
        <w:t>antraciklinima</w:t>
      </w:r>
      <w:r>
        <w:rPr>
          <w:sz w:val="22"/>
          <w:szCs w:val="22"/>
          <w:lang w:val="sr-Latn-CS"/>
        </w:rPr>
        <w:t xml:space="preserve"> </w:t>
      </w:r>
      <w:r>
        <w:rPr>
          <w:sz w:val="22"/>
          <w:szCs w:val="22"/>
          <w:lang w:val="pt-BR"/>
        </w:rPr>
        <w:t>do</w:t>
      </w:r>
      <w:r>
        <w:rPr>
          <w:sz w:val="22"/>
          <w:szCs w:val="22"/>
          <w:lang w:val="sr-Latn-CS"/>
        </w:rPr>
        <w:t xml:space="preserve"> 7 </w:t>
      </w:r>
      <w:r>
        <w:rPr>
          <w:sz w:val="22"/>
          <w:szCs w:val="22"/>
          <w:lang w:val="pt-BR"/>
        </w:rPr>
        <w:t>mjeseci</w:t>
      </w:r>
      <w:r>
        <w:rPr>
          <w:sz w:val="22"/>
          <w:szCs w:val="22"/>
          <w:lang w:val="sr-Latn-CS"/>
        </w:rPr>
        <w:t xml:space="preserve"> </w:t>
      </w:r>
      <w:r>
        <w:rPr>
          <w:sz w:val="22"/>
          <w:szCs w:val="22"/>
          <w:lang w:val="pt-BR"/>
        </w:rPr>
        <w:t>nakon</w:t>
      </w:r>
      <w:r>
        <w:rPr>
          <w:sz w:val="22"/>
          <w:szCs w:val="22"/>
          <w:lang w:val="sr-Latn-CS"/>
        </w:rPr>
        <w:t xml:space="preserve"> </w:t>
      </w:r>
      <w:r>
        <w:rPr>
          <w:sz w:val="22"/>
          <w:szCs w:val="22"/>
          <w:lang w:val="pt-BR"/>
        </w:rPr>
        <w:t>prestanka</w:t>
      </w:r>
      <w:r>
        <w:rPr>
          <w:sz w:val="22"/>
          <w:szCs w:val="22"/>
          <w:lang w:val="sr-Latn-CS"/>
        </w:rPr>
        <w:t xml:space="preserve"> </w:t>
      </w:r>
      <w:r>
        <w:rPr>
          <w:sz w:val="22"/>
          <w:szCs w:val="22"/>
          <w:lang w:val="pt-BR"/>
        </w:rPr>
        <w:t>primjene</w:t>
      </w:r>
      <w:r>
        <w:rPr>
          <w:sz w:val="22"/>
          <w:szCs w:val="22"/>
          <w:lang w:val="sr-Latn-CS"/>
        </w:rPr>
        <w:t xml:space="preserve"> </w:t>
      </w:r>
      <w:r>
        <w:rPr>
          <w:sz w:val="22"/>
          <w:szCs w:val="22"/>
          <w:lang w:val="pt-BR"/>
        </w:rPr>
        <w:t>lijeka</w:t>
      </w:r>
      <w:r>
        <w:rPr>
          <w:sz w:val="22"/>
          <w:szCs w:val="22"/>
          <w:lang w:val="sr-Latn-CS"/>
        </w:rPr>
        <w:t xml:space="preserve">  </w:t>
      </w:r>
      <w:r>
        <w:rPr>
          <w:sz w:val="22"/>
          <w:szCs w:val="22"/>
          <w:lang w:val="pt-BR"/>
        </w:rPr>
        <w:t>Herceptin</w:t>
      </w:r>
      <w:r>
        <w:rPr>
          <w:sz w:val="22"/>
          <w:szCs w:val="22"/>
          <w:lang w:val="sr-Latn-CS"/>
        </w:rPr>
        <w:t xml:space="preserve">. </w:t>
      </w:r>
      <w:r>
        <w:rPr>
          <w:sz w:val="22"/>
          <w:szCs w:val="22"/>
          <w:lang w:val="pt-BR"/>
        </w:rPr>
        <w:t>Ako</w:t>
      </w:r>
      <w:r>
        <w:rPr>
          <w:sz w:val="22"/>
          <w:szCs w:val="22"/>
          <w:lang w:val="sr-Latn-CS"/>
        </w:rPr>
        <w:t xml:space="preserve"> </w:t>
      </w:r>
      <w:r>
        <w:rPr>
          <w:sz w:val="22"/>
          <w:szCs w:val="22"/>
          <w:lang w:val="pt-BR"/>
        </w:rPr>
        <w:t>se</w:t>
      </w:r>
      <w:r>
        <w:rPr>
          <w:sz w:val="22"/>
          <w:szCs w:val="22"/>
          <w:lang w:val="sr-Latn-CS"/>
        </w:rPr>
        <w:t xml:space="preserve"> </w:t>
      </w:r>
      <w:r>
        <w:rPr>
          <w:sz w:val="22"/>
          <w:szCs w:val="22"/>
          <w:lang w:val="pt-BR"/>
        </w:rPr>
        <w:t>antraciklini</w:t>
      </w:r>
      <w:r>
        <w:rPr>
          <w:sz w:val="22"/>
          <w:szCs w:val="22"/>
          <w:lang w:val="sr-Latn-CS"/>
        </w:rPr>
        <w:t xml:space="preserve"> </w:t>
      </w:r>
      <w:r>
        <w:rPr>
          <w:sz w:val="22"/>
          <w:szCs w:val="22"/>
          <w:lang w:val="pt-BR"/>
        </w:rPr>
        <w:t>koriste</w:t>
      </w:r>
      <w:r>
        <w:rPr>
          <w:sz w:val="22"/>
          <w:szCs w:val="22"/>
          <w:lang w:val="sr-Latn-CS"/>
        </w:rPr>
        <w:t xml:space="preserve">, </w:t>
      </w:r>
      <w:r>
        <w:rPr>
          <w:sz w:val="22"/>
          <w:szCs w:val="22"/>
          <w:lang w:val="pt-BR"/>
        </w:rPr>
        <w:t>potrebno</w:t>
      </w:r>
      <w:r>
        <w:rPr>
          <w:sz w:val="22"/>
          <w:szCs w:val="22"/>
          <w:lang w:val="sr-Latn-CS"/>
        </w:rPr>
        <w:t xml:space="preserve"> </w:t>
      </w:r>
      <w:r>
        <w:rPr>
          <w:sz w:val="22"/>
          <w:szCs w:val="22"/>
          <w:lang w:val="pt-BR"/>
        </w:rPr>
        <w:t>je</w:t>
      </w:r>
      <w:r>
        <w:rPr>
          <w:sz w:val="22"/>
          <w:szCs w:val="22"/>
          <w:lang w:val="sr-Latn-CS"/>
        </w:rPr>
        <w:t xml:space="preserve"> </w:t>
      </w:r>
      <w:r>
        <w:rPr>
          <w:sz w:val="22"/>
          <w:szCs w:val="22"/>
          <w:lang w:val="pt-BR"/>
        </w:rPr>
        <w:t>pa</w:t>
      </w:r>
      <w:r>
        <w:rPr>
          <w:sz w:val="22"/>
          <w:szCs w:val="22"/>
          <w:lang w:val="sr-Latn-CS"/>
        </w:rPr>
        <w:t>ž</w:t>
      </w:r>
      <w:r>
        <w:rPr>
          <w:sz w:val="22"/>
          <w:szCs w:val="22"/>
          <w:lang w:val="pt-BR"/>
        </w:rPr>
        <w:t>ljivo</w:t>
      </w:r>
      <w:r>
        <w:rPr>
          <w:sz w:val="22"/>
          <w:szCs w:val="22"/>
          <w:lang w:val="sr-Latn-CS"/>
        </w:rPr>
        <w:t xml:space="preserve"> </w:t>
      </w:r>
      <w:r>
        <w:rPr>
          <w:sz w:val="22"/>
          <w:szCs w:val="22"/>
          <w:lang w:val="pt-BR"/>
        </w:rPr>
        <w:t>kontrolisati</w:t>
      </w:r>
      <w:r>
        <w:rPr>
          <w:sz w:val="22"/>
          <w:szCs w:val="22"/>
          <w:lang w:val="sr-Latn-CS"/>
        </w:rPr>
        <w:t xml:space="preserve"> </w:t>
      </w:r>
      <w:r>
        <w:rPr>
          <w:sz w:val="22"/>
          <w:szCs w:val="22"/>
          <w:lang w:val="pt-BR"/>
        </w:rPr>
        <w:t>sr</w:t>
      </w:r>
      <w:r>
        <w:rPr>
          <w:sz w:val="22"/>
          <w:szCs w:val="22"/>
          <w:lang w:val="sr-Latn-CS"/>
        </w:rPr>
        <w:t>č</w:t>
      </w:r>
      <w:r>
        <w:rPr>
          <w:sz w:val="22"/>
          <w:szCs w:val="22"/>
          <w:lang w:val="pt-BR"/>
        </w:rPr>
        <w:t>anu</w:t>
      </w:r>
      <w:r>
        <w:rPr>
          <w:sz w:val="22"/>
          <w:szCs w:val="22"/>
          <w:lang w:val="sr-Latn-CS"/>
        </w:rPr>
        <w:t xml:space="preserve"> </w:t>
      </w:r>
      <w:r>
        <w:rPr>
          <w:sz w:val="22"/>
          <w:szCs w:val="22"/>
          <w:lang w:val="pt-BR"/>
        </w:rPr>
        <w:t>funkciju</w:t>
      </w:r>
      <w:r>
        <w:rPr>
          <w:sz w:val="22"/>
          <w:szCs w:val="22"/>
          <w:lang w:val="sr-Latn-CS"/>
        </w:rPr>
        <w:t>.</w:t>
      </w:r>
    </w:p>
    <w:p w14:paraId="1228FE22" w14:textId="77777777" w:rsidR="00B05AA9" w:rsidRDefault="00B05AA9" w:rsidP="00641EEB">
      <w:pPr>
        <w:jc w:val="both"/>
        <w:rPr>
          <w:sz w:val="22"/>
          <w:szCs w:val="22"/>
          <w:lang w:val="sr-Latn-CS"/>
        </w:rPr>
      </w:pPr>
    </w:p>
    <w:p w14:paraId="49AA1FD7" w14:textId="1B4CD2B9" w:rsidR="00B05AA9" w:rsidRDefault="00B05AA9" w:rsidP="00641EEB">
      <w:pPr>
        <w:jc w:val="both"/>
        <w:rPr>
          <w:sz w:val="22"/>
          <w:szCs w:val="22"/>
          <w:lang w:val="sr-Latn-CS"/>
        </w:rPr>
      </w:pPr>
      <w:r>
        <w:rPr>
          <w:sz w:val="22"/>
          <w:szCs w:val="22"/>
          <w:lang w:val="pt-BR"/>
        </w:rPr>
        <w:t>Kod</w:t>
      </w:r>
      <w:r>
        <w:rPr>
          <w:sz w:val="22"/>
          <w:szCs w:val="22"/>
          <w:lang w:val="sr-Latn-CS"/>
        </w:rPr>
        <w:t xml:space="preserve"> </w:t>
      </w:r>
      <w:r>
        <w:rPr>
          <w:sz w:val="22"/>
          <w:szCs w:val="22"/>
          <w:lang w:val="pt-BR"/>
        </w:rPr>
        <w:t>svih</w:t>
      </w:r>
      <w:r>
        <w:rPr>
          <w:sz w:val="22"/>
          <w:szCs w:val="22"/>
          <w:lang w:val="sr-Latn-CS"/>
        </w:rPr>
        <w:t xml:space="preserve"> </w:t>
      </w:r>
      <w:r>
        <w:rPr>
          <w:sz w:val="22"/>
          <w:szCs w:val="22"/>
          <w:lang w:val="pt-BR"/>
        </w:rPr>
        <w:t>pacijenata</w:t>
      </w:r>
      <w:r>
        <w:rPr>
          <w:sz w:val="22"/>
          <w:szCs w:val="22"/>
          <w:lang w:val="sr-Latn-CS"/>
        </w:rPr>
        <w:t xml:space="preserve"> </w:t>
      </w:r>
      <w:r>
        <w:rPr>
          <w:sz w:val="22"/>
          <w:szCs w:val="22"/>
          <w:lang w:val="pt-BR"/>
        </w:rPr>
        <w:t>kod</w:t>
      </w:r>
      <w:r>
        <w:rPr>
          <w:sz w:val="22"/>
          <w:szCs w:val="22"/>
          <w:lang w:val="sr-Latn-CS"/>
        </w:rPr>
        <w:t xml:space="preserve"> </w:t>
      </w:r>
      <w:r>
        <w:rPr>
          <w:sz w:val="22"/>
          <w:szCs w:val="22"/>
          <w:lang w:val="pt-BR"/>
        </w:rPr>
        <w:t>kojih</w:t>
      </w:r>
      <w:r>
        <w:rPr>
          <w:sz w:val="22"/>
          <w:szCs w:val="22"/>
          <w:lang w:val="sr-Latn-CS"/>
        </w:rPr>
        <w:t xml:space="preserve"> </w:t>
      </w:r>
      <w:r>
        <w:rPr>
          <w:sz w:val="22"/>
          <w:szCs w:val="22"/>
          <w:lang w:val="pt-BR"/>
        </w:rPr>
        <w:t>se</w:t>
      </w:r>
      <w:r>
        <w:rPr>
          <w:sz w:val="22"/>
          <w:szCs w:val="22"/>
          <w:lang w:val="sr-Latn-CS"/>
        </w:rPr>
        <w:t xml:space="preserve"> </w:t>
      </w:r>
      <w:r>
        <w:rPr>
          <w:sz w:val="22"/>
          <w:szCs w:val="22"/>
          <w:lang w:val="pt-BR"/>
        </w:rPr>
        <w:t>na</w:t>
      </w:r>
      <w:r>
        <w:rPr>
          <w:sz w:val="22"/>
          <w:szCs w:val="22"/>
          <w:lang w:val="sr-Latn-CS"/>
        </w:rPr>
        <w:t xml:space="preserve"> </w:t>
      </w:r>
      <w:r>
        <w:rPr>
          <w:sz w:val="22"/>
          <w:szCs w:val="22"/>
          <w:lang w:val="pt-BR"/>
        </w:rPr>
        <w:t>preliminarnom</w:t>
      </w:r>
      <w:r>
        <w:rPr>
          <w:sz w:val="22"/>
          <w:szCs w:val="22"/>
          <w:lang w:val="sr-Latn-CS"/>
        </w:rPr>
        <w:t xml:space="preserve"> </w:t>
      </w:r>
      <w:r>
        <w:rPr>
          <w:sz w:val="22"/>
          <w:szCs w:val="22"/>
          <w:lang w:val="pt-BR"/>
        </w:rPr>
        <w:t>pregledu</w:t>
      </w:r>
      <w:r>
        <w:rPr>
          <w:sz w:val="22"/>
          <w:szCs w:val="22"/>
          <w:lang w:val="sr-Latn-CS"/>
        </w:rPr>
        <w:t xml:space="preserve"> </w:t>
      </w:r>
      <w:r>
        <w:rPr>
          <w:sz w:val="22"/>
          <w:szCs w:val="22"/>
          <w:lang w:val="pt-BR"/>
        </w:rPr>
        <w:t>prepozna</w:t>
      </w:r>
      <w:r>
        <w:rPr>
          <w:sz w:val="22"/>
          <w:szCs w:val="22"/>
          <w:lang w:val="sr-Latn-CS"/>
        </w:rPr>
        <w:t xml:space="preserve"> </w:t>
      </w:r>
      <w:r>
        <w:rPr>
          <w:sz w:val="22"/>
          <w:szCs w:val="22"/>
          <w:lang w:val="pt-BR"/>
        </w:rPr>
        <w:t>eventualno</w:t>
      </w:r>
      <w:r>
        <w:rPr>
          <w:sz w:val="22"/>
          <w:szCs w:val="22"/>
          <w:lang w:val="sr-Latn-CS"/>
        </w:rPr>
        <w:t xml:space="preserve"> </w:t>
      </w:r>
      <w:r>
        <w:rPr>
          <w:sz w:val="22"/>
          <w:szCs w:val="22"/>
          <w:lang w:val="pt-BR"/>
        </w:rPr>
        <w:t>postojanje</w:t>
      </w:r>
      <w:r>
        <w:rPr>
          <w:sz w:val="22"/>
          <w:szCs w:val="22"/>
          <w:lang w:val="sr-Latn-CS"/>
        </w:rPr>
        <w:t xml:space="preserve"> </w:t>
      </w:r>
      <w:r>
        <w:rPr>
          <w:sz w:val="22"/>
          <w:szCs w:val="22"/>
          <w:lang w:val="pt-BR"/>
        </w:rPr>
        <w:t>kardiovaskularnih</w:t>
      </w:r>
      <w:r>
        <w:rPr>
          <w:sz w:val="22"/>
          <w:szCs w:val="22"/>
          <w:lang w:val="sr-Latn-CS"/>
        </w:rPr>
        <w:t xml:space="preserve"> </w:t>
      </w:r>
      <w:r>
        <w:rPr>
          <w:sz w:val="22"/>
          <w:szCs w:val="22"/>
          <w:lang w:val="pt-BR"/>
        </w:rPr>
        <w:t>problema</w:t>
      </w:r>
      <w:r>
        <w:rPr>
          <w:sz w:val="22"/>
          <w:szCs w:val="22"/>
          <w:lang w:val="sr-Latn-CS"/>
        </w:rPr>
        <w:t xml:space="preserve"> </w:t>
      </w:r>
      <w:r>
        <w:rPr>
          <w:sz w:val="22"/>
          <w:szCs w:val="22"/>
          <w:lang w:val="pt-BR"/>
        </w:rPr>
        <w:t>treba</w:t>
      </w:r>
      <w:r>
        <w:rPr>
          <w:sz w:val="22"/>
          <w:szCs w:val="22"/>
          <w:lang w:val="sr-Latn-CS"/>
        </w:rPr>
        <w:t xml:space="preserve"> </w:t>
      </w:r>
      <w:r>
        <w:rPr>
          <w:sz w:val="22"/>
          <w:szCs w:val="22"/>
          <w:lang w:val="pt-BR"/>
        </w:rPr>
        <w:t>izvr</w:t>
      </w:r>
      <w:r>
        <w:rPr>
          <w:sz w:val="22"/>
          <w:szCs w:val="22"/>
          <w:lang w:val="sr-Latn-CS"/>
        </w:rPr>
        <w:t>š</w:t>
      </w:r>
      <w:r>
        <w:rPr>
          <w:sz w:val="22"/>
          <w:szCs w:val="22"/>
          <w:lang w:val="pt-BR"/>
        </w:rPr>
        <w:t>iti</w:t>
      </w:r>
      <w:r>
        <w:rPr>
          <w:sz w:val="22"/>
          <w:szCs w:val="22"/>
          <w:lang w:val="sr-Latn-CS"/>
        </w:rPr>
        <w:t xml:space="preserve"> </w:t>
      </w:r>
      <w:r>
        <w:rPr>
          <w:sz w:val="22"/>
          <w:szCs w:val="22"/>
          <w:lang w:val="pt-BR"/>
        </w:rPr>
        <w:t>formalnu</w:t>
      </w:r>
      <w:r>
        <w:rPr>
          <w:sz w:val="22"/>
          <w:szCs w:val="22"/>
          <w:lang w:val="sr-Latn-CS"/>
        </w:rPr>
        <w:t xml:space="preserve"> </w:t>
      </w:r>
      <w:r>
        <w:rPr>
          <w:sz w:val="22"/>
          <w:szCs w:val="22"/>
          <w:lang w:val="pt-BR"/>
        </w:rPr>
        <w:t>kardiolo</w:t>
      </w:r>
      <w:r>
        <w:rPr>
          <w:sz w:val="22"/>
          <w:szCs w:val="22"/>
          <w:lang w:val="sr-Latn-CS"/>
        </w:rPr>
        <w:t>š</w:t>
      </w:r>
      <w:r>
        <w:rPr>
          <w:sz w:val="22"/>
          <w:szCs w:val="22"/>
          <w:lang w:val="pt-BR"/>
        </w:rPr>
        <w:t>ku</w:t>
      </w:r>
      <w:r>
        <w:rPr>
          <w:sz w:val="22"/>
          <w:szCs w:val="22"/>
          <w:lang w:val="sr-Latn-CS"/>
        </w:rPr>
        <w:t xml:space="preserve"> </w:t>
      </w:r>
      <w:r>
        <w:rPr>
          <w:sz w:val="22"/>
          <w:szCs w:val="22"/>
          <w:lang w:val="pt-BR"/>
        </w:rPr>
        <w:t>procjenu</w:t>
      </w:r>
      <w:r>
        <w:rPr>
          <w:sz w:val="22"/>
          <w:szCs w:val="22"/>
          <w:lang w:val="sr-Latn-CS"/>
        </w:rPr>
        <w:t xml:space="preserve">. </w:t>
      </w:r>
      <w:r>
        <w:rPr>
          <w:sz w:val="22"/>
          <w:szCs w:val="22"/>
          <w:lang w:val="pt-BR"/>
        </w:rPr>
        <w:t>Sr</w:t>
      </w:r>
      <w:r>
        <w:rPr>
          <w:sz w:val="22"/>
          <w:szCs w:val="22"/>
          <w:lang w:val="sr-Latn-CS"/>
        </w:rPr>
        <w:t>č</w:t>
      </w:r>
      <w:r>
        <w:rPr>
          <w:sz w:val="22"/>
          <w:szCs w:val="22"/>
          <w:lang w:val="pt-BR"/>
        </w:rPr>
        <w:t>anu</w:t>
      </w:r>
      <w:r>
        <w:rPr>
          <w:sz w:val="22"/>
          <w:szCs w:val="22"/>
          <w:lang w:val="sr-Latn-CS"/>
        </w:rPr>
        <w:t xml:space="preserve"> </w:t>
      </w:r>
      <w:r>
        <w:rPr>
          <w:sz w:val="22"/>
          <w:szCs w:val="22"/>
          <w:lang w:val="pt-BR"/>
        </w:rPr>
        <w:t>funkciju</w:t>
      </w:r>
      <w:r>
        <w:rPr>
          <w:sz w:val="22"/>
          <w:szCs w:val="22"/>
          <w:lang w:val="sr-Latn-CS"/>
        </w:rPr>
        <w:t xml:space="preserve"> </w:t>
      </w:r>
      <w:r>
        <w:rPr>
          <w:sz w:val="22"/>
          <w:szCs w:val="22"/>
          <w:lang w:val="pt-BR"/>
        </w:rPr>
        <w:t>treba</w:t>
      </w:r>
      <w:r>
        <w:rPr>
          <w:sz w:val="22"/>
          <w:szCs w:val="22"/>
          <w:lang w:val="sr-Latn-CS"/>
        </w:rPr>
        <w:t xml:space="preserve"> </w:t>
      </w:r>
      <w:r>
        <w:rPr>
          <w:sz w:val="22"/>
          <w:szCs w:val="22"/>
          <w:lang w:val="pt-BR"/>
        </w:rPr>
        <w:t>dalje</w:t>
      </w:r>
      <w:r>
        <w:rPr>
          <w:sz w:val="22"/>
          <w:szCs w:val="22"/>
          <w:lang w:val="sr-Latn-CS"/>
        </w:rPr>
        <w:t xml:space="preserve"> </w:t>
      </w:r>
      <w:r>
        <w:rPr>
          <w:sz w:val="22"/>
          <w:szCs w:val="22"/>
          <w:lang w:val="pt-BR"/>
        </w:rPr>
        <w:t>pratiti</w:t>
      </w:r>
      <w:r>
        <w:rPr>
          <w:sz w:val="22"/>
          <w:szCs w:val="22"/>
          <w:lang w:val="sr-Latn-CS"/>
        </w:rPr>
        <w:t xml:space="preserve"> </w:t>
      </w:r>
      <w:r>
        <w:rPr>
          <w:sz w:val="22"/>
          <w:szCs w:val="22"/>
          <w:lang w:val="pt-BR"/>
        </w:rPr>
        <w:t>tokom</w:t>
      </w:r>
      <w:r>
        <w:rPr>
          <w:sz w:val="22"/>
          <w:szCs w:val="22"/>
          <w:lang w:val="sr-Latn-CS"/>
        </w:rPr>
        <w:t xml:space="preserve"> </w:t>
      </w:r>
      <w:r>
        <w:rPr>
          <w:sz w:val="22"/>
          <w:szCs w:val="22"/>
          <w:lang w:val="pt-BR"/>
        </w:rPr>
        <w:t>terapije</w:t>
      </w:r>
      <w:r>
        <w:rPr>
          <w:sz w:val="22"/>
          <w:szCs w:val="22"/>
          <w:lang w:val="sr-Latn-CS"/>
        </w:rPr>
        <w:t xml:space="preserve"> (</w:t>
      </w:r>
      <w:r>
        <w:rPr>
          <w:sz w:val="22"/>
          <w:szCs w:val="22"/>
          <w:lang w:val="pt-BR"/>
        </w:rPr>
        <w:t>na</w:t>
      </w:r>
      <w:r>
        <w:rPr>
          <w:sz w:val="22"/>
          <w:szCs w:val="22"/>
          <w:lang w:val="sr-Latn-CS"/>
        </w:rPr>
        <w:t xml:space="preserve"> </w:t>
      </w:r>
      <w:r>
        <w:rPr>
          <w:sz w:val="22"/>
          <w:szCs w:val="22"/>
          <w:lang w:val="pt-BR"/>
        </w:rPr>
        <w:t>pr</w:t>
      </w:r>
      <w:r>
        <w:rPr>
          <w:sz w:val="22"/>
          <w:szCs w:val="22"/>
          <w:lang w:val="sr-Latn-CS"/>
        </w:rPr>
        <w:t xml:space="preserve">. </w:t>
      </w:r>
      <w:r>
        <w:rPr>
          <w:sz w:val="22"/>
          <w:szCs w:val="22"/>
          <w:lang w:val="pt-BR"/>
        </w:rPr>
        <w:t>svakih</w:t>
      </w:r>
      <w:r>
        <w:rPr>
          <w:sz w:val="22"/>
          <w:szCs w:val="22"/>
          <w:lang w:val="sr-Latn-CS"/>
        </w:rPr>
        <w:t xml:space="preserve"> 12 </w:t>
      </w:r>
      <w:r>
        <w:rPr>
          <w:sz w:val="22"/>
          <w:szCs w:val="22"/>
          <w:lang w:val="pt-BR"/>
        </w:rPr>
        <w:t>nedjelja</w:t>
      </w:r>
      <w:r>
        <w:rPr>
          <w:sz w:val="22"/>
          <w:szCs w:val="22"/>
          <w:lang w:val="sr-Latn-CS"/>
        </w:rPr>
        <w:t xml:space="preserve">) </w:t>
      </w:r>
      <w:r>
        <w:rPr>
          <w:sz w:val="22"/>
          <w:szCs w:val="22"/>
          <w:lang w:val="pt-BR"/>
        </w:rPr>
        <w:t>kod</w:t>
      </w:r>
      <w:r>
        <w:rPr>
          <w:sz w:val="22"/>
          <w:szCs w:val="22"/>
          <w:lang w:val="sr-Latn-CS"/>
        </w:rPr>
        <w:t xml:space="preserve"> </w:t>
      </w:r>
      <w:r>
        <w:rPr>
          <w:sz w:val="22"/>
          <w:szCs w:val="22"/>
          <w:lang w:val="pt-BR"/>
        </w:rPr>
        <w:t>svih</w:t>
      </w:r>
      <w:r>
        <w:rPr>
          <w:sz w:val="22"/>
          <w:szCs w:val="22"/>
          <w:lang w:val="sr-Latn-CS"/>
        </w:rPr>
        <w:t xml:space="preserve"> </w:t>
      </w:r>
      <w:r>
        <w:rPr>
          <w:sz w:val="22"/>
          <w:szCs w:val="22"/>
          <w:lang w:val="pt-BR"/>
        </w:rPr>
        <w:t>pacijenata</w:t>
      </w:r>
      <w:r>
        <w:rPr>
          <w:sz w:val="22"/>
          <w:szCs w:val="22"/>
          <w:lang w:val="sr-Latn-CS"/>
        </w:rPr>
        <w:t xml:space="preserve">. </w:t>
      </w:r>
      <w:r>
        <w:rPr>
          <w:sz w:val="22"/>
          <w:szCs w:val="22"/>
          <w:lang w:val="pt-BR"/>
        </w:rPr>
        <w:t>Ovo</w:t>
      </w:r>
      <w:r>
        <w:rPr>
          <w:sz w:val="22"/>
          <w:szCs w:val="22"/>
          <w:lang w:val="sr-Latn-CS"/>
        </w:rPr>
        <w:t xml:space="preserve"> </w:t>
      </w:r>
      <w:r>
        <w:rPr>
          <w:sz w:val="22"/>
          <w:szCs w:val="22"/>
          <w:lang w:val="pt-BR"/>
        </w:rPr>
        <w:t>pra</w:t>
      </w:r>
      <w:r>
        <w:rPr>
          <w:sz w:val="22"/>
          <w:szCs w:val="22"/>
          <w:lang w:val="sr-Latn-CS"/>
        </w:rPr>
        <w:t>ć</w:t>
      </w:r>
      <w:r>
        <w:rPr>
          <w:sz w:val="22"/>
          <w:szCs w:val="22"/>
          <w:lang w:val="pt-BR"/>
        </w:rPr>
        <w:t>enje</w:t>
      </w:r>
      <w:r>
        <w:rPr>
          <w:sz w:val="22"/>
          <w:szCs w:val="22"/>
          <w:lang w:val="sr-Latn-CS"/>
        </w:rPr>
        <w:t xml:space="preserve"> </w:t>
      </w:r>
      <w:r>
        <w:rPr>
          <w:sz w:val="22"/>
          <w:szCs w:val="22"/>
          <w:lang w:val="pt-BR"/>
        </w:rPr>
        <w:t>mo</w:t>
      </w:r>
      <w:r>
        <w:rPr>
          <w:sz w:val="22"/>
          <w:szCs w:val="22"/>
          <w:lang w:val="sr-Latn-CS"/>
        </w:rPr>
        <w:t>ž</w:t>
      </w:r>
      <w:r>
        <w:rPr>
          <w:sz w:val="22"/>
          <w:szCs w:val="22"/>
          <w:lang w:val="pt-BR"/>
        </w:rPr>
        <w:t>e</w:t>
      </w:r>
      <w:r>
        <w:rPr>
          <w:sz w:val="22"/>
          <w:szCs w:val="22"/>
          <w:lang w:val="sr-Latn-CS"/>
        </w:rPr>
        <w:t xml:space="preserve"> </w:t>
      </w:r>
      <w:r>
        <w:rPr>
          <w:sz w:val="22"/>
          <w:szCs w:val="22"/>
          <w:lang w:val="pt-BR"/>
        </w:rPr>
        <w:t>da</w:t>
      </w:r>
      <w:r>
        <w:rPr>
          <w:sz w:val="22"/>
          <w:szCs w:val="22"/>
          <w:lang w:val="sr-Latn-CS"/>
        </w:rPr>
        <w:t xml:space="preserve"> </w:t>
      </w:r>
      <w:r>
        <w:rPr>
          <w:sz w:val="22"/>
          <w:szCs w:val="22"/>
          <w:lang w:val="pt-BR"/>
        </w:rPr>
        <w:t>pomogne</w:t>
      </w:r>
      <w:r>
        <w:rPr>
          <w:sz w:val="22"/>
          <w:szCs w:val="22"/>
          <w:lang w:val="sr-Latn-CS"/>
        </w:rPr>
        <w:t xml:space="preserve"> </w:t>
      </w:r>
      <w:r>
        <w:rPr>
          <w:sz w:val="22"/>
          <w:szCs w:val="22"/>
          <w:lang w:val="pt-BR"/>
        </w:rPr>
        <w:t>da</w:t>
      </w:r>
      <w:r>
        <w:rPr>
          <w:sz w:val="22"/>
          <w:szCs w:val="22"/>
          <w:lang w:val="sr-Latn-CS"/>
        </w:rPr>
        <w:t xml:space="preserve"> </w:t>
      </w:r>
      <w:r>
        <w:rPr>
          <w:sz w:val="22"/>
          <w:szCs w:val="22"/>
          <w:lang w:val="pt-BR"/>
        </w:rPr>
        <w:t>se</w:t>
      </w:r>
      <w:r>
        <w:rPr>
          <w:sz w:val="22"/>
          <w:szCs w:val="22"/>
          <w:lang w:val="sr-Latn-CS"/>
        </w:rPr>
        <w:t xml:space="preserve"> </w:t>
      </w:r>
      <w:r>
        <w:rPr>
          <w:sz w:val="22"/>
          <w:szCs w:val="22"/>
          <w:lang w:val="pt-BR"/>
        </w:rPr>
        <w:t>identifikuju</w:t>
      </w:r>
      <w:r>
        <w:rPr>
          <w:sz w:val="22"/>
          <w:szCs w:val="22"/>
          <w:lang w:val="sr-Latn-CS"/>
        </w:rPr>
        <w:t xml:space="preserve"> </w:t>
      </w:r>
      <w:r>
        <w:rPr>
          <w:sz w:val="22"/>
          <w:szCs w:val="22"/>
          <w:lang w:val="pt-BR"/>
        </w:rPr>
        <w:t>pacijenti</w:t>
      </w:r>
      <w:r>
        <w:rPr>
          <w:sz w:val="22"/>
          <w:szCs w:val="22"/>
          <w:lang w:val="sr-Latn-CS"/>
        </w:rPr>
        <w:t xml:space="preserve"> </w:t>
      </w:r>
      <w:r>
        <w:rPr>
          <w:sz w:val="22"/>
          <w:szCs w:val="22"/>
          <w:lang w:val="pt-BR"/>
        </w:rPr>
        <w:t>kod</w:t>
      </w:r>
      <w:r>
        <w:rPr>
          <w:sz w:val="22"/>
          <w:szCs w:val="22"/>
          <w:lang w:val="sr-Latn-CS"/>
        </w:rPr>
        <w:t xml:space="preserve"> </w:t>
      </w:r>
      <w:r>
        <w:rPr>
          <w:sz w:val="22"/>
          <w:szCs w:val="22"/>
          <w:lang w:val="pt-BR"/>
        </w:rPr>
        <w:t>kojih</w:t>
      </w:r>
      <w:r>
        <w:rPr>
          <w:sz w:val="22"/>
          <w:szCs w:val="22"/>
          <w:lang w:val="sr-Latn-CS"/>
        </w:rPr>
        <w:t xml:space="preserve"> </w:t>
      </w:r>
      <w:r>
        <w:rPr>
          <w:sz w:val="22"/>
          <w:szCs w:val="22"/>
          <w:lang w:val="pt-BR"/>
        </w:rPr>
        <w:t>po</w:t>
      </w:r>
      <w:r>
        <w:rPr>
          <w:sz w:val="22"/>
          <w:szCs w:val="22"/>
          <w:lang w:val="sr-Latn-CS"/>
        </w:rPr>
        <w:t>č</w:t>
      </w:r>
      <w:r>
        <w:rPr>
          <w:sz w:val="22"/>
          <w:szCs w:val="22"/>
          <w:lang w:val="pt-BR"/>
        </w:rPr>
        <w:t>ne</w:t>
      </w:r>
      <w:r>
        <w:rPr>
          <w:sz w:val="22"/>
          <w:szCs w:val="22"/>
          <w:lang w:val="sr-Latn-CS"/>
        </w:rPr>
        <w:t xml:space="preserve"> </w:t>
      </w:r>
      <w:r>
        <w:rPr>
          <w:sz w:val="22"/>
          <w:szCs w:val="22"/>
          <w:lang w:val="pt-BR"/>
        </w:rPr>
        <w:t>da</w:t>
      </w:r>
      <w:r>
        <w:rPr>
          <w:sz w:val="22"/>
          <w:szCs w:val="22"/>
          <w:lang w:val="sr-Latn-CS"/>
        </w:rPr>
        <w:t xml:space="preserve"> </w:t>
      </w:r>
      <w:r>
        <w:rPr>
          <w:sz w:val="22"/>
          <w:szCs w:val="22"/>
          <w:lang w:val="pt-BR"/>
        </w:rPr>
        <w:t>se</w:t>
      </w:r>
      <w:r>
        <w:rPr>
          <w:sz w:val="22"/>
          <w:szCs w:val="22"/>
          <w:lang w:val="sr-Latn-CS"/>
        </w:rPr>
        <w:t xml:space="preserve"> </w:t>
      </w:r>
      <w:r>
        <w:rPr>
          <w:sz w:val="22"/>
          <w:szCs w:val="22"/>
          <w:lang w:val="pt-BR"/>
        </w:rPr>
        <w:t>razvija</w:t>
      </w:r>
      <w:r>
        <w:rPr>
          <w:sz w:val="22"/>
          <w:szCs w:val="22"/>
          <w:lang w:val="sr-Latn-CS"/>
        </w:rPr>
        <w:t xml:space="preserve"> </w:t>
      </w:r>
      <w:r>
        <w:rPr>
          <w:sz w:val="22"/>
          <w:szCs w:val="22"/>
          <w:lang w:val="pt-BR"/>
        </w:rPr>
        <w:t>sr</w:t>
      </w:r>
      <w:r>
        <w:rPr>
          <w:sz w:val="22"/>
          <w:szCs w:val="22"/>
          <w:lang w:val="sr-Latn-CS"/>
        </w:rPr>
        <w:t>č</w:t>
      </w:r>
      <w:r>
        <w:rPr>
          <w:sz w:val="22"/>
          <w:szCs w:val="22"/>
          <w:lang w:val="pt-BR"/>
        </w:rPr>
        <w:t>ana</w:t>
      </w:r>
      <w:r>
        <w:rPr>
          <w:sz w:val="22"/>
          <w:szCs w:val="22"/>
          <w:lang w:val="sr-Latn-CS"/>
        </w:rPr>
        <w:t xml:space="preserve"> </w:t>
      </w:r>
      <w:r>
        <w:rPr>
          <w:sz w:val="22"/>
          <w:szCs w:val="22"/>
          <w:lang w:val="pt-BR"/>
        </w:rPr>
        <w:t>disfunkcija</w:t>
      </w:r>
      <w:r>
        <w:rPr>
          <w:sz w:val="22"/>
          <w:szCs w:val="22"/>
          <w:lang w:val="sr-Latn-CS"/>
        </w:rPr>
        <w:t xml:space="preserve">. </w:t>
      </w:r>
      <w:r>
        <w:rPr>
          <w:sz w:val="22"/>
          <w:szCs w:val="22"/>
          <w:lang w:val="pt-BR"/>
        </w:rPr>
        <w:t>Pacijenti</w:t>
      </w:r>
      <w:r>
        <w:rPr>
          <w:sz w:val="22"/>
          <w:szCs w:val="22"/>
          <w:lang w:val="sr-Latn-CS"/>
        </w:rPr>
        <w:t xml:space="preserve"> </w:t>
      </w:r>
      <w:r>
        <w:rPr>
          <w:sz w:val="22"/>
          <w:szCs w:val="22"/>
          <w:lang w:val="pt-BR"/>
        </w:rPr>
        <w:t>kod</w:t>
      </w:r>
      <w:r>
        <w:rPr>
          <w:sz w:val="22"/>
          <w:szCs w:val="22"/>
          <w:lang w:val="sr-Latn-CS"/>
        </w:rPr>
        <w:t xml:space="preserve"> </w:t>
      </w:r>
      <w:r>
        <w:rPr>
          <w:sz w:val="22"/>
          <w:szCs w:val="22"/>
          <w:lang w:val="pt-BR"/>
        </w:rPr>
        <w:t>kojih</w:t>
      </w:r>
      <w:r>
        <w:rPr>
          <w:sz w:val="22"/>
          <w:szCs w:val="22"/>
          <w:lang w:val="sr-Latn-CS"/>
        </w:rPr>
        <w:t xml:space="preserve"> </w:t>
      </w:r>
      <w:r>
        <w:rPr>
          <w:sz w:val="22"/>
          <w:szCs w:val="22"/>
          <w:lang w:val="pt-BR"/>
        </w:rPr>
        <w:t>se</w:t>
      </w:r>
      <w:r>
        <w:rPr>
          <w:sz w:val="22"/>
          <w:szCs w:val="22"/>
          <w:lang w:val="sr-Latn-CS"/>
        </w:rPr>
        <w:t xml:space="preserve"> </w:t>
      </w:r>
      <w:r>
        <w:rPr>
          <w:sz w:val="22"/>
          <w:szCs w:val="22"/>
          <w:lang w:val="pt-BR"/>
        </w:rPr>
        <w:t>razvije</w:t>
      </w:r>
      <w:r>
        <w:rPr>
          <w:sz w:val="22"/>
          <w:szCs w:val="22"/>
          <w:lang w:val="sr-Latn-CS"/>
        </w:rPr>
        <w:t xml:space="preserve"> </w:t>
      </w:r>
      <w:r>
        <w:rPr>
          <w:sz w:val="22"/>
          <w:szCs w:val="22"/>
          <w:lang w:val="pt-BR"/>
        </w:rPr>
        <w:t>asimptomatska</w:t>
      </w:r>
      <w:r>
        <w:rPr>
          <w:sz w:val="22"/>
          <w:szCs w:val="22"/>
          <w:lang w:val="sr-Latn-CS"/>
        </w:rPr>
        <w:t xml:space="preserve"> </w:t>
      </w:r>
      <w:r>
        <w:rPr>
          <w:sz w:val="22"/>
          <w:szCs w:val="22"/>
          <w:lang w:val="pt-BR"/>
        </w:rPr>
        <w:t>sr</w:t>
      </w:r>
      <w:r>
        <w:rPr>
          <w:sz w:val="22"/>
          <w:szCs w:val="22"/>
          <w:lang w:val="sr-Latn-CS"/>
        </w:rPr>
        <w:t>č</w:t>
      </w:r>
      <w:r>
        <w:rPr>
          <w:sz w:val="22"/>
          <w:szCs w:val="22"/>
          <w:lang w:val="pt-BR"/>
        </w:rPr>
        <w:t>ana</w:t>
      </w:r>
      <w:r>
        <w:rPr>
          <w:sz w:val="22"/>
          <w:szCs w:val="22"/>
          <w:lang w:val="sr-Latn-CS"/>
        </w:rPr>
        <w:t xml:space="preserve"> </w:t>
      </w:r>
      <w:r>
        <w:rPr>
          <w:sz w:val="22"/>
          <w:szCs w:val="22"/>
          <w:lang w:val="pt-BR"/>
        </w:rPr>
        <w:t>disfunkcija</w:t>
      </w:r>
      <w:r>
        <w:rPr>
          <w:sz w:val="22"/>
          <w:szCs w:val="22"/>
          <w:lang w:val="sr-Latn-CS"/>
        </w:rPr>
        <w:t xml:space="preserve"> </w:t>
      </w:r>
      <w:r>
        <w:rPr>
          <w:sz w:val="22"/>
          <w:szCs w:val="22"/>
          <w:lang w:val="pt-BR"/>
        </w:rPr>
        <w:t>mogu</w:t>
      </w:r>
      <w:r>
        <w:rPr>
          <w:sz w:val="22"/>
          <w:szCs w:val="22"/>
          <w:lang w:val="sr-Latn-CS"/>
        </w:rPr>
        <w:t xml:space="preserve"> </w:t>
      </w:r>
      <w:r>
        <w:rPr>
          <w:sz w:val="22"/>
          <w:szCs w:val="22"/>
          <w:lang w:val="pt-BR"/>
        </w:rPr>
        <w:t>imati</w:t>
      </w:r>
      <w:r>
        <w:rPr>
          <w:sz w:val="22"/>
          <w:szCs w:val="22"/>
          <w:lang w:val="sr-Latn-CS"/>
        </w:rPr>
        <w:t xml:space="preserve"> </w:t>
      </w:r>
      <w:r>
        <w:rPr>
          <w:sz w:val="22"/>
          <w:szCs w:val="22"/>
          <w:lang w:val="pt-BR"/>
        </w:rPr>
        <w:t>koristi</w:t>
      </w:r>
      <w:r>
        <w:rPr>
          <w:sz w:val="22"/>
          <w:szCs w:val="22"/>
          <w:lang w:val="sr-Latn-CS"/>
        </w:rPr>
        <w:t xml:space="preserve"> </w:t>
      </w:r>
      <w:r>
        <w:rPr>
          <w:sz w:val="22"/>
          <w:szCs w:val="22"/>
          <w:lang w:val="pt-BR"/>
        </w:rPr>
        <w:t>od</w:t>
      </w:r>
      <w:r>
        <w:rPr>
          <w:sz w:val="22"/>
          <w:szCs w:val="22"/>
          <w:lang w:val="sr-Latn-CS"/>
        </w:rPr>
        <w:t xml:space="preserve"> č</w:t>
      </w:r>
      <w:r>
        <w:rPr>
          <w:sz w:val="22"/>
          <w:szCs w:val="22"/>
          <w:lang w:val="pt-BR"/>
        </w:rPr>
        <w:t>estih</w:t>
      </w:r>
      <w:r>
        <w:rPr>
          <w:sz w:val="22"/>
          <w:szCs w:val="22"/>
          <w:lang w:val="sr-Latn-CS"/>
        </w:rPr>
        <w:t xml:space="preserve"> </w:t>
      </w:r>
      <w:r>
        <w:rPr>
          <w:sz w:val="22"/>
          <w:szCs w:val="22"/>
          <w:lang w:val="pt-BR"/>
        </w:rPr>
        <w:t>kontrola</w:t>
      </w:r>
      <w:r>
        <w:rPr>
          <w:sz w:val="22"/>
          <w:szCs w:val="22"/>
          <w:lang w:val="sr-Latn-CS"/>
        </w:rPr>
        <w:t xml:space="preserve"> (</w:t>
      </w:r>
      <w:r>
        <w:rPr>
          <w:sz w:val="22"/>
          <w:szCs w:val="22"/>
          <w:lang w:val="pt-BR"/>
        </w:rPr>
        <w:t>na</w:t>
      </w:r>
      <w:r>
        <w:rPr>
          <w:sz w:val="22"/>
          <w:szCs w:val="22"/>
          <w:lang w:val="sr-Latn-CS"/>
        </w:rPr>
        <w:t xml:space="preserve"> </w:t>
      </w:r>
      <w:r>
        <w:rPr>
          <w:sz w:val="22"/>
          <w:szCs w:val="22"/>
          <w:lang w:val="pt-BR"/>
        </w:rPr>
        <w:t>pr</w:t>
      </w:r>
      <w:r>
        <w:rPr>
          <w:sz w:val="22"/>
          <w:szCs w:val="22"/>
          <w:lang w:val="sr-Latn-CS"/>
        </w:rPr>
        <w:t xml:space="preserve">. </w:t>
      </w:r>
      <w:r>
        <w:rPr>
          <w:sz w:val="22"/>
          <w:szCs w:val="22"/>
          <w:lang w:val="pt-BR"/>
        </w:rPr>
        <w:t>svakih</w:t>
      </w:r>
      <w:r>
        <w:rPr>
          <w:sz w:val="22"/>
          <w:szCs w:val="22"/>
          <w:lang w:val="sr-Latn-CS"/>
        </w:rPr>
        <w:t xml:space="preserve"> 6-8 </w:t>
      </w:r>
      <w:r>
        <w:rPr>
          <w:sz w:val="22"/>
          <w:szCs w:val="22"/>
          <w:lang w:val="pt-BR"/>
        </w:rPr>
        <w:t>nedjelja</w:t>
      </w:r>
      <w:r>
        <w:rPr>
          <w:sz w:val="22"/>
          <w:szCs w:val="22"/>
          <w:lang w:val="sr-Latn-CS"/>
        </w:rPr>
        <w:t xml:space="preserve">). </w:t>
      </w:r>
      <w:r>
        <w:rPr>
          <w:sz w:val="22"/>
          <w:szCs w:val="22"/>
          <w:lang w:val="pt-BR"/>
        </w:rPr>
        <w:t>Ako</w:t>
      </w:r>
      <w:r>
        <w:rPr>
          <w:sz w:val="22"/>
          <w:szCs w:val="22"/>
          <w:lang w:val="sr-Latn-CS"/>
        </w:rPr>
        <w:t xml:space="preserve"> </w:t>
      </w:r>
      <w:r>
        <w:rPr>
          <w:sz w:val="22"/>
          <w:szCs w:val="22"/>
          <w:lang w:val="pt-BR"/>
        </w:rPr>
        <w:t>pacijenti</w:t>
      </w:r>
      <w:r>
        <w:rPr>
          <w:sz w:val="22"/>
          <w:szCs w:val="22"/>
          <w:lang w:val="sr-Latn-CS"/>
        </w:rPr>
        <w:t xml:space="preserve"> </w:t>
      </w:r>
      <w:r>
        <w:rPr>
          <w:sz w:val="22"/>
          <w:szCs w:val="22"/>
          <w:lang w:val="pt-BR"/>
        </w:rPr>
        <w:t>imaju</w:t>
      </w:r>
      <w:r>
        <w:rPr>
          <w:sz w:val="22"/>
          <w:szCs w:val="22"/>
          <w:lang w:val="sr-Latn-CS"/>
        </w:rPr>
        <w:t xml:space="preserve"> </w:t>
      </w:r>
      <w:r>
        <w:rPr>
          <w:sz w:val="22"/>
          <w:szCs w:val="22"/>
          <w:lang w:val="pt-BR"/>
        </w:rPr>
        <w:t>kontinuirani</w:t>
      </w:r>
      <w:r>
        <w:rPr>
          <w:sz w:val="22"/>
          <w:szCs w:val="22"/>
          <w:lang w:val="sr-Latn-CS"/>
        </w:rPr>
        <w:t xml:space="preserve"> </w:t>
      </w:r>
      <w:r>
        <w:rPr>
          <w:sz w:val="22"/>
          <w:szCs w:val="22"/>
          <w:lang w:val="pt-BR"/>
        </w:rPr>
        <w:t>pad</w:t>
      </w:r>
      <w:r>
        <w:rPr>
          <w:sz w:val="22"/>
          <w:szCs w:val="22"/>
          <w:lang w:val="sr-Latn-CS"/>
        </w:rPr>
        <w:t xml:space="preserve"> </w:t>
      </w:r>
      <w:r>
        <w:rPr>
          <w:sz w:val="22"/>
          <w:szCs w:val="22"/>
          <w:lang w:val="pt-BR"/>
        </w:rPr>
        <w:t>funkcije</w:t>
      </w:r>
      <w:r>
        <w:rPr>
          <w:sz w:val="22"/>
          <w:szCs w:val="22"/>
          <w:lang w:val="sr-Latn-CS"/>
        </w:rPr>
        <w:t xml:space="preserve"> </w:t>
      </w:r>
      <w:r>
        <w:rPr>
          <w:sz w:val="22"/>
          <w:szCs w:val="22"/>
          <w:lang w:val="pt-BR"/>
        </w:rPr>
        <w:t>lijeve</w:t>
      </w:r>
      <w:r>
        <w:rPr>
          <w:sz w:val="22"/>
          <w:szCs w:val="22"/>
          <w:lang w:val="sr-Latn-CS"/>
        </w:rPr>
        <w:t xml:space="preserve"> </w:t>
      </w:r>
      <w:r>
        <w:rPr>
          <w:sz w:val="22"/>
          <w:szCs w:val="22"/>
          <w:lang w:val="pt-BR"/>
        </w:rPr>
        <w:t>komore</w:t>
      </w:r>
      <w:r>
        <w:rPr>
          <w:sz w:val="22"/>
          <w:szCs w:val="22"/>
          <w:lang w:val="sr-Latn-CS"/>
        </w:rPr>
        <w:t xml:space="preserve">, </w:t>
      </w:r>
      <w:r>
        <w:rPr>
          <w:sz w:val="22"/>
          <w:szCs w:val="22"/>
          <w:lang w:val="pt-BR"/>
        </w:rPr>
        <w:t>ali</w:t>
      </w:r>
      <w:r>
        <w:rPr>
          <w:sz w:val="22"/>
          <w:szCs w:val="22"/>
          <w:lang w:val="sr-Latn-CS"/>
        </w:rPr>
        <w:t xml:space="preserve"> </w:t>
      </w:r>
      <w:r>
        <w:rPr>
          <w:sz w:val="22"/>
          <w:szCs w:val="22"/>
          <w:lang w:val="pt-BR"/>
        </w:rPr>
        <w:t>ostaju</w:t>
      </w:r>
      <w:r>
        <w:rPr>
          <w:sz w:val="22"/>
          <w:szCs w:val="22"/>
          <w:lang w:val="sr-Latn-CS"/>
        </w:rPr>
        <w:t xml:space="preserve"> </w:t>
      </w:r>
      <w:r>
        <w:rPr>
          <w:sz w:val="22"/>
          <w:szCs w:val="22"/>
          <w:lang w:val="pt-BR"/>
        </w:rPr>
        <w:t>asimptomatski</w:t>
      </w:r>
      <w:r>
        <w:rPr>
          <w:sz w:val="22"/>
          <w:szCs w:val="22"/>
          <w:lang w:val="sr-Latn-CS"/>
        </w:rPr>
        <w:t xml:space="preserve">, </w:t>
      </w:r>
      <w:r>
        <w:rPr>
          <w:sz w:val="22"/>
          <w:szCs w:val="22"/>
          <w:lang w:val="pt-BR"/>
        </w:rPr>
        <w:t>ljekar</w:t>
      </w:r>
      <w:r>
        <w:rPr>
          <w:sz w:val="22"/>
          <w:szCs w:val="22"/>
          <w:lang w:val="sr-Latn-CS"/>
        </w:rPr>
        <w:t xml:space="preserve"> </w:t>
      </w:r>
      <w:r>
        <w:rPr>
          <w:sz w:val="22"/>
          <w:szCs w:val="22"/>
          <w:lang w:val="pt-BR"/>
        </w:rPr>
        <w:t>treba</w:t>
      </w:r>
      <w:r>
        <w:rPr>
          <w:sz w:val="22"/>
          <w:szCs w:val="22"/>
          <w:lang w:val="sr-Latn-CS"/>
        </w:rPr>
        <w:t xml:space="preserve"> </w:t>
      </w:r>
      <w:r>
        <w:rPr>
          <w:sz w:val="22"/>
          <w:szCs w:val="22"/>
          <w:lang w:val="pt-BR"/>
        </w:rPr>
        <w:t>da</w:t>
      </w:r>
      <w:r>
        <w:rPr>
          <w:sz w:val="22"/>
          <w:szCs w:val="22"/>
          <w:lang w:val="sr-Latn-CS"/>
        </w:rPr>
        <w:t xml:space="preserve"> </w:t>
      </w:r>
      <w:r>
        <w:rPr>
          <w:sz w:val="22"/>
          <w:szCs w:val="22"/>
          <w:lang w:val="pt-BR"/>
        </w:rPr>
        <w:t>razmisli</w:t>
      </w:r>
      <w:r>
        <w:rPr>
          <w:sz w:val="22"/>
          <w:szCs w:val="22"/>
          <w:lang w:val="sr-Latn-CS"/>
        </w:rPr>
        <w:t xml:space="preserve"> </w:t>
      </w:r>
      <w:r>
        <w:rPr>
          <w:sz w:val="22"/>
          <w:szCs w:val="22"/>
          <w:lang w:val="pt-BR"/>
        </w:rPr>
        <w:t>o</w:t>
      </w:r>
      <w:r>
        <w:rPr>
          <w:sz w:val="22"/>
          <w:szCs w:val="22"/>
          <w:lang w:val="sr-Latn-CS"/>
        </w:rPr>
        <w:t xml:space="preserve"> </w:t>
      </w:r>
      <w:r>
        <w:rPr>
          <w:sz w:val="22"/>
          <w:szCs w:val="22"/>
          <w:lang w:val="pt-BR"/>
        </w:rPr>
        <w:t>prekidu</w:t>
      </w:r>
      <w:r>
        <w:rPr>
          <w:sz w:val="22"/>
          <w:szCs w:val="22"/>
          <w:lang w:val="sr-Latn-CS"/>
        </w:rPr>
        <w:t xml:space="preserve"> </w:t>
      </w:r>
      <w:r>
        <w:rPr>
          <w:sz w:val="22"/>
          <w:szCs w:val="22"/>
          <w:lang w:val="pt-BR"/>
        </w:rPr>
        <w:t>terapije</w:t>
      </w:r>
      <w:r>
        <w:rPr>
          <w:sz w:val="22"/>
          <w:szCs w:val="22"/>
          <w:lang w:val="sr-Latn-CS"/>
        </w:rPr>
        <w:t xml:space="preserve"> </w:t>
      </w:r>
      <w:r>
        <w:rPr>
          <w:sz w:val="22"/>
          <w:szCs w:val="22"/>
          <w:lang w:val="pt-BR"/>
        </w:rPr>
        <w:t>ako</w:t>
      </w:r>
      <w:r>
        <w:rPr>
          <w:sz w:val="22"/>
          <w:szCs w:val="22"/>
          <w:lang w:val="sr-Latn-CS"/>
        </w:rPr>
        <w:t xml:space="preserve"> </w:t>
      </w:r>
      <w:r>
        <w:rPr>
          <w:sz w:val="22"/>
          <w:szCs w:val="22"/>
          <w:lang w:val="pt-BR"/>
        </w:rPr>
        <w:t>nema</w:t>
      </w:r>
      <w:r>
        <w:rPr>
          <w:sz w:val="22"/>
          <w:szCs w:val="22"/>
          <w:lang w:val="sr-Latn-CS"/>
        </w:rPr>
        <w:t xml:space="preserve"> </w:t>
      </w:r>
      <w:r>
        <w:rPr>
          <w:sz w:val="22"/>
          <w:szCs w:val="22"/>
          <w:lang w:val="pt-BR"/>
        </w:rPr>
        <w:t>manifestnih</w:t>
      </w:r>
      <w:r>
        <w:rPr>
          <w:sz w:val="22"/>
          <w:szCs w:val="22"/>
          <w:lang w:val="sr-Latn-CS"/>
        </w:rPr>
        <w:t xml:space="preserve"> </w:t>
      </w:r>
      <w:r>
        <w:rPr>
          <w:sz w:val="22"/>
          <w:szCs w:val="22"/>
          <w:lang w:val="pt-BR"/>
        </w:rPr>
        <w:t>klini</w:t>
      </w:r>
      <w:r>
        <w:rPr>
          <w:sz w:val="22"/>
          <w:szCs w:val="22"/>
          <w:lang w:val="sr-Latn-CS"/>
        </w:rPr>
        <w:t>č</w:t>
      </w:r>
      <w:r>
        <w:rPr>
          <w:sz w:val="22"/>
          <w:szCs w:val="22"/>
          <w:lang w:val="pt-BR"/>
        </w:rPr>
        <w:t>kih</w:t>
      </w:r>
      <w:r>
        <w:rPr>
          <w:sz w:val="22"/>
          <w:szCs w:val="22"/>
          <w:lang w:val="sr-Latn-CS"/>
        </w:rPr>
        <w:t xml:space="preserve"> </w:t>
      </w:r>
      <w:r>
        <w:rPr>
          <w:sz w:val="22"/>
          <w:szCs w:val="22"/>
          <w:lang w:val="pt-BR"/>
        </w:rPr>
        <w:t>koristi</w:t>
      </w:r>
      <w:r>
        <w:rPr>
          <w:sz w:val="22"/>
          <w:szCs w:val="22"/>
          <w:lang w:val="sr-Latn-CS"/>
        </w:rPr>
        <w:t xml:space="preserve"> </w:t>
      </w:r>
      <w:r>
        <w:rPr>
          <w:sz w:val="22"/>
          <w:szCs w:val="22"/>
          <w:lang w:val="pt-BR"/>
        </w:rPr>
        <w:t>od</w:t>
      </w:r>
      <w:r>
        <w:rPr>
          <w:sz w:val="22"/>
          <w:szCs w:val="22"/>
          <w:lang w:val="sr-Latn-CS"/>
        </w:rPr>
        <w:t xml:space="preserve"> </w:t>
      </w:r>
      <w:r w:rsidR="001A2304">
        <w:rPr>
          <w:sz w:val="22"/>
          <w:szCs w:val="22"/>
          <w:lang w:val="sr-Latn-CS"/>
        </w:rPr>
        <w:t xml:space="preserve">lijeka </w:t>
      </w:r>
      <w:r>
        <w:rPr>
          <w:sz w:val="22"/>
          <w:szCs w:val="22"/>
          <w:lang w:val="pt-BR"/>
        </w:rPr>
        <w:t>Herceptina</w:t>
      </w:r>
      <w:r>
        <w:rPr>
          <w:sz w:val="22"/>
          <w:szCs w:val="22"/>
          <w:lang w:val="sr-Latn-CS"/>
        </w:rPr>
        <w:t xml:space="preserve">. </w:t>
      </w:r>
    </w:p>
    <w:p w14:paraId="1E944B82" w14:textId="77777777" w:rsidR="00B05AA9" w:rsidRDefault="00B05AA9" w:rsidP="00641EEB">
      <w:pPr>
        <w:tabs>
          <w:tab w:val="left" w:pos="708"/>
        </w:tabs>
        <w:jc w:val="both"/>
        <w:rPr>
          <w:sz w:val="22"/>
          <w:szCs w:val="22"/>
          <w:lang w:val="sr-Latn-CS"/>
        </w:rPr>
      </w:pPr>
    </w:p>
    <w:p w14:paraId="3A2169E2" w14:textId="5F625C19" w:rsidR="00B05AA9" w:rsidRDefault="00B05AA9" w:rsidP="00641EEB">
      <w:pPr>
        <w:jc w:val="both"/>
        <w:rPr>
          <w:sz w:val="22"/>
          <w:szCs w:val="22"/>
          <w:lang w:val="sr-Latn-CS"/>
        </w:rPr>
      </w:pPr>
      <w:r>
        <w:rPr>
          <w:sz w:val="22"/>
          <w:szCs w:val="22"/>
          <w:lang w:val="pt-BR"/>
        </w:rPr>
        <w:t>Bezbjednost</w:t>
      </w:r>
      <w:r>
        <w:rPr>
          <w:sz w:val="22"/>
          <w:szCs w:val="22"/>
          <w:lang w:val="sr-Latn-CS"/>
        </w:rPr>
        <w:t xml:space="preserve"> </w:t>
      </w:r>
      <w:r>
        <w:rPr>
          <w:sz w:val="22"/>
          <w:szCs w:val="22"/>
          <w:lang w:val="pt-BR"/>
        </w:rPr>
        <w:t>kontinuirane</w:t>
      </w:r>
      <w:r>
        <w:rPr>
          <w:sz w:val="22"/>
          <w:szCs w:val="22"/>
          <w:lang w:val="sr-Latn-CS"/>
        </w:rPr>
        <w:t xml:space="preserve"> </w:t>
      </w:r>
      <w:r>
        <w:rPr>
          <w:sz w:val="22"/>
          <w:szCs w:val="22"/>
          <w:lang w:val="pt-BR"/>
        </w:rPr>
        <w:t>ili</w:t>
      </w:r>
      <w:r>
        <w:rPr>
          <w:sz w:val="22"/>
          <w:szCs w:val="22"/>
          <w:lang w:val="sr-Latn-CS"/>
        </w:rPr>
        <w:t xml:space="preserve"> </w:t>
      </w:r>
      <w:r>
        <w:rPr>
          <w:sz w:val="22"/>
          <w:szCs w:val="22"/>
          <w:lang w:val="pt-BR"/>
        </w:rPr>
        <w:t>ponovne</w:t>
      </w:r>
      <w:r>
        <w:rPr>
          <w:sz w:val="22"/>
          <w:szCs w:val="22"/>
          <w:lang w:val="sr-Latn-CS"/>
        </w:rPr>
        <w:t xml:space="preserve"> </w:t>
      </w:r>
      <w:r>
        <w:rPr>
          <w:sz w:val="22"/>
          <w:szCs w:val="22"/>
          <w:lang w:val="pt-BR"/>
        </w:rPr>
        <w:t>primjene</w:t>
      </w:r>
      <w:r>
        <w:rPr>
          <w:sz w:val="22"/>
          <w:szCs w:val="22"/>
          <w:lang w:val="sr-Latn-CS"/>
        </w:rPr>
        <w:t xml:space="preserve"> </w:t>
      </w:r>
      <w:r>
        <w:rPr>
          <w:sz w:val="22"/>
          <w:szCs w:val="22"/>
          <w:lang w:val="pt-BR"/>
        </w:rPr>
        <w:t>lijeka</w:t>
      </w:r>
      <w:r>
        <w:rPr>
          <w:sz w:val="22"/>
          <w:szCs w:val="22"/>
          <w:lang w:val="sr-Latn-CS"/>
        </w:rPr>
        <w:t xml:space="preserve"> </w:t>
      </w:r>
      <w:r>
        <w:rPr>
          <w:sz w:val="22"/>
          <w:szCs w:val="22"/>
          <w:lang w:val="pt-BR"/>
        </w:rPr>
        <w:t>Herceptin</w:t>
      </w:r>
      <w:r>
        <w:rPr>
          <w:sz w:val="22"/>
          <w:szCs w:val="22"/>
          <w:lang w:val="sr-Latn-CS"/>
        </w:rPr>
        <w:t xml:space="preserve"> </w:t>
      </w:r>
      <w:r>
        <w:rPr>
          <w:sz w:val="22"/>
          <w:szCs w:val="22"/>
          <w:lang w:val="pt-BR"/>
        </w:rPr>
        <w:t>kod</w:t>
      </w:r>
      <w:r>
        <w:rPr>
          <w:sz w:val="22"/>
          <w:szCs w:val="22"/>
          <w:lang w:val="sr-Latn-CS"/>
        </w:rPr>
        <w:t xml:space="preserve"> </w:t>
      </w:r>
      <w:r>
        <w:rPr>
          <w:sz w:val="22"/>
          <w:szCs w:val="22"/>
          <w:lang w:val="pt-BR"/>
        </w:rPr>
        <w:t>pacijenata</w:t>
      </w:r>
      <w:r>
        <w:rPr>
          <w:sz w:val="22"/>
          <w:szCs w:val="22"/>
          <w:lang w:val="sr-Latn-CS"/>
        </w:rPr>
        <w:t xml:space="preserve"> </w:t>
      </w:r>
      <w:r>
        <w:rPr>
          <w:sz w:val="22"/>
          <w:szCs w:val="22"/>
          <w:lang w:val="pt-BR"/>
        </w:rPr>
        <w:t>kod</w:t>
      </w:r>
      <w:r>
        <w:rPr>
          <w:sz w:val="22"/>
          <w:szCs w:val="22"/>
          <w:lang w:val="sr-Latn-CS"/>
        </w:rPr>
        <w:t xml:space="preserve"> </w:t>
      </w:r>
      <w:r>
        <w:rPr>
          <w:sz w:val="22"/>
          <w:szCs w:val="22"/>
          <w:lang w:val="pt-BR"/>
        </w:rPr>
        <w:t>kojih</w:t>
      </w:r>
      <w:r>
        <w:rPr>
          <w:sz w:val="22"/>
          <w:szCs w:val="22"/>
          <w:lang w:val="sr-Latn-CS"/>
        </w:rPr>
        <w:t xml:space="preserve"> </w:t>
      </w:r>
      <w:r>
        <w:rPr>
          <w:sz w:val="22"/>
          <w:szCs w:val="22"/>
          <w:lang w:val="pt-BR"/>
        </w:rPr>
        <w:t>se</w:t>
      </w:r>
      <w:r>
        <w:rPr>
          <w:sz w:val="22"/>
          <w:szCs w:val="22"/>
          <w:lang w:val="sr-Latn-CS"/>
        </w:rPr>
        <w:t xml:space="preserve"> </w:t>
      </w:r>
      <w:r>
        <w:rPr>
          <w:sz w:val="22"/>
          <w:szCs w:val="22"/>
          <w:lang w:val="pt-BR"/>
        </w:rPr>
        <w:t>razvila</w:t>
      </w:r>
      <w:r>
        <w:rPr>
          <w:sz w:val="22"/>
          <w:szCs w:val="22"/>
          <w:lang w:val="sr-Latn-CS"/>
        </w:rPr>
        <w:t xml:space="preserve"> </w:t>
      </w:r>
      <w:r>
        <w:rPr>
          <w:sz w:val="22"/>
          <w:szCs w:val="22"/>
          <w:lang w:val="pt-BR"/>
        </w:rPr>
        <w:t>disfunkcija</w:t>
      </w:r>
      <w:r>
        <w:rPr>
          <w:sz w:val="22"/>
          <w:szCs w:val="22"/>
          <w:lang w:val="sr-Latn-CS"/>
        </w:rPr>
        <w:t xml:space="preserve"> </w:t>
      </w:r>
      <w:r>
        <w:rPr>
          <w:sz w:val="22"/>
          <w:szCs w:val="22"/>
          <w:lang w:val="pt-BR"/>
        </w:rPr>
        <w:t>srca</w:t>
      </w:r>
      <w:r>
        <w:rPr>
          <w:sz w:val="22"/>
          <w:szCs w:val="22"/>
          <w:lang w:val="sr-Latn-CS"/>
        </w:rPr>
        <w:t xml:space="preserve"> </w:t>
      </w:r>
      <w:r>
        <w:rPr>
          <w:sz w:val="22"/>
          <w:szCs w:val="22"/>
          <w:lang w:val="pt-BR"/>
        </w:rPr>
        <w:t>nije</w:t>
      </w:r>
      <w:r>
        <w:rPr>
          <w:sz w:val="22"/>
          <w:szCs w:val="22"/>
          <w:lang w:val="sr-Latn-CS"/>
        </w:rPr>
        <w:t xml:space="preserve"> </w:t>
      </w:r>
      <w:r>
        <w:rPr>
          <w:sz w:val="22"/>
          <w:szCs w:val="22"/>
          <w:lang w:val="pt-BR"/>
        </w:rPr>
        <w:t>prospektivno</w:t>
      </w:r>
      <w:r>
        <w:rPr>
          <w:sz w:val="22"/>
          <w:szCs w:val="22"/>
          <w:lang w:val="sr-Latn-CS"/>
        </w:rPr>
        <w:t xml:space="preserve"> </w:t>
      </w:r>
      <w:r>
        <w:rPr>
          <w:sz w:val="22"/>
          <w:szCs w:val="22"/>
          <w:lang w:val="pt-BR"/>
        </w:rPr>
        <w:t>ispitana</w:t>
      </w:r>
      <w:r>
        <w:rPr>
          <w:sz w:val="22"/>
          <w:szCs w:val="22"/>
          <w:lang w:val="sr-Latn-CS"/>
        </w:rPr>
        <w:t xml:space="preserve">. </w:t>
      </w:r>
      <w:r>
        <w:rPr>
          <w:sz w:val="22"/>
          <w:szCs w:val="22"/>
          <w:lang w:val="pt-BR"/>
        </w:rPr>
        <w:t>Ako</w:t>
      </w:r>
      <w:r>
        <w:rPr>
          <w:sz w:val="22"/>
          <w:szCs w:val="22"/>
          <w:lang w:val="sr-Latn-CS"/>
        </w:rPr>
        <w:t xml:space="preserve"> </w:t>
      </w:r>
      <w:r>
        <w:rPr>
          <w:sz w:val="22"/>
          <w:szCs w:val="22"/>
          <w:lang w:val="pt-BR"/>
        </w:rPr>
        <w:t>procenat</w:t>
      </w:r>
      <w:r>
        <w:rPr>
          <w:sz w:val="22"/>
          <w:szCs w:val="22"/>
          <w:lang w:val="sr-Latn-CS"/>
        </w:rPr>
        <w:t xml:space="preserve"> </w:t>
      </w:r>
      <w:r>
        <w:rPr>
          <w:sz w:val="22"/>
          <w:szCs w:val="22"/>
          <w:lang w:val="pt-BR"/>
        </w:rPr>
        <w:t>LVEF</w:t>
      </w:r>
      <w:r>
        <w:rPr>
          <w:sz w:val="22"/>
          <w:szCs w:val="22"/>
          <w:lang w:val="sr-Latn-CS"/>
        </w:rPr>
        <w:t xml:space="preserve"> </w:t>
      </w:r>
      <w:r>
        <w:rPr>
          <w:sz w:val="22"/>
          <w:szCs w:val="22"/>
          <w:lang w:val="pt-BR"/>
        </w:rPr>
        <w:t>padne</w:t>
      </w:r>
      <w:r>
        <w:rPr>
          <w:sz w:val="22"/>
          <w:szCs w:val="22"/>
          <w:lang w:val="sr-Latn-CS"/>
        </w:rPr>
        <w:t xml:space="preserve"> </w:t>
      </w:r>
      <w:r>
        <w:rPr>
          <w:sz w:val="22"/>
          <w:szCs w:val="22"/>
          <w:lang w:val="pt-BR"/>
        </w:rPr>
        <w:t>za</w:t>
      </w:r>
      <w:r>
        <w:rPr>
          <w:sz w:val="22"/>
          <w:szCs w:val="22"/>
          <w:lang w:val="sr-Latn-CS"/>
        </w:rPr>
        <w:t xml:space="preserve"> ≥ 10 </w:t>
      </w:r>
      <w:r>
        <w:rPr>
          <w:sz w:val="22"/>
          <w:szCs w:val="22"/>
          <w:lang w:val="pt-BR"/>
        </w:rPr>
        <w:t>poena</w:t>
      </w:r>
      <w:r>
        <w:rPr>
          <w:sz w:val="22"/>
          <w:szCs w:val="22"/>
          <w:lang w:val="sr-Latn-CS"/>
        </w:rPr>
        <w:t xml:space="preserve"> </w:t>
      </w:r>
      <w:r>
        <w:rPr>
          <w:sz w:val="22"/>
          <w:szCs w:val="22"/>
          <w:lang w:val="pt-BR"/>
        </w:rPr>
        <w:t>ispod</w:t>
      </w:r>
      <w:r>
        <w:rPr>
          <w:sz w:val="22"/>
          <w:szCs w:val="22"/>
          <w:lang w:val="sr-Latn-CS"/>
        </w:rPr>
        <w:t xml:space="preserve"> </w:t>
      </w:r>
      <w:r>
        <w:rPr>
          <w:sz w:val="22"/>
          <w:szCs w:val="22"/>
          <w:lang w:val="pt-BR"/>
        </w:rPr>
        <w:t>rezultata</w:t>
      </w:r>
      <w:r>
        <w:rPr>
          <w:sz w:val="22"/>
          <w:szCs w:val="22"/>
          <w:lang w:val="sr-Latn-CS"/>
        </w:rPr>
        <w:t xml:space="preserve"> </w:t>
      </w:r>
      <w:r>
        <w:rPr>
          <w:sz w:val="22"/>
          <w:szCs w:val="22"/>
          <w:lang w:val="pt-BR"/>
        </w:rPr>
        <w:t>zabilje</w:t>
      </w:r>
      <w:r>
        <w:rPr>
          <w:sz w:val="22"/>
          <w:szCs w:val="22"/>
          <w:lang w:val="sr-Latn-CS"/>
        </w:rPr>
        <w:t>ž</w:t>
      </w:r>
      <w:r>
        <w:rPr>
          <w:sz w:val="22"/>
          <w:szCs w:val="22"/>
          <w:lang w:val="pt-BR"/>
        </w:rPr>
        <w:t>enog</w:t>
      </w:r>
      <w:r>
        <w:rPr>
          <w:sz w:val="22"/>
          <w:szCs w:val="22"/>
          <w:lang w:val="sr-Latn-CS"/>
        </w:rPr>
        <w:t xml:space="preserve"> </w:t>
      </w:r>
      <w:r>
        <w:rPr>
          <w:sz w:val="22"/>
          <w:szCs w:val="22"/>
          <w:lang w:val="pt-BR"/>
        </w:rPr>
        <w:t>prije</w:t>
      </w:r>
      <w:r>
        <w:rPr>
          <w:sz w:val="22"/>
          <w:szCs w:val="22"/>
          <w:lang w:val="sr-Latn-CS"/>
        </w:rPr>
        <w:t xml:space="preserve"> </w:t>
      </w:r>
      <w:r>
        <w:rPr>
          <w:sz w:val="22"/>
          <w:szCs w:val="22"/>
          <w:lang w:val="pt-BR"/>
        </w:rPr>
        <w:t>uvo</w:t>
      </w:r>
      <w:r>
        <w:rPr>
          <w:sz w:val="22"/>
          <w:szCs w:val="22"/>
          <w:lang w:val="sr-Latn-CS"/>
        </w:rPr>
        <w:t>đ</w:t>
      </w:r>
      <w:r>
        <w:rPr>
          <w:sz w:val="22"/>
          <w:szCs w:val="22"/>
          <w:lang w:val="pt-BR"/>
        </w:rPr>
        <w:t>enja</w:t>
      </w:r>
      <w:r>
        <w:rPr>
          <w:sz w:val="22"/>
          <w:szCs w:val="22"/>
          <w:lang w:val="sr-Latn-CS"/>
        </w:rPr>
        <w:t xml:space="preserve"> </w:t>
      </w:r>
      <w:r>
        <w:rPr>
          <w:sz w:val="22"/>
          <w:szCs w:val="22"/>
          <w:lang w:val="pt-BR"/>
        </w:rPr>
        <w:t>terapije</w:t>
      </w:r>
      <w:r>
        <w:rPr>
          <w:sz w:val="22"/>
          <w:szCs w:val="22"/>
          <w:lang w:val="sr-Latn-CS"/>
        </w:rPr>
        <w:t xml:space="preserve"> (</w:t>
      </w:r>
      <w:r>
        <w:rPr>
          <w:sz w:val="22"/>
          <w:szCs w:val="22"/>
          <w:lang w:val="pt-BR"/>
        </w:rPr>
        <w:t>bazalnog</w:t>
      </w:r>
      <w:r>
        <w:rPr>
          <w:sz w:val="22"/>
          <w:szCs w:val="22"/>
          <w:lang w:val="sr-Latn-CS"/>
        </w:rPr>
        <w:t xml:space="preserve">) </w:t>
      </w:r>
      <w:r>
        <w:rPr>
          <w:sz w:val="22"/>
          <w:szCs w:val="22"/>
          <w:lang w:val="pt-BR"/>
        </w:rPr>
        <w:t>i</w:t>
      </w:r>
      <w:r>
        <w:rPr>
          <w:b/>
          <w:caps/>
          <w:sz w:val="22"/>
          <w:szCs w:val="22"/>
          <w:lang w:val="sr-Latn-CS"/>
        </w:rPr>
        <w:t xml:space="preserve"> </w:t>
      </w:r>
      <w:r w:rsidR="004B1402" w:rsidRPr="00BA76B8">
        <w:rPr>
          <w:caps/>
          <w:sz w:val="22"/>
          <w:szCs w:val="22"/>
          <w:lang w:val="sr-Latn-CS"/>
        </w:rPr>
        <w:t>takođe</w:t>
      </w:r>
      <w:r w:rsidR="004B1402">
        <w:rPr>
          <w:b/>
          <w:caps/>
          <w:sz w:val="22"/>
          <w:szCs w:val="22"/>
          <w:lang w:val="sr-Latn-CS"/>
        </w:rPr>
        <w:t xml:space="preserve"> </w:t>
      </w:r>
      <w:r>
        <w:rPr>
          <w:sz w:val="22"/>
          <w:szCs w:val="22"/>
          <w:lang w:val="pt-BR"/>
        </w:rPr>
        <w:t>na</w:t>
      </w:r>
      <w:r>
        <w:rPr>
          <w:sz w:val="22"/>
          <w:szCs w:val="22"/>
          <w:lang w:val="sr-Latn-CS"/>
        </w:rPr>
        <w:t xml:space="preserve"> </w:t>
      </w:r>
      <w:r w:rsidR="004B1402">
        <w:rPr>
          <w:sz w:val="22"/>
          <w:szCs w:val="22"/>
          <w:lang w:val="pt-BR"/>
        </w:rPr>
        <w:t>manje od</w:t>
      </w:r>
      <w:r w:rsidR="004B1402">
        <w:rPr>
          <w:sz w:val="22"/>
          <w:szCs w:val="22"/>
          <w:lang w:val="sr-Latn-CS"/>
        </w:rPr>
        <w:t xml:space="preserve"> </w:t>
      </w:r>
      <w:r>
        <w:rPr>
          <w:sz w:val="22"/>
          <w:szCs w:val="22"/>
          <w:lang w:val="sr-Latn-CS"/>
        </w:rPr>
        <w:t xml:space="preserve">50%, </w:t>
      </w:r>
      <w:r>
        <w:rPr>
          <w:sz w:val="22"/>
          <w:szCs w:val="22"/>
          <w:lang w:val="pt-BR"/>
        </w:rPr>
        <w:t>terapiju</w:t>
      </w:r>
      <w:r>
        <w:rPr>
          <w:sz w:val="22"/>
          <w:szCs w:val="22"/>
          <w:lang w:val="sr-Latn-CS"/>
        </w:rPr>
        <w:t xml:space="preserve"> </w:t>
      </w:r>
      <w:r>
        <w:rPr>
          <w:sz w:val="22"/>
          <w:szCs w:val="22"/>
          <w:lang w:val="pt-BR"/>
        </w:rPr>
        <w:t>treba</w:t>
      </w:r>
      <w:r>
        <w:rPr>
          <w:sz w:val="22"/>
          <w:szCs w:val="22"/>
          <w:lang w:val="sr-Latn-CS"/>
        </w:rPr>
        <w:t xml:space="preserve"> </w:t>
      </w:r>
      <w:r>
        <w:rPr>
          <w:sz w:val="22"/>
          <w:szCs w:val="22"/>
          <w:lang w:val="pt-BR"/>
        </w:rPr>
        <w:t>obustaviti</w:t>
      </w:r>
      <w:r>
        <w:rPr>
          <w:sz w:val="22"/>
          <w:szCs w:val="22"/>
          <w:lang w:val="sr-Latn-CS"/>
        </w:rPr>
        <w:t xml:space="preserve">, </w:t>
      </w:r>
      <w:r>
        <w:rPr>
          <w:sz w:val="22"/>
          <w:szCs w:val="22"/>
          <w:lang w:val="pt-BR"/>
        </w:rPr>
        <w:t>a</w:t>
      </w:r>
      <w:r>
        <w:rPr>
          <w:sz w:val="22"/>
          <w:szCs w:val="22"/>
          <w:lang w:val="sr-Latn-CS"/>
        </w:rPr>
        <w:t xml:space="preserve"> </w:t>
      </w:r>
      <w:r>
        <w:rPr>
          <w:sz w:val="22"/>
          <w:szCs w:val="22"/>
          <w:lang w:val="pt-BR"/>
        </w:rPr>
        <w:t>poslije</w:t>
      </w:r>
      <w:r>
        <w:rPr>
          <w:sz w:val="22"/>
          <w:szCs w:val="22"/>
          <w:lang w:val="sr-Latn-CS"/>
        </w:rPr>
        <w:t xml:space="preserve"> </w:t>
      </w:r>
      <w:r>
        <w:rPr>
          <w:sz w:val="22"/>
          <w:szCs w:val="22"/>
          <w:lang w:val="pt-BR"/>
        </w:rPr>
        <w:t>otprilike</w:t>
      </w:r>
      <w:r>
        <w:rPr>
          <w:sz w:val="22"/>
          <w:szCs w:val="22"/>
          <w:lang w:val="sr-Latn-CS"/>
        </w:rPr>
        <w:t xml:space="preserve"> 3 </w:t>
      </w:r>
      <w:r>
        <w:rPr>
          <w:sz w:val="22"/>
          <w:szCs w:val="22"/>
          <w:lang w:val="pt-BR"/>
        </w:rPr>
        <w:t>nedjelje</w:t>
      </w:r>
      <w:r>
        <w:rPr>
          <w:sz w:val="22"/>
          <w:szCs w:val="22"/>
          <w:lang w:val="sr-Latn-CS"/>
        </w:rPr>
        <w:t xml:space="preserve"> </w:t>
      </w:r>
      <w:r>
        <w:rPr>
          <w:sz w:val="22"/>
          <w:szCs w:val="22"/>
          <w:lang w:val="pt-BR"/>
        </w:rPr>
        <w:t>ponovo</w:t>
      </w:r>
      <w:r>
        <w:rPr>
          <w:sz w:val="22"/>
          <w:szCs w:val="22"/>
          <w:lang w:val="sr-Latn-CS"/>
        </w:rPr>
        <w:t xml:space="preserve"> </w:t>
      </w:r>
      <w:r>
        <w:rPr>
          <w:sz w:val="22"/>
          <w:szCs w:val="22"/>
          <w:lang w:val="pt-BR"/>
        </w:rPr>
        <w:t>izvr</w:t>
      </w:r>
      <w:r>
        <w:rPr>
          <w:sz w:val="22"/>
          <w:szCs w:val="22"/>
          <w:lang w:val="sr-Latn-CS"/>
        </w:rPr>
        <w:t>š</w:t>
      </w:r>
      <w:r>
        <w:rPr>
          <w:sz w:val="22"/>
          <w:szCs w:val="22"/>
          <w:lang w:val="pt-BR"/>
        </w:rPr>
        <w:t>iti</w:t>
      </w:r>
      <w:r>
        <w:rPr>
          <w:sz w:val="22"/>
          <w:szCs w:val="22"/>
          <w:lang w:val="sr-Latn-CS"/>
        </w:rPr>
        <w:t xml:space="preserve"> </w:t>
      </w:r>
      <w:r>
        <w:rPr>
          <w:sz w:val="22"/>
          <w:szCs w:val="22"/>
          <w:lang w:val="pt-BR"/>
        </w:rPr>
        <w:t>procjenu</w:t>
      </w:r>
      <w:r>
        <w:rPr>
          <w:sz w:val="22"/>
          <w:szCs w:val="22"/>
          <w:lang w:val="sr-Latn-CS"/>
        </w:rPr>
        <w:t xml:space="preserve"> </w:t>
      </w:r>
      <w:r>
        <w:rPr>
          <w:sz w:val="22"/>
          <w:szCs w:val="22"/>
          <w:lang w:val="pt-BR"/>
        </w:rPr>
        <w:t>LVEF</w:t>
      </w:r>
      <w:r>
        <w:rPr>
          <w:sz w:val="22"/>
          <w:szCs w:val="22"/>
          <w:lang w:val="sr-Latn-CS"/>
        </w:rPr>
        <w:t xml:space="preserve">. </w:t>
      </w:r>
      <w:r>
        <w:rPr>
          <w:sz w:val="22"/>
          <w:szCs w:val="22"/>
          <w:lang w:val="pt-BR"/>
        </w:rPr>
        <w:t>Ako</w:t>
      </w:r>
      <w:r>
        <w:rPr>
          <w:sz w:val="22"/>
          <w:szCs w:val="22"/>
          <w:lang w:val="sr-Latn-CS"/>
        </w:rPr>
        <w:t xml:space="preserve"> </w:t>
      </w:r>
      <w:r>
        <w:rPr>
          <w:sz w:val="22"/>
          <w:szCs w:val="22"/>
          <w:lang w:val="pt-BR"/>
        </w:rPr>
        <w:t>se</w:t>
      </w:r>
      <w:r>
        <w:rPr>
          <w:sz w:val="22"/>
          <w:szCs w:val="22"/>
          <w:lang w:val="sr-Latn-CS"/>
        </w:rPr>
        <w:t xml:space="preserve"> </w:t>
      </w:r>
      <w:r>
        <w:rPr>
          <w:sz w:val="22"/>
          <w:szCs w:val="22"/>
          <w:lang w:val="pt-BR"/>
        </w:rPr>
        <w:t>vrijednost</w:t>
      </w:r>
      <w:r>
        <w:rPr>
          <w:sz w:val="22"/>
          <w:szCs w:val="22"/>
          <w:lang w:val="sr-Latn-CS"/>
        </w:rPr>
        <w:t xml:space="preserve"> </w:t>
      </w:r>
      <w:r>
        <w:rPr>
          <w:sz w:val="22"/>
          <w:szCs w:val="22"/>
          <w:lang w:val="pt-BR"/>
        </w:rPr>
        <w:t>LVEF</w:t>
      </w:r>
      <w:r>
        <w:rPr>
          <w:sz w:val="22"/>
          <w:szCs w:val="22"/>
          <w:lang w:val="sr-Latn-CS"/>
        </w:rPr>
        <w:t xml:space="preserve"> </w:t>
      </w:r>
      <w:r>
        <w:rPr>
          <w:sz w:val="22"/>
          <w:szCs w:val="22"/>
          <w:lang w:val="pt-BR"/>
        </w:rPr>
        <w:t>ne</w:t>
      </w:r>
      <w:r>
        <w:rPr>
          <w:sz w:val="22"/>
          <w:szCs w:val="22"/>
          <w:lang w:val="sr-Latn-CS"/>
        </w:rPr>
        <w:t xml:space="preserve"> </w:t>
      </w:r>
      <w:r>
        <w:rPr>
          <w:sz w:val="22"/>
          <w:szCs w:val="22"/>
          <w:lang w:val="pt-BR"/>
        </w:rPr>
        <w:t>popravi</w:t>
      </w:r>
      <w:r>
        <w:rPr>
          <w:sz w:val="22"/>
          <w:szCs w:val="22"/>
          <w:lang w:val="sr-Latn-CS"/>
        </w:rPr>
        <w:t xml:space="preserve"> </w:t>
      </w:r>
      <w:r>
        <w:rPr>
          <w:sz w:val="22"/>
          <w:szCs w:val="22"/>
          <w:lang w:val="pt-BR"/>
        </w:rPr>
        <w:t>ili</w:t>
      </w:r>
      <w:r>
        <w:rPr>
          <w:sz w:val="22"/>
          <w:szCs w:val="22"/>
          <w:lang w:val="sr-Latn-CS"/>
        </w:rPr>
        <w:t xml:space="preserve"> </w:t>
      </w:r>
      <w:r>
        <w:rPr>
          <w:sz w:val="22"/>
          <w:szCs w:val="22"/>
          <w:lang w:val="pt-BR"/>
        </w:rPr>
        <w:t>dodatno</w:t>
      </w:r>
      <w:r>
        <w:rPr>
          <w:sz w:val="22"/>
          <w:szCs w:val="22"/>
          <w:lang w:val="sr-Latn-CS"/>
        </w:rPr>
        <w:t xml:space="preserve"> </w:t>
      </w:r>
      <w:r>
        <w:rPr>
          <w:sz w:val="22"/>
          <w:szCs w:val="22"/>
          <w:lang w:val="pt-BR"/>
        </w:rPr>
        <w:t>opadne</w:t>
      </w:r>
      <w:r>
        <w:rPr>
          <w:sz w:val="22"/>
          <w:szCs w:val="22"/>
          <w:lang w:val="sr-Latn-CS"/>
        </w:rPr>
        <w:t xml:space="preserve">, </w:t>
      </w:r>
      <w:r>
        <w:rPr>
          <w:sz w:val="22"/>
          <w:szCs w:val="22"/>
          <w:lang w:val="pt-BR"/>
        </w:rPr>
        <w:t>ili</w:t>
      </w:r>
      <w:r>
        <w:rPr>
          <w:sz w:val="22"/>
          <w:szCs w:val="22"/>
          <w:lang w:val="sr-Latn-CS"/>
        </w:rPr>
        <w:t xml:space="preserve"> </w:t>
      </w:r>
      <w:r>
        <w:rPr>
          <w:sz w:val="22"/>
          <w:szCs w:val="22"/>
          <w:lang w:val="pt-BR"/>
        </w:rPr>
        <w:t>ako</w:t>
      </w:r>
      <w:r>
        <w:rPr>
          <w:sz w:val="22"/>
          <w:szCs w:val="22"/>
          <w:lang w:val="sr-Latn-CS"/>
        </w:rPr>
        <w:t xml:space="preserve"> </w:t>
      </w:r>
      <w:r>
        <w:rPr>
          <w:sz w:val="22"/>
          <w:szCs w:val="22"/>
          <w:lang w:val="pt-BR"/>
        </w:rPr>
        <w:t>se</w:t>
      </w:r>
      <w:r>
        <w:rPr>
          <w:sz w:val="22"/>
          <w:szCs w:val="22"/>
          <w:lang w:val="sr-Latn-CS"/>
        </w:rPr>
        <w:t xml:space="preserve"> </w:t>
      </w:r>
      <w:r>
        <w:rPr>
          <w:sz w:val="22"/>
          <w:szCs w:val="22"/>
          <w:lang w:val="pt-BR"/>
        </w:rPr>
        <w:t>razvije</w:t>
      </w:r>
      <w:r>
        <w:rPr>
          <w:sz w:val="22"/>
          <w:szCs w:val="22"/>
          <w:lang w:val="sr-Latn-CS"/>
        </w:rPr>
        <w:t xml:space="preserve"> </w:t>
      </w:r>
      <w:r>
        <w:rPr>
          <w:sz w:val="22"/>
          <w:szCs w:val="22"/>
          <w:lang w:val="pt-BR"/>
        </w:rPr>
        <w:t>simptomatska</w:t>
      </w:r>
      <w:r>
        <w:rPr>
          <w:sz w:val="22"/>
          <w:szCs w:val="22"/>
          <w:lang w:val="sr-Latn-CS"/>
        </w:rPr>
        <w:t xml:space="preserve"> </w:t>
      </w:r>
      <w:r>
        <w:rPr>
          <w:sz w:val="22"/>
          <w:szCs w:val="22"/>
          <w:lang w:val="pt-BR"/>
        </w:rPr>
        <w:t>kongestivna</w:t>
      </w:r>
      <w:r>
        <w:rPr>
          <w:sz w:val="22"/>
          <w:szCs w:val="22"/>
          <w:lang w:val="sr-Latn-CS"/>
        </w:rPr>
        <w:t xml:space="preserve"> </w:t>
      </w:r>
      <w:r>
        <w:rPr>
          <w:sz w:val="22"/>
          <w:szCs w:val="22"/>
          <w:lang w:val="pt-BR"/>
        </w:rPr>
        <w:t>sr</w:t>
      </w:r>
      <w:r>
        <w:rPr>
          <w:sz w:val="22"/>
          <w:szCs w:val="22"/>
          <w:lang w:val="sr-Latn-CS"/>
        </w:rPr>
        <w:t>č</w:t>
      </w:r>
      <w:r>
        <w:rPr>
          <w:sz w:val="22"/>
          <w:szCs w:val="22"/>
          <w:lang w:val="pt-BR"/>
        </w:rPr>
        <w:t>ana</w:t>
      </w:r>
      <w:r>
        <w:rPr>
          <w:sz w:val="22"/>
          <w:szCs w:val="22"/>
          <w:lang w:val="sr-Latn-CS"/>
        </w:rPr>
        <w:t xml:space="preserve"> </w:t>
      </w:r>
      <w:r>
        <w:rPr>
          <w:sz w:val="22"/>
          <w:szCs w:val="22"/>
          <w:lang w:val="pt-BR"/>
        </w:rPr>
        <w:t>insuficijencija</w:t>
      </w:r>
      <w:r>
        <w:rPr>
          <w:sz w:val="22"/>
          <w:szCs w:val="22"/>
          <w:lang w:val="sr-Latn-CS"/>
        </w:rPr>
        <w:t xml:space="preserve">, </w:t>
      </w:r>
      <w:r>
        <w:rPr>
          <w:sz w:val="22"/>
          <w:szCs w:val="22"/>
          <w:lang w:val="pt-BR"/>
        </w:rPr>
        <w:t>treba</w:t>
      </w:r>
      <w:r>
        <w:rPr>
          <w:sz w:val="22"/>
          <w:szCs w:val="22"/>
          <w:lang w:val="sr-Latn-CS"/>
        </w:rPr>
        <w:t xml:space="preserve"> </w:t>
      </w:r>
      <w:r>
        <w:rPr>
          <w:sz w:val="22"/>
          <w:szCs w:val="22"/>
          <w:lang w:val="pt-BR"/>
        </w:rPr>
        <w:t>svakako</w:t>
      </w:r>
      <w:r>
        <w:rPr>
          <w:sz w:val="22"/>
          <w:szCs w:val="22"/>
          <w:lang w:val="sr-Latn-CS"/>
        </w:rPr>
        <w:t xml:space="preserve"> </w:t>
      </w:r>
      <w:r>
        <w:rPr>
          <w:sz w:val="22"/>
          <w:szCs w:val="22"/>
          <w:lang w:val="pt-BR"/>
        </w:rPr>
        <w:t>razmisliti</w:t>
      </w:r>
      <w:r>
        <w:rPr>
          <w:sz w:val="22"/>
          <w:szCs w:val="22"/>
          <w:lang w:val="sr-Latn-CS"/>
        </w:rPr>
        <w:t xml:space="preserve"> </w:t>
      </w:r>
      <w:r>
        <w:rPr>
          <w:sz w:val="22"/>
          <w:szCs w:val="22"/>
          <w:lang w:val="pt-BR"/>
        </w:rPr>
        <w:t>o</w:t>
      </w:r>
      <w:r>
        <w:rPr>
          <w:sz w:val="22"/>
          <w:szCs w:val="22"/>
          <w:lang w:val="sr-Latn-CS"/>
        </w:rPr>
        <w:t xml:space="preserve"> </w:t>
      </w:r>
      <w:r>
        <w:rPr>
          <w:sz w:val="22"/>
          <w:szCs w:val="22"/>
          <w:lang w:val="pt-BR"/>
        </w:rPr>
        <w:t>prekidu</w:t>
      </w:r>
      <w:r>
        <w:rPr>
          <w:sz w:val="22"/>
          <w:szCs w:val="22"/>
          <w:lang w:val="sr-Latn-CS"/>
        </w:rPr>
        <w:t xml:space="preserve"> </w:t>
      </w:r>
      <w:r>
        <w:rPr>
          <w:sz w:val="22"/>
          <w:szCs w:val="22"/>
          <w:lang w:val="pt-BR"/>
        </w:rPr>
        <w:t>terapije</w:t>
      </w:r>
      <w:r>
        <w:rPr>
          <w:sz w:val="22"/>
          <w:szCs w:val="22"/>
          <w:lang w:val="sr-Latn-CS"/>
        </w:rPr>
        <w:t xml:space="preserve"> </w:t>
      </w:r>
      <w:r>
        <w:rPr>
          <w:sz w:val="22"/>
          <w:szCs w:val="22"/>
          <w:lang w:val="pt-BR"/>
        </w:rPr>
        <w:t>lijekom</w:t>
      </w:r>
      <w:r>
        <w:rPr>
          <w:sz w:val="22"/>
          <w:szCs w:val="22"/>
          <w:lang w:val="sr-Latn-CS"/>
        </w:rPr>
        <w:t xml:space="preserve"> </w:t>
      </w:r>
      <w:r>
        <w:rPr>
          <w:sz w:val="22"/>
          <w:szCs w:val="22"/>
          <w:lang w:val="pt-BR"/>
        </w:rPr>
        <w:t>Herceptin</w:t>
      </w:r>
      <w:r>
        <w:rPr>
          <w:sz w:val="22"/>
          <w:szCs w:val="22"/>
          <w:lang w:val="sr-Latn-CS"/>
        </w:rPr>
        <w:t xml:space="preserve">, </w:t>
      </w:r>
      <w:r>
        <w:rPr>
          <w:sz w:val="22"/>
          <w:szCs w:val="22"/>
          <w:lang w:val="pt-BR"/>
        </w:rPr>
        <w:t>osim</w:t>
      </w:r>
      <w:r>
        <w:rPr>
          <w:sz w:val="22"/>
          <w:szCs w:val="22"/>
          <w:lang w:val="sr-Latn-CS"/>
        </w:rPr>
        <w:t xml:space="preserve"> </w:t>
      </w:r>
      <w:r>
        <w:rPr>
          <w:sz w:val="22"/>
          <w:szCs w:val="22"/>
          <w:lang w:val="pt-BR"/>
        </w:rPr>
        <w:t>ako</w:t>
      </w:r>
      <w:r>
        <w:rPr>
          <w:sz w:val="22"/>
          <w:szCs w:val="22"/>
          <w:lang w:val="sr-Latn-CS"/>
        </w:rPr>
        <w:t xml:space="preserve"> </w:t>
      </w:r>
      <w:r>
        <w:rPr>
          <w:sz w:val="22"/>
          <w:szCs w:val="22"/>
          <w:lang w:val="pt-BR"/>
        </w:rPr>
        <w:t>se</w:t>
      </w:r>
      <w:r>
        <w:rPr>
          <w:sz w:val="22"/>
          <w:szCs w:val="22"/>
          <w:lang w:val="sr-Latn-CS"/>
        </w:rPr>
        <w:t xml:space="preserve"> </w:t>
      </w:r>
      <w:r>
        <w:rPr>
          <w:sz w:val="22"/>
          <w:szCs w:val="22"/>
          <w:lang w:val="pt-BR"/>
        </w:rPr>
        <w:t>ne</w:t>
      </w:r>
      <w:r>
        <w:rPr>
          <w:sz w:val="22"/>
          <w:szCs w:val="22"/>
          <w:lang w:val="sr-Latn-CS"/>
        </w:rPr>
        <w:t xml:space="preserve"> </w:t>
      </w:r>
      <w:r>
        <w:rPr>
          <w:sz w:val="22"/>
          <w:szCs w:val="22"/>
          <w:lang w:val="pt-BR"/>
        </w:rPr>
        <w:t>smatra</w:t>
      </w:r>
      <w:r>
        <w:rPr>
          <w:sz w:val="22"/>
          <w:szCs w:val="22"/>
          <w:lang w:val="sr-Latn-CS"/>
        </w:rPr>
        <w:t xml:space="preserve"> </w:t>
      </w:r>
      <w:r>
        <w:rPr>
          <w:sz w:val="22"/>
          <w:szCs w:val="22"/>
          <w:lang w:val="pt-BR"/>
        </w:rPr>
        <w:t>da</w:t>
      </w:r>
      <w:r>
        <w:rPr>
          <w:sz w:val="22"/>
          <w:szCs w:val="22"/>
          <w:lang w:val="sr-Latn-CS"/>
        </w:rPr>
        <w:t xml:space="preserve"> </w:t>
      </w:r>
      <w:r>
        <w:rPr>
          <w:sz w:val="22"/>
          <w:szCs w:val="22"/>
          <w:lang w:val="pt-BR"/>
        </w:rPr>
        <w:t>je</w:t>
      </w:r>
      <w:r>
        <w:rPr>
          <w:sz w:val="22"/>
          <w:szCs w:val="22"/>
          <w:lang w:val="sr-Latn-CS"/>
        </w:rPr>
        <w:t xml:space="preserve"> </w:t>
      </w:r>
      <w:r>
        <w:rPr>
          <w:sz w:val="22"/>
          <w:szCs w:val="22"/>
          <w:lang w:val="pt-BR"/>
        </w:rPr>
        <w:t>korist</w:t>
      </w:r>
      <w:r>
        <w:rPr>
          <w:sz w:val="22"/>
          <w:szCs w:val="22"/>
          <w:lang w:val="sr-Latn-CS"/>
        </w:rPr>
        <w:t xml:space="preserve"> </w:t>
      </w:r>
      <w:r>
        <w:rPr>
          <w:sz w:val="22"/>
          <w:szCs w:val="22"/>
          <w:lang w:val="pt-BR"/>
        </w:rPr>
        <w:t>za</w:t>
      </w:r>
      <w:r>
        <w:rPr>
          <w:sz w:val="22"/>
          <w:szCs w:val="22"/>
          <w:lang w:val="sr-Latn-CS"/>
        </w:rPr>
        <w:t xml:space="preserve"> </w:t>
      </w:r>
      <w:r>
        <w:rPr>
          <w:sz w:val="22"/>
          <w:szCs w:val="22"/>
          <w:lang w:val="pt-BR"/>
        </w:rPr>
        <w:t>pojedina</w:t>
      </w:r>
      <w:r>
        <w:rPr>
          <w:sz w:val="22"/>
          <w:szCs w:val="22"/>
          <w:lang w:val="sr-Latn-CS"/>
        </w:rPr>
        <w:t>č</w:t>
      </w:r>
      <w:r>
        <w:rPr>
          <w:sz w:val="22"/>
          <w:szCs w:val="22"/>
          <w:lang w:val="pt-BR"/>
        </w:rPr>
        <w:t>nog</w:t>
      </w:r>
      <w:r>
        <w:rPr>
          <w:sz w:val="22"/>
          <w:szCs w:val="22"/>
          <w:lang w:val="sr-Latn-CS"/>
        </w:rPr>
        <w:t xml:space="preserve"> </w:t>
      </w:r>
      <w:r>
        <w:rPr>
          <w:sz w:val="22"/>
          <w:szCs w:val="22"/>
          <w:lang w:val="pt-BR"/>
        </w:rPr>
        <w:t>pacijenta</w:t>
      </w:r>
      <w:r>
        <w:rPr>
          <w:sz w:val="22"/>
          <w:szCs w:val="22"/>
          <w:lang w:val="sr-Latn-CS"/>
        </w:rPr>
        <w:t xml:space="preserve"> </w:t>
      </w:r>
      <w:r>
        <w:rPr>
          <w:sz w:val="22"/>
          <w:szCs w:val="22"/>
          <w:lang w:val="pt-BR"/>
        </w:rPr>
        <w:t>ve</w:t>
      </w:r>
      <w:r>
        <w:rPr>
          <w:sz w:val="22"/>
          <w:szCs w:val="22"/>
          <w:lang w:val="sr-Latn-CS"/>
        </w:rPr>
        <w:t>ć</w:t>
      </w:r>
      <w:r>
        <w:rPr>
          <w:sz w:val="22"/>
          <w:szCs w:val="22"/>
          <w:lang w:val="pt-BR"/>
        </w:rPr>
        <w:t>a</w:t>
      </w:r>
      <w:r>
        <w:rPr>
          <w:sz w:val="22"/>
          <w:szCs w:val="22"/>
          <w:lang w:val="sr-Latn-CS"/>
        </w:rPr>
        <w:t xml:space="preserve"> </w:t>
      </w:r>
      <w:r>
        <w:rPr>
          <w:sz w:val="22"/>
          <w:szCs w:val="22"/>
          <w:lang w:val="pt-BR"/>
        </w:rPr>
        <w:t>od</w:t>
      </w:r>
      <w:r>
        <w:rPr>
          <w:sz w:val="22"/>
          <w:szCs w:val="22"/>
          <w:lang w:val="sr-Latn-CS"/>
        </w:rPr>
        <w:t xml:space="preserve"> </w:t>
      </w:r>
      <w:r>
        <w:rPr>
          <w:sz w:val="22"/>
          <w:szCs w:val="22"/>
          <w:lang w:val="pt-BR"/>
        </w:rPr>
        <w:t>procijenjenog</w:t>
      </w:r>
      <w:r>
        <w:rPr>
          <w:sz w:val="22"/>
          <w:szCs w:val="22"/>
          <w:lang w:val="sr-Latn-CS"/>
        </w:rPr>
        <w:t xml:space="preserve"> </w:t>
      </w:r>
      <w:r>
        <w:rPr>
          <w:sz w:val="22"/>
          <w:szCs w:val="22"/>
          <w:lang w:val="pt-BR"/>
        </w:rPr>
        <w:t>rizika</w:t>
      </w:r>
      <w:r>
        <w:rPr>
          <w:sz w:val="22"/>
          <w:szCs w:val="22"/>
          <w:lang w:val="sr-Latn-CS"/>
        </w:rPr>
        <w:t xml:space="preserve">. </w:t>
      </w:r>
      <w:r>
        <w:rPr>
          <w:sz w:val="22"/>
          <w:szCs w:val="22"/>
          <w:lang w:val="pt-BR"/>
        </w:rPr>
        <w:t>Sve</w:t>
      </w:r>
      <w:r>
        <w:rPr>
          <w:sz w:val="22"/>
          <w:szCs w:val="22"/>
          <w:lang w:val="sr-Latn-CS"/>
        </w:rPr>
        <w:t xml:space="preserve"> </w:t>
      </w:r>
      <w:r>
        <w:rPr>
          <w:sz w:val="22"/>
          <w:szCs w:val="22"/>
          <w:lang w:val="pt-BR"/>
        </w:rPr>
        <w:t>takve</w:t>
      </w:r>
      <w:r>
        <w:rPr>
          <w:sz w:val="22"/>
          <w:szCs w:val="22"/>
          <w:lang w:val="sr-Latn-CS"/>
        </w:rPr>
        <w:t xml:space="preserve"> </w:t>
      </w:r>
      <w:r>
        <w:rPr>
          <w:sz w:val="22"/>
          <w:szCs w:val="22"/>
          <w:lang w:val="pt-BR"/>
        </w:rPr>
        <w:t>pacijente</w:t>
      </w:r>
      <w:r>
        <w:rPr>
          <w:sz w:val="22"/>
          <w:szCs w:val="22"/>
          <w:lang w:val="sr-Latn-CS"/>
        </w:rPr>
        <w:t xml:space="preserve"> </w:t>
      </w:r>
      <w:r>
        <w:rPr>
          <w:sz w:val="22"/>
          <w:szCs w:val="22"/>
          <w:lang w:val="pt-BR"/>
        </w:rPr>
        <w:t>treba</w:t>
      </w:r>
      <w:r>
        <w:rPr>
          <w:sz w:val="22"/>
          <w:szCs w:val="22"/>
          <w:lang w:val="sr-Latn-CS"/>
        </w:rPr>
        <w:t xml:space="preserve"> </w:t>
      </w:r>
      <w:r>
        <w:rPr>
          <w:sz w:val="22"/>
          <w:szCs w:val="22"/>
          <w:lang w:val="pt-BR"/>
        </w:rPr>
        <w:t>uputiti</w:t>
      </w:r>
      <w:r>
        <w:rPr>
          <w:sz w:val="22"/>
          <w:szCs w:val="22"/>
          <w:lang w:val="sr-Latn-CS"/>
        </w:rPr>
        <w:t xml:space="preserve"> </w:t>
      </w:r>
      <w:r>
        <w:rPr>
          <w:sz w:val="22"/>
          <w:szCs w:val="22"/>
          <w:lang w:val="pt-BR"/>
        </w:rPr>
        <w:t>na</w:t>
      </w:r>
      <w:r>
        <w:rPr>
          <w:sz w:val="22"/>
          <w:szCs w:val="22"/>
          <w:lang w:val="sr-Latn-CS"/>
        </w:rPr>
        <w:t xml:space="preserve"> </w:t>
      </w:r>
      <w:r>
        <w:rPr>
          <w:sz w:val="22"/>
          <w:szCs w:val="22"/>
          <w:lang w:val="pt-BR"/>
        </w:rPr>
        <w:t>procjenu</w:t>
      </w:r>
      <w:r>
        <w:rPr>
          <w:sz w:val="22"/>
          <w:szCs w:val="22"/>
          <w:lang w:val="sr-Latn-CS"/>
        </w:rPr>
        <w:t xml:space="preserve"> </w:t>
      </w:r>
      <w:r>
        <w:rPr>
          <w:sz w:val="22"/>
          <w:szCs w:val="22"/>
          <w:lang w:val="pt-BR"/>
        </w:rPr>
        <w:t>kod</w:t>
      </w:r>
      <w:r>
        <w:rPr>
          <w:sz w:val="22"/>
          <w:szCs w:val="22"/>
          <w:lang w:val="sr-Latn-CS"/>
        </w:rPr>
        <w:t xml:space="preserve"> </w:t>
      </w:r>
      <w:r>
        <w:rPr>
          <w:sz w:val="22"/>
          <w:szCs w:val="22"/>
          <w:lang w:val="pt-BR"/>
        </w:rPr>
        <w:t>kardiologa</w:t>
      </w:r>
      <w:r>
        <w:rPr>
          <w:sz w:val="22"/>
          <w:szCs w:val="22"/>
          <w:lang w:val="sr-Latn-CS"/>
        </w:rPr>
        <w:t xml:space="preserve"> </w:t>
      </w:r>
      <w:r>
        <w:rPr>
          <w:sz w:val="22"/>
          <w:szCs w:val="22"/>
          <w:lang w:val="pt-BR"/>
        </w:rPr>
        <w:t>i</w:t>
      </w:r>
      <w:r>
        <w:rPr>
          <w:sz w:val="22"/>
          <w:szCs w:val="22"/>
          <w:lang w:val="sr-Latn-CS"/>
        </w:rPr>
        <w:t xml:space="preserve"> </w:t>
      </w:r>
      <w:r>
        <w:rPr>
          <w:sz w:val="22"/>
          <w:szCs w:val="22"/>
          <w:lang w:val="pt-BR"/>
        </w:rPr>
        <w:t>potom</w:t>
      </w:r>
      <w:r>
        <w:rPr>
          <w:sz w:val="22"/>
          <w:szCs w:val="22"/>
          <w:lang w:val="sr-Latn-CS"/>
        </w:rPr>
        <w:t xml:space="preserve"> </w:t>
      </w:r>
      <w:r>
        <w:rPr>
          <w:sz w:val="22"/>
          <w:szCs w:val="22"/>
          <w:lang w:val="pt-BR"/>
        </w:rPr>
        <w:t>pratiti</w:t>
      </w:r>
      <w:r>
        <w:rPr>
          <w:sz w:val="22"/>
          <w:szCs w:val="22"/>
          <w:lang w:val="sr-Latn-CS"/>
        </w:rPr>
        <w:t xml:space="preserve">. </w:t>
      </w:r>
    </w:p>
    <w:p w14:paraId="2EE7CAA9" w14:textId="77777777" w:rsidR="00B05AA9" w:rsidRDefault="00B05AA9" w:rsidP="00641EEB">
      <w:pPr>
        <w:rPr>
          <w:sz w:val="22"/>
          <w:szCs w:val="22"/>
          <w:lang w:val="sr-Latn-CS"/>
        </w:rPr>
      </w:pPr>
      <w:r>
        <w:rPr>
          <w:sz w:val="22"/>
          <w:szCs w:val="22"/>
          <w:lang w:val="sr-Latn-CS"/>
        </w:rPr>
        <w:t xml:space="preserve"> </w:t>
      </w:r>
    </w:p>
    <w:p w14:paraId="273762D6" w14:textId="3894E953" w:rsidR="00B05AA9" w:rsidRDefault="00B05AA9" w:rsidP="00BA76B8">
      <w:pPr>
        <w:jc w:val="both"/>
        <w:rPr>
          <w:sz w:val="22"/>
          <w:szCs w:val="22"/>
          <w:lang w:val="hr-HR"/>
        </w:rPr>
      </w:pPr>
      <w:r>
        <w:rPr>
          <w:sz w:val="22"/>
          <w:szCs w:val="22"/>
          <w:lang w:val="pt-BR"/>
        </w:rPr>
        <w:t>Ako</w:t>
      </w:r>
      <w:r>
        <w:rPr>
          <w:sz w:val="22"/>
          <w:szCs w:val="22"/>
          <w:lang w:val="sr-Latn-CS"/>
        </w:rPr>
        <w:t xml:space="preserve"> </w:t>
      </w:r>
      <w:r>
        <w:rPr>
          <w:sz w:val="22"/>
          <w:szCs w:val="22"/>
          <w:lang w:val="pt-BR"/>
        </w:rPr>
        <w:t>tokom</w:t>
      </w:r>
      <w:r>
        <w:rPr>
          <w:sz w:val="22"/>
          <w:szCs w:val="22"/>
          <w:lang w:val="sr-Latn-CS"/>
        </w:rPr>
        <w:t xml:space="preserve"> </w:t>
      </w:r>
      <w:r>
        <w:rPr>
          <w:sz w:val="22"/>
          <w:szCs w:val="22"/>
          <w:lang w:val="pt-BR"/>
        </w:rPr>
        <w:t>terapije</w:t>
      </w:r>
      <w:r>
        <w:rPr>
          <w:sz w:val="22"/>
          <w:szCs w:val="22"/>
          <w:lang w:val="sr-Latn-CS"/>
        </w:rPr>
        <w:t xml:space="preserve"> </w:t>
      </w:r>
      <w:r>
        <w:rPr>
          <w:sz w:val="22"/>
          <w:szCs w:val="22"/>
          <w:lang w:val="pt-BR"/>
        </w:rPr>
        <w:t>lijekom</w:t>
      </w:r>
      <w:r>
        <w:rPr>
          <w:sz w:val="22"/>
          <w:szCs w:val="22"/>
          <w:lang w:val="sr-Latn-CS"/>
        </w:rPr>
        <w:t xml:space="preserve"> </w:t>
      </w:r>
      <w:r>
        <w:rPr>
          <w:sz w:val="22"/>
          <w:szCs w:val="22"/>
          <w:lang w:val="pt-BR"/>
        </w:rPr>
        <w:t>Herceptin</w:t>
      </w:r>
      <w:r>
        <w:rPr>
          <w:sz w:val="22"/>
          <w:szCs w:val="22"/>
          <w:lang w:val="sr-Latn-CS"/>
        </w:rPr>
        <w:t xml:space="preserve"> </w:t>
      </w:r>
      <w:r>
        <w:rPr>
          <w:sz w:val="22"/>
          <w:szCs w:val="22"/>
          <w:lang w:val="pt-BR"/>
        </w:rPr>
        <w:t>do</w:t>
      </w:r>
      <w:r>
        <w:rPr>
          <w:sz w:val="22"/>
          <w:szCs w:val="22"/>
          <w:lang w:val="sr-Latn-CS"/>
        </w:rPr>
        <w:t>đ</w:t>
      </w:r>
      <w:r>
        <w:rPr>
          <w:sz w:val="22"/>
          <w:szCs w:val="22"/>
          <w:lang w:val="pt-BR"/>
        </w:rPr>
        <w:t>e</w:t>
      </w:r>
      <w:r>
        <w:rPr>
          <w:sz w:val="22"/>
          <w:szCs w:val="22"/>
          <w:lang w:val="sr-Latn-CS"/>
        </w:rPr>
        <w:t xml:space="preserve"> </w:t>
      </w:r>
      <w:r>
        <w:rPr>
          <w:sz w:val="22"/>
          <w:szCs w:val="22"/>
          <w:lang w:val="pt-BR"/>
        </w:rPr>
        <w:t>do</w:t>
      </w:r>
      <w:r>
        <w:rPr>
          <w:sz w:val="22"/>
          <w:szCs w:val="22"/>
          <w:lang w:val="sr-Latn-CS"/>
        </w:rPr>
        <w:t xml:space="preserve"> </w:t>
      </w:r>
      <w:r>
        <w:rPr>
          <w:sz w:val="22"/>
          <w:szCs w:val="22"/>
          <w:lang w:val="pt-BR"/>
        </w:rPr>
        <w:t>razvoja</w:t>
      </w:r>
      <w:r>
        <w:rPr>
          <w:sz w:val="22"/>
          <w:szCs w:val="22"/>
          <w:lang w:val="sr-Latn-CS"/>
        </w:rPr>
        <w:t xml:space="preserve"> </w:t>
      </w:r>
      <w:r>
        <w:rPr>
          <w:sz w:val="22"/>
          <w:szCs w:val="22"/>
          <w:lang w:val="pt-BR"/>
        </w:rPr>
        <w:t>simptomatske</w:t>
      </w:r>
      <w:r>
        <w:rPr>
          <w:sz w:val="22"/>
          <w:szCs w:val="22"/>
          <w:lang w:val="sr-Latn-CS"/>
        </w:rPr>
        <w:t xml:space="preserve"> </w:t>
      </w:r>
      <w:r>
        <w:rPr>
          <w:sz w:val="22"/>
          <w:szCs w:val="22"/>
          <w:lang w:val="pt-BR"/>
        </w:rPr>
        <w:t>sr</w:t>
      </w:r>
      <w:r>
        <w:rPr>
          <w:sz w:val="22"/>
          <w:szCs w:val="22"/>
          <w:lang w:val="sr-Latn-CS"/>
        </w:rPr>
        <w:t>č</w:t>
      </w:r>
      <w:r>
        <w:rPr>
          <w:sz w:val="22"/>
          <w:szCs w:val="22"/>
          <w:lang w:val="pt-BR"/>
        </w:rPr>
        <w:t>ane</w:t>
      </w:r>
      <w:r>
        <w:rPr>
          <w:sz w:val="22"/>
          <w:szCs w:val="22"/>
          <w:lang w:val="sr-Latn-CS"/>
        </w:rPr>
        <w:t xml:space="preserve"> </w:t>
      </w:r>
      <w:r>
        <w:rPr>
          <w:sz w:val="22"/>
          <w:szCs w:val="22"/>
          <w:lang w:val="pt-BR"/>
        </w:rPr>
        <w:t>insuficijencije</w:t>
      </w:r>
      <w:r>
        <w:rPr>
          <w:sz w:val="22"/>
          <w:szCs w:val="22"/>
          <w:lang w:val="sr-Latn-CS"/>
        </w:rPr>
        <w:t xml:space="preserve">, </w:t>
      </w:r>
      <w:r>
        <w:rPr>
          <w:sz w:val="22"/>
          <w:szCs w:val="22"/>
          <w:lang w:val="pt-BR"/>
        </w:rPr>
        <w:t>treba</w:t>
      </w:r>
      <w:r>
        <w:rPr>
          <w:sz w:val="22"/>
          <w:szCs w:val="22"/>
          <w:lang w:val="sr-Latn-CS"/>
        </w:rPr>
        <w:t xml:space="preserve"> </w:t>
      </w:r>
      <w:r>
        <w:rPr>
          <w:sz w:val="22"/>
          <w:szCs w:val="22"/>
          <w:lang w:val="pt-BR"/>
        </w:rPr>
        <w:t>je</w:t>
      </w:r>
      <w:r>
        <w:rPr>
          <w:sz w:val="22"/>
          <w:szCs w:val="22"/>
          <w:lang w:val="sr-Latn-CS"/>
        </w:rPr>
        <w:t xml:space="preserve"> </w:t>
      </w:r>
      <w:r>
        <w:rPr>
          <w:sz w:val="22"/>
          <w:szCs w:val="22"/>
          <w:lang w:val="pt-BR"/>
        </w:rPr>
        <w:t>lije</w:t>
      </w:r>
      <w:r>
        <w:rPr>
          <w:sz w:val="22"/>
          <w:szCs w:val="22"/>
          <w:lang w:val="sr-Latn-CS"/>
        </w:rPr>
        <w:t>č</w:t>
      </w:r>
      <w:r>
        <w:rPr>
          <w:sz w:val="22"/>
          <w:szCs w:val="22"/>
          <w:lang w:val="pt-BR"/>
        </w:rPr>
        <w:t>iti</w:t>
      </w:r>
      <w:r>
        <w:rPr>
          <w:sz w:val="22"/>
          <w:szCs w:val="22"/>
          <w:lang w:val="sr-Latn-CS"/>
        </w:rPr>
        <w:t xml:space="preserve"> </w:t>
      </w:r>
      <w:r>
        <w:rPr>
          <w:sz w:val="22"/>
          <w:szCs w:val="22"/>
          <w:lang w:val="pt-BR"/>
        </w:rPr>
        <w:t>standardnim</w:t>
      </w:r>
      <w:r>
        <w:rPr>
          <w:sz w:val="22"/>
          <w:szCs w:val="22"/>
          <w:lang w:val="sr-Latn-CS"/>
        </w:rPr>
        <w:t xml:space="preserve"> </w:t>
      </w:r>
      <w:r>
        <w:rPr>
          <w:sz w:val="22"/>
          <w:szCs w:val="22"/>
          <w:lang w:val="pt-BR"/>
        </w:rPr>
        <w:t>ljekovima</w:t>
      </w:r>
      <w:r>
        <w:rPr>
          <w:sz w:val="22"/>
          <w:szCs w:val="22"/>
          <w:lang w:val="sr-Latn-CS"/>
        </w:rPr>
        <w:t xml:space="preserve"> </w:t>
      </w:r>
      <w:r>
        <w:rPr>
          <w:sz w:val="22"/>
          <w:szCs w:val="22"/>
          <w:lang w:val="pt-BR"/>
        </w:rPr>
        <w:t>koji</w:t>
      </w:r>
      <w:r>
        <w:rPr>
          <w:sz w:val="22"/>
          <w:szCs w:val="22"/>
          <w:lang w:val="sr-Latn-CS"/>
        </w:rPr>
        <w:t xml:space="preserve"> </w:t>
      </w:r>
      <w:r>
        <w:rPr>
          <w:sz w:val="22"/>
          <w:szCs w:val="22"/>
          <w:lang w:val="pt-BR"/>
        </w:rPr>
        <w:t>se</w:t>
      </w:r>
      <w:r>
        <w:rPr>
          <w:sz w:val="22"/>
          <w:szCs w:val="22"/>
          <w:lang w:val="sr-Latn-CS"/>
        </w:rPr>
        <w:t xml:space="preserve"> </w:t>
      </w:r>
      <w:r>
        <w:rPr>
          <w:sz w:val="22"/>
          <w:szCs w:val="22"/>
          <w:lang w:val="pt-BR"/>
        </w:rPr>
        <w:t>propisuju</w:t>
      </w:r>
      <w:r>
        <w:rPr>
          <w:sz w:val="22"/>
          <w:szCs w:val="22"/>
          <w:lang w:val="sr-Latn-CS"/>
        </w:rPr>
        <w:t xml:space="preserve"> </w:t>
      </w:r>
      <w:r>
        <w:rPr>
          <w:sz w:val="22"/>
          <w:szCs w:val="22"/>
          <w:lang w:val="pt-BR"/>
        </w:rPr>
        <w:t>za</w:t>
      </w:r>
      <w:r>
        <w:rPr>
          <w:sz w:val="22"/>
          <w:szCs w:val="22"/>
          <w:lang w:val="sr-Latn-CS"/>
        </w:rPr>
        <w:t xml:space="preserve"> </w:t>
      </w:r>
      <w:r>
        <w:rPr>
          <w:sz w:val="22"/>
          <w:szCs w:val="22"/>
          <w:lang w:val="pt-BR"/>
        </w:rPr>
        <w:t>CHF</w:t>
      </w:r>
      <w:r>
        <w:rPr>
          <w:sz w:val="22"/>
          <w:szCs w:val="22"/>
          <w:lang w:val="sr-Latn-CS"/>
        </w:rPr>
        <w:t xml:space="preserve">. </w:t>
      </w:r>
      <w:r>
        <w:rPr>
          <w:sz w:val="22"/>
          <w:szCs w:val="22"/>
          <w:lang w:val="pt-BR"/>
        </w:rPr>
        <w:t>U</w:t>
      </w:r>
      <w:r>
        <w:rPr>
          <w:sz w:val="22"/>
          <w:szCs w:val="22"/>
          <w:lang w:val="sr-Latn-CS"/>
        </w:rPr>
        <w:t xml:space="preserve"> </w:t>
      </w:r>
      <w:r>
        <w:rPr>
          <w:sz w:val="22"/>
          <w:szCs w:val="22"/>
          <w:lang w:val="pt-BR"/>
        </w:rPr>
        <w:t>probnim</w:t>
      </w:r>
      <w:r>
        <w:rPr>
          <w:sz w:val="22"/>
          <w:szCs w:val="22"/>
          <w:lang w:val="sr-Latn-CS"/>
        </w:rPr>
        <w:t xml:space="preserve"> </w:t>
      </w:r>
      <w:r>
        <w:rPr>
          <w:sz w:val="22"/>
          <w:szCs w:val="22"/>
          <w:lang w:val="pt-BR"/>
        </w:rPr>
        <w:t>ispitivanjima</w:t>
      </w:r>
      <w:r>
        <w:rPr>
          <w:sz w:val="22"/>
          <w:szCs w:val="22"/>
          <w:lang w:val="sr-Latn-CS"/>
        </w:rPr>
        <w:t xml:space="preserve"> </w:t>
      </w:r>
      <w:r>
        <w:rPr>
          <w:sz w:val="22"/>
          <w:szCs w:val="22"/>
          <w:lang w:val="pt-BR"/>
        </w:rPr>
        <w:t>kod</w:t>
      </w:r>
      <w:r>
        <w:rPr>
          <w:sz w:val="22"/>
          <w:szCs w:val="22"/>
          <w:lang w:val="sr-Latn-CS"/>
        </w:rPr>
        <w:t xml:space="preserve"> </w:t>
      </w:r>
      <w:r>
        <w:rPr>
          <w:sz w:val="22"/>
          <w:szCs w:val="22"/>
          <w:lang w:val="pt-BR"/>
        </w:rPr>
        <w:t>ve</w:t>
      </w:r>
      <w:r>
        <w:rPr>
          <w:sz w:val="22"/>
          <w:szCs w:val="22"/>
          <w:lang w:val="sr-Latn-CS"/>
        </w:rPr>
        <w:t>ć</w:t>
      </w:r>
      <w:r>
        <w:rPr>
          <w:sz w:val="22"/>
          <w:szCs w:val="22"/>
          <w:lang w:val="pt-BR"/>
        </w:rPr>
        <w:t>ine</w:t>
      </w:r>
      <w:r>
        <w:rPr>
          <w:sz w:val="22"/>
          <w:szCs w:val="22"/>
          <w:lang w:val="sr-Latn-CS"/>
        </w:rPr>
        <w:t xml:space="preserve"> </w:t>
      </w:r>
      <w:r>
        <w:rPr>
          <w:sz w:val="22"/>
          <w:szCs w:val="22"/>
          <w:lang w:val="pt-BR"/>
        </w:rPr>
        <w:t>pacijenata</w:t>
      </w:r>
      <w:r>
        <w:rPr>
          <w:sz w:val="22"/>
          <w:szCs w:val="22"/>
          <w:lang w:val="sr-Latn-CS"/>
        </w:rPr>
        <w:t xml:space="preserve">  </w:t>
      </w:r>
      <w:r>
        <w:rPr>
          <w:sz w:val="22"/>
          <w:szCs w:val="22"/>
          <w:lang w:val="pt-BR"/>
        </w:rPr>
        <w:t>kod</w:t>
      </w:r>
      <w:r>
        <w:rPr>
          <w:sz w:val="22"/>
          <w:szCs w:val="22"/>
          <w:lang w:val="sr-Latn-CS"/>
        </w:rPr>
        <w:t xml:space="preserve"> </w:t>
      </w:r>
      <w:r>
        <w:rPr>
          <w:sz w:val="22"/>
          <w:szCs w:val="22"/>
          <w:lang w:val="pt-BR"/>
        </w:rPr>
        <w:t>kojih</w:t>
      </w:r>
      <w:r>
        <w:rPr>
          <w:sz w:val="22"/>
          <w:szCs w:val="22"/>
          <w:lang w:val="sr-Latn-CS"/>
        </w:rPr>
        <w:t xml:space="preserve"> </w:t>
      </w:r>
      <w:r>
        <w:rPr>
          <w:sz w:val="22"/>
          <w:szCs w:val="22"/>
          <w:lang w:val="pt-BR"/>
        </w:rPr>
        <w:t>se</w:t>
      </w:r>
      <w:r>
        <w:rPr>
          <w:sz w:val="22"/>
          <w:szCs w:val="22"/>
          <w:lang w:val="sr-Latn-CS"/>
        </w:rPr>
        <w:t xml:space="preserve"> </w:t>
      </w:r>
      <w:r>
        <w:rPr>
          <w:sz w:val="22"/>
          <w:szCs w:val="22"/>
          <w:lang w:val="pt-BR"/>
        </w:rPr>
        <w:t>razvio</w:t>
      </w:r>
      <w:r>
        <w:rPr>
          <w:sz w:val="22"/>
          <w:szCs w:val="22"/>
          <w:lang w:val="sr-Latn-CS"/>
        </w:rPr>
        <w:t xml:space="preserve"> </w:t>
      </w:r>
      <w:r>
        <w:rPr>
          <w:sz w:val="22"/>
          <w:szCs w:val="22"/>
          <w:lang w:val="pt-BR"/>
        </w:rPr>
        <w:t>CHF</w:t>
      </w:r>
      <w:r>
        <w:rPr>
          <w:sz w:val="22"/>
          <w:szCs w:val="22"/>
          <w:lang w:val="sr-Latn-CS"/>
        </w:rPr>
        <w:t xml:space="preserve"> </w:t>
      </w:r>
      <w:r>
        <w:rPr>
          <w:sz w:val="22"/>
          <w:szCs w:val="22"/>
          <w:lang w:val="pt-BR"/>
        </w:rPr>
        <w:t>ili</w:t>
      </w:r>
      <w:r>
        <w:rPr>
          <w:sz w:val="22"/>
          <w:szCs w:val="22"/>
          <w:lang w:val="sr-Latn-CS"/>
        </w:rPr>
        <w:t xml:space="preserve"> </w:t>
      </w:r>
      <w:r>
        <w:rPr>
          <w:sz w:val="22"/>
          <w:szCs w:val="22"/>
          <w:lang w:val="pt-BR"/>
        </w:rPr>
        <w:t>asimptomatska</w:t>
      </w:r>
      <w:r>
        <w:rPr>
          <w:sz w:val="22"/>
          <w:szCs w:val="22"/>
          <w:lang w:val="sr-Latn-CS"/>
        </w:rPr>
        <w:t xml:space="preserve"> </w:t>
      </w:r>
      <w:r>
        <w:rPr>
          <w:sz w:val="22"/>
          <w:szCs w:val="22"/>
          <w:lang w:val="pt-BR"/>
        </w:rPr>
        <w:t>disfunkcija</w:t>
      </w:r>
      <w:r>
        <w:rPr>
          <w:sz w:val="22"/>
          <w:szCs w:val="22"/>
          <w:lang w:val="sr-Latn-CS"/>
        </w:rPr>
        <w:t xml:space="preserve"> </w:t>
      </w:r>
      <w:r>
        <w:rPr>
          <w:sz w:val="22"/>
          <w:szCs w:val="22"/>
          <w:lang w:val="pt-BR"/>
        </w:rPr>
        <w:t>srca</w:t>
      </w:r>
      <w:r>
        <w:rPr>
          <w:sz w:val="22"/>
          <w:szCs w:val="22"/>
          <w:lang w:val="sr-Latn-CS"/>
        </w:rPr>
        <w:t xml:space="preserve">, </w:t>
      </w:r>
      <w:r>
        <w:rPr>
          <w:sz w:val="22"/>
          <w:szCs w:val="22"/>
          <w:lang w:val="pt-BR"/>
        </w:rPr>
        <w:t>stanje</w:t>
      </w:r>
      <w:r>
        <w:rPr>
          <w:sz w:val="22"/>
          <w:szCs w:val="22"/>
          <w:lang w:val="sr-Latn-CS"/>
        </w:rPr>
        <w:t xml:space="preserve"> </w:t>
      </w:r>
      <w:r>
        <w:rPr>
          <w:sz w:val="22"/>
          <w:szCs w:val="22"/>
          <w:lang w:val="pt-BR"/>
        </w:rPr>
        <w:t>se</w:t>
      </w:r>
      <w:r>
        <w:rPr>
          <w:sz w:val="22"/>
          <w:szCs w:val="22"/>
          <w:lang w:val="sr-Latn-CS"/>
        </w:rPr>
        <w:t xml:space="preserve"> </w:t>
      </w:r>
      <w:r>
        <w:rPr>
          <w:sz w:val="22"/>
          <w:szCs w:val="22"/>
          <w:lang w:val="pt-BR"/>
        </w:rPr>
        <w:t>pobolj</w:t>
      </w:r>
      <w:r>
        <w:rPr>
          <w:sz w:val="22"/>
          <w:szCs w:val="22"/>
          <w:lang w:val="sr-Latn-CS"/>
        </w:rPr>
        <w:t>š</w:t>
      </w:r>
      <w:r>
        <w:rPr>
          <w:sz w:val="22"/>
          <w:szCs w:val="22"/>
          <w:lang w:val="pt-BR"/>
        </w:rPr>
        <w:t>alo</w:t>
      </w:r>
      <w:r>
        <w:rPr>
          <w:sz w:val="22"/>
          <w:szCs w:val="22"/>
          <w:lang w:val="sr-Latn-CS"/>
        </w:rPr>
        <w:t xml:space="preserve"> </w:t>
      </w:r>
      <w:r>
        <w:rPr>
          <w:sz w:val="22"/>
          <w:szCs w:val="22"/>
          <w:lang w:val="pt-BR"/>
        </w:rPr>
        <w:t>primjenom</w:t>
      </w:r>
      <w:r>
        <w:rPr>
          <w:sz w:val="22"/>
          <w:szCs w:val="22"/>
          <w:lang w:val="sr-Latn-CS"/>
        </w:rPr>
        <w:t xml:space="preserve"> </w:t>
      </w:r>
      <w:r>
        <w:rPr>
          <w:sz w:val="22"/>
          <w:szCs w:val="22"/>
          <w:lang w:val="pt-BR"/>
        </w:rPr>
        <w:t>standardnog</w:t>
      </w:r>
      <w:r>
        <w:rPr>
          <w:sz w:val="22"/>
          <w:szCs w:val="22"/>
          <w:lang w:val="sr-Latn-CS"/>
        </w:rPr>
        <w:t xml:space="preserve"> </w:t>
      </w:r>
      <w:r>
        <w:rPr>
          <w:sz w:val="22"/>
          <w:szCs w:val="22"/>
          <w:lang w:val="pt-BR"/>
        </w:rPr>
        <w:t>lije</w:t>
      </w:r>
      <w:r>
        <w:rPr>
          <w:sz w:val="22"/>
          <w:szCs w:val="22"/>
          <w:lang w:val="sr-Latn-CS"/>
        </w:rPr>
        <w:t>č</w:t>
      </w:r>
      <w:r>
        <w:rPr>
          <w:sz w:val="22"/>
          <w:szCs w:val="22"/>
          <w:lang w:val="pt-BR"/>
        </w:rPr>
        <w:t>enja</w:t>
      </w:r>
      <w:r>
        <w:rPr>
          <w:sz w:val="22"/>
          <w:szCs w:val="22"/>
          <w:lang w:val="sr-Latn-CS"/>
        </w:rPr>
        <w:t xml:space="preserve"> </w:t>
      </w:r>
      <w:r>
        <w:rPr>
          <w:sz w:val="22"/>
          <w:szCs w:val="22"/>
          <w:lang w:val="pt-BR"/>
        </w:rPr>
        <w:t>CHF</w:t>
      </w:r>
      <w:r>
        <w:rPr>
          <w:sz w:val="22"/>
          <w:szCs w:val="22"/>
          <w:lang w:val="sr-Latn-CS"/>
        </w:rPr>
        <w:t>-</w:t>
      </w:r>
      <w:r>
        <w:rPr>
          <w:sz w:val="22"/>
          <w:szCs w:val="22"/>
          <w:lang w:val="pt-BR"/>
        </w:rPr>
        <w:t>a</w:t>
      </w:r>
      <w:r>
        <w:rPr>
          <w:sz w:val="22"/>
          <w:szCs w:val="22"/>
          <w:lang w:val="sr-Latn-CS"/>
        </w:rPr>
        <w:t xml:space="preserve"> </w:t>
      </w:r>
      <w:r>
        <w:rPr>
          <w:sz w:val="22"/>
          <w:szCs w:val="22"/>
          <w:lang w:val="pt-BR"/>
        </w:rPr>
        <w:t>inhibitorom</w:t>
      </w:r>
      <w:r>
        <w:rPr>
          <w:sz w:val="22"/>
          <w:szCs w:val="22"/>
          <w:lang w:val="sr-Latn-CS"/>
        </w:rPr>
        <w:t xml:space="preserve"> </w:t>
      </w:r>
      <w:r>
        <w:rPr>
          <w:sz w:val="22"/>
          <w:szCs w:val="22"/>
          <w:lang w:val="pt-BR"/>
        </w:rPr>
        <w:t>angiotenzin</w:t>
      </w:r>
      <w:r>
        <w:rPr>
          <w:sz w:val="22"/>
          <w:szCs w:val="22"/>
          <w:lang w:val="sr-Latn-CS"/>
        </w:rPr>
        <w:t xml:space="preserve"> </w:t>
      </w:r>
      <w:r>
        <w:rPr>
          <w:sz w:val="22"/>
          <w:szCs w:val="22"/>
          <w:lang w:val="pt-BR"/>
        </w:rPr>
        <w:t>konvertuju</w:t>
      </w:r>
      <w:r>
        <w:rPr>
          <w:sz w:val="22"/>
          <w:szCs w:val="22"/>
          <w:lang w:val="sr-Latn-CS"/>
        </w:rPr>
        <w:t>ć</w:t>
      </w:r>
      <w:r>
        <w:rPr>
          <w:sz w:val="22"/>
          <w:szCs w:val="22"/>
          <w:lang w:val="pt-BR"/>
        </w:rPr>
        <w:t>eg</w:t>
      </w:r>
      <w:r>
        <w:rPr>
          <w:sz w:val="22"/>
          <w:szCs w:val="22"/>
          <w:lang w:val="sr-Latn-CS"/>
        </w:rPr>
        <w:t xml:space="preserve"> </w:t>
      </w:r>
      <w:r>
        <w:rPr>
          <w:sz w:val="22"/>
          <w:szCs w:val="22"/>
          <w:lang w:val="pt-BR"/>
        </w:rPr>
        <w:t>enzima</w:t>
      </w:r>
      <w:r>
        <w:rPr>
          <w:sz w:val="22"/>
          <w:szCs w:val="22"/>
          <w:lang w:val="sr-Latn-CS"/>
        </w:rPr>
        <w:t xml:space="preserve"> (</w:t>
      </w:r>
      <w:r>
        <w:rPr>
          <w:sz w:val="22"/>
          <w:szCs w:val="22"/>
          <w:lang w:val="pt-BR"/>
        </w:rPr>
        <w:t>ACE</w:t>
      </w:r>
      <w:r>
        <w:rPr>
          <w:sz w:val="22"/>
          <w:szCs w:val="22"/>
          <w:lang w:val="sr-Latn-CS"/>
        </w:rPr>
        <w:t xml:space="preserve"> </w:t>
      </w:r>
      <w:r>
        <w:rPr>
          <w:sz w:val="22"/>
          <w:szCs w:val="22"/>
          <w:lang w:val="pt-BR"/>
        </w:rPr>
        <w:t>inhibitorom</w:t>
      </w:r>
      <w:r>
        <w:rPr>
          <w:sz w:val="22"/>
          <w:szCs w:val="22"/>
          <w:lang w:val="sr-Latn-CS"/>
        </w:rPr>
        <w:t xml:space="preserve">) </w:t>
      </w:r>
      <w:r>
        <w:rPr>
          <w:sz w:val="22"/>
          <w:szCs w:val="22"/>
          <w:lang w:val="pt-BR"/>
        </w:rPr>
        <w:t>ili</w:t>
      </w:r>
      <w:r>
        <w:rPr>
          <w:sz w:val="22"/>
          <w:szCs w:val="22"/>
          <w:lang w:val="sr-Latn-CS"/>
        </w:rPr>
        <w:t xml:space="preserve"> </w:t>
      </w:r>
      <w:r>
        <w:rPr>
          <w:sz w:val="22"/>
          <w:szCs w:val="22"/>
          <w:lang w:val="pt-BR"/>
        </w:rPr>
        <w:t>blokatorom</w:t>
      </w:r>
      <w:r>
        <w:rPr>
          <w:sz w:val="22"/>
          <w:szCs w:val="22"/>
          <w:lang w:val="sr-Latn-CS"/>
        </w:rPr>
        <w:t xml:space="preserve"> </w:t>
      </w:r>
      <w:r>
        <w:rPr>
          <w:sz w:val="22"/>
          <w:szCs w:val="22"/>
          <w:lang w:val="pt-BR"/>
        </w:rPr>
        <w:t>angiotenzin</w:t>
      </w:r>
      <w:r>
        <w:rPr>
          <w:sz w:val="22"/>
          <w:szCs w:val="22"/>
          <w:lang w:val="sr-Latn-CS"/>
        </w:rPr>
        <w:t xml:space="preserve"> </w:t>
      </w:r>
      <w:r>
        <w:rPr>
          <w:sz w:val="22"/>
          <w:szCs w:val="22"/>
          <w:lang w:val="pt-BR"/>
        </w:rPr>
        <w:t>receptora</w:t>
      </w:r>
      <w:r>
        <w:rPr>
          <w:sz w:val="22"/>
          <w:szCs w:val="22"/>
          <w:lang w:val="sr-Latn-CS"/>
        </w:rPr>
        <w:t xml:space="preserve"> </w:t>
      </w:r>
      <w:r>
        <w:rPr>
          <w:sz w:val="22"/>
          <w:szCs w:val="22"/>
          <w:lang w:val="pt-BR"/>
        </w:rPr>
        <w:t>i</w:t>
      </w:r>
      <w:r>
        <w:rPr>
          <w:sz w:val="22"/>
          <w:szCs w:val="22"/>
          <w:lang w:val="sr-Latn-CS"/>
        </w:rPr>
        <w:t xml:space="preserve"> </w:t>
      </w:r>
      <w:r>
        <w:rPr>
          <w:sz w:val="22"/>
          <w:szCs w:val="22"/>
          <w:lang w:val="pt-BR"/>
        </w:rPr>
        <w:t>beta</w:t>
      </w:r>
      <w:r>
        <w:rPr>
          <w:sz w:val="22"/>
          <w:szCs w:val="22"/>
          <w:lang w:val="sr-Latn-CS"/>
        </w:rPr>
        <w:noBreakHyphen/>
      </w:r>
      <w:r>
        <w:rPr>
          <w:sz w:val="22"/>
          <w:szCs w:val="22"/>
          <w:lang w:val="pt-BR"/>
        </w:rPr>
        <w:t>blokatorom</w:t>
      </w:r>
      <w:r>
        <w:rPr>
          <w:sz w:val="22"/>
          <w:szCs w:val="22"/>
          <w:lang w:val="sr-Latn-CS"/>
        </w:rPr>
        <w:t>.</w:t>
      </w:r>
      <w:r>
        <w:rPr>
          <w:lang w:val="hr-HR"/>
        </w:rPr>
        <w:t xml:space="preserve"> </w:t>
      </w:r>
      <w:r>
        <w:rPr>
          <w:sz w:val="22"/>
          <w:szCs w:val="22"/>
          <w:lang w:val="hr-HR"/>
        </w:rPr>
        <w:t xml:space="preserve">Većina pacijenata sa srčanim simptomima i dokazima o kliničkoj koristi od terapije lijekom Herceptin nastavili su svoju terapiju bez dodatnih kardioloških događaja. </w:t>
      </w:r>
    </w:p>
    <w:p w14:paraId="12D7606B" w14:textId="77777777" w:rsidR="00B05AA9" w:rsidRDefault="00B05AA9" w:rsidP="00641EEB">
      <w:pPr>
        <w:tabs>
          <w:tab w:val="left" w:pos="708"/>
        </w:tabs>
        <w:jc w:val="both"/>
        <w:rPr>
          <w:sz w:val="22"/>
          <w:szCs w:val="22"/>
          <w:lang w:val="hr-HR"/>
        </w:rPr>
      </w:pPr>
    </w:p>
    <w:p w14:paraId="6B9AB6F2" w14:textId="7C3FB76E" w:rsidR="00B05AA9" w:rsidRDefault="00B05AA9" w:rsidP="00641EEB">
      <w:pPr>
        <w:tabs>
          <w:tab w:val="left" w:pos="708"/>
        </w:tabs>
        <w:jc w:val="both"/>
        <w:rPr>
          <w:i/>
          <w:sz w:val="22"/>
          <w:szCs w:val="22"/>
          <w:u w:val="single"/>
          <w:lang w:val="hr-HR"/>
        </w:rPr>
      </w:pPr>
      <w:r w:rsidRPr="00146DC6">
        <w:rPr>
          <w:i/>
          <w:sz w:val="22"/>
          <w:szCs w:val="22"/>
          <w:u w:val="single"/>
          <w:lang w:val="hr-HR"/>
        </w:rPr>
        <w:t>Metastatski karcinom dojke</w:t>
      </w:r>
    </w:p>
    <w:p w14:paraId="336CF48B" w14:textId="77777777" w:rsidR="00146DC6" w:rsidRPr="00146DC6" w:rsidRDefault="00146DC6" w:rsidP="00641EEB">
      <w:pPr>
        <w:tabs>
          <w:tab w:val="left" w:pos="708"/>
        </w:tabs>
        <w:jc w:val="both"/>
        <w:rPr>
          <w:i/>
          <w:sz w:val="22"/>
          <w:szCs w:val="22"/>
          <w:u w:val="single"/>
          <w:lang w:val="hr-HR"/>
        </w:rPr>
      </w:pPr>
    </w:p>
    <w:p w14:paraId="29694618" w14:textId="10391983" w:rsidR="00B05AA9" w:rsidRDefault="00B05AA9" w:rsidP="00641EEB">
      <w:pPr>
        <w:tabs>
          <w:tab w:val="left" w:pos="708"/>
        </w:tabs>
        <w:jc w:val="both"/>
        <w:rPr>
          <w:sz w:val="22"/>
          <w:szCs w:val="22"/>
          <w:lang w:val="hr-HR"/>
        </w:rPr>
      </w:pPr>
      <w:r>
        <w:rPr>
          <w:sz w:val="22"/>
          <w:szCs w:val="22"/>
          <w:lang w:val="hr-HR"/>
        </w:rPr>
        <w:t xml:space="preserve">U metastatskom karcinomu dojke, ne smiju se istovremeno primjenjivati </w:t>
      </w:r>
      <w:r w:rsidR="00271C70">
        <w:rPr>
          <w:sz w:val="22"/>
          <w:szCs w:val="22"/>
          <w:lang w:val="hr-HR"/>
        </w:rPr>
        <w:t xml:space="preserve">lijek </w:t>
      </w:r>
      <w:r>
        <w:rPr>
          <w:sz w:val="22"/>
          <w:szCs w:val="22"/>
          <w:lang w:val="hr-HR"/>
        </w:rPr>
        <w:t>Herceptin i antraciklini.</w:t>
      </w:r>
    </w:p>
    <w:p w14:paraId="46B2DB03" w14:textId="77777777" w:rsidR="00B05AA9" w:rsidRDefault="00B05AA9" w:rsidP="00641EEB">
      <w:pPr>
        <w:tabs>
          <w:tab w:val="left" w:pos="708"/>
        </w:tabs>
        <w:jc w:val="both"/>
        <w:rPr>
          <w:sz w:val="22"/>
          <w:szCs w:val="22"/>
          <w:lang w:val="hr-HR"/>
        </w:rPr>
      </w:pPr>
    </w:p>
    <w:p w14:paraId="5688E931" w14:textId="3D1CDF86" w:rsidR="00B05AA9" w:rsidRDefault="00B05AA9" w:rsidP="00641EEB">
      <w:pPr>
        <w:tabs>
          <w:tab w:val="left" w:pos="708"/>
        </w:tabs>
        <w:jc w:val="both"/>
        <w:rPr>
          <w:sz w:val="22"/>
          <w:szCs w:val="22"/>
          <w:lang w:val="hr-HR"/>
        </w:rPr>
      </w:pPr>
      <w:r>
        <w:rPr>
          <w:sz w:val="22"/>
          <w:szCs w:val="22"/>
          <w:lang w:val="hr-HR"/>
        </w:rPr>
        <w:lastRenderedPageBreak/>
        <w:t>Pacijenti sa metastatskim karcinomom dojke, koji su prethodno primjenjivali antracikline takođe imaju rizik od razvoja disfunkcije srca ukoliko su na terapiji lijekom Herceptin, iako je ovaj rizik manji nego kada se</w:t>
      </w:r>
      <w:r w:rsidR="004B1402">
        <w:rPr>
          <w:sz w:val="22"/>
          <w:szCs w:val="22"/>
          <w:lang w:val="hr-HR"/>
        </w:rPr>
        <w:t xml:space="preserve"> lijek</w:t>
      </w:r>
      <w:r>
        <w:rPr>
          <w:sz w:val="22"/>
          <w:szCs w:val="22"/>
          <w:lang w:val="hr-HR"/>
        </w:rPr>
        <w:t xml:space="preserve"> Herceptin i antraciklini istovremeno koriste.</w:t>
      </w:r>
    </w:p>
    <w:p w14:paraId="5D66D43E" w14:textId="77777777" w:rsidR="00B05AA9" w:rsidRPr="00146DC6" w:rsidRDefault="00B05AA9" w:rsidP="00641EEB">
      <w:pPr>
        <w:tabs>
          <w:tab w:val="left" w:pos="708"/>
        </w:tabs>
        <w:jc w:val="both"/>
        <w:rPr>
          <w:i/>
          <w:sz w:val="22"/>
          <w:szCs w:val="22"/>
          <w:lang w:val="hr-HR"/>
        </w:rPr>
      </w:pPr>
    </w:p>
    <w:p w14:paraId="4CE92763" w14:textId="77777777" w:rsidR="00B05AA9" w:rsidRPr="00146DC6" w:rsidRDefault="00B05AA9" w:rsidP="00641EEB">
      <w:pPr>
        <w:tabs>
          <w:tab w:val="left" w:pos="708"/>
        </w:tabs>
        <w:jc w:val="both"/>
        <w:rPr>
          <w:i/>
          <w:sz w:val="22"/>
          <w:szCs w:val="22"/>
          <w:u w:val="single"/>
          <w:lang w:val="hr-HR"/>
        </w:rPr>
      </w:pPr>
      <w:r w:rsidRPr="00146DC6">
        <w:rPr>
          <w:i/>
          <w:sz w:val="22"/>
          <w:szCs w:val="22"/>
          <w:u w:val="single"/>
          <w:lang w:val="hr-HR"/>
        </w:rPr>
        <w:t>Rani karcinom dojke</w:t>
      </w:r>
    </w:p>
    <w:p w14:paraId="2798EB24" w14:textId="77777777" w:rsidR="00B05AA9" w:rsidRDefault="00B05AA9" w:rsidP="00641EEB">
      <w:pPr>
        <w:tabs>
          <w:tab w:val="left" w:pos="708"/>
        </w:tabs>
        <w:jc w:val="both"/>
        <w:rPr>
          <w:sz w:val="22"/>
          <w:szCs w:val="22"/>
          <w:lang w:val="hr-HR"/>
        </w:rPr>
      </w:pPr>
    </w:p>
    <w:p w14:paraId="30818651" w14:textId="105D3BD6" w:rsidR="00B05AA9" w:rsidRDefault="00B05AA9" w:rsidP="00641EEB">
      <w:pPr>
        <w:tabs>
          <w:tab w:val="left" w:pos="708"/>
        </w:tabs>
        <w:jc w:val="both"/>
        <w:rPr>
          <w:sz w:val="22"/>
          <w:szCs w:val="22"/>
          <w:lang w:val="sr-Latn-ME"/>
        </w:rPr>
      </w:pPr>
      <w:r>
        <w:rPr>
          <w:sz w:val="22"/>
          <w:szCs w:val="22"/>
          <w:lang w:val="hr-HR"/>
        </w:rPr>
        <w:t>Za pacijente sa ranim karcinomom dojke, kardiološke procjene koje se odrade na osnovnoj posjeti, treba ponoviti svaka 3 mjeseca tokom tretmana i svakih 6 mjeseci nakon prekida terapije, sve do 24 mjeseca od posljednje primjene lijeka Herceptin. Kod pacijenata koji primaju hemoterapiju koja sadrži antracikline, dalje praćenje je preporučeno i treba ga odraditi jednom godišnje do 5 godina od posljednje primjene lijeka Herceptin ili du</w:t>
      </w:r>
      <w:r w:rsidRPr="00442616">
        <w:rPr>
          <w:sz w:val="22"/>
          <w:szCs w:val="22"/>
          <w:lang w:val="hr-HR"/>
        </w:rPr>
        <w:t>že ukoliko je primijećen pad LVEF.</w:t>
      </w:r>
    </w:p>
    <w:p w14:paraId="740A9AC7" w14:textId="77777777" w:rsidR="00B05AA9" w:rsidRPr="00442616" w:rsidRDefault="00B05AA9" w:rsidP="00641EEB">
      <w:pPr>
        <w:tabs>
          <w:tab w:val="left" w:pos="708"/>
        </w:tabs>
        <w:jc w:val="both"/>
        <w:rPr>
          <w:sz w:val="22"/>
          <w:szCs w:val="22"/>
          <w:lang w:val="hr-HR"/>
        </w:rPr>
      </w:pPr>
    </w:p>
    <w:p w14:paraId="55E0BDD3" w14:textId="77777777" w:rsidR="00B05AA9" w:rsidRPr="00442616" w:rsidRDefault="00B05AA9" w:rsidP="00641EEB">
      <w:pPr>
        <w:jc w:val="both"/>
        <w:rPr>
          <w:sz w:val="22"/>
          <w:szCs w:val="22"/>
          <w:lang w:val="hr-HR"/>
        </w:rPr>
      </w:pPr>
      <w:r w:rsidRPr="00442616">
        <w:rPr>
          <w:sz w:val="22"/>
          <w:szCs w:val="22"/>
          <w:lang w:val="hr-HR"/>
        </w:rPr>
        <w:t>Pacijenti koji su imali infarkt miokarda (IM) u anamnezi, anginu pektoris koju treba liječiti, raniju ili postojeću kongestivnu srčanu insuficijenciju (NYHA klase II</w:t>
      </w:r>
      <w:r w:rsidRPr="00442616">
        <w:rPr>
          <w:sz w:val="22"/>
          <w:szCs w:val="22"/>
          <w:lang w:val="hr-HR"/>
        </w:rPr>
        <w:noBreakHyphen/>
        <w:t>IV), LVEF &lt; 55%, neku drugu kardiomiopatiju, srčanu aritmiju koju treba liječiti, klinički značajnu bolest srčanih zalistaka, loše kontrolisanu hipertenziju (hipertenzija kontrolisana standardnim liječenjem nije predstavljala prepreku) i hemodinamički efikasan perikardijalni izliv bili su isključeni iz pivotalnih ispitivanja adjuvantnog i neoadjuvantnog liječenja ranog raka dojke lijekom Herceptin, pa se liječenje za te pacijente ne može preporučiti.</w:t>
      </w:r>
    </w:p>
    <w:p w14:paraId="29DF3978" w14:textId="77777777" w:rsidR="00B05AA9" w:rsidRPr="00442616" w:rsidRDefault="00B05AA9" w:rsidP="00641EEB">
      <w:pPr>
        <w:tabs>
          <w:tab w:val="left" w:pos="708"/>
        </w:tabs>
        <w:rPr>
          <w:sz w:val="22"/>
          <w:szCs w:val="22"/>
          <w:lang w:val="hr-HR"/>
        </w:rPr>
      </w:pPr>
    </w:p>
    <w:p w14:paraId="73AC870F" w14:textId="4269BB33" w:rsidR="00B05AA9" w:rsidRDefault="00B05AA9" w:rsidP="00641EEB">
      <w:pPr>
        <w:tabs>
          <w:tab w:val="left" w:pos="708"/>
        </w:tabs>
        <w:rPr>
          <w:i/>
          <w:sz w:val="22"/>
          <w:szCs w:val="22"/>
          <w:lang w:val="hr-HR"/>
        </w:rPr>
      </w:pPr>
      <w:r w:rsidRPr="00E32C47">
        <w:rPr>
          <w:i/>
          <w:sz w:val="22"/>
          <w:szCs w:val="22"/>
          <w:lang w:val="hr-HR"/>
        </w:rPr>
        <w:t>Adjuvantni tretman</w:t>
      </w:r>
    </w:p>
    <w:p w14:paraId="6D3F64D2" w14:textId="77777777" w:rsidR="00E32C47" w:rsidRPr="00E32C47" w:rsidRDefault="00E32C47" w:rsidP="00641EEB">
      <w:pPr>
        <w:tabs>
          <w:tab w:val="left" w:pos="708"/>
        </w:tabs>
        <w:rPr>
          <w:i/>
          <w:sz w:val="22"/>
          <w:szCs w:val="22"/>
          <w:lang w:val="hr-HR"/>
        </w:rPr>
      </w:pPr>
    </w:p>
    <w:p w14:paraId="3CC63BD1" w14:textId="5EDB7799" w:rsidR="00B05AA9" w:rsidRPr="00442616" w:rsidRDefault="004B1402" w:rsidP="00641EEB">
      <w:pPr>
        <w:tabs>
          <w:tab w:val="left" w:pos="708"/>
        </w:tabs>
        <w:rPr>
          <w:sz w:val="22"/>
          <w:szCs w:val="22"/>
          <w:lang w:val="hr-HR"/>
        </w:rPr>
      </w:pPr>
      <w:r>
        <w:rPr>
          <w:sz w:val="22"/>
          <w:szCs w:val="22"/>
          <w:lang w:val="hr-HR"/>
        </w:rPr>
        <w:t xml:space="preserve">Lijek </w:t>
      </w:r>
      <w:r w:rsidR="00B05AA9" w:rsidRPr="00442616">
        <w:rPr>
          <w:sz w:val="22"/>
          <w:szCs w:val="22"/>
          <w:lang w:val="hr-HR"/>
        </w:rPr>
        <w:t>Herceptin i antraciklini ne smiju se koristiti istovremeno u adjuvantnom tretmanu.</w:t>
      </w:r>
    </w:p>
    <w:p w14:paraId="1BF19406" w14:textId="77777777" w:rsidR="00B05AA9" w:rsidRPr="00442616" w:rsidRDefault="00B05AA9" w:rsidP="00641EEB">
      <w:pPr>
        <w:tabs>
          <w:tab w:val="left" w:pos="708"/>
        </w:tabs>
        <w:rPr>
          <w:sz w:val="22"/>
          <w:szCs w:val="22"/>
          <w:lang w:val="hr-HR"/>
        </w:rPr>
      </w:pPr>
    </w:p>
    <w:p w14:paraId="01A1292B" w14:textId="69D32809" w:rsidR="004E1F29" w:rsidRDefault="00B05AA9" w:rsidP="00641EEB">
      <w:pPr>
        <w:jc w:val="both"/>
        <w:rPr>
          <w:sz w:val="22"/>
          <w:szCs w:val="22"/>
          <w:lang w:val="hr-HR"/>
        </w:rPr>
      </w:pPr>
      <w:r w:rsidRPr="00442616">
        <w:rPr>
          <w:sz w:val="22"/>
          <w:szCs w:val="22"/>
          <w:lang w:val="hr-HR"/>
        </w:rPr>
        <w:t xml:space="preserve">Kod pacijenata sa ranim karcinomom dojke, primijećena je veća incidenca pojave simptomatskih i asimptomatskih kardioloških događaja kada se lijek Herceptin primjenjuje nakon hemoterapije koja sadrži antracikline u poređenju sa primjenom u kombinaciji sa ne-antraciklinskim režimima kao što su docetaksel i karboplatin, a takođe je izraženija kada se </w:t>
      </w:r>
      <w:r w:rsidR="004B1402">
        <w:rPr>
          <w:sz w:val="22"/>
          <w:szCs w:val="22"/>
          <w:lang w:val="hr-HR"/>
        </w:rPr>
        <w:t xml:space="preserve">lijek </w:t>
      </w:r>
      <w:r w:rsidRPr="00442616">
        <w:rPr>
          <w:sz w:val="22"/>
          <w:szCs w:val="22"/>
          <w:lang w:val="hr-HR"/>
        </w:rPr>
        <w:t>Herceptin primjenjuje istovremeno sa taksanima nego kada se primjenjivao nakon terapije taksanima. Bez obzira na hemoterapijski režim koji se koristi, većina simptomatskih kardioloških događaja javljala se u prvih 18 mjeseci. U jednoj od 3 pivotalne studije u kojoj je srednja vrijednost follow up perioda iznosila 5.5 godina (BCIRG006) konstantno povećanje ukupne stope simptomatskih kardioloških ili LVEF događaja primijećena je kod pacijenata koji su primali</w:t>
      </w:r>
      <w:r w:rsidR="004B1402">
        <w:rPr>
          <w:sz w:val="22"/>
          <w:szCs w:val="22"/>
          <w:lang w:val="hr-HR"/>
        </w:rPr>
        <w:t xml:space="preserve"> lijek</w:t>
      </w:r>
      <w:r w:rsidRPr="00442616">
        <w:rPr>
          <w:sz w:val="22"/>
          <w:szCs w:val="22"/>
          <w:lang w:val="hr-HR"/>
        </w:rPr>
        <w:t xml:space="preserve"> Herceptin istovremeno sa taksanima nakon antraciklinske terapije, do 2.37% u poređenju sa približno 1% u dvije komparatorske grupe (antraciklini plus ciklofosfamid nakon čega su primijenjeni taksani, te kombinacija taksana, karboplatina i lijeka Herceptin). </w:t>
      </w:r>
    </w:p>
    <w:p w14:paraId="4A658AFB" w14:textId="77777777" w:rsidR="004E1F29" w:rsidRDefault="004E1F29" w:rsidP="00641EEB">
      <w:pPr>
        <w:jc w:val="both"/>
        <w:rPr>
          <w:sz w:val="22"/>
          <w:szCs w:val="22"/>
          <w:lang w:val="hr-HR"/>
        </w:rPr>
      </w:pPr>
    </w:p>
    <w:p w14:paraId="1DC86E84" w14:textId="6D452B0D" w:rsidR="00B05AA9" w:rsidRPr="00442616" w:rsidRDefault="00B05AA9" w:rsidP="00641EEB">
      <w:pPr>
        <w:jc w:val="both"/>
        <w:rPr>
          <w:sz w:val="22"/>
          <w:szCs w:val="22"/>
          <w:lang w:val="hr-HR"/>
        </w:rPr>
      </w:pPr>
      <w:r w:rsidRPr="00442616">
        <w:rPr>
          <w:sz w:val="22"/>
          <w:szCs w:val="22"/>
          <w:lang w:val="hr-HR"/>
        </w:rPr>
        <w:t>Faktori rizika za srčani događaj utvrđeni u četiri velike studije adjuvantnog liječenja uključivali su stariji uzrast (&gt; 50 godina), nizak LVEF (&lt; 55%) na početku liječenja, prije ili nakon početka liječenja paklitakselom, pad LVEF</w:t>
      </w:r>
      <w:r w:rsidRPr="00442616">
        <w:rPr>
          <w:sz w:val="22"/>
          <w:szCs w:val="22"/>
          <w:lang w:val="hr-HR"/>
        </w:rPr>
        <w:noBreakHyphen/>
        <w:t>a za 10</w:t>
      </w:r>
      <w:r w:rsidRPr="00442616">
        <w:rPr>
          <w:sz w:val="22"/>
          <w:szCs w:val="22"/>
          <w:lang w:val="hr-HR"/>
        </w:rPr>
        <w:noBreakHyphen/>
        <w:t xml:space="preserve">15 bodova te prethodnu ili istovremenu primjenu antihipertenziva. Kod pacijenata koji su </w:t>
      </w:r>
      <w:r w:rsidR="0054043D">
        <w:rPr>
          <w:sz w:val="22"/>
          <w:szCs w:val="22"/>
          <w:lang w:val="hr-HR"/>
        </w:rPr>
        <w:t xml:space="preserve">lijek </w:t>
      </w:r>
      <w:r w:rsidRPr="00442616">
        <w:rPr>
          <w:sz w:val="22"/>
          <w:szCs w:val="22"/>
          <w:lang w:val="hr-HR"/>
        </w:rPr>
        <w:t>Herceptin primali nakon završetka adjuvantne hemoterapije, rizik od disfunkcije srca povezivao se sa većom kumulativnom dozom antraciklina primijenjenog prije početka liječenja lijekom Herceptin te indeksom tjelesne mase (BMI) većim od 25 kg/m</w:t>
      </w:r>
      <w:r w:rsidRPr="00442616">
        <w:rPr>
          <w:sz w:val="22"/>
          <w:szCs w:val="22"/>
          <w:vertAlign w:val="superscript"/>
          <w:lang w:val="hr-HR"/>
        </w:rPr>
        <w:t>2</w:t>
      </w:r>
      <w:r w:rsidRPr="00442616">
        <w:rPr>
          <w:sz w:val="22"/>
          <w:szCs w:val="22"/>
          <w:lang w:val="hr-HR"/>
        </w:rPr>
        <w:t>.</w:t>
      </w:r>
    </w:p>
    <w:p w14:paraId="2D448A9B" w14:textId="77777777" w:rsidR="00B05AA9" w:rsidRPr="00442616" w:rsidRDefault="00B05AA9" w:rsidP="00641EEB">
      <w:pPr>
        <w:tabs>
          <w:tab w:val="left" w:pos="708"/>
        </w:tabs>
        <w:jc w:val="both"/>
        <w:rPr>
          <w:sz w:val="22"/>
          <w:szCs w:val="22"/>
          <w:u w:val="single"/>
          <w:lang w:val="hr-HR"/>
        </w:rPr>
      </w:pPr>
    </w:p>
    <w:p w14:paraId="39862F2E" w14:textId="7C32AF90" w:rsidR="00B05AA9" w:rsidRDefault="00B05AA9" w:rsidP="00641EEB">
      <w:pPr>
        <w:tabs>
          <w:tab w:val="left" w:pos="708"/>
        </w:tabs>
        <w:jc w:val="both"/>
        <w:rPr>
          <w:i/>
          <w:sz w:val="22"/>
          <w:szCs w:val="22"/>
          <w:lang w:val="hr-HR"/>
        </w:rPr>
      </w:pPr>
      <w:r w:rsidRPr="00E32C47">
        <w:rPr>
          <w:i/>
          <w:sz w:val="22"/>
          <w:szCs w:val="22"/>
          <w:lang w:val="hr-HR"/>
        </w:rPr>
        <w:t>Neoadjuvantni – adjuvantni tretman</w:t>
      </w:r>
    </w:p>
    <w:p w14:paraId="3F86123C" w14:textId="77777777" w:rsidR="00E32C47" w:rsidRPr="00E32C47" w:rsidRDefault="00E32C47" w:rsidP="00641EEB">
      <w:pPr>
        <w:tabs>
          <w:tab w:val="left" w:pos="708"/>
        </w:tabs>
        <w:jc w:val="both"/>
        <w:rPr>
          <w:i/>
          <w:sz w:val="22"/>
          <w:szCs w:val="22"/>
          <w:lang w:val="hr-HR"/>
        </w:rPr>
      </w:pPr>
    </w:p>
    <w:p w14:paraId="6BCCCD80" w14:textId="1B90F28F" w:rsidR="00B05AA9" w:rsidRPr="00442616" w:rsidRDefault="00B05AA9" w:rsidP="00641EEB">
      <w:pPr>
        <w:tabs>
          <w:tab w:val="left" w:pos="708"/>
        </w:tabs>
        <w:jc w:val="both"/>
        <w:rPr>
          <w:sz w:val="22"/>
          <w:szCs w:val="22"/>
          <w:lang w:val="hr-HR"/>
        </w:rPr>
      </w:pPr>
      <w:r w:rsidRPr="00442616">
        <w:rPr>
          <w:sz w:val="22"/>
          <w:szCs w:val="22"/>
          <w:lang w:val="hr-HR"/>
        </w:rPr>
        <w:t xml:space="preserve">Kod pacijenata sa ranim karcinomom dojke, koji su kandidati za neoadjuvantni-adjuvantni tretman, </w:t>
      </w:r>
      <w:r w:rsidR="0054043D">
        <w:rPr>
          <w:sz w:val="22"/>
          <w:szCs w:val="22"/>
          <w:lang w:val="hr-HR"/>
        </w:rPr>
        <w:t xml:space="preserve">lijek </w:t>
      </w:r>
      <w:r w:rsidRPr="00442616">
        <w:rPr>
          <w:sz w:val="22"/>
          <w:szCs w:val="22"/>
          <w:lang w:val="hr-HR"/>
        </w:rPr>
        <w:t>Herceptin se smije primjenjivati istovremeno sa antraciklinima isključivo kod pacijenata koji prije nijesu primali hemoterapiju i samo uz protokole sa niskim dozama antraciklina t.j. onih sa maksimalnom kumulativnom dozom doksorubicin</w:t>
      </w:r>
      <w:r w:rsidR="0054043D">
        <w:rPr>
          <w:sz w:val="22"/>
          <w:szCs w:val="22"/>
          <w:lang w:val="hr-HR"/>
        </w:rPr>
        <w:t>a</w:t>
      </w:r>
      <w:r w:rsidRPr="00442616">
        <w:rPr>
          <w:sz w:val="22"/>
          <w:szCs w:val="22"/>
          <w:lang w:val="hr-HR"/>
        </w:rPr>
        <w:t xml:space="preserve"> 180mg/m</w:t>
      </w:r>
      <w:r w:rsidRPr="00442616">
        <w:rPr>
          <w:sz w:val="22"/>
          <w:szCs w:val="22"/>
          <w:vertAlign w:val="superscript"/>
          <w:lang w:val="hr-HR"/>
        </w:rPr>
        <w:t>2</w:t>
      </w:r>
      <w:r w:rsidRPr="00442616">
        <w:rPr>
          <w:sz w:val="22"/>
          <w:szCs w:val="22"/>
          <w:lang w:val="hr-HR"/>
        </w:rPr>
        <w:t xml:space="preserve"> ili epirubicin</w:t>
      </w:r>
      <w:r w:rsidR="0054043D">
        <w:rPr>
          <w:sz w:val="22"/>
          <w:szCs w:val="22"/>
          <w:lang w:val="hr-HR"/>
        </w:rPr>
        <w:t>a</w:t>
      </w:r>
      <w:r w:rsidRPr="00442616">
        <w:rPr>
          <w:sz w:val="22"/>
          <w:szCs w:val="22"/>
          <w:lang w:val="hr-HR"/>
        </w:rPr>
        <w:t xml:space="preserve"> 360mg/m</w:t>
      </w:r>
      <w:r w:rsidRPr="00442616">
        <w:rPr>
          <w:sz w:val="22"/>
          <w:szCs w:val="22"/>
          <w:vertAlign w:val="superscript"/>
          <w:lang w:val="hr-HR"/>
        </w:rPr>
        <w:t>2</w:t>
      </w:r>
      <w:r w:rsidR="0054043D">
        <w:rPr>
          <w:sz w:val="22"/>
          <w:szCs w:val="22"/>
          <w:lang w:val="hr-HR"/>
        </w:rPr>
        <w:t>.</w:t>
      </w:r>
    </w:p>
    <w:p w14:paraId="2AF4A6E1" w14:textId="77777777" w:rsidR="00B05AA9" w:rsidRPr="00442616" w:rsidRDefault="00B05AA9" w:rsidP="00641EEB">
      <w:pPr>
        <w:tabs>
          <w:tab w:val="left" w:pos="708"/>
        </w:tabs>
        <w:jc w:val="both"/>
        <w:rPr>
          <w:sz w:val="22"/>
          <w:szCs w:val="22"/>
          <w:lang w:val="hr-HR"/>
        </w:rPr>
      </w:pPr>
    </w:p>
    <w:p w14:paraId="06B2D77D" w14:textId="77777777" w:rsidR="00B05AA9" w:rsidRPr="00442616" w:rsidRDefault="00B05AA9" w:rsidP="00641EEB">
      <w:pPr>
        <w:jc w:val="both"/>
        <w:rPr>
          <w:sz w:val="22"/>
          <w:szCs w:val="22"/>
          <w:lang w:val="hr-HR"/>
        </w:rPr>
      </w:pPr>
      <w:r w:rsidRPr="00442616">
        <w:rPr>
          <w:sz w:val="22"/>
          <w:szCs w:val="22"/>
          <w:lang w:val="hr-HR"/>
        </w:rPr>
        <w:t>Ukoliko su pacijenti bili istovremeno na tretmanu niskim dozama antraciklina i lijeka Herceptin tokom neoadjuvantnog liječenja, nakon operacije ne smiju primati nikakvu dodatnu citotoksičnu hemoterapiju. U drugim se situacijama odluka o potrebi za dodatnom citotoksičnom hemoterapijom donosi na osnovu individualnih faktora.</w:t>
      </w:r>
    </w:p>
    <w:p w14:paraId="16019068" w14:textId="77777777" w:rsidR="00B05AA9" w:rsidRPr="00442616" w:rsidRDefault="00B05AA9" w:rsidP="00641EEB">
      <w:pPr>
        <w:tabs>
          <w:tab w:val="left" w:pos="708"/>
        </w:tabs>
        <w:rPr>
          <w:sz w:val="22"/>
          <w:szCs w:val="22"/>
          <w:lang w:val="hr-HR"/>
        </w:rPr>
      </w:pPr>
    </w:p>
    <w:p w14:paraId="550DAFE2" w14:textId="36060208" w:rsidR="00B05AA9" w:rsidRDefault="00B05AA9" w:rsidP="00641EEB">
      <w:pPr>
        <w:tabs>
          <w:tab w:val="left" w:pos="708"/>
        </w:tabs>
        <w:jc w:val="both"/>
        <w:rPr>
          <w:sz w:val="22"/>
          <w:szCs w:val="22"/>
          <w:lang w:val="hr-HR"/>
        </w:rPr>
      </w:pPr>
      <w:r w:rsidRPr="00442616">
        <w:rPr>
          <w:sz w:val="22"/>
          <w:szCs w:val="22"/>
          <w:lang w:val="hr-HR"/>
        </w:rPr>
        <w:t xml:space="preserve">Iskustva o istovremenoj primjeni trastuzumaba sa nižim dozama antraciklinskog hemoterapijskog režima je trenutno ograničeno na dvije studije (MO16432 i BO22227). </w:t>
      </w:r>
    </w:p>
    <w:p w14:paraId="1F88B285" w14:textId="77777777" w:rsidR="0054043D" w:rsidRPr="00442616" w:rsidRDefault="0054043D" w:rsidP="00641EEB">
      <w:pPr>
        <w:tabs>
          <w:tab w:val="left" w:pos="708"/>
        </w:tabs>
        <w:jc w:val="both"/>
        <w:rPr>
          <w:sz w:val="22"/>
          <w:szCs w:val="22"/>
          <w:lang w:val="hr-HR"/>
        </w:rPr>
      </w:pPr>
    </w:p>
    <w:p w14:paraId="09216398" w14:textId="7FCB97AF" w:rsidR="00B05AA9" w:rsidRDefault="00B05AA9" w:rsidP="00641EEB">
      <w:pPr>
        <w:tabs>
          <w:tab w:val="left" w:pos="708"/>
        </w:tabs>
        <w:jc w:val="both"/>
        <w:rPr>
          <w:sz w:val="22"/>
          <w:szCs w:val="22"/>
          <w:lang w:val="hr-HR"/>
        </w:rPr>
      </w:pPr>
      <w:r w:rsidRPr="00442616">
        <w:rPr>
          <w:sz w:val="22"/>
          <w:szCs w:val="22"/>
          <w:lang w:val="hr-HR"/>
        </w:rPr>
        <w:t xml:space="preserve">U pivotanoj studiji MO16432 </w:t>
      </w:r>
      <w:r w:rsidR="0054043D">
        <w:rPr>
          <w:sz w:val="22"/>
          <w:szCs w:val="22"/>
          <w:lang w:val="hr-HR"/>
        </w:rPr>
        <w:t xml:space="preserve">lijek </w:t>
      </w:r>
      <w:r w:rsidRPr="00442616">
        <w:rPr>
          <w:sz w:val="22"/>
          <w:szCs w:val="22"/>
          <w:lang w:val="hr-HR"/>
        </w:rPr>
        <w:t xml:space="preserve">Herceptin se primjenjivao istovremeno sa neoadjuvantnom hemoterapijom </w:t>
      </w:r>
      <w:r w:rsidR="0054043D">
        <w:rPr>
          <w:sz w:val="22"/>
          <w:szCs w:val="22"/>
          <w:lang w:val="hr-HR"/>
        </w:rPr>
        <w:t xml:space="preserve">koja se </w:t>
      </w:r>
      <w:r w:rsidRPr="00442616">
        <w:rPr>
          <w:sz w:val="22"/>
          <w:szCs w:val="22"/>
          <w:lang w:val="hr-HR"/>
        </w:rPr>
        <w:t>sastojala od 3 ciklusa doksorubicina (kumulativna doza 180mg/m</w:t>
      </w:r>
      <w:r w:rsidRPr="00442616">
        <w:rPr>
          <w:sz w:val="22"/>
          <w:szCs w:val="22"/>
          <w:vertAlign w:val="superscript"/>
          <w:lang w:val="hr-HR"/>
        </w:rPr>
        <w:t>2</w:t>
      </w:r>
      <w:r w:rsidRPr="00442616">
        <w:rPr>
          <w:sz w:val="22"/>
          <w:szCs w:val="22"/>
          <w:lang w:val="hr-HR"/>
        </w:rPr>
        <w:t xml:space="preserve">). </w:t>
      </w:r>
    </w:p>
    <w:p w14:paraId="79E04716" w14:textId="77777777" w:rsidR="004E1F29" w:rsidRPr="00442616" w:rsidRDefault="004E1F29" w:rsidP="00641EEB">
      <w:pPr>
        <w:tabs>
          <w:tab w:val="left" w:pos="708"/>
        </w:tabs>
        <w:jc w:val="both"/>
        <w:rPr>
          <w:sz w:val="22"/>
          <w:szCs w:val="22"/>
          <w:lang w:val="hr-HR"/>
        </w:rPr>
      </w:pPr>
    </w:p>
    <w:p w14:paraId="60F686AC" w14:textId="77777777" w:rsidR="00B05AA9" w:rsidRPr="00442616" w:rsidRDefault="00B05AA9" w:rsidP="00641EEB">
      <w:pPr>
        <w:tabs>
          <w:tab w:val="left" w:pos="708"/>
        </w:tabs>
        <w:jc w:val="both"/>
        <w:rPr>
          <w:sz w:val="22"/>
          <w:szCs w:val="22"/>
          <w:lang w:val="hr-HR"/>
        </w:rPr>
      </w:pPr>
      <w:r w:rsidRPr="00442616">
        <w:rPr>
          <w:sz w:val="22"/>
          <w:szCs w:val="22"/>
          <w:lang w:val="hr-HR"/>
        </w:rPr>
        <w:t xml:space="preserve">Incidenca pojave simptomatskih kardioloških disfunkcija je u grupama koje su primale Herceptin iznosila je 1.7%. </w:t>
      </w:r>
    </w:p>
    <w:p w14:paraId="6C99671F" w14:textId="77777777" w:rsidR="00B05AA9" w:rsidRPr="00442616" w:rsidRDefault="00B05AA9" w:rsidP="00641EEB">
      <w:pPr>
        <w:tabs>
          <w:tab w:val="left" w:pos="708"/>
        </w:tabs>
        <w:jc w:val="both"/>
        <w:rPr>
          <w:sz w:val="22"/>
          <w:szCs w:val="22"/>
          <w:lang w:val="hr-HR"/>
        </w:rPr>
      </w:pPr>
    </w:p>
    <w:p w14:paraId="54160D04" w14:textId="22B61B3D" w:rsidR="00B05AA9" w:rsidRPr="00442616" w:rsidRDefault="00B05AA9" w:rsidP="00641EEB">
      <w:pPr>
        <w:jc w:val="both"/>
        <w:rPr>
          <w:sz w:val="22"/>
          <w:szCs w:val="22"/>
          <w:lang w:val="hr-HR"/>
        </w:rPr>
      </w:pPr>
      <w:r w:rsidRPr="00442616">
        <w:rPr>
          <w:sz w:val="22"/>
          <w:szCs w:val="22"/>
          <w:lang w:val="hr-HR"/>
        </w:rPr>
        <w:t>Pivotalna studija BO22227 bila je dizajnirana tako da dokaže neinferiornost liječenja subkutanom formulacijom lijeka Herceptin u odnosu na intravensku formulaciju lijeka Herceptin na osnovu dvije primarne mjere ishoda - za farmakokinetiku i efikasnost (C</w:t>
      </w:r>
      <w:r w:rsidRPr="00BA76B8">
        <w:rPr>
          <w:sz w:val="22"/>
          <w:szCs w:val="22"/>
          <w:vertAlign w:val="subscript"/>
          <w:lang w:val="hr-HR"/>
        </w:rPr>
        <w:t>trough</w:t>
      </w:r>
      <w:r w:rsidRPr="00442616">
        <w:rPr>
          <w:sz w:val="22"/>
          <w:szCs w:val="22"/>
          <w:lang w:val="hr-HR"/>
        </w:rPr>
        <w:t xml:space="preserve"> trastuzumaba prije primjene doze u 8. ciklusu odnosno stepen potpunog patološkog odgovora [engl. </w:t>
      </w:r>
      <w:r w:rsidRPr="00BA76B8">
        <w:rPr>
          <w:i/>
          <w:sz w:val="22"/>
          <w:szCs w:val="22"/>
          <w:lang w:val="hr-HR"/>
        </w:rPr>
        <w:t>pathological complete response</w:t>
      </w:r>
      <w:r w:rsidRPr="00442616">
        <w:rPr>
          <w:sz w:val="22"/>
          <w:szCs w:val="22"/>
          <w:lang w:val="hr-HR"/>
        </w:rPr>
        <w:t xml:space="preserve">, pCR] pri definitivnom hirurškom zahvatu) (vidjeti dio 5.1 Sažetka karakteristika lijeka za subkutanu formulaciju lijeka Herceptin). U pivotalnoj studiji BO22227, </w:t>
      </w:r>
      <w:r w:rsidR="008420F9">
        <w:rPr>
          <w:sz w:val="22"/>
          <w:szCs w:val="22"/>
          <w:lang w:val="hr-HR"/>
        </w:rPr>
        <w:t xml:space="preserve">lijek </w:t>
      </w:r>
      <w:r w:rsidRPr="00442616">
        <w:rPr>
          <w:sz w:val="22"/>
          <w:szCs w:val="22"/>
          <w:lang w:val="hr-HR"/>
        </w:rPr>
        <w:t>Herceptin se primjenjivao istovremeno sa neoadjuvantnom hemoterapijom koja se sastojala od četiri ciklusa epirubicina (kumulativna doza: 300 mg/m</w:t>
      </w:r>
      <w:r w:rsidRPr="00BA76B8">
        <w:rPr>
          <w:sz w:val="22"/>
          <w:szCs w:val="22"/>
          <w:vertAlign w:val="superscript"/>
          <w:lang w:val="hr-HR"/>
        </w:rPr>
        <w:t>2</w:t>
      </w:r>
      <w:r w:rsidRPr="00442616">
        <w:rPr>
          <w:sz w:val="22"/>
          <w:szCs w:val="22"/>
          <w:lang w:val="hr-HR"/>
        </w:rPr>
        <w:t>); nakon medijan</w:t>
      </w:r>
      <w:r w:rsidR="008420F9">
        <w:rPr>
          <w:sz w:val="22"/>
          <w:szCs w:val="22"/>
          <w:lang w:val="hr-HR"/>
        </w:rPr>
        <w:t>e</w:t>
      </w:r>
      <w:r w:rsidRPr="00442616">
        <w:rPr>
          <w:sz w:val="22"/>
          <w:szCs w:val="22"/>
          <w:lang w:val="hr-HR"/>
        </w:rPr>
        <w:t xml:space="preserve"> praćenja od više od 70 mjeseci, učestalost srčane insuficijencije/kongestivne srčane insuficijencije iznosila je 0,3% u grupi koja je primala </w:t>
      </w:r>
      <w:r w:rsidR="008420F9">
        <w:rPr>
          <w:sz w:val="22"/>
          <w:szCs w:val="22"/>
          <w:lang w:val="hr-HR"/>
        </w:rPr>
        <w:t xml:space="preserve">lijek </w:t>
      </w:r>
      <w:r w:rsidRPr="00442616">
        <w:rPr>
          <w:sz w:val="22"/>
          <w:szCs w:val="22"/>
          <w:lang w:val="hr-HR"/>
        </w:rPr>
        <w:t>Herceptin za intravensku primjenu.</w:t>
      </w:r>
    </w:p>
    <w:p w14:paraId="6CFE3CEC" w14:textId="77777777" w:rsidR="00B05AA9" w:rsidRPr="00442616" w:rsidRDefault="00B05AA9" w:rsidP="00641EEB">
      <w:pPr>
        <w:tabs>
          <w:tab w:val="left" w:pos="708"/>
        </w:tabs>
        <w:rPr>
          <w:sz w:val="22"/>
          <w:szCs w:val="22"/>
          <w:lang w:val="hr-HR"/>
        </w:rPr>
      </w:pPr>
    </w:p>
    <w:p w14:paraId="70742E34" w14:textId="77777777" w:rsidR="00B05AA9" w:rsidRPr="00442616" w:rsidRDefault="00B05AA9" w:rsidP="00641EEB">
      <w:pPr>
        <w:tabs>
          <w:tab w:val="left" w:pos="708"/>
        </w:tabs>
        <w:rPr>
          <w:sz w:val="22"/>
          <w:szCs w:val="22"/>
          <w:lang w:val="hr-HR"/>
        </w:rPr>
      </w:pPr>
      <w:r w:rsidRPr="00442616">
        <w:rPr>
          <w:sz w:val="22"/>
          <w:szCs w:val="22"/>
          <w:lang w:val="hr-HR"/>
        </w:rPr>
        <w:t>Kliničko iskustvo kod pacijenata starijih od 65 godina je ograničeno.</w:t>
      </w:r>
    </w:p>
    <w:p w14:paraId="341D867D" w14:textId="77777777" w:rsidR="00B05AA9" w:rsidRPr="00E32C47" w:rsidRDefault="00B05AA9" w:rsidP="00641EEB">
      <w:pPr>
        <w:rPr>
          <w:sz w:val="22"/>
          <w:szCs w:val="22"/>
          <w:u w:val="single"/>
          <w:lang w:val="hr-HR"/>
        </w:rPr>
      </w:pPr>
    </w:p>
    <w:p w14:paraId="6BBD3E27" w14:textId="6B29B640" w:rsidR="00B05AA9" w:rsidRDefault="00146DC6" w:rsidP="00641EEB">
      <w:pPr>
        <w:rPr>
          <w:sz w:val="22"/>
          <w:szCs w:val="22"/>
          <w:u w:val="single"/>
          <w:lang w:val="pl-PL"/>
        </w:rPr>
      </w:pPr>
      <w:r w:rsidRPr="00E32C47">
        <w:rPr>
          <w:sz w:val="22"/>
          <w:szCs w:val="22"/>
          <w:u w:val="single"/>
          <w:lang w:val="pl-PL"/>
        </w:rPr>
        <w:t>Reakcije povez</w:t>
      </w:r>
      <w:r w:rsidR="00B05AA9" w:rsidRPr="00E32C47">
        <w:rPr>
          <w:sz w:val="22"/>
          <w:szCs w:val="22"/>
          <w:u w:val="single"/>
          <w:lang w:val="pl-PL"/>
        </w:rPr>
        <w:t>ane sa  infuzijom i preosjetljivost</w:t>
      </w:r>
    </w:p>
    <w:p w14:paraId="3A41AB7A" w14:textId="77777777" w:rsidR="008420F9" w:rsidRPr="00E32C47" w:rsidRDefault="008420F9" w:rsidP="00641EEB">
      <w:pPr>
        <w:rPr>
          <w:sz w:val="22"/>
          <w:szCs w:val="22"/>
          <w:u w:val="single"/>
          <w:lang w:val="pl-PL"/>
        </w:rPr>
      </w:pPr>
    </w:p>
    <w:p w14:paraId="560648B7" w14:textId="36A3D639" w:rsidR="00B05AA9" w:rsidRDefault="00B05AA9" w:rsidP="00641EEB">
      <w:pPr>
        <w:jc w:val="both"/>
        <w:rPr>
          <w:sz w:val="22"/>
          <w:szCs w:val="22"/>
          <w:lang w:val="it-IT"/>
        </w:rPr>
      </w:pPr>
      <w:r>
        <w:rPr>
          <w:sz w:val="22"/>
          <w:szCs w:val="22"/>
          <w:lang w:val="pl-PL"/>
        </w:rPr>
        <w:t>Ozbiljne neželjene reakcije  pove</w:t>
      </w:r>
      <w:r w:rsidR="008420F9">
        <w:rPr>
          <w:sz w:val="22"/>
          <w:szCs w:val="22"/>
          <w:lang w:val="pl-PL"/>
        </w:rPr>
        <w:t>z</w:t>
      </w:r>
      <w:r>
        <w:rPr>
          <w:sz w:val="22"/>
          <w:szCs w:val="22"/>
          <w:lang w:val="pl-PL"/>
        </w:rPr>
        <w:t xml:space="preserve">ane sa infuzijom </w:t>
      </w:r>
      <w:r w:rsidR="008420F9">
        <w:rPr>
          <w:sz w:val="22"/>
          <w:szCs w:val="22"/>
          <w:lang w:val="pl-PL"/>
        </w:rPr>
        <w:t xml:space="preserve">lijeka </w:t>
      </w:r>
      <w:r>
        <w:rPr>
          <w:sz w:val="22"/>
          <w:szCs w:val="22"/>
          <w:lang w:val="pl-PL"/>
        </w:rPr>
        <w:t>Herceptin koje su zabilježene uključuju dispneju, hipotenziju, vizing, hipertenziju, bronhospazam, supraventrikularnu tahiaritmiju, smanjenu zasićenost kiseonikom, anafilaksu, respiratorni distres, urtikariju i angioedem (vid</w:t>
      </w:r>
      <w:r w:rsidR="008420F9">
        <w:rPr>
          <w:sz w:val="22"/>
          <w:szCs w:val="22"/>
          <w:lang w:val="pl-PL"/>
        </w:rPr>
        <w:t xml:space="preserve">jeti dio </w:t>
      </w:r>
      <w:r>
        <w:rPr>
          <w:sz w:val="22"/>
          <w:szCs w:val="22"/>
          <w:lang w:val="pl-PL"/>
        </w:rPr>
        <w:t>4.8). Rizik od pojave reakcija na primjenu lijeka može se smanjiti premedikacijom.</w:t>
      </w:r>
      <w:r w:rsidR="008420F9">
        <w:rPr>
          <w:sz w:val="22"/>
          <w:szCs w:val="22"/>
          <w:lang w:val="pl-PL"/>
        </w:rPr>
        <w:t xml:space="preserve"> </w:t>
      </w:r>
      <w:r>
        <w:rPr>
          <w:sz w:val="22"/>
          <w:szCs w:val="22"/>
          <w:lang w:val="pl-PL"/>
        </w:rPr>
        <w:t>Većina ovih događaja nastaje u prvih 2,5 čas</w:t>
      </w:r>
      <w:r w:rsidR="008420F9">
        <w:rPr>
          <w:sz w:val="22"/>
          <w:szCs w:val="22"/>
          <w:lang w:val="pl-PL"/>
        </w:rPr>
        <w:t>a</w:t>
      </w:r>
      <w:r>
        <w:rPr>
          <w:sz w:val="22"/>
          <w:szCs w:val="22"/>
          <w:lang w:val="pl-PL"/>
        </w:rPr>
        <w:t xml:space="preserve"> po početku prve infuzije. Ako se reakcija na infuziju razvije, infuziju </w:t>
      </w:r>
      <w:r w:rsidR="008420F9">
        <w:rPr>
          <w:sz w:val="22"/>
          <w:szCs w:val="22"/>
          <w:lang w:val="pl-PL"/>
        </w:rPr>
        <w:t xml:space="preserve">lijekom </w:t>
      </w:r>
      <w:r>
        <w:rPr>
          <w:sz w:val="22"/>
          <w:szCs w:val="22"/>
          <w:lang w:val="pl-PL"/>
        </w:rPr>
        <w:t xml:space="preserve">Herceptin treba prekinuti ili usporiti, a pacijenta pratiti dok se svi manifestovani simptomi ne povuku (vidjeti dio 4.2). </w:t>
      </w:r>
      <w:r>
        <w:rPr>
          <w:sz w:val="22"/>
          <w:szCs w:val="22"/>
          <w:lang w:val="it-IT"/>
        </w:rPr>
        <w:t xml:space="preserve">Ovi se simptomi mogu liječiti analgeticima/antipireticima, poput meperidina ili paracetamola, ili antihistaminicima, poput difenhidramina. Kod većine pacijenata simptomi se povlače i njima se potom ponovo daje infuzija </w:t>
      </w:r>
      <w:r w:rsidR="008420F9">
        <w:rPr>
          <w:sz w:val="22"/>
          <w:szCs w:val="22"/>
          <w:lang w:val="it-IT"/>
        </w:rPr>
        <w:t xml:space="preserve">ljekom </w:t>
      </w:r>
      <w:r>
        <w:rPr>
          <w:sz w:val="22"/>
          <w:szCs w:val="22"/>
          <w:lang w:val="it-IT"/>
        </w:rPr>
        <w:t xml:space="preserve">Herceptin. Ozbiljne reakcije uspješno su liječene potpornom terapijom uključujući kiseonik, beta-agoniste i kortikosteroide. U rijetkim slučajevima, ove reakcije su praćene kliničkim tokom koji može da se završi fatalnim ishodom. Pacijenti koji imaju dispneju pri mirovanju zbog komplikacija uznapredovalog maligniteta i komorbiditeta mogu biti izloženi povećanom riziku od fatalne reakcije na infuziju. Prema tome, ovi pacijenti se ne smiju liječiti lijekom Herceptin (vidjeti dio 4.3). </w:t>
      </w:r>
    </w:p>
    <w:p w14:paraId="4A2079B5" w14:textId="77777777" w:rsidR="00B05AA9" w:rsidRDefault="00B05AA9" w:rsidP="00641EEB">
      <w:pPr>
        <w:rPr>
          <w:sz w:val="22"/>
          <w:szCs w:val="22"/>
          <w:lang w:val="it-IT"/>
        </w:rPr>
      </w:pPr>
    </w:p>
    <w:p w14:paraId="5AE9FDCD" w14:textId="465E1AE7" w:rsidR="00B05AA9" w:rsidRDefault="00B05AA9" w:rsidP="00641EEB">
      <w:pPr>
        <w:jc w:val="both"/>
        <w:rPr>
          <w:sz w:val="22"/>
          <w:szCs w:val="22"/>
          <w:lang w:val="it-IT"/>
        </w:rPr>
      </w:pPr>
      <w:r>
        <w:rPr>
          <w:sz w:val="22"/>
          <w:szCs w:val="22"/>
          <w:lang w:val="it-IT"/>
        </w:rPr>
        <w:t xml:space="preserve">Zabilježeni su i slučajevi da je nakon početnog poboljšanja slijedilo kliničko pogoršanje i zakašnjele reakcije sa brzim kliničkim pogoršanjem. Do smrtnog ishoda dolazilo je u vremenu od nekoliko sati do jedne nedjelje nakon davanja infuzije. U vrlo rijetkim slučajevima infuzijski ili plućni simptomi pojavili su se za više od šest sati nakon početka infuzije </w:t>
      </w:r>
      <w:r w:rsidR="008420F9">
        <w:rPr>
          <w:sz w:val="22"/>
          <w:szCs w:val="22"/>
          <w:lang w:val="it-IT"/>
        </w:rPr>
        <w:t xml:space="preserve">lijekom </w:t>
      </w:r>
      <w:r>
        <w:rPr>
          <w:sz w:val="22"/>
          <w:szCs w:val="22"/>
          <w:lang w:val="it-IT"/>
        </w:rPr>
        <w:t>Herceptin. Pacijente treba upozoriti na mogućnost kasne pojave simptoma i uputiti ih da se jave ljekaru ako se ti simptomi pojave.</w:t>
      </w:r>
    </w:p>
    <w:p w14:paraId="5DBA94A3" w14:textId="77777777" w:rsidR="00B05AA9" w:rsidRDefault="00B05AA9" w:rsidP="00641EEB">
      <w:pPr>
        <w:rPr>
          <w:sz w:val="22"/>
          <w:szCs w:val="22"/>
          <w:lang w:val="it-IT"/>
        </w:rPr>
      </w:pPr>
    </w:p>
    <w:p w14:paraId="59E51205" w14:textId="13B8EF15" w:rsidR="00B05AA9" w:rsidRDefault="00B05AA9" w:rsidP="00641EEB">
      <w:pPr>
        <w:rPr>
          <w:sz w:val="22"/>
          <w:szCs w:val="22"/>
          <w:u w:val="single"/>
          <w:lang w:val="it-IT"/>
        </w:rPr>
      </w:pPr>
      <w:r w:rsidRPr="00E32C47">
        <w:rPr>
          <w:sz w:val="22"/>
          <w:szCs w:val="22"/>
          <w:u w:val="single"/>
          <w:lang w:val="it-IT"/>
        </w:rPr>
        <w:t>Plućni događaji</w:t>
      </w:r>
    </w:p>
    <w:p w14:paraId="38B8B240" w14:textId="77777777" w:rsidR="00E32C47" w:rsidRPr="00E32C47" w:rsidRDefault="00E32C47" w:rsidP="00641EEB">
      <w:pPr>
        <w:rPr>
          <w:sz w:val="22"/>
          <w:szCs w:val="22"/>
          <w:u w:val="single"/>
          <w:lang w:val="it-IT"/>
        </w:rPr>
      </w:pPr>
    </w:p>
    <w:p w14:paraId="43F13DBB" w14:textId="233AF3B9" w:rsidR="00B05AA9" w:rsidRDefault="00B05AA9" w:rsidP="00641EEB">
      <w:pPr>
        <w:jc w:val="both"/>
        <w:rPr>
          <w:sz w:val="22"/>
          <w:szCs w:val="22"/>
          <w:lang w:val="it-IT"/>
        </w:rPr>
      </w:pPr>
      <w:r>
        <w:rPr>
          <w:sz w:val="22"/>
          <w:szCs w:val="22"/>
          <w:lang w:val="it-IT"/>
        </w:rPr>
        <w:t>Teški plućni događaji pri upotrebi lijeka Herceptin zabilježeni su u periodu nakon stavljanja lijeka u promet (vidjeti dio 4.8). Ti događaji su ponekad imali smrtan ishod. Uz to su i prijavljeni slučajevi intersticijalne bolesti pluća, uključujući plućne infiltrate, sindroma akutnog respiratornog distresa, pneumonije, pneumonitisa, pleuralne efuzije, respiratornog distresa, akutnog plućnog edema i respiratorne insuficijencije. Faktori rizika povezani sa intersticijalnom bolesti pluća uključuju prethodnu ili konkomitantnu terapiju drugim anti-neoplastičnim agensima kao što su taksani, gemcitabin, vinorelbin i radio terapija. Ovi događaji mogu da nastanu dijelom kao reakcija na infuziju ili da budu sa odloženim početkom. Pacijenti koji imaju dispneju pri mirovanju zbog komplikacija uznapredovalog maligniteta i ko-morbiditeta mogu biti izloženi povećanom riziku od fatalne reakcije na infuziju. Prema tome, ovi pacijenti se ne smiju liječiti lijekom Herceptin (vidjeti dio 4.3). Treba biti oprezan kod pneumonitisa, posebno kod pacijenata koji uporedo primaju i terapiju taksanima.</w:t>
      </w:r>
    </w:p>
    <w:p w14:paraId="374DE34E" w14:textId="77777777" w:rsidR="00B05AA9" w:rsidRPr="00442616" w:rsidRDefault="00B05AA9" w:rsidP="00641EEB">
      <w:pPr>
        <w:tabs>
          <w:tab w:val="left" w:pos="540"/>
          <w:tab w:val="left" w:pos="569"/>
        </w:tabs>
        <w:rPr>
          <w:bCs/>
          <w:sz w:val="22"/>
          <w:szCs w:val="22"/>
          <w:lang w:val="it-IT"/>
        </w:rPr>
      </w:pPr>
    </w:p>
    <w:p w14:paraId="1880DDD8" w14:textId="2246D73B" w:rsidR="00411B4B" w:rsidRPr="00442616" w:rsidRDefault="00411B4B" w:rsidP="00641EEB">
      <w:pPr>
        <w:tabs>
          <w:tab w:val="left" w:pos="540"/>
          <w:tab w:val="left" w:pos="569"/>
        </w:tabs>
        <w:rPr>
          <w:b/>
          <w:bCs/>
          <w:sz w:val="22"/>
          <w:szCs w:val="22"/>
          <w:lang w:val="it-IT"/>
        </w:rPr>
      </w:pPr>
      <w:r w:rsidRPr="00442616">
        <w:rPr>
          <w:b/>
          <w:bCs/>
          <w:sz w:val="22"/>
          <w:szCs w:val="22"/>
          <w:lang w:val="it-IT"/>
        </w:rPr>
        <w:lastRenderedPageBreak/>
        <w:t>4.5.</w:t>
      </w:r>
      <w:r w:rsidR="000D60CC" w:rsidRPr="00442616">
        <w:rPr>
          <w:b/>
          <w:bCs/>
          <w:sz w:val="22"/>
          <w:szCs w:val="22"/>
          <w:lang w:val="it-IT"/>
        </w:rPr>
        <w:tab/>
      </w:r>
      <w:r w:rsidRPr="00442616">
        <w:rPr>
          <w:b/>
          <w:bCs/>
          <w:sz w:val="22"/>
          <w:szCs w:val="22"/>
          <w:lang w:val="it-IT"/>
        </w:rPr>
        <w:t>Interakcije sa drugim ljekovima i druge vrste interakcija</w:t>
      </w:r>
    </w:p>
    <w:p w14:paraId="12BBC8E7" w14:textId="715BEBA0" w:rsidR="00B05AA9" w:rsidRPr="00442616" w:rsidRDefault="00B05AA9" w:rsidP="00641EEB">
      <w:pPr>
        <w:tabs>
          <w:tab w:val="left" w:pos="540"/>
          <w:tab w:val="left" w:pos="569"/>
        </w:tabs>
        <w:rPr>
          <w:b/>
          <w:bCs/>
          <w:sz w:val="22"/>
          <w:szCs w:val="22"/>
          <w:lang w:val="it-IT"/>
        </w:rPr>
      </w:pPr>
    </w:p>
    <w:p w14:paraId="0280E853" w14:textId="27A4D7F3" w:rsidR="00B05AA9" w:rsidRPr="00442616" w:rsidRDefault="00B05AA9" w:rsidP="00641EEB">
      <w:pPr>
        <w:jc w:val="both"/>
        <w:rPr>
          <w:sz w:val="22"/>
          <w:szCs w:val="22"/>
          <w:lang w:val="it-IT"/>
        </w:rPr>
      </w:pPr>
      <w:r w:rsidRPr="00442616">
        <w:rPr>
          <w:sz w:val="22"/>
          <w:szCs w:val="22"/>
          <w:lang w:val="it-IT"/>
        </w:rPr>
        <w:t>Ispitivanja interakcija lijeka Herceptin sa drugim ljekovima nijesu sprovedena. Nijesu primijećene klinički značajne interakcije između lijeka Herceptin i istovremeno primijenjenih ljekova koji su se koristili u kliničkim ispitivanjima.</w:t>
      </w:r>
    </w:p>
    <w:p w14:paraId="6E6B4877" w14:textId="77777777" w:rsidR="00B05AA9" w:rsidRPr="00442616" w:rsidRDefault="00B05AA9" w:rsidP="00641EEB">
      <w:pPr>
        <w:tabs>
          <w:tab w:val="left" w:pos="540"/>
          <w:tab w:val="left" w:pos="569"/>
        </w:tabs>
        <w:rPr>
          <w:b/>
          <w:bCs/>
          <w:sz w:val="22"/>
          <w:szCs w:val="22"/>
          <w:lang w:val="it-IT"/>
        </w:rPr>
      </w:pPr>
    </w:p>
    <w:p w14:paraId="1F5A5F32" w14:textId="694852CF" w:rsidR="00B05AA9" w:rsidRDefault="00B05AA9" w:rsidP="00641EEB">
      <w:pPr>
        <w:pStyle w:val="Heading2"/>
        <w:jc w:val="both"/>
        <w:rPr>
          <w:rFonts w:ascii="Times New Roman" w:hAnsi="Times New Roman" w:cs="Times New Roman"/>
          <w:iCs w:val="0"/>
          <w:color w:val="auto"/>
          <w:sz w:val="22"/>
          <w:szCs w:val="22"/>
          <w:lang w:val="sr-Latn-CS"/>
        </w:rPr>
      </w:pPr>
      <w:r w:rsidRPr="00E32C47">
        <w:rPr>
          <w:rFonts w:ascii="Times New Roman" w:hAnsi="Times New Roman" w:cs="Times New Roman"/>
          <w:iCs w:val="0"/>
          <w:color w:val="auto"/>
          <w:sz w:val="22"/>
          <w:szCs w:val="22"/>
          <w:lang w:val="sr-Latn-CS"/>
        </w:rPr>
        <w:t>Uticaj trastuzumaba na farmakokinetiku drugih antineoplastika</w:t>
      </w:r>
    </w:p>
    <w:p w14:paraId="169DC118" w14:textId="77777777" w:rsidR="00E32C47" w:rsidRPr="00E32C47" w:rsidRDefault="00E32C47" w:rsidP="00641EEB">
      <w:pPr>
        <w:rPr>
          <w:lang w:val="sr-Latn-CS"/>
        </w:rPr>
      </w:pPr>
    </w:p>
    <w:p w14:paraId="6902B8FC" w14:textId="77777777" w:rsidR="00B05AA9" w:rsidRPr="00442616" w:rsidRDefault="00B05AA9" w:rsidP="00641EEB">
      <w:pPr>
        <w:jc w:val="both"/>
        <w:rPr>
          <w:sz w:val="22"/>
          <w:szCs w:val="22"/>
          <w:lang w:val="sr-Latn-CS"/>
        </w:rPr>
      </w:pPr>
      <w:r>
        <w:rPr>
          <w:sz w:val="22"/>
          <w:szCs w:val="22"/>
          <w:lang w:val="pt-BR"/>
        </w:rPr>
        <w:t>Farmakokineti</w:t>
      </w:r>
      <w:r w:rsidRPr="00442616">
        <w:rPr>
          <w:sz w:val="22"/>
          <w:szCs w:val="22"/>
          <w:lang w:val="sr-Latn-CS"/>
        </w:rPr>
        <w:t>č</w:t>
      </w:r>
      <w:r>
        <w:rPr>
          <w:sz w:val="22"/>
          <w:szCs w:val="22"/>
          <w:lang w:val="pt-BR"/>
        </w:rPr>
        <w:t>ki</w:t>
      </w:r>
      <w:r w:rsidRPr="00442616">
        <w:rPr>
          <w:sz w:val="22"/>
          <w:szCs w:val="22"/>
          <w:lang w:val="sr-Latn-CS"/>
        </w:rPr>
        <w:t xml:space="preserve"> </w:t>
      </w:r>
      <w:r>
        <w:rPr>
          <w:sz w:val="22"/>
          <w:szCs w:val="22"/>
          <w:lang w:val="pt-BR"/>
        </w:rPr>
        <w:t>podaci</w:t>
      </w:r>
      <w:r w:rsidRPr="00442616">
        <w:rPr>
          <w:sz w:val="22"/>
          <w:szCs w:val="22"/>
          <w:lang w:val="sr-Latn-CS"/>
        </w:rPr>
        <w:t xml:space="preserve"> </w:t>
      </w:r>
      <w:r>
        <w:rPr>
          <w:sz w:val="22"/>
          <w:szCs w:val="22"/>
          <w:lang w:val="pt-BR"/>
        </w:rPr>
        <w:t>iz</w:t>
      </w:r>
      <w:r w:rsidRPr="00442616">
        <w:rPr>
          <w:sz w:val="22"/>
          <w:szCs w:val="22"/>
          <w:lang w:val="sr-Latn-CS"/>
        </w:rPr>
        <w:t xml:space="preserve"> </w:t>
      </w:r>
      <w:r>
        <w:rPr>
          <w:sz w:val="22"/>
          <w:szCs w:val="22"/>
          <w:lang w:val="pt-BR"/>
        </w:rPr>
        <w:t>ispitivanja</w:t>
      </w:r>
      <w:r w:rsidRPr="00442616">
        <w:rPr>
          <w:sz w:val="22"/>
          <w:szCs w:val="22"/>
          <w:lang w:val="sr-Latn-CS"/>
        </w:rPr>
        <w:t xml:space="preserve"> </w:t>
      </w:r>
      <w:r>
        <w:rPr>
          <w:sz w:val="22"/>
          <w:szCs w:val="22"/>
          <w:lang w:val="pt-BR"/>
        </w:rPr>
        <w:t>BO</w:t>
      </w:r>
      <w:r w:rsidRPr="00442616">
        <w:rPr>
          <w:sz w:val="22"/>
          <w:szCs w:val="22"/>
          <w:lang w:val="sr-Latn-CS"/>
        </w:rPr>
        <w:t xml:space="preserve">15935 </w:t>
      </w:r>
      <w:r>
        <w:rPr>
          <w:sz w:val="22"/>
          <w:szCs w:val="22"/>
          <w:lang w:val="pt-BR"/>
        </w:rPr>
        <w:t>i</w:t>
      </w:r>
      <w:r w:rsidRPr="00442616">
        <w:rPr>
          <w:sz w:val="22"/>
          <w:szCs w:val="22"/>
          <w:lang w:val="sr-Latn-CS"/>
        </w:rPr>
        <w:t xml:space="preserve"> </w:t>
      </w:r>
      <w:r>
        <w:rPr>
          <w:sz w:val="22"/>
          <w:szCs w:val="22"/>
          <w:lang w:val="pt-BR"/>
        </w:rPr>
        <w:t>M</w:t>
      </w:r>
      <w:r w:rsidRPr="00442616">
        <w:rPr>
          <w:sz w:val="22"/>
          <w:szCs w:val="22"/>
          <w:lang w:val="sr-Latn-CS"/>
        </w:rPr>
        <w:t xml:space="preserve">77004 </w:t>
      </w:r>
      <w:r>
        <w:rPr>
          <w:sz w:val="22"/>
          <w:szCs w:val="22"/>
          <w:lang w:val="pt-BR"/>
        </w:rPr>
        <w:t>kod</w:t>
      </w:r>
      <w:r w:rsidRPr="00442616">
        <w:rPr>
          <w:sz w:val="22"/>
          <w:szCs w:val="22"/>
          <w:lang w:val="sr-Latn-CS"/>
        </w:rPr>
        <w:t xml:space="preserve"> ž</w:t>
      </w:r>
      <w:r>
        <w:rPr>
          <w:sz w:val="22"/>
          <w:szCs w:val="22"/>
          <w:lang w:val="pt-BR"/>
        </w:rPr>
        <w:t>ena</w:t>
      </w:r>
      <w:r w:rsidRPr="00442616">
        <w:rPr>
          <w:sz w:val="22"/>
          <w:szCs w:val="22"/>
          <w:lang w:val="sr-Latn-CS"/>
        </w:rPr>
        <w:t xml:space="preserve"> </w:t>
      </w:r>
      <w:r>
        <w:rPr>
          <w:sz w:val="22"/>
          <w:szCs w:val="22"/>
          <w:lang w:val="pt-BR"/>
        </w:rPr>
        <w:t>as</w:t>
      </w:r>
      <w:r w:rsidRPr="00442616">
        <w:rPr>
          <w:sz w:val="22"/>
          <w:szCs w:val="22"/>
          <w:lang w:val="sr-Latn-CS"/>
        </w:rPr>
        <w:t xml:space="preserve"> </w:t>
      </w:r>
      <w:r>
        <w:rPr>
          <w:sz w:val="22"/>
          <w:szCs w:val="22"/>
          <w:lang w:val="pt-BR"/>
        </w:rPr>
        <w:t>HER</w:t>
      </w:r>
      <w:r w:rsidRPr="00442616">
        <w:rPr>
          <w:sz w:val="22"/>
          <w:szCs w:val="22"/>
          <w:lang w:val="sr-Latn-CS"/>
        </w:rPr>
        <w:t>2-</w:t>
      </w:r>
      <w:r>
        <w:rPr>
          <w:sz w:val="22"/>
          <w:szCs w:val="22"/>
          <w:lang w:val="pt-BR"/>
        </w:rPr>
        <w:t>pozitivnim</w:t>
      </w:r>
      <w:r w:rsidRPr="00442616">
        <w:rPr>
          <w:sz w:val="22"/>
          <w:szCs w:val="22"/>
          <w:lang w:val="sr-Latn-CS"/>
        </w:rPr>
        <w:t xml:space="preserve"> </w:t>
      </w:r>
      <w:r>
        <w:rPr>
          <w:sz w:val="22"/>
          <w:szCs w:val="22"/>
          <w:lang w:val="pt-BR"/>
        </w:rPr>
        <w:t>metastatskim</w:t>
      </w:r>
      <w:r w:rsidRPr="00442616">
        <w:rPr>
          <w:sz w:val="22"/>
          <w:szCs w:val="22"/>
          <w:lang w:val="sr-Latn-CS"/>
        </w:rPr>
        <w:t xml:space="preserve"> </w:t>
      </w:r>
      <w:r>
        <w:rPr>
          <w:sz w:val="22"/>
          <w:szCs w:val="22"/>
          <w:lang w:val="pt-BR"/>
        </w:rPr>
        <w:t>karcinomom</w:t>
      </w:r>
      <w:r w:rsidRPr="00442616">
        <w:rPr>
          <w:sz w:val="22"/>
          <w:szCs w:val="22"/>
          <w:lang w:val="sr-Latn-CS"/>
        </w:rPr>
        <w:t xml:space="preserve"> </w:t>
      </w:r>
      <w:r>
        <w:rPr>
          <w:sz w:val="22"/>
          <w:szCs w:val="22"/>
          <w:lang w:val="pt-BR"/>
        </w:rPr>
        <w:t>dojke</w:t>
      </w:r>
      <w:r w:rsidRPr="00442616">
        <w:rPr>
          <w:sz w:val="22"/>
          <w:szCs w:val="22"/>
          <w:lang w:val="sr-Latn-CS"/>
        </w:rPr>
        <w:t xml:space="preserve"> </w:t>
      </w:r>
      <w:r>
        <w:rPr>
          <w:sz w:val="22"/>
          <w:szCs w:val="22"/>
          <w:lang w:val="pt-BR"/>
        </w:rPr>
        <w:t>ukazali</w:t>
      </w:r>
      <w:r w:rsidRPr="00442616">
        <w:rPr>
          <w:sz w:val="22"/>
          <w:szCs w:val="22"/>
          <w:lang w:val="sr-Latn-CS"/>
        </w:rPr>
        <w:t xml:space="preserve"> </w:t>
      </w:r>
      <w:r>
        <w:rPr>
          <w:sz w:val="22"/>
          <w:szCs w:val="22"/>
          <w:lang w:val="pt-BR"/>
        </w:rPr>
        <w:t>su</w:t>
      </w:r>
      <w:r w:rsidRPr="00442616">
        <w:rPr>
          <w:sz w:val="22"/>
          <w:szCs w:val="22"/>
          <w:lang w:val="sr-Latn-CS"/>
        </w:rPr>
        <w:t xml:space="preserve"> </w:t>
      </w:r>
      <w:r>
        <w:rPr>
          <w:sz w:val="22"/>
          <w:szCs w:val="22"/>
          <w:lang w:val="pt-BR"/>
        </w:rPr>
        <w:t>da</w:t>
      </w:r>
      <w:r w:rsidRPr="00442616">
        <w:rPr>
          <w:sz w:val="22"/>
          <w:szCs w:val="22"/>
          <w:lang w:val="sr-Latn-CS"/>
        </w:rPr>
        <w:t xml:space="preserve"> </w:t>
      </w:r>
      <w:r>
        <w:rPr>
          <w:sz w:val="22"/>
          <w:szCs w:val="22"/>
          <w:lang w:val="pt-BR"/>
        </w:rPr>
        <w:t>prisutnost</w:t>
      </w:r>
      <w:r w:rsidRPr="00442616">
        <w:rPr>
          <w:sz w:val="22"/>
          <w:szCs w:val="22"/>
          <w:lang w:val="sr-Latn-CS"/>
        </w:rPr>
        <w:t xml:space="preserve"> </w:t>
      </w:r>
      <w:r>
        <w:rPr>
          <w:sz w:val="22"/>
          <w:szCs w:val="22"/>
          <w:lang w:val="pt-BR"/>
        </w:rPr>
        <w:t>trastuzumaba</w:t>
      </w:r>
      <w:r w:rsidRPr="00442616">
        <w:rPr>
          <w:sz w:val="22"/>
          <w:szCs w:val="22"/>
          <w:lang w:val="sr-Latn-CS"/>
        </w:rPr>
        <w:t xml:space="preserve"> (</w:t>
      </w:r>
      <w:r>
        <w:rPr>
          <w:sz w:val="22"/>
          <w:szCs w:val="22"/>
          <w:lang w:val="pt-BR"/>
        </w:rPr>
        <w:t>intravenska</w:t>
      </w:r>
      <w:r w:rsidRPr="00442616">
        <w:rPr>
          <w:sz w:val="22"/>
          <w:szCs w:val="22"/>
          <w:lang w:val="sr-Latn-CS"/>
        </w:rPr>
        <w:t xml:space="preserve"> </w:t>
      </w:r>
      <w:r>
        <w:rPr>
          <w:sz w:val="22"/>
          <w:szCs w:val="22"/>
          <w:lang w:val="pt-BR"/>
        </w:rPr>
        <w:t>po</w:t>
      </w:r>
      <w:r w:rsidRPr="00442616">
        <w:rPr>
          <w:sz w:val="22"/>
          <w:szCs w:val="22"/>
          <w:lang w:val="sr-Latn-CS"/>
        </w:rPr>
        <w:t>č</w:t>
      </w:r>
      <w:r>
        <w:rPr>
          <w:sz w:val="22"/>
          <w:szCs w:val="22"/>
          <w:lang w:val="pt-BR"/>
        </w:rPr>
        <w:t>etna</w:t>
      </w:r>
      <w:r w:rsidRPr="00442616">
        <w:rPr>
          <w:sz w:val="22"/>
          <w:szCs w:val="22"/>
          <w:lang w:val="sr-Latn-CS"/>
        </w:rPr>
        <w:t xml:space="preserve"> </w:t>
      </w:r>
      <w:r>
        <w:rPr>
          <w:sz w:val="22"/>
          <w:szCs w:val="22"/>
          <w:lang w:val="pt-BR"/>
        </w:rPr>
        <w:t>doza</w:t>
      </w:r>
      <w:r w:rsidRPr="00442616">
        <w:rPr>
          <w:sz w:val="22"/>
          <w:szCs w:val="22"/>
          <w:lang w:val="sr-Latn-CS"/>
        </w:rPr>
        <w:t xml:space="preserve"> </w:t>
      </w:r>
      <w:r>
        <w:rPr>
          <w:sz w:val="22"/>
          <w:szCs w:val="22"/>
          <w:lang w:val="pt-BR"/>
        </w:rPr>
        <w:t>od</w:t>
      </w:r>
      <w:r w:rsidRPr="00442616">
        <w:rPr>
          <w:sz w:val="22"/>
          <w:szCs w:val="22"/>
          <w:lang w:val="sr-Latn-CS"/>
        </w:rPr>
        <w:t xml:space="preserve"> 8 </w:t>
      </w:r>
      <w:r>
        <w:rPr>
          <w:sz w:val="22"/>
          <w:szCs w:val="22"/>
          <w:lang w:val="pt-BR"/>
        </w:rPr>
        <w:t>mg</w:t>
      </w:r>
      <w:r w:rsidRPr="00442616">
        <w:rPr>
          <w:sz w:val="22"/>
          <w:szCs w:val="22"/>
          <w:lang w:val="sr-Latn-CS"/>
        </w:rPr>
        <w:t>/</w:t>
      </w:r>
      <w:r>
        <w:rPr>
          <w:sz w:val="22"/>
          <w:szCs w:val="22"/>
          <w:lang w:val="pt-BR"/>
        </w:rPr>
        <w:t>kg</w:t>
      </w:r>
      <w:r w:rsidRPr="00442616">
        <w:rPr>
          <w:sz w:val="22"/>
          <w:szCs w:val="22"/>
          <w:lang w:val="sr-Latn-CS"/>
        </w:rPr>
        <w:t xml:space="preserve"> </w:t>
      </w:r>
      <w:r>
        <w:rPr>
          <w:sz w:val="22"/>
          <w:szCs w:val="22"/>
          <w:lang w:val="pt-BR"/>
        </w:rPr>
        <w:t>odnosno</w:t>
      </w:r>
    </w:p>
    <w:p w14:paraId="3EA1734C" w14:textId="7F907808" w:rsidR="00B05AA9" w:rsidRPr="00442616" w:rsidRDefault="00B05AA9" w:rsidP="00641EEB">
      <w:pPr>
        <w:jc w:val="both"/>
        <w:rPr>
          <w:sz w:val="22"/>
          <w:szCs w:val="22"/>
          <w:lang w:val="sr-Latn-CS"/>
        </w:rPr>
      </w:pPr>
      <w:r w:rsidRPr="00442616">
        <w:rPr>
          <w:sz w:val="22"/>
          <w:szCs w:val="22"/>
          <w:lang w:val="sr-Latn-CS"/>
        </w:rPr>
        <w:t xml:space="preserve">4 </w:t>
      </w:r>
      <w:r>
        <w:rPr>
          <w:sz w:val="22"/>
          <w:szCs w:val="22"/>
          <w:lang w:val="pt-BR"/>
        </w:rPr>
        <w:t>mg</w:t>
      </w:r>
      <w:r w:rsidRPr="00442616">
        <w:rPr>
          <w:sz w:val="22"/>
          <w:szCs w:val="22"/>
          <w:lang w:val="sr-Latn-CS"/>
        </w:rPr>
        <w:t>/</w:t>
      </w:r>
      <w:r>
        <w:rPr>
          <w:sz w:val="22"/>
          <w:szCs w:val="22"/>
          <w:lang w:val="pt-BR"/>
        </w:rPr>
        <w:t>kg</w:t>
      </w:r>
      <w:r w:rsidRPr="00442616">
        <w:rPr>
          <w:sz w:val="22"/>
          <w:szCs w:val="22"/>
          <w:lang w:val="sr-Latn-CS"/>
        </w:rPr>
        <w:t xml:space="preserve">, </w:t>
      </w:r>
      <w:r>
        <w:rPr>
          <w:sz w:val="22"/>
          <w:szCs w:val="22"/>
          <w:lang w:val="pt-BR"/>
        </w:rPr>
        <w:t>nakon</w:t>
      </w:r>
      <w:r w:rsidRPr="00442616">
        <w:rPr>
          <w:sz w:val="22"/>
          <w:szCs w:val="22"/>
          <w:lang w:val="sr-Latn-CS"/>
        </w:rPr>
        <w:t xml:space="preserve"> </w:t>
      </w:r>
      <w:r>
        <w:rPr>
          <w:sz w:val="22"/>
          <w:szCs w:val="22"/>
          <w:lang w:val="pt-BR"/>
        </w:rPr>
        <w:t>koje</w:t>
      </w:r>
      <w:r w:rsidRPr="00442616">
        <w:rPr>
          <w:sz w:val="22"/>
          <w:szCs w:val="22"/>
          <w:lang w:val="sr-Latn-CS"/>
        </w:rPr>
        <w:t xml:space="preserve"> </w:t>
      </w:r>
      <w:r>
        <w:rPr>
          <w:sz w:val="22"/>
          <w:szCs w:val="22"/>
          <w:lang w:val="pt-BR"/>
        </w:rPr>
        <w:t>slijedi</w:t>
      </w:r>
      <w:r w:rsidRPr="00442616">
        <w:rPr>
          <w:sz w:val="22"/>
          <w:szCs w:val="22"/>
          <w:lang w:val="sr-Latn-CS"/>
        </w:rPr>
        <w:t xml:space="preserve"> </w:t>
      </w:r>
      <w:r>
        <w:rPr>
          <w:sz w:val="22"/>
          <w:szCs w:val="22"/>
          <w:lang w:val="pt-BR"/>
        </w:rPr>
        <w:t>intravenska</w:t>
      </w:r>
      <w:r w:rsidRPr="00442616">
        <w:rPr>
          <w:sz w:val="22"/>
          <w:szCs w:val="22"/>
          <w:lang w:val="sr-Latn-CS"/>
        </w:rPr>
        <w:t xml:space="preserve"> </w:t>
      </w:r>
      <w:r>
        <w:rPr>
          <w:sz w:val="22"/>
          <w:szCs w:val="22"/>
          <w:lang w:val="pt-BR"/>
        </w:rPr>
        <w:t>doza</w:t>
      </w:r>
      <w:r w:rsidRPr="00442616">
        <w:rPr>
          <w:sz w:val="22"/>
          <w:szCs w:val="22"/>
          <w:lang w:val="sr-Latn-CS"/>
        </w:rPr>
        <w:t xml:space="preserve"> </w:t>
      </w:r>
      <w:r>
        <w:rPr>
          <w:sz w:val="22"/>
          <w:szCs w:val="22"/>
          <w:lang w:val="pt-BR"/>
        </w:rPr>
        <w:t>od</w:t>
      </w:r>
      <w:r w:rsidRPr="00442616">
        <w:rPr>
          <w:sz w:val="22"/>
          <w:szCs w:val="22"/>
          <w:lang w:val="sr-Latn-CS"/>
        </w:rPr>
        <w:t xml:space="preserve"> 6 </w:t>
      </w:r>
      <w:r>
        <w:rPr>
          <w:sz w:val="22"/>
          <w:szCs w:val="22"/>
          <w:lang w:val="pt-BR"/>
        </w:rPr>
        <w:t>mg</w:t>
      </w:r>
      <w:r w:rsidRPr="00442616">
        <w:rPr>
          <w:sz w:val="22"/>
          <w:szCs w:val="22"/>
          <w:lang w:val="sr-Latn-CS"/>
        </w:rPr>
        <w:t>/</w:t>
      </w:r>
      <w:r>
        <w:rPr>
          <w:sz w:val="22"/>
          <w:szCs w:val="22"/>
          <w:lang w:val="pt-BR"/>
        </w:rPr>
        <w:t>kg</w:t>
      </w:r>
      <w:r w:rsidRPr="00442616">
        <w:rPr>
          <w:sz w:val="22"/>
          <w:szCs w:val="22"/>
          <w:lang w:val="sr-Latn-CS"/>
        </w:rPr>
        <w:t xml:space="preserve"> </w:t>
      </w:r>
      <w:r>
        <w:rPr>
          <w:sz w:val="22"/>
          <w:szCs w:val="22"/>
          <w:lang w:val="pt-BR"/>
        </w:rPr>
        <w:t>svake</w:t>
      </w:r>
      <w:r w:rsidRPr="00442616">
        <w:rPr>
          <w:sz w:val="22"/>
          <w:szCs w:val="22"/>
          <w:lang w:val="sr-Latn-CS"/>
        </w:rPr>
        <w:t xml:space="preserve"> 3 </w:t>
      </w:r>
      <w:r>
        <w:rPr>
          <w:sz w:val="22"/>
          <w:szCs w:val="22"/>
          <w:lang w:val="pt-BR"/>
        </w:rPr>
        <w:t>nedjelje</w:t>
      </w:r>
      <w:r w:rsidRPr="00442616">
        <w:rPr>
          <w:sz w:val="22"/>
          <w:szCs w:val="22"/>
          <w:lang w:val="sr-Latn-CS"/>
        </w:rPr>
        <w:t xml:space="preserve"> </w:t>
      </w:r>
      <w:r>
        <w:rPr>
          <w:sz w:val="22"/>
          <w:szCs w:val="22"/>
          <w:lang w:val="pt-BR"/>
        </w:rPr>
        <w:t>odnosno</w:t>
      </w:r>
      <w:r w:rsidRPr="00442616">
        <w:rPr>
          <w:sz w:val="22"/>
          <w:szCs w:val="22"/>
          <w:lang w:val="sr-Latn-CS"/>
        </w:rPr>
        <w:t xml:space="preserve"> 2 </w:t>
      </w:r>
      <w:r>
        <w:rPr>
          <w:sz w:val="22"/>
          <w:szCs w:val="22"/>
          <w:lang w:val="pt-BR"/>
        </w:rPr>
        <w:t>mg</w:t>
      </w:r>
      <w:r w:rsidRPr="00442616">
        <w:rPr>
          <w:sz w:val="22"/>
          <w:szCs w:val="22"/>
          <w:lang w:val="sr-Latn-CS"/>
        </w:rPr>
        <w:t>/</w:t>
      </w:r>
      <w:r>
        <w:rPr>
          <w:sz w:val="22"/>
          <w:szCs w:val="22"/>
          <w:lang w:val="pt-BR"/>
        </w:rPr>
        <w:t>kg</w:t>
      </w:r>
      <w:r w:rsidRPr="00442616">
        <w:rPr>
          <w:sz w:val="22"/>
          <w:szCs w:val="22"/>
          <w:lang w:val="sr-Latn-CS"/>
        </w:rPr>
        <w:t xml:space="preserve"> </w:t>
      </w:r>
      <w:r w:rsidR="00C83495">
        <w:rPr>
          <w:sz w:val="22"/>
          <w:szCs w:val="22"/>
          <w:lang w:val="pt-BR"/>
        </w:rPr>
        <w:t xml:space="preserve">jednom </w:t>
      </w:r>
      <w:r>
        <w:rPr>
          <w:sz w:val="22"/>
          <w:szCs w:val="22"/>
          <w:lang w:val="pt-BR"/>
        </w:rPr>
        <w:t>nedjeljno</w:t>
      </w:r>
      <w:r w:rsidRPr="00442616">
        <w:rPr>
          <w:sz w:val="22"/>
          <w:szCs w:val="22"/>
          <w:lang w:val="sr-Latn-CS"/>
        </w:rPr>
        <w:t xml:space="preserve">) </w:t>
      </w:r>
      <w:r>
        <w:rPr>
          <w:sz w:val="22"/>
          <w:szCs w:val="22"/>
          <w:lang w:val="pt-BR"/>
        </w:rPr>
        <w:t>nije</w:t>
      </w:r>
      <w:r w:rsidRPr="00442616">
        <w:rPr>
          <w:sz w:val="22"/>
          <w:szCs w:val="22"/>
          <w:lang w:val="sr-Latn-CS"/>
        </w:rPr>
        <w:t xml:space="preserve"> </w:t>
      </w:r>
      <w:r>
        <w:rPr>
          <w:sz w:val="22"/>
          <w:szCs w:val="22"/>
          <w:lang w:val="pt-BR"/>
        </w:rPr>
        <w:t>promijenila</w:t>
      </w:r>
      <w:r w:rsidRPr="00442616">
        <w:rPr>
          <w:sz w:val="22"/>
          <w:szCs w:val="22"/>
          <w:lang w:val="sr-Latn-CS"/>
        </w:rPr>
        <w:t xml:space="preserve"> </w:t>
      </w:r>
      <w:r>
        <w:rPr>
          <w:sz w:val="22"/>
          <w:szCs w:val="22"/>
          <w:lang w:val="pt-BR"/>
        </w:rPr>
        <w:t>izlo</w:t>
      </w:r>
      <w:r w:rsidRPr="00442616">
        <w:rPr>
          <w:sz w:val="22"/>
          <w:szCs w:val="22"/>
          <w:lang w:val="sr-Latn-CS"/>
        </w:rPr>
        <w:t>ž</w:t>
      </w:r>
      <w:r>
        <w:rPr>
          <w:sz w:val="22"/>
          <w:szCs w:val="22"/>
          <w:lang w:val="pt-BR"/>
        </w:rPr>
        <w:t>enost</w:t>
      </w:r>
      <w:r w:rsidRPr="00442616">
        <w:rPr>
          <w:sz w:val="22"/>
          <w:szCs w:val="22"/>
          <w:lang w:val="sr-Latn-CS"/>
        </w:rPr>
        <w:t xml:space="preserve"> </w:t>
      </w:r>
      <w:r>
        <w:rPr>
          <w:sz w:val="22"/>
          <w:szCs w:val="22"/>
          <w:lang w:val="pt-BR"/>
        </w:rPr>
        <w:t>paklitakselu</w:t>
      </w:r>
      <w:r w:rsidRPr="00442616">
        <w:rPr>
          <w:sz w:val="22"/>
          <w:szCs w:val="22"/>
          <w:lang w:val="sr-Latn-CS"/>
        </w:rPr>
        <w:t xml:space="preserve"> </w:t>
      </w:r>
      <w:r>
        <w:rPr>
          <w:sz w:val="22"/>
          <w:szCs w:val="22"/>
          <w:lang w:val="pt-BR"/>
        </w:rPr>
        <w:t>i</w:t>
      </w:r>
      <w:r w:rsidRPr="00442616">
        <w:rPr>
          <w:sz w:val="22"/>
          <w:szCs w:val="22"/>
          <w:lang w:val="sr-Latn-CS"/>
        </w:rPr>
        <w:t xml:space="preserve"> </w:t>
      </w:r>
      <w:r>
        <w:rPr>
          <w:sz w:val="22"/>
          <w:szCs w:val="22"/>
          <w:lang w:val="pt-BR"/>
        </w:rPr>
        <w:t>doksorubicinu</w:t>
      </w:r>
      <w:r w:rsidRPr="00442616">
        <w:rPr>
          <w:sz w:val="22"/>
          <w:szCs w:val="22"/>
          <w:lang w:val="sr-Latn-CS"/>
        </w:rPr>
        <w:t xml:space="preserve"> (</w:t>
      </w:r>
      <w:r>
        <w:rPr>
          <w:sz w:val="22"/>
          <w:szCs w:val="22"/>
          <w:lang w:val="pt-BR"/>
        </w:rPr>
        <w:t>i</w:t>
      </w:r>
      <w:r w:rsidRPr="00442616">
        <w:rPr>
          <w:sz w:val="22"/>
          <w:szCs w:val="22"/>
          <w:lang w:val="sr-Latn-CS"/>
        </w:rPr>
        <w:t xml:space="preserve"> </w:t>
      </w:r>
      <w:r>
        <w:rPr>
          <w:sz w:val="22"/>
          <w:szCs w:val="22"/>
          <w:lang w:val="pt-BR"/>
        </w:rPr>
        <w:t>njihovim</w:t>
      </w:r>
      <w:r w:rsidRPr="00442616">
        <w:rPr>
          <w:sz w:val="22"/>
          <w:szCs w:val="22"/>
          <w:lang w:val="sr-Latn-CS"/>
        </w:rPr>
        <w:t xml:space="preserve"> </w:t>
      </w:r>
      <w:r>
        <w:rPr>
          <w:sz w:val="22"/>
          <w:szCs w:val="22"/>
          <w:lang w:val="pt-BR"/>
        </w:rPr>
        <w:t>glavnim</w:t>
      </w:r>
      <w:r w:rsidRPr="00442616">
        <w:rPr>
          <w:sz w:val="22"/>
          <w:szCs w:val="22"/>
          <w:lang w:val="sr-Latn-CS"/>
        </w:rPr>
        <w:t xml:space="preserve"> </w:t>
      </w:r>
      <w:r>
        <w:rPr>
          <w:sz w:val="22"/>
          <w:szCs w:val="22"/>
          <w:lang w:val="pt-BR"/>
        </w:rPr>
        <w:t>metabolitima</w:t>
      </w:r>
      <w:r w:rsidR="00C83495">
        <w:rPr>
          <w:sz w:val="22"/>
          <w:szCs w:val="22"/>
          <w:lang w:val="sr-Latn-CS"/>
        </w:rPr>
        <w:t xml:space="preserve"> </w:t>
      </w:r>
      <w:r w:rsidRPr="00442616">
        <w:rPr>
          <w:sz w:val="22"/>
          <w:szCs w:val="22"/>
          <w:lang w:val="sr-Latn-CS"/>
        </w:rPr>
        <w:t>6-</w:t>
      </w:r>
      <w:r>
        <w:rPr>
          <w:sz w:val="22"/>
          <w:szCs w:val="22"/>
          <w:lang w:val="pt-BR"/>
        </w:rPr>
        <w:t>α</w:t>
      </w:r>
      <w:r w:rsidRPr="00442616">
        <w:rPr>
          <w:sz w:val="22"/>
          <w:szCs w:val="22"/>
          <w:lang w:val="sr-Latn-CS"/>
        </w:rPr>
        <w:t xml:space="preserve"> </w:t>
      </w:r>
      <w:r>
        <w:rPr>
          <w:sz w:val="22"/>
          <w:szCs w:val="22"/>
          <w:lang w:val="pt-BR"/>
        </w:rPr>
        <w:t>hidroksil</w:t>
      </w:r>
      <w:r w:rsidRPr="00442616">
        <w:rPr>
          <w:sz w:val="22"/>
          <w:szCs w:val="22"/>
          <w:lang w:val="sr-Latn-CS"/>
        </w:rPr>
        <w:t>-</w:t>
      </w:r>
      <w:r>
        <w:rPr>
          <w:sz w:val="22"/>
          <w:szCs w:val="22"/>
          <w:lang w:val="pt-BR"/>
        </w:rPr>
        <w:t>paklitakselu</w:t>
      </w:r>
      <w:r w:rsidRPr="00442616">
        <w:rPr>
          <w:sz w:val="22"/>
          <w:szCs w:val="22"/>
          <w:lang w:val="sr-Latn-CS"/>
        </w:rPr>
        <w:t xml:space="preserve">, </w:t>
      </w:r>
      <w:r>
        <w:rPr>
          <w:sz w:val="22"/>
          <w:szCs w:val="22"/>
          <w:lang w:val="pt-BR"/>
        </w:rPr>
        <w:t>POH</w:t>
      </w:r>
      <w:r w:rsidRPr="00442616">
        <w:rPr>
          <w:sz w:val="22"/>
          <w:szCs w:val="22"/>
          <w:lang w:val="sr-Latn-CS"/>
        </w:rPr>
        <w:t xml:space="preserve"> </w:t>
      </w:r>
      <w:r>
        <w:rPr>
          <w:sz w:val="22"/>
          <w:szCs w:val="22"/>
          <w:lang w:val="pt-BR"/>
        </w:rPr>
        <w:t>i</w:t>
      </w:r>
      <w:r w:rsidRPr="00442616">
        <w:rPr>
          <w:sz w:val="22"/>
          <w:szCs w:val="22"/>
          <w:lang w:val="sr-Latn-CS"/>
        </w:rPr>
        <w:t xml:space="preserve"> </w:t>
      </w:r>
      <w:r>
        <w:rPr>
          <w:sz w:val="22"/>
          <w:szCs w:val="22"/>
          <w:lang w:val="pt-BR"/>
        </w:rPr>
        <w:t>doksorubicinolu</w:t>
      </w:r>
      <w:r w:rsidRPr="00442616">
        <w:rPr>
          <w:sz w:val="22"/>
          <w:szCs w:val="22"/>
          <w:lang w:val="sr-Latn-CS"/>
        </w:rPr>
        <w:t xml:space="preserve">, </w:t>
      </w:r>
      <w:r>
        <w:rPr>
          <w:sz w:val="22"/>
          <w:szCs w:val="22"/>
          <w:lang w:val="pt-BR"/>
        </w:rPr>
        <w:t>DOL</w:t>
      </w:r>
      <w:r w:rsidRPr="00442616">
        <w:rPr>
          <w:sz w:val="22"/>
          <w:szCs w:val="22"/>
          <w:lang w:val="sr-Latn-CS"/>
        </w:rPr>
        <w:t>).</w:t>
      </w:r>
    </w:p>
    <w:p w14:paraId="52D10E90" w14:textId="481D5ED7" w:rsidR="00B05AA9" w:rsidRDefault="00B05AA9" w:rsidP="00641EEB">
      <w:pPr>
        <w:jc w:val="both"/>
        <w:rPr>
          <w:sz w:val="22"/>
          <w:szCs w:val="22"/>
          <w:lang w:val="sr-Latn-CS"/>
        </w:rPr>
      </w:pPr>
      <w:r>
        <w:rPr>
          <w:sz w:val="22"/>
          <w:szCs w:val="22"/>
          <w:lang w:val="pt-BR"/>
        </w:rPr>
        <w:t>Me</w:t>
      </w:r>
      <w:r w:rsidRPr="00442616">
        <w:rPr>
          <w:sz w:val="22"/>
          <w:szCs w:val="22"/>
          <w:lang w:val="sr-Latn-CS"/>
        </w:rPr>
        <w:t>đ</w:t>
      </w:r>
      <w:r>
        <w:rPr>
          <w:sz w:val="22"/>
          <w:szCs w:val="22"/>
          <w:lang w:val="pt-BR"/>
        </w:rPr>
        <w:t>utim</w:t>
      </w:r>
      <w:r w:rsidRPr="00442616">
        <w:rPr>
          <w:sz w:val="22"/>
          <w:szCs w:val="22"/>
          <w:lang w:val="sr-Latn-CS"/>
        </w:rPr>
        <w:t xml:space="preserve">, </w:t>
      </w:r>
      <w:r>
        <w:rPr>
          <w:sz w:val="22"/>
          <w:szCs w:val="22"/>
          <w:lang w:val="pt-BR"/>
        </w:rPr>
        <w:t>trastuzumab</w:t>
      </w:r>
      <w:r w:rsidRPr="00442616">
        <w:rPr>
          <w:sz w:val="22"/>
          <w:szCs w:val="22"/>
          <w:lang w:val="sr-Latn-CS"/>
        </w:rPr>
        <w:t xml:space="preserve"> </w:t>
      </w:r>
      <w:r>
        <w:rPr>
          <w:sz w:val="22"/>
          <w:szCs w:val="22"/>
          <w:lang w:val="pt-BR"/>
        </w:rPr>
        <w:t>mo</w:t>
      </w:r>
      <w:r w:rsidRPr="00442616">
        <w:rPr>
          <w:sz w:val="22"/>
          <w:szCs w:val="22"/>
          <w:lang w:val="sr-Latn-CS"/>
        </w:rPr>
        <w:t>ž</w:t>
      </w:r>
      <w:r>
        <w:rPr>
          <w:sz w:val="22"/>
          <w:szCs w:val="22"/>
          <w:lang w:val="pt-BR"/>
        </w:rPr>
        <w:t>e</w:t>
      </w:r>
      <w:r w:rsidRPr="00442616">
        <w:rPr>
          <w:sz w:val="22"/>
          <w:szCs w:val="22"/>
          <w:lang w:val="sr-Latn-CS"/>
        </w:rPr>
        <w:t xml:space="preserve"> </w:t>
      </w:r>
      <w:r>
        <w:rPr>
          <w:sz w:val="22"/>
          <w:szCs w:val="22"/>
          <w:lang w:val="pt-BR"/>
        </w:rPr>
        <w:t>pove</w:t>
      </w:r>
      <w:r w:rsidRPr="00442616">
        <w:rPr>
          <w:sz w:val="22"/>
          <w:szCs w:val="22"/>
          <w:lang w:val="sr-Latn-CS"/>
        </w:rPr>
        <w:t>ć</w:t>
      </w:r>
      <w:r>
        <w:rPr>
          <w:sz w:val="22"/>
          <w:szCs w:val="22"/>
          <w:lang w:val="pt-BR"/>
        </w:rPr>
        <w:t>ati</w:t>
      </w:r>
      <w:r w:rsidRPr="00442616">
        <w:rPr>
          <w:sz w:val="22"/>
          <w:szCs w:val="22"/>
          <w:lang w:val="sr-Latn-CS"/>
        </w:rPr>
        <w:t xml:space="preserve"> </w:t>
      </w:r>
      <w:r>
        <w:rPr>
          <w:sz w:val="22"/>
          <w:szCs w:val="22"/>
          <w:lang w:val="pt-BR"/>
        </w:rPr>
        <w:t>ukupnu</w:t>
      </w:r>
      <w:r w:rsidRPr="00442616">
        <w:rPr>
          <w:sz w:val="22"/>
          <w:szCs w:val="22"/>
          <w:lang w:val="sr-Latn-CS"/>
        </w:rPr>
        <w:t xml:space="preserve"> </w:t>
      </w:r>
      <w:r>
        <w:rPr>
          <w:sz w:val="22"/>
          <w:szCs w:val="22"/>
          <w:lang w:val="pt-BR"/>
        </w:rPr>
        <w:t>izlo</w:t>
      </w:r>
      <w:r w:rsidRPr="00442616">
        <w:rPr>
          <w:sz w:val="22"/>
          <w:szCs w:val="22"/>
          <w:lang w:val="sr-Latn-CS"/>
        </w:rPr>
        <w:t>ž</w:t>
      </w:r>
      <w:r>
        <w:rPr>
          <w:sz w:val="22"/>
          <w:szCs w:val="22"/>
          <w:lang w:val="pt-BR"/>
        </w:rPr>
        <w:t>enost</w:t>
      </w:r>
      <w:r w:rsidRPr="00442616">
        <w:rPr>
          <w:sz w:val="22"/>
          <w:szCs w:val="22"/>
          <w:lang w:val="sr-Latn-CS"/>
        </w:rPr>
        <w:t xml:space="preserve"> </w:t>
      </w:r>
      <w:r>
        <w:rPr>
          <w:sz w:val="22"/>
          <w:szCs w:val="22"/>
          <w:lang w:val="pt-BR"/>
        </w:rPr>
        <w:t>jednom</w:t>
      </w:r>
      <w:r w:rsidRPr="00442616">
        <w:rPr>
          <w:sz w:val="22"/>
          <w:szCs w:val="22"/>
          <w:lang w:val="sr-Latn-CS"/>
        </w:rPr>
        <w:t xml:space="preserve"> </w:t>
      </w:r>
      <w:r>
        <w:rPr>
          <w:sz w:val="22"/>
          <w:szCs w:val="22"/>
          <w:lang w:val="pt-BR"/>
        </w:rPr>
        <w:t>od</w:t>
      </w:r>
      <w:r w:rsidRPr="00442616">
        <w:rPr>
          <w:sz w:val="22"/>
          <w:szCs w:val="22"/>
          <w:lang w:val="sr-Latn-CS"/>
        </w:rPr>
        <w:t xml:space="preserve"> </w:t>
      </w:r>
      <w:r>
        <w:rPr>
          <w:sz w:val="22"/>
          <w:szCs w:val="22"/>
          <w:lang w:val="pt-BR"/>
        </w:rPr>
        <w:t>metabolita</w:t>
      </w:r>
      <w:r w:rsidRPr="00442616">
        <w:rPr>
          <w:sz w:val="22"/>
          <w:szCs w:val="22"/>
          <w:lang w:val="sr-Latn-CS"/>
        </w:rPr>
        <w:t xml:space="preserve"> </w:t>
      </w:r>
      <w:r>
        <w:rPr>
          <w:sz w:val="22"/>
          <w:szCs w:val="22"/>
          <w:lang w:val="pt-BR"/>
        </w:rPr>
        <w:t>doksorubicina</w:t>
      </w:r>
      <w:r w:rsidRPr="00442616">
        <w:rPr>
          <w:sz w:val="22"/>
          <w:szCs w:val="22"/>
          <w:lang w:val="sr-Latn-CS"/>
        </w:rPr>
        <w:t xml:space="preserve"> (7-</w:t>
      </w:r>
      <w:r>
        <w:rPr>
          <w:sz w:val="22"/>
          <w:szCs w:val="22"/>
          <w:lang w:val="pt-BR"/>
        </w:rPr>
        <w:t>deoksi</w:t>
      </w:r>
      <w:r w:rsidRPr="00442616">
        <w:rPr>
          <w:sz w:val="22"/>
          <w:szCs w:val="22"/>
          <w:lang w:val="sr-Latn-CS"/>
        </w:rPr>
        <w:t>-13-</w:t>
      </w:r>
      <w:r>
        <w:rPr>
          <w:sz w:val="22"/>
          <w:szCs w:val="22"/>
          <w:lang w:val="pt-BR"/>
        </w:rPr>
        <w:t>dihidro</w:t>
      </w:r>
      <w:r w:rsidRPr="00442616">
        <w:rPr>
          <w:sz w:val="22"/>
          <w:szCs w:val="22"/>
          <w:lang w:val="sr-Latn-CS"/>
        </w:rPr>
        <w:t>-</w:t>
      </w:r>
      <w:r>
        <w:rPr>
          <w:sz w:val="22"/>
          <w:szCs w:val="22"/>
          <w:lang w:val="pt-BR"/>
        </w:rPr>
        <w:t>doksorubicinon</w:t>
      </w:r>
      <w:r w:rsidRPr="00442616">
        <w:rPr>
          <w:sz w:val="22"/>
          <w:szCs w:val="22"/>
          <w:lang w:val="sr-Latn-CS"/>
        </w:rPr>
        <w:t xml:space="preserve">, </w:t>
      </w:r>
      <w:r>
        <w:rPr>
          <w:sz w:val="22"/>
          <w:szCs w:val="22"/>
          <w:lang w:val="pt-BR"/>
        </w:rPr>
        <w:t>D</w:t>
      </w:r>
      <w:r w:rsidRPr="00442616">
        <w:rPr>
          <w:sz w:val="22"/>
          <w:szCs w:val="22"/>
          <w:lang w:val="sr-Latn-CS"/>
        </w:rPr>
        <w:t>7</w:t>
      </w:r>
      <w:r>
        <w:rPr>
          <w:sz w:val="22"/>
          <w:szCs w:val="22"/>
          <w:lang w:val="pt-BR"/>
        </w:rPr>
        <w:t>D</w:t>
      </w:r>
      <w:r w:rsidRPr="00442616">
        <w:rPr>
          <w:sz w:val="22"/>
          <w:szCs w:val="22"/>
          <w:lang w:val="sr-Latn-CS"/>
        </w:rPr>
        <w:t xml:space="preserve">). </w:t>
      </w:r>
      <w:r>
        <w:rPr>
          <w:sz w:val="22"/>
          <w:szCs w:val="22"/>
          <w:lang w:val="pt-BR"/>
        </w:rPr>
        <w:t>Nije</w:t>
      </w:r>
      <w:r w:rsidRPr="00442616">
        <w:rPr>
          <w:sz w:val="22"/>
          <w:szCs w:val="22"/>
          <w:lang w:val="sr-Latn-CS"/>
        </w:rPr>
        <w:t xml:space="preserve"> </w:t>
      </w:r>
      <w:r>
        <w:rPr>
          <w:sz w:val="22"/>
          <w:szCs w:val="22"/>
          <w:lang w:val="pt-BR"/>
        </w:rPr>
        <w:t>bila</w:t>
      </w:r>
      <w:r w:rsidRPr="00442616">
        <w:rPr>
          <w:sz w:val="22"/>
          <w:szCs w:val="22"/>
          <w:lang w:val="sr-Latn-CS"/>
        </w:rPr>
        <w:t xml:space="preserve"> </w:t>
      </w:r>
      <w:r>
        <w:rPr>
          <w:sz w:val="22"/>
          <w:szCs w:val="22"/>
          <w:lang w:val="pt-BR"/>
        </w:rPr>
        <w:t>razja</w:t>
      </w:r>
      <w:r w:rsidRPr="00442616">
        <w:rPr>
          <w:sz w:val="22"/>
          <w:szCs w:val="22"/>
          <w:lang w:val="sr-Latn-CS"/>
        </w:rPr>
        <w:t>š</w:t>
      </w:r>
      <w:r>
        <w:rPr>
          <w:sz w:val="22"/>
          <w:szCs w:val="22"/>
          <w:lang w:val="pt-BR"/>
        </w:rPr>
        <w:t>njena</w:t>
      </w:r>
      <w:r w:rsidRPr="00442616">
        <w:rPr>
          <w:sz w:val="22"/>
          <w:szCs w:val="22"/>
          <w:lang w:val="sr-Latn-CS"/>
        </w:rPr>
        <w:t xml:space="preserve"> </w:t>
      </w:r>
      <w:r>
        <w:rPr>
          <w:sz w:val="22"/>
          <w:szCs w:val="22"/>
          <w:lang w:val="pt-BR"/>
        </w:rPr>
        <w:t>bioaktivnost</w:t>
      </w:r>
      <w:r w:rsidRPr="00442616">
        <w:rPr>
          <w:sz w:val="22"/>
          <w:szCs w:val="22"/>
          <w:lang w:val="sr-Latn-CS"/>
        </w:rPr>
        <w:t xml:space="preserve"> </w:t>
      </w:r>
      <w:r>
        <w:rPr>
          <w:sz w:val="22"/>
          <w:szCs w:val="22"/>
          <w:lang w:val="pt-BR"/>
        </w:rPr>
        <w:t>metabolita</w:t>
      </w:r>
      <w:r w:rsidRPr="00442616">
        <w:rPr>
          <w:sz w:val="22"/>
          <w:szCs w:val="22"/>
          <w:lang w:val="sr-Latn-CS"/>
        </w:rPr>
        <w:t xml:space="preserve"> </w:t>
      </w:r>
      <w:r>
        <w:rPr>
          <w:sz w:val="22"/>
          <w:szCs w:val="22"/>
          <w:lang w:val="pt-BR"/>
        </w:rPr>
        <w:t>D</w:t>
      </w:r>
      <w:r w:rsidRPr="00442616">
        <w:rPr>
          <w:sz w:val="22"/>
          <w:szCs w:val="22"/>
          <w:lang w:val="sr-Latn-CS"/>
        </w:rPr>
        <w:t>7</w:t>
      </w:r>
      <w:r>
        <w:rPr>
          <w:sz w:val="22"/>
          <w:szCs w:val="22"/>
          <w:lang w:val="pt-BR"/>
        </w:rPr>
        <w:t>D</w:t>
      </w:r>
      <w:r w:rsidRPr="00442616">
        <w:rPr>
          <w:sz w:val="22"/>
          <w:szCs w:val="22"/>
          <w:lang w:val="sr-Latn-CS"/>
        </w:rPr>
        <w:t xml:space="preserve"> </w:t>
      </w:r>
      <w:r>
        <w:rPr>
          <w:sz w:val="22"/>
          <w:szCs w:val="22"/>
          <w:lang w:val="pt-BR"/>
        </w:rPr>
        <w:t>niti</w:t>
      </w:r>
      <w:r w:rsidRPr="00442616">
        <w:rPr>
          <w:sz w:val="22"/>
          <w:szCs w:val="22"/>
          <w:lang w:val="sr-Latn-CS"/>
        </w:rPr>
        <w:t xml:space="preserve"> </w:t>
      </w:r>
      <w:r>
        <w:rPr>
          <w:sz w:val="22"/>
          <w:szCs w:val="22"/>
          <w:lang w:val="pt-BR"/>
        </w:rPr>
        <w:t>klini</w:t>
      </w:r>
      <w:r w:rsidRPr="00442616">
        <w:rPr>
          <w:sz w:val="22"/>
          <w:szCs w:val="22"/>
          <w:lang w:val="sr-Latn-CS"/>
        </w:rPr>
        <w:t>č</w:t>
      </w:r>
      <w:r>
        <w:rPr>
          <w:sz w:val="22"/>
          <w:szCs w:val="22"/>
          <w:lang w:val="pt-BR"/>
        </w:rPr>
        <w:t>ki</w:t>
      </w:r>
      <w:r w:rsidRPr="00442616">
        <w:rPr>
          <w:sz w:val="22"/>
          <w:szCs w:val="22"/>
          <w:lang w:val="sr-Latn-CS"/>
        </w:rPr>
        <w:t xml:space="preserve"> </w:t>
      </w:r>
      <w:r>
        <w:rPr>
          <w:sz w:val="22"/>
          <w:szCs w:val="22"/>
          <w:lang w:val="pt-BR"/>
        </w:rPr>
        <w:t>zna</w:t>
      </w:r>
      <w:r w:rsidRPr="00442616">
        <w:rPr>
          <w:sz w:val="22"/>
          <w:szCs w:val="22"/>
          <w:lang w:val="sr-Latn-CS"/>
        </w:rPr>
        <w:t>č</w:t>
      </w:r>
      <w:r>
        <w:rPr>
          <w:sz w:val="22"/>
          <w:szCs w:val="22"/>
          <w:lang w:val="pt-BR"/>
        </w:rPr>
        <w:t>aj</w:t>
      </w:r>
      <w:r w:rsidRPr="00442616">
        <w:rPr>
          <w:sz w:val="22"/>
          <w:szCs w:val="22"/>
          <w:lang w:val="sr-Latn-CS"/>
        </w:rPr>
        <w:t xml:space="preserve"> </w:t>
      </w:r>
      <w:r>
        <w:rPr>
          <w:sz w:val="22"/>
          <w:szCs w:val="22"/>
          <w:lang w:val="pt-BR"/>
        </w:rPr>
        <w:t>pove</w:t>
      </w:r>
      <w:r w:rsidRPr="00442616">
        <w:rPr>
          <w:sz w:val="22"/>
          <w:szCs w:val="22"/>
          <w:lang w:val="sr-Latn-CS"/>
        </w:rPr>
        <w:t>ć</w:t>
      </w:r>
      <w:r>
        <w:rPr>
          <w:sz w:val="22"/>
          <w:szCs w:val="22"/>
          <w:lang w:val="pt-BR"/>
        </w:rPr>
        <w:t>anih</w:t>
      </w:r>
      <w:r w:rsidRPr="00442616">
        <w:rPr>
          <w:sz w:val="22"/>
          <w:szCs w:val="22"/>
          <w:lang w:val="sr-Latn-CS"/>
        </w:rPr>
        <w:t xml:space="preserve"> </w:t>
      </w:r>
      <w:r>
        <w:rPr>
          <w:sz w:val="22"/>
          <w:szCs w:val="22"/>
          <w:lang w:val="pt-BR"/>
        </w:rPr>
        <w:t>koncentracija</w:t>
      </w:r>
      <w:r w:rsidRPr="00442616">
        <w:rPr>
          <w:sz w:val="22"/>
          <w:szCs w:val="22"/>
          <w:lang w:val="sr-Latn-CS"/>
        </w:rPr>
        <w:t xml:space="preserve"> </w:t>
      </w:r>
      <w:r>
        <w:rPr>
          <w:sz w:val="22"/>
          <w:szCs w:val="22"/>
          <w:lang w:val="pt-BR"/>
        </w:rPr>
        <w:t>toga</w:t>
      </w:r>
      <w:r w:rsidRPr="00442616">
        <w:rPr>
          <w:sz w:val="22"/>
          <w:szCs w:val="22"/>
          <w:lang w:val="sr-Latn-CS"/>
        </w:rPr>
        <w:t xml:space="preserve"> </w:t>
      </w:r>
      <w:r>
        <w:rPr>
          <w:sz w:val="22"/>
          <w:szCs w:val="22"/>
          <w:lang w:val="pt-BR"/>
        </w:rPr>
        <w:t>metabolita</w:t>
      </w:r>
      <w:r w:rsidRPr="00442616">
        <w:rPr>
          <w:sz w:val="22"/>
          <w:szCs w:val="22"/>
          <w:lang w:val="sr-Latn-CS"/>
        </w:rPr>
        <w:t>.</w:t>
      </w:r>
    </w:p>
    <w:p w14:paraId="29CC3519" w14:textId="77777777" w:rsidR="004E1F29" w:rsidRPr="00442616" w:rsidRDefault="004E1F29" w:rsidP="00641EEB">
      <w:pPr>
        <w:jc w:val="both"/>
        <w:rPr>
          <w:sz w:val="22"/>
          <w:szCs w:val="22"/>
          <w:lang w:val="sr-Latn-CS"/>
        </w:rPr>
      </w:pPr>
    </w:p>
    <w:p w14:paraId="39288FFE" w14:textId="61595F5E" w:rsidR="00B05AA9" w:rsidRPr="00442616" w:rsidRDefault="00B05AA9" w:rsidP="00641EEB">
      <w:pPr>
        <w:jc w:val="both"/>
        <w:rPr>
          <w:sz w:val="22"/>
          <w:szCs w:val="22"/>
          <w:lang w:val="sr-Latn-CS"/>
        </w:rPr>
      </w:pPr>
      <w:r>
        <w:rPr>
          <w:sz w:val="22"/>
          <w:szCs w:val="22"/>
          <w:lang w:val="pt-BR"/>
        </w:rPr>
        <w:t>Podaci</w:t>
      </w:r>
      <w:r w:rsidRPr="00442616">
        <w:rPr>
          <w:sz w:val="22"/>
          <w:szCs w:val="22"/>
          <w:lang w:val="sr-Latn-CS"/>
        </w:rPr>
        <w:t xml:space="preserve"> </w:t>
      </w:r>
      <w:r>
        <w:rPr>
          <w:sz w:val="22"/>
          <w:szCs w:val="22"/>
          <w:lang w:val="pt-BR"/>
        </w:rPr>
        <w:t>iz</w:t>
      </w:r>
      <w:r w:rsidRPr="00442616">
        <w:rPr>
          <w:sz w:val="22"/>
          <w:szCs w:val="22"/>
          <w:lang w:val="sr-Latn-CS"/>
        </w:rPr>
        <w:t xml:space="preserve"> </w:t>
      </w:r>
      <w:r>
        <w:rPr>
          <w:sz w:val="22"/>
          <w:szCs w:val="22"/>
          <w:lang w:val="pt-BR"/>
        </w:rPr>
        <w:t>ispitivanja</w:t>
      </w:r>
      <w:r w:rsidRPr="00442616">
        <w:rPr>
          <w:sz w:val="22"/>
          <w:szCs w:val="22"/>
          <w:lang w:val="sr-Latn-CS"/>
        </w:rPr>
        <w:t xml:space="preserve"> </w:t>
      </w:r>
      <w:r>
        <w:rPr>
          <w:sz w:val="22"/>
          <w:szCs w:val="22"/>
          <w:lang w:val="pt-BR"/>
        </w:rPr>
        <w:t>JP</w:t>
      </w:r>
      <w:r w:rsidRPr="00442616">
        <w:rPr>
          <w:sz w:val="22"/>
          <w:szCs w:val="22"/>
          <w:lang w:val="sr-Latn-CS"/>
        </w:rPr>
        <w:t xml:space="preserve">16003, </w:t>
      </w:r>
      <w:r>
        <w:rPr>
          <w:sz w:val="22"/>
          <w:szCs w:val="22"/>
          <w:lang w:val="pt-BR"/>
        </w:rPr>
        <w:t>ispitivanja</w:t>
      </w:r>
      <w:r w:rsidRPr="00442616">
        <w:rPr>
          <w:sz w:val="22"/>
          <w:szCs w:val="22"/>
          <w:lang w:val="sr-Latn-CS"/>
        </w:rPr>
        <w:t xml:space="preserve"> </w:t>
      </w:r>
      <w:r>
        <w:rPr>
          <w:sz w:val="22"/>
          <w:szCs w:val="22"/>
          <w:lang w:val="pt-BR"/>
        </w:rPr>
        <w:t>lijeka</w:t>
      </w:r>
      <w:r w:rsidRPr="00442616">
        <w:rPr>
          <w:sz w:val="22"/>
          <w:szCs w:val="22"/>
          <w:lang w:val="sr-Latn-CS"/>
        </w:rPr>
        <w:t xml:space="preserve"> </w:t>
      </w:r>
      <w:r>
        <w:rPr>
          <w:sz w:val="22"/>
          <w:szCs w:val="22"/>
          <w:lang w:val="pt-BR"/>
        </w:rPr>
        <w:t>Herceptin</w:t>
      </w:r>
      <w:r w:rsidRPr="00442616">
        <w:rPr>
          <w:sz w:val="22"/>
          <w:szCs w:val="22"/>
          <w:lang w:val="sr-Latn-CS"/>
        </w:rPr>
        <w:t xml:space="preserve"> (</w:t>
      </w:r>
      <w:r>
        <w:rPr>
          <w:sz w:val="22"/>
          <w:szCs w:val="22"/>
          <w:lang w:val="pt-BR"/>
        </w:rPr>
        <w:t>intravenska</w:t>
      </w:r>
      <w:r w:rsidRPr="00442616">
        <w:rPr>
          <w:sz w:val="22"/>
          <w:szCs w:val="22"/>
          <w:lang w:val="sr-Latn-CS"/>
        </w:rPr>
        <w:t xml:space="preserve"> </w:t>
      </w:r>
      <w:r>
        <w:rPr>
          <w:sz w:val="22"/>
          <w:szCs w:val="22"/>
          <w:lang w:val="pt-BR"/>
        </w:rPr>
        <w:t>po</w:t>
      </w:r>
      <w:r w:rsidRPr="00442616">
        <w:rPr>
          <w:sz w:val="22"/>
          <w:szCs w:val="22"/>
          <w:lang w:val="sr-Latn-CS"/>
        </w:rPr>
        <w:t>č</w:t>
      </w:r>
      <w:r>
        <w:rPr>
          <w:sz w:val="22"/>
          <w:szCs w:val="22"/>
          <w:lang w:val="pt-BR"/>
        </w:rPr>
        <w:t>etna</w:t>
      </w:r>
      <w:r w:rsidRPr="00442616">
        <w:rPr>
          <w:sz w:val="22"/>
          <w:szCs w:val="22"/>
          <w:lang w:val="sr-Latn-CS"/>
        </w:rPr>
        <w:t xml:space="preserve"> </w:t>
      </w:r>
      <w:r>
        <w:rPr>
          <w:sz w:val="22"/>
          <w:szCs w:val="22"/>
          <w:lang w:val="pt-BR"/>
        </w:rPr>
        <w:t>doza</w:t>
      </w:r>
      <w:r w:rsidRPr="00442616">
        <w:rPr>
          <w:sz w:val="22"/>
          <w:szCs w:val="22"/>
          <w:lang w:val="sr-Latn-CS"/>
        </w:rPr>
        <w:t xml:space="preserve"> </w:t>
      </w:r>
      <w:r>
        <w:rPr>
          <w:sz w:val="22"/>
          <w:szCs w:val="22"/>
          <w:lang w:val="pt-BR"/>
        </w:rPr>
        <w:t>od</w:t>
      </w:r>
      <w:r w:rsidRPr="00442616">
        <w:rPr>
          <w:sz w:val="22"/>
          <w:szCs w:val="22"/>
          <w:lang w:val="sr-Latn-CS"/>
        </w:rPr>
        <w:t xml:space="preserve"> 4 </w:t>
      </w:r>
      <w:r>
        <w:rPr>
          <w:sz w:val="22"/>
          <w:szCs w:val="22"/>
          <w:lang w:val="pt-BR"/>
        </w:rPr>
        <w:t>mg</w:t>
      </w:r>
      <w:r w:rsidRPr="00442616">
        <w:rPr>
          <w:sz w:val="22"/>
          <w:szCs w:val="22"/>
          <w:lang w:val="sr-Latn-CS"/>
        </w:rPr>
        <w:t>/</w:t>
      </w:r>
      <w:r>
        <w:rPr>
          <w:sz w:val="22"/>
          <w:szCs w:val="22"/>
          <w:lang w:val="pt-BR"/>
        </w:rPr>
        <w:t>kg</w:t>
      </w:r>
      <w:r w:rsidRPr="00442616">
        <w:rPr>
          <w:sz w:val="22"/>
          <w:szCs w:val="22"/>
          <w:lang w:val="sr-Latn-CS"/>
        </w:rPr>
        <w:t xml:space="preserve">, </w:t>
      </w:r>
      <w:r>
        <w:rPr>
          <w:sz w:val="22"/>
          <w:szCs w:val="22"/>
          <w:lang w:val="pt-BR"/>
        </w:rPr>
        <w:t>nakon</w:t>
      </w:r>
      <w:r w:rsidRPr="00442616">
        <w:rPr>
          <w:sz w:val="22"/>
          <w:szCs w:val="22"/>
          <w:lang w:val="sr-Latn-CS"/>
        </w:rPr>
        <w:t xml:space="preserve"> </w:t>
      </w:r>
      <w:r>
        <w:rPr>
          <w:sz w:val="22"/>
          <w:szCs w:val="22"/>
          <w:lang w:val="pt-BR"/>
        </w:rPr>
        <w:t>koje</w:t>
      </w:r>
      <w:r w:rsidRPr="00442616">
        <w:rPr>
          <w:sz w:val="22"/>
          <w:szCs w:val="22"/>
          <w:lang w:val="sr-Latn-CS"/>
        </w:rPr>
        <w:t xml:space="preserve"> </w:t>
      </w:r>
      <w:r>
        <w:rPr>
          <w:sz w:val="22"/>
          <w:szCs w:val="22"/>
          <w:lang w:val="pt-BR"/>
        </w:rPr>
        <w:t>slijedi</w:t>
      </w:r>
      <w:r w:rsidRPr="00442616">
        <w:rPr>
          <w:sz w:val="22"/>
          <w:szCs w:val="22"/>
          <w:lang w:val="sr-Latn-CS"/>
        </w:rPr>
        <w:t xml:space="preserve"> </w:t>
      </w:r>
      <w:r>
        <w:rPr>
          <w:sz w:val="22"/>
          <w:szCs w:val="22"/>
          <w:lang w:val="pt-BR"/>
        </w:rPr>
        <w:t>intravenska</w:t>
      </w:r>
      <w:r w:rsidRPr="00442616">
        <w:rPr>
          <w:sz w:val="22"/>
          <w:szCs w:val="22"/>
          <w:lang w:val="sr-Latn-CS"/>
        </w:rPr>
        <w:t xml:space="preserve"> </w:t>
      </w:r>
      <w:r>
        <w:rPr>
          <w:sz w:val="22"/>
          <w:szCs w:val="22"/>
          <w:lang w:val="pt-BR"/>
        </w:rPr>
        <w:t>doza</w:t>
      </w:r>
      <w:r w:rsidRPr="00442616">
        <w:rPr>
          <w:sz w:val="22"/>
          <w:szCs w:val="22"/>
          <w:lang w:val="sr-Latn-CS"/>
        </w:rPr>
        <w:t xml:space="preserve"> </w:t>
      </w:r>
      <w:r>
        <w:rPr>
          <w:sz w:val="22"/>
          <w:szCs w:val="22"/>
          <w:lang w:val="pt-BR"/>
        </w:rPr>
        <w:t>od</w:t>
      </w:r>
      <w:r w:rsidRPr="00442616">
        <w:rPr>
          <w:sz w:val="22"/>
          <w:szCs w:val="22"/>
          <w:lang w:val="sr-Latn-CS"/>
        </w:rPr>
        <w:t xml:space="preserve"> 2 </w:t>
      </w:r>
      <w:r>
        <w:rPr>
          <w:sz w:val="22"/>
          <w:szCs w:val="22"/>
          <w:lang w:val="pt-BR"/>
        </w:rPr>
        <w:t>mg</w:t>
      </w:r>
      <w:r w:rsidRPr="00442616">
        <w:rPr>
          <w:sz w:val="22"/>
          <w:szCs w:val="22"/>
          <w:lang w:val="sr-Latn-CS"/>
        </w:rPr>
        <w:t>/</w:t>
      </w:r>
      <w:r>
        <w:rPr>
          <w:sz w:val="22"/>
          <w:szCs w:val="22"/>
          <w:lang w:val="pt-BR"/>
        </w:rPr>
        <w:t>kg</w:t>
      </w:r>
      <w:r w:rsidRPr="00442616">
        <w:rPr>
          <w:sz w:val="22"/>
          <w:szCs w:val="22"/>
          <w:lang w:val="sr-Latn-CS"/>
        </w:rPr>
        <w:t xml:space="preserve"> </w:t>
      </w:r>
      <w:r w:rsidR="00C83495">
        <w:rPr>
          <w:sz w:val="22"/>
          <w:szCs w:val="22"/>
          <w:lang w:val="pt-BR"/>
        </w:rPr>
        <w:t>jednom</w:t>
      </w:r>
      <w:r w:rsidR="00C83495" w:rsidRPr="00442616">
        <w:rPr>
          <w:sz w:val="22"/>
          <w:szCs w:val="22"/>
          <w:lang w:val="sr-Latn-CS"/>
        </w:rPr>
        <w:t xml:space="preserve"> </w:t>
      </w:r>
      <w:r>
        <w:rPr>
          <w:sz w:val="22"/>
          <w:szCs w:val="22"/>
          <w:lang w:val="pt-BR"/>
        </w:rPr>
        <w:t>nedjeljno</w:t>
      </w:r>
      <w:r w:rsidRPr="00442616">
        <w:rPr>
          <w:sz w:val="22"/>
          <w:szCs w:val="22"/>
          <w:lang w:val="sr-Latn-CS"/>
        </w:rPr>
        <w:t xml:space="preserve">) </w:t>
      </w:r>
      <w:r>
        <w:rPr>
          <w:sz w:val="22"/>
          <w:szCs w:val="22"/>
          <w:lang w:val="pt-BR"/>
        </w:rPr>
        <w:t>i</w:t>
      </w:r>
      <w:r w:rsidRPr="00442616">
        <w:rPr>
          <w:sz w:val="22"/>
          <w:szCs w:val="22"/>
          <w:lang w:val="sr-Latn-CS"/>
        </w:rPr>
        <w:t xml:space="preserve"> </w:t>
      </w:r>
      <w:r>
        <w:rPr>
          <w:sz w:val="22"/>
          <w:szCs w:val="22"/>
          <w:lang w:val="pt-BR"/>
        </w:rPr>
        <w:t>docetaksela</w:t>
      </w:r>
      <w:r w:rsidRPr="00442616">
        <w:rPr>
          <w:sz w:val="22"/>
          <w:szCs w:val="22"/>
          <w:lang w:val="sr-Latn-CS"/>
        </w:rPr>
        <w:t xml:space="preserve"> (60 </w:t>
      </w:r>
      <w:r>
        <w:rPr>
          <w:sz w:val="22"/>
          <w:szCs w:val="22"/>
          <w:lang w:val="pt-BR"/>
        </w:rPr>
        <w:t>mg</w:t>
      </w:r>
      <w:r w:rsidRPr="00442616">
        <w:rPr>
          <w:sz w:val="22"/>
          <w:szCs w:val="22"/>
          <w:lang w:val="sr-Latn-CS"/>
        </w:rPr>
        <w:t>/</w:t>
      </w:r>
      <w:r>
        <w:rPr>
          <w:sz w:val="22"/>
          <w:szCs w:val="22"/>
          <w:lang w:val="pt-BR"/>
        </w:rPr>
        <w:t>m</w:t>
      </w:r>
      <w:r w:rsidRPr="00442616">
        <w:rPr>
          <w:sz w:val="22"/>
          <w:szCs w:val="22"/>
          <w:vertAlign w:val="superscript"/>
          <w:lang w:val="sr-Latn-CS"/>
        </w:rPr>
        <w:t>2</w:t>
      </w:r>
      <w:r w:rsidRPr="00442616">
        <w:rPr>
          <w:sz w:val="22"/>
          <w:szCs w:val="22"/>
          <w:lang w:val="sr-Latn-CS"/>
        </w:rPr>
        <w:t xml:space="preserve"> </w:t>
      </w:r>
      <w:r>
        <w:rPr>
          <w:sz w:val="22"/>
          <w:szCs w:val="22"/>
          <w:lang w:val="pt-BR"/>
        </w:rPr>
        <w:t>intravenski</w:t>
      </w:r>
      <w:r w:rsidRPr="00442616">
        <w:rPr>
          <w:sz w:val="22"/>
          <w:szCs w:val="22"/>
          <w:lang w:val="sr-Latn-CS"/>
        </w:rPr>
        <w:t xml:space="preserve">) </w:t>
      </w:r>
      <w:r>
        <w:rPr>
          <w:sz w:val="22"/>
          <w:szCs w:val="22"/>
          <w:lang w:val="pt-BR"/>
        </w:rPr>
        <w:t>sa</w:t>
      </w:r>
      <w:r w:rsidRPr="00442616">
        <w:rPr>
          <w:sz w:val="22"/>
          <w:szCs w:val="22"/>
          <w:lang w:val="sr-Latn-CS"/>
        </w:rPr>
        <w:t xml:space="preserve"> </w:t>
      </w:r>
      <w:r>
        <w:rPr>
          <w:sz w:val="22"/>
          <w:szCs w:val="22"/>
          <w:lang w:val="pt-BR"/>
        </w:rPr>
        <w:t>jednom</w:t>
      </w:r>
      <w:r w:rsidRPr="00442616">
        <w:rPr>
          <w:sz w:val="22"/>
          <w:szCs w:val="22"/>
          <w:lang w:val="sr-Latn-CS"/>
        </w:rPr>
        <w:t xml:space="preserve"> </w:t>
      </w:r>
      <w:r>
        <w:rPr>
          <w:sz w:val="22"/>
          <w:szCs w:val="22"/>
          <w:lang w:val="pt-BR"/>
        </w:rPr>
        <w:t>grupom</w:t>
      </w:r>
      <w:r w:rsidRPr="00442616">
        <w:rPr>
          <w:sz w:val="22"/>
          <w:szCs w:val="22"/>
          <w:lang w:val="sr-Latn-CS"/>
        </w:rPr>
        <w:t xml:space="preserve"> ž</w:t>
      </w:r>
      <w:r>
        <w:rPr>
          <w:sz w:val="22"/>
          <w:szCs w:val="22"/>
          <w:lang w:val="pt-BR"/>
        </w:rPr>
        <w:t>ena</w:t>
      </w:r>
      <w:r w:rsidRPr="00442616">
        <w:rPr>
          <w:sz w:val="22"/>
          <w:szCs w:val="22"/>
          <w:lang w:val="sr-Latn-CS"/>
        </w:rPr>
        <w:t xml:space="preserve"> </w:t>
      </w:r>
      <w:r>
        <w:rPr>
          <w:sz w:val="22"/>
          <w:szCs w:val="22"/>
          <w:lang w:val="pt-BR"/>
        </w:rPr>
        <w:t>japanskog</w:t>
      </w:r>
      <w:r w:rsidRPr="00442616">
        <w:rPr>
          <w:sz w:val="22"/>
          <w:szCs w:val="22"/>
          <w:lang w:val="sr-Latn-CS"/>
        </w:rPr>
        <w:t xml:space="preserve"> </w:t>
      </w:r>
      <w:r>
        <w:rPr>
          <w:sz w:val="22"/>
          <w:szCs w:val="22"/>
          <w:lang w:val="pt-BR"/>
        </w:rPr>
        <w:t>porijekla</w:t>
      </w:r>
      <w:r w:rsidRPr="00442616">
        <w:rPr>
          <w:sz w:val="22"/>
          <w:szCs w:val="22"/>
          <w:lang w:val="sr-Latn-CS"/>
        </w:rPr>
        <w:t xml:space="preserve"> </w:t>
      </w:r>
      <w:r>
        <w:rPr>
          <w:sz w:val="22"/>
          <w:szCs w:val="22"/>
          <w:lang w:val="pt-BR"/>
        </w:rPr>
        <w:t>sa</w:t>
      </w:r>
      <w:r w:rsidRPr="00442616">
        <w:rPr>
          <w:sz w:val="22"/>
          <w:szCs w:val="22"/>
          <w:lang w:val="sr-Latn-CS"/>
        </w:rPr>
        <w:t xml:space="preserve"> </w:t>
      </w:r>
      <w:r>
        <w:rPr>
          <w:sz w:val="22"/>
          <w:szCs w:val="22"/>
          <w:lang w:val="pt-BR"/>
        </w:rPr>
        <w:t>HER</w:t>
      </w:r>
      <w:r w:rsidRPr="00442616">
        <w:rPr>
          <w:sz w:val="22"/>
          <w:szCs w:val="22"/>
          <w:lang w:val="sr-Latn-CS"/>
        </w:rPr>
        <w:t>2-</w:t>
      </w:r>
      <w:r>
        <w:rPr>
          <w:sz w:val="22"/>
          <w:szCs w:val="22"/>
          <w:lang w:val="pt-BR"/>
        </w:rPr>
        <w:t>pozitivnim</w:t>
      </w:r>
      <w:r w:rsidRPr="00442616">
        <w:rPr>
          <w:sz w:val="22"/>
          <w:szCs w:val="22"/>
          <w:lang w:val="sr-Latn-CS"/>
        </w:rPr>
        <w:t xml:space="preserve"> </w:t>
      </w:r>
      <w:r>
        <w:rPr>
          <w:sz w:val="22"/>
          <w:szCs w:val="22"/>
          <w:lang w:val="pt-BR"/>
        </w:rPr>
        <w:t>metastatskim</w:t>
      </w:r>
      <w:r w:rsidRPr="00442616">
        <w:rPr>
          <w:sz w:val="22"/>
          <w:szCs w:val="22"/>
          <w:lang w:val="sr-Latn-CS"/>
        </w:rPr>
        <w:t xml:space="preserve"> </w:t>
      </w:r>
      <w:r>
        <w:rPr>
          <w:sz w:val="22"/>
          <w:szCs w:val="22"/>
          <w:lang w:val="pt-BR"/>
        </w:rPr>
        <w:t>karcinomom</w:t>
      </w:r>
      <w:r w:rsidRPr="00442616">
        <w:rPr>
          <w:sz w:val="22"/>
          <w:szCs w:val="22"/>
          <w:lang w:val="sr-Latn-CS"/>
        </w:rPr>
        <w:t xml:space="preserve"> </w:t>
      </w:r>
      <w:r>
        <w:rPr>
          <w:sz w:val="22"/>
          <w:szCs w:val="22"/>
          <w:lang w:val="pt-BR"/>
        </w:rPr>
        <w:t>dojke</w:t>
      </w:r>
      <w:r w:rsidRPr="00442616">
        <w:rPr>
          <w:sz w:val="22"/>
          <w:szCs w:val="22"/>
          <w:lang w:val="sr-Latn-CS"/>
        </w:rPr>
        <w:t xml:space="preserve">, </w:t>
      </w:r>
      <w:r>
        <w:rPr>
          <w:sz w:val="22"/>
          <w:szCs w:val="22"/>
          <w:lang w:val="pt-BR"/>
        </w:rPr>
        <w:t>ukazali</w:t>
      </w:r>
      <w:r w:rsidRPr="00442616">
        <w:rPr>
          <w:sz w:val="22"/>
          <w:szCs w:val="22"/>
          <w:lang w:val="sr-Latn-CS"/>
        </w:rPr>
        <w:t xml:space="preserve"> </w:t>
      </w:r>
      <w:r>
        <w:rPr>
          <w:sz w:val="22"/>
          <w:szCs w:val="22"/>
          <w:lang w:val="pt-BR"/>
        </w:rPr>
        <w:t>su</w:t>
      </w:r>
      <w:r w:rsidRPr="00442616">
        <w:rPr>
          <w:sz w:val="22"/>
          <w:szCs w:val="22"/>
          <w:lang w:val="sr-Latn-CS"/>
        </w:rPr>
        <w:t xml:space="preserve"> </w:t>
      </w:r>
      <w:r>
        <w:rPr>
          <w:sz w:val="22"/>
          <w:szCs w:val="22"/>
          <w:lang w:val="pt-BR"/>
        </w:rPr>
        <w:t>da</w:t>
      </w:r>
      <w:r w:rsidRPr="00442616">
        <w:rPr>
          <w:sz w:val="22"/>
          <w:szCs w:val="22"/>
          <w:lang w:val="sr-Latn-CS"/>
        </w:rPr>
        <w:t xml:space="preserve"> </w:t>
      </w:r>
      <w:r>
        <w:rPr>
          <w:sz w:val="22"/>
          <w:szCs w:val="22"/>
          <w:lang w:val="pt-BR"/>
        </w:rPr>
        <w:t>istovremena</w:t>
      </w:r>
      <w:r w:rsidRPr="00442616">
        <w:rPr>
          <w:sz w:val="22"/>
          <w:szCs w:val="22"/>
          <w:lang w:val="sr-Latn-CS"/>
        </w:rPr>
        <w:t xml:space="preserve"> </w:t>
      </w:r>
      <w:r>
        <w:rPr>
          <w:sz w:val="22"/>
          <w:szCs w:val="22"/>
          <w:lang w:val="pt-BR"/>
        </w:rPr>
        <w:t>primjena</w:t>
      </w:r>
      <w:r w:rsidRPr="00442616">
        <w:rPr>
          <w:sz w:val="22"/>
          <w:szCs w:val="22"/>
          <w:lang w:val="sr-Latn-CS"/>
        </w:rPr>
        <w:t xml:space="preserve"> </w:t>
      </w:r>
      <w:r>
        <w:rPr>
          <w:sz w:val="22"/>
          <w:szCs w:val="22"/>
          <w:lang w:val="pt-BR"/>
        </w:rPr>
        <w:t>lijeka</w:t>
      </w:r>
      <w:r w:rsidRPr="00442616">
        <w:rPr>
          <w:sz w:val="22"/>
          <w:szCs w:val="22"/>
          <w:lang w:val="sr-Latn-CS"/>
        </w:rPr>
        <w:t xml:space="preserve"> </w:t>
      </w:r>
      <w:r>
        <w:rPr>
          <w:sz w:val="22"/>
          <w:szCs w:val="22"/>
          <w:lang w:val="pt-BR"/>
        </w:rPr>
        <w:t>Herceptin</w:t>
      </w:r>
      <w:r w:rsidRPr="00442616">
        <w:rPr>
          <w:sz w:val="22"/>
          <w:szCs w:val="22"/>
          <w:lang w:val="sr-Latn-CS"/>
        </w:rPr>
        <w:t xml:space="preserve"> </w:t>
      </w:r>
      <w:r>
        <w:rPr>
          <w:sz w:val="22"/>
          <w:szCs w:val="22"/>
          <w:lang w:val="pt-BR"/>
        </w:rPr>
        <w:t>ne</w:t>
      </w:r>
      <w:r w:rsidRPr="00442616">
        <w:rPr>
          <w:sz w:val="22"/>
          <w:szCs w:val="22"/>
          <w:lang w:val="sr-Latn-CS"/>
        </w:rPr>
        <w:t xml:space="preserve"> </w:t>
      </w:r>
      <w:r>
        <w:rPr>
          <w:sz w:val="22"/>
          <w:szCs w:val="22"/>
          <w:lang w:val="pt-BR"/>
        </w:rPr>
        <w:t>uti</w:t>
      </w:r>
      <w:r w:rsidRPr="00442616">
        <w:rPr>
          <w:sz w:val="22"/>
          <w:szCs w:val="22"/>
          <w:lang w:val="sr-Latn-CS"/>
        </w:rPr>
        <w:t>č</w:t>
      </w:r>
      <w:r>
        <w:rPr>
          <w:sz w:val="22"/>
          <w:szCs w:val="22"/>
          <w:lang w:val="pt-BR"/>
        </w:rPr>
        <w:t>e</w:t>
      </w:r>
      <w:r w:rsidRPr="00442616">
        <w:rPr>
          <w:sz w:val="22"/>
          <w:szCs w:val="22"/>
          <w:lang w:val="sr-Latn-CS"/>
        </w:rPr>
        <w:t xml:space="preserve"> </w:t>
      </w:r>
      <w:r>
        <w:rPr>
          <w:sz w:val="22"/>
          <w:szCs w:val="22"/>
          <w:lang w:val="pt-BR"/>
        </w:rPr>
        <w:t>na</w:t>
      </w:r>
      <w:r w:rsidRPr="00442616">
        <w:rPr>
          <w:sz w:val="22"/>
          <w:szCs w:val="22"/>
          <w:lang w:val="sr-Latn-CS"/>
        </w:rPr>
        <w:t xml:space="preserve"> </w:t>
      </w:r>
      <w:r>
        <w:rPr>
          <w:sz w:val="22"/>
          <w:szCs w:val="22"/>
          <w:lang w:val="pt-BR"/>
        </w:rPr>
        <w:t>farmakokinetiku</w:t>
      </w:r>
      <w:r w:rsidRPr="00442616">
        <w:rPr>
          <w:sz w:val="22"/>
          <w:szCs w:val="22"/>
          <w:lang w:val="sr-Latn-CS"/>
        </w:rPr>
        <w:t xml:space="preserve"> </w:t>
      </w:r>
      <w:r>
        <w:rPr>
          <w:sz w:val="22"/>
          <w:szCs w:val="22"/>
          <w:lang w:val="pt-BR"/>
        </w:rPr>
        <w:t>jednokratne</w:t>
      </w:r>
      <w:r w:rsidRPr="00442616">
        <w:rPr>
          <w:sz w:val="22"/>
          <w:szCs w:val="22"/>
          <w:lang w:val="sr-Latn-CS"/>
        </w:rPr>
        <w:t xml:space="preserve"> </w:t>
      </w:r>
      <w:r>
        <w:rPr>
          <w:sz w:val="22"/>
          <w:szCs w:val="22"/>
          <w:lang w:val="pt-BR"/>
        </w:rPr>
        <w:t>doze</w:t>
      </w:r>
      <w:r w:rsidRPr="00442616">
        <w:rPr>
          <w:sz w:val="22"/>
          <w:szCs w:val="22"/>
          <w:lang w:val="sr-Latn-CS"/>
        </w:rPr>
        <w:t xml:space="preserve"> </w:t>
      </w:r>
      <w:r>
        <w:rPr>
          <w:sz w:val="22"/>
          <w:szCs w:val="22"/>
          <w:lang w:val="pt-BR"/>
        </w:rPr>
        <w:t>docetaksela</w:t>
      </w:r>
      <w:r w:rsidRPr="00442616">
        <w:rPr>
          <w:sz w:val="22"/>
          <w:szCs w:val="22"/>
          <w:lang w:val="sr-Latn-CS"/>
        </w:rPr>
        <w:t>.</w:t>
      </w:r>
    </w:p>
    <w:p w14:paraId="6428C968" w14:textId="77777777" w:rsidR="00B05AA9" w:rsidRPr="00442616" w:rsidRDefault="00B05AA9" w:rsidP="00641EEB">
      <w:pPr>
        <w:jc w:val="both"/>
        <w:rPr>
          <w:sz w:val="22"/>
          <w:szCs w:val="22"/>
          <w:lang w:val="sr-Latn-CS"/>
        </w:rPr>
      </w:pPr>
      <w:r>
        <w:rPr>
          <w:sz w:val="22"/>
          <w:szCs w:val="22"/>
          <w:lang w:val="pt-BR"/>
        </w:rPr>
        <w:t>Ispitivanje</w:t>
      </w:r>
      <w:r w:rsidRPr="00442616">
        <w:rPr>
          <w:sz w:val="22"/>
          <w:szCs w:val="22"/>
          <w:lang w:val="sr-Latn-CS"/>
        </w:rPr>
        <w:t xml:space="preserve"> </w:t>
      </w:r>
      <w:r>
        <w:rPr>
          <w:sz w:val="22"/>
          <w:szCs w:val="22"/>
          <w:lang w:val="pt-BR"/>
        </w:rPr>
        <w:t>JP</w:t>
      </w:r>
      <w:r w:rsidRPr="00442616">
        <w:rPr>
          <w:sz w:val="22"/>
          <w:szCs w:val="22"/>
          <w:lang w:val="sr-Latn-CS"/>
        </w:rPr>
        <w:t xml:space="preserve">19959 </w:t>
      </w:r>
      <w:r>
        <w:rPr>
          <w:sz w:val="22"/>
          <w:szCs w:val="22"/>
          <w:lang w:val="pt-BR"/>
        </w:rPr>
        <w:t>bilo</w:t>
      </w:r>
      <w:r w:rsidRPr="00442616">
        <w:rPr>
          <w:sz w:val="22"/>
          <w:szCs w:val="22"/>
          <w:lang w:val="sr-Latn-CS"/>
        </w:rPr>
        <w:t xml:space="preserve"> </w:t>
      </w:r>
      <w:r>
        <w:rPr>
          <w:sz w:val="22"/>
          <w:szCs w:val="22"/>
          <w:lang w:val="pt-BR"/>
        </w:rPr>
        <w:t>je</w:t>
      </w:r>
      <w:r w:rsidRPr="00442616">
        <w:rPr>
          <w:sz w:val="22"/>
          <w:szCs w:val="22"/>
          <w:lang w:val="sr-Latn-CS"/>
        </w:rPr>
        <w:t xml:space="preserve"> </w:t>
      </w:r>
      <w:r>
        <w:rPr>
          <w:sz w:val="22"/>
          <w:szCs w:val="22"/>
          <w:lang w:val="pt-BR"/>
        </w:rPr>
        <w:t>podispitivanje</w:t>
      </w:r>
      <w:r w:rsidRPr="00442616">
        <w:rPr>
          <w:sz w:val="22"/>
          <w:szCs w:val="22"/>
          <w:lang w:val="sr-Latn-CS"/>
        </w:rPr>
        <w:t xml:space="preserve"> </w:t>
      </w:r>
      <w:r>
        <w:rPr>
          <w:sz w:val="22"/>
          <w:szCs w:val="22"/>
          <w:lang w:val="pt-BR"/>
        </w:rPr>
        <w:t>ispitivanja</w:t>
      </w:r>
      <w:r w:rsidRPr="00442616">
        <w:rPr>
          <w:sz w:val="22"/>
          <w:szCs w:val="22"/>
          <w:lang w:val="sr-Latn-CS"/>
        </w:rPr>
        <w:t xml:space="preserve"> </w:t>
      </w:r>
      <w:r>
        <w:rPr>
          <w:sz w:val="22"/>
          <w:szCs w:val="22"/>
          <w:lang w:val="pt-BR"/>
        </w:rPr>
        <w:t>BO</w:t>
      </w:r>
      <w:r w:rsidRPr="00442616">
        <w:rPr>
          <w:sz w:val="22"/>
          <w:szCs w:val="22"/>
          <w:lang w:val="sr-Latn-CS"/>
        </w:rPr>
        <w:t>18255 (</w:t>
      </w:r>
      <w:r>
        <w:rPr>
          <w:sz w:val="22"/>
          <w:szCs w:val="22"/>
          <w:lang w:val="pt-BR"/>
        </w:rPr>
        <w:t>ToGA</w:t>
      </w:r>
      <w:r w:rsidRPr="00442616">
        <w:rPr>
          <w:sz w:val="22"/>
          <w:szCs w:val="22"/>
          <w:lang w:val="sr-Latn-CS"/>
        </w:rPr>
        <w:t xml:space="preserve">), </w:t>
      </w:r>
      <w:r>
        <w:rPr>
          <w:sz w:val="22"/>
          <w:szCs w:val="22"/>
          <w:lang w:val="pt-BR"/>
        </w:rPr>
        <w:t>sprovedenog</w:t>
      </w:r>
      <w:r w:rsidRPr="00442616">
        <w:rPr>
          <w:sz w:val="22"/>
          <w:szCs w:val="22"/>
          <w:lang w:val="sr-Latn-CS"/>
        </w:rPr>
        <w:t xml:space="preserve"> </w:t>
      </w:r>
      <w:r>
        <w:rPr>
          <w:sz w:val="22"/>
          <w:szCs w:val="22"/>
          <w:lang w:val="pt-BR"/>
        </w:rPr>
        <w:t>kod</w:t>
      </w:r>
      <w:r w:rsidRPr="00442616">
        <w:rPr>
          <w:sz w:val="22"/>
          <w:szCs w:val="22"/>
          <w:lang w:val="sr-Latn-CS"/>
        </w:rPr>
        <w:t xml:space="preserve"> </w:t>
      </w:r>
      <w:r>
        <w:rPr>
          <w:sz w:val="22"/>
          <w:szCs w:val="22"/>
          <w:lang w:val="pt-BR"/>
        </w:rPr>
        <w:t>mu</w:t>
      </w:r>
      <w:r w:rsidRPr="00442616">
        <w:rPr>
          <w:sz w:val="22"/>
          <w:szCs w:val="22"/>
          <w:lang w:val="sr-Latn-CS"/>
        </w:rPr>
        <w:t>š</w:t>
      </w:r>
      <w:r>
        <w:rPr>
          <w:sz w:val="22"/>
          <w:szCs w:val="22"/>
          <w:lang w:val="pt-BR"/>
        </w:rPr>
        <w:t>karaca</w:t>
      </w:r>
      <w:r w:rsidRPr="00442616">
        <w:rPr>
          <w:sz w:val="22"/>
          <w:szCs w:val="22"/>
          <w:lang w:val="sr-Latn-CS"/>
        </w:rPr>
        <w:t xml:space="preserve"> </w:t>
      </w:r>
      <w:r>
        <w:rPr>
          <w:sz w:val="22"/>
          <w:szCs w:val="22"/>
          <w:lang w:val="pt-BR"/>
        </w:rPr>
        <w:t>i</w:t>
      </w:r>
      <w:r w:rsidRPr="00442616">
        <w:rPr>
          <w:sz w:val="22"/>
          <w:szCs w:val="22"/>
          <w:lang w:val="sr-Latn-CS"/>
        </w:rPr>
        <w:t xml:space="preserve"> ž</w:t>
      </w:r>
      <w:r>
        <w:rPr>
          <w:sz w:val="22"/>
          <w:szCs w:val="22"/>
          <w:lang w:val="pt-BR"/>
        </w:rPr>
        <w:t>ena</w:t>
      </w:r>
      <w:r w:rsidRPr="00442616">
        <w:rPr>
          <w:sz w:val="22"/>
          <w:szCs w:val="22"/>
          <w:lang w:val="sr-Latn-CS"/>
        </w:rPr>
        <w:t xml:space="preserve"> </w:t>
      </w:r>
      <w:r>
        <w:rPr>
          <w:sz w:val="22"/>
          <w:szCs w:val="22"/>
          <w:lang w:val="pt-BR"/>
        </w:rPr>
        <w:t>japanskog</w:t>
      </w:r>
      <w:r w:rsidRPr="00442616">
        <w:rPr>
          <w:sz w:val="22"/>
          <w:szCs w:val="22"/>
          <w:lang w:val="sr-Latn-CS"/>
        </w:rPr>
        <w:t xml:space="preserve"> </w:t>
      </w:r>
      <w:r>
        <w:rPr>
          <w:sz w:val="22"/>
          <w:szCs w:val="22"/>
          <w:lang w:val="pt-BR"/>
        </w:rPr>
        <w:t>porijekla</w:t>
      </w:r>
      <w:r w:rsidRPr="00442616">
        <w:rPr>
          <w:sz w:val="22"/>
          <w:szCs w:val="22"/>
          <w:lang w:val="sr-Latn-CS"/>
        </w:rPr>
        <w:t xml:space="preserve"> </w:t>
      </w:r>
      <w:r>
        <w:rPr>
          <w:sz w:val="22"/>
          <w:szCs w:val="22"/>
          <w:lang w:val="pt-BR"/>
        </w:rPr>
        <w:t>sa</w:t>
      </w:r>
      <w:r w:rsidRPr="00442616">
        <w:rPr>
          <w:sz w:val="22"/>
          <w:szCs w:val="22"/>
          <w:lang w:val="sr-Latn-CS"/>
        </w:rPr>
        <w:t xml:space="preserve"> </w:t>
      </w:r>
      <w:r>
        <w:rPr>
          <w:sz w:val="22"/>
          <w:szCs w:val="22"/>
          <w:lang w:val="pt-BR"/>
        </w:rPr>
        <w:t>uznapredovalim</w:t>
      </w:r>
      <w:r w:rsidRPr="00442616">
        <w:rPr>
          <w:sz w:val="22"/>
          <w:szCs w:val="22"/>
          <w:lang w:val="sr-Latn-CS"/>
        </w:rPr>
        <w:t xml:space="preserve"> </w:t>
      </w:r>
      <w:r>
        <w:rPr>
          <w:sz w:val="22"/>
          <w:szCs w:val="22"/>
          <w:lang w:val="pt-BR"/>
        </w:rPr>
        <w:t>karcinomom</w:t>
      </w:r>
      <w:r w:rsidRPr="00442616">
        <w:rPr>
          <w:sz w:val="22"/>
          <w:szCs w:val="22"/>
          <w:lang w:val="sr-Latn-CS"/>
        </w:rPr>
        <w:t xml:space="preserve"> ž</w:t>
      </w:r>
      <w:r>
        <w:rPr>
          <w:sz w:val="22"/>
          <w:szCs w:val="22"/>
          <w:lang w:val="pt-BR"/>
        </w:rPr>
        <w:t>eluca</w:t>
      </w:r>
      <w:r w:rsidRPr="00442616">
        <w:rPr>
          <w:sz w:val="22"/>
          <w:szCs w:val="22"/>
          <w:lang w:val="sr-Latn-CS"/>
        </w:rPr>
        <w:t xml:space="preserve"> </w:t>
      </w:r>
      <w:r>
        <w:rPr>
          <w:sz w:val="22"/>
          <w:szCs w:val="22"/>
          <w:lang w:val="pt-BR"/>
        </w:rPr>
        <w:t>u</w:t>
      </w:r>
      <w:r w:rsidRPr="00442616">
        <w:rPr>
          <w:sz w:val="22"/>
          <w:szCs w:val="22"/>
          <w:lang w:val="sr-Latn-CS"/>
        </w:rPr>
        <w:t xml:space="preserve"> </w:t>
      </w:r>
      <w:r>
        <w:rPr>
          <w:sz w:val="22"/>
          <w:szCs w:val="22"/>
          <w:lang w:val="pt-BR"/>
        </w:rPr>
        <w:t>kojem</w:t>
      </w:r>
      <w:r w:rsidRPr="00442616">
        <w:rPr>
          <w:sz w:val="22"/>
          <w:szCs w:val="22"/>
          <w:lang w:val="sr-Latn-CS"/>
        </w:rPr>
        <w:t xml:space="preserve"> </w:t>
      </w:r>
      <w:r>
        <w:rPr>
          <w:sz w:val="22"/>
          <w:szCs w:val="22"/>
          <w:lang w:val="pt-BR"/>
        </w:rPr>
        <w:t>se</w:t>
      </w:r>
      <w:r w:rsidRPr="00442616">
        <w:rPr>
          <w:sz w:val="22"/>
          <w:szCs w:val="22"/>
          <w:lang w:val="sr-Latn-CS"/>
        </w:rPr>
        <w:t xml:space="preserve"> </w:t>
      </w:r>
      <w:r>
        <w:rPr>
          <w:sz w:val="22"/>
          <w:szCs w:val="22"/>
          <w:lang w:val="pt-BR"/>
        </w:rPr>
        <w:t>ispitivala</w:t>
      </w:r>
      <w:r w:rsidRPr="00442616">
        <w:rPr>
          <w:sz w:val="22"/>
          <w:szCs w:val="22"/>
          <w:lang w:val="sr-Latn-CS"/>
        </w:rPr>
        <w:t xml:space="preserve"> </w:t>
      </w:r>
      <w:r>
        <w:rPr>
          <w:sz w:val="22"/>
          <w:szCs w:val="22"/>
          <w:lang w:val="pt-BR"/>
        </w:rPr>
        <w:t>farmakokinetika</w:t>
      </w:r>
      <w:r w:rsidRPr="00442616">
        <w:rPr>
          <w:sz w:val="22"/>
          <w:szCs w:val="22"/>
          <w:lang w:val="sr-Latn-CS"/>
        </w:rPr>
        <w:t xml:space="preserve"> </w:t>
      </w:r>
      <w:r>
        <w:rPr>
          <w:sz w:val="22"/>
          <w:szCs w:val="22"/>
          <w:lang w:val="pt-BR"/>
        </w:rPr>
        <w:t>kapecitabina</w:t>
      </w:r>
      <w:r w:rsidRPr="00442616">
        <w:rPr>
          <w:sz w:val="22"/>
          <w:szCs w:val="22"/>
          <w:lang w:val="sr-Latn-CS"/>
        </w:rPr>
        <w:t xml:space="preserve"> </w:t>
      </w:r>
      <w:r>
        <w:rPr>
          <w:sz w:val="22"/>
          <w:szCs w:val="22"/>
          <w:lang w:val="pt-BR"/>
        </w:rPr>
        <w:t>i</w:t>
      </w:r>
      <w:r w:rsidRPr="00442616">
        <w:rPr>
          <w:sz w:val="22"/>
          <w:szCs w:val="22"/>
          <w:lang w:val="sr-Latn-CS"/>
        </w:rPr>
        <w:t xml:space="preserve"> </w:t>
      </w:r>
      <w:r>
        <w:rPr>
          <w:sz w:val="22"/>
          <w:szCs w:val="22"/>
          <w:lang w:val="pt-BR"/>
        </w:rPr>
        <w:t>cisplatina</w:t>
      </w:r>
      <w:r w:rsidRPr="00442616">
        <w:rPr>
          <w:sz w:val="22"/>
          <w:szCs w:val="22"/>
          <w:lang w:val="sr-Latn-CS"/>
        </w:rPr>
        <w:t xml:space="preserve"> </w:t>
      </w:r>
      <w:r>
        <w:rPr>
          <w:sz w:val="22"/>
          <w:szCs w:val="22"/>
          <w:lang w:val="pt-BR"/>
        </w:rPr>
        <w:t>primijenjenih</w:t>
      </w:r>
      <w:r w:rsidRPr="00442616">
        <w:rPr>
          <w:sz w:val="22"/>
          <w:szCs w:val="22"/>
          <w:lang w:val="sr-Latn-CS"/>
        </w:rPr>
        <w:t xml:space="preserve"> </w:t>
      </w:r>
      <w:r>
        <w:rPr>
          <w:sz w:val="22"/>
          <w:szCs w:val="22"/>
          <w:lang w:val="pt-BR"/>
        </w:rPr>
        <w:t>u</w:t>
      </w:r>
      <w:r w:rsidRPr="00442616">
        <w:rPr>
          <w:sz w:val="22"/>
          <w:szCs w:val="22"/>
          <w:lang w:val="sr-Latn-CS"/>
        </w:rPr>
        <w:t xml:space="preserve"> </w:t>
      </w:r>
      <w:r>
        <w:rPr>
          <w:sz w:val="22"/>
          <w:szCs w:val="22"/>
          <w:lang w:val="pt-BR"/>
        </w:rPr>
        <w:t>kombinaciji</w:t>
      </w:r>
      <w:r w:rsidRPr="00442616">
        <w:rPr>
          <w:sz w:val="22"/>
          <w:szCs w:val="22"/>
          <w:lang w:val="sr-Latn-CS"/>
        </w:rPr>
        <w:t xml:space="preserve"> </w:t>
      </w:r>
      <w:r>
        <w:rPr>
          <w:sz w:val="22"/>
          <w:szCs w:val="22"/>
          <w:lang w:val="pt-BR"/>
        </w:rPr>
        <w:t>sa</w:t>
      </w:r>
      <w:r w:rsidRPr="00442616">
        <w:rPr>
          <w:sz w:val="22"/>
          <w:szCs w:val="22"/>
          <w:lang w:val="sr-Latn-CS"/>
        </w:rPr>
        <w:t xml:space="preserve"> </w:t>
      </w:r>
      <w:r>
        <w:rPr>
          <w:sz w:val="22"/>
          <w:szCs w:val="22"/>
          <w:lang w:val="pt-BR"/>
        </w:rPr>
        <w:t>lijekom</w:t>
      </w:r>
      <w:r w:rsidRPr="00442616">
        <w:rPr>
          <w:sz w:val="22"/>
          <w:szCs w:val="22"/>
          <w:lang w:val="sr-Latn-CS"/>
        </w:rPr>
        <w:t xml:space="preserve"> </w:t>
      </w:r>
      <w:r>
        <w:rPr>
          <w:sz w:val="22"/>
          <w:szCs w:val="22"/>
          <w:lang w:val="pt-BR"/>
        </w:rPr>
        <w:t>Herceptin</w:t>
      </w:r>
      <w:r w:rsidRPr="00442616">
        <w:rPr>
          <w:sz w:val="22"/>
          <w:szCs w:val="22"/>
          <w:lang w:val="sr-Latn-CS"/>
        </w:rPr>
        <w:t xml:space="preserve"> </w:t>
      </w:r>
      <w:r>
        <w:rPr>
          <w:sz w:val="22"/>
          <w:szCs w:val="22"/>
          <w:lang w:val="pt-BR"/>
        </w:rPr>
        <w:t>ili</w:t>
      </w:r>
      <w:r w:rsidRPr="00442616">
        <w:rPr>
          <w:sz w:val="22"/>
          <w:szCs w:val="22"/>
          <w:lang w:val="sr-Latn-CS"/>
        </w:rPr>
        <w:t xml:space="preserve"> </w:t>
      </w:r>
      <w:r>
        <w:rPr>
          <w:sz w:val="22"/>
          <w:szCs w:val="22"/>
          <w:lang w:val="pt-BR"/>
        </w:rPr>
        <w:t>bez</w:t>
      </w:r>
      <w:r w:rsidRPr="00442616">
        <w:rPr>
          <w:sz w:val="22"/>
          <w:szCs w:val="22"/>
          <w:lang w:val="sr-Latn-CS"/>
        </w:rPr>
        <w:t xml:space="preserve"> </w:t>
      </w:r>
      <w:r>
        <w:rPr>
          <w:sz w:val="22"/>
          <w:szCs w:val="22"/>
          <w:lang w:val="pt-BR"/>
        </w:rPr>
        <w:t>njega</w:t>
      </w:r>
      <w:r w:rsidRPr="00442616">
        <w:rPr>
          <w:sz w:val="22"/>
          <w:szCs w:val="22"/>
          <w:lang w:val="sr-Latn-CS"/>
        </w:rPr>
        <w:t xml:space="preserve">. </w:t>
      </w:r>
      <w:r>
        <w:rPr>
          <w:sz w:val="22"/>
          <w:szCs w:val="22"/>
          <w:lang w:val="pt-BR"/>
        </w:rPr>
        <w:t>Rezultati</w:t>
      </w:r>
      <w:r w:rsidRPr="00442616">
        <w:rPr>
          <w:sz w:val="22"/>
          <w:szCs w:val="22"/>
          <w:lang w:val="sr-Latn-CS"/>
        </w:rPr>
        <w:t xml:space="preserve"> </w:t>
      </w:r>
      <w:r>
        <w:rPr>
          <w:sz w:val="22"/>
          <w:szCs w:val="22"/>
          <w:lang w:val="pt-BR"/>
        </w:rPr>
        <w:t>ovog</w:t>
      </w:r>
      <w:r w:rsidRPr="00442616">
        <w:rPr>
          <w:sz w:val="22"/>
          <w:szCs w:val="22"/>
          <w:lang w:val="sr-Latn-CS"/>
        </w:rPr>
        <w:t xml:space="preserve"> </w:t>
      </w:r>
      <w:r>
        <w:rPr>
          <w:sz w:val="22"/>
          <w:szCs w:val="22"/>
          <w:lang w:val="pt-BR"/>
        </w:rPr>
        <w:t>podispitivanja</w:t>
      </w:r>
      <w:r w:rsidRPr="00442616">
        <w:rPr>
          <w:sz w:val="22"/>
          <w:szCs w:val="22"/>
          <w:lang w:val="sr-Latn-CS"/>
        </w:rPr>
        <w:t xml:space="preserve"> </w:t>
      </w:r>
      <w:r>
        <w:rPr>
          <w:sz w:val="22"/>
          <w:szCs w:val="22"/>
          <w:lang w:val="pt-BR"/>
        </w:rPr>
        <w:t>ukazali</w:t>
      </w:r>
      <w:r w:rsidRPr="00442616">
        <w:rPr>
          <w:sz w:val="22"/>
          <w:szCs w:val="22"/>
          <w:lang w:val="sr-Latn-CS"/>
        </w:rPr>
        <w:t xml:space="preserve"> </w:t>
      </w:r>
      <w:r>
        <w:rPr>
          <w:sz w:val="22"/>
          <w:szCs w:val="22"/>
          <w:lang w:val="pt-BR"/>
        </w:rPr>
        <w:t>su</w:t>
      </w:r>
      <w:r w:rsidRPr="00442616">
        <w:rPr>
          <w:sz w:val="22"/>
          <w:szCs w:val="22"/>
          <w:lang w:val="sr-Latn-CS"/>
        </w:rPr>
        <w:t xml:space="preserve"> </w:t>
      </w:r>
      <w:r>
        <w:rPr>
          <w:sz w:val="22"/>
          <w:szCs w:val="22"/>
          <w:lang w:val="pt-BR"/>
        </w:rPr>
        <w:t>da</w:t>
      </w:r>
      <w:r w:rsidRPr="00442616">
        <w:rPr>
          <w:sz w:val="22"/>
          <w:szCs w:val="22"/>
          <w:lang w:val="sr-Latn-CS"/>
        </w:rPr>
        <w:t xml:space="preserve"> </w:t>
      </w:r>
      <w:r>
        <w:rPr>
          <w:sz w:val="22"/>
          <w:szCs w:val="22"/>
          <w:lang w:val="pt-BR"/>
        </w:rPr>
        <w:t>istovremena</w:t>
      </w:r>
      <w:r w:rsidRPr="00442616">
        <w:rPr>
          <w:sz w:val="22"/>
          <w:szCs w:val="22"/>
          <w:lang w:val="sr-Latn-CS"/>
        </w:rPr>
        <w:t xml:space="preserve"> </w:t>
      </w:r>
      <w:r>
        <w:rPr>
          <w:sz w:val="22"/>
          <w:szCs w:val="22"/>
          <w:lang w:val="pt-BR"/>
        </w:rPr>
        <w:t>primjena</w:t>
      </w:r>
      <w:r w:rsidRPr="00442616">
        <w:rPr>
          <w:sz w:val="22"/>
          <w:szCs w:val="22"/>
          <w:lang w:val="sr-Latn-CS"/>
        </w:rPr>
        <w:t xml:space="preserve"> </w:t>
      </w:r>
      <w:r>
        <w:rPr>
          <w:sz w:val="22"/>
          <w:szCs w:val="22"/>
          <w:lang w:val="pt-BR"/>
        </w:rPr>
        <w:t>cisplatina</w:t>
      </w:r>
      <w:r w:rsidRPr="00442616">
        <w:rPr>
          <w:sz w:val="22"/>
          <w:szCs w:val="22"/>
          <w:lang w:val="sr-Latn-CS"/>
        </w:rPr>
        <w:t xml:space="preserve"> </w:t>
      </w:r>
      <w:r>
        <w:rPr>
          <w:sz w:val="22"/>
          <w:szCs w:val="22"/>
          <w:lang w:val="pt-BR"/>
        </w:rPr>
        <w:t>ili</w:t>
      </w:r>
      <w:r w:rsidRPr="00442616">
        <w:rPr>
          <w:sz w:val="22"/>
          <w:szCs w:val="22"/>
          <w:lang w:val="sr-Latn-CS"/>
        </w:rPr>
        <w:t xml:space="preserve"> </w:t>
      </w:r>
      <w:r>
        <w:rPr>
          <w:sz w:val="22"/>
          <w:szCs w:val="22"/>
          <w:lang w:val="pt-BR"/>
        </w:rPr>
        <w:t>istovremena</w:t>
      </w:r>
      <w:r w:rsidRPr="00442616">
        <w:rPr>
          <w:sz w:val="22"/>
          <w:szCs w:val="22"/>
          <w:lang w:val="sr-Latn-CS"/>
        </w:rPr>
        <w:t xml:space="preserve"> </w:t>
      </w:r>
      <w:r>
        <w:rPr>
          <w:sz w:val="22"/>
          <w:szCs w:val="22"/>
          <w:lang w:val="pt-BR"/>
        </w:rPr>
        <w:t>primjena</w:t>
      </w:r>
      <w:r w:rsidRPr="00442616">
        <w:rPr>
          <w:sz w:val="22"/>
          <w:szCs w:val="22"/>
          <w:lang w:val="sr-Latn-CS"/>
        </w:rPr>
        <w:t xml:space="preserve"> </w:t>
      </w:r>
      <w:r>
        <w:rPr>
          <w:sz w:val="22"/>
          <w:szCs w:val="22"/>
          <w:lang w:val="pt-BR"/>
        </w:rPr>
        <w:t>cisplatina</w:t>
      </w:r>
      <w:r w:rsidRPr="00442616">
        <w:rPr>
          <w:sz w:val="22"/>
          <w:szCs w:val="22"/>
          <w:lang w:val="sr-Latn-CS"/>
        </w:rPr>
        <w:t xml:space="preserve"> </w:t>
      </w:r>
      <w:r>
        <w:rPr>
          <w:sz w:val="22"/>
          <w:szCs w:val="22"/>
          <w:lang w:val="pt-BR"/>
        </w:rPr>
        <w:t>i</w:t>
      </w:r>
      <w:r w:rsidRPr="00442616">
        <w:rPr>
          <w:sz w:val="22"/>
          <w:szCs w:val="22"/>
          <w:lang w:val="sr-Latn-CS"/>
        </w:rPr>
        <w:t xml:space="preserve"> </w:t>
      </w:r>
      <w:r>
        <w:rPr>
          <w:sz w:val="22"/>
          <w:szCs w:val="22"/>
          <w:lang w:val="pt-BR"/>
        </w:rPr>
        <w:t>lijeka</w:t>
      </w:r>
      <w:r w:rsidRPr="00442616">
        <w:rPr>
          <w:sz w:val="22"/>
          <w:szCs w:val="22"/>
          <w:lang w:val="sr-Latn-CS"/>
        </w:rPr>
        <w:t xml:space="preserve"> </w:t>
      </w:r>
      <w:r>
        <w:rPr>
          <w:sz w:val="22"/>
          <w:szCs w:val="22"/>
          <w:lang w:val="pt-BR"/>
        </w:rPr>
        <w:t>Herceptin</w:t>
      </w:r>
      <w:r w:rsidRPr="00442616">
        <w:rPr>
          <w:sz w:val="22"/>
          <w:szCs w:val="22"/>
          <w:lang w:val="sr-Latn-CS"/>
        </w:rPr>
        <w:t xml:space="preserve"> </w:t>
      </w:r>
      <w:r>
        <w:rPr>
          <w:sz w:val="22"/>
          <w:szCs w:val="22"/>
          <w:lang w:val="pt-BR"/>
        </w:rPr>
        <w:t>ne</w:t>
      </w:r>
      <w:r w:rsidRPr="00442616">
        <w:rPr>
          <w:sz w:val="22"/>
          <w:szCs w:val="22"/>
          <w:lang w:val="sr-Latn-CS"/>
        </w:rPr>
        <w:t xml:space="preserve"> </w:t>
      </w:r>
      <w:r>
        <w:rPr>
          <w:sz w:val="22"/>
          <w:szCs w:val="22"/>
          <w:lang w:val="pt-BR"/>
        </w:rPr>
        <w:t>uti</w:t>
      </w:r>
      <w:r w:rsidRPr="00442616">
        <w:rPr>
          <w:sz w:val="22"/>
          <w:szCs w:val="22"/>
          <w:lang w:val="sr-Latn-CS"/>
        </w:rPr>
        <w:t>č</w:t>
      </w:r>
      <w:r>
        <w:rPr>
          <w:sz w:val="22"/>
          <w:szCs w:val="22"/>
          <w:lang w:val="pt-BR"/>
        </w:rPr>
        <w:t>e</w:t>
      </w:r>
      <w:r w:rsidRPr="00442616">
        <w:rPr>
          <w:sz w:val="22"/>
          <w:szCs w:val="22"/>
          <w:lang w:val="sr-Latn-CS"/>
        </w:rPr>
        <w:t xml:space="preserve"> </w:t>
      </w:r>
      <w:r>
        <w:rPr>
          <w:sz w:val="22"/>
          <w:szCs w:val="22"/>
          <w:lang w:val="pt-BR"/>
        </w:rPr>
        <w:t>na</w:t>
      </w:r>
      <w:r w:rsidRPr="00442616">
        <w:rPr>
          <w:sz w:val="22"/>
          <w:szCs w:val="22"/>
          <w:lang w:val="sr-Latn-CS"/>
        </w:rPr>
        <w:t xml:space="preserve"> </w:t>
      </w:r>
      <w:r>
        <w:rPr>
          <w:sz w:val="22"/>
          <w:szCs w:val="22"/>
          <w:lang w:val="pt-BR"/>
        </w:rPr>
        <w:t>izlo</w:t>
      </w:r>
      <w:r w:rsidRPr="00442616">
        <w:rPr>
          <w:sz w:val="22"/>
          <w:szCs w:val="22"/>
          <w:lang w:val="sr-Latn-CS"/>
        </w:rPr>
        <w:t>ž</w:t>
      </w:r>
      <w:r>
        <w:rPr>
          <w:sz w:val="22"/>
          <w:szCs w:val="22"/>
          <w:lang w:val="pt-BR"/>
        </w:rPr>
        <w:t>enost</w:t>
      </w:r>
      <w:r w:rsidRPr="00442616">
        <w:rPr>
          <w:sz w:val="22"/>
          <w:szCs w:val="22"/>
          <w:lang w:val="sr-Latn-CS"/>
        </w:rPr>
        <w:t xml:space="preserve"> </w:t>
      </w:r>
      <w:r>
        <w:rPr>
          <w:sz w:val="22"/>
          <w:szCs w:val="22"/>
          <w:lang w:val="pt-BR"/>
        </w:rPr>
        <w:t>bioaktivnim</w:t>
      </w:r>
      <w:r w:rsidRPr="00442616">
        <w:rPr>
          <w:sz w:val="22"/>
          <w:szCs w:val="22"/>
          <w:lang w:val="sr-Latn-CS"/>
        </w:rPr>
        <w:t xml:space="preserve"> </w:t>
      </w:r>
      <w:r>
        <w:rPr>
          <w:sz w:val="22"/>
          <w:szCs w:val="22"/>
          <w:lang w:val="pt-BR"/>
        </w:rPr>
        <w:t>metabolitima</w:t>
      </w:r>
      <w:r w:rsidRPr="00442616">
        <w:rPr>
          <w:sz w:val="22"/>
          <w:szCs w:val="22"/>
          <w:lang w:val="sr-Latn-CS"/>
        </w:rPr>
        <w:t xml:space="preserve"> (</w:t>
      </w:r>
      <w:r>
        <w:rPr>
          <w:sz w:val="22"/>
          <w:szCs w:val="22"/>
          <w:lang w:val="pt-BR"/>
        </w:rPr>
        <w:t>npr</w:t>
      </w:r>
      <w:r w:rsidRPr="00442616">
        <w:rPr>
          <w:sz w:val="22"/>
          <w:szCs w:val="22"/>
          <w:lang w:val="sr-Latn-CS"/>
        </w:rPr>
        <w:t>. 5-</w:t>
      </w:r>
      <w:r>
        <w:rPr>
          <w:sz w:val="22"/>
          <w:szCs w:val="22"/>
          <w:lang w:val="pt-BR"/>
        </w:rPr>
        <w:t>FU</w:t>
      </w:r>
      <w:r w:rsidRPr="00442616">
        <w:rPr>
          <w:sz w:val="22"/>
          <w:szCs w:val="22"/>
          <w:lang w:val="sr-Latn-CS"/>
        </w:rPr>
        <w:t xml:space="preserve">) </w:t>
      </w:r>
      <w:r>
        <w:rPr>
          <w:sz w:val="22"/>
          <w:szCs w:val="22"/>
          <w:lang w:val="pt-BR"/>
        </w:rPr>
        <w:t>kapecitabina</w:t>
      </w:r>
      <w:r w:rsidRPr="00442616">
        <w:rPr>
          <w:sz w:val="22"/>
          <w:szCs w:val="22"/>
          <w:lang w:val="sr-Latn-CS"/>
        </w:rPr>
        <w:t xml:space="preserve">. </w:t>
      </w:r>
      <w:r>
        <w:rPr>
          <w:sz w:val="22"/>
          <w:szCs w:val="22"/>
          <w:lang w:val="pt-BR"/>
        </w:rPr>
        <w:t>Me</w:t>
      </w:r>
      <w:r w:rsidRPr="00442616">
        <w:rPr>
          <w:sz w:val="22"/>
          <w:szCs w:val="22"/>
          <w:lang w:val="sr-Latn-CS"/>
        </w:rPr>
        <w:t>đ</w:t>
      </w:r>
      <w:r>
        <w:rPr>
          <w:sz w:val="22"/>
          <w:szCs w:val="22"/>
          <w:lang w:val="pt-BR"/>
        </w:rPr>
        <w:t>utim</w:t>
      </w:r>
      <w:r w:rsidRPr="00442616">
        <w:rPr>
          <w:sz w:val="22"/>
          <w:szCs w:val="22"/>
          <w:lang w:val="sr-Latn-CS"/>
        </w:rPr>
        <w:t xml:space="preserve">, </w:t>
      </w:r>
      <w:r>
        <w:rPr>
          <w:sz w:val="22"/>
          <w:szCs w:val="22"/>
          <w:lang w:val="pt-BR"/>
        </w:rPr>
        <w:t>kod</w:t>
      </w:r>
      <w:r w:rsidRPr="00442616">
        <w:rPr>
          <w:sz w:val="22"/>
          <w:szCs w:val="22"/>
          <w:lang w:val="sr-Latn-CS"/>
        </w:rPr>
        <w:t xml:space="preserve"> </w:t>
      </w:r>
      <w:r>
        <w:rPr>
          <w:sz w:val="22"/>
          <w:szCs w:val="22"/>
          <w:lang w:val="pt-BR"/>
        </w:rPr>
        <w:t>istovremene</w:t>
      </w:r>
      <w:r w:rsidRPr="00442616">
        <w:rPr>
          <w:sz w:val="22"/>
          <w:szCs w:val="22"/>
          <w:lang w:val="sr-Latn-CS"/>
        </w:rPr>
        <w:t xml:space="preserve"> </w:t>
      </w:r>
      <w:r>
        <w:rPr>
          <w:sz w:val="22"/>
          <w:szCs w:val="22"/>
          <w:lang w:val="pt-BR"/>
        </w:rPr>
        <w:t>primjene</w:t>
      </w:r>
      <w:r w:rsidRPr="00442616">
        <w:rPr>
          <w:sz w:val="22"/>
          <w:szCs w:val="22"/>
          <w:lang w:val="sr-Latn-CS"/>
        </w:rPr>
        <w:t xml:space="preserve"> </w:t>
      </w:r>
      <w:r>
        <w:rPr>
          <w:sz w:val="22"/>
          <w:szCs w:val="22"/>
          <w:lang w:val="pt-BR"/>
        </w:rPr>
        <w:t>sa</w:t>
      </w:r>
      <w:r w:rsidRPr="00442616">
        <w:rPr>
          <w:sz w:val="22"/>
          <w:szCs w:val="22"/>
          <w:lang w:val="sr-Latn-CS"/>
        </w:rPr>
        <w:t xml:space="preserve"> </w:t>
      </w:r>
      <w:r>
        <w:rPr>
          <w:sz w:val="22"/>
          <w:szCs w:val="22"/>
          <w:lang w:val="pt-BR"/>
        </w:rPr>
        <w:t>lijekom</w:t>
      </w:r>
      <w:r w:rsidRPr="00442616">
        <w:rPr>
          <w:sz w:val="22"/>
          <w:szCs w:val="22"/>
          <w:lang w:val="sr-Latn-CS"/>
        </w:rPr>
        <w:t xml:space="preserve"> </w:t>
      </w:r>
      <w:r>
        <w:rPr>
          <w:sz w:val="22"/>
          <w:szCs w:val="22"/>
          <w:lang w:val="pt-BR"/>
        </w:rPr>
        <w:t>Herceptin</w:t>
      </w:r>
      <w:r w:rsidRPr="00442616">
        <w:rPr>
          <w:sz w:val="22"/>
          <w:szCs w:val="22"/>
          <w:lang w:val="sr-Latn-CS"/>
        </w:rPr>
        <w:t xml:space="preserve"> </w:t>
      </w:r>
      <w:r>
        <w:rPr>
          <w:sz w:val="22"/>
          <w:szCs w:val="22"/>
          <w:lang w:val="pt-BR"/>
        </w:rPr>
        <w:t>koncentracije</w:t>
      </w:r>
      <w:r w:rsidRPr="00442616">
        <w:rPr>
          <w:sz w:val="22"/>
          <w:szCs w:val="22"/>
          <w:lang w:val="sr-Latn-CS"/>
        </w:rPr>
        <w:t xml:space="preserve"> </w:t>
      </w:r>
      <w:r>
        <w:rPr>
          <w:sz w:val="22"/>
          <w:szCs w:val="22"/>
          <w:lang w:val="pt-BR"/>
        </w:rPr>
        <w:t>samog</w:t>
      </w:r>
      <w:r w:rsidRPr="00442616">
        <w:rPr>
          <w:sz w:val="22"/>
          <w:szCs w:val="22"/>
          <w:lang w:val="sr-Latn-CS"/>
        </w:rPr>
        <w:t xml:space="preserve"> </w:t>
      </w:r>
      <w:r>
        <w:rPr>
          <w:sz w:val="22"/>
          <w:szCs w:val="22"/>
          <w:lang w:val="pt-BR"/>
        </w:rPr>
        <w:t>kapecitabina</w:t>
      </w:r>
      <w:r w:rsidRPr="00442616">
        <w:rPr>
          <w:sz w:val="22"/>
          <w:szCs w:val="22"/>
          <w:lang w:val="sr-Latn-CS"/>
        </w:rPr>
        <w:t xml:space="preserve"> </w:t>
      </w:r>
      <w:r>
        <w:rPr>
          <w:sz w:val="22"/>
          <w:szCs w:val="22"/>
          <w:lang w:val="pt-BR"/>
        </w:rPr>
        <w:t>bile</w:t>
      </w:r>
      <w:r w:rsidRPr="00442616">
        <w:rPr>
          <w:sz w:val="22"/>
          <w:szCs w:val="22"/>
          <w:lang w:val="sr-Latn-CS"/>
        </w:rPr>
        <w:t xml:space="preserve"> </w:t>
      </w:r>
      <w:r>
        <w:rPr>
          <w:sz w:val="22"/>
          <w:szCs w:val="22"/>
          <w:lang w:val="pt-BR"/>
        </w:rPr>
        <w:t>su</w:t>
      </w:r>
      <w:r w:rsidRPr="00442616">
        <w:rPr>
          <w:sz w:val="22"/>
          <w:szCs w:val="22"/>
          <w:lang w:val="sr-Latn-CS"/>
        </w:rPr>
        <w:t xml:space="preserve"> </w:t>
      </w:r>
      <w:r>
        <w:rPr>
          <w:sz w:val="22"/>
          <w:szCs w:val="22"/>
          <w:lang w:val="pt-BR"/>
        </w:rPr>
        <w:t>pove</w:t>
      </w:r>
      <w:r w:rsidRPr="00442616">
        <w:rPr>
          <w:sz w:val="22"/>
          <w:szCs w:val="22"/>
          <w:lang w:val="sr-Latn-CS"/>
        </w:rPr>
        <w:t>ć</w:t>
      </w:r>
      <w:r>
        <w:rPr>
          <w:sz w:val="22"/>
          <w:szCs w:val="22"/>
          <w:lang w:val="pt-BR"/>
        </w:rPr>
        <w:t>ane</w:t>
      </w:r>
      <w:r w:rsidRPr="00442616">
        <w:rPr>
          <w:sz w:val="22"/>
          <w:szCs w:val="22"/>
          <w:lang w:val="sr-Latn-CS"/>
        </w:rPr>
        <w:t xml:space="preserve">, </w:t>
      </w:r>
      <w:r>
        <w:rPr>
          <w:sz w:val="22"/>
          <w:szCs w:val="22"/>
          <w:lang w:val="pt-BR"/>
        </w:rPr>
        <w:t>a</w:t>
      </w:r>
      <w:r w:rsidRPr="00442616">
        <w:rPr>
          <w:sz w:val="22"/>
          <w:szCs w:val="22"/>
          <w:lang w:val="sr-Latn-CS"/>
        </w:rPr>
        <w:t xml:space="preserve"> </w:t>
      </w:r>
      <w:r>
        <w:rPr>
          <w:sz w:val="22"/>
          <w:szCs w:val="22"/>
          <w:lang w:val="pt-BR"/>
        </w:rPr>
        <w:t>njegovo</w:t>
      </w:r>
      <w:r w:rsidRPr="00442616">
        <w:rPr>
          <w:sz w:val="22"/>
          <w:szCs w:val="22"/>
          <w:lang w:val="sr-Latn-CS"/>
        </w:rPr>
        <w:t xml:space="preserve"> </w:t>
      </w:r>
      <w:r>
        <w:rPr>
          <w:sz w:val="22"/>
          <w:szCs w:val="22"/>
          <w:lang w:val="pt-BR"/>
        </w:rPr>
        <w:t>poluvrijeme</w:t>
      </w:r>
      <w:r w:rsidRPr="00442616">
        <w:rPr>
          <w:sz w:val="22"/>
          <w:szCs w:val="22"/>
          <w:lang w:val="sr-Latn-CS"/>
        </w:rPr>
        <w:t xml:space="preserve"> </w:t>
      </w:r>
      <w:r>
        <w:rPr>
          <w:sz w:val="22"/>
          <w:szCs w:val="22"/>
          <w:lang w:val="pt-BR"/>
        </w:rPr>
        <w:t>eliminacije</w:t>
      </w:r>
      <w:r w:rsidRPr="00442616">
        <w:rPr>
          <w:sz w:val="22"/>
          <w:szCs w:val="22"/>
          <w:lang w:val="sr-Latn-CS"/>
        </w:rPr>
        <w:t xml:space="preserve"> </w:t>
      </w:r>
      <w:r>
        <w:rPr>
          <w:sz w:val="22"/>
          <w:szCs w:val="22"/>
          <w:lang w:val="pt-BR"/>
        </w:rPr>
        <w:t>produ</w:t>
      </w:r>
      <w:r w:rsidRPr="00442616">
        <w:rPr>
          <w:sz w:val="22"/>
          <w:szCs w:val="22"/>
          <w:lang w:val="sr-Latn-CS"/>
        </w:rPr>
        <w:t>ž</w:t>
      </w:r>
      <w:r>
        <w:rPr>
          <w:sz w:val="22"/>
          <w:szCs w:val="22"/>
          <w:lang w:val="pt-BR"/>
        </w:rPr>
        <w:t>eno</w:t>
      </w:r>
      <w:r w:rsidRPr="00442616">
        <w:rPr>
          <w:sz w:val="22"/>
          <w:szCs w:val="22"/>
          <w:lang w:val="sr-Latn-CS"/>
        </w:rPr>
        <w:t xml:space="preserve">. </w:t>
      </w:r>
      <w:r>
        <w:rPr>
          <w:sz w:val="22"/>
          <w:szCs w:val="22"/>
          <w:lang w:val="pt-BR"/>
        </w:rPr>
        <w:t>Podaci</w:t>
      </w:r>
      <w:r w:rsidRPr="00442616">
        <w:rPr>
          <w:sz w:val="22"/>
          <w:szCs w:val="22"/>
          <w:lang w:val="sr-Latn-CS"/>
        </w:rPr>
        <w:t xml:space="preserve"> </w:t>
      </w:r>
      <w:r>
        <w:rPr>
          <w:sz w:val="22"/>
          <w:szCs w:val="22"/>
          <w:lang w:val="pt-BR"/>
        </w:rPr>
        <w:t>su</w:t>
      </w:r>
      <w:r w:rsidRPr="00442616">
        <w:rPr>
          <w:sz w:val="22"/>
          <w:szCs w:val="22"/>
          <w:lang w:val="sr-Latn-CS"/>
        </w:rPr>
        <w:t xml:space="preserve"> </w:t>
      </w:r>
      <w:r>
        <w:rPr>
          <w:sz w:val="22"/>
          <w:szCs w:val="22"/>
          <w:lang w:val="pt-BR"/>
        </w:rPr>
        <w:t>tako</w:t>
      </w:r>
      <w:r w:rsidRPr="00442616">
        <w:rPr>
          <w:sz w:val="22"/>
          <w:szCs w:val="22"/>
          <w:lang w:val="sr-Latn-CS"/>
        </w:rPr>
        <w:t>đ</w:t>
      </w:r>
      <w:r>
        <w:rPr>
          <w:sz w:val="22"/>
          <w:szCs w:val="22"/>
          <w:lang w:val="pt-BR"/>
        </w:rPr>
        <w:t>e</w:t>
      </w:r>
      <w:r w:rsidRPr="00442616">
        <w:rPr>
          <w:sz w:val="22"/>
          <w:szCs w:val="22"/>
          <w:lang w:val="sr-Latn-CS"/>
        </w:rPr>
        <w:t xml:space="preserve"> </w:t>
      </w:r>
      <w:r>
        <w:rPr>
          <w:sz w:val="22"/>
          <w:szCs w:val="22"/>
          <w:lang w:val="pt-BR"/>
        </w:rPr>
        <w:t>ukazali</w:t>
      </w:r>
      <w:r w:rsidRPr="00442616">
        <w:rPr>
          <w:sz w:val="22"/>
          <w:szCs w:val="22"/>
          <w:lang w:val="sr-Latn-CS"/>
        </w:rPr>
        <w:t xml:space="preserve"> </w:t>
      </w:r>
      <w:r>
        <w:rPr>
          <w:sz w:val="22"/>
          <w:szCs w:val="22"/>
          <w:lang w:val="pt-BR"/>
        </w:rPr>
        <w:t>da</w:t>
      </w:r>
      <w:r w:rsidRPr="00442616">
        <w:rPr>
          <w:sz w:val="22"/>
          <w:szCs w:val="22"/>
          <w:lang w:val="sr-Latn-CS"/>
        </w:rPr>
        <w:t xml:space="preserve"> </w:t>
      </w:r>
      <w:r>
        <w:rPr>
          <w:sz w:val="22"/>
          <w:szCs w:val="22"/>
          <w:lang w:val="pt-BR"/>
        </w:rPr>
        <w:t>istovremena</w:t>
      </w:r>
      <w:r w:rsidRPr="00442616">
        <w:rPr>
          <w:sz w:val="22"/>
          <w:szCs w:val="22"/>
          <w:lang w:val="sr-Latn-CS"/>
        </w:rPr>
        <w:t xml:space="preserve"> </w:t>
      </w:r>
      <w:r>
        <w:rPr>
          <w:sz w:val="22"/>
          <w:szCs w:val="22"/>
          <w:lang w:val="pt-BR"/>
        </w:rPr>
        <w:t>primjena</w:t>
      </w:r>
      <w:r w:rsidRPr="00442616">
        <w:rPr>
          <w:sz w:val="22"/>
          <w:szCs w:val="22"/>
          <w:lang w:val="sr-Latn-CS"/>
        </w:rPr>
        <w:t xml:space="preserve"> </w:t>
      </w:r>
      <w:r>
        <w:rPr>
          <w:sz w:val="22"/>
          <w:szCs w:val="22"/>
          <w:lang w:val="pt-BR"/>
        </w:rPr>
        <w:t>kapecitabina</w:t>
      </w:r>
      <w:r w:rsidRPr="00442616">
        <w:rPr>
          <w:sz w:val="22"/>
          <w:szCs w:val="22"/>
          <w:lang w:val="sr-Latn-CS"/>
        </w:rPr>
        <w:t xml:space="preserve"> </w:t>
      </w:r>
      <w:r>
        <w:rPr>
          <w:sz w:val="22"/>
          <w:szCs w:val="22"/>
          <w:lang w:val="pt-BR"/>
        </w:rPr>
        <w:t>ili</w:t>
      </w:r>
      <w:r w:rsidRPr="00442616">
        <w:rPr>
          <w:sz w:val="22"/>
          <w:szCs w:val="22"/>
          <w:lang w:val="sr-Latn-CS"/>
        </w:rPr>
        <w:t xml:space="preserve"> </w:t>
      </w:r>
      <w:r>
        <w:rPr>
          <w:sz w:val="22"/>
          <w:szCs w:val="22"/>
          <w:lang w:val="pt-BR"/>
        </w:rPr>
        <w:t>istovremena</w:t>
      </w:r>
      <w:r w:rsidRPr="00442616">
        <w:rPr>
          <w:sz w:val="22"/>
          <w:szCs w:val="22"/>
          <w:lang w:val="sr-Latn-CS"/>
        </w:rPr>
        <w:t xml:space="preserve"> </w:t>
      </w:r>
      <w:r>
        <w:rPr>
          <w:sz w:val="22"/>
          <w:szCs w:val="22"/>
          <w:lang w:val="pt-BR"/>
        </w:rPr>
        <w:t>primjena</w:t>
      </w:r>
      <w:r w:rsidRPr="00442616">
        <w:rPr>
          <w:sz w:val="22"/>
          <w:szCs w:val="22"/>
          <w:lang w:val="sr-Latn-CS"/>
        </w:rPr>
        <w:t xml:space="preserve"> </w:t>
      </w:r>
      <w:r>
        <w:rPr>
          <w:sz w:val="22"/>
          <w:szCs w:val="22"/>
          <w:lang w:val="pt-BR"/>
        </w:rPr>
        <w:t>kapecitabina</w:t>
      </w:r>
      <w:r w:rsidRPr="00442616">
        <w:rPr>
          <w:sz w:val="22"/>
          <w:szCs w:val="22"/>
          <w:lang w:val="sr-Latn-CS"/>
        </w:rPr>
        <w:t xml:space="preserve"> </w:t>
      </w:r>
      <w:r>
        <w:rPr>
          <w:sz w:val="22"/>
          <w:szCs w:val="22"/>
          <w:lang w:val="pt-BR"/>
        </w:rPr>
        <w:t>i</w:t>
      </w:r>
      <w:r w:rsidRPr="00442616">
        <w:rPr>
          <w:sz w:val="22"/>
          <w:szCs w:val="22"/>
          <w:lang w:val="sr-Latn-CS"/>
        </w:rPr>
        <w:t xml:space="preserve"> </w:t>
      </w:r>
      <w:r>
        <w:rPr>
          <w:sz w:val="22"/>
          <w:szCs w:val="22"/>
          <w:lang w:val="pt-BR"/>
        </w:rPr>
        <w:t>lijeka</w:t>
      </w:r>
      <w:r w:rsidRPr="00442616">
        <w:rPr>
          <w:sz w:val="22"/>
          <w:szCs w:val="22"/>
          <w:lang w:val="sr-Latn-CS"/>
        </w:rPr>
        <w:t xml:space="preserve"> </w:t>
      </w:r>
      <w:r>
        <w:rPr>
          <w:sz w:val="22"/>
          <w:szCs w:val="22"/>
          <w:lang w:val="pt-BR"/>
        </w:rPr>
        <w:t>Herceptin</w:t>
      </w:r>
      <w:r w:rsidRPr="00442616">
        <w:rPr>
          <w:sz w:val="22"/>
          <w:szCs w:val="22"/>
          <w:lang w:val="sr-Latn-CS"/>
        </w:rPr>
        <w:t xml:space="preserve"> </w:t>
      </w:r>
      <w:r>
        <w:rPr>
          <w:sz w:val="22"/>
          <w:szCs w:val="22"/>
          <w:lang w:val="pt-BR"/>
        </w:rPr>
        <w:t>ne</w:t>
      </w:r>
      <w:r w:rsidRPr="00442616">
        <w:rPr>
          <w:sz w:val="22"/>
          <w:szCs w:val="22"/>
          <w:lang w:val="sr-Latn-CS"/>
        </w:rPr>
        <w:t xml:space="preserve"> </w:t>
      </w:r>
      <w:r>
        <w:rPr>
          <w:sz w:val="22"/>
          <w:szCs w:val="22"/>
          <w:lang w:val="pt-BR"/>
        </w:rPr>
        <w:t>uti</w:t>
      </w:r>
      <w:r w:rsidRPr="00442616">
        <w:rPr>
          <w:sz w:val="22"/>
          <w:szCs w:val="22"/>
          <w:lang w:val="sr-Latn-CS"/>
        </w:rPr>
        <w:t>č</w:t>
      </w:r>
      <w:r>
        <w:rPr>
          <w:sz w:val="22"/>
          <w:szCs w:val="22"/>
          <w:lang w:val="pt-BR"/>
        </w:rPr>
        <w:t>e</w:t>
      </w:r>
      <w:r w:rsidRPr="00442616">
        <w:rPr>
          <w:sz w:val="22"/>
          <w:szCs w:val="22"/>
          <w:lang w:val="sr-Latn-CS"/>
        </w:rPr>
        <w:t xml:space="preserve"> </w:t>
      </w:r>
      <w:r>
        <w:rPr>
          <w:sz w:val="22"/>
          <w:szCs w:val="22"/>
          <w:lang w:val="pt-BR"/>
        </w:rPr>
        <w:t>na</w:t>
      </w:r>
      <w:r w:rsidRPr="00442616">
        <w:rPr>
          <w:sz w:val="22"/>
          <w:szCs w:val="22"/>
          <w:lang w:val="sr-Latn-CS"/>
        </w:rPr>
        <w:t xml:space="preserve"> </w:t>
      </w:r>
      <w:r>
        <w:rPr>
          <w:sz w:val="22"/>
          <w:szCs w:val="22"/>
          <w:lang w:val="pt-BR"/>
        </w:rPr>
        <w:t>farmakokinetiku</w:t>
      </w:r>
      <w:r w:rsidRPr="00442616">
        <w:rPr>
          <w:sz w:val="22"/>
          <w:szCs w:val="22"/>
          <w:lang w:val="sr-Latn-CS"/>
        </w:rPr>
        <w:t xml:space="preserve"> </w:t>
      </w:r>
      <w:r>
        <w:rPr>
          <w:sz w:val="22"/>
          <w:szCs w:val="22"/>
          <w:lang w:val="pt-BR"/>
        </w:rPr>
        <w:t>cisplatina</w:t>
      </w:r>
      <w:r w:rsidRPr="00442616">
        <w:rPr>
          <w:sz w:val="22"/>
          <w:szCs w:val="22"/>
          <w:lang w:val="sr-Latn-CS"/>
        </w:rPr>
        <w:t>.</w:t>
      </w:r>
    </w:p>
    <w:p w14:paraId="0BC37539" w14:textId="77777777" w:rsidR="00B05AA9" w:rsidRDefault="00B05AA9" w:rsidP="00641EEB">
      <w:pPr>
        <w:rPr>
          <w:sz w:val="20"/>
          <w:szCs w:val="20"/>
          <w:lang w:val="hr-HR"/>
        </w:rPr>
      </w:pPr>
    </w:p>
    <w:p w14:paraId="6474C866" w14:textId="77777777" w:rsidR="00B05AA9" w:rsidRDefault="00B05AA9" w:rsidP="00641EEB">
      <w:pPr>
        <w:jc w:val="both"/>
        <w:rPr>
          <w:sz w:val="22"/>
          <w:szCs w:val="22"/>
          <w:lang w:val="hr-HR"/>
        </w:rPr>
      </w:pPr>
      <w:r>
        <w:rPr>
          <w:sz w:val="22"/>
          <w:szCs w:val="22"/>
          <w:lang w:val="hr-HR"/>
        </w:rPr>
        <w:t>Farmakokinetički podaci iz Studije H4613g/GO01305 kod pacijenata sa metastatskim ili lokalno uznapredovalim inoperabilnim HER2 pozitivnim karcinomom ukazali su da trastuzumab nije uticao na farmakokinetiku karboplatina.</w:t>
      </w:r>
    </w:p>
    <w:p w14:paraId="1880DDD9" w14:textId="035B9BE5" w:rsidR="0072020E" w:rsidRPr="00E32C47" w:rsidRDefault="0072020E" w:rsidP="00641EEB">
      <w:pPr>
        <w:tabs>
          <w:tab w:val="left" w:pos="540"/>
          <w:tab w:val="left" w:pos="569"/>
        </w:tabs>
        <w:rPr>
          <w:bCs/>
          <w:sz w:val="22"/>
          <w:szCs w:val="22"/>
          <w:lang w:val="hr-HR"/>
        </w:rPr>
      </w:pPr>
    </w:p>
    <w:p w14:paraId="181E9C9D" w14:textId="44CE83AF" w:rsidR="00B05AA9" w:rsidRDefault="00B05AA9" w:rsidP="00641EEB">
      <w:pPr>
        <w:pStyle w:val="Heading2"/>
        <w:jc w:val="both"/>
        <w:rPr>
          <w:rFonts w:ascii="Times New Roman" w:hAnsi="Times New Roman" w:cs="Times New Roman"/>
          <w:iCs w:val="0"/>
          <w:color w:val="auto"/>
          <w:sz w:val="22"/>
          <w:szCs w:val="22"/>
          <w:lang w:val="sr-Latn-CS"/>
        </w:rPr>
      </w:pPr>
      <w:r w:rsidRPr="00E32C47">
        <w:rPr>
          <w:rFonts w:ascii="Times New Roman" w:hAnsi="Times New Roman" w:cs="Times New Roman"/>
          <w:iCs w:val="0"/>
          <w:color w:val="auto"/>
          <w:sz w:val="22"/>
          <w:szCs w:val="22"/>
          <w:lang w:val="sr-Latn-CS"/>
        </w:rPr>
        <w:t>Uticaj antineoplastika na farmakokinetiku trastuzumaba</w:t>
      </w:r>
    </w:p>
    <w:p w14:paraId="419E9EA6" w14:textId="77777777" w:rsidR="00E32C47" w:rsidRPr="00E32C47" w:rsidRDefault="00E32C47" w:rsidP="00641EEB">
      <w:pPr>
        <w:rPr>
          <w:lang w:val="sr-Latn-CS"/>
        </w:rPr>
      </w:pPr>
    </w:p>
    <w:p w14:paraId="696AF139" w14:textId="3CAC91C9" w:rsidR="00B05AA9" w:rsidRDefault="00B05AA9" w:rsidP="00641EEB">
      <w:pPr>
        <w:jc w:val="both"/>
        <w:rPr>
          <w:sz w:val="22"/>
          <w:szCs w:val="22"/>
          <w:lang w:val="hr-HR"/>
        </w:rPr>
      </w:pPr>
      <w:r>
        <w:rPr>
          <w:sz w:val="22"/>
          <w:szCs w:val="22"/>
          <w:lang w:val="hr-HR"/>
        </w:rPr>
        <w:t xml:space="preserve">Poređenjem simuliranih koncentracija trastuzumaba u serumu nakon monoterapije lijekom Herceptin (početna doza od 4 mg/kg intravenski / 2 mg/kg intravenski </w:t>
      </w:r>
      <w:r w:rsidR="00C83495">
        <w:rPr>
          <w:sz w:val="22"/>
          <w:szCs w:val="22"/>
          <w:lang w:val="hr-HR"/>
        </w:rPr>
        <w:t xml:space="preserve">jednom </w:t>
      </w:r>
      <w:r>
        <w:rPr>
          <w:sz w:val="22"/>
          <w:szCs w:val="22"/>
          <w:lang w:val="hr-HR"/>
        </w:rPr>
        <w:t>nedjeljno) i opaženih koncentracija u serumu žena japanskog porijekla sa HER2-pozitivnim metastatskim karcinomom dojke (ispitivanje JP16003) nijesu pronađeni dokazi farmakokinetičkog uticaja istovremene primjene docetaksela na farmakokinetiku trastuzumaba.</w:t>
      </w:r>
    </w:p>
    <w:p w14:paraId="775A0F34" w14:textId="77777777" w:rsidR="004E1F29" w:rsidRDefault="004E1F29" w:rsidP="00641EEB">
      <w:pPr>
        <w:jc w:val="both"/>
        <w:rPr>
          <w:sz w:val="22"/>
          <w:szCs w:val="22"/>
          <w:lang w:val="hr-HR"/>
        </w:rPr>
      </w:pPr>
    </w:p>
    <w:p w14:paraId="46B50EC5" w14:textId="4361906E" w:rsidR="00B05AA9" w:rsidRDefault="00B05AA9" w:rsidP="00641EEB">
      <w:pPr>
        <w:jc w:val="both"/>
        <w:rPr>
          <w:sz w:val="22"/>
          <w:szCs w:val="22"/>
          <w:lang w:val="hr-HR"/>
        </w:rPr>
      </w:pPr>
      <w:r>
        <w:rPr>
          <w:sz w:val="22"/>
          <w:szCs w:val="22"/>
          <w:lang w:val="hr-HR"/>
        </w:rPr>
        <w:t xml:space="preserve">Poređenjem farmakokinetičkih rezultata iz dva ispitivanja faze II (BO15935 i M77004), jednog ispitivanja faze III (H0648g) u kojem su pacijenti istovremeno liječeni lijekom Herceptin i paklitakselom te dva ispitivanja faze II u kojima je </w:t>
      </w:r>
      <w:r w:rsidR="00A40531">
        <w:rPr>
          <w:sz w:val="22"/>
          <w:szCs w:val="22"/>
          <w:lang w:val="hr-HR"/>
        </w:rPr>
        <w:t xml:space="preserve">lijek </w:t>
      </w:r>
      <w:r>
        <w:rPr>
          <w:sz w:val="22"/>
          <w:szCs w:val="22"/>
          <w:lang w:val="hr-HR"/>
        </w:rPr>
        <w:t>Herceptin primjenjivan u monoterapiji (W016229 i MO16982) kod žena sa HER2-pozitivnim metastatskim karcinomom dojke, utvrđeno je da pojedinačne i srednje najniže koncentracije trastuzumaba u serumu variraju unutar svakog ispitivanja i između svih ispitivanja, ali nije utvrđen jasan uticaj istovremene primjene paklitaksela na farmakokinetiku trastuzumaba.</w:t>
      </w:r>
      <w:r>
        <w:rPr>
          <w:szCs w:val="22"/>
          <w:lang w:val="hr-HR"/>
        </w:rPr>
        <w:t xml:space="preserve"> </w:t>
      </w:r>
      <w:r>
        <w:rPr>
          <w:sz w:val="22"/>
          <w:szCs w:val="22"/>
          <w:lang w:val="hr-HR"/>
        </w:rPr>
        <w:t xml:space="preserve">Poređenje podataka o farmakokinetici trastuzumaba iz Studije M77004, u kojem su žene sa HER2 pozitivnim metastatskim rakom dojke bile istovremeno liječene lijekom Herceptin, paklitakselom i doksorubicinom, sa podacima o farmakokinetici trastuzumaba iz Studije u kojima se </w:t>
      </w:r>
      <w:r w:rsidR="00A40531">
        <w:rPr>
          <w:sz w:val="22"/>
          <w:szCs w:val="22"/>
          <w:lang w:val="hr-HR"/>
        </w:rPr>
        <w:t xml:space="preserve">lijek </w:t>
      </w:r>
      <w:r>
        <w:rPr>
          <w:sz w:val="22"/>
          <w:szCs w:val="22"/>
          <w:lang w:val="hr-HR"/>
        </w:rPr>
        <w:t>Herceptin primjenjivao u monoterapiji (H0649g) ili u kombinaciji sa antraciklinom plus ciklofosfamidom ili paklitakselom (Studija H0648g), ukazala je na to da doksorubicin i paklitaksel nemaju uticaja na farmakokinetiku trastuzumaba.</w:t>
      </w:r>
    </w:p>
    <w:p w14:paraId="2B046719" w14:textId="77777777" w:rsidR="00B05AA9" w:rsidRDefault="00B05AA9" w:rsidP="00641EEB">
      <w:pPr>
        <w:jc w:val="both"/>
        <w:rPr>
          <w:sz w:val="22"/>
          <w:szCs w:val="22"/>
          <w:lang w:val="hr-HR"/>
        </w:rPr>
      </w:pPr>
    </w:p>
    <w:p w14:paraId="62F3E127" w14:textId="77777777" w:rsidR="00B05AA9" w:rsidRDefault="00B05AA9" w:rsidP="00641EEB">
      <w:pPr>
        <w:jc w:val="both"/>
        <w:rPr>
          <w:sz w:val="22"/>
          <w:szCs w:val="22"/>
          <w:lang w:val="hr-HR"/>
        </w:rPr>
      </w:pPr>
      <w:r>
        <w:rPr>
          <w:sz w:val="22"/>
          <w:szCs w:val="22"/>
          <w:lang w:val="hr-HR"/>
        </w:rPr>
        <w:lastRenderedPageBreak/>
        <w:t>Farmakokinetički podaci iz Studije H4613g/GO01305 ukazali su da karboplatin ne utiče na farmakokinetiku trastuzumaba.</w:t>
      </w:r>
    </w:p>
    <w:p w14:paraId="6C7846ED" w14:textId="7590F0A4" w:rsidR="00B05AA9" w:rsidRPr="00442616" w:rsidRDefault="00B05AA9" w:rsidP="00641EEB">
      <w:pPr>
        <w:tabs>
          <w:tab w:val="left" w:pos="540"/>
          <w:tab w:val="left" w:pos="569"/>
        </w:tabs>
        <w:rPr>
          <w:bCs/>
          <w:sz w:val="22"/>
          <w:szCs w:val="22"/>
          <w:lang w:val="hr-HR"/>
        </w:rPr>
      </w:pPr>
    </w:p>
    <w:p w14:paraId="7B6FD01D" w14:textId="77777777" w:rsidR="00B05AA9" w:rsidRPr="00442616" w:rsidRDefault="00B05AA9" w:rsidP="00641EEB">
      <w:pPr>
        <w:jc w:val="both"/>
        <w:rPr>
          <w:sz w:val="22"/>
          <w:szCs w:val="22"/>
          <w:lang w:val="hr-HR"/>
        </w:rPr>
      </w:pPr>
      <w:r w:rsidRPr="00442616">
        <w:rPr>
          <w:sz w:val="22"/>
          <w:szCs w:val="22"/>
          <w:lang w:val="hr-HR"/>
        </w:rPr>
        <w:t>Čini se da istovremena primjena anastrozola ne utiče na farmakokinetiku trastuzumaba.</w:t>
      </w:r>
    </w:p>
    <w:p w14:paraId="546CB757" w14:textId="77777777" w:rsidR="00B05AA9" w:rsidRPr="00442616" w:rsidRDefault="00B05AA9" w:rsidP="00641EEB">
      <w:pPr>
        <w:tabs>
          <w:tab w:val="left" w:pos="540"/>
          <w:tab w:val="left" w:pos="569"/>
        </w:tabs>
        <w:rPr>
          <w:bCs/>
          <w:sz w:val="22"/>
          <w:szCs w:val="22"/>
          <w:lang w:val="hr-HR"/>
        </w:rPr>
      </w:pPr>
    </w:p>
    <w:p w14:paraId="1880DDDA" w14:textId="77777777" w:rsidR="0072020E" w:rsidRDefault="0072020E" w:rsidP="00641EEB">
      <w:pPr>
        <w:tabs>
          <w:tab w:val="left" w:pos="540"/>
          <w:tab w:val="left" w:pos="569"/>
        </w:tabs>
        <w:rPr>
          <w:b/>
          <w:sz w:val="22"/>
          <w:szCs w:val="22"/>
          <w:lang w:val="sr-Latn-CS"/>
        </w:rPr>
      </w:pPr>
      <w:r w:rsidRPr="00442616">
        <w:rPr>
          <w:b/>
          <w:bCs/>
          <w:sz w:val="22"/>
          <w:szCs w:val="22"/>
          <w:lang w:val="hr-HR"/>
        </w:rPr>
        <w:t xml:space="preserve">4.6. </w:t>
      </w:r>
      <w:r w:rsidR="00480FB1" w:rsidRPr="00442616">
        <w:rPr>
          <w:b/>
          <w:bCs/>
          <w:sz w:val="22"/>
          <w:szCs w:val="22"/>
          <w:lang w:val="hr-HR"/>
        </w:rPr>
        <w:tab/>
      </w:r>
      <w:r w:rsidR="006D20A5">
        <w:rPr>
          <w:b/>
          <w:sz w:val="22"/>
          <w:szCs w:val="22"/>
          <w:lang w:val="sr-Latn-CS"/>
        </w:rPr>
        <w:t>Plodnost, trudnoća i dojenje</w:t>
      </w:r>
    </w:p>
    <w:p w14:paraId="1880DDDB" w14:textId="77777777" w:rsidR="002031B3" w:rsidRPr="00442616" w:rsidRDefault="002031B3" w:rsidP="00641EEB">
      <w:pPr>
        <w:tabs>
          <w:tab w:val="left" w:pos="540"/>
          <w:tab w:val="left" w:pos="569"/>
        </w:tabs>
        <w:rPr>
          <w:sz w:val="22"/>
          <w:szCs w:val="22"/>
          <w:u w:val="single"/>
          <w:lang w:val="hr-HR"/>
        </w:rPr>
      </w:pPr>
    </w:p>
    <w:p w14:paraId="1880DDDD" w14:textId="39D2B2BD" w:rsidR="002031B3" w:rsidRDefault="00177184" w:rsidP="00641EEB">
      <w:pPr>
        <w:tabs>
          <w:tab w:val="left" w:pos="540"/>
          <w:tab w:val="left" w:pos="569"/>
        </w:tabs>
        <w:rPr>
          <w:sz w:val="22"/>
          <w:szCs w:val="22"/>
          <w:u w:val="single"/>
          <w:lang w:val="sr-Latn-CS"/>
        </w:rPr>
      </w:pPr>
      <w:r w:rsidRPr="00177184">
        <w:rPr>
          <w:sz w:val="22"/>
          <w:szCs w:val="22"/>
          <w:u w:val="single"/>
          <w:lang w:val="sr-Latn-CS"/>
        </w:rPr>
        <w:t>Žene u reproduktivnom periodu</w:t>
      </w:r>
    </w:p>
    <w:p w14:paraId="47E8F363" w14:textId="10EE9F96" w:rsidR="00B05AA9" w:rsidRDefault="00B05AA9" w:rsidP="00641EEB">
      <w:pPr>
        <w:jc w:val="both"/>
        <w:rPr>
          <w:sz w:val="22"/>
          <w:szCs w:val="22"/>
          <w:lang w:val="sr-Latn-CS"/>
        </w:rPr>
      </w:pPr>
      <w:r>
        <w:rPr>
          <w:sz w:val="22"/>
          <w:szCs w:val="22"/>
          <w:lang w:val="sr-Latn-CS"/>
        </w:rPr>
        <w:t xml:space="preserve">Ženama u reproduktivnom periodu potrebno je preporučiti efikasnu kontracepciju tokom terapije lijekom Herceptin i 7 mjeseci nakon prestanka liječenja (vidjeti dio 5.2). </w:t>
      </w:r>
    </w:p>
    <w:p w14:paraId="4C7983A3" w14:textId="4BDEF2F0" w:rsidR="00B05AA9" w:rsidRDefault="00B05AA9" w:rsidP="00641EEB">
      <w:pPr>
        <w:jc w:val="both"/>
        <w:rPr>
          <w:sz w:val="22"/>
          <w:szCs w:val="22"/>
          <w:lang w:val="sr-Latn-CS"/>
        </w:rPr>
      </w:pPr>
    </w:p>
    <w:p w14:paraId="1880DDDE" w14:textId="77777777" w:rsidR="007A3ECB" w:rsidRPr="00442616" w:rsidRDefault="007A3ECB" w:rsidP="00641EEB">
      <w:pPr>
        <w:tabs>
          <w:tab w:val="left" w:pos="540"/>
          <w:tab w:val="left" w:pos="569"/>
        </w:tabs>
        <w:rPr>
          <w:sz w:val="22"/>
          <w:szCs w:val="22"/>
          <w:u w:val="single"/>
          <w:lang w:val="sr-Latn-CS"/>
        </w:rPr>
      </w:pPr>
      <w:r w:rsidRPr="007A3ECB">
        <w:rPr>
          <w:sz w:val="22"/>
          <w:szCs w:val="22"/>
          <w:u w:val="single"/>
        </w:rPr>
        <w:t>Trudno</w:t>
      </w:r>
      <w:r w:rsidRPr="00442616">
        <w:rPr>
          <w:sz w:val="22"/>
          <w:szCs w:val="22"/>
          <w:u w:val="single"/>
          <w:lang w:val="sr-Latn-CS"/>
        </w:rPr>
        <w:t>ć</w:t>
      </w:r>
      <w:r w:rsidRPr="007A3ECB">
        <w:rPr>
          <w:sz w:val="22"/>
          <w:szCs w:val="22"/>
          <w:u w:val="single"/>
        </w:rPr>
        <w:t>a</w:t>
      </w:r>
    </w:p>
    <w:p w14:paraId="200C5720" w14:textId="45BBBEE8" w:rsidR="00B05AA9" w:rsidRDefault="00B05AA9" w:rsidP="00641EEB">
      <w:pPr>
        <w:jc w:val="both"/>
        <w:rPr>
          <w:sz w:val="22"/>
          <w:szCs w:val="22"/>
          <w:lang w:val="sr-Latn-CS"/>
        </w:rPr>
      </w:pPr>
      <w:r>
        <w:rPr>
          <w:sz w:val="22"/>
          <w:szCs w:val="22"/>
          <w:lang w:val="sr-Latn-CS"/>
        </w:rPr>
        <w:t xml:space="preserve">Reproduktivna ispitivanja su sprovedena na cinomolgus majmunima u dozama intravenske formulacije koje su bile do 25 puta veće od nedjeljne doze održavanja </w:t>
      </w:r>
      <w:r w:rsidR="00B50321">
        <w:rPr>
          <w:sz w:val="22"/>
          <w:szCs w:val="22"/>
          <w:lang w:val="sr-Latn-CS"/>
        </w:rPr>
        <w:t xml:space="preserve">kod ljudi </w:t>
      </w:r>
      <w:r>
        <w:rPr>
          <w:sz w:val="22"/>
          <w:szCs w:val="22"/>
          <w:lang w:val="sr-Latn-CS"/>
        </w:rPr>
        <w:t xml:space="preserve">od 2 mg/kg </w:t>
      </w:r>
      <w:r w:rsidR="00B50321">
        <w:rPr>
          <w:sz w:val="22"/>
          <w:szCs w:val="22"/>
          <w:lang w:val="sr-Latn-CS"/>
        </w:rPr>
        <w:t xml:space="preserve">lijeka </w:t>
      </w:r>
      <w:r>
        <w:rPr>
          <w:sz w:val="22"/>
          <w:szCs w:val="22"/>
          <w:lang w:val="sr-Latn-CS"/>
        </w:rPr>
        <w:t xml:space="preserve">Herceptin i nijesu otkrile dokaze oslabljene fertilnosti, niti oštećenja fetusa. Posmatran je transfer trastuzumaba kroz placentu tokom ranog (20-50 dana gestacije) i </w:t>
      </w:r>
      <w:r w:rsidR="00B50321">
        <w:rPr>
          <w:sz w:val="22"/>
          <w:szCs w:val="22"/>
          <w:lang w:val="sr-Latn-CS"/>
        </w:rPr>
        <w:t xml:space="preserve">kasnog </w:t>
      </w:r>
      <w:r>
        <w:rPr>
          <w:sz w:val="22"/>
          <w:szCs w:val="22"/>
          <w:lang w:val="sr-Latn-CS"/>
        </w:rPr>
        <w:t xml:space="preserve">(120 – 150 dana gestacije) </w:t>
      </w:r>
      <w:r w:rsidR="00B50321">
        <w:rPr>
          <w:sz w:val="22"/>
          <w:szCs w:val="22"/>
          <w:lang w:val="sr-Latn-CS"/>
        </w:rPr>
        <w:t xml:space="preserve">perioda </w:t>
      </w:r>
      <w:r>
        <w:rPr>
          <w:sz w:val="22"/>
          <w:szCs w:val="22"/>
          <w:lang w:val="sr-Latn-CS"/>
        </w:rPr>
        <w:t xml:space="preserve">razvoja fetusa. Nije poznato da li </w:t>
      </w:r>
      <w:r w:rsidR="00B50321">
        <w:rPr>
          <w:sz w:val="22"/>
          <w:szCs w:val="22"/>
          <w:lang w:val="sr-Latn-CS"/>
        </w:rPr>
        <w:t xml:space="preserve">lijek </w:t>
      </w:r>
      <w:r>
        <w:rPr>
          <w:sz w:val="22"/>
          <w:szCs w:val="22"/>
          <w:lang w:val="sr-Latn-CS"/>
        </w:rPr>
        <w:t xml:space="preserve">Herceptin može da utiče na reproduktivni kapacitet. Budući da ispitivanja koja se rade na životinjama ne mogu uvijek da predvide i odgovor kod ljudi, </w:t>
      </w:r>
      <w:r w:rsidR="00B50321">
        <w:rPr>
          <w:sz w:val="22"/>
          <w:szCs w:val="22"/>
          <w:lang w:val="sr-Latn-CS"/>
        </w:rPr>
        <w:t xml:space="preserve">lijek </w:t>
      </w:r>
      <w:r>
        <w:rPr>
          <w:sz w:val="22"/>
          <w:szCs w:val="22"/>
          <w:lang w:val="sr-Latn-CS"/>
        </w:rPr>
        <w:t xml:space="preserve">Herceptin treba izbjegavati tokom trudnoće, osim ako potencijalna korist za majku nije veća od potencijalne opasnosti za fetus. </w:t>
      </w:r>
    </w:p>
    <w:p w14:paraId="25068DAD" w14:textId="77777777" w:rsidR="004E1F29" w:rsidRDefault="004E1F29" w:rsidP="00641EEB">
      <w:pPr>
        <w:jc w:val="both"/>
        <w:rPr>
          <w:sz w:val="22"/>
          <w:szCs w:val="22"/>
          <w:lang w:val="sr-Latn-CS"/>
        </w:rPr>
      </w:pPr>
    </w:p>
    <w:p w14:paraId="1477275E" w14:textId="4E979FC6" w:rsidR="00B05AA9" w:rsidRDefault="00B05AA9" w:rsidP="00641EEB">
      <w:pPr>
        <w:jc w:val="both"/>
        <w:rPr>
          <w:sz w:val="22"/>
          <w:szCs w:val="22"/>
          <w:lang w:val="sr-Latn-CS"/>
        </w:rPr>
      </w:pPr>
      <w:r>
        <w:rPr>
          <w:sz w:val="22"/>
          <w:szCs w:val="22"/>
          <w:lang w:val="sr-Latn-CS"/>
        </w:rPr>
        <w:t xml:space="preserve">U periodu nakon stavljanja lijeka na tržište, kod trudnica koje su primale </w:t>
      </w:r>
      <w:r w:rsidR="00B50321">
        <w:rPr>
          <w:sz w:val="22"/>
          <w:szCs w:val="22"/>
          <w:lang w:val="sr-Latn-CS"/>
        </w:rPr>
        <w:t xml:space="preserve">lijek </w:t>
      </w:r>
      <w:r>
        <w:rPr>
          <w:sz w:val="22"/>
          <w:szCs w:val="22"/>
          <w:lang w:val="sr-Latn-CS"/>
        </w:rPr>
        <w:t xml:space="preserve">Herceptin su zabilježeni slučajevi narušenog rasta i/ili funkcije bubrega kod fetusa povezani sa oligohidramnionom, od kojih su neki bili povezani sa pulmonalnom hipoplazijom fetusa sa smrtnim ishodom. Žene koje zatrudne treba upozoriti na mogućnost štetnog uticaja na fetus. Ukoliko se </w:t>
      </w:r>
      <w:r w:rsidR="00B50321">
        <w:rPr>
          <w:sz w:val="22"/>
          <w:szCs w:val="22"/>
          <w:lang w:val="sr-Latn-CS"/>
        </w:rPr>
        <w:t xml:space="preserve">lijekom </w:t>
      </w:r>
      <w:r>
        <w:rPr>
          <w:sz w:val="22"/>
          <w:szCs w:val="22"/>
          <w:lang w:val="sr-Latn-CS"/>
        </w:rPr>
        <w:t xml:space="preserve">Herceptin liječi trudnica, ili ako pacijentkinja zatrudni tokom liječenja lijekom Herceptin ili u roku od 7 mjeseci nakon posljednje doze lijeka Herceptin, poželjno je da bude pažljivo praćena od strane multidisciplinarnog tima. </w:t>
      </w:r>
    </w:p>
    <w:p w14:paraId="2EBA0E7F" w14:textId="77777777" w:rsidR="00B05AA9" w:rsidRPr="00442616" w:rsidRDefault="00B05AA9" w:rsidP="00641EEB">
      <w:pPr>
        <w:tabs>
          <w:tab w:val="left" w:pos="540"/>
          <w:tab w:val="left" w:pos="569"/>
        </w:tabs>
        <w:rPr>
          <w:sz w:val="22"/>
          <w:szCs w:val="22"/>
          <w:u w:val="single"/>
          <w:lang w:val="sr-Latn-CS"/>
        </w:rPr>
      </w:pPr>
    </w:p>
    <w:p w14:paraId="1880DDE0" w14:textId="40EF1309" w:rsidR="0072020E" w:rsidRPr="00442616" w:rsidRDefault="007A3ECB" w:rsidP="00641EEB">
      <w:pPr>
        <w:tabs>
          <w:tab w:val="left" w:pos="540"/>
          <w:tab w:val="left" w:pos="569"/>
        </w:tabs>
        <w:rPr>
          <w:b/>
          <w:bCs/>
          <w:sz w:val="22"/>
          <w:szCs w:val="22"/>
          <w:lang w:val="sr-Latn-CS"/>
        </w:rPr>
      </w:pPr>
      <w:r w:rsidRPr="007A3ECB">
        <w:rPr>
          <w:sz w:val="22"/>
          <w:szCs w:val="22"/>
          <w:u w:val="single"/>
        </w:rPr>
        <w:t>Dojenje</w:t>
      </w:r>
      <w:r w:rsidRPr="00442616">
        <w:rPr>
          <w:sz w:val="22"/>
          <w:szCs w:val="22"/>
          <w:u w:val="single"/>
          <w:lang w:val="sr-Latn-CS"/>
        </w:rPr>
        <w:t xml:space="preserve"> </w:t>
      </w:r>
    </w:p>
    <w:p w14:paraId="592E6541" w14:textId="4818F99B" w:rsidR="00B05AA9" w:rsidRDefault="00B05AA9" w:rsidP="00641EEB">
      <w:pPr>
        <w:jc w:val="both"/>
        <w:rPr>
          <w:sz w:val="22"/>
          <w:szCs w:val="22"/>
          <w:lang w:val="sr-Latn-CS"/>
        </w:rPr>
      </w:pPr>
      <w:r>
        <w:rPr>
          <w:sz w:val="22"/>
          <w:szCs w:val="22"/>
          <w:lang w:val="sr-Latn-CS"/>
        </w:rPr>
        <w:t xml:space="preserve">Ispitivanje sprovedeno na </w:t>
      </w:r>
      <w:r w:rsidR="00614674" w:rsidRPr="00056C97">
        <w:rPr>
          <w:i/>
          <w:sz w:val="22"/>
          <w:szCs w:val="22"/>
          <w:lang w:val="sr-Latn-CS"/>
        </w:rPr>
        <w:t>C</w:t>
      </w:r>
      <w:r w:rsidRPr="00056C97">
        <w:rPr>
          <w:i/>
          <w:sz w:val="22"/>
          <w:szCs w:val="22"/>
          <w:lang w:val="sr-Latn-CS"/>
        </w:rPr>
        <w:t>inomolgus</w:t>
      </w:r>
      <w:r>
        <w:rPr>
          <w:sz w:val="22"/>
          <w:szCs w:val="22"/>
          <w:lang w:val="sr-Latn-CS"/>
        </w:rPr>
        <w:t xml:space="preserve"> majmunima </w:t>
      </w:r>
      <w:r w:rsidR="00614674">
        <w:rPr>
          <w:sz w:val="22"/>
          <w:szCs w:val="22"/>
          <w:lang w:val="sr-Latn-CS"/>
        </w:rPr>
        <w:t xml:space="preserve">kojima su od 120. do 150. dana graviditeta davane doze </w:t>
      </w:r>
      <w:r>
        <w:rPr>
          <w:sz w:val="22"/>
          <w:szCs w:val="22"/>
          <w:lang w:val="sr-Latn-CS"/>
        </w:rPr>
        <w:t xml:space="preserve">intravenske formulacije </w:t>
      </w:r>
      <w:r w:rsidR="00614674">
        <w:rPr>
          <w:sz w:val="22"/>
          <w:szCs w:val="22"/>
          <w:lang w:val="sr-Latn-CS"/>
        </w:rPr>
        <w:t xml:space="preserve">lijeka Herceptin </w:t>
      </w:r>
      <w:r>
        <w:rPr>
          <w:sz w:val="22"/>
          <w:szCs w:val="22"/>
          <w:lang w:val="sr-Latn-CS"/>
        </w:rPr>
        <w:t>25 puta veće od nedjeljne doze održavanja</w:t>
      </w:r>
      <w:r w:rsidR="00614674">
        <w:rPr>
          <w:sz w:val="22"/>
          <w:szCs w:val="22"/>
          <w:lang w:val="sr-Latn-CS"/>
        </w:rPr>
        <w:t xml:space="preserve"> kod ljudi</w:t>
      </w:r>
      <w:r>
        <w:rPr>
          <w:sz w:val="22"/>
          <w:szCs w:val="22"/>
          <w:lang w:val="sr-Latn-CS"/>
        </w:rPr>
        <w:t xml:space="preserve"> od 2 mg/kg lijeka Herceptin, pokazal</w:t>
      </w:r>
      <w:r w:rsidR="00614674">
        <w:rPr>
          <w:sz w:val="22"/>
          <w:szCs w:val="22"/>
          <w:lang w:val="sr-Latn-CS"/>
        </w:rPr>
        <w:t>o</w:t>
      </w:r>
      <w:r>
        <w:rPr>
          <w:sz w:val="22"/>
          <w:szCs w:val="22"/>
          <w:lang w:val="sr-Latn-CS"/>
        </w:rPr>
        <w:t xml:space="preserve"> </w:t>
      </w:r>
      <w:r w:rsidR="00614674">
        <w:rPr>
          <w:sz w:val="22"/>
          <w:szCs w:val="22"/>
          <w:lang w:val="sr-Latn-CS"/>
        </w:rPr>
        <w:t>je</w:t>
      </w:r>
      <w:r>
        <w:rPr>
          <w:sz w:val="22"/>
          <w:szCs w:val="22"/>
          <w:lang w:val="sr-Latn-CS"/>
        </w:rPr>
        <w:t xml:space="preserve"> da se trastuzumab izlučuje u mlijeko</w:t>
      </w:r>
      <w:r w:rsidR="00614674">
        <w:rPr>
          <w:sz w:val="22"/>
          <w:szCs w:val="22"/>
          <w:lang w:val="sr-Latn-CS"/>
        </w:rPr>
        <w:t xml:space="preserve"> nakon </w:t>
      </w:r>
      <w:r w:rsidR="00B50321">
        <w:rPr>
          <w:sz w:val="22"/>
          <w:szCs w:val="22"/>
          <w:lang w:val="sr-Latn-CS"/>
        </w:rPr>
        <w:t>okota</w:t>
      </w:r>
      <w:r>
        <w:rPr>
          <w:sz w:val="22"/>
          <w:szCs w:val="22"/>
          <w:lang w:val="sr-Latn-CS"/>
        </w:rPr>
        <w:t xml:space="preserve">. </w:t>
      </w:r>
      <w:r w:rsidR="00614674">
        <w:rPr>
          <w:sz w:val="22"/>
          <w:szCs w:val="22"/>
          <w:lang w:val="sr-Latn-CS"/>
        </w:rPr>
        <w:t xml:space="preserve">Izlaganje trastuzumabu </w:t>
      </w:r>
      <w:r w:rsidR="00614674" w:rsidRPr="00056C97">
        <w:rPr>
          <w:i/>
          <w:sz w:val="22"/>
          <w:szCs w:val="22"/>
          <w:lang w:val="sr-Latn-CS"/>
        </w:rPr>
        <w:t>in utero</w:t>
      </w:r>
      <w:r w:rsidR="00614674">
        <w:rPr>
          <w:sz w:val="22"/>
          <w:szCs w:val="22"/>
          <w:lang w:val="sr-Latn-CS"/>
        </w:rPr>
        <w:t xml:space="preserve"> i p</w:t>
      </w:r>
      <w:r>
        <w:rPr>
          <w:sz w:val="22"/>
          <w:szCs w:val="22"/>
          <w:lang w:val="sr-Latn-CS"/>
        </w:rPr>
        <w:t xml:space="preserve">risustvo trastuzumaba u serumu </w:t>
      </w:r>
      <w:r w:rsidR="00614674">
        <w:rPr>
          <w:sz w:val="22"/>
          <w:szCs w:val="22"/>
          <w:lang w:val="sr-Latn-CS"/>
        </w:rPr>
        <w:t xml:space="preserve">novorođenih </w:t>
      </w:r>
      <w:r>
        <w:rPr>
          <w:sz w:val="22"/>
          <w:szCs w:val="22"/>
          <w:lang w:val="sr-Latn-CS"/>
        </w:rPr>
        <w:t>majmuna nije bilo povezano ni sa kakvim neželjenim dejstvima na rast i razvoj od rođenja do 1 mjesec</w:t>
      </w:r>
      <w:r w:rsidR="00B50321">
        <w:rPr>
          <w:sz w:val="22"/>
          <w:szCs w:val="22"/>
          <w:lang w:val="sr-Latn-CS"/>
        </w:rPr>
        <w:t>a života</w:t>
      </w:r>
      <w:r>
        <w:rPr>
          <w:sz w:val="22"/>
          <w:szCs w:val="22"/>
          <w:lang w:val="sr-Latn-CS"/>
        </w:rPr>
        <w:t xml:space="preserve">. Nije poznato da li se trastuzumab izlučuje u majčino mlijeko. Budući da se humani IgG1 </w:t>
      </w:r>
      <w:r w:rsidR="00B50321">
        <w:rPr>
          <w:sz w:val="22"/>
          <w:szCs w:val="22"/>
          <w:lang w:val="sr-Latn-CS"/>
        </w:rPr>
        <w:t>iz</w:t>
      </w:r>
      <w:r>
        <w:rPr>
          <w:sz w:val="22"/>
          <w:szCs w:val="22"/>
          <w:lang w:val="sr-Latn-CS"/>
        </w:rPr>
        <w:t>luč</w:t>
      </w:r>
      <w:r w:rsidR="00B50321">
        <w:rPr>
          <w:sz w:val="22"/>
          <w:szCs w:val="22"/>
          <w:lang w:val="sr-Latn-CS"/>
        </w:rPr>
        <w:t>uje</w:t>
      </w:r>
      <w:r>
        <w:rPr>
          <w:sz w:val="22"/>
          <w:szCs w:val="22"/>
          <w:lang w:val="sr-Latn-CS"/>
        </w:rPr>
        <w:t xml:space="preserve"> u mlijeko</w:t>
      </w:r>
      <w:r w:rsidR="00614674">
        <w:rPr>
          <w:sz w:val="22"/>
          <w:szCs w:val="22"/>
          <w:lang w:val="sr-Latn-CS"/>
        </w:rPr>
        <w:t xml:space="preserve"> kod ljudi</w:t>
      </w:r>
      <w:r>
        <w:rPr>
          <w:sz w:val="22"/>
          <w:szCs w:val="22"/>
          <w:lang w:val="sr-Latn-CS"/>
        </w:rPr>
        <w:t xml:space="preserve">, a potencijalna šteta za odojče nije utvrđena, žene ne bi trebalo da doje tokom terapije </w:t>
      </w:r>
      <w:r w:rsidR="00B50321">
        <w:rPr>
          <w:sz w:val="22"/>
          <w:szCs w:val="22"/>
          <w:lang w:val="sr-Latn-CS"/>
        </w:rPr>
        <w:t xml:space="preserve">lijekom </w:t>
      </w:r>
      <w:r>
        <w:rPr>
          <w:sz w:val="22"/>
          <w:szCs w:val="22"/>
          <w:lang w:val="sr-Latn-CS"/>
        </w:rPr>
        <w:t xml:space="preserve">Herceptin  ni 7  mjeseci po primanju posljednje doze lijeka Herceptin. </w:t>
      </w:r>
    </w:p>
    <w:p w14:paraId="6C0B19C9" w14:textId="4D596C1D" w:rsidR="00177184" w:rsidRDefault="00177184" w:rsidP="00641EEB">
      <w:pPr>
        <w:jc w:val="both"/>
        <w:rPr>
          <w:sz w:val="22"/>
          <w:szCs w:val="22"/>
          <w:lang w:val="sr-Latn-CS"/>
        </w:rPr>
      </w:pPr>
    </w:p>
    <w:p w14:paraId="6985315F" w14:textId="77777777" w:rsidR="00177184" w:rsidRPr="00442616" w:rsidRDefault="00177184" w:rsidP="00641EEB">
      <w:pPr>
        <w:tabs>
          <w:tab w:val="left" w:pos="540"/>
          <w:tab w:val="left" w:pos="569"/>
        </w:tabs>
        <w:rPr>
          <w:sz w:val="22"/>
          <w:szCs w:val="22"/>
          <w:u w:val="single"/>
          <w:lang w:val="sr-Latn-CS"/>
        </w:rPr>
      </w:pPr>
      <w:r w:rsidRPr="007A3ECB">
        <w:rPr>
          <w:sz w:val="22"/>
          <w:szCs w:val="22"/>
          <w:u w:val="single"/>
        </w:rPr>
        <w:t>Plodnost</w:t>
      </w:r>
    </w:p>
    <w:p w14:paraId="27B52FAF" w14:textId="77777777" w:rsidR="00177184" w:rsidRDefault="00177184" w:rsidP="00641EEB">
      <w:pPr>
        <w:jc w:val="both"/>
        <w:rPr>
          <w:sz w:val="22"/>
          <w:szCs w:val="22"/>
          <w:lang w:val="sr-Latn-CS"/>
        </w:rPr>
      </w:pPr>
      <w:r>
        <w:rPr>
          <w:sz w:val="22"/>
          <w:szCs w:val="22"/>
          <w:lang w:val="sr-Latn-CS"/>
        </w:rPr>
        <w:t>Nema dostupnih podataka o plodnosti.</w:t>
      </w:r>
    </w:p>
    <w:p w14:paraId="7E2416C9" w14:textId="77777777" w:rsidR="00B05AA9" w:rsidRPr="00442616" w:rsidRDefault="00B05AA9" w:rsidP="00641EEB">
      <w:pPr>
        <w:tabs>
          <w:tab w:val="left" w:pos="540"/>
          <w:tab w:val="left" w:pos="569"/>
        </w:tabs>
        <w:ind w:left="540" w:hanging="540"/>
        <w:rPr>
          <w:b/>
          <w:bCs/>
          <w:sz w:val="22"/>
          <w:szCs w:val="22"/>
          <w:lang w:val="sr-Latn-CS"/>
        </w:rPr>
      </w:pPr>
    </w:p>
    <w:p w14:paraId="1880DDE2" w14:textId="77777777" w:rsidR="0072020E" w:rsidRPr="00442616" w:rsidRDefault="0072020E" w:rsidP="00641EEB">
      <w:pPr>
        <w:tabs>
          <w:tab w:val="left" w:pos="540"/>
          <w:tab w:val="left" w:pos="569"/>
        </w:tabs>
        <w:ind w:left="540" w:hanging="540"/>
        <w:rPr>
          <w:b/>
          <w:bCs/>
          <w:sz w:val="22"/>
          <w:szCs w:val="22"/>
          <w:lang w:val="sr-Latn-CS"/>
        </w:rPr>
      </w:pPr>
      <w:r w:rsidRPr="00442616">
        <w:rPr>
          <w:b/>
          <w:bCs/>
          <w:sz w:val="22"/>
          <w:szCs w:val="22"/>
          <w:lang w:val="sr-Latn-CS"/>
        </w:rPr>
        <w:t xml:space="preserve">4.7. </w:t>
      </w:r>
      <w:r w:rsidR="00480FB1" w:rsidRPr="00442616">
        <w:rPr>
          <w:b/>
          <w:bCs/>
          <w:sz w:val="22"/>
          <w:szCs w:val="22"/>
          <w:lang w:val="sr-Latn-CS"/>
        </w:rPr>
        <w:tab/>
      </w:r>
      <w:r w:rsidRPr="00786071">
        <w:rPr>
          <w:b/>
          <w:bCs/>
          <w:sz w:val="22"/>
          <w:szCs w:val="22"/>
        </w:rPr>
        <w:t>Uticaj</w:t>
      </w:r>
      <w:r w:rsidRPr="00442616">
        <w:rPr>
          <w:b/>
          <w:bCs/>
          <w:sz w:val="22"/>
          <w:szCs w:val="22"/>
          <w:lang w:val="sr-Latn-CS"/>
        </w:rPr>
        <w:t xml:space="preserve"> </w:t>
      </w:r>
      <w:proofErr w:type="gramStart"/>
      <w:r w:rsidRPr="00786071">
        <w:rPr>
          <w:b/>
          <w:bCs/>
          <w:sz w:val="22"/>
          <w:szCs w:val="22"/>
        </w:rPr>
        <w:t>na</w:t>
      </w:r>
      <w:proofErr w:type="gramEnd"/>
      <w:r w:rsidRPr="00442616">
        <w:rPr>
          <w:b/>
          <w:bCs/>
          <w:sz w:val="22"/>
          <w:szCs w:val="22"/>
          <w:lang w:val="sr-Latn-CS"/>
        </w:rPr>
        <w:t xml:space="preserve"> </w:t>
      </w:r>
      <w:r w:rsidR="002031B3">
        <w:rPr>
          <w:b/>
          <w:bCs/>
          <w:sz w:val="22"/>
          <w:szCs w:val="22"/>
        </w:rPr>
        <w:t>sposobnost</w:t>
      </w:r>
      <w:r w:rsidR="002031B3" w:rsidRPr="00442616">
        <w:rPr>
          <w:b/>
          <w:bCs/>
          <w:sz w:val="22"/>
          <w:szCs w:val="22"/>
          <w:lang w:val="sr-Latn-CS"/>
        </w:rPr>
        <w:t xml:space="preserve"> </w:t>
      </w:r>
      <w:r w:rsidR="00F34554" w:rsidRPr="00786071">
        <w:rPr>
          <w:b/>
          <w:bCs/>
          <w:sz w:val="22"/>
          <w:szCs w:val="22"/>
        </w:rPr>
        <w:t>upravljanja</w:t>
      </w:r>
      <w:r w:rsidR="00F34554" w:rsidRPr="00442616">
        <w:rPr>
          <w:b/>
          <w:bCs/>
          <w:sz w:val="22"/>
          <w:szCs w:val="22"/>
          <w:lang w:val="sr-Latn-CS"/>
        </w:rPr>
        <w:t xml:space="preserve"> </w:t>
      </w:r>
      <w:r w:rsidR="00F34554" w:rsidRPr="00786071">
        <w:rPr>
          <w:b/>
          <w:bCs/>
          <w:sz w:val="22"/>
          <w:szCs w:val="22"/>
        </w:rPr>
        <w:t>vozili</w:t>
      </w:r>
      <w:r w:rsidRPr="00786071">
        <w:rPr>
          <w:b/>
          <w:bCs/>
          <w:sz w:val="22"/>
          <w:szCs w:val="22"/>
        </w:rPr>
        <w:t>m</w:t>
      </w:r>
      <w:r w:rsidR="00F34554" w:rsidRPr="00786071">
        <w:rPr>
          <w:b/>
          <w:bCs/>
          <w:sz w:val="22"/>
          <w:szCs w:val="22"/>
        </w:rPr>
        <w:t>a</w:t>
      </w:r>
      <w:r w:rsidRPr="00442616">
        <w:rPr>
          <w:b/>
          <w:bCs/>
          <w:sz w:val="22"/>
          <w:szCs w:val="22"/>
          <w:lang w:val="sr-Latn-CS"/>
        </w:rPr>
        <w:t xml:space="preserve"> </w:t>
      </w:r>
      <w:r w:rsidRPr="00786071">
        <w:rPr>
          <w:b/>
          <w:bCs/>
          <w:sz w:val="22"/>
          <w:szCs w:val="22"/>
        </w:rPr>
        <w:t>i</w:t>
      </w:r>
      <w:r w:rsidRPr="00442616">
        <w:rPr>
          <w:b/>
          <w:bCs/>
          <w:sz w:val="22"/>
          <w:szCs w:val="22"/>
          <w:lang w:val="sr-Latn-CS"/>
        </w:rPr>
        <w:t xml:space="preserve"> </w:t>
      </w:r>
      <w:r w:rsidR="000D3449" w:rsidRPr="00786071">
        <w:rPr>
          <w:b/>
          <w:bCs/>
          <w:sz w:val="22"/>
          <w:szCs w:val="22"/>
        </w:rPr>
        <w:t>rukovanj</w:t>
      </w:r>
      <w:r w:rsidR="000D3449">
        <w:rPr>
          <w:b/>
          <w:bCs/>
          <w:sz w:val="22"/>
          <w:szCs w:val="22"/>
        </w:rPr>
        <w:t>e</w:t>
      </w:r>
      <w:r w:rsidR="000D3449" w:rsidRPr="00442616">
        <w:rPr>
          <w:b/>
          <w:bCs/>
          <w:sz w:val="22"/>
          <w:szCs w:val="22"/>
          <w:lang w:val="sr-Latn-CS"/>
        </w:rPr>
        <w:t xml:space="preserve"> </w:t>
      </w:r>
      <w:r w:rsidRPr="00786071">
        <w:rPr>
          <w:b/>
          <w:bCs/>
          <w:sz w:val="22"/>
          <w:szCs w:val="22"/>
        </w:rPr>
        <w:t>ma</w:t>
      </w:r>
      <w:r w:rsidRPr="00442616">
        <w:rPr>
          <w:b/>
          <w:bCs/>
          <w:sz w:val="22"/>
          <w:szCs w:val="22"/>
          <w:lang w:val="sr-Latn-CS"/>
        </w:rPr>
        <w:t>š</w:t>
      </w:r>
      <w:r w:rsidRPr="00786071">
        <w:rPr>
          <w:b/>
          <w:bCs/>
          <w:sz w:val="22"/>
          <w:szCs w:val="22"/>
        </w:rPr>
        <w:t>inama</w:t>
      </w:r>
    </w:p>
    <w:p w14:paraId="1880DDE3" w14:textId="640F5A83" w:rsidR="0072020E" w:rsidRPr="00442616" w:rsidRDefault="0072020E" w:rsidP="00641EEB">
      <w:pPr>
        <w:tabs>
          <w:tab w:val="left" w:pos="540"/>
          <w:tab w:val="left" w:pos="569"/>
        </w:tabs>
        <w:rPr>
          <w:b/>
          <w:bCs/>
          <w:sz w:val="22"/>
          <w:szCs w:val="22"/>
          <w:lang w:val="sr-Latn-CS"/>
        </w:rPr>
      </w:pPr>
    </w:p>
    <w:p w14:paraId="3C104ABA" w14:textId="2455EF7E" w:rsidR="00B05AA9" w:rsidRPr="00B05AA9" w:rsidRDefault="00B50321" w:rsidP="00641EEB">
      <w:pPr>
        <w:jc w:val="both"/>
        <w:rPr>
          <w:sz w:val="22"/>
          <w:szCs w:val="22"/>
          <w:lang w:val="sr-Latn-CS"/>
        </w:rPr>
      </w:pPr>
      <w:r>
        <w:rPr>
          <w:sz w:val="22"/>
          <w:szCs w:val="22"/>
          <w:lang w:val="sr-Latn-CS"/>
        </w:rPr>
        <w:t xml:space="preserve">Lijek </w:t>
      </w:r>
      <w:r w:rsidR="00B05AA9">
        <w:rPr>
          <w:sz w:val="22"/>
          <w:szCs w:val="22"/>
          <w:lang w:val="sr-Latn-CS"/>
        </w:rPr>
        <w:t xml:space="preserve">Herceptin </w:t>
      </w:r>
      <w:r w:rsidR="00EB7A81">
        <w:rPr>
          <w:sz w:val="22"/>
          <w:szCs w:val="22"/>
          <w:lang w:val="sr-Latn-CS"/>
        </w:rPr>
        <w:t>ima</w:t>
      </w:r>
      <w:r w:rsidR="00B05AA9">
        <w:rPr>
          <w:sz w:val="22"/>
          <w:szCs w:val="22"/>
          <w:lang w:val="sr-Latn-CS"/>
        </w:rPr>
        <w:t xml:space="preserve"> manji uticaj na sposobnost upravljanja motornim vozilima i rukovanja mašinama (vidjeti dio 4.8). </w:t>
      </w:r>
      <w:r w:rsidR="00EB7A81">
        <w:rPr>
          <w:sz w:val="22"/>
          <w:szCs w:val="22"/>
          <w:lang w:val="sr-Latn-CS"/>
        </w:rPr>
        <w:t>Tokom liječenja lijekom Herceptin</w:t>
      </w:r>
      <w:r w:rsidR="009A6632">
        <w:rPr>
          <w:sz w:val="22"/>
          <w:szCs w:val="22"/>
          <w:lang w:val="sr-Latn-CS"/>
        </w:rPr>
        <w:t xml:space="preserve"> mogu se javiti vrtoglavica i so</w:t>
      </w:r>
      <w:r w:rsidR="00EB7A81">
        <w:rPr>
          <w:sz w:val="22"/>
          <w:szCs w:val="22"/>
          <w:lang w:val="sr-Latn-CS"/>
        </w:rPr>
        <w:t xml:space="preserve">mnolencija (vidjeti dio 4.8). </w:t>
      </w:r>
      <w:r w:rsidR="00B05AA9">
        <w:rPr>
          <w:sz w:val="22"/>
          <w:szCs w:val="22"/>
          <w:lang w:val="sr-Latn-CS"/>
        </w:rPr>
        <w:t xml:space="preserve">Pacijentima koji imaju simptome povezane sa infuzijom (vidjeti dio 4.4) treba savjetovati da ne voze i ne upravljaju mašinama dok se simptomi ne povuku.   </w:t>
      </w:r>
    </w:p>
    <w:p w14:paraId="20DAD117" w14:textId="77777777" w:rsidR="00B05AA9" w:rsidRPr="00442616" w:rsidRDefault="00B05AA9" w:rsidP="00641EEB">
      <w:pPr>
        <w:tabs>
          <w:tab w:val="left" w:pos="540"/>
          <w:tab w:val="left" w:pos="569"/>
        </w:tabs>
        <w:rPr>
          <w:b/>
          <w:bCs/>
          <w:sz w:val="22"/>
          <w:szCs w:val="22"/>
          <w:lang w:val="sr-Latn-CS"/>
        </w:rPr>
      </w:pPr>
    </w:p>
    <w:p w14:paraId="1880DDE4" w14:textId="700D7B55" w:rsidR="0072020E" w:rsidRDefault="0072020E" w:rsidP="00641EEB">
      <w:pPr>
        <w:tabs>
          <w:tab w:val="left" w:pos="540"/>
          <w:tab w:val="left" w:pos="569"/>
        </w:tabs>
        <w:rPr>
          <w:b/>
          <w:bCs/>
          <w:sz w:val="22"/>
          <w:szCs w:val="22"/>
        </w:rPr>
      </w:pPr>
      <w:r w:rsidRPr="00786071">
        <w:rPr>
          <w:b/>
          <w:bCs/>
          <w:sz w:val="22"/>
          <w:szCs w:val="22"/>
        </w:rPr>
        <w:t xml:space="preserve">4.8. </w:t>
      </w:r>
      <w:r w:rsidR="00480FB1" w:rsidRPr="00786071">
        <w:rPr>
          <w:b/>
          <w:bCs/>
          <w:sz w:val="22"/>
          <w:szCs w:val="22"/>
        </w:rPr>
        <w:tab/>
      </w:r>
      <w:r w:rsidRPr="00786071">
        <w:rPr>
          <w:b/>
          <w:bCs/>
          <w:sz w:val="22"/>
          <w:szCs w:val="22"/>
        </w:rPr>
        <w:t>Neželjena dejstva</w:t>
      </w:r>
    </w:p>
    <w:p w14:paraId="50415CF2" w14:textId="3AD6C411" w:rsidR="00B05AA9" w:rsidRDefault="00B05AA9" w:rsidP="00641EEB">
      <w:pPr>
        <w:tabs>
          <w:tab w:val="left" w:pos="540"/>
          <w:tab w:val="left" w:pos="569"/>
        </w:tabs>
        <w:rPr>
          <w:b/>
          <w:bCs/>
          <w:sz w:val="22"/>
          <w:szCs w:val="22"/>
        </w:rPr>
      </w:pPr>
    </w:p>
    <w:p w14:paraId="3E22E1B6" w14:textId="77777777" w:rsidR="00B05AA9" w:rsidRDefault="00B05AA9" w:rsidP="00641EEB">
      <w:pPr>
        <w:jc w:val="both"/>
        <w:rPr>
          <w:sz w:val="22"/>
          <w:szCs w:val="22"/>
          <w:u w:val="single"/>
          <w:lang w:val="sr-Latn-CS"/>
        </w:rPr>
      </w:pPr>
      <w:r>
        <w:rPr>
          <w:sz w:val="22"/>
          <w:szCs w:val="22"/>
          <w:u w:val="single"/>
          <w:lang w:val="sr-Latn-CS"/>
        </w:rPr>
        <w:t>Sažetak bezbjednosnog profila</w:t>
      </w:r>
    </w:p>
    <w:p w14:paraId="5B39E3C6" w14:textId="77777777" w:rsidR="00B05AA9" w:rsidRDefault="00B05AA9" w:rsidP="00641EEB">
      <w:pPr>
        <w:jc w:val="both"/>
        <w:rPr>
          <w:sz w:val="22"/>
          <w:szCs w:val="22"/>
          <w:lang w:val="sr-Latn-CS"/>
        </w:rPr>
      </w:pPr>
    </w:p>
    <w:p w14:paraId="56E408E8" w14:textId="012C8122" w:rsidR="00B05AA9" w:rsidRDefault="00B05AA9" w:rsidP="00641EEB">
      <w:pPr>
        <w:jc w:val="both"/>
        <w:rPr>
          <w:sz w:val="22"/>
          <w:szCs w:val="22"/>
          <w:lang w:val="sr-Latn-CS"/>
        </w:rPr>
      </w:pPr>
      <w:r>
        <w:rPr>
          <w:sz w:val="22"/>
          <w:szCs w:val="22"/>
          <w:lang w:val="sr-Latn-CS"/>
        </w:rPr>
        <w:t>M</w:t>
      </w:r>
      <w:r>
        <w:rPr>
          <w:sz w:val="22"/>
          <w:szCs w:val="22"/>
        </w:rPr>
        <w:t xml:space="preserve">eđu </w:t>
      </w:r>
      <w:r>
        <w:rPr>
          <w:sz w:val="22"/>
          <w:szCs w:val="22"/>
          <w:lang w:val="sr-Latn-CS"/>
        </w:rPr>
        <w:t xml:space="preserve">najozbiljnijim i/ili najčešćim neželjenim reakcijama prijavljenim prilikom primjene </w:t>
      </w:r>
      <w:r w:rsidR="000246C6">
        <w:rPr>
          <w:sz w:val="22"/>
          <w:szCs w:val="22"/>
          <w:lang w:val="sr-Latn-CS"/>
        </w:rPr>
        <w:t xml:space="preserve">lijeka </w:t>
      </w:r>
      <w:r>
        <w:rPr>
          <w:sz w:val="22"/>
          <w:szCs w:val="22"/>
          <w:lang w:val="sr-Latn-CS"/>
        </w:rPr>
        <w:t>Herceptin (u intravenskoj i subkutanoj formulaciji) ubrajaju se disfunkcija srca, reakcije povezane sa infuzijom, hematotoksičnost (naročito neutropenija), infekcije i neželjene reakcije na nivou pluća.</w:t>
      </w:r>
    </w:p>
    <w:p w14:paraId="05368E4B" w14:textId="77777777" w:rsidR="00B05AA9" w:rsidRDefault="00B05AA9" w:rsidP="00641EEB">
      <w:pPr>
        <w:jc w:val="both"/>
        <w:rPr>
          <w:sz w:val="22"/>
          <w:szCs w:val="22"/>
          <w:lang w:val="sr-Latn-CS"/>
        </w:rPr>
      </w:pPr>
    </w:p>
    <w:p w14:paraId="18FD76D7" w14:textId="77777777" w:rsidR="00B05AA9" w:rsidRDefault="00B05AA9" w:rsidP="00641EEB">
      <w:pPr>
        <w:jc w:val="both"/>
        <w:rPr>
          <w:sz w:val="22"/>
          <w:szCs w:val="22"/>
          <w:u w:val="single"/>
          <w:lang w:val="sr-Latn-CS"/>
        </w:rPr>
      </w:pPr>
      <w:r>
        <w:rPr>
          <w:sz w:val="22"/>
          <w:szCs w:val="22"/>
          <w:u w:val="single"/>
          <w:lang w:val="sr-Latn-CS"/>
        </w:rPr>
        <w:t>Tabelarni prikaz neželjenih reakcija</w:t>
      </w:r>
    </w:p>
    <w:p w14:paraId="4EC4D44C" w14:textId="77777777" w:rsidR="00B05AA9" w:rsidRDefault="00B05AA9" w:rsidP="00641EEB">
      <w:pPr>
        <w:jc w:val="both"/>
        <w:rPr>
          <w:sz w:val="22"/>
          <w:szCs w:val="22"/>
          <w:lang w:val="sr-Latn-CS"/>
        </w:rPr>
      </w:pPr>
      <w:r>
        <w:rPr>
          <w:sz w:val="22"/>
          <w:szCs w:val="22"/>
          <w:lang w:val="sr-Latn-CS"/>
        </w:rPr>
        <w:lastRenderedPageBreak/>
        <w:t>U ovom dijelu, za prikaz neželjenih reakcija prema učestalosti korišćeni su sljedeći izrazi: vrlo često (≥1/10), često (≥1/100, &lt;1/10), povremeno (≥1/1000, &lt;1/100), rijetko (≥1/10000, &lt;1/1000), vrlo rijetko (&lt;1/10000), nepoznato (ne može se odrediti na osnovu dostupnih podataka). Unutar svake grupe učestalosti, neželjene reakcije su prikazane u opadajućem nizu prema ozbiljnosti.</w:t>
      </w:r>
    </w:p>
    <w:p w14:paraId="7011384E" w14:textId="77777777" w:rsidR="00B05AA9" w:rsidRDefault="00B05AA9" w:rsidP="00641EEB">
      <w:pPr>
        <w:jc w:val="both"/>
        <w:rPr>
          <w:sz w:val="22"/>
          <w:szCs w:val="22"/>
          <w:lang w:val="sr-Latn-CS"/>
        </w:rPr>
      </w:pPr>
    </w:p>
    <w:p w14:paraId="5FA9FA3A" w14:textId="7D0A375B" w:rsidR="00B05AA9" w:rsidRDefault="00B05AA9" w:rsidP="00641EEB">
      <w:pPr>
        <w:jc w:val="both"/>
        <w:rPr>
          <w:sz w:val="22"/>
          <w:szCs w:val="22"/>
          <w:lang w:val="sr-Latn-CS"/>
        </w:rPr>
      </w:pPr>
      <w:r>
        <w:rPr>
          <w:sz w:val="22"/>
          <w:szCs w:val="22"/>
          <w:lang w:val="sr-Latn-CS"/>
        </w:rPr>
        <w:t xml:space="preserve">U Tabeli 1 su prikazane neželjene reakcije koje su prijavljene kao povezane sa upotrebom intravenske formulacije lijeka Herceptin, samog ili u kombinaciji sa hemoterapijom u pivotalnim kliničkim studijama i nakon stavljanja lijeka u promet. </w:t>
      </w:r>
    </w:p>
    <w:p w14:paraId="0BFAA130" w14:textId="77777777" w:rsidR="005023EC" w:rsidRDefault="005023EC" w:rsidP="00641EEB">
      <w:pPr>
        <w:jc w:val="both"/>
        <w:rPr>
          <w:sz w:val="22"/>
          <w:szCs w:val="22"/>
          <w:lang w:val="sr-Latn-CS"/>
        </w:rPr>
      </w:pPr>
    </w:p>
    <w:p w14:paraId="1190FAE1" w14:textId="2362B651" w:rsidR="005023EC" w:rsidRPr="005023EC" w:rsidRDefault="00B05AA9" w:rsidP="00641EEB">
      <w:pPr>
        <w:rPr>
          <w:sz w:val="22"/>
          <w:szCs w:val="22"/>
          <w:lang w:val="sr-Latn-CS"/>
        </w:rPr>
      </w:pPr>
      <w:r>
        <w:rPr>
          <w:sz w:val="22"/>
          <w:szCs w:val="22"/>
          <w:lang w:val="sr-Latn-CS"/>
        </w:rPr>
        <w:t xml:space="preserve">Svi uključeni podaci </w:t>
      </w:r>
      <w:r w:rsidR="009821F5">
        <w:rPr>
          <w:sz w:val="22"/>
          <w:szCs w:val="22"/>
          <w:lang w:val="sr-Latn-CS"/>
        </w:rPr>
        <w:t xml:space="preserve">zasnivaju </w:t>
      </w:r>
      <w:r>
        <w:rPr>
          <w:sz w:val="22"/>
          <w:szCs w:val="22"/>
          <w:lang w:val="sr-Latn-CS"/>
        </w:rPr>
        <w:t>se na najvišim zabilježenim procentima iz pivotalnih kliničkih studija.</w:t>
      </w:r>
      <w:r w:rsidR="005023EC">
        <w:rPr>
          <w:sz w:val="22"/>
          <w:szCs w:val="22"/>
          <w:lang w:val="sr-Latn-CS"/>
        </w:rPr>
        <w:t xml:space="preserve"> </w:t>
      </w:r>
      <w:r w:rsidR="005023EC" w:rsidRPr="005023EC">
        <w:rPr>
          <w:sz w:val="22"/>
          <w:szCs w:val="22"/>
          <w:lang w:val="hr-HR"/>
        </w:rPr>
        <w:t>Dodatno, u Tabeli 1 naveden</w:t>
      </w:r>
      <w:r w:rsidR="004D0647">
        <w:rPr>
          <w:sz w:val="22"/>
          <w:szCs w:val="22"/>
          <w:lang w:val="hr-HR"/>
        </w:rPr>
        <w:t>e</w:t>
      </w:r>
      <w:r w:rsidR="005023EC" w:rsidRPr="005023EC">
        <w:rPr>
          <w:sz w:val="22"/>
          <w:szCs w:val="22"/>
          <w:lang w:val="hr-HR"/>
        </w:rPr>
        <w:t xml:space="preserve"> su i neželjen</w:t>
      </w:r>
      <w:r w:rsidR="005023EC">
        <w:rPr>
          <w:sz w:val="22"/>
          <w:szCs w:val="22"/>
          <w:lang w:val="hr-HR"/>
        </w:rPr>
        <w:t>e</w:t>
      </w:r>
      <w:r w:rsidR="005023EC" w:rsidRPr="005023EC">
        <w:rPr>
          <w:sz w:val="22"/>
          <w:szCs w:val="22"/>
          <w:lang w:val="hr-HR"/>
        </w:rPr>
        <w:t xml:space="preserve"> </w:t>
      </w:r>
      <w:r w:rsidR="005023EC">
        <w:rPr>
          <w:sz w:val="22"/>
          <w:szCs w:val="22"/>
          <w:lang w:val="hr-HR"/>
        </w:rPr>
        <w:t>reakcije</w:t>
      </w:r>
      <w:r w:rsidR="005023EC" w:rsidRPr="005023EC">
        <w:rPr>
          <w:sz w:val="22"/>
          <w:szCs w:val="22"/>
          <w:lang w:val="hr-HR"/>
        </w:rPr>
        <w:t xml:space="preserve"> prijavljen</w:t>
      </w:r>
      <w:r w:rsidR="005023EC">
        <w:rPr>
          <w:sz w:val="22"/>
          <w:szCs w:val="22"/>
          <w:lang w:val="hr-HR"/>
        </w:rPr>
        <w:t>e</w:t>
      </w:r>
      <w:r w:rsidR="005023EC" w:rsidRPr="005023EC">
        <w:rPr>
          <w:sz w:val="22"/>
          <w:szCs w:val="22"/>
          <w:lang w:val="hr-HR"/>
        </w:rPr>
        <w:t xml:space="preserve"> nakon stavljanja l</w:t>
      </w:r>
      <w:r w:rsidR="005023EC">
        <w:rPr>
          <w:sz w:val="22"/>
          <w:szCs w:val="22"/>
          <w:lang w:val="hr-HR"/>
        </w:rPr>
        <w:t>ij</w:t>
      </w:r>
      <w:r w:rsidR="005023EC" w:rsidRPr="005023EC">
        <w:rPr>
          <w:sz w:val="22"/>
          <w:szCs w:val="22"/>
          <w:lang w:val="hr-HR"/>
        </w:rPr>
        <w:t>eka u promet.</w:t>
      </w:r>
    </w:p>
    <w:p w14:paraId="4510221C" w14:textId="77777777" w:rsidR="00B05AA9" w:rsidRDefault="00B05AA9" w:rsidP="00641EEB">
      <w:pPr>
        <w:jc w:val="both"/>
        <w:rPr>
          <w:sz w:val="22"/>
          <w:szCs w:val="22"/>
          <w:lang w:val="sr-Latn-CS"/>
        </w:rPr>
      </w:pPr>
    </w:p>
    <w:p w14:paraId="16F95F92" w14:textId="77777777" w:rsidR="00B05AA9" w:rsidRDefault="00B05AA9" w:rsidP="00641EEB">
      <w:pPr>
        <w:jc w:val="both"/>
        <w:rPr>
          <w:sz w:val="22"/>
          <w:szCs w:val="22"/>
          <w:lang w:val="sr-Latn-CS"/>
        </w:rPr>
      </w:pPr>
      <w:r>
        <w:rPr>
          <w:sz w:val="22"/>
          <w:szCs w:val="22"/>
          <w:lang w:val="sr-Latn-CS"/>
        </w:rPr>
        <w:t>Tabela 1 Neželjene reakcije prijavljene kod primjene intravenske formulacije lijeka Herceptin u monoterapiji ili u kombinaciji sa hemoterapijom u pivotalnim kliničkim ispitivanjima (N=8386) i nakon stavljanja lijeka u promet</w:t>
      </w:r>
    </w:p>
    <w:p w14:paraId="5C2C8076" w14:textId="5C49AA6E" w:rsidR="00B05AA9" w:rsidRPr="00442616" w:rsidRDefault="00B05AA9" w:rsidP="00641EEB">
      <w:pPr>
        <w:tabs>
          <w:tab w:val="left" w:pos="540"/>
          <w:tab w:val="left" w:pos="569"/>
        </w:tabs>
        <w:rPr>
          <w:b/>
          <w:bCs/>
          <w:sz w:val="22"/>
          <w:szCs w:val="22"/>
          <w:lang w:val="sr-Latn-CS"/>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3930"/>
        <w:gridCol w:w="2316"/>
      </w:tblGrid>
      <w:tr w:rsidR="00B05AA9" w14:paraId="401BFDB8" w14:textId="77777777" w:rsidTr="00B05AA9">
        <w:trPr>
          <w:cantSplit/>
          <w:trHeight w:val="128"/>
          <w:tblHeader/>
        </w:trPr>
        <w:tc>
          <w:tcPr>
            <w:tcW w:w="1524" w:type="pct"/>
            <w:tcBorders>
              <w:top w:val="single" w:sz="4" w:space="0" w:color="auto"/>
              <w:left w:val="single" w:sz="4" w:space="0" w:color="auto"/>
              <w:bottom w:val="single" w:sz="4" w:space="0" w:color="auto"/>
              <w:right w:val="single" w:sz="4" w:space="0" w:color="auto"/>
            </w:tcBorders>
            <w:hideMark/>
          </w:tcPr>
          <w:p w14:paraId="49A5E838" w14:textId="77777777" w:rsidR="00B05AA9" w:rsidRDefault="00B05AA9" w:rsidP="00641EEB">
            <w:pPr>
              <w:pStyle w:val="TableText10"/>
              <w:keepNext/>
              <w:rPr>
                <w:b/>
                <w:sz w:val="22"/>
                <w:szCs w:val="22"/>
                <w:lang w:val="hr-HR"/>
              </w:rPr>
            </w:pPr>
            <w:r>
              <w:rPr>
                <w:b/>
                <w:sz w:val="22"/>
                <w:szCs w:val="22"/>
                <w:lang w:val="en-GB"/>
              </w:rPr>
              <w:t>Klasifikacija sistema organa</w:t>
            </w:r>
          </w:p>
        </w:tc>
        <w:tc>
          <w:tcPr>
            <w:tcW w:w="2187" w:type="pct"/>
            <w:tcBorders>
              <w:top w:val="single" w:sz="4" w:space="0" w:color="auto"/>
              <w:left w:val="single" w:sz="4" w:space="0" w:color="auto"/>
              <w:bottom w:val="single" w:sz="4" w:space="0" w:color="auto"/>
              <w:right w:val="single" w:sz="4" w:space="0" w:color="auto"/>
            </w:tcBorders>
            <w:hideMark/>
          </w:tcPr>
          <w:p w14:paraId="7CCA934B" w14:textId="77777777" w:rsidR="00B05AA9" w:rsidRDefault="00B05AA9" w:rsidP="00641EEB">
            <w:pPr>
              <w:pStyle w:val="TableText10"/>
              <w:keepNext/>
              <w:rPr>
                <w:b/>
                <w:sz w:val="22"/>
                <w:szCs w:val="22"/>
                <w:lang w:val="hr-HR"/>
              </w:rPr>
            </w:pPr>
            <w:r>
              <w:rPr>
                <w:b/>
                <w:sz w:val="22"/>
                <w:szCs w:val="22"/>
                <w:lang w:val="en-GB"/>
              </w:rPr>
              <w:t>Neželjena reakcija</w:t>
            </w:r>
          </w:p>
        </w:tc>
        <w:tc>
          <w:tcPr>
            <w:tcW w:w="1289" w:type="pct"/>
            <w:tcBorders>
              <w:top w:val="single" w:sz="4" w:space="0" w:color="auto"/>
              <w:left w:val="single" w:sz="4" w:space="0" w:color="auto"/>
              <w:bottom w:val="single" w:sz="4" w:space="0" w:color="auto"/>
              <w:right w:val="single" w:sz="4" w:space="0" w:color="auto"/>
            </w:tcBorders>
            <w:hideMark/>
          </w:tcPr>
          <w:p w14:paraId="0281941E" w14:textId="77777777" w:rsidR="00B05AA9" w:rsidRDefault="00B05AA9" w:rsidP="00641EEB">
            <w:pPr>
              <w:pStyle w:val="TableText10"/>
              <w:keepNext/>
              <w:rPr>
                <w:b/>
                <w:sz w:val="22"/>
                <w:szCs w:val="22"/>
                <w:lang w:val="hr-HR"/>
              </w:rPr>
            </w:pPr>
            <w:r>
              <w:rPr>
                <w:b/>
                <w:sz w:val="22"/>
                <w:szCs w:val="22"/>
                <w:lang w:val="en-GB"/>
              </w:rPr>
              <w:t>U</w:t>
            </w:r>
            <w:r>
              <w:rPr>
                <w:b/>
                <w:sz w:val="22"/>
                <w:szCs w:val="22"/>
                <w:lang w:val="hr-HR"/>
              </w:rPr>
              <w:t>č</w:t>
            </w:r>
            <w:r>
              <w:rPr>
                <w:b/>
                <w:sz w:val="22"/>
                <w:szCs w:val="22"/>
                <w:lang w:val="en-GB"/>
              </w:rPr>
              <w:t>estalost</w:t>
            </w:r>
          </w:p>
        </w:tc>
      </w:tr>
      <w:tr w:rsidR="00B05AA9" w14:paraId="411756F6" w14:textId="77777777" w:rsidTr="00B05AA9">
        <w:trPr>
          <w:trHeight w:val="206"/>
        </w:trPr>
        <w:tc>
          <w:tcPr>
            <w:tcW w:w="1524" w:type="pct"/>
            <w:vMerge w:val="restart"/>
            <w:tcBorders>
              <w:top w:val="single" w:sz="4" w:space="0" w:color="auto"/>
              <w:left w:val="single" w:sz="4" w:space="0" w:color="auto"/>
              <w:bottom w:val="single" w:sz="4" w:space="0" w:color="auto"/>
              <w:right w:val="single" w:sz="4" w:space="0" w:color="auto"/>
            </w:tcBorders>
          </w:tcPr>
          <w:p w14:paraId="0CE145E1" w14:textId="77777777" w:rsidR="00B05AA9" w:rsidRDefault="00B05AA9" w:rsidP="00641EEB">
            <w:pPr>
              <w:pStyle w:val="TableText10"/>
              <w:rPr>
                <w:sz w:val="22"/>
                <w:szCs w:val="22"/>
                <w:lang w:val="en-GB"/>
              </w:rPr>
            </w:pPr>
            <w:r>
              <w:rPr>
                <w:sz w:val="22"/>
                <w:szCs w:val="22"/>
                <w:lang w:val="en-GB"/>
              </w:rPr>
              <w:t>Infekcije</w:t>
            </w:r>
            <w:r>
              <w:rPr>
                <w:sz w:val="22"/>
                <w:szCs w:val="22"/>
                <w:lang w:val="hr-HR"/>
              </w:rPr>
              <w:t xml:space="preserve"> </w:t>
            </w:r>
            <w:r>
              <w:rPr>
                <w:sz w:val="22"/>
                <w:szCs w:val="22"/>
                <w:lang w:val="en-GB"/>
              </w:rPr>
              <w:t>i</w:t>
            </w:r>
            <w:r>
              <w:rPr>
                <w:sz w:val="22"/>
                <w:szCs w:val="22"/>
                <w:lang w:val="hr-HR"/>
              </w:rPr>
              <w:t xml:space="preserve"> </w:t>
            </w:r>
            <w:r>
              <w:rPr>
                <w:sz w:val="22"/>
                <w:szCs w:val="22"/>
                <w:lang w:val="en-GB"/>
              </w:rPr>
              <w:t>infestacije</w:t>
            </w:r>
          </w:p>
          <w:p w14:paraId="39427E8A" w14:textId="77777777" w:rsidR="00B05AA9" w:rsidRDefault="00B05AA9" w:rsidP="00641EEB">
            <w:pPr>
              <w:pStyle w:val="TableText10"/>
              <w:rPr>
                <w:sz w:val="22"/>
                <w:szCs w:val="22"/>
                <w:lang w:val="en-GB"/>
              </w:rPr>
            </w:pPr>
          </w:p>
        </w:tc>
        <w:tc>
          <w:tcPr>
            <w:tcW w:w="2187" w:type="pct"/>
            <w:tcBorders>
              <w:top w:val="single" w:sz="4" w:space="0" w:color="auto"/>
              <w:left w:val="single" w:sz="4" w:space="0" w:color="auto"/>
              <w:bottom w:val="single" w:sz="4" w:space="0" w:color="auto"/>
              <w:right w:val="single" w:sz="4" w:space="0" w:color="auto"/>
            </w:tcBorders>
            <w:hideMark/>
          </w:tcPr>
          <w:p w14:paraId="46FD37A5" w14:textId="77777777" w:rsidR="00B05AA9" w:rsidRDefault="00B05AA9" w:rsidP="00641EEB">
            <w:pPr>
              <w:pStyle w:val="TableText10"/>
              <w:rPr>
                <w:sz w:val="22"/>
                <w:szCs w:val="22"/>
                <w:lang w:val="en-GB"/>
              </w:rPr>
            </w:pPr>
            <w:r>
              <w:rPr>
                <w:sz w:val="22"/>
                <w:szCs w:val="22"/>
                <w:lang w:val="en-GB"/>
              </w:rPr>
              <w:t xml:space="preserve">Infekcije </w:t>
            </w:r>
          </w:p>
        </w:tc>
        <w:tc>
          <w:tcPr>
            <w:tcW w:w="1289" w:type="pct"/>
            <w:tcBorders>
              <w:top w:val="single" w:sz="4" w:space="0" w:color="auto"/>
              <w:left w:val="single" w:sz="4" w:space="0" w:color="auto"/>
              <w:bottom w:val="single" w:sz="4" w:space="0" w:color="auto"/>
              <w:right w:val="single" w:sz="4" w:space="0" w:color="auto"/>
            </w:tcBorders>
            <w:hideMark/>
          </w:tcPr>
          <w:p w14:paraId="7B4C81AA" w14:textId="77777777" w:rsidR="00B05AA9" w:rsidRDefault="00B05AA9" w:rsidP="00641EEB">
            <w:pPr>
              <w:pStyle w:val="TableText10"/>
              <w:rPr>
                <w:sz w:val="22"/>
                <w:szCs w:val="22"/>
                <w:lang w:val="en-GB"/>
              </w:rPr>
            </w:pPr>
            <w:r>
              <w:rPr>
                <w:sz w:val="22"/>
                <w:szCs w:val="22"/>
                <w:lang w:val="en-GB"/>
              </w:rPr>
              <w:t>Vrlo često</w:t>
            </w:r>
          </w:p>
        </w:tc>
      </w:tr>
      <w:tr w:rsidR="00B05AA9" w14:paraId="156B97BD" w14:textId="77777777" w:rsidTr="00B05AA9">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FED1D" w14:textId="77777777" w:rsidR="00B05AA9" w:rsidRDefault="00B05AA9"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BE851E4" w14:textId="77777777" w:rsidR="00B05AA9" w:rsidRDefault="00B05AA9" w:rsidP="00641EEB">
            <w:pPr>
              <w:pStyle w:val="TableText10"/>
              <w:rPr>
                <w:sz w:val="22"/>
                <w:szCs w:val="22"/>
                <w:lang w:val="hr-HR"/>
              </w:rPr>
            </w:pPr>
            <w:r>
              <w:rPr>
                <w:sz w:val="22"/>
                <w:szCs w:val="22"/>
                <w:lang w:val="hr-HR"/>
              </w:rPr>
              <w:t>Nazofaringitis</w:t>
            </w:r>
          </w:p>
        </w:tc>
        <w:tc>
          <w:tcPr>
            <w:tcW w:w="1289" w:type="pct"/>
            <w:tcBorders>
              <w:top w:val="single" w:sz="4" w:space="0" w:color="auto"/>
              <w:left w:val="single" w:sz="4" w:space="0" w:color="auto"/>
              <w:bottom w:val="single" w:sz="4" w:space="0" w:color="auto"/>
              <w:right w:val="single" w:sz="4" w:space="0" w:color="auto"/>
            </w:tcBorders>
            <w:hideMark/>
          </w:tcPr>
          <w:p w14:paraId="7A9A884B" w14:textId="77777777" w:rsidR="00B05AA9" w:rsidRDefault="00B05AA9" w:rsidP="00641EEB">
            <w:pPr>
              <w:pStyle w:val="TableText10"/>
              <w:rPr>
                <w:sz w:val="22"/>
                <w:szCs w:val="22"/>
                <w:lang w:val="en-GB"/>
              </w:rPr>
            </w:pPr>
            <w:r>
              <w:rPr>
                <w:sz w:val="22"/>
                <w:szCs w:val="22"/>
                <w:lang w:val="hr-HR"/>
              </w:rPr>
              <w:t>Vrlo č</w:t>
            </w:r>
            <w:r>
              <w:rPr>
                <w:sz w:val="22"/>
                <w:szCs w:val="22"/>
                <w:lang w:val="en-GB"/>
              </w:rPr>
              <w:t>esto</w:t>
            </w:r>
            <w:r>
              <w:rPr>
                <w:sz w:val="22"/>
                <w:szCs w:val="22"/>
                <w:lang w:val="hr-HR"/>
              </w:rPr>
              <w:t xml:space="preserve"> </w:t>
            </w:r>
          </w:p>
        </w:tc>
      </w:tr>
      <w:tr w:rsidR="00B05AA9" w14:paraId="5FADB222" w14:textId="77777777" w:rsidTr="00B05AA9">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8F61D" w14:textId="77777777" w:rsidR="00B05AA9" w:rsidRDefault="00B05AA9"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7BF6A92C" w14:textId="77777777" w:rsidR="00B05AA9" w:rsidRDefault="00B05AA9" w:rsidP="00641EEB">
            <w:pPr>
              <w:pStyle w:val="TableText10"/>
              <w:rPr>
                <w:sz w:val="22"/>
                <w:szCs w:val="22"/>
                <w:lang w:val="en-GB"/>
              </w:rPr>
            </w:pPr>
            <w:r>
              <w:rPr>
                <w:sz w:val="22"/>
                <w:szCs w:val="22"/>
                <w:lang w:val="en-GB"/>
              </w:rPr>
              <w:t>Neutropenijska sepsa</w:t>
            </w:r>
          </w:p>
        </w:tc>
        <w:tc>
          <w:tcPr>
            <w:tcW w:w="1289" w:type="pct"/>
            <w:tcBorders>
              <w:top w:val="single" w:sz="4" w:space="0" w:color="auto"/>
              <w:left w:val="single" w:sz="4" w:space="0" w:color="auto"/>
              <w:bottom w:val="single" w:sz="4" w:space="0" w:color="auto"/>
              <w:right w:val="single" w:sz="4" w:space="0" w:color="auto"/>
            </w:tcBorders>
            <w:hideMark/>
          </w:tcPr>
          <w:p w14:paraId="40C4F9BE" w14:textId="77777777" w:rsidR="00B05AA9" w:rsidRDefault="00B05AA9" w:rsidP="00641EEB">
            <w:pPr>
              <w:pStyle w:val="TableText10"/>
              <w:rPr>
                <w:sz w:val="22"/>
                <w:szCs w:val="22"/>
                <w:lang w:val="en-GB"/>
              </w:rPr>
            </w:pPr>
            <w:r>
              <w:rPr>
                <w:sz w:val="22"/>
                <w:szCs w:val="22"/>
                <w:lang w:val="en-GB"/>
              </w:rPr>
              <w:t>Često</w:t>
            </w:r>
          </w:p>
        </w:tc>
      </w:tr>
      <w:tr w:rsidR="00B05AA9" w14:paraId="488A6C1D" w14:textId="77777777" w:rsidTr="00B05AA9">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7A077" w14:textId="77777777" w:rsidR="00B05AA9" w:rsidRDefault="00B05AA9"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44F3AE1A" w14:textId="77777777" w:rsidR="00B05AA9" w:rsidRDefault="00B05AA9" w:rsidP="00641EEB">
            <w:pPr>
              <w:pStyle w:val="TableText10"/>
              <w:rPr>
                <w:sz w:val="22"/>
                <w:szCs w:val="22"/>
                <w:lang w:val="en-GB"/>
              </w:rPr>
            </w:pPr>
            <w:r>
              <w:rPr>
                <w:sz w:val="22"/>
                <w:szCs w:val="22"/>
                <w:lang w:val="en-GB"/>
              </w:rPr>
              <w:t>Cistitis</w:t>
            </w:r>
          </w:p>
        </w:tc>
        <w:tc>
          <w:tcPr>
            <w:tcW w:w="1289" w:type="pct"/>
            <w:tcBorders>
              <w:top w:val="single" w:sz="4" w:space="0" w:color="auto"/>
              <w:left w:val="single" w:sz="4" w:space="0" w:color="auto"/>
              <w:bottom w:val="single" w:sz="4" w:space="0" w:color="auto"/>
              <w:right w:val="single" w:sz="4" w:space="0" w:color="auto"/>
            </w:tcBorders>
            <w:hideMark/>
          </w:tcPr>
          <w:p w14:paraId="536AF01D" w14:textId="77777777" w:rsidR="00B05AA9" w:rsidRDefault="00B05AA9" w:rsidP="00641EEB">
            <w:pPr>
              <w:pStyle w:val="TableText10"/>
              <w:rPr>
                <w:sz w:val="22"/>
                <w:szCs w:val="22"/>
                <w:lang w:val="en-GB"/>
              </w:rPr>
            </w:pPr>
            <w:r>
              <w:rPr>
                <w:sz w:val="22"/>
                <w:szCs w:val="22"/>
                <w:lang w:val="en-GB"/>
              </w:rPr>
              <w:t>Često</w:t>
            </w:r>
          </w:p>
        </w:tc>
      </w:tr>
      <w:tr w:rsidR="00B05AA9" w14:paraId="78C10BF8" w14:textId="77777777" w:rsidTr="00B05AA9">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D4DEF" w14:textId="77777777" w:rsidR="00B05AA9" w:rsidRDefault="00B05AA9"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35C380F9" w14:textId="77777777" w:rsidR="00B05AA9" w:rsidRDefault="00B05AA9" w:rsidP="00641EEB">
            <w:pPr>
              <w:pStyle w:val="TableText10"/>
              <w:rPr>
                <w:sz w:val="22"/>
                <w:szCs w:val="22"/>
                <w:lang w:val="en-GB"/>
              </w:rPr>
            </w:pPr>
            <w:r>
              <w:rPr>
                <w:sz w:val="22"/>
                <w:szCs w:val="22"/>
                <w:lang w:val="en-GB"/>
              </w:rPr>
              <w:t>Influenca</w:t>
            </w:r>
          </w:p>
        </w:tc>
        <w:tc>
          <w:tcPr>
            <w:tcW w:w="1289" w:type="pct"/>
            <w:tcBorders>
              <w:top w:val="single" w:sz="4" w:space="0" w:color="auto"/>
              <w:left w:val="single" w:sz="4" w:space="0" w:color="auto"/>
              <w:bottom w:val="single" w:sz="4" w:space="0" w:color="auto"/>
              <w:right w:val="single" w:sz="4" w:space="0" w:color="auto"/>
            </w:tcBorders>
            <w:hideMark/>
          </w:tcPr>
          <w:p w14:paraId="28379E4F" w14:textId="77777777" w:rsidR="00B05AA9" w:rsidRDefault="00B05AA9" w:rsidP="00641EEB">
            <w:pPr>
              <w:pStyle w:val="TableText10"/>
              <w:rPr>
                <w:sz w:val="22"/>
                <w:szCs w:val="22"/>
                <w:lang w:val="en-GB"/>
              </w:rPr>
            </w:pPr>
            <w:r>
              <w:rPr>
                <w:sz w:val="22"/>
                <w:szCs w:val="22"/>
                <w:lang w:val="en-GB"/>
              </w:rPr>
              <w:t>Često</w:t>
            </w:r>
          </w:p>
        </w:tc>
      </w:tr>
      <w:tr w:rsidR="00B05AA9" w14:paraId="33F9063A" w14:textId="77777777" w:rsidTr="00B05AA9">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F5300B" w14:textId="77777777" w:rsidR="00B05AA9" w:rsidRDefault="00B05AA9"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7940CEB7" w14:textId="77777777" w:rsidR="00B05AA9" w:rsidRDefault="00B05AA9" w:rsidP="00641EEB">
            <w:pPr>
              <w:pStyle w:val="TableText10"/>
              <w:rPr>
                <w:sz w:val="22"/>
                <w:szCs w:val="22"/>
                <w:lang w:val="en-GB"/>
              </w:rPr>
            </w:pPr>
            <w:r>
              <w:rPr>
                <w:sz w:val="22"/>
                <w:szCs w:val="22"/>
                <w:lang w:val="en-GB"/>
              </w:rPr>
              <w:t>Sinuzitis</w:t>
            </w:r>
          </w:p>
        </w:tc>
        <w:tc>
          <w:tcPr>
            <w:tcW w:w="1289" w:type="pct"/>
            <w:tcBorders>
              <w:top w:val="single" w:sz="4" w:space="0" w:color="auto"/>
              <w:left w:val="single" w:sz="4" w:space="0" w:color="auto"/>
              <w:bottom w:val="single" w:sz="4" w:space="0" w:color="auto"/>
              <w:right w:val="single" w:sz="4" w:space="0" w:color="auto"/>
            </w:tcBorders>
            <w:hideMark/>
          </w:tcPr>
          <w:p w14:paraId="46472F93" w14:textId="77777777" w:rsidR="00B05AA9" w:rsidRDefault="00B05AA9" w:rsidP="00641EEB">
            <w:pPr>
              <w:pStyle w:val="TableText10"/>
              <w:rPr>
                <w:sz w:val="22"/>
                <w:szCs w:val="22"/>
                <w:lang w:val="en-GB"/>
              </w:rPr>
            </w:pPr>
            <w:r>
              <w:rPr>
                <w:sz w:val="22"/>
                <w:szCs w:val="22"/>
                <w:lang w:val="en-GB"/>
              </w:rPr>
              <w:t>Često</w:t>
            </w:r>
          </w:p>
        </w:tc>
      </w:tr>
      <w:tr w:rsidR="00B05AA9" w14:paraId="66656FBE"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0A127" w14:textId="77777777" w:rsidR="00B05AA9" w:rsidRDefault="00B05AA9"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42E35D50" w14:textId="77777777" w:rsidR="00B05AA9" w:rsidRDefault="00B05AA9" w:rsidP="00641EEB">
            <w:pPr>
              <w:pStyle w:val="TableText10"/>
              <w:rPr>
                <w:sz w:val="22"/>
                <w:szCs w:val="22"/>
                <w:lang w:val="en-GB"/>
              </w:rPr>
            </w:pPr>
            <w:r>
              <w:rPr>
                <w:sz w:val="22"/>
                <w:szCs w:val="22"/>
                <w:lang w:val="en-GB"/>
              </w:rPr>
              <w:t>Kožna infekcija</w:t>
            </w:r>
          </w:p>
        </w:tc>
        <w:tc>
          <w:tcPr>
            <w:tcW w:w="1289" w:type="pct"/>
            <w:tcBorders>
              <w:top w:val="single" w:sz="4" w:space="0" w:color="auto"/>
              <w:left w:val="single" w:sz="4" w:space="0" w:color="auto"/>
              <w:bottom w:val="single" w:sz="4" w:space="0" w:color="auto"/>
              <w:right w:val="single" w:sz="4" w:space="0" w:color="auto"/>
            </w:tcBorders>
            <w:hideMark/>
          </w:tcPr>
          <w:p w14:paraId="277FA18D" w14:textId="77777777" w:rsidR="00B05AA9" w:rsidRDefault="00B05AA9" w:rsidP="00641EEB">
            <w:pPr>
              <w:pStyle w:val="TableText10"/>
              <w:rPr>
                <w:sz w:val="22"/>
                <w:szCs w:val="22"/>
                <w:lang w:val="en-GB"/>
              </w:rPr>
            </w:pPr>
            <w:r>
              <w:rPr>
                <w:sz w:val="22"/>
                <w:szCs w:val="22"/>
                <w:lang w:val="en-GB"/>
              </w:rPr>
              <w:t>Često</w:t>
            </w:r>
          </w:p>
        </w:tc>
      </w:tr>
      <w:tr w:rsidR="00B05AA9" w14:paraId="36BC61CD"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CBDD7" w14:textId="77777777" w:rsidR="00B05AA9" w:rsidRDefault="00B05AA9"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388BB793" w14:textId="77777777" w:rsidR="00B05AA9" w:rsidRDefault="00B05AA9" w:rsidP="00641EEB">
            <w:pPr>
              <w:pStyle w:val="TableText10"/>
              <w:rPr>
                <w:sz w:val="22"/>
                <w:szCs w:val="22"/>
                <w:lang w:val="en-GB"/>
              </w:rPr>
            </w:pPr>
            <w:r>
              <w:rPr>
                <w:sz w:val="22"/>
                <w:szCs w:val="22"/>
                <w:lang w:val="en-GB"/>
              </w:rPr>
              <w:t>Rinitis</w:t>
            </w:r>
          </w:p>
        </w:tc>
        <w:tc>
          <w:tcPr>
            <w:tcW w:w="1289" w:type="pct"/>
            <w:tcBorders>
              <w:top w:val="single" w:sz="4" w:space="0" w:color="auto"/>
              <w:left w:val="single" w:sz="4" w:space="0" w:color="auto"/>
              <w:bottom w:val="single" w:sz="4" w:space="0" w:color="auto"/>
              <w:right w:val="single" w:sz="4" w:space="0" w:color="auto"/>
            </w:tcBorders>
            <w:hideMark/>
          </w:tcPr>
          <w:p w14:paraId="630E4D67" w14:textId="77777777" w:rsidR="00B05AA9" w:rsidRDefault="00B05AA9" w:rsidP="00641EEB">
            <w:pPr>
              <w:pStyle w:val="TableText10"/>
              <w:rPr>
                <w:sz w:val="22"/>
                <w:szCs w:val="22"/>
                <w:lang w:val="en-GB"/>
              </w:rPr>
            </w:pPr>
            <w:r>
              <w:rPr>
                <w:sz w:val="22"/>
                <w:szCs w:val="22"/>
                <w:lang w:val="en-GB"/>
              </w:rPr>
              <w:t>Često</w:t>
            </w:r>
          </w:p>
        </w:tc>
      </w:tr>
      <w:tr w:rsidR="00B05AA9" w14:paraId="0E76E2AC"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0D933" w14:textId="77777777" w:rsidR="00B05AA9" w:rsidRDefault="00B05AA9"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F9970A9" w14:textId="77777777" w:rsidR="00B05AA9" w:rsidRDefault="00B05AA9" w:rsidP="00641EEB">
            <w:pPr>
              <w:pStyle w:val="TableText10"/>
              <w:rPr>
                <w:sz w:val="22"/>
                <w:szCs w:val="22"/>
                <w:lang w:val="en-GB"/>
              </w:rPr>
            </w:pPr>
            <w:r>
              <w:rPr>
                <w:sz w:val="22"/>
                <w:szCs w:val="22"/>
                <w:lang w:val="en-GB"/>
              </w:rPr>
              <w:t>Infekcija gornjih disajnih puteva</w:t>
            </w:r>
          </w:p>
        </w:tc>
        <w:tc>
          <w:tcPr>
            <w:tcW w:w="1289" w:type="pct"/>
            <w:tcBorders>
              <w:top w:val="single" w:sz="4" w:space="0" w:color="auto"/>
              <w:left w:val="single" w:sz="4" w:space="0" w:color="auto"/>
              <w:bottom w:val="single" w:sz="4" w:space="0" w:color="auto"/>
              <w:right w:val="single" w:sz="4" w:space="0" w:color="auto"/>
            </w:tcBorders>
            <w:hideMark/>
          </w:tcPr>
          <w:p w14:paraId="1C83FC68" w14:textId="77777777" w:rsidR="00B05AA9" w:rsidRDefault="00B05AA9" w:rsidP="00641EEB">
            <w:pPr>
              <w:pStyle w:val="TableText10"/>
              <w:rPr>
                <w:sz w:val="22"/>
                <w:szCs w:val="22"/>
                <w:lang w:val="en-GB"/>
              </w:rPr>
            </w:pPr>
            <w:r>
              <w:rPr>
                <w:sz w:val="22"/>
                <w:szCs w:val="22"/>
                <w:lang w:val="en-GB"/>
              </w:rPr>
              <w:t>Često</w:t>
            </w:r>
          </w:p>
        </w:tc>
      </w:tr>
      <w:tr w:rsidR="00B05AA9" w14:paraId="5ADCA5A2"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29F81" w14:textId="77777777" w:rsidR="00B05AA9" w:rsidRDefault="00B05AA9"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6E0DC21F" w14:textId="77777777" w:rsidR="00B05AA9" w:rsidRDefault="00B05AA9" w:rsidP="00641EEB">
            <w:pPr>
              <w:pStyle w:val="TableText10"/>
              <w:rPr>
                <w:sz w:val="22"/>
                <w:szCs w:val="22"/>
                <w:lang w:val="en-GB"/>
              </w:rPr>
            </w:pPr>
            <w:r>
              <w:rPr>
                <w:sz w:val="22"/>
                <w:szCs w:val="22"/>
                <w:lang w:val="en-GB"/>
              </w:rPr>
              <w:t>Infekcija mokraćnih puteva</w:t>
            </w:r>
          </w:p>
        </w:tc>
        <w:tc>
          <w:tcPr>
            <w:tcW w:w="1289" w:type="pct"/>
            <w:tcBorders>
              <w:top w:val="single" w:sz="4" w:space="0" w:color="auto"/>
              <w:left w:val="single" w:sz="4" w:space="0" w:color="auto"/>
              <w:bottom w:val="single" w:sz="4" w:space="0" w:color="auto"/>
              <w:right w:val="single" w:sz="4" w:space="0" w:color="auto"/>
            </w:tcBorders>
            <w:hideMark/>
          </w:tcPr>
          <w:p w14:paraId="20DD0A30" w14:textId="77777777" w:rsidR="00B05AA9" w:rsidRDefault="00B05AA9" w:rsidP="00641EEB">
            <w:pPr>
              <w:pStyle w:val="TableText10"/>
              <w:rPr>
                <w:sz w:val="22"/>
                <w:szCs w:val="22"/>
                <w:lang w:val="en-GB"/>
              </w:rPr>
            </w:pPr>
            <w:r>
              <w:rPr>
                <w:sz w:val="22"/>
                <w:szCs w:val="22"/>
                <w:lang w:val="en-GB"/>
              </w:rPr>
              <w:t>Često</w:t>
            </w:r>
          </w:p>
        </w:tc>
      </w:tr>
      <w:tr w:rsidR="00B05AA9" w14:paraId="08121358" w14:textId="77777777" w:rsidTr="00B05AA9">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109BE" w14:textId="77777777" w:rsidR="00B05AA9" w:rsidRDefault="00B05AA9"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219FB28A" w14:textId="77777777" w:rsidR="00B05AA9" w:rsidRDefault="00B05AA9" w:rsidP="00641EEB">
            <w:pPr>
              <w:pStyle w:val="TableText10"/>
              <w:rPr>
                <w:sz w:val="22"/>
                <w:szCs w:val="22"/>
                <w:lang w:val="en-GB"/>
              </w:rPr>
            </w:pPr>
            <w:r>
              <w:rPr>
                <w:sz w:val="22"/>
                <w:szCs w:val="22"/>
                <w:lang w:val="en-GB"/>
              </w:rPr>
              <w:t>Faringitis</w:t>
            </w:r>
          </w:p>
        </w:tc>
        <w:tc>
          <w:tcPr>
            <w:tcW w:w="1289" w:type="pct"/>
            <w:tcBorders>
              <w:top w:val="single" w:sz="4" w:space="0" w:color="auto"/>
              <w:left w:val="single" w:sz="4" w:space="0" w:color="auto"/>
              <w:bottom w:val="single" w:sz="4" w:space="0" w:color="auto"/>
              <w:right w:val="single" w:sz="4" w:space="0" w:color="auto"/>
            </w:tcBorders>
            <w:hideMark/>
          </w:tcPr>
          <w:p w14:paraId="06911CFF" w14:textId="77777777" w:rsidR="00B05AA9" w:rsidRDefault="00B05AA9" w:rsidP="00641EEB">
            <w:pPr>
              <w:pStyle w:val="TableText10"/>
              <w:rPr>
                <w:sz w:val="22"/>
                <w:szCs w:val="22"/>
                <w:lang w:val="en-GB"/>
              </w:rPr>
            </w:pPr>
            <w:r>
              <w:rPr>
                <w:sz w:val="22"/>
                <w:szCs w:val="22"/>
                <w:lang w:val="en-GB"/>
              </w:rPr>
              <w:t>Često</w:t>
            </w:r>
          </w:p>
        </w:tc>
      </w:tr>
      <w:tr w:rsidR="00B05AA9" w14:paraId="71BAEE37" w14:textId="77777777" w:rsidTr="00B05AA9">
        <w:trPr>
          <w:trHeight w:val="193"/>
        </w:trPr>
        <w:tc>
          <w:tcPr>
            <w:tcW w:w="1524" w:type="pct"/>
            <w:vMerge w:val="restart"/>
            <w:tcBorders>
              <w:top w:val="single" w:sz="4" w:space="0" w:color="auto"/>
              <w:left w:val="single" w:sz="4" w:space="0" w:color="auto"/>
              <w:bottom w:val="single" w:sz="4" w:space="0" w:color="auto"/>
              <w:right w:val="single" w:sz="4" w:space="0" w:color="auto"/>
            </w:tcBorders>
            <w:hideMark/>
          </w:tcPr>
          <w:p w14:paraId="0C460E51" w14:textId="77777777" w:rsidR="00B05AA9" w:rsidRDefault="00B05AA9" w:rsidP="00641EEB">
            <w:pPr>
              <w:pStyle w:val="TableText10"/>
              <w:rPr>
                <w:sz w:val="22"/>
                <w:szCs w:val="22"/>
              </w:rPr>
            </w:pPr>
            <w:r>
              <w:rPr>
                <w:sz w:val="22"/>
                <w:szCs w:val="22"/>
                <w:lang w:val="en-GB"/>
              </w:rPr>
              <w:t>Benigne</w:t>
            </w:r>
            <w:r>
              <w:rPr>
                <w:sz w:val="22"/>
                <w:szCs w:val="22"/>
              </w:rPr>
              <w:t xml:space="preserve">, </w:t>
            </w:r>
            <w:r>
              <w:rPr>
                <w:sz w:val="22"/>
                <w:szCs w:val="22"/>
                <w:lang w:val="en-GB"/>
              </w:rPr>
              <w:t>maligne</w:t>
            </w:r>
            <w:r>
              <w:rPr>
                <w:sz w:val="22"/>
                <w:szCs w:val="22"/>
              </w:rPr>
              <w:t xml:space="preserve"> </w:t>
            </w:r>
            <w:r>
              <w:rPr>
                <w:sz w:val="22"/>
                <w:szCs w:val="22"/>
                <w:lang w:val="en-GB"/>
              </w:rPr>
              <w:t>i</w:t>
            </w:r>
            <w:r>
              <w:rPr>
                <w:sz w:val="22"/>
                <w:szCs w:val="22"/>
              </w:rPr>
              <w:t xml:space="preserve"> </w:t>
            </w:r>
            <w:r>
              <w:rPr>
                <w:sz w:val="22"/>
                <w:szCs w:val="22"/>
                <w:lang w:val="en-GB"/>
              </w:rPr>
              <w:t>nespecifi</w:t>
            </w:r>
            <w:r>
              <w:rPr>
                <w:sz w:val="22"/>
                <w:szCs w:val="22"/>
              </w:rPr>
              <w:t>č</w:t>
            </w:r>
            <w:r>
              <w:rPr>
                <w:sz w:val="22"/>
                <w:szCs w:val="22"/>
                <w:lang w:val="en-GB"/>
              </w:rPr>
              <w:t>ne</w:t>
            </w:r>
            <w:r>
              <w:rPr>
                <w:sz w:val="22"/>
                <w:szCs w:val="22"/>
              </w:rPr>
              <w:t xml:space="preserve"> </w:t>
            </w:r>
            <w:r>
              <w:rPr>
                <w:sz w:val="22"/>
                <w:szCs w:val="22"/>
                <w:lang w:val="en-GB"/>
              </w:rPr>
              <w:t>neoplazme</w:t>
            </w:r>
            <w:r>
              <w:rPr>
                <w:sz w:val="22"/>
                <w:szCs w:val="22"/>
              </w:rPr>
              <w:t xml:space="preserve"> (</w:t>
            </w:r>
            <w:r>
              <w:rPr>
                <w:sz w:val="22"/>
                <w:szCs w:val="22"/>
                <w:lang w:val="en-GB"/>
              </w:rPr>
              <w:t>uklju</w:t>
            </w:r>
            <w:r>
              <w:rPr>
                <w:sz w:val="22"/>
                <w:szCs w:val="22"/>
              </w:rPr>
              <w:t>č</w:t>
            </w:r>
            <w:r>
              <w:rPr>
                <w:sz w:val="22"/>
                <w:szCs w:val="22"/>
                <w:lang w:val="en-GB"/>
              </w:rPr>
              <w:t>uju</w:t>
            </w:r>
            <w:r>
              <w:rPr>
                <w:sz w:val="22"/>
                <w:szCs w:val="22"/>
              </w:rPr>
              <w:t>ć</w:t>
            </w:r>
            <w:r>
              <w:rPr>
                <w:sz w:val="22"/>
                <w:szCs w:val="22"/>
                <w:lang w:val="en-GB"/>
              </w:rPr>
              <w:t>i</w:t>
            </w:r>
            <w:r>
              <w:rPr>
                <w:sz w:val="22"/>
                <w:szCs w:val="22"/>
              </w:rPr>
              <w:t xml:space="preserve"> </w:t>
            </w:r>
            <w:r>
              <w:rPr>
                <w:sz w:val="22"/>
                <w:szCs w:val="22"/>
                <w:lang w:val="en-GB"/>
              </w:rPr>
              <w:t>ciste</w:t>
            </w:r>
            <w:r>
              <w:rPr>
                <w:sz w:val="22"/>
                <w:szCs w:val="22"/>
              </w:rPr>
              <w:t xml:space="preserve"> </w:t>
            </w:r>
            <w:r>
              <w:rPr>
                <w:sz w:val="22"/>
                <w:szCs w:val="22"/>
                <w:lang w:val="en-GB"/>
              </w:rPr>
              <w:t>i</w:t>
            </w:r>
            <w:r>
              <w:rPr>
                <w:sz w:val="22"/>
                <w:szCs w:val="22"/>
              </w:rPr>
              <w:t xml:space="preserve"> </w:t>
            </w:r>
            <w:r>
              <w:rPr>
                <w:sz w:val="22"/>
                <w:szCs w:val="22"/>
                <w:lang w:val="en-GB"/>
              </w:rPr>
              <w:t>polipe</w:t>
            </w:r>
            <w:r>
              <w:rPr>
                <w:sz w:val="22"/>
                <w:szCs w:val="22"/>
              </w:rPr>
              <w:t>)</w:t>
            </w:r>
          </w:p>
        </w:tc>
        <w:tc>
          <w:tcPr>
            <w:tcW w:w="2187" w:type="pct"/>
            <w:tcBorders>
              <w:top w:val="single" w:sz="4" w:space="0" w:color="auto"/>
              <w:left w:val="single" w:sz="4" w:space="0" w:color="auto"/>
              <w:bottom w:val="single" w:sz="4" w:space="0" w:color="auto"/>
              <w:right w:val="single" w:sz="4" w:space="0" w:color="auto"/>
            </w:tcBorders>
            <w:hideMark/>
          </w:tcPr>
          <w:p w14:paraId="769FFB5C" w14:textId="77777777" w:rsidR="00B05AA9" w:rsidRDefault="00B05AA9" w:rsidP="00641EEB">
            <w:pPr>
              <w:pStyle w:val="TableText10"/>
              <w:rPr>
                <w:sz w:val="22"/>
                <w:szCs w:val="22"/>
                <w:lang w:val="en-GB"/>
              </w:rPr>
            </w:pPr>
            <w:r>
              <w:rPr>
                <w:sz w:val="22"/>
                <w:szCs w:val="22"/>
                <w:lang w:val="en-GB"/>
              </w:rPr>
              <w:t>Progresija malignih neoplazmi</w:t>
            </w:r>
          </w:p>
        </w:tc>
        <w:tc>
          <w:tcPr>
            <w:tcW w:w="1289" w:type="pct"/>
            <w:tcBorders>
              <w:top w:val="single" w:sz="4" w:space="0" w:color="auto"/>
              <w:left w:val="single" w:sz="4" w:space="0" w:color="auto"/>
              <w:bottom w:val="single" w:sz="4" w:space="0" w:color="auto"/>
              <w:right w:val="single" w:sz="4" w:space="0" w:color="auto"/>
            </w:tcBorders>
            <w:hideMark/>
          </w:tcPr>
          <w:p w14:paraId="727AF2A1" w14:textId="77777777" w:rsidR="00B05AA9" w:rsidRDefault="00B05AA9" w:rsidP="00641EEB">
            <w:pPr>
              <w:pStyle w:val="TableText10"/>
              <w:rPr>
                <w:sz w:val="22"/>
                <w:szCs w:val="22"/>
                <w:lang w:val="en-GB"/>
              </w:rPr>
            </w:pPr>
            <w:r>
              <w:rPr>
                <w:sz w:val="22"/>
                <w:szCs w:val="22"/>
                <w:lang w:val="en-GB"/>
              </w:rPr>
              <w:t>Nepoznato</w:t>
            </w:r>
          </w:p>
        </w:tc>
      </w:tr>
      <w:tr w:rsidR="00B05AA9" w14:paraId="1CC84A3B" w14:textId="77777777" w:rsidTr="00B05AA9">
        <w:trPr>
          <w:trHeight w:val="2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1AB31" w14:textId="77777777" w:rsidR="00B05AA9" w:rsidRDefault="00B05AA9" w:rsidP="00641EEB">
            <w:pPr>
              <w:rPr>
                <w:sz w:val="22"/>
                <w:szCs w:val="22"/>
                <w:lang w:val="sr-Latn-ME" w:eastAsia="ja-JP"/>
              </w:rPr>
            </w:pPr>
          </w:p>
        </w:tc>
        <w:tc>
          <w:tcPr>
            <w:tcW w:w="2187" w:type="pct"/>
            <w:tcBorders>
              <w:top w:val="single" w:sz="4" w:space="0" w:color="auto"/>
              <w:left w:val="single" w:sz="4" w:space="0" w:color="auto"/>
              <w:bottom w:val="single" w:sz="4" w:space="0" w:color="auto"/>
              <w:right w:val="single" w:sz="4" w:space="0" w:color="auto"/>
            </w:tcBorders>
            <w:hideMark/>
          </w:tcPr>
          <w:p w14:paraId="77215056" w14:textId="77777777" w:rsidR="00B05AA9" w:rsidRDefault="00B05AA9" w:rsidP="00641EEB">
            <w:pPr>
              <w:pStyle w:val="TableText10"/>
              <w:rPr>
                <w:sz w:val="22"/>
                <w:szCs w:val="22"/>
                <w:lang w:val="en-GB"/>
              </w:rPr>
            </w:pPr>
            <w:r>
              <w:rPr>
                <w:sz w:val="22"/>
                <w:szCs w:val="22"/>
                <w:lang w:val="en-GB"/>
              </w:rPr>
              <w:t>Progresija neoplazmi</w:t>
            </w:r>
          </w:p>
        </w:tc>
        <w:tc>
          <w:tcPr>
            <w:tcW w:w="1289" w:type="pct"/>
            <w:tcBorders>
              <w:top w:val="single" w:sz="4" w:space="0" w:color="auto"/>
              <w:left w:val="single" w:sz="4" w:space="0" w:color="auto"/>
              <w:bottom w:val="single" w:sz="4" w:space="0" w:color="auto"/>
              <w:right w:val="single" w:sz="4" w:space="0" w:color="auto"/>
            </w:tcBorders>
            <w:hideMark/>
          </w:tcPr>
          <w:p w14:paraId="5413F5C4" w14:textId="77777777" w:rsidR="00B05AA9" w:rsidRDefault="00B05AA9" w:rsidP="00641EEB">
            <w:pPr>
              <w:pStyle w:val="TableText10"/>
              <w:rPr>
                <w:sz w:val="22"/>
                <w:szCs w:val="22"/>
                <w:lang w:val="en-GB"/>
              </w:rPr>
            </w:pPr>
            <w:r>
              <w:rPr>
                <w:sz w:val="22"/>
                <w:szCs w:val="22"/>
                <w:lang w:val="en-GB"/>
              </w:rPr>
              <w:t>Nepoznato</w:t>
            </w:r>
          </w:p>
        </w:tc>
      </w:tr>
      <w:tr w:rsidR="00B05AA9" w14:paraId="15BBD662" w14:textId="77777777" w:rsidTr="00B05AA9">
        <w:trPr>
          <w:trHeight w:val="319"/>
        </w:trPr>
        <w:tc>
          <w:tcPr>
            <w:tcW w:w="1524" w:type="pct"/>
            <w:vMerge w:val="restart"/>
            <w:tcBorders>
              <w:top w:val="single" w:sz="4" w:space="0" w:color="auto"/>
              <w:left w:val="single" w:sz="4" w:space="0" w:color="auto"/>
              <w:bottom w:val="single" w:sz="4" w:space="0" w:color="auto"/>
              <w:right w:val="single" w:sz="4" w:space="0" w:color="auto"/>
            </w:tcBorders>
            <w:hideMark/>
          </w:tcPr>
          <w:p w14:paraId="4AD46DBC" w14:textId="77777777" w:rsidR="00B05AA9" w:rsidRDefault="00B05AA9" w:rsidP="00641EEB">
            <w:pPr>
              <w:pStyle w:val="TableText10"/>
              <w:rPr>
                <w:sz w:val="22"/>
                <w:szCs w:val="22"/>
                <w:lang w:val="pl-PL"/>
              </w:rPr>
            </w:pPr>
            <w:r>
              <w:rPr>
                <w:sz w:val="22"/>
                <w:szCs w:val="22"/>
                <w:lang w:val="pl-PL"/>
              </w:rPr>
              <w:t>Poremećaji krvi i limfnog sistema</w:t>
            </w:r>
          </w:p>
        </w:tc>
        <w:tc>
          <w:tcPr>
            <w:tcW w:w="2187" w:type="pct"/>
            <w:tcBorders>
              <w:top w:val="single" w:sz="4" w:space="0" w:color="auto"/>
              <w:left w:val="single" w:sz="4" w:space="0" w:color="auto"/>
              <w:bottom w:val="single" w:sz="4" w:space="0" w:color="auto"/>
              <w:right w:val="single" w:sz="4" w:space="0" w:color="auto"/>
            </w:tcBorders>
            <w:hideMark/>
          </w:tcPr>
          <w:p w14:paraId="528296E5" w14:textId="77777777" w:rsidR="00B05AA9" w:rsidRDefault="00B05AA9" w:rsidP="00641EEB">
            <w:pPr>
              <w:pStyle w:val="TableText10"/>
              <w:rPr>
                <w:sz w:val="22"/>
                <w:szCs w:val="22"/>
                <w:lang w:val="en-GB"/>
              </w:rPr>
            </w:pPr>
            <w:r>
              <w:rPr>
                <w:sz w:val="22"/>
                <w:szCs w:val="22"/>
                <w:lang w:val="en-GB"/>
              </w:rPr>
              <w:t>Febrilna neutropenija</w:t>
            </w:r>
          </w:p>
        </w:tc>
        <w:tc>
          <w:tcPr>
            <w:tcW w:w="1289" w:type="pct"/>
            <w:tcBorders>
              <w:top w:val="single" w:sz="4" w:space="0" w:color="auto"/>
              <w:left w:val="single" w:sz="4" w:space="0" w:color="auto"/>
              <w:bottom w:val="single" w:sz="4" w:space="0" w:color="auto"/>
              <w:right w:val="single" w:sz="4" w:space="0" w:color="auto"/>
            </w:tcBorders>
            <w:hideMark/>
          </w:tcPr>
          <w:p w14:paraId="76E3A19C" w14:textId="77777777" w:rsidR="00B05AA9" w:rsidRDefault="00B05AA9" w:rsidP="00641EEB">
            <w:pPr>
              <w:pStyle w:val="TableText10"/>
              <w:rPr>
                <w:sz w:val="22"/>
                <w:szCs w:val="22"/>
                <w:lang w:val="en-GB"/>
              </w:rPr>
            </w:pPr>
            <w:r>
              <w:rPr>
                <w:sz w:val="22"/>
                <w:szCs w:val="22"/>
                <w:lang w:val="en-GB"/>
              </w:rPr>
              <w:t xml:space="preserve">Vrlo često </w:t>
            </w:r>
          </w:p>
        </w:tc>
      </w:tr>
      <w:tr w:rsidR="00B05AA9" w14:paraId="0D71C1F4" w14:textId="77777777" w:rsidTr="00B05AA9">
        <w:trPr>
          <w:trHeight w:val="3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1C390D" w14:textId="77777777" w:rsidR="00B05AA9" w:rsidRDefault="00B05AA9"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6FC5A48D" w14:textId="77777777" w:rsidR="00B05AA9" w:rsidRDefault="00B05AA9" w:rsidP="00641EEB">
            <w:pPr>
              <w:pStyle w:val="TableText10"/>
              <w:rPr>
                <w:sz w:val="22"/>
                <w:szCs w:val="22"/>
                <w:lang w:val="en-GB"/>
              </w:rPr>
            </w:pPr>
            <w:r>
              <w:rPr>
                <w:sz w:val="22"/>
                <w:szCs w:val="22"/>
                <w:lang w:val="en-GB"/>
              </w:rPr>
              <w:t>Anemija</w:t>
            </w:r>
          </w:p>
        </w:tc>
        <w:tc>
          <w:tcPr>
            <w:tcW w:w="1289" w:type="pct"/>
            <w:tcBorders>
              <w:top w:val="single" w:sz="4" w:space="0" w:color="auto"/>
              <w:left w:val="single" w:sz="4" w:space="0" w:color="auto"/>
              <w:bottom w:val="single" w:sz="4" w:space="0" w:color="auto"/>
              <w:right w:val="single" w:sz="4" w:space="0" w:color="auto"/>
            </w:tcBorders>
            <w:hideMark/>
          </w:tcPr>
          <w:p w14:paraId="0C46A698" w14:textId="77777777" w:rsidR="00B05AA9" w:rsidRDefault="00B05AA9" w:rsidP="00641EEB">
            <w:pPr>
              <w:pStyle w:val="TableText10"/>
              <w:rPr>
                <w:sz w:val="22"/>
                <w:szCs w:val="22"/>
                <w:lang w:val="en-GB"/>
              </w:rPr>
            </w:pPr>
            <w:r>
              <w:rPr>
                <w:sz w:val="22"/>
                <w:szCs w:val="22"/>
                <w:lang w:val="en-GB"/>
              </w:rPr>
              <w:t>Vrlo često</w:t>
            </w:r>
          </w:p>
        </w:tc>
      </w:tr>
      <w:tr w:rsidR="00B05AA9" w14:paraId="2CAD0ECF" w14:textId="77777777" w:rsidTr="00B05AA9">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A71F9" w14:textId="77777777" w:rsidR="00B05AA9" w:rsidRDefault="00B05AA9"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7635079" w14:textId="77777777" w:rsidR="00B05AA9" w:rsidRDefault="00B05AA9" w:rsidP="00641EEB">
            <w:pPr>
              <w:pStyle w:val="TableText10"/>
              <w:rPr>
                <w:sz w:val="22"/>
                <w:szCs w:val="22"/>
                <w:lang w:val="en-GB"/>
              </w:rPr>
            </w:pPr>
            <w:r>
              <w:rPr>
                <w:sz w:val="22"/>
                <w:szCs w:val="22"/>
                <w:lang w:val="en-GB"/>
              </w:rPr>
              <w:t>Neutropenija</w:t>
            </w:r>
          </w:p>
        </w:tc>
        <w:tc>
          <w:tcPr>
            <w:tcW w:w="1289" w:type="pct"/>
            <w:tcBorders>
              <w:top w:val="single" w:sz="4" w:space="0" w:color="auto"/>
              <w:left w:val="single" w:sz="4" w:space="0" w:color="auto"/>
              <w:bottom w:val="single" w:sz="4" w:space="0" w:color="auto"/>
              <w:right w:val="single" w:sz="4" w:space="0" w:color="auto"/>
            </w:tcBorders>
            <w:hideMark/>
          </w:tcPr>
          <w:p w14:paraId="181304D5" w14:textId="77777777" w:rsidR="00B05AA9" w:rsidRDefault="00B05AA9" w:rsidP="00641EEB">
            <w:pPr>
              <w:pStyle w:val="TableText10"/>
              <w:rPr>
                <w:sz w:val="22"/>
                <w:szCs w:val="22"/>
                <w:lang w:val="en-GB"/>
              </w:rPr>
            </w:pPr>
            <w:r>
              <w:rPr>
                <w:sz w:val="22"/>
                <w:szCs w:val="22"/>
                <w:lang w:val="en-GB"/>
              </w:rPr>
              <w:t>Vrlo često</w:t>
            </w:r>
          </w:p>
        </w:tc>
      </w:tr>
      <w:tr w:rsidR="00B05AA9" w14:paraId="27296291" w14:textId="77777777" w:rsidTr="00B05AA9">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DF438" w14:textId="77777777" w:rsidR="00B05AA9" w:rsidRDefault="00B05AA9"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462EB3BA" w14:textId="1CF9076A" w:rsidR="00B05AA9" w:rsidRDefault="00B05AA9" w:rsidP="00641EEB">
            <w:pPr>
              <w:pStyle w:val="TableText10"/>
              <w:rPr>
                <w:sz w:val="22"/>
                <w:szCs w:val="22"/>
                <w:lang w:val="pl-PL"/>
              </w:rPr>
            </w:pPr>
            <w:r>
              <w:rPr>
                <w:sz w:val="22"/>
                <w:szCs w:val="22"/>
                <w:lang w:val="pl-PL"/>
              </w:rPr>
              <w:t xml:space="preserve">Smanjeni broj bijelih krvnih </w:t>
            </w:r>
            <w:r w:rsidR="0038501C">
              <w:rPr>
                <w:sz w:val="22"/>
                <w:szCs w:val="22"/>
                <w:lang w:val="pl-PL"/>
              </w:rPr>
              <w:t>ćelija</w:t>
            </w:r>
            <w:r>
              <w:rPr>
                <w:sz w:val="22"/>
                <w:szCs w:val="22"/>
                <w:lang w:val="pl-PL"/>
              </w:rPr>
              <w:t>/leukopenija</w:t>
            </w:r>
          </w:p>
        </w:tc>
        <w:tc>
          <w:tcPr>
            <w:tcW w:w="1289" w:type="pct"/>
            <w:tcBorders>
              <w:top w:val="single" w:sz="4" w:space="0" w:color="auto"/>
              <w:left w:val="single" w:sz="4" w:space="0" w:color="auto"/>
              <w:bottom w:val="single" w:sz="4" w:space="0" w:color="auto"/>
              <w:right w:val="single" w:sz="4" w:space="0" w:color="auto"/>
            </w:tcBorders>
            <w:hideMark/>
          </w:tcPr>
          <w:p w14:paraId="08B1C6EF" w14:textId="77777777" w:rsidR="00B05AA9" w:rsidRDefault="00B05AA9" w:rsidP="00641EEB">
            <w:pPr>
              <w:pStyle w:val="TableText10"/>
              <w:rPr>
                <w:sz w:val="22"/>
                <w:szCs w:val="22"/>
                <w:lang w:val="en-GB"/>
              </w:rPr>
            </w:pPr>
            <w:r>
              <w:rPr>
                <w:sz w:val="22"/>
                <w:szCs w:val="22"/>
                <w:lang w:val="en-GB"/>
              </w:rPr>
              <w:t>Vrlo često</w:t>
            </w:r>
          </w:p>
        </w:tc>
      </w:tr>
      <w:tr w:rsidR="00B05AA9" w14:paraId="7E59CEF1" w14:textId="77777777" w:rsidTr="00B05AA9">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720CD" w14:textId="77777777" w:rsidR="00B05AA9" w:rsidRDefault="00B05AA9"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0172474C" w14:textId="77777777" w:rsidR="00B05AA9" w:rsidRDefault="00B05AA9" w:rsidP="00641EEB">
            <w:pPr>
              <w:pStyle w:val="TableText10"/>
              <w:rPr>
                <w:sz w:val="22"/>
                <w:szCs w:val="22"/>
                <w:lang w:val="en-GB"/>
              </w:rPr>
            </w:pPr>
            <w:r>
              <w:rPr>
                <w:sz w:val="22"/>
                <w:szCs w:val="22"/>
                <w:lang w:val="en-GB"/>
              </w:rPr>
              <w:t>Trombocitopenija</w:t>
            </w:r>
          </w:p>
        </w:tc>
        <w:tc>
          <w:tcPr>
            <w:tcW w:w="1289" w:type="pct"/>
            <w:tcBorders>
              <w:top w:val="single" w:sz="4" w:space="0" w:color="auto"/>
              <w:left w:val="single" w:sz="4" w:space="0" w:color="auto"/>
              <w:bottom w:val="single" w:sz="4" w:space="0" w:color="auto"/>
              <w:right w:val="single" w:sz="4" w:space="0" w:color="auto"/>
            </w:tcBorders>
            <w:hideMark/>
          </w:tcPr>
          <w:p w14:paraId="1825D49A" w14:textId="77777777" w:rsidR="00B05AA9" w:rsidRDefault="00B05AA9" w:rsidP="00641EEB">
            <w:pPr>
              <w:pStyle w:val="TableText10"/>
              <w:rPr>
                <w:sz w:val="22"/>
                <w:szCs w:val="22"/>
                <w:lang w:val="en-GB"/>
              </w:rPr>
            </w:pPr>
            <w:r>
              <w:rPr>
                <w:sz w:val="22"/>
                <w:szCs w:val="22"/>
                <w:lang w:val="en-GB"/>
              </w:rPr>
              <w:t>Vrlo često</w:t>
            </w:r>
          </w:p>
        </w:tc>
      </w:tr>
      <w:tr w:rsidR="00B05AA9" w14:paraId="432F162C" w14:textId="77777777" w:rsidTr="00B05AA9">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64E554" w14:textId="77777777" w:rsidR="00B05AA9" w:rsidRDefault="00B05AA9"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77BEADCA" w14:textId="77777777" w:rsidR="00B05AA9" w:rsidRDefault="00B05AA9" w:rsidP="00641EEB">
            <w:pPr>
              <w:pStyle w:val="TableText10"/>
              <w:rPr>
                <w:sz w:val="22"/>
                <w:szCs w:val="22"/>
                <w:lang w:val="en-GB"/>
              </w:rPr>
            </w:pPr>
            <w:r>
              <w:rPr>
                <w:sz w:val="22"/>
                <w:szCs w:val="22"/>
                <w:lang w:val="en-GB"/>
              </w:rPr>
              <w:t>Hipoprotrombinemija</w:t>
            </w:r>
          </w:p>
        </w:tc>
        <w:tc>
          <w:tcPr>
            <w:tcW w:w="1289" w:type="pct"/>
            <w:tcBorders>
              <w:top w:val="single" w:sz="4" w:space="0" w:color="auto"/>
              <w:left w:val="single" w:sz="4" w:space="0" w:color="auto"/>
              <w:bottom w:val="single" w:sz="4" w:space="0" w:color="auto"/>
              <w:right w:val="single" w:sz="4" w:space="0" w:color="auto"/>
            </w:tcBorders>
            <w:hideMark/>
          </w:tcPr>
          <w:p w14:paraId="691E1C43" w14:textId="77777777" w:rsidR="00B05AA9" w:rsidRDefault="00B05AA9" w:rsidP="00641EEB">
            <w:pPr>
              <w:pStyle w:val="TableText10"/>
              <w:rPr>
                <w:sz w:val="22"/>
                <w:szCs w:val="22"/>
                <w:lang w:val="en-GB"/>
              </w:rPr>
            </w:pPr>
            <w:r>
              <w:rPr>
                <w:sz w:val="22"/>
                <w:szCs w:val="22"/>
                <w:lang w:val="en-GB"/>
              </w:rPr>
              <w:t>Nepoznato</w:t>
            </w:r>
          </w:p>
        </w:tc>
      </w:tr>
      <w:tr w:rsidR="00B05AA9" w14:paraId="68465F3C" w14:textId="77777777" w:rsidTr="00B05AA9">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27C0A" w14:textId="77777777" w:rsidR="00B05AA9" w:rsidRDefault="00B05AA9"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430D4E3F" w14:textId="189E1F27" w:rsidR="00B05AA9" w:rsidRDefault="0038501C" w:rsidP="00641EEB">
            <w:pPr>
              <w:pStyle w:val="TableText10"/>
              <w:rPr>
                <w:sz w:val="22"/>
                <w:szCs w:val="22"/>
                <w:lang w:val="en-GB"/>
              </w:rPr>
            </w:pPr>
            <w:r>
              <w:rPr>
                <w:sz w:val="22"/>
                <w:szCs w:val="22"/>
                <w:lang w:val="en-GB"/>
              </w:rPr>
              <w:t>I</w:t>
            </w:r>
            <w:r w:rsidR="00B05AA9">
              <w:rPr>
                <w:sz w:val="22"/>
                <w:szCs w:val="22"/>
                <w:lang w:val="en-GB"/>
              </w:rPr>
              <w:t>munološka trombocitopenija</w:t>
            </w:r>
          </w:p>
        </w:tc>
        <w:tc>
          <w:tcPr>
            <w:tcW w:w="1289" w:type="pct"/>
            <w:tcBorders>
              <w:top w:val="single" w:sz="4" w:space="0" w:color="auto"/>
              <w:left w:val="single" w:sz="4" w:space="0" w:color="auto"/>
              <w:bottom w:val="single" w:sz="4" w:space="0" w:color="auto"/>
              <w:right w:val="single" w:sz="4" w:space="0" w:color="auto"/>
            </w:tcBorders>
            <w:hideMark/>
          </w:tcPr>
          <w:p w14:paraId="707F8CB8" w14:textId="77777777" w:rsidR="00B05AA9" w:rsidRDefault="00B05AA9" w:rsidP="00641EEB">
            <w:pPr>
              <w:pStyle w:val="TableText10"/>
              <w:rPr>
                <w:sz w:val="22"/>
                <w:szCs w:val="22"/>
                <w:lang w:val="en-GB"/>
              </w:rPr>
            </w:pPr>
            <w:r>
              <w:rPr>
                <w:sz w:val="22"/>
                <w:szCs w:val="22"/>
                <w:lang w:val="en-GB"/>
              </w:rPr>
              <w:t>nepoznato</w:t>
            </w:r>
          </w:p>
        </w:tc>
      </w:tr>
      <w:tr w:rsidR="00B05AA9" w14:paraId="29770861" w14:textId="77777777" w:rsidTr="00B05AA9">
        <w:trPr>
          <w:trHeight w:val="107"/>
        </w:trPr>
        <w:tc>
          <w:tcPr>
            <w:tcW w:w="1524" w:type="pct"/>
            <w:vMerge w:val="restart"/>
            <w:tcBorders>
              <w:top w:val="single" w:sz="4" w:space="0" w:color="auto"/>
              <w:left w:val="single" w:sz="4" w:space="0" w:color="auto"/>
              <w:bottom w:val="single" w:sz="4" w:space="0" w:color="auto"/>
              <w:right w:val="single" w:sz="4" w:space="0" w:color="auto"/>
            </w:tcBorders>
            <w:hideMark/>
          </w:tcPr>
          <w:p w14:paraId="6EC06C51" w14:textId="77777777" w:rsidR="00B05AA9" w:rsidRDefault="00B05AA9" w:rsidP="00641EEB">
            <w:pPr>
              <w:pStyle w:val="TableText10"/>
              <w:rPr>
                <w:sz w:val="22"/>
                <w:szCs w:val="22"/>
                <w:lang w:val="en-GB"/>
              </w:rPr>
            </w:pPr>
            <w:r>
              <w:rPr>
                <w:sz w:val="22"/>
                <w:szCs w:val="22"/>
                <w:lang w:val="en-GB"/>
              </w:rPr>
              <w:t>Poremećaji imunog sistema</w:t>
            </w:r>
          </w:p>
        </w:tc>
        <w:tc>
          <w:tcPr>
            <w:tcW w:w="2187" w:type="pct"/>
            <w:tcBorders>
              <w:top w:val="single" w:sz="4" w:space="0" w:color="auto"/>
              <w:left w:val="single" w:sz="4" w:space="0" w:color="auto"/>
              <w:bottom w:val="single" w:sz="4" w:space="0" w:color="auto"/>
              <w:right w:val="single" w:sz="4" w:space="0" w:color="auto"/>
            </w:tcBorders>
            <w:hideMark/>
          </w:tcPr>
          <w:p w14:paraId="6708525D" w14:textId="77777777" w:rsidR="00B05AA9" w:rsidRDefault="00B05AA9" w:rsidP="00641EEB">
            <w:pPr>
              <w:pStyle w:val="TableText10"/>
              <w:rPr>
                <w:sz w:val="22"/>
                <w:szCs w:val="22"/>
                <w:lang w:val="en-GB"/>
              </w:rPr>
            </w:pPr>
            <w:r>
              <w:rPr>
                <w:sz w:val="22"/>
                <w:szCs w:val="22"/>
                <w:lang w:val="en-GB"/>
              </w:rPr>
              <w:t xml:space="preserve">Preosjetljivost </w:t>
            </w:r>
          </w:p>
        </w:tc>
        <w:tc>
          <w:tcPr>
            <w:tcW w:w="1289" w:type="pct"/>
            <w:tcBorders>
              <w:top w:val="single" w:sz="4" w:space="0" w:color="auto"/>
              <w:left w:val="single" w:sz="4" w:space="0" w:color="auto"/>
              <w:bottom w:val="single" w:sz="4" w:space="0" w:color="auto"/>
              <w:right w:val="single" w:sz="4" w:space="0" w:color="auto"/>
            </w:tcBorders>
            <w:hideMark/>
          </w:tcPr>
          <w:p w14:paraId="454CAC33" w14:textId="77777777" w:rsidR="00B05AA9" w:rsidRDefault="00B05AA9" w:rsidP="00641EEB">
            <w:pPr>
              <w:pStyle w:val="TableText10"/>
              <w:rPr>
                <w:sz w:val="22"/>
                <w:szCs w:val="22"/>
                <w:lang w:val="en-GB"/>
              </w:rPr>
            </w:pPr>
            <w:r>
              <w:rPr>
                <w:sz w:val="22"/>
                <w:szCs w:val="22"/>
                <w:lang w:val="en-GB"/>
              </w:rPr>
              <w:t>Često</w:t>
            </w:r>
          </w:p>
        </w:tc>
      </w:tr>
      <w:tr w:rsidR="00B05AA9" w14:paraId="7B6FD970" w14:textId="77777777" w:rsidTr="00B05AA9">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941A3" w14:textId="77777777" w:rsidR="00B05AA9" w:rsidRDefault="00B05AA9"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6AA7E03B" w14:textId="77777777" w:rsidR="00B05AA9" w:rsidRDefault="00B05AA9" w:rsidP="00641EEB">
            <w:pPr>
              <w:pStyle w:val="TableText10"/>
              <w:rPr>
                <w:sz w:val="22"/>
                <w:szCs w:val="22"/>
                <w:lang w:val="en-GB"/>
              </w:rPr>
            </w:pPr>
            <w:r>
              <w:rPr>
                <w:sz w:val="22"/>
                <w:szCs w:val="22"/>
                <w:vertAlign w:val="superscript"/>
                <w:lang w:val="en-GB"/>
              </w:rPr>
              <w:t>+</w:t>
            </w:r>
            <w:r>
              <w:rPr>
                <w:sz w:val="22"/>
                <w:szCs w:val="22"/>
                <w:lang w:val="en-GB"/>
              </w:rPr>
              <w:t>Anafilaktička reakcija</w:t>
            </w:r>
          </w:p>
        </w:tc>
        <w:tc>
          <w:tcPr>
            <w:tcW w:w="1289" w:type="pct"/>
            <w:tcBorders>
              <w:top w:val="single" w:sz="4" w:space="0" w:color="auto"/>
              <w:left w:val="single" w:sz="4" w:space="0" w:color="auto"/>
              <w:bottom w:val="single" w:sz="4" w:space="0" w:color="auto"/>
              <w:right w:val="single" w:sz="4" w:space="0" w:color="auto"/>
            </w:tcBorders>
            <w:hideMark/>
          </w:tcPr>
          <w:p w14:paraId="4552255A" w14:textId="4B77FA83" w:rsidR="00B05AA9" w:rsidRDefault="00EB7A81" w:rsidP="00641EEB">
            <w:pPr>
              <w:pStyle w:val="TableText10"/>
              <w:rPr>
                <w:sz w:val="22"/>
                <w:szCs w:val="22"/>
                <w:lang w:val="en-GB"/>
              </w:rPr>
            </w:pPr>
            <w:r>
              <w:rPr>
                <w:sz w:val="22"/>
                <w:szCs w:val="22"/>
                <w:lang w:val="en-GB"/>
              </w:rPr>
              <w:t>Rijetko</w:t>
            </w:r>
          </w:p>
        </w:tc>
      </w:tr>
      <w:tr w:rsidR="00B05AA9" w14:paraId="0BEDCFA1" w14:textId="77777777" w:rsidTr="00B05AA9">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5A589" w14:textId="77777777" w:rsidR="00B05AA9" w:rsidRDefault="00B05AA9"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46DC3862" w14:textId="77777777" w:rsidR="00B05AA9" w:rsidRDefault="00B05AA9" w:rsidP="00641EEB">
            <w:pPr>
              <w:pStyle w:val="TableText10"/>
              <w:rPr>
                <w:sz w:val="22"/>
                <w:szCs w:val="22"/>
                <w:lang w:val="en-GB"/>
              </w:rPr>
            </w:pPr>
            <w:r>
              <w:rPr>
                <w:sz w:val="22"/>
                <w:szCs w:val="22"/>
                <w:vertAlign w:val="superscript"/>
                <w:lang w:val="en-GB"/>
              </w:rPr>
              <w:t>+</w:t>
            </w:r>
            <w:r>
              <w:rPr>
                <w:sz w:val="22"/>
                <w:szCs w:val="22"/>
                <w:lang w:val="en-GB"/>
              </w:rPr>
              <w:t>Anafilaktički šok</w:t>
            </w:r>
          </w:p>
        </w:tc>
        <w:tc>
          <w:tcPr>
            <w:tcW w:w="1289" w:type="pct"/>
            <w:tcBorders>
              <w:top w:val="single" w:sz="4" w:space="0" w:color="auto"/>
              <w:left w:val="single" w:sz="4" w:space="0" w:color="auto"/>
              <w:bottom w:val="single" w:sz="4" w:space="0" w:color="auto"/>
              <w:right w:val="single" w:sz="4" w:space="0" w:color="auto"/>
            </w:tcBorders>
            <w:hideMark/>
          </w:tcPr>
          <w:p w14:paraId="096BE99D" w14:textId="54D260D6" w:rsidR="00B05AA9" w:rsidRDefault="00EB7A81" w:rsidP="00641EEB">
            <w:pPr>
              <w:pStyle w:val="TableText10"/>
              <w:rPr>
                <w:sz w:val="22"/>
                <w:szCs w:val="22"/>
                <w:lang w:val="en-GB"/>
              </w:rPr>
            </w:pPr>
            <w:r>
              <w:rPr>
                <w:sz w:val="22"/>
                <w:szCs w:val="22"/>
                <w:lang w:val="en-GB"/>
              </w:rPr>
              <w:t>Rijetko</w:t>
            </w:r>
          </w:p>
        </w:tc>
      </w:tr>
      <w:tr w:rsidR="00B05AA9" w14:paraId="0F23236C" w14:textId="77777777" w:rsidTr="00B05AA9">
        <w:trPr>
          <w:trHeight w:val="233"/>
        </w:trPr>
        <w:tc>
          <w:tcPr>
            <w:tcW w:w="1524" w:type="pct"/>
            <w:vMerge w:val="restart"/>
            <w:tcBorders>
              <w:top w:val="single" w:sz="4" w:space="0" w:color="auto"/>
              <w:left w:val="single" w:sz="4" w:space="0" w:color="auto"/>
              <w:bottom w:val="single" w:sz="4" w:space="0" w:color="auto"/>
              <w:right w:val="single" w:sz="4" w:space="0" w:color="auto"/>
            </w:tcBorders>
            <w:hideMark/>
          </w:tcPr>
          <w:p w14:paraId="3D4311AE" w14:textId="77777777" w:rsidR="00B05AA9" w:rsidRDefault="00B05AA9" w:rsidP="00641EEB">
            <w:pPr>
              <w:pStyle w:val="TableText10"/>
              <w:rPr>
                <w:sz w:val="22"/>
                <w:szCs w:val="22"/>
                <w:lang w:val="pl-PL"/>
              </w:rPr>
            </w:pPr>
            <w:r>
              <w:rPr>
                <w:sz w:val="22"/>
                <w:szCs w:val="22"/>
                <w:lang w:val="pl-PL"/>
              </w:rPr>
              <w:t>Poremećaji metabolizma i ishrane</w:t>
            </w:r>
          </w:p>
        </w:tc>
        <w:tc>
          <w:tcPr>
            <w:tcW w:w="2187" w:type="pct"/>
            <w:tcBorders>
              <w:top w:val="single" w:sz="4" w:space="0" w:color="auto"/>
              <w:left w:val="single" w:sz="4" w:space="0" w:color="auto"/>
              <w:bottom w:val="single" w:sz="4" w:space="0" w:color="auto"/>
              <w:right w:val="single" w:sz="4" w:space="0" w:color="auto"/>
            </w:tcBorders>
            <w:hideMark/>
          </w:tcPr>
          <w:p w14:paraId="510A10E8" w14:textId="77777777" w:rsidR="00B05AA9" w:rsidRDefault="00B05AA9" w:rsidP="00641EEB">
            <w:pPr>
              <w:pStyle w:val="TableText10"/>
              <w:rPr>
                <w:sz w:val="22"/>
                <w:szCs w:val="22"/>
                <w:lang w:val="en-GB"/>
              </w:rPr>
            </w:pPr>
            <w:r>
              <w:rPr>
                <w:sz w:val="22"/>
                <w:szCs w:val="22"/>
                <w:lang w:val="en-GB"/>
              </w:rPr>
              <w:t>Smanjenje tjelesne mase/gubitak tjelesne mase</w:t>
            </w:r>
          </w:p>
        </w:tc>
        <w:tc>
          <w:tcPr>
            <w:tcW w:w="1289" w:type="pct"/>
            <w:tcBorders>
              <w:top w:val="single" w:sz="4" w:space="0" w:color="auto"/>
              <w:left w:val="single" w:sz="4" w:space="0" w:color="auto"/>
              <w:bottom w:val="single" w:sz="4" w:space="0" w:color="auto"/>
              <w:right w:val="single" w:sz="4" w:space="0" w:color="auto"/>
            </w:tcBorders>
            <w:hideMark/>
          </w:tcPr>
          <w:p w14:paraId="0A37862D" w14:textId="77777777" w:rsidR="00B05AA9" w:rsidRDefault="00B05AA9" w:rsidP="00641EEB">
            <w:pPr>
              <w:pStyle w:val="TableText10"/>
              <w:rPr>
                <w:sz w:val="22"/>
                <w:szCs w:val="22"/>
                <w:lang w:val="en-GB"/>
              </w:rPr>
            </w:pPr>
            <w:r>
              <w:rPr>
                <w:sz w:val="22"/>
                <w:szCs w:val="22"/>
                <w:lang w:val="en-GB"/>
              </w:rPr>
              <w:t>Vrlo često</w:t>
            </w:r>
          </w:p>
        </w:tc>
      </w:tr>
      <w:tr w:rsidR="00B05AA9" w14:paraId="07D790AD" w14:textId="77777777" w:rsidTr="00B05AA9">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2AD1E" w14:textId="77777777" w:rsidR="00B05AA9" w:rsidRDefault="00B05AA9"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31882B4B" w14:textId="77777777" w:rsidR="00B05AA9" w:rsidRDefault="00B05AA9" w:rsidP="00641EEB">
            <w:pPr>
              <w:pStyle w:val="TableText10"/>
              <w:rPr>
                <w:sz w:val="22"/>
                <w:szCs w:val="22"/>
                <w:lang w:val="en-GB"/>
              </w:rPr>
            </w:pPr>
            <w:r>
              <w:rPr>
                <w:sz w:val="22"/>
                <w:szCs w:val="22"/>
                <w:lang w:val="en-GB"/>
              </w:rPr>
              <w:t>Anoreksija</w:t>
            </w:r>
          </w:p>
        </w:tc>
        <w:tc>
          <w:tcPr>
            <w:tcW w:w="1289" w:type="pct"/>
            <w:tcBorders>
              <w:top w:val="single" w:sz="4" w:space="0" w:color="auto"/>
              <w:left w:val="single" w:sz="4" w:space="0" w:color="auto"/>
              <w:bottom w:val="single" w:sz="4" w:space="0" w:color="auto"/>
              <w:right w:val="single" w:sz="4" w:space="0" w:color="auto"/>
            </w:tcBorders>
            <w:hideMark/>
          </w:tcPr>
          <w:p w14:paraId="4FF1BC74" w14:textId="77777777" w:rsidR="00B05AA9" w:rsidRDefault="00B05AA9" w:rsidP="00641EEB">
            <w:pPr>
              <w:pStyle w:val="TableText10"/>
              <w:rPr>
                <w:sz w:val="22"/>
                <w:szCs w:val="22"/>
                <w:lang w:val="en-GB"/>
              </w:rPr>
            </w:pPr>
            <w:r>
              <w:rPr>
                <w:sz w:val="22"/>
                <w:szCs w:val="22"/>
                <w:lang w:val="en-GB"/>
              </w:rPr>
              <w:t>Vrlo često</w:t>
            </w:r>
          </w:p>
        </w:tc>
      </w:tr>
      <w:tr w:rsidR="005023EC" w14:paraId="608A0366" w14:textId="77777777" w:rsidTr="00B05AA9">
        <w:trPr>
          <w:trHeight w:val="233"/>
        </w:trPr>
        <w:tc>
          <w:tcPr>
            <w:tcW w:w="0" w:type="auto"/>
            <w:vMerge/>
            <w:tcBorders>
              <w:top w:val="single" w:sz="4" w:space="0" w:color="auto"/>
              <w:left w:val="single" w:sz="4" w:space="0" w:color="auto"/>
              <w:bottom w:val="single" w:sz="4" w:space="0" w:color="auto"/>
              <w:right w:val="single" w:sz="4" w:space="0" w:color="auto"/>
            </w:tcBorders>
            <w:vAlign w:val="center"/>
          </w:tcPr>
          <w:p w14:paraId="1F3E1770" w14:textId="77777777" w:rsidR="005023EC" w:rsidRDefault="005023EC"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tcPr>
          <w:p w14:paraId="2C15F7AF" w14:textId="079641AF" w:rsidR="005023EC" w:rsidRDefault="005023EC" w:rsidP="00641EEB">
            <w:pPr>
              <w:pStyle w:val="TableText10"/>
              <w:rPr>
                <w:sz w:val="22"/>
                <w:szCs w:val="22"/>
                <w:lang w:val="en-GB"/>
              </w:rPr>
            </w:pPr>
            <w:r w:rsidRPr="00442616">
              <w:rPr>
                <w:sz w:val="22"/>
                <w:szCs w:val="22"/>
                <w:lang w:val="en-GB"/>
              </w:rPr>
              <w:t>Sindrom lize tumora</w:t>
            </w:r>
          </w:p>
        </w:tc>
        <w:tc>
          <w:tcPr>
            <w:tcW w:w="1289" w:type="pct"/>
            <w:tcBorders>
              <w:top w:val="single" w:sz="4" w:space="0" w:color="auto"/>
              <w:left w:val="single" w:sz="4" w:space="0" w:color="auto"/>
              <w:bottom w:val="single" w:sz="4" w:space="0" w:color="auto"/>
              <w:right w:val="single" w:sz="4" w:space="0" w:color="auto"/>
            </w:tcBorders>
          </w:tcPr>
          <w:p w14:paraId="61CBBFCD" w14:textId="7C9F553F" w:rsidR="005023EC" w:rsidRDefault="005023EC" w:rsidP="00641EEB">
            <w:pPr>
              <w:pStyle w:val="TableText10"/>
              <w:rPr>
                <w:sz w:val="22"/>
                <w:szCs w:val="22"/>
                <w:lang w:val="en-GB"/>
              </w:rPr>
            </w:pPr>
            <w:r w:rsidRPr="00442616">
              <w:rPr>
                <w:sz w:val="22"/>
                <w:szCs w:val="22"/>
                <w:lang w:val="en-GB"/>
              </w:rPr>
              <w:t>Nepoznato</w:t>
            </w:r>
          </w:p>
        </w:tc>
      </w:tr>
      <w:tr w:rsidR="005023EC" w14:paraId="44C4C65D" w14:textId="77777777" w:rsidTr="005023EC">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D5EADA" w14:textId="77777777" w:rsidR="005023EC" w:rsidRDefault="005023EC" w:rsidP="00641EEB">
            <w:pPr>
              <w:rPr>
                <w:sz w:val="22"/>
                <w:szCs w:val="22"/>
                <w:lang w:val="pl-PL" w:eastAsia="ja-JP"/>
              </w:rPr>
            </w:pPr>
          </w:p>
        </w:tc>
        <w:tc>
          <w:tcPr>
            <w:tcW w:w="2187" w:type="pct"/>
            <w:tcBorders>
              <w:top w:val="single" w:sz="4" w:space="0" w:color="auto"/>
              <w:left w:val="single" w:sz="4" w:space="0" w:color="auto"/>
              <w:right w:val="single" w:sz="4" w:space="0" w:color="auto"/>
            </w:tcBorders>
            <w:hideMark/>
          </w:tcPr>
          <w:p w14:paraId="709F9B43" w14:textId="3BFD39CE" w:rsidR="005023EC" w:rsidRDefault="005023EC" w:rsidP="00641EEB">
            <w:pPr>
              <w:pStyle w:val="TableText10"/>
              <w:rPr>
                <w:sz w:val="22"/>
                <w:szCs w:val="22"/>
                <w:lang w:val="en-GB"/>
              </w:rPr>
            </w:pPr>
            <w:r>
              <w:rPr>
                <w:sz w:val="22"/>
                <w:szCs w:val="22"/>
                <w:lang w:val="en-GB"/>
              </w:rPr>
              <w:t>Hiperkalemija</w:t>
            </w:r>
          </w:p>
        </w:tc>
        <w:tc>
          <w:tcPr>
            <w:tcW w:w="1289" w:type="pct"/>
            <w:tcBorders>
              <w:top w:val="single" w:sz="4" w:space="0" w:color="auto"/>
              <w:left w:val="single" w:sz="4" w:space="0" w:color="auto"/>
              <w:right w:val="single" w:sz="4" w:space="0" w:color="auto"/>
            </w:tcBorders>
            <w:hideMark/>
          </w:tcPr>
          <w:p w14:paraId="36145319" w14:textId="1051A684" w:rsidR="005023EC" w:rsidRDefault="005023EC" w:rsidP="00641EEB">
            <w:pPr>
              <w:pStyle w:val="TableText10"/>
              <w:rPr>
                <w:sz w:val="22"/>
                <w:szCs w:val="22"/>
                <w:lang w:val="en-GB"/>
              </w:rPr>
            </w:pPr>
            <w:r>
              <w:rPr>
                <w:sz w:val="22"/>
                <w:szCs w:val="22"/>
                <w:lang w:val="en-GB"/>
              </w:rPr>
              <w:t>Nepoznato</w:t>
            </w:r>
          </w:p>
        </w:tc>
      </w:tr>
      <w:tr w:rsidR="005023EC" w14:paraId="39397933" w14:textId="77777777" w:rsidTr="00B05AA9">
        <w:trPr>
          <w:trHeight w:val="120"/>
        </w:trPr>
        <w:tc>
          <w:tcPr>
            <w:tcW w:w="1524" w:type="pct"/>
            <w:vMerge w:val="restart"/>
            <w:tcBorders>
              <w:top w:val="single" w:sz="4" w:space="0" w:color="auto"/>
              <w:left w:val="single" w:sz="4" w:space="0" w:color="auto"/>
              <w:bottom w:val="single" w:sz="4" w:space="0" w:color="auto"/>
              <w:right w:val="single" w:sz="4" w:space="0" w:color="auto"/>
            </w:tcBorders>
            <w:hideMark/>
          </w:tcPr>
          <w:p w14:paraId="353B2C2F" w14:textId="788AB1FA" w:rsidR="005023EC" w:rsidRDefault="005023EC" w:rsidP="00641EEB">
            <w:pPr>
              <w:pStyle w:val="TableText10"/>
              <w:rPr>
                <w:sz w:val="22"/>
                <w:szCs w:val="22"/>
                <w:lang w:val="en-GB"/>
              </w:rPr>
            </w:pPr>
            <w:r>
              <w:rPr>
                <w:sz w:val="22"/>
                <w:szCs w:val="22"/>
                <w:lang w:val="en-GB"/>
              </w:rPr>
              <w:t>Psihijatrijski poremećaji</w:t>
            </w:r>
          </w:p>
        </w:tc>
        <w:tc>
          <w:tcPr>
            <w:tcW w:w="2187" w:type="pct"/>
            <w:tcBorders>
              <w:top w:val="single" w:sz="4" w:space="0" w:color="auto"/>
              <w:left w:val="single" w:sz="4" w:space="0" w:color="auto"/>
              <w:bottom w:val="single" w:sz="4" w:space="0" w:color="auto"/>
              <w:right w:val="single" w:sz="4" w:space="0" w:color="auto"/>
            </w:tcBorders>
            <w:hideMark/>
          </w:tcPr>
          <w:p w14:paraId="3A1AE75C" w14:textId="7585A0FC" w:rsidR="005023EC" w:rsidRDefault="005023EC" w:rsidP="00641EEB">
            <w:pPr>
              <w:pStyle w:val="TableText10"/>
              <w:rPr>
                <w:sz w:val="22"/>
                <w:szCs w:val="22"/>
                <w:lang w:val="en-GB"/>
              </w:rPr>
            </w:pPr>
            <w:r>
              <w:rPr>
                <w:sz w:val="22"/>
                <w:szCs w:val="22"/>
                <w:lang w:val="en-GB"/>
              </w:rPr>
              <w:t>Nesanica</w:t>
            </w:r>
          </w:p>
        </w:tc>
        <w:tc>
          <w:tcPr>
            <w:tcW w:w="1289" w:type="pct"/>
            <w:tcBorders>
              <w:top w:val="single" w:sz="4" w:space="0" w:color="auto"/>
              <w:left w:val="single" w:sz="4" w:space="0" w:color="auto"/>
              <w:bottom w:val="single" w:sz="4" w:space="0" w:color="auto"/>
              <w:right w:val="single" w:sz="4" w:space="0" w:color="auto"/>
            </w:tcBorders>
            <w:hideMark/>
          </w:tcPr>
          <w:p w14:paraId="352A778F" w14:textId="10F094D7" w:rsidR="005023EC" w:rsidRDefault="005023EC" w:rsidP="00641EEB">
            <w:pPr>
              <w:pStyle w:val="TableText10"/>
              <w:rPr>
                <w:sz w:val="22"/>
                <w:szCs w:val="22"/>
                <w:lang w:val="en-GB"/>
              </w:rPr>
            </w:pPr>
            <w:r>
              <w:rPr>
                <w:sz w:val="22"/>
                <w:szCs w:val="22"/>
                <w:lang w:val="en-GB"/>
              </w:rPr>
              <w:t>Vrlo često</w:t>
            </w:r>
          </w:p>
        </w:tc>
      </w:tr>
      <w:tr w:rsidR="005023EC" w14:paraId="018E4838" w14:textId="77777777" w:rsidTr="00B05AA9">
        <w:trPr>
          <w:trHeight w:val="120"/>
        </w:trPr>
        <w:tc>
          <w:tcPr>
            <w:tcW w:w="1524" w:type="pct"/>
            <w:vMerge/>
            <w:tcBorders>
              <w:top w:val="single" w:sz="4" w:space="0" w:color="auto"/>
              <w:left w:val="single" w:sz="4" w:space="0" w:color="auto"/>
              <w:bottom w:val="single" w:sz="4" w:space="0" w:color="auto"/>
              <w:right w:val="single" w:sz="4" w:space="0" w:color="auto"/>
            </w:tcBorders>
          </w:tcPr>
          <w:p w14:paraId="3B38F7EB" w14:textId="77777777" w:rsidR="005023EC" w:rsidRDefault="005023EC" w:rsidP="00641EEB">
            <w:pPr>
              <w:pStyle w:val="TableText10"/>
              <w:rPr>
                <w:sz w:val="22"/>
                <w:szCs w:val="22"/>
                <w:lang w:val="en-GB"/>
              </w:rPr>
            </w:pPr>
          </w:p>
        </w:tc>
        <w:tc>
          <w:tcPr>
            <w:tcW w:w="2187" w:type="pct"/>
            <w:tcBorders>
              <w:top w:val="single" w:sz="4" w:space="0" w:color="auto"/>
              <w:left w:val="single" w:sz="4" w:space="0" w:color="auto"/>
              <w:bottom w:val="single" w:sz="4" w:space="0" w:color="auto"/>
              <w:right w:val="single" w:sz="4" w:space="0" w:color="auto"/>
            </w:tcBorders>
          </w:tcPr>
          <w:p w14:paraId="138BD7E7" w14:textId="5098CCAB" w:rsidR="005023EC" w:rsidRDefault="005023EC" w:rsidP="00641EEB">
            <w:pPr>
              <w:pStyle w:val="TableText10"/>
              <w:rPr>
                <w:sz w:val="22"/>
                <w:szCs w:val="22"/>
                <w:lang w:val="en-GB"/>
              </w:rPr>
            </w:pPr>
            <w:r>
              <w:rPr>
                <w:sz w:val="22"/>
                <w:szCs w:val="22"/>
                <w:lang w:val="en-GB"/>
              </w:rPr>
              <w:t>Anksioznost</w:t>
            </w:r>
          </w:p>
        </w:tc>
        <w:tc>
          <w:tcPr>
            <w:tcW w:w="1289" w:type="pct"/>
            <w:tcBorders>
              <w:top w:val="single" w:sz="4" w:space="0" w:color="auto"/>
              <w:left w:val="single" w:sz="4" w:space="0" w:color="auto"/>
              <w:bottom w:val="single" w:sz="4" w:space="0" w:color="auto"/>
              <w:right w:val="single" w:sz="4" w:space="0" w:color="auto"/>
            </w:tcBorders>
          </w:tcPr>
          <w:p w14:paraId="76E6711C" w14:textId="6C76B6AC" w:rsidR="005023EC" w:rsidRDefault="005023EC" w:rsidP="00641EEB">
            <w:pPr>
              <w:pStyle w:val="TableText10"/>
              <w:rPr>
                <w:sz w:val="22"/>
                <w:szCs w:val="22"/>
                <w:lang w:val="en-GB"/>
              </w:rPr>
            </w:pPr>
            <w:r>
              <w:rPr>
                <w:sz w:val="22"/>
                <w:szCs w:val="22"/>
                <w:lang w:val="en-GB"/>
              </w:rPr>
              <w:t>Često</w:t>
            </w:r>
          </w:p>
        </w:tc>
      </w:tr>
      <w:tr w:rsidR="005023EC" w14:paraId="59BE8C40"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B619B"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1D0C6D79" w14:textId="77777777" w:rsidR="005023EC" w:rsidRDefault="005023EC" w:rsidP="00641EEB">
            <w:pPr>
              <w:pStyle w:val="TableText10"/>
              <w:rPr>
                <w:sz w:val="22"/>
                <w:szCs w:val="22"/>
                <w:lang w:val="en-GB"/>
              </w:rPr>
            </w:pPr>
            <w:r>
              <w:rPr>
                <w:sz w:val="22"/>
                <w:szCs w:val="22"/>
                <w:lang w:val="en-GB"/>
              </w:rPr>
              <w:t>Depresija</w:t>
            </w:r>
          </w:p>
        </w:tc>
        <w:tc>
          <w:tcPr>
            <w:tcW w:w="1289" w:type="pct"/>
            <w:tcBorders>
              <w:top w:val="single" w:sz="4" w:space="0" w:color="auto"/>
              <w:left w:val="single" w:sz="4" w:space="0" w:color="auto"/>
              <w:bottom w:val="single" w:sz="4" w:space="0" w:color="auto"/>
              <w:right w:val="single" w:sz="4" w:space="0" w:color="auto"/>
            </w:tcBorders>
            <w:hideMark/>
          </w:tcPr>
          <w:p w14:paraId="00D07FAC" w14:textId="77777777" w:rsidR="005023EC" w:rsidRDefault="005023EC" w:rsidP="00641EEB">
            <w:pPr>
              <w:pStyle w:val="TableText10"/>
              <w:rPr>
                <w:sz w:val="22"/>
                <w:szCs w:val="22"/>
                <w:lang w:val="en-GB"/>
              </w:rPr>
            </w:pPr>
            <w:r>
              <w:rPr>
                <w:sz w:val="22"/>
                <w:szCs w:val="22"/>
                <w:lang w:val="en-GB"/>
              </w:rPr>
              <w:t>Često</w:t>
            </w:r>
          </w:p>
        </w:tc>
      </w:tr>
      <w:tr w:rsidR="005023EC" w14:paraId="2DC1F8C2" w14:textId="77777777" w:rsidTr="00B05AA9">
        <w:trPr>
          <w:trHeight w:val="224"/>
        </w:trPr>
        <w:tc>
          <w:tcPr>
            <w:tcW w:w="1524" w:type="pct"/>
            <w:vMerge w:val="restart"/>
            <w:tcBorders>
              <w:top w:val="single" w:sz="4" w:space="0" w:color="auto"/>
              <w:left w:val="single" w:sz="4" w:space="0" w:color="auto"/>
              <w:bottom w:val="single" w:sz="4" w:space="0" w:color="auto"/>
              <w:right w:val="single" w:sz="4" w:space="0" w:color="auto"/>
            </w:tcBorders>
            <w:hideMark/>
          </w:tcPr>
          <w:p w14:paraId="6919FD86" w14:textId="77777777" w:rsidR="005023EC" w:rsidRDefault="005023EC" w:rsidP="00641EEB">
            <w:pPr>
              <w:pStyle w:val="TableText10"/>
              <w:rPr>
                <w:sz w:val="22"/>
                <w:szCs w:val="22"/>
                <w:lang w:val="en-GB"/>
              </w:rPr>
            </w:pPr>
            <w:r>
              <w:rPr>
                <w:sz w:val="22"/>
                <w:szCs w:val="22"/>
                <w:lang w:val="en-GB"/>
              </w:rPr>
              <w:t>Poremećaji nervnog sistema</w:t>
            </w:r>
          </w:p>
        </w:tc>
        <w:tc>
          <w:tcPr>
            <w:tcW w:w="2187" w:type="pct"/>
            <w:tcBorders>
              <w:top w:val="single" w:sz="4" w:space="0" w:color="auto"/>
              <w:left w:val="single" w:sz="4" w:space="0" w:color="auto"/>
              <w:bottom w:val="single" w:sz="4" w:space="0" w:color="auto"/>
              <w:right w:val="single" w:sz="4" w:space="0" w:color="auto"/>
            </w:tcBorders>
            <w:hideMark/>
          </w:tcPr>
          <w:p w14:paraId="251FE17C" w14:textId="77777777" w:rsidR="005023EC" w:rsidRDefault="005023EC" w:rsidP="00641EEB">
            <w:pPr>
              <w:pStyle w:val="TableText10"/>
              <w:rPr>
                <w:sz w:val="22"/>
                <w:szCs w:val="22"/>
                <w:lang w:val="en-GB"/>
              </w:rPr>
            </w:pPr>
            <w:r>
              <w:rPr>
                <w:sz w:val="22"/>
                <w:szCs w:val="22"/>
                <w:vertAlign w:val="superscript"/>
                <w:lang w:val="en-GB"/>
              </w:rPr>
              <w:t>1</w:t>
            </w:r>
            <w:r>
              <w:rPr>
                <w:sz w:val="22"/>
                <w:szCs w:val="22"/>
                <w:lang w:val="en-GB"/>
              </w:rPr>
              <w:t>Tremor</w:t>
            </w:r>
          </w:p>
        </w:tc>
        <w:tc>
          <w:tcPr>
            <w:tcW w:w="1289" w:type="pct"/>
            <w:tcBorders>
              <w:top w:val="single" w:sz="4" w:space="0" w:color="auto"/>
              <w:left w:val="single" w:sz="4" w:space="0" w:color="auto"/>
              <w:bottom w:val="single" w:sz="4" w:space="0" w:color="auto"/>
              <w:right w:val="single" w:sz="4" w:space="0" w:color="auto"/>
            </w:tcBorders>
            <w:hideMark/>
          </w:tcPr>
          <w:p w14:paraId="531A29C9" w14:textId="77777777" w:rsidR="005023EC" w:rsidRDefault="005023EC" w:rsidP="00641EEB">
            <w:pPr>
              <w:pStyle w:val="TableText10"/>
              <w:rPr>
                <w:sz w:val="22"/>
                <w:szCs w:val="22"/>
                <w:lang w:val="en-GB"/>
              </w:rPr>
            </w:pPr>
            <w:r>
              <w:rPr>
                <w:sz w:val="22"/>
                <w:szCs w:val="22"/>
                <w:lang w:val="en-GB"/>
              </w:rPr>
              <w:t>Vrlo često</w:t>
            </w:r>
          </w:p>
        </w:tc>
      </w:tr>
      <w:tr w:rsidR="005023EC" w14:paraId="10EBF8C8" w14:textId="77777777" w:rsidTr="00B05AA9">
        <w:trPr>
          <w:cantSplit/>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1042B"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BB9A95B" w14:textId="77777777" w:rsidR="005023EC" w:rsidRDefault="005023EC" w:rsidP="00641EEB">
            <w:pPr>
              <w:pStyle w:val="TableText10"/>
              <w:rPr>
                <w:sz w:val="22"/>
                <w:szCs w:val="22"/>
                <w:lang w:val="en-GB"/>
              </w:rPr>
            </w:pPr>
            <w:r>
              <w:rPr>
                <w:sz w:val="22"/>
                <w:szCs w:val="22"/>
                <w:lang w:val="en-GB"/>
              </w:rPr>
              <w:t>Vrtoglavica</w:t>
            </w:r>
          </w:p>
        </w:tc>
        <w:tc>
          <w:tcPr>
            <w:tcW w:w="1289" w:type="pct"/>
            <w:tcBorders>
              <w:top w:val="single" w:sz="4" w:space="0" w:color="auto"/>
              <w:left w:val="single" w:sz="4" w:space="0" w:color="auto"/>
              <w:bottom w:val="single" w:sz="4" w:space="0" w:color="auto"/>
              <w:right w:val="single" w:sz="4" w:space="0" w:color="auto"/>
            </w:tcBorders>
            <w:hideMark/>
          </w:tcPr>
          <w:p w14:paraId="7CA2E9B0" w14:textId="77777777" w:rsidR="005023EC" w:rsidRDefault="005023EC" w:rsidP="00641EEB">
            <w:pPr>
              <w:pStyle w:val="TableText10"/>
              <w:rPr>
                <w:sz w:val="22"/>
                <w:szCs w:val="22"/>
                <w:lang w:val="en-GB"/>
              </w:rPr>
            </w:pPr>
            <w:r>
              <w:rPr>
                <w:sz w:val="22"/>
                <w:szCs w:val="22"/>
                <w:lang w:val="en-GB"/>
              </w:rPr>
              <w:t xml:space="preserve">Vrlo često </w:t>
            </w:r>
          </w:p>
        </w:tc>
      </w:tr>
      <w:tr w:rsidR="005023EC" w14:paraId="3E83CD9C" w14:textId="77777777" w:rsidTr="00B05AA9">
        <w:trPr>
          <w:cantSplit/>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3BD3D"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56FA9EC" w14:textId="77777777" w:rsidR="005023EC" w:rsidRDefault="005023EC" w:rsidP="00641EEB">
            <w:pPr>
              <w:pStyle w:val="TableText10"/>
              <w:rPr>
                <w:sz w:val="22"/>
                <w:szCs w:val="22"/>
                <w:lang w:val="en-GB"/>
              </w:rPr>
            </w:pPr>
            <w:r>
              <w:rPr>
                <w:sz w:val="22"/>
                <w:szCs w:val="22"/>
                <w:lang w:val="en-GB"/>
              </w:rPr>
              <w:t>Glavobolja</w:t>
            </w:r>
          </w:p>
        </w:tc>
        <w:tc>
          <w:tcPr>
            <w:tcW w:w="1289" w:type="pct"/>
            <w:tcBorders>
              <w:top w:val="single" w:sz="4" w:space="0" w:color="auto"/>
              <w:left w:val="single" w:sz="4" w:space="0" w:color="auto"/>
              <w:bottom w:val="single" w:sz="4" w:space="0" w:color="auto"/>
              <w:right w:val="single" w:sz="4" w:space="0" w:color="auto"/>
            </w:tcBorders>
            <w:hideMark/>
          </w:tcPr>
          <w:p w14:paraId="37D697A1" w14:textId="77777777" w:rsidR="005023EC" w:rsidRDefault="005023EC" w:rsidP="00641EEB">
            <w:pPr>
              <w:pStyle w:val="TableText10"/>
              <w:rPr>
                <w:sz w:val="22"/>
                <w:szCs w:val="22"/>
                <w:lang w:val="en-GB"/>
              </w:rPr>
            </w:pPr>
            <w:r>
              <w:rPr>
                <w:sz w:val="22"/>
                <w:szCs w:val="22"/>
                <w:lang w:val="en-GB"/>
              </w:rPr>
              <w:t xml:space="preserve">Vrlo često </w:t>
            </w:r>
          </w:p>
        </w:tc>
      </w:tr>
      <w:tr w:rsidR="005023EC" w14:paraId="3E939D45" w14:textId="77777777" w:rsidTr="00B05AA9">
        <w:trPr>
          <w:cantSplit/>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3B682"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2F2D7517" w14:textId="77777777" w:rsidR="005023EC" w:rsidRDefault="005023EC" w:rsidP="00641EEB">
            <w:pPr>
              <w:pStyle w:val="TableText10"/>
              <w:rPr>
                <w:sz w:val="22"/>
                <w:szCs w:val="22"/>
                <w:lang w:val="en-GB"/>
              </w:rPr>
            </w:pPr>
            <w:r>
              <w:rPr>
                <w:sz w:val="22"/>
                <w:szCs w:val="22"/>
                <w:lang w:val="en-GB"/>
              </w:rPr>
              <w:t>Parestezija</w:t>
            </w:r>
          </w:p>
        </w:tc>
        <w:tc>
          <w:tcPr>
            <w:tcW w:w="1289" w:type="pct"/>
            <w:tcBorders>
              <w:top w:val="single" w:sz="4" w:space="0" w:color="auto"/>
              <w:left w:val="single" w:sz="4" w:space="0" w:color="auto"/>
              <w:bottom w:val="single" w:sz="4" w:space="0" w:color="auto"/>
              <w:right w:val="single" w:sz="4" w:space="0" w:color="auto"/>
            </w:tcBorders>
            <w:hideMark/>
          </w:tcPr>
          <w:p w14:paraId="7DF1C15A" w14:textId="77777777" w:rsidR="005023EC" w:rsidRDefault="005023EC" w:rsidP="00641EEB">
            <w:pPr>
              <w:pStyle w:val="TableText10"/>
              <w:rPr>
                <w:sz w:val="22"/>
                <w:szCs w:val="22"/>
                <w:lang w:val="en-GB"/>
              </w:rPr>
            </w:pPr>
            <w:r>
              <w:rPr>
                <w:sz w:val="22"/>
                <w:szCs w:val="22"/>
                <w:lang w:val="en-GB"/>
              </w:rPr>
              <w:t xml:space="preserve">Vrlo često </w:t>
            </w:r>
          </w:p>
        </w:tc>
      </w:tr>
      <w:tr w:rsidR="005023EC" w14:paraId="03C65914" w14:textId="77777777" w:rsidTr="00B05AA9">
        <w:trPr>
          <w:cantSplit/>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53868"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2351CD8B" w14:textId="77777777" w:rsidR="005023EC" w:rsidRDefault="005023EC" w:rsidP="00641EEB">
            <w:pPr>
              <w:pStyle w:val="TableText10"/>
              <w:rPr>
                <w:sz w:val="22"/>
                <w:szCs w:val="22"/>
                <w:lang w:val="en-GB"/>
              </w:rPr>
            </w:pPr>
            <w:r>
              <w:rPr>
                <w:sz w:val="22"/>
                <w:szCs w:val="22"/>
                <w:lang w:val="en-GB"/>
              </w:rPr>
              <w:t>Disgeuzija</w:t>
            </w:r>
          </w:p>
        </w:tc>
        <w:tc>
          <w:tcPr>
            <w:tcW w:w="1289" w:type="pct"/>
            <w:tcBorders>
              <w:top w:val="single" w:sz="4" w:space="0" w:color="auto"/>
              <w:left w:val="single" w:sz="4" w:space="0" w:color="auto"/>
              <w:bottom w:val="single" w:sz="4" w:space="0" w:color="auto"/>
              <w:right w:val="single" w:sz="4" w:space="0" w:color="auto"/>
            </w:tcBorders>
            <w:hideMark/>
          </w:tcPr>
          <w:p w14:paraId="14470638" w14:textId="77777777" w:rsidR="005023EC" w:rsidRDefault="005023EC" w:rsidP="00641EEB">
            <w:pPr>
              <w:pStyle w:val="TableText10"/>
              <w:rPr>
                <w:sz w:val="22"/>
                <w:szCs w:val="22"/>
                <w:lang w:val="en-GB"/>
              </w:rPr>
            </w:pPr>
            <w:r>
              <w:rPr>
                <w:sz w:val="22"/>
                <w:szCs w:val="22"/>
                <w:lang w:val="en-GB"/>
              </w:rPr>
              <w:t xml:space="preserve">Vrlo često </w:t>
            </w:r>
          </w:p>
        </w:tc>
      </w:tr>
      <w:tr w:rsidR="005023EC" w14:paraId="7608C2B7" w14:textId="77777777" w:rsidTr="00B05AA9">
        <w:trPr>
          <w:cantSplit/>
          <w:trHeight w:val="1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419B9"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146BB6A9" w14:textId="77777777" w:rsidR="005023EC" w:rsidRDefault="005023EC" w:rsidP="00641EEB">
            <w:pPr>
              <w:pStyle w:val="TableText10"/>
              <w:rPr>
                <w:sz w:val="22"/>
                <w:szCs w:val="22"/>
                <w:lang w:val="en-GB"/>
              </w:rPr>
            </w:pPr>
            <w:r>
              <w:rPr>
                <w:sz w:val="22"/>
                <w:szCs w:val="22"/>
                <w:lang w:val="en-GB"/>
              </w:rPr>
              <w:t>Periferna neuropatija</w:t>
            </w:r>
          </w:p>
        </w:tc>
        <w:tc>
          <w:tcPr>
            <w:tcW w:w="1289" w:type="pct"/>
            <w:tcBorders>
              <w:top w:val="single" w:sz="4" w:space="0" w:color="auto"/>
              <w:left w:val="single" w:sz="4" w:space="0" w:color="auto"/>
              <w:bottom w:val="single" w:sz="4" w:space="0" w:color="auto"/>
              <w:right w:val="single" w:sz="4" w:space="0" w:color="auto"/>
            </w:tcBorders>
            <w:hideMark/>
          </w:tcPr>
          <w:p w14:paraId="034B2CF7" w14:textId="77777777" w:rsidR="005023EC" w:rsidRDefault="005023EC" w:rsidP="00641EEB">
            <w:pPr>
              <w:pStyle w:val="TableText10"/>
              <w:rPr>
                <w:sz w:val="22"/>
                <w:szCs w:val="22"/>
                <w:lang w:val="en-GB"/>
              </w:rPr>
            </w:pPr>
            <w:r>
              <w:rPr>
                <w:sz w:val="22"/>
                <w:szCs w:val="22"/>
                <w:lang w:val="en-GB"/>
              </w:rPr>
              <w:t>Često</w:t>
            </w:r>
          </w:p>
        </w:tc>
      </w:tr>
      <w:tr w:rsidR="005023EC" w14:paraId="112811C9" w14:textId="77777777" w:rsidTr="00B05AA9">
        <w:trPr>
          <w:cantSplit/>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2CF28"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77218DB" w14:textId="77777777" w:rsidR="005023EC" w:rsidRDefault="005023EC" w:rsidP="00641EEB">
            <w:pPr>
              <w:pStyle w:val="TableText10"/>
              <w:rPr>
                <w:sz w:val="22"/>
                <w:szCs w:val="22"/>
                <w:lang w:val="en-GB"/>
              </w:rPr>
            </w:pPr>
            <w:r>
              <w:rPr>
                <w:sz w:val="22"/>
                <w:szCs w:val="22"/>
                <w:lang w:val="en-GB"/>
              </w:rPr>
              <w:t>Hipertonija</w:t>
            </w:r>
          </w:p>
        </w:tc>
        <w:tc>
          <w:tcPr>
            <w:tcW w:w="1289" w:type="pct"/>
            <w:tcBorders>
              <w:top w:val="single" w:sz="4" w:space="0" w:color="auto"/>
              <w:left w:val="single" w:sz="4" w:space="0" w:color="auto"/>
              <w:bottom w:val="single" w:sz="4" w:space="0" w:color="auto"/>
              <w:right w:val="single" w:sz="4" w:space="0" w:color="auto"/>
            </w:tcBorders>
            <w:hideMark/>
          </w:tcPr>
          <w:p w14:paraId="4F3075E8" w14:textId="77777777" w:rsidR="005023EC" w:rsidRDefault="005023EC" w:rsidP="00641EEB">
            <w:pPr>
              <w:pStyle w:val="TableText10"/>
              <w:rPr>
                <w:sz w:val="22"/>
                <w:szCs w:val="22"/>
                <w:lang w:val="en-GB"/>
              </w:rPr>
            </w:pPr>
            <w:r>
              <w:rPr>
                <w:sz w:val="22"/>
                <w:szCs w:val="22"/>
                <w:lang w:val="en-GB"/>
              </w:rPr>
              <w:t>Često</w:t>
            </w:r>
          </w:p>
        </w:tc>
      </w:tr>
      <w:tr w:rsidR="005023EC" w14:paraId="06257054" w14:textId="77777777" w:rsidTr="00B05AA9">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F10F4"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137A3EAE" w14:textId="77777777" w:rsidR="005023EC" w:rsidRDefault="005023EC" w:rsidP="00641EEB">
            <w:pPr>
              <w:pStyle w:val="TableText10"/>
              <w:rPr>
                <w:sz w:val="22"/>
                <w:szCs w:val="22"/>
                <w:lang w:val="en-GB"/>
              </w:rPr>
            </w:pPr>
            <w:r>
              <w:rPr>
                <w:sz w:val="22"/>
                <w:szCs w:val="22"/>
                <w:lang w:val="en-GB"/>
              </w:rPr>
              <w:t>Somnolencija</w:t>
            </w:r>
          </w:p>
        </w:tc>
        <w:tc>
          <w:tcPr>
            <w:tcW w:w="1289" w:type="pct"/>
            <w:tcBorders>
              <w:top w:val="single" w:sz="4" w:space="0" w:color="auto"/>
              <w:left w:val="single" w:sz="4" w:space="0" w:color="auto"/>
              <w:bottom w:val="single" w:sz="4" w:space="0" w:color="auto"/>
              <w:right w:val="single" w:sz="4" w:space="0" w:color="auto"/>
            </w:tcBorders>
            <w:hideMark/>
          </w:tcPr>
          <w:p w14:paraId="53C34B1D" w14:textId="77777777" w:rsidR="005023EC" w:rsidRDefault="005023EC" w:rsidP="00641EEB">
            <w:pPr>
              <w:pStyle w:val="TableText10"/>
              <w:rPr>
                <w:sz w:val="22"/>
                <w:szCs w:val="22"/>
                <w:lang w:val="en-GB"/>
              </w:rPr>
            </w:pPr>
            <w:r>
              <w:rPr>
                <w:sz w:val="22"/>
                <w:szCs w:val="22"/>
                <w:lang w:val="en-GB"/>
              </w:rPr>
              <w:t>Često</w:t>
            </w:r>
          </w:p>
        </w:tc>
      </w:tr>
      <w:tr w:rsidR="005023EC" w14:paraId="319CDBDF" w14:textId="77777777" w:rsidTr="00B05AA9">
        <w:trPr>
          <w:trHeight w:val="128"/>
        </w:trPr>
        <w:tc>
          <w:tcPr>
            <w:tcW w:w="1524" w:type="pct"/>
            <w:vMerge w:val="restart"/>
            <w:tcBorders>
              <w:top w:val="single" w:sz="4" w:space="0" w:color="auto"/>
              <w:left w:val="single" w:sz="4" w:space="0" w:color="auto"/>
              <w:bottom w:val="nil"/>
              <w:right w:val="single" w:sz="4" w:space="0" w:color="auto"/>
            </w:tcBorders>
            <w:hideMark/>
          </w:tcPr>
          <w:p w14:paraId="5FB3E2CE" w14:textId="77777777" w:rsidR="005023EC" w:rsidRDefault="005023EC" w:rsidP="00641EEB">
            <w:pPr>
              <w:pStyle w:val="TableText10"/>
              <w:rPr>
                <w:sz w:val="22"/>
                <w:szCs w:val="22"/>
                <w:lang w:val="en-GB"/>
              </w:rPr>
            </w:pPr>
            <w:r>
              <w:rPr>
                <w:sz w:val="22"/>
                <w:szCs w:val="22"/>
                <w:lang w:val="en-GB"/>
              </w:rPr>
              <w:t>Poremećaji oka</w:t>
            </w:r>
          </w:p>
        </w:tc>
        <w:tc>
          <w:tcPr>
            <w:tcW w:w="2187" w:type="pct"/>
            <w:tcBorders>
              <w:top w:val="single" w:sz="4" w:space="0" w:color="auto"/>
              <w:left w:val="single" w:sz="4" w:space="0" w:color="auto"/>
              <w:bottom w:val="single" w:sz="4" w:space="0" w:color="auto"/>
              <w:right w:val="single" w:sz="4" w:space="0" w:color="auto"/>
            </w:tcBorders>
            <w:hideMark/>
          </w:tcPr>
          <w:p w14:paraId="1310E303" w14:textId="77777777" w:rsidR="005023EC" w:rsidRDefault="005023EC" w:rsidP="00641EEB">
            <w:pPr>
              <w:pStyle w:val="TableText10"/>
              <w:rPr>
                <w:sz w:val="22"/>
                <w:szCs w:val="22"/>
                <w:lang w:val="en-GB"/>
              </w:rPr>
            </w:pPr>
            <w:r>
              <w:rPr>
                <w:sz w:val="22"/>
                <w:szCs w:val="22"/>
                <w:lang w:val="en-GB"/>
              </w:rPr>
              <w:t xml:space="preserve">Konjunktivitis </w:t>
            </w:r>
          </w:p>
        </w:tc>
        <w:tc>
          <w:tcPr>
            <w:tcW w:w="1289" w:type="pct"/>
            <w:tcBorders>
              <w:top w:val="single" w:sz="4" w:space="0" w:color="auto"/>
              <w:left w:val="single" w:sz="4" w:space="0" w:color="auto"/>
              <w:bottom w:val="single" w:sz="4" w:space="0" w:color="auto"/>
              <w:right w:val="single" w:sz="4" w:space="0" w:color="auto"/>
            </w:tcBorders>
            <w:hideMark/>
          </w:tcPr>
          <w:p w14:paraId="09E1AC55" w14:textId="77777777" w:rsidR="005023EC" w:rsidRDefault="005023EC" w:rsidP="00641EEB">
            <w:pPr>
              <w:pStyle w:val="TableText10"/>
              <w:rPr>
                <w:sz w:val="22"/>
                <w:szCs w:val="22"/>
                <w:lang w:val="en-GB"/>
              </w:rPr>
            </w:pPr>
            <w:r>
              <w:rPr>
                <w:sz w:val="22"/>
                <w:szCs w:val="22"/>
                <w:lang w:val="en-GB"/>
              </w:rPr>
              <w:t>Vrlo često</w:t>
            </w:r>
          </w:p>
        </w:tc>
      </w:tr>
      <w:tr w:rsidR="005023EC" w14:paraId="5330CCD0" w14:textId="77777777" w:rsidTr="00B05AA9">
        <w:trPr>
          <w:trHeight w:val="127"/>
        </w:trPr>
        <w:tc>
          <w:tcPr>
            <w:tcW w:w="0" w:type="auto"/>
            <w:vMerge/>
            <w:tcBorders>
              <w:top w:val="single" w:sz="4" w:space="0" w:color="auto"/>
              <w:left w:val="single" w:sz="4" w:space="0" w:color="auto"/>
              <w:bottom w:val="nil"/>
              <w:right w:val="single" w:sz="4" w:space="0" w:color="auto"/>
            </w:tcBorders>
            <w:vAlign w:val="center"/>
            <w:hideMark/>
          </w:tcPr>
          <w:p w14:paraId="69ABCD2E"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7EEB4F60" w14:textId="77777777" w:rsidR="005023EC" w:rsidRDefault="005023EC" w:rsidP="00641EEB">
            <w:pPr>
              <w:pStyle w:val="TableText10"/>
              <w:rPr>
                <w:strike/>
                <w:sz w:val="22"/>
                <w:szCs w:val="22"/>
                <w:lang w:val="en-GB"/>
              </w:rPr>
            </w:pPr>
            <w:r>
              <w:rPr>
                <w:sz w:val="22"/>
                <w:szCs w:val="22"/>
                <w:lang w:val="en-GB"/>
              </w:rPr>
              <w:t xml:space="preserve">Povećano lučenje suza </w:t>
            </w:r>
          </w:p>
        </w:tc>
        <w:tc>
          <w:tcPr>
            <w:tcW w:w="1289" w:type="pct"/>
            <w:tcBorders>
              <w:top w:val="single" w:sz="4" w:space="0" w:color="auto"/>
              <w:left w:val="single" w:sz="4" w:space="0" w:color="auto"/>
              <w:bottom w:val="single" w:sz="4" w:space="0" w:color="auto"/>
              <w:right w:val="single" w:sz="4" w:space="0" w:color="auto"/>
            </w:tcBorders>
            <w:hideMark/>
          </w:tcPr>
          <w:p w14:paraId="245104C5" w14:textId="77777777" w:rsidR="005023EC" w:rsidRDefault="005023EC" w:rsidP="00641EEB">
            <w:pPr>
              <w:pStyle w:val="TableText10"/>
              <w:rPr>
                <w:sz w:val="22"/>
                <w:szCs w:val="22"/>
                <w:lang w:val="en-GB"/>
              </w:rPr>
            </w:pPr>
            <w:r>
              <w:rPr>
                <w:sz w:val="22"/>
                <w:szCs w:val="22"/>
                <w:lang w:val="en-GB"/>
              </w:rPr>
              <w:t>Vrlo često</w:t>
            </w:r>
          </w:p>
        </w:tc>
      </w:tr>
      <w:tr w:rsidR="005023EC" w14:paraId="49F5B622" w14:textId="77777777" w:rsidTr="00B05AA9">
        <w:trPr>
          <w:trHeight w:val="260"/>
        </w:trPr>
        <w:tc>
          <w:tcPr>
            <w:tcW w:w="0" w:type="auto"/>
            <w:vMerge/>
            <w:tcBorders>
              <w:top w:val="single" w:sz="4" w:space="0" w:color="auto"/>
              <w:left w:val="single" w:sz="4" w:space="0" w:color="auto"/>
              <w:bottom w:val="nil"/>
              <w:right w:val="single" w:sz="4" w:space="0" w:color="auto"/>
            </w:tcBorders>
            <w:vAlign w:val="center"/>
            <w:hideMark/>
          </w:tcPr>
          <w:p w14:paraId="122E19D6"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0DA1EB28" w14:textId="629D5C69" w:rsidR="005023EC" w:rsidRDefault="005023EC" w:rsidP="00641EEB">
            <w:pPr>
              <w:pStyle w:val="TableText10"/>
              <w:rPr>
                <w:sz w:val="22"/>
                <w:szCs w:val="22"/>
                <w:lang w:val="en-GB"/>
              </w:rPr>
            </w:pPr>
            <w:r>
              <w:rPr>
                <w:sz w:val="22"/>
                <w:szCs w:val="22"/>
                <w:lang w:val="en-GB"/>
              </w:rPr>
              <w:t>Suvo ok</w:t>
            </w:r>
            <w:r w:rsidR="0038501C">
              <w:rPr>
                <w:sz w:val="22"/>
                <w:szCs w:val="22"/>
                <w:lang w:val="en-GB"/>
              </w:rPr>
              <w:t>o</w:t>
            </w:r>
          </w:p>
        </w:tc>
        <w:tc>
          <w:tcPr>
            <w:tcW w:w="1289" w:type="pct"/>
            <w:tcBorders>
              <w:top w:val="single" w:sz="4" w:space="0" w:color="auto"/>
              <w:left w:val="single" w:sz="4" w:space="0" w:color="auto"/>
              <w:bottom w:val="single" w:sz="4" w:space="0" w:color="auto"/>
              <w:right w:val="single" w:sz="4" w:space="0" w:color="auto"/>
            </w:tcBorders>
            <w:hideMark/>
          </w:tcPr>
          <w:p w14:paraId="17C70ACA" w14:textId="77777777" w:rsidR="005023EC" w:rsidRDefault="005023EC" w:rsidP="00641EEB">
            <w:pPr>
              <w:pStyle w:val="TableText10"/>
              <w:rPr>
                <w:sz w:val="22"/>
                <w:szCs w:val="22"/>
                <w:lang w:val="en-GB"/>
              </w:rPr>
            </w:pPr>
            <w:r>
              <w:rPr>
                <w:sz w:val="22"/>
                <w:szCs w:val="22"/>
                <w:lang w:val="en-GB"/>
              </w:rPr>
              <w:t>Često</w:t>
            </w:r>
          </w:p>
        </w:tc>
      </w:tr>
      <w:tr w:rsidR="005023EC" w14:paraId="295B5A7E" w14:textId="77777777" w:rsidTr="00B05AA9">
        <w:trPr>
          <w:trHeight w:val="260"/>
        </w:trPr>
        <w:tc>
          <w:tcPr>
            <w:tcW w:w="0" w:type="auto"/>
            <w:vMerge/>
            <w:tcBorders>
              <w:top w:val="single" w:sz="4" w:space="0" w:color="auto"/>
              <w:left w:val="single" w:sz="4" w:space="0" w:color="auto"/>
              <w:bottom w:val="nil"/>
              <w:right w:val="single" w:sz="4" w:space="0" w:color="auto"/>
            </w:tcBorders>
            <w:vAlign w:val="center"/>
            <w:hideMark/>
          </w:tcPr>
          <w:p w14:paraId="72590C84"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D421FCF" w14:textId="77777777" w:rsidR="005023EC" w:rsidRDefault="005023EC" w:rsidP="00641EEB">
            <w:pPr>
              <w:pStyle w:val="TableText10"/>
              <w:rPr>
                <w:sz w:val="22"/>
                <w:szCs w:val="22"/>
                <w:lang w:val="en-GB"/>
              </w:rPr>
            </w:pPr>
            <w:r>
              <w:rPr>
                <w:sz w:val="22"/>
                <w:szCs w:val="22"/>
                <w:lang w:val="en-GB"/>
              </w:rPr>
              <w:t>Papiloedem</w:t>
            </w:r>
          </w:p>
        </w:tc>
        <w:tc>
          <w:tcPr>
            <w:tcW w:w="1289" w:type="pct"/>
            <w:tcBorders>
              <w:top w:val="single" w:sz="4" w:space="0" w:color="auto"/>
              <w:left w:val="single" w:sz="4" w:space="0" w:color="auto"/>
              <w:bottom w:val="single" w:sz="4" w:space="0" w:color="auto"/>
              <w:right w:val="single" w:sz="4" w:space="0" w:color="auto"/>
            </w:tcBorders>
            <w:hideMark/>
          </w:tcPr>
          <w:p w14:paraId="4CCB2BC7" w14:textId="77777777" w:rsidR="005023EC" w:rsidRDefault="005023EC" w:rsidP="00641EEB">
            <w:pPr>
              <w:pStyle w:val="TableText10"/>
              <w:rPr>
                <w:sz w:val="22"/>
                <w:szCs w:val="22"/>
                <w:lang w:val="en-GB"/>
              </w:rPr>
            </w:pPr>
            <w:r>
              <w:rPr>
                <w:sz w:val="22"/>
                <w:szCs w:val="22"/>
                <w:lang w:val="en-GB"/>
              </w:rPr>
              <w:t>Nepoznato</w:t>
            </w:r>
          </w:p>
        </w:tc>
      </w:tr>
      <w:tr w:rsidR="005023EC" w14:paraId="1323CA1A" w14:textId="77777777" w:rsidTr="00B05AA9">
        <w:trPr>
          <w:trHeight w:val="260"/>
        </w:trPr>
        <w:tc>
          <w:tcPr>
            <w:tcW w:w="1524" w:type="pct"/>
            <w:tcBorders>
              <w:top w:val="nil"/>
              <w:left w:val="single" w:sz="4" w:space="0" w:color="auto"/>
              <w:bottom w:val="single" w:sz="4" w:space="0" w:color="auto"/>
              <w:right w:val="single" w:sz="4" w:space="0" w:color="auto"/>
            </w:tcBorders>
          </w:tcPr>
          <w:p w14:paraId="30AB6E83" w14:textId="77777777" w:rsidR="005023EC" w:rsidRDefault="005023EC" w:rsidP="00641EEB">
            <w:pPr>
              <w:pStyle w:val="TableText10"/>
              <w:rPr>
                <w:sz w:val="22"/>
                <w:szCs w:val="22"/>
                <w:lang w:val="en-GB"/>
              </w:rPr>
            </w:pPr>
          </w:p>
        </w:tc>
        <w:tc>
          <w:tcPr>
            <w:tcW w:w="2187" w:type="pct"/>
            <w:tcBorders>
              <w:top w:val="single" w:sz="4" w:space="0" w:color="auto"/>
              <w:left w:val="single" w:sz="4" w:space="0" w:color="auto"/>
              <w:bottom w:val="single" w:sz="4" w:space="0" w:color="auto"/>
              <w:right w:val="single" w:sz="4" w:space="0" w:color="auto"/>
            </w:tcBorders>
            <w:hideMark/>
          </w:tcPr>
          <w:p w14:paraId="3BBB7028" w14:textId="77777777" w:rsidR="005023EC" w:rsidRDefault="005023EC" w:rsidP="00641EEB">
            <w:pPr>
              <w:pStyle w:val="TableText10"/>
              <w:rPr>
                <w:sz w:val="22"/>
                <w:szCs w:val="22"/>
                <w:lang w:val="en-GB"/>
              </w:rPr>
            </w:pPr>
            <w:r>
              <w:rPr>
                <w:sz w:val="22"/>
                <w:szCs w:val="22"/>
                <w:lang w:val="en-GB"/>
              </w:rPr>
              <w:t>Hemoragija retine</w:t>
            </w:r>
          </w:p>
        </w:tc>
        <w:tc>
          <w:tcPr>
            <w:tcW w:w="1289" w:type="pct"/>
            <w:tcBorders>
              <w:top w:val="single" w:sz="4" w:space="0" w:color="auto"/>
              <w:left w:val="single" w:sz="4" w:space="0" w:color="auto"/>
              <w:bottom w:val="single" w:sz="4" w:space="0" w:color="auto"/>
              <w:right w:val="single" w:sz="4" w:space="0" w:color="auto"/>
            </w:tcBorders>
            <w:hideMark/>
          </w:tcPr>
          <w:p w14:paraId="20CA7CD5" w14:textId="77777777" w:rsidR="005023EC" w:rsidRDefault="005023EC" w:rsidP="00641EEB">
            <w:pPr>
              <w:pStyle w:val="TableText10"/>
              <w:rPr>
                <w:sz w:val="22"/>
                <w:szCs w:val="22"/>
                <w:lang w:val="en-GB"/>
              </w:rPr>
            </w:pPr>
            <w:r>
              <w:rPr>
                <w:sz w:val="22"/>
                <w:szCs w:val="22"/>
                <w:lang w:val="en-GB"/>
              </w:rPr>
              <w:t>Nepoznato</w:t>
            </w:r>
          </w:p>
        </w:tc>
      </w:tr>
      <w:tr w:rsidR="005023EC" w14:paraId="370FB95D" w14:textId="77777777" w:rsidTr="00B05AA9">
        <w:trPr>
          <w:trHeight w:val="258"/>
        </w:trPr>
        <w:tc>
          <w:tcPr>
            <w:tcW w:w="1524" w:type="pct"/>
            <w:tcBorders>
              <w:top w:val="single" w:sz="4" w:space="0" w:color="auto"/>
              <w:left w:val="single" w:sz="4" w:space="0" w:color="auto"/>
              <w:bottom w:val="single" w:sz="4" w:space="0" w:color="auto"/>
              <w:right w:val="single" w:sz="4" w:space="0" w:color="auto"/>
            </w:tcBorders>
            <w:hideMark/>
          </w:tcPr>
          <w:p w14:paraId="5F0D0F4D" w14:textId="77777777" w:rsidR="005023EC" w:rsidRDefault="005023EC" w:rsidP="00641EEB">
            <w:pPr>
              <w:pStyle w:val="TableText10"/>
              <w:rPr>
                <w:sz w:val="22"/>
                <w:szCs w:val="22"/>
                <w:lang w:val="en-GB"/>
              </w:rPr>
            </w:pPr>
            <w:r>
              <w:rPr>
                <w:sz w:val="22"/>
                <w:szCs w:val="22"/>
                <w:lang w:val="en-GB"/>
              </w:rPr>
              <w:t>Poremećaji uha i labirinta</w:t>
            </w:r>
          </w:p>
        </w:tc>
        <w:tc>
          <w:tcPr>
            <w:tcW w:w="2187" w:type="pct"/>
            <w:tcBorders>
              <w:top w:val="single" w:sz="4" w:space="0" w:color="auto"/>
              <w:left w:val="single" w:sz="4" w:space="0" w:color="auto"/>
              <w:bottom w:val="single" w:sz="4" w:space="0" w:color="auto"/>
              <w:right w:val="single" w:sz="4" w:space="0" w:color="auto"/>
            </w:tcBorders>
            <w:hideMark/>
          </w:tcPr>
          <w:p w14:paraId="1310DE3C" w14:textId="77777777" w:rsidR="005023EC" w:rsidRDefault="005023EC" w:rsidP="00641EEB">
            <w:pPr>
              <w:pStyle w:val="TableText10"/>
              <w:rPr>
                <w:sz w:val="22"/>
                <w:szCs w:val="22"/>
                <w:lang w:val="en-GB"/>
              </w:rPr>
            </w:pPr>
            <w:r>
              <w:rPr>
                <w:sz w:val="22"/>
                <w:szCs w:val="22"/>
                <w:lang w:val="en-GB"/>
              </w:rPr>
              <w:t>Gluvoća</w:t>
            </w:r>
          </w:p>
        </w:tc>
        <w:tc>
          <w:tcPr>
            <w:tcW w:w="1289" w:type="pct"/>
            <w:tcBorders>
              <w:top w:val="single" w:sz="4" w:space="0" w:color="auto"/>
              <w:left w:val="single" w:sz="4" w:space="0" w:color="auto"/>
              <w:bottom w:val="single" w:sz="4" w:space="0" w:color="auto"/>
              <w:right w:val="single" w:sz="4" w:space="0" w:color="auto"/>
            </w:tcBorders>
            <w:hideMark/>
          </w:tcPr>
          <w:p w14:paraId="092A4E6F" w14:textId="77777777" w:rsidR="005023EC" w:rsidRDefault="005023EC" w:rsidP="00641EEB">
            <w:pPr>
              <w:pStyle w:val="TableText10"/>
              <w:rPr>
                <w:sz w:val="22"/>
                <w:szCs w:val="22"/>
                <w:lang w:val="en-GB"/>
              </w:rPr>
            </w:pPr>
            <w:r>
              <w:rPr>
                <w:sz w:val="22"/>
                <w:szCs w:val="22"/>
                <w:lang w:val="en-GB"/>
              </w:rPr>
              <w:t xml:space="preserve">Povremeno </w:t>
            </w:r>
          </w:p>
        </w:tc>
      </w:tr>
      <w:tr w:rsidR="005023EC" w14:paraId="2A1D1198" w14:textId="77777777" w:rsidTr="00B05AA9">
        <w:trPr>
          <w:trHeight w:val="261"/>
        </w:trPr>
        <w:tc>
          <w:tcPr>
            <w:tcW w:w="1524" w:type="pct"/>
            <w:vMerge w:val="restart"/>
            <w:tcBorders>
              <w:top w:val="single" w:sz="4" w:space="0" w:color="auto"/>
              <w:left w:val="single" w:sz="4" w:space="0" w:color="auto"/>
              <w:bottom w:val="single" w:sz="4" w:space="0" w:color="auto"/>
              <w:right w:val="single" w:sz="4" w:space="0" w:color="auto"/>
            </w:tcBorders>
            <w:hideMark/>
          </w:tcPr>
          <w:p w14:paraId="7146F1BC" w14:textId="77777777" w:rsidR="005023EC" w:rsidRDefault="005023EC" w:rsidP="00641EEB">
            <w:pPr>
              <w:pStyle w:val="TableText10"/>
              <w:rPr>
                <w:sz w:val="22"/>
                <w:szCs w:val="22"/>
                <w:lang w:val="en-GB"/>
              </w:rPr>
            </w:pPr>
            <w:r>
              <w:rPr>
                <w:sz w:val="22"/>
                <w:szCs w:val="22"/>
                <w:lang w:val="en-GB"/>
              </w:rPr>
              <w:t>Kardiološki poremećaji</w:t>
            </w:r>
          </w:p>
        </w:tc>
        <w:tc>
          <w:tcPr>
            <w:tcW w:w="2187" w:type="pct"/>
            <w:tcBorders>
              <w:top w:val="single" w:sz="4" w:space="0" w:color="auto"/>
              <w:left w:val="single" w:sz="4" w:space="0" w:color="auto"/>
              <w:bottom w:val="single" w:sz="4" w:space="0" w:color="auto"/>
              <w:right w:val="single" w:sz="4" w:space="0" w:color="auto"/>
            </w:tcBorders>
            <w:hideMark/>
          </w:tcPr>
          <w:p w14:paraId="49B4A80A" w14:textId="77777777" w:rsidR="005023EC" w:rsidRDefault="005023EC" w:rsidP="00641EEB">
            <w:pPr>
              <w:pStyle w:val="TableText10"/>
              <w:rPr>
                <w:sz w:val="22"/>
                <w:szCs w:val="22"/>
                <w:lang w:val="en-GB"/>
              </w:rPr>
            </w:pPr>
            <w:r>
              <w:rPr>
                <w:sz w:val="22"/>
                <w:szCs w:val="22"/>
                <w:vertAlign w:val="superscript"/>
                <w:lang w:val="en-GB"/>
              </w:rPr>
              <w:t>1</w:t>
            </w:r>
            <w:r>
              <w:rPr>
                <w:sz w:val="22"/>
                <w:szCs w:val="22"/>
                <w:lang w:val="en-GB"/>
              </w:rPr>
              <w:t>Sniženi krvni pritisak</w:t>
            </w:r>
          </w:p>
        </w:tc>
        <w:tc>
          <w:tcPr>
            <w:tcW w:w="1289" w:type="pct"/>
            <w:tcBorders>
              <w:top w:val="single" w:sz="4" w:space="0" w:color="auto"/>
              <w:left w:val="single" w:sz="4" w:space="0" w:color="auto"/>
              <w:bottom w:val="single" w:sz="4" w:space="0" w:color="auto"/>
              <w:right w:val="single" w:sz="4" w:space="0" w:color="auto"/>
            </w:tcBorders>
            <w:hideMark/>
          </w:tcPr>
          <w:p w14:paraId="329F7375" w14:textId="77777777" w:rsidR="005023EC" w:rsidRDefault="005023EC" w:rsidP="00641EEB">
            <w:pPr>
              <w:pStyle w:val="TableText10"/>
              <w:rPr>
                <w:sz w:val="22"/>
                <w:szCs w:val="22"/>
                <w:vertAlign w:val="superscript"/>
                <w:lang w:val="en-GB"/>
              </w:rPr>
            </w:pPr>
            <w:r>
              <w:rPr>
                <w:sz w:val="22"/>
                <w:szCs w:val="22"/>
                <w:lang w:val="en-GB"/>
              </w:rPr>
              <w:t>Vrlo često</w:t>
            </w:r>
          </w:p>
        </w:tc>
      </w:tr>
      <w:tr w:rsidR="005023EC" w14:paraId="1F9AC7A6" w14:textId="77777777" w:rsidTr="00B05AA9">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8AFA3"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71B6DBA0" w14:textId="77777777" w:rsidR="005023EC" w:rsidRDefault="005023EC" w:rsidP="00641EEB">
            <w:pPr>
              <w:pStyle w:val="TableText10"/>
              <w:rPr>
                <w:sz w:val="22"/>
                <w:szCs w:val="22"/>
                <w:lang w:val="en-GB"/>
              </w:rPr>
            </w:pPr>
            <w:r>
              <w:rPr>
                <w:sz w:val="22"/>
                <w:szCs w:val="22"/>
                <w:vertAlign w:val="superscript"/>
                <w:lang w:val="en-GB"/>
              </w:rPr>
              <w:t>1</w:t>
            </w:r>
            <w:r>
              <w:rPr>
                <w:sz w:val="22"/>
                <w:szCs w:val="22"/>
                <w:lang w:val="en-GB"/>
              </w:rPr>
              <w:t>Povišeni krvni pritisak</w:t>
            </w:r>
          </w:p>
        </w:tc>
        <w:tc>
          <w:tcPr>
            <w:tcW w:w="1289" w:type="pct"/>
            <w:tcBorders>
              <w:top w:val="single" w:sz="4" w:space="0" w:color="auto"/>
              <w:left w:val="single" w:sz="4" w:space="0" w:color="auto"/>
              <w:bottom w:val="single" w:sz="4" w:space="0" w:color="auto"/>
              <w:right w:val="single" w:sz="4" w:space="0" w:color="auto"/>
            </w:tcBorders>
            <w:hideMark/>
          </w:tcPr>
          <w:p w14:paraId="0F147A0C" w14:textId="77777777" w:rsidR="005023EC" w:rsidRDefault="005023EC" w:rsidP="00641EEB">
            <w:pPr>
              <w:pStyle w:val="TableText10"/>
              <w:rPr>
                <w:sz w:val="22"/>
                <w:szCs w:val="22"/>
                <w:vertAlign w:val="superscript"/>
                <w:lang w:val="en-GB"/>
              </w:rPr>
            </w:pPr>
            <w:r>
              <w:rPr>
                <w:sz w:val="22"/>
                <w:szCs w:val="22"/>
                <w:lang w:val="en-GB"/>
              </w:rPr>
              <w:t>Vrlo često</w:t>
            </w:r>
          </w:p>
        </w:tc>
      </w:tr>
      <w:tr w:rsidR="005023EC" w14:paraId="68744E39" w14:textId="77777777" w:rsidTr="00B05AA9">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E9E201"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1A900AC5" w14:textId="77777777" w:rsidR="005023EC" w:rsidRDefault="005023EC" w:rsidP="00641EEB">
            <w:pPr>
              <w:pStyle w:val="TableText10"/>
              <w:rPr>
                <w:sz w:val="22"/>
                <w:szCs w:val="22"/>
                <w:lang w:val="en-GB"/>
              </w:rPr>
            </w:pPr>
            <w:r>
              <w:rPr>
                <w:sz w:val="22"/>
                <w:szCs w:val="22"/>
                <w:vertAlign w:val="superscript"/>
                <w:lang w:val="en-GB"/>
              </w:rPr>
              <w:t>1</w:t>
            </w:r>
            <w:r>
              <w:rPr>
                <w:sz w:val="22"/>
                <w:szCs w:val="22"/>
                <w:lang w:val="en-GB"/>
              </w:rPr>
              <w:t>Nepravilni otkucaji srca</w:t>
            </w:r>
          </w:p>
        </w:tc>
        <w:tc>
          <w:tcPr>
            <w:tcW w:w="1289" w:type="pct"/>
            <w:tcBorders>
              <w:top w:val="single" w:sz="4" w:space="0" w:color="auto"/>
              <w:left w:val="single" w:sz="4" w:space="0" w:color="auto"/>
              <w:bottom w:val="single" w:sz="4" w:space="0" w:color="auto"/>
              <w:right w:val="single" w:sz="4" w:space="0" w:color="auto"/>
            </w:tcBorders>
            <w:hideMark/>
          </w:tcPr>
          <w:p w14:paraId="22F9E935" w14:textId="77777777" w:rsidR="005023EC" w:rsidRDefault="005023EC" w:rsidP="00641EEB">
            <w:pPr>
              <w:pStyle w:val="TableText10"/>
              <w:rPr>
                <w:sz w:val="22"/>
                <w:szCs w:val="22"/>
                <w:vertAlign w:val="superscript"/>
                <w:lang w:val="en-GB"/>
              </w:rPr>
            </w:pPr>
            <w:r>
              <w:rPr>
                <w:sz w:val="22"/>
                <w:szCs w:val="22"/>
                <w:lang w:val="en-GB"/>
              </w:rPr>
              <w:t>Vrlo često</w:t>
            </w:r>
          </w:p>
        </w:tc>
      </w:tr>
      <w:tr w:rsidR="005023EC" w14:paraId="3A2BC6E6" w14:textId="77777777" w:rsidTr="00B05AA9">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B3984"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061A34C7" w14:textId="77777777" w:rsidR="005023EC" w:rsidRDefault="005023EC" w:rsidP="00641EEB">
            <w:pPr>
              <w:pStyle w:val="TableText10"/>
              <w:rPr>
                <w:sz w:val="22"/>
                <w:szCs w:val="22"/>
                <w:lang w:val="en-GB"/>
              </w:rPr>
            </w:pPr>
            <w:r>
              <w:rPr>
                <w:sz w:val="22"/>
                <w:szCs w:val="22"/>
                <w:vertAlign w:val="superscript"/>
                <w:lang w:val="en-GB"/>
              </w:rPr>
              <w:t>1</w:t>
            </w:r>
            <w:r>
              <w:rPr>
                <w:sz w:val="22"/>
                <w:szCs w:val="22"/>
                <w:lang w:val="en-GB"/>
              </w:rPr>
              <w:t>Treperenje srca</w:t>
            </w:r>
          </w:p>
        </w:tc>
        <w:tc>
          <w:tcPr>
            <w:tcW w:w="1289" w:type="pct"/>
            <w:tcBorders>
              <w:top w:val="single" w:sz="4" w:space="0" w:color="auto"/>
              <w:left w:val="single" w:sz="4" w:space="0" w:color="auto"/>
              <w:bottom w:val="single" w:sz="4" w:space="0" w:color="auto"/>
              <w:right w:val="single" w:sz="4" w:space="0" w:color="auto"/>
            </w:tcBorders>
            <w:hideMark/>
          </w:tcPr>
          <w:p w14:paraId="36677622" w14:textId="77777777" w:rsidR="005023EC" w:rsidRDefault="005023EC" w:rsidP="00641EEB">
            <w:pPr>
              <w:pStyle w:val="TableText10"/>
              <w:rPr>
                <w:sz w:val="22"/>
                <w:szCs w:val="22"/>
                <w:lang w:val="en-GB"/>
              </w:rPr>
            </w:pPr>
            <w:r>
              <w:rPr>
                <w:sz w:val="22"/>
                <w:szCs w:val="22"/>
                <w:lang w:val="en-GB"/>
              </w:rPr>
              <w:t>Vrlo često</w:t>
            </w:r>
          </w:p>
        </w:tc>
      </w:tr>
      <w:tr w:rsidR="005023EC" w14:paraId="3F94ABF2" w14:textId="77777777" w:rsidTr="00B05AA9">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7A4982"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3A62E5E8" w14:textId="77777777" w:rsidR="005023EC" w:rsidRDefault="005023EC" w:rsidP="00641EEB">
            <w:pPr>
              <w:pStyle w:val="TableText10"/>
              <w:rPr>
                <w:sz w:val="22"/>
                <w:szCs w:val="22"/>
                <w:vertAlign w:val="superscript"/>
                <w:lang w:val="en-GB"/>
              </w:rPr>
            </w:pPr>
            <w:r>
              <w:rPr>
                <w:sz w:val="22"/>
                <w:szCs w:val="22"/>
                <w:lang w:val="en-GB"/>
              </w:rPr>
              <w:t>Smanjena ejekciona frakcija*</w:t>
            </w:r>
          </w:p>
        </w:tc>
        <w:tc>
          <w:tcPr>
            <w:tcW w:w="1289" w:type="pct"/>
            <w:tcBorders>
              <w:top w:val="single" w:sz="4" w:space="0" w:color="auto"/>
              <w:left w:val="single" w:sz="4" w:space="0" w:color="auto"/>
              <w:bottom w:val="single" w:sz="4" w:space="0" w:color="auto"/>
              <w:right w:val="single" w:sz="4" w:space="0" w:color="auto"/>
            </w:tcBorders>
            <w:hideMark/>
          </w:tcPr>
          <w:p w14:paraId="7F1ABB69" w14:textId="77777777" w:rsidR="005023EC" w:rsidRDefault="005023EC" w:rsidP="00641EEB">
            <w:pPr>
              <w:pStyle w:val="TableText10"/>
              <w:rPr>
                <w:sz w:val="22"/>
                <w:szCs w:val="22"/>
                <w:lang w:val="en-GB"/>
              </w:rPr>
            </w:pPr>
            <w:r>
              <w:rPr>
                <w:sz w:val="22"/>
                <w:szCs w:val="22"/>
                <w:lang w:val="en-GB"/>
              </w:rPr>
              <w:t>Vrlo često</w:t>
            </w:r>
          </w:p>
        </w:tc>
      </w:tr>
      <w:tr w:rsidR="005023EC" w14:paraId="01980C84" w14:textId="77777777" w:rsidTr="00B05AA9">
        <w:trPr>
          <w:trHeight w:val="2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5460B"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0AACF9C1" w14:textId="77777777" w:rsidR="005023EC" w:rsidRDefault="005023EC" w:rsidP="00641EEB">
            <w:pPr>
              <w:pStyle w:val="TableText10"/>
              <w:rPr>
                <w:sz w:val="22"/>
                <w:szCs w:val="22"/>
                <w:lang w:val="en-GB"/>
              </w:rPr>
            </w:pPr>
            <w:r>
              <w:rPr>
                <w:sz w:val="22"/>
                <w:szCs w:val="22"/>
                <w:vertAlign w:val="superscript"/>
                <w:lang w:val="en-GB"/>
              </w:rPr>
              <w:t>+</w:t>
            </w:r>
            <w:r>
              <w:rPr>
                <w:sz w:val="22"/>
                <w:szCs w:val="22"/>
                <w:lang w:val="en-GB"/>
              </w:rPr>
              <w:t>Srčana insuficijencija (kongestivna)</w:t>
            </w:r>
          </w:p>
        </w:tc>
        <w:tc>
          <w:tcPr>
            <w:tcW w:w="1289" w:type="pct"/>
            <w:tcBorders>
              <w:top w:val="single" w:sz="4" w:space="0" w:color="auto"/>
              <w:left w:val="single" w:sz="4" w:space="0" w:color="auto"/>
              <w:bottom w:val="single" w:sz="4" w:space="0" w:color="auto"/>
              <w:right w:val="single" w:sz="4" w:space="0" w:color="auto"/>
            </w:tcBorders>
            <w:hideMark/>
          </w:tcPr>
          <w:p w14:paraId="28F607DA" w14:textId="77777777" w:rsidR="005023EC" w:rsidRDefault="005023EC" w:rsidP="00641EEB">
            <w:pPr>
              <w:pStyle w:val="TableText10"/>
              <w:rPr>
                <w:sz w:val="22"/>
                <w:szCs w:val="22"/>
                <w:lang w:val="en-GB"/>
              </w:rPr>
            </w:pPr>
            <w:r>
              <w:rPr>
                <w:sz w:val="22"/>
                <w:szCs w:val="22"/>
                <w:lang w:val="en-GB"/>
              </w:rPr>
              <w:t xml:space="preserve">Često </w:t>
            </w:r>
          </w:p>
        </w:tc>
      </w:tr>
      <w:tr w:rsidR="005023EC" w14:paraId="43BD46EA" w14:textId="77777777" w:rsidTr="00B05AA9">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24E105"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3ED95815" w14:textId="77777777" w:rsidR="005023EC" w:rsidRDefault="005023EC" w:rsidP="00641EEB">
            <w:pPr>
              <w:pStyle w:val="TableText10"/>
              <w:rPr>
                <w:sz w:val="22"/>
                <w:szCs w:val="22"/>
                <w:lang w:val="en-GB"/>
              </w:rPr>
            </w:pPr>
            <w:r>
              <w:rPr>
                <w:sz w:val="22"/>
                <w:szCs w:val="22"/>
                <w:vertAlign w:val="superscript"/>
                <w:lang w:val="en-GB"/>
              </w:rPr>
              <w:t>+1</w:t>
            </w:r>
            <w:r>
              <w:rPr>
                <w:sz w:val="22"/>
                <w:szCs w:val="22"/>
                <w:lang w:val="en-GB"/>
              </w:rPr>
              <w:t>Supraventrikularna tahiaritmija</w:t>
            </w:r>
          </w:p>
        </w:tc>
        <w:tc>
          <w:tcPr>
            <w:tcW w:w="1289" w:type="pct"/>
            <w:tcBorders>
              <w:top w:val="single" w:sz="4" w:space="0" w:color="auto"/>
              <w:left w:val="single" w:sz="4" w:space="0" w:color="auto"/>
              <w:bottom w:val="single" w:sz="4" w:space="0" w:color="auto"/>
              <w:right w:val="single" w:sz="4" w:space="0" w:color="auto"/>
            </w:tcBorders>
            <w:hideMark/>
          </w:tcPr>
          <w:p w14:paraId="3314E5B6" w14:textId="77777777" w:rsidR="005023EC" w:rsidRDefault="005023EC" w:rsidP="00641EEB">
            <w:pPr>
              <w:pStyle w:val="TableText10"/>
              <w:rPr>
                <w:sz w:val="22"/>
                <w:szCs w:val="22"/>
                <w:lang w:val="en-GB"/>
              </w:rPr>
            </w:pPr>
            <w:r>
              <w:rPr>
                <w:sz w:val="22"/>
                <w:szCs w:val="22"/>
                <w:lang w:val="en-GB"/>
              </w:rPr>
              <w:t>Često</w:t>
            </w:r>
          </w:p>
        </w:tc>
      </w:tr>
      <w:tr w:rsidR="005023EC" w14:paraId="32653E46" w14:textId="77777777" w:rsidTr="00B05AA9">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66A01"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412D90E3" w14:textId="77777777" w:rsidR="005023EC" w:rsidRDefault="005023EC" w:rsidP="00641EEB">
            <w:pPr>
              <w:pStyle w:val="TableText10"/>
              <w:rPr>
                <w:sz w:val="22"/>
                <w:szCs w:val="22"/>
                <w:lang w:val="en-GB"/>
              </w:rPr>
            </w:pPr>
            <w:r>
              <w:rPr>
                <w:sz w:val="22"/>
                <w:szCs w:val="22"/>
                <w:lang w:val="en-GB"/>
              </w:rPr>
              <w:t>Kardiomiopatija</w:t>
            </w:r>
          </w:p>
        </w:tc>
        <w:tc>
          <w:tcPr>
            <w:tcW w:w="1289" w:type="pct"/>
            <w:tcBorders>
              <w:top w:val="single" w:sz="4" w:space="0" w:color="auto"/>
              <w:left w:val="single" w:sz="4" w:space="0" w:color="auto"/>
              <w:bottom w:val="single" w:sz="4" w:space="0" w:color="auto"/>
              <w:right w:val="single" w:sz="4" w:space="0" w:color="auto"/>
            </w:tcBorders>
            <w:hideMark/>
          </w:tcPr>
          <w:p w14:paraId="0C1C3D38" w14:textId="77777777" w:rsidR="005023EC" w:rsidRDefault="005023EC" w:rsidP="00641EEB">
            <w:pPr>
              <w:pStyle w:val="TableText10"/>
              <w:rPr>
                <w:sz w:val="22"/>
                <w:szCs w:val="22"/>
                <w:lang w:val="en-GB"/>
              </w:rPr>
            </w:pPr>
            <w:r>
              <w:rPr>
                <w:sz w:val="22"/>
                <w:szCs w:val="22"/>
                <w:lang w:val="en-GB"/>
              </w:rPr>
              <w:t>Često</w:t>
            </w:r>
          </w:p>
        </w:tc>
      </w:tr>
      <w:tr w:rsidR="00EB7A81" w14:paraId="48345D1C"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53E80FAC" w14:textId="77777777" w:rsidR="00EB7A81" w:rsidRDefault="00EB7A81"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tcPr>
          <w:p w14:paraId="08AE1AD2" w14:textId="767274A7" w:rsidR="00EB7A81" w:rsidRDefault="00EB7A81" w:rsidP="00641EEB">
            <w:pPr>
              <w:pStyle w:val="TableText10"/>
              <w:rPr>
                <w:sz w:val="22"/>
                <w:szCs w:val="22"/>
                <w:lang w:val="en-GB"/>
              </w:rPr>
            </w:pPr>
            <w:r>
              <w:rPr>
                <w:sz w:val="22"/>
                <w:szCs w:val="22"/>
                <w:vertAlign w:val="superscript"/>
                <w:lang w:val="en-GB"/>
              </w:rPr>
              <w:t>1</w:t>
            </w:r>
            <w:r>
              <w:rPr>
                <w:sz w:val="22"/>
                <w:szCs w:val="22"/>
                <w:lang w:val="en-GB"/>
              </w:rPr>
              <w:t>Palpitacija</w:t>
            </w:r>
          </w:p>
        </w:tc>
        <w:tc>
          <w:tcPr>
            <w:tcW w:w="1289" w:type="pct"/>
            <w:tcBorders>
              <w:top w:val="single" w:sz="4" w:space="0" w:color="auto"/>
              <w:left w:val="single" w:sz="4" w:space="0" w:color="auto"/>
              <w:bottom w:val="single" w:sz="4" w:space="0" w:color="auto"/>
              <w:right w:val="single" w:sz="4" w:space="0" w:color="auto"/>
            </w:tcBorders>
          </w:tcPr>
          <w:p w14:paraId="1A479BE5" w14:textId="1E8724EC" w:rsidR="00EB7A81" w:rsidRDefault="00EB7A81" w:rsidP="00641EEB">
            <w:pPr>
              <w:pStyle w:val="TableText10"/>
              <w:rPr>
                <w:sz w:val="22"/>
                <w:szCs w:val="22"/>
                <w:lang w:val="en-GB"/>
              </w:rPr>
            </w:pPr>
            <w:r>
              <w:rPr>
                <w:sz w:val="22"/>
                <w:szCs w:val="22"/>
                <w:lang w:val="en-GB"/>
              </w:rPr>
              <w:t>Često</w:t>
            </w:r>
          </w:p>
        </w:tc>
      </w:tr>
      <w:tr w:rsidR="005023EC" w14:paraId="53F8FD8B"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2CE5B"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79836B79" w14:textId="77777777" w:rsidR="005023EC" w:rsidRDefault="005023EC" w:rsidP="00641EEB">
            <w:pPr>
              <w:pStyle w:val="TableText10"/>
              <w:rPr>
                <w:sz w:val="22"/>
                <w:szCs w:val="22"/>
                <w:lang w:val="en-GB"/>
              </w:rPr>
            </w:pPr>
            <w:r>
              <w:rPr>
                <w:sz w:val="22"/>
                <w:szCs w:val="22"/>
                <w:lang w:val="en-GB"/>
              </w:rPr>
              <w:t>Perikardijalni izliv</w:t>
            </w:r>
          </w:p>
        </w:tc>
        <w:tc>
          <w:tcPr>
            <w:tcW w:w="1289" w:type="pct"/>
            <w:tcBorders>
              <w:top w:val="single" w:sz="4" w:space="0" w:color="auto"/>
              <w:left w:val="single" w:sz="4" w:space="0" w:color="auto"/>
              <w:bottom w:val="single" w:sz="4" w:space="0" w:color="auto"/>
              <w:right w:val="single" w:sz="4" w:space="0" w:color="auto"/>
            </w:tcBorders>
            <w:hideMark/>
          </w:tcPr>
          <w:p w14:paraId="41BEE8E2" w14:textId="77777777" w:rsidR="005023EC" w:rsidRDefault="005023EC" w:rsidP="00641EEB">
            <w:pPr>
              <w:pStyle w:val="TableText10"/>
              <w:rPr>
                <w:sz w:val="22"/>
                <w:szCs w:val="22"/>
                <w:lang w:val="en-GB"/>
              </w:rPr>
            </w:pPr>
            <w:r>
              <w:rPr>
                <w:sz w:val="22"/>
                <w:szCs w:val="22"/>
                <w:lang w:val="en-GB"/>
              </w:rPr>
              <w:t xml:space="preserve">Povremeno </w:t>
            </w:r>
          </w:p>
        </w:tc>
      </w:tr>
      <w:tr w:rsidR="005023EC" w14:paraId="181C4DA6"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3965D"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7A4C3198" w14:textId="77777777" w:rsidR="005023EC" w:rsidRDefault="005023EC" w:rsidP="00641EEB">
            <w:pPr>
              <w:pStyle w:val="TableText10"/>
              <w:rPr>
                <w:sz w:val="22"/>
                <w:szCs w:val="22"/>
                <w:lang w:val="en-GB"/>
              </w:rPr>
            </w:pPr>
            <w:r>
              <w:rPr>
                <w:sz w:val="22"/>
                <w:szCs w:val="22"/>
                <w:lang w:val="en-GB"/>
              </w:rPr>
              <w:t>Kardiogeni šok</w:t>
            </w:r>
          </w:p>
        </w:tc>
        <w:tc>
          <w:tcPr>
            <w:tcW w:w="1289" w:type="pct"/>
            <w:tcBorders>
              <w:top w:val="single" w:sz="4" w:space="0" w:color="auto"/>
              <w:left w:val="single" w:sz="4" w:space="0" w:color="auto"/>
              <w:bottom w:val="single" w:sz="4" w:space="0" w:color="auto"/>
              <w:right w:val="single" w:sz="4" w:space="0" w:color="auto"/>
            </w:tcBorders>
            <w:hideMark/>
          </w:tcPr>
          <w:p w14:paraId="58177CD1" w14:textId="77777777" w:rsidR="005023EC" w:rsidRDefault="005023EC" w:rsidP="00641EEB">
            <w:pPr>
              <w:pStyle w:val="TableText10"/>
              <w:rPr>
                <w:sz w:val="22"/>
                <w:szCs w:val="22"/>
                <w:lang w:val="en-GB"/>
              </w:rPr>
            </w:pPr>
            <w:r>
              <w:rPr>
                <w:sz w:val="22"/>
                <w:szCs w:val="22"/>
                <w:lang w:val="en-GB"/>
              </w:rPr>
              <w:t>Nepoznato</w:t>
            </w:r>
          </w:p>
        </w:tc>
      </w:tr>
      <w:tr w:rsidR="005023EC" w14:paraId="3E96F677"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BD910"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078331CD" w14:textId="77777777" w:rsidR="005023EC" w:rsidRDefault="005023EC" w:rsidP="00641EEB">
            <w:pPr>
              <w:pStyle w:val="TableText10"/>
              <w:rPr>
                <w:sz w:val="22"/>
                <w:szCs w:val="22"/>
                <w:lang w:val="en-GB"/>
              </w:rPr>
            </w:pPr>
            <w:r>
              <w:rPr>
                <w:sz w:val="22"/>
                <w:szCs w:val="22"/>
                <w:lang w:val="en-GB"/>
              </w:rPr>
              <w:t>Galopirajući srčani ritam</w:t>
            </w:r>
          </w:p>
        </w:tc>
        <w:tc>
          <w:tcPr>
            <w:tcW w:w="1289" w:type="pct"/>
            <w:tcBorders>
              <w:top w:val="single" w:sz="4" w:space="0" w:color="auto"/>
              <w:left w:val="single" w:sz="4" w:space="0" w:color="auto"/>
              <w:bottom w:val="single" w:sz="4" w:space="0" w:color="auto"/>
              <w:right w:val="single" w:sz="4" w:space="0" w:color="auto"/>
            </w:tcBorders>
            <w:hideMark/>
          </w:tcPr>
          <w:p w14:paraId="4F1A4A08" w14:textId="77777777" w:rsidR="005023EC" w:rsidRDefault="005023EC" w:rsidP="00641EEB">
            <w:pPr>
              <w:pStyle w:val="TableText10"/>
              <w:rPr>
                <w:sz w:val="22"/>
                <w:szCs w:val="22"/>
                <w:lang w:val="en-GB"/>
              </w:rPr>
            </w:pPr>
            <w:r>
              <w:rPr>
                <w:sz w:val="22"/>
                <w:szCs w:val="22"/>
                <w:lang w:val="en-GB"/>
              </w:rPr>
              <w:t>Nepoznato</w:t>
            </w:r>
          </w:p>
        </w:tc>
      </w:tr>
      <w:tr w:rsidR="005023EC" w14:paraId="3DB2B8A3" w14:textId="77777777" w:rsidTr="00B05AA9">
        <w:trPr>
          <w:trHeight w:val="120"/>
        </w:trPr>
        <w:tc>
          <w:tcPr>
            <w:tcW w:w="1524" w:type="pct"/>
            <w:vMerge w:val="restart"/>
            <w:tcBorders>
              <w:top w:val="single" w:sz="4" w:space="0" w:color="auto"/>
              <w:left w:val="single" w:sz="4" w:space="0" w:color="auto"/>
              <w:bottom w:val="single" w:sz="4" w:space="0" w:color="auto"/>
              <w:right w:val="single" w:sz="4" w:space="0" w:color="auto"/>
            </w:tcBorders>
            <w:hideMark/>
          </w:tcPr>
          <w:p w14:paraId="4079F9BD" w14:textId="77777777" w:rsidR="005023EC" w:rsidRDefault="005023EC" w:rsidP="00641EEB">
            <w:pPr>
              <w:pStyle w:val="TableText10"/>
              <w:rPr>
                <w:sz w:val="22"/>
                <w:szCs w:val="22"/>
                <w:lang w:val="en-GB"/>
              </w:rPr>
            </w:pPr>
            <w:r>
              <w:rPr>
                <w:sz w:val="22"/>
                <w:szCs w:val="22"/>
                <w:lang w:val="en-GB"/>
              </w:rPr>
              <w:t>Vaskularni poremećaji</w:t>
            </w:r>
          </w:p>
        </w:tc>
        <w:tc>
          <w:tcPr>
            <w:tcW w:w="2187" w:type="pct"/>
            <w:tcBorders>
              <w:top w:val="single" w:sz="4" w:space="0" w:color="auto"/>
              <w:left w:val="single" w:sz="4" w:space="0" w:color="auto"/>
              <w:bottom w:val="single" w:sz="4" w:space="0" w:color="auto"/>
              <w:right w:val="single" w:sz="4" w:space="0" w:color="auto"/>
            </w:tcBorders>
            <w:hideMark/>
          </w:tcPr>
          <w:p w14:paraId="226E9E94" w14:textId="77777777" w:rsidR="005023EC" w:rsidRDefault="005023EC" w:rsidP="00641EEB">
            <w:pPr>
              <w:pStyle w:val="TableText10"/>
              <w:rPr>
                <w:sz w:val="22"/>
                <w:szCs w:val="22"/>
                <w:lang w:val="en-GB"/>
              </w:rPr>
            </w:pPr>
            <w:r>
              <w:rPr>
                <w:sz w:val="22"/>
                <w:szCs w:val="22"/>
                <w:lang w:val="en-GB"/>
              </w:rPr>
              <w:t xml:space="preserve">Valunzi </w:t>
            </w:r>
          </w:p>
        </w:tc>
        <w:tc>
          <w:tcPr>
            <w:tcW w:w="1289" w:type="pct"/>
            <w:tcBorders>
              <w:top w:val="single" w:sz="4" w:space="0" w:color="auto"/>
              <w:left w:val="single" w:sz="4" w:space="0" w:color="auto"/>
              <w:bottom w:val="single" w:sz="4" w:space="0" w:color="auto"/>
              <w:right w:val="single" w:sz="4" w:space="0" w:color="auto"/>
            </w:tcBorders>
            <w:hideMark/>
          </w:tcPr>
          <w:p w14:paraId="08C66238" w14:textId="77777777" w:rsidR="005023EC" w:rsidRDefault="005023EC" w:rsidP="00641EEB">
            <w:pPr>
              <w:pStyle w:val="TableText10"/>
              <w:rPr>
                <w:sz w:val="22"/>
                <w:szCs w:val="22"/>
                <w:lang w:val="en-GB"/>
              </w:rPr>
            </w:pPr>
            <w:r>
              <w:rPr>
                <w:sz w:val="22"/>
                <w:szCs w:val="22"/>
                <w:lang w:val="en-GB"/>
              </w:rPr>
              <w:t>Vrlo često</w:t>
            </w:r>
          </w:p>
        </w:tc>
      </w:tr>
      <w:tr w:rsidR="005023EC" w14:paraId="132F87BA"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22B32"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2D1FD8CF" w14:textId="77777777" w:rsidR="005023EC" w:rsidRDefault="005023EC" w:rsidP="00641EEB">
            <w:pPr>
              <w:pStyle w:val="TableText10"/>
              <w:rPr>
                <w:sz w:val="22"/>
                <w:szCs w:val="22"/>
                <w:vertAlign w:val="superscript"/>
                <w:lang w:val="en-GB"/>
              </w:rPr>
            </w:pPr>
            <w:r>
              <w:rPr>
                <w:sz w:val="22"/>
                <w:szCs w:val="22"/>
                <w:vertAlign w:val="superscript"/>
                <w:lang w:val="en-GB"/>
              </w:rPr>
              <w:t>+1</w:t>
            </w:r>
            <w:r>
              <w:rPr>
                <w:sz w:val="22"/>
                <w:szCs w:val="22"/>
                <w:lang w:val="en-GB"/>
              </w:rPr>
              <w:t>Sniženi krvni pritisak</w:t>
            </w:r>
          </w:p>
        </w:tc>
        <w:tc>
          <w:tcPr>
            <w:tcW w:w="1289" w:type="pct"/>
            <w:tcBorders>
              <w:top w:val="single" w:sz="4" w:space="0" w:color="auto"/>
              <w:left w:val="single" w:sz="4" w:space="0" w:color="auto"/>
              <w:bottom w:val="single" w:sz="4" w:space="0" w:color="auto"/>
              <w:right w:val="single" w:sz="4" w:space="0" w:color="auto"/>
            </w:tcBorders>
            <w:hideMark/>
          </w:tcPr>
          <w:p w14:paraId="39CD4727" w14:textId="77777777" w:rsidR="005023EC" w:rsidRDefault="005023EC" w:rsidP="00641EEB">
            <w:pPr>
              <w:pStyle w:val="TableText10"/>
              <w:rPr>
                <w:sz w:val="22"/>
                <w:szCs w:val="22"/>
                <w:lang w:val="en-GB"/>
              </w:rPr>
            </w:pPr>
            <w:r>
              <w:rPr>
                <w:sz w:val="22"/>
                <w:szCs w:val="22"/>
                <w:lang w:val="en-GB"/>
              </w:rPr>
              <w:t>Često</w:t>
            </w:r>
          </w:p>
        </w:tc>
      </w:tr>
      <w:tr w:rsidR="005023EC" w14:paraId="6A7D7918"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694E8" w14:textId="77777777" w:rsidR="005023EC" w:rsidRDefault="005023EC"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D3B53CF" w14:textId="77777777" w:rsidR="005023EC" w:rsidRDefault="005023EC" w:rsidP="00641EEB">
            <w:pPr>
              <w:pStyle w:val="TableText10"/>
              <w:rPr>
                <w:sz w:val="22"/>
                <w:szCs w:val="22"/>
                <w:lang w:val="en-GB"/>
              </w:rPr>
            </w:pPr>
            <w:r>
              <w:rPr>
                <w:sz w:val="22"/>
                <w:szCs w:val="22"/>
                <w:lang w:val="en-GB"/>
              </w:rPr>
              <w:t>Vazodilatacija</w:t>
            </w:r>
          </w:p>
        </w:tc>
        <w:tc>
          <w:tcPr>
            <w:tcW w:w="1289" w:type="pct"/>
            <w:tcBorders>
              <w:top w:val="single" w:sz="4" w:space="0" w:color="auto"/>
              <w:left w:val="single" w:sz="4" w:space="0" w:color="auto"/>
              <w:bottom w:val="single" w:sz="4" w:space="0" w:color="auto"/>
              <w:right w:val="single" w:sz="4" w:space="0" w:color="auto"/>
            </w:tcBorders>
            <w:hideMark/>
          </w:tcPr>
          <w:p w14:paraId="480B09A2" w14:textId="77777777" w:rsidR="005023EC" w:rsidRDefault="005023EC" w:rsidP="00641EEB">
            <w:pPr>
              <w:pStyle w:val="TableText10"/>
              <w:rPr>
                <w:sz w:val="22"/>
                <w:szCs w:val="22"/>
                <w:lang w:val="en-GB"/>
              </w:rPr>
            </w:pPr>
            <w:r>
              <w:rPr>
                <w:sz w:val="22"/>
                <w:szCs w:val="22"/>
                <w:lang w:val="en-GB"/>
              </w:rPr>
              <w:t>Često</w:t>
            </w:r>
          </w:p>
        </w:tc>
      </w:tr>
      <w:tr w:rsidR="004E1F29" w14:paraId="58E7A681" w14:textId="77777777" w:rsidTr="004E1F29">
        <w:trPr>
          <w:trHeight w:val="290"/>
        </w:trPr>
        <w:tc>
          <w:tcPr>
            <w:tcW w:w="1524" w:type="pct"/>
            <w:vMerge w:val="restart"/>
            <w:tcBorders>
              <w:top w:val="single" w:sz="4" w:space="0" w:color="auto"/>
              <w:left w:val="single" w:sz="4" w:space="0" w:color="auto"/>
              <w:right w:val="single" w:sz="4" w:space="0" w:color="auto"/>
            </w:tcBorders>
          </w:tcPr>
          <w:p w14:paraId="6A9B877A" w14:textId="1CF11313" w:rsidR="004E1F29" w:rsidRDefault="004E1F29" w:rsidP="00641EEB">
            <w:pPr>
              <w:pStyle w:val="TableText10"/>
              <w:rPr>
                <w:sz w:val="22"/>
                <w:szCs w:val="22"/>
                <w:lang w:val="pl-PL"/>
              </w:rPr>
            </w:pPr>
            <w:r>
              <w:rPr>
                <w:sz w:val="22"/>
                <w:szCs w:val="22"/>
                <w:lang w:val="pl-PL"/>
              </w:rPr>
              <w:t>Respiratorni, torakalni i medijastinalni poremećaji</w:t>
            </w:r>
          </w:p>
          <w:p w14:paraId="6BA93387" w14:textId="77777777" w:rsidR="004E1F29" w:rsidRDefault="004E1F29" w:rsidP="00641EEB">
            <w:pPr>
              <w:pStyle w:val="TableText10"/>
              <w:rPr>
                <w:sz w:val="22"/>
                <w:szCs w:val="22"/>
                <w:lang w:val="pl-PL"/>
              </w:rPr>
            </w:pPr>
          </w:p>
        </w:tc>
        <w:tc>
          <w:tcPr>
            <w:tcW w:w="2187" w:type="pct"/>
            <w:tcBorders>
              <w:top w:val="single" w:sz="4" w:space="0" w:color="auto"/>
              <w:left w:val="single" w:sz="4" w:space="0" w:color="auto"/>
              <w:right w:val="single" w:sz="4" w:space="0" w:color="auto"/>
            </w:tcBorders>
          </w:tcPr>
          <w:p w14:paraId="552AA493" w14:textId="173BE20D" w:rsidR="004E1F29" w:rsidRDefault="004E1F29" w:rsidP="00641EEB">
            <w:pPr>
              <w:pStyle w:val="TableText10"/>
              <w:rPr>
                <w:sz w:val="22"/>
                <w:szCs w:val="22"/>
                <w:lang w:val="en-GB"/>
              </w:rPr>
            </w:pPr>
            <w:r>
              <w:rPr>
                <w:sz w:val="22"/>
                <w:szCs w:val="22"/>
                <w:vertAlign w:val="superscript"/>
                <w:lang w:val="en-GB"/>
              </w:rPr>
              <w:t>+</w:t>
            </w:r>
            <w:r>
              <w:rPr>
                <w:sz w:val="22"/>
                <w:szCs w:val="22"/>
                <w:lang w:val="en-GB"/>
              </w:rPr>
              <w:t>Dispnea</w:t>
            </w:r>
          </w:p>
        </w:tc>
        <w:tc>
          <w:tcPr>
            <w:tcW w:w="1289" w:type="pct"/>
            <w:tcBorders>
              <w:top w:val="single" w:sz="4" w:space="0" w:color="auto"/>
              <w:left w:val="single" w:sz="4" w:space="0" w:color="auto"/>
              <w:right w:val="single" w:sz="4" w:space="0" w:color="auto"/>
            </w:tcBorders>
          </w:tcPr>
          <w:p w14:paraId="5FF86FD8" w14:textId="56F7A546" w:rsidR="004E1F29" w:rsidRDefault="004E1F29" w:rsidP="00641EEB">
            <w:pPr>
              <w:pStyle w:val="TableText10"/>
              <w:rPr>
                <w:sz w:val="22"/>
                <w:szCs w:val="22"/>
                <w:lang w:val="en-GB"/>
              </w:rPr>
            </w:pPr>
            <w:r>
              <w:rPr>
                <w:sz w:val="22"/>
                <w:szCs w:val="22"/>
                <w:lang w:val="en-GB"/>
              </w:rPr>
              <w:t xml:space="preserve">Vrlo često </w:t>
            </w:r>
          </w:p>
        </w:tc>
      </w:tr>
      <w:tr w:rsidR="005023EC" w14:paraId="4705B917" w14:textId="77777777" w:rsidTr="003F6A56">
        <w:trPr>
          <w:trHeight w:val="179"/>
        </w:trPr>
        <w:tc>
          <w:tcPr>
            <w:tcW w:w="0" w:type="auto"/>
            <w:vMerge/>
            <w:tcBorders>
              <w:left w:val="single" w:sz="4" w:space="0" w:color="auto"/>
              <w:right w:val="single" w:sz="4" w:space="0" w:color="auto"/>
            </w:tcBorders>
            <w:vAlign w:val="center"/>
            <w:hideMark/>
          </w:tcPr>
          <w:p w14:paraId="1DBBB00D" w14:textId="77777777" w:rsidR="005023EC" w:rsidRDefault="005023EC"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445DB4EB" w14:textId="77777777" w:rsidR="005023EC" w:rsidRDefault="005023EC" w:rsidP="00641EEB">
            <w:pPr>
              <w:pStyle w:val="TableText10"/>
              <w:rPr>
                <w:sz w:val="22"/>
                <w:szCs w:val="22"/>
                <w:lang w:val="en-GB"/>
              </w:rPr>
            </w:pPr>
            <w:r>
              <w:rPr>
                <w:sz w:val="22"/>
                <w:szCs w:val="22"/>
                <w:lang w:val="en-GB"/>
              </w:rPr>
              <w:t>Kašalj</w:t>
            </w:r>
          </w:p>
        </w:tc>
        <w:tc>
          <w:tcPr>
            <w:tcW w:w="1289" w:type="pct"/>
            <w:tcBorders>
              <w:top w:val="single" w:sz="4" w:space="0" w:color="auto"/>
              <w:left w:val="single" w:sz="4" w:space="0" w:color="auto"/>
              <w:bottom w:val="single" w:sz="4" w:space="0" w:color="auto"/>
              <w:right w:val="single" w:sz="4" w:space="0" w:color="auto"/>
            </w:tcBorders>
            <w:hideMark/>
          </w:tcPr>
          <w:p w14:paraId="59F27F2D" w14:textId="77777777" w:rsidR="005023EC" w:rsidRDefault="005023EC" w:rsidP="00641EEB">
            <w:pPr>
              <w:pStyle w:val="TableText10"/>
              <w:rPr>
                <w:sz w:val="22"/>
                <w:szCs w:val="22"/>
                <w:lang w:val="en-GB"/>
              </w:rPr>
            </w:pPr>
            <w:r>
              <w:rPr>
                <w:sz w:val="22"/>
                <w:szCs w:val="22"/>
                <w:lang w:val="en-GB"/>
              </w:rPr>
              <w:t xml:space="preserve">Vrlo često </w:t>
            </w:r>
          </w:p>
        </w:tc>
      </w:tr>
      <w:tr w:rsidR="005023EC" w14:paraId="2EBAE28E" w14:textId="77777777" w:rsidTr="003F6A56">
        <w:trPr>
          <w:trHeight w:val="127"/>
        </w:trPr>
        <w:tc>
          <w:tcPr>
            <w:tcW w:w="0" w:type="auto"/>
            <w:vMerge/>
            <w:tcBorders>
              <w:left w:val="single" w:sz="4" w:space="0" w:color="auto"/>
              <w:right w:val="single" w:sz="4" w:space="0" w:color="auto"/>
            </w:tcBorders>
            <w:vAlign w:val="center"/>
            <w:hideMark/>
          </w:tcPr>
          <w:p w14:paraId="419A75BB" w14:textId="77777777" w:rsidR="005023EC" w:rsidRDefault="005023EC"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DA3609F" w14:textId="77777777" w:rsidR="005023EC" w:rsidRDefault="005023EC" w:rsidP="00641EEB">
            <w:pPr>
              <w:pStyle w:val="TableText10"/>
              <w:rPr>
                <w:sz w:val="22"/>
                <w:szCs w:val="22"/>
                <w:lang w:val="en-GB"/>
              </w:rPr>
            </w:pPr>
            <w:r>
              <w:rPr>
                <w:sz w:val="22"/>
                <w:szCs w:val="22"/>
                <w:lang w:val="en-GB"/>
              </w:rPr>
              <w:t>Epistaksa</w:t>
            </w:r>
          </w:p>
        </w:tc>
        <w:tc>
          <w:tcPr>
            <w:tcW w:w="1289" w:type="pct"/>
            <w:tcBorders>
              <w:top w:val="single" w:sz="4" w:space="0" w:color="auto"/>
              <w:left w:val="single" w:sz="4" w:space="0" w:color="auto"/>
              <w:bottom w:val="single" w:sz="4" w:space="0" w:color="auto"/>
              <w:right w:val="single" w:sz="4" w:space="0" w:color="auto"/>
            </w:tcBorders>
            <w:hideMark/>
          </w:tcPr>
          <w:p w14:paraId="5FBE9DDC" w14:textId="77777777" w:rsidR="005023EC" w:rsidRDefault="005023EC" w:rsidP="00641EEB">
            <w:pPr>
              <w:pStyle w:val="TableText10"/>
              <w:rPr>
                <w:sz w:val="22"/>
                <w:szCs w:val="22"/>
                <w:lang w:val="en-GB"/>
              </w:rPr>
            </w:pPr>
            <w:r>
              <w:rPr>
                <w:sz w:val="22"/>
                <w:szCs w:val="22"/>
                <w:lang w:val="en-GB"/>
              </w:rPr>
              <w:t>Vrlo često</w:t>
            </w:r>
          </w:p>
        </w:tc>
      </w:tr>
      <w:tr w:rsidR="005023EC" w14:paraId="281CDB46" w14:textId="77777777" w:rsidTr="003F6A56">
        <w:trPr>
          <w:trHeight w:val="127"/>
        </w:trPr>
        <w:tc>
          <w:tcPr>
            <w:tcW w:w="0" w:type="auto"/>
            <w:vMerge/>
            <w:tcBorders>
              <w:left w:val="single" w:sz="4" w:space="0" w:color="auto"/>
              <w:right w:val="single" w:sz="4" w:space="0" w:color="auto"/>
            </w:tcBorders>
            <w:vAlign w:val="center"/>
            <w:hideMark/>
          </w:tcPr>
          <w:p w14:paraId="52922F10" w14:textId="77777777" w:rsidR="005023EC" w:rsidRDefault="005023EC"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4D244B9C" w14:textId="77777777" w:rsidR="005023EC" w:rsidRDefault="005023EC" w:rsidP="00641EEB">
            <w:pPr>
              <w:pStyle w:val="TableText10"/>
              <w:rPr>
                <w:sz w:val="22"/>
                <w:szCs w:val="22"/>
                <w:lang w:val="en-GB"/>
              </w:rPr>
            </w:pPr>
            <w:r>
              <w:rPr>
                <w:sz w:val="22"/>
                <w:szCs w:val="22"/>
                <w:lang w:val="en-GB"/>
              </w:rPr>
              <w:t xml:space="preserve">Rinoreja </w:t>
            </w:r>
          </w:p>
        </w:tc>
        <w:tc>
          <w:tcPr>
            <w:tcW w:w="1289" w:type="pct"/>
            <w:tcBorders>
              <w:top w:val="single" w:sz="4" w:space="0" w:color="auto"/>
              <w:left w:val="single" w:sz="4" w:space="0" w:color="auto"/>
              <w:bottom w:val="single" w:sz="4" w:space="0" w:color="auto"/>
              <w:right w:val="single" w:sz="4" w:space="0" w:color="auto"/>
            </w:tcBorders>
            <w:hideMark/>
          </w:tcPr>
          <w:p w14:paraId="04756E80" w14:textId="77777777" w:rsidR="005023EC" w:rsidRDefault="005023EC" w:rsidP="00641EEB">
            <w:pPr>
              <w:pStyle w:val="TableText10"/>
              <w:rPr>
                <w:sz w:val="22"/>
                <w:szCs w:val="22"/>
                <w:lang w:val="en-GB"/>
              </w:rPr>
            </w:pPr>
            <w:r>
              <w:rPr>
                <w:sz w:val="22"/>
                <w:szCs w:val="22"/>
                <w:lang w:val="en-GB"/>
              </w:rPr>
              <w:t>Vrlo često</w:t>
            </w:r>
          </w:p>
        </w:tc>
      </w:tr>
      <w:tr w:rsidR="005023EC" w14:paraId="0AAE1BE9" w14:textId="77777777" w:rsidTr="003F6A56">
        <w:trPr>
          <w:trHeight w:val="127"/>
        </w:trPr>
        <w:tc>
          <w:tcPr>
            <w:tcW w:w="0" w:type="auto"/>
            <w:vMerge/>
            <w:tcBorders>
              <w:left w:val="single" w:sz="4" w:space="0" w:color="auto"/>
              <w:right w:val="single" w:sz="4" w:space="0" w:color="auto"/>
            </w:tcBorders>
            <w:vAlign w:val="center"/>
            <w:hideMark/>
          </w:tcPr>
          <w:p w14:paraId="7614DDCD" w14:textId="77777777" w:rsidR="005023EC" w:rsidRDefault="005023EC"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198DE55B" w14:textId="77777777" w:rsidR="005023EC" w:rsidRDefault="005023EC" w:rsidP="00641EEB">
            <w:pPr>
              <w:pStyle w:val="TableText10"/>
              <w:rPr>
                <w:sz w:val="22"/>
                <w:szCs w:val="22"/>
                <w:lang w:val="en-GB"/>
              </w:rPr>
            </w:pPr>
            <w:r>
              <w:rPr>
                <w:sz w:val="22"/>
                <w:szCs w:val="22"/>
                <w:vertAlign w:val="superscript"/>
                <w:lang w:val="en-GB"/>
              </w:rPr>
              <w:t>+</w:t>
            </w:r>
            <w:r>
              <w:rPr>
                <w:sz w:val="22"/>
                <w:szCs w:val="22"/>
                <w:lang w:val="en-GB"/>
              </w:rPr>
              <w:t>Pneumonija</w:t>
            </w:r>
          </w:p>
        </w:tc>
        <w:tc>
          <w:tcPr>
            <w:tcW w:w="1289" w:type="pct"/>
            <w:tcBorders>
              <w:top w:val="single" w:sz="4" w:space="0" w:color="auto"/>
              <w:left w:val="single" w:sz="4" w:space="0" w:color="auto"/>
              <w:bottom w:val="single" w:sz="4" w:space="0" w:color="auto"/>
              <w:right w:val="single" w:sz="4" w:space="0" w:color="auto"/>
            </w:tcBorders>
            <w:hideMark/>
          </w:tcPr>
          <w:p w14:paraId="73A48C7A" w14:textId="77777777" w:rsidR="005023EC" w:rsidRDefault="005023EC" w:rsidP="00641EEB">
            <w:pPr>
              <w:pStyle w:val="TableText10"/>
              <w:rPr>
                <w:sz w:val="22"/>
                <w:szCs w:val="22"/>
                <w:lang w:val="en-GB"/>
              </w:rPr>
            </w:pPr>
            <w:r>
              <w:rPr>
                <w:sz w:val="22"/>
                <w:szCs w:val="22"/>
                <w:lang w:val="en-GB"/>
              </w:rPr>
              <w:t>Često</w:t>
            </w:r>
          </w:p>
        </w:tc>
      </w:tr>
      <w:tr w:rsidR="005023EC" w14:paraId="52B14AA9" w14:textId="77777777" w:rsidTr="003F6A56">
        <w:trPr>
          <w:trHeight w:val="127"/>
        </w:trPr>
        <w:tc>
          <w:tcPr>
            <w:tcW w:w="0" w:type="auto"/>
            <w:vMerge/>
            <w:tcBorders>
              <w:left w:val="single" w:sz="4" w:space="0" w:color="auto"/>
              <w:right w:val="single" w:sz="4" w:space="0" w:color="auto"/>
            </w:tcBorders>
            <w:vAlign w:val="center"/>
            <w:hideMark/>
          </w:tcPr>
          <w:p w14:paraId="54716939" w14:textId="77777777" w:rsidR="005023EC" w:rsidRDefault="005023EC"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1DDE96A9" w14:textId="77777777" w:rsidR="005023EC" w:rsidRDefault="005023EC" w:rsidP="00641EEB">
            <w:pPr>
              <w:pStyle w:val="TableText10"/>
              <w:rPr>
                <w:sz w:val="22"/>
                <w:szCs w:val="22"/>
                <w:lang w:val="en-GB"/>
              </w:rPr>
            </w:pPr>
            <w:r>
              <w:rPr>
                <w:sz w:val="22"/>
                <w:szCs w:val="22"/>
                <w:lang w:val="en-GB"/>
              </w:rPr>
              <w:t xml:space="preserve">Astma </w:t>
            </w:r>
          </w:p>
        </w:tc>
        <w:tc>
          <w:tcPr>
            <w:tcW w:w="1289" w:type="pct"/>
            <w:tcBorders>
              <w:top w:val="single" w:sz="4" w:space="0" w:color="auto"/>
              <w:left w:val="single" w:sz="4" w:space="0" w:color="auto"/>
              <w:bottom w:val="single" w:sz="4" w:space="0" w:color="auto"/>
              <w:right w:val="single" w:sz="4" w:space="0" w:color="auto"/>
            </w:tcBorders>
            <w:hideMark/>
          </w:tcPr>
          <w:p w14:paraId="7F469AE5" w14:textId="77777777" w:rsidR="005023EC" w:rsidRDefault="005023EC" w:rsidP="00641EEB">
            <w:pPr>
              <w:pStyle w:val="TableText10"/>
              <w:rPr>
                <w:sz w:val="22"/>
                <w:szCs w:val="22"/>
                <w:lang w:val="en-GB"/>
              </w:rPr>
            </w:pPr>
            <w:r>
              <w:rPr>
                <w:sz w:val="22"/>
                <w:szCs w:val="22"/>
                <w:lang w:val="en-GB"/>
              </w:rPr>
              <w:t>Često</w:t>
            </w:r>
          </w:p>
        </w:tc>
      </w:tr>
      <w:tr w:rsidR="005023EC" w14:paraId="0F4151B1" w14:textId="77777777" w:rsidTr="003F6A56">
        <w:trPr>
          <w:trHeight w:val="319"/>
        </w:trPr>
        <w:tc>
          <w:tcPr>
            <w:tcW w:w="0" w:type="auto"/>
            <w:vMerge/>
            <w:tcBorders>
              <w:left w:val="single" w:sz="4" w:space="0" w:color="auto"/>
              <w:right w:val="single" w:sz="4" w:space="0" w:color="auto"/>
            </w:tcBorders>
            <w:vAlign w:val="center"/>
            <w:hideMark/>
          </w:tcPr>
          <w:p w14:paraId="768A1ED1" w14:textId="77777777" w:rsidR="005023EC" w:rsidRDefault="005023EC"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2BCD2792" w14:textId="77777777" w:rsidR="005023EC" w:rsidRDefault="005023EC" w:rsidP="00641EEB">
            <w:pPr>
              <w:pStyle w:val="TableText10"/>
              <w:rPr>
                <w:sz w:val="22"/>
                <w:szCs w:val="22"/>
                <w:lang w:val="en-GB"/>
              </w:rPr>
            </w:pPr>
            <w:r>
              <w:rPr>
                <w:sz w:val="22"/>
                <w:szCs w:val="22"/>
                <w:lang w:val="en-GB"/>
              </w:rPr>
              <w:t>Plućni poremećaji</w:t>
            </w:r>
          </w:p>
        </w:tc>
        <w:tc>
          <w:tcPr>
            <w:tcW w:w="1289" w:type="pct"/>
            <w:tcBorders>
              <w:top w:val="single" w:sz="4" w:space="0" w:color="auto"/>
              <w:left w:val="single" w:sz="4" w:space="0" w:color="auto"/>
              <w:bottom w:val="single" w:sz="4" w:space="0" w:color="auto"/>
              <w:right w:val="single" w:sz="4" w:space="0" w:color="auto"/>
            </w:tcBorders>
            <w:hideMark/>
          </w:tcPr>
          <w:p w14:paraId="7873D863" w14:textId="77777777" w:rsidR="005023EC" w:rsidRDefault="005023EC" w:rsidP="00641EEB">
            <w:pPr>
              <w:pStyle w:val="TableText10"/>
              <w:rPr>
                <w:sz w:val="22"/>
                <w:szCs w:val="22"/>
                <w:lang w:val="en-GB"/>
              </w:rPr>
            </w:pPr>
            <w:r>
              <w:rPr>
                <w:sz w:val="22"/>
                <w:szCs w:val="22"/>
                <w:lang w:val="en-GB"/>
              </w:rPr>
              <w:t>Često</w:t>
            </w:r>
          </w:p>
        </w:tc>
      </w:tr>
      <w:tr w:rsidR="005023EC" w14:paraId="7C1897A0" w14:textId="77777777" w:rsidTr="003F6A56">
        <w:trPr>
          <w:trHeight w:val="266"/>
        </w:trPr>
        <w:tc>
          <w:tcPr>
            <w:tcW w:w="0" w:type="auto"/>
            <w:vMerge/>
            <w:tcBorders>
              <w:left w:val="single" w:sz="4" w:space="0" w:color="auto"/>
              <w:right w:val="single" w:sz="4" w:space="0" w:color="auto"/>
            </w:tcBorders>
            <w:vAlign w:val="center"/>
            <w:hideMark/>
          </w:tcPr>
          <w:p w14:paraId="57E7B35D" w14:textId="77777777" w:rsidR="005023EC" w:rsidRDefault="005023EC"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6ED8DC3C" w14:textId="77777777" w:rsidR="005023EC" w:rsidRDefault="005023EC" w:rsidP="00641EEB">
            <w:pPr>
              <w:pStyle w:val="TableText10"/>
              <w:rPr>
                <w:sz w:val="22"/>
                <w:szCs w:val="22"/>
                <w:lang w:val="en-GB"/>
              </w:rPr>
            </w:pPr>
            <w:r>
              <w:rPr>
                <w:sz w:val="22"/>
                <w:szCs w:val="22"/>
                <w:vertAlign w:val="superscript"/>
                <w:lang w:val="en-GB"/>
              </w:rPr>
              <w:t>+</w:t>
            </w:r>
            <w:r>
              <w:rPr>
                <w:sz w:val="22"/>
                <w:szCs w:val="22"/>
                <w:lang w:val="en-GB"/>
              </w:rPr>
              <w:t>Pleuralni izliv</w:t>
            </w:r>
          </w:p>
        </w:tc>
        <w:tc>
          <w:tcPr>
            <w:tcW w:w="1289" w:type="pct"/>
            <w:tcBorders>
              <w:top w:val="single" w:sz="4" w:space="0" w:color="auto"/>
              <w:left w:val="single" w:sz="4" w:space="0" w:color="auto"/>
              <w:bottom w:val="single" w:sz="4" w:space="0" w:color="auto"/>
              <w:right w:val="single" w:sz="4" w:space="0" w:color="auto"/>
            </w:tcBorders>
            <w:hideMark/>
          </w:tcPr>
          <w:p w14:paraId="1085E7C1" w14:textId="77777777" w:rsidR="005023EC" w:rsidRDefault="005023EC" w:rsidP="00641EEB">
            <w:pPr>
              <w:pStyle w:val="TableText10"/>
              <w:rPr>
                <w:sz w:val="22"/>
                <w:szCs w:val="22"/>
                <w:lang w:val="en-GB"/>
              </w:rPr>
            </w:pPr>
            <w:r>
              <w:rPr>
                <w:sz w:val="22"/>
                <w:szCs w:val="22"/>
                <w:lang w:val="en-GB"/>
              </w:rPr>
              <w:t>Često</w:t>
            </w:r>
          </w:p>
        </w:tc>
      </w:tr>
      <w:tr w:rsidR="00EB7A81" w14:paraId="3AF95B36" w14:textId="77777777" w:rsidTr="003F6A56">
        <w:trPr>
          <w:trHeight w:val="269"/>
        </w:trPr>
        <w:tc>
          <w:tcPr>
            <w:tcW w:w="0" w:type="auto"/>
            <w:vMerge/>
            <w:tcBorders>
              <w:left w:val="single" w:sz="4" w:space="0" w:color="auto"/>
              <w:right w:val="single" w:sz="4" w:space="0" w:color="auto"/>
            </w:tcBorders>
            <w:vAlign w:val="center"/>
          </w:tcPr>
          <w:p w14:paraId="626FAA60"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tcPr>
          <w:p w14:paraId="70E805E8" w14:textId="47AD6666" w:rsidR="00EB7A81" w:rsidRDefault="00EB7A81" w:rsidP="00641EEB">
            <w:pPr>
              <w:pStyle w:val="TableText10"/>
              <w:rPr>
                <w:sz w:val="22"/>
                <w:szCs w:val="22"/>
                <w:lang w:val="en-GB"/>
              </w:rPr>
            </w:pPr>
            <w:r>
              <w:rPr>
                <w:sz w:val="22"/>
                <w:szCs w:val="22"/>
                <w:vertAlign w:val="superscript"/>
                <w:lang w:val="en-GB"/>
              </w:rPr>
              <w:t>+1</w:t>
            </w:r>
            <w:r>
              <w:rPr>
                <w:sz w:val="22"/>
                <w:szCs w:val="22"/>
                <w:lang w:val="en-GB"/>
              </w:rPr>
              <w:t>Teško disanje</w:t>
            </w:r>
          </w:p>
        </w:tc>
        <w:tc>
          <w:tcPr>
            <w:tcW w:w="1289" w:type="pct"/>
            <w:tcBorders>
              <w:top w:val="single" w:sz="4" w:space="0" w:color="auto"/>
              <w:left w:val="single" w:sz="4" w:space="0" w:color="auto"/>
              <w:bottom w:val="single" w:sz="4" w:space="0" w:color="auto"/>
              <w:right w:val="single" w:sz="4" w:space="0" w:color="auto"/>
            </w:tcBorders>
          </w:tcPr>
          <w:p w14:paraId="103777BE" w14:textId="1A8531A3" w:rsidR="00EB7A81" w:rsidRDefault="00EB7A81" w:rsidP="00641EEB">
            <w:pPr>
              <w:pStyle w:val="TableText10"/>
              <w:rPr>
                <w:sz w:val="22"/>
                <w:szCs w:val="22"/>
                <w:lang w:val="en-GB"/>
              </w:rPr>
            </w:pPr>
            <w:r>
              <w:rPr>
                <w:sz w:val="22"/>
                <w:szCs w:val="22"/>
                <w:lang w:val="en-GB"/>
              </w:rPr>
              <w:t>Povremeno</w:t>
            </w:r>
          </w:p>
        </w:tc>
      </w:tr>
      <w:tr w:rsidR="00EB7A81" w14:paraId="17D2972F" w14:textId="77777777" w:rsidTr="003F6A56">
        <w:trPr>
          <w:trHeight w:val="269"/>
        </w:trPr>
        <w:tc>
          <w:tcPr>
            <w:tcW w:w="0" w:type="auto"/>
            <w:vMerge/>
            <w:tcBorders>
              <w:left w:val="single" w:sz="4" w:space="0" w:color="auto"/>
              <w:right w:val="single" w:sz="4" w:space="0" w:color="auto"/>
            </w:tcBorders>
            <w:vAlign w:val="center"/>
            <w:hideMark/>
          </w:tcPr>
          <w:p w14:paraId="567DBE06"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30EFD169" w14:textId="77777777" w:rsidR="00EB7A81" w:rsidRDefault="00EB7A81" w:rsidP="00641EEB">
            <w:pPr>
              <w:pStyle w:val="TableText10"/>
              <w:rPr>
                <w:sz w:val="22"/>
                <w:szCs w:val="22"/>
                <w:lang w:val="en-GB"/>
              </w:rPr>
            </w:pPr>
            <w:r>
              <w:rPr>
                <w:sz w:val="22"/>
                <w:szCs w:val="22"/>
                <w:lang w:val="en-GB"/>
              </w:rPr>
              <w:t>Pneumonitis</w:t>
            </w:r>
          </w:p>
        </w:tc>
        <w:tc>
          <w:tcPr>
            <w:tcW w:w="1289" w:type="pct"/>
            <w:tcBorders>
              <w:top w:val="single" w:sz="4" w:space="0" w:color="auto"/>
              <w:left w:val="single" w:sz="4" w:space="0" w:color="auto"/>
              <w:bottom w:val="single" w:sz="4" w:space="0" w:color="auto"/>
              <w:right w:val="single" w:sz="4" w:space="0" w:color="auto"/>
            </w:tcBorders>
            <w:hideMark/>
          </w:tcPr>
          <w:p w14:paraId="7B416BD4" w14:textId="2C6A6F0E" w:rsidR="00EB7A81" w:rsidRDefault="00EB7A81" w:rsidP="00641EEB">
            <w:pPr>
              <w:pStyle w:val="TableText10"/>
              <w:rPr>
                <w:sz w:val="22"/>
                <w:szCs w:val="22"/>
                <w:lang w:val="en-GB"/>
              </w:rPr>
            </w:pPr>
            <w:r>
              <w:rPr>
                <w:sz w:val="22"/>
                <w:szCs w:val="22"/>
                <w:lang w:val="en-GB"/>
              </w:rPr>
              <w:t>Povremeno</w:t>
            </w:r>
          </w:p>
        </w:tc>
      </w:tr>
      <w:tr w:rsidR="00EB7A81" w14:paraId="3858D66A" w14:textId="77777777" w:rsidTr="003F6A56">
        <w:trPr>
          <w:trHeight w:val="209"/>
        </w:trPr>
        <w:tc>
          <w:tcPr>
            <w:tcW w:w="0" w:type="auto"/>
            <w:vMerge/>
            <w:tcBorders>
              <w:left w:val="single" w:sz="4" w:space="0" w:color="auto"/>
              <w:right w:val="single" w:sz="4" w:space="0" w:color="auto"/>
            </w:tcBorders>
            <w:vAlign w:val="center"/>
            <w:hideMark/>
          </w:tcPr>
          <w:p w14:paraId="04FEA099"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3763BBBD" w14:textId="77777777" w:rsidR="00EB7A81" w:rsidRDefault="00EB7A81" w:rsidP="00641EEB">
            <w:pPr>
              <w:pStyle w:val="TableText10"/>
              <w:rPr>
                <w:sz w:val="22"/>
                <w:szCs w:val="22"/>
                <w:lang w:val="en-GB"/>
              </w:rPr>
            </w:pPr>
            <w:r>
              <w:rPr>
                <w:sz w:val="22"/>
                <w:szCs w:val="22"/>
                <w:vertAlign w:val="superscript"/>
                <w:lang w:val="en-GB"/>
              </w:rPr>
              <w:t>+</w:t>
            </w:r>
            <w:r>
              <w:rPr>
                <w:sz w:val="22"/>
                <w:szCs w:val="22"/>
                <w:lang w:val="en-GB"/>
              </w:rPr>
              <w:t>Plućna fibroza</w:t>
            </w:r>
          </w:p>
        </w:tc>
        <w:tc>
          <w:tcPr>
            <w:tcW w:w="1289" w:type="pct"/>
            <w:tcBorders>
              <w:top w:val="single" w:sz="4" w:space="0" w:color="auto"/>
              <w:left w:val="single" w:sz="4" w:space="0" w:color="auto"/>
              <w:bottom w:val="single" w:sz="4" w:space="0" w:color="auto"/>
              <w:right w:val="single" w:sz="4" w:space="0" w:color="auto"/>
            </w:tcBorders>
            <w:hideMark/>
          </w:tcPr>
          <w:p w14:paraId="0826174F" w14:textId="77777777" w:rsidR="00EB7A81" w:rsidRDefault="00EB7A81" w:rsidP="00641EEB">
            <w:pPr>
              <w:pStyle w:val="TableText10"/>
              <w:rPr>
                <w:sz w:val="22"/>
                <w:szCs w:val="22"/>
                <w:lang w:val="en-GB"/>
              </w:rPr>
            </w:pPr>
            <w:r>
              <w:rPr>
                <w:sz w:val="22"/>
                <w:szCs w:val="22"/>
                <w:lang w:val="en-GB"/>
              </w:rPr>
              <w:t>Nepoznato</w:t>
            </w:r>
          </w:p>
        </w:tc>
      </w:tr>
      <w:tr w:rsidR="00EB7A81" w14:paraId="3F76C7BF" w14:textId="77777777" w:rsidTr="003F6A56">
        <w:trPr>
          <w:trHeight w:val="258"/>
        </w:trPr>
        <w:tc>
          <w:tcPr>
            <w:tcW w:w="0" w:type="auto"/>
            <w:vMerge/>
            <w:tcBorders>
              <w:left w:val="single" w:sz="4" w:space="0" w:color="auto"/>
              <w:right w:val="single" w:sz="4" w:space="0" w:color="auto"/>
            </w:tcBorders>
            <w:vAlign w:val="center"/>
            <w:hideMark/>
          </w:tcPr>
          <w:p w14:paraId="43267A7F"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363639BF" w14:textId="77777777" w:rsidR="00EB7A81" w:rsidRDefault="00EB7A81" w:rsidP="00641EEB">
            <w:pPr>
              <w:pStyle w:val="TableText10"/>
              <w:rPr>
                <w:sz w:val="22"/>
                <w:szCs w:val="22"/>
                <w:lang w:val="en-GB"/>
              </w:rPr>
            </w:pPr>
            <w:r>
              <w:rPr>
                <w:sz w:val="22"/>
                <w:szCs w:val="22"/>
                <w:vertAlign w:val="superscript"/>
                <w:lang w:val="en-GB"/>
              </w:rPr>
              <w:t>+</w:t>
            </w:r>
            <w:r>
              <w:rPr>
                <w:sz w:val="22"/>
                <w:szCs w:val="22"/>
                <w:lang w:val="en-GB"/>
              </w:rPr>
              <w:t>Respiratorni distres</w:t>
            </w:r>
          </w:p>
        </w:tc>
        <w:tc>
          <w:tcPr>
            <w:tcW w:w="1289" w:type="pct"/>
            <w:tcBorders>
              <w:top w:val="single" w:sz="4" w:space="0" w:color="auto"/>
              <w:left w:val="single" w:sz="4" w:space="0" w:color="auto"/>
              <w:bottom w:val="single" w:sz="4" w:space="0" w:color="auto"/>
              <w:right w:val="single" w:sz="4" w:space="0" w:color="auto"/>
            </w:tcBorders>
            <w:hideMark/>
          </w:tcPr>
          <w:p w14:paraId="59522588" w14:textId="77777777" w:rsidR="00EB7A81" w:rsidRDefault="00EB7A81" w:rsidP="00641EEB">
            <w:pPr>
              <w:pStyle w:val="TableText10"/>
              <w:rPr>
                <w:sz w:val="22"/>
                <w:szCs w:val="22"/>
                <w:lang w:val="en-GB"/>
              </w:rPr>
            </w:pPr>
            <w:r>
              <w:rPr>
                <w:sz w:val="22"/>
                <w:szCs w:val="22"/>
                <w:lang w:val="en-GB"/>
              </w:rPr>
              <w:t>Nepoznato</w:t>
            </w:r>
          </w:p>
        </w:tc>
      </w:tr>
      <w:tr w:rsidR="00EB7A81" w14:paraId="3F79078E" w14:textId="77777777" w:rsidTr="003F6A56">
        <w:trPr>
          <w:trHeight w:val="275"/>
        </w:trPr>
        <w:tc>
          <w:tcPr>
            <w:tcW w:w="0" w:type="auto"/>
            <w:vMerge/>
            <w:tcBorders>
              <w:left w:val="single" w:sz="4" w:space="0" w:color="auto"/>
              <w:right w:val="single" w:sz="4" w:space="0" w:color="auto"/>
            </w:tcBorders>
            <w:vAlign w:val="center"/>
            <w:hideMark/>
          </w:tcPr>
          <w:p w14:paraId="4AD9AF18"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1C1F1B37" w14:textId="77777777" w:rsidR="00EB7A81" w:rsidRDefault="00EB7A81" w:rsidP="00641EEB">
            <w:pPr>
              <w:pStyle w:val="TableText10"/>
              <w:rPr>
                <w:sz w:val="22"/>
                <w:szCs w:val="22"/>
                <w:lang w:val="en-GB"/>
              </w:rPr>
            </w:pPr>
            <w:r>
              <w:rPr>
                <w:sz w:val="22"/>
                <w:szCs w:val="22"/>
                <w:vertAlign w:val="superscript"/>
                <w:lang w:val="en-GB"/>
              </w:rPr>
              <w:t>+</w:t>
            </w:r>
            <w:r>
              <w:rPr>
                <w:sz w:val="22"/>
                <w:szCs w:val="22"/>
                <w:lang w:val="en-GB"/>
              </w:rPr>
              <w:t>Respiratorna insuficijencija</w:t>
            </w:r>
          </w:p>
        </w:tc>
        <w:tc>
          <w:tcPr>
            <w:tcW w:w="1289" w:type="pct"/>
            <w:tcBorders>
              <w:top w:val="single" w:sz="4" w:space="0" w:color="auto"/>
              <w:left w:val="single" w:sz="4" w:space="0" w:color="auto"/>
              <w:bottom w:val="single" w:sz="4" w:space="0" w:color="auto"/>
              <w:right w:val="single" w:sz="4" w:space="0" w:color="auto"/>
            </w:tcBorders>
            <w:hideMark/>
          </w:tcPr>
          <w:p w14:paraId="7063CB3E" w14:textId="77777777" w:rsidR="00EB7A81" w:rsidRDefault="00EB7A81" w:rsidP="00641EEB">
            <w:pPr>
              <w:pStyle w:val="TableText10"/>
              <w:rPr>
                <w:sz w:val="22"/>
                <w:szCs w:val="22"/>
                <w:lang w:val="en-GB"/>
              </w:rPr>
            </w:pPr>
            <w:r>
              <w:rPr>
                <w:sz w:val="22"/>
                <w:szCs w:val="22"/>
                <w:lang w:val="en-GB"/>
              </w:rPr>
              <w:t>Nepoznato</w:t>
            </w:r>
          </w:p>
        </w:tc>
      </w:tr>
      <w:tr w:rsidR="00EB7A81" w14:paraId="6FAF5054" w14:textId="77777777" w:rsidTr="003F6A56">
        <w:trPr>
          <w:trHeight w:val="120"/>
        </w:trPr>
        <w:tc>
          <w:tcPr>
            <w:tcW w:w="0" w:type="auto"/>
            <w:vMerge/>
            <w:tcBorders>
              <w:left w:val="single" w:sz="4" w:space="0" w:color="auto"/>
              <w:right w:val="single" w:sz="4" w:space="0" w:color="auto"/>
            </w:tcBorders>
            <w:vAlign w:val="center"/>
            <w:hideMark/>
          </w:tcPr>
          <w:p w14:paraId="21239A25"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6DDD42D3" w14:textId="77777777" w:rsidR="00EB7A81" w:rsidRDefault="00EB7A81" w:rsidP="00641EEB">
            <w:pPr>
              <w:pStyle w:val="TableText10"/>
              <w:rPr>
                <w:sz w:val="22"/>
                <w:szCs w:val="22"/>
                <w:lang w:val="en-GB"/>
              </w:rPr>
            </w:pPr>
            <w:r>
              <w:rPr>
                <w:sz w:val="22"/>
                <w:szCs w:val="22"/>
                <w:vertAlign w:val="superscript"/>
                <w:lang w:val="en-GB"/>
              </w:rPr>
              <w:t>+</w:t>
            </w:r>
            <w:r>
              <w:rPr>
                <w:sz w:val="22"/>
                <w:szCs w:val="22"/>
                <w:lang w:val="en-GB"/>
              </w:rPr>
              <w:t>Plućni infiltrati</w:t>
            </w:r>
          </w:p>
        </w:tc>
        <w:tc>
          <w:tcPr>
            <w:tcW w:w="1289" w:type="pct"/>
            <w:tcBorders>
              <w:top w:val="single" w:sz="4" w:space="0" w:color="auto"/>
              <w:left w:val="single" w:sz="4" w:space="0" w:color="auto"/>
              <w:bottom w:val="single" w:sz="4" w:space="0" w:color="auto"/>
              <w:right w:val="single" w:sz="4" w:space="0" w:color="auto"/>
            </w:tcBorders>
            <w:hideMark/>
          </w:tcPr>
          <w:p w14:paraId="5C597A22" w14:textId="77777777" w:rsidR="00EB7A81" w:rsidRDefault="00EB7A81" w:rsidP="00641EEB">
            <w:pPr>
              <w:pStyle w:val="TableText10"/>
              <w:rPr>
                <w:sz w:val="22"/>
                <w:szCs w:val="22"/>
                <w:lang w:val="en-GB"/>
              </w:rPr>
            </w:pPr>
            <w:r>
              <w:rPr>
                <w:sz w:val="22"/>
                <w:szCs w:val="22"/>
                <w:lang w:val="en-GB"/>
              </w:rPr>
              <w:t>Nepoznato</w:t>
            </w:r>
          </w:p>
        </w:tc>
      </w:tr>
      <w:tr w:rsidR="00EB7A81" w14:paraId="3B42FB7B" w14:textId="77777777" w:rsidTr="003F6A56">
        <w:trPr>
          <w:trHeight w:val="120"/>
        </w:trPr>
        <w:tc>
          <w:tcPr>
            <w:tcW w:w="0" w:type="auto"/>
            <w:vMerge/>
            <w:tcBorders>
              <w:left w:val="single" w:sz="4" w:space="0" w:color="auto"/>
              <w:right w:val="single" w:sz="4" w:space="0" w:color="auto"/>
            </w:tcBorders>
            <w:vAlign w:val="center"/>
            <w:hideMark/>
          </w:tcPr>
          <w:p w14:paraId="33A98886"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09E746A3" w14:textId="77777777" w:rsidR="00EB7A81" w:rsidRDefault="00EB7A81" w:rsidP="00641EEB">
            <w:pPr>
              <w:pStyle w:val="TableText10"/>
              <w:rPr>
                <w:sz w:val="22"/>
                <w:szCs w:val="22"/>
                <w:lang w:val="en-GB"/>
              </w:rPr>
            </w:pPr>
            <w:r>
              <w:rPr>
                <w:sz w:val="22"/>
                <w:szCs w:val="22"/>
                <w:vertAlign w:val="superscript"/>
                <w:lang w:val="en-GB"/>
              </w:rPr>
              <w:t>+</w:t>
            </w:r>
            <w:r>
              <w:rPr>
                <w:sz w:val="22"/>
                <w:szCs w:val="22"/>
                <w:lang w:val="en-GB"/>
              </w:rPr>
              <w:t>Akutni plućni edem</w:t>
            </w:r>
          </w:p>
        </w:tc>
        <w:tc>
          <w:tcPr>
            <w:tcW w:w="1289" w:type="pct"/>
            <w:tcBorders>
              <w:top w:val="single" w:sz="4" w:space="0" w:color="auto"/>
              <w:left w:val="single" w:sz="4" w:space="0" w:color="auto"/>
              <w:bottom w:val="single" w:sz="4" w:space="0" w:color="auto"/>
              <w:right w:val="single" w:sz="4" w:space="0" w:color="auto"/>
            </w:tcBorders>
            <w:hideMark/>
          </w:tcPr>
          <w:p w14:paraId="088D9969" w14:textId="77777777" w:rsidR="00EB7A81" w:rsidRDefault="00EB7A81" w:rsidP="00641EEB">
            <w:pPr>
              <w:pStyle w:val="TableText10"/>
              <w:rPr>
                <w:sz w:val="22"/>
                <w:szCs w:val="22"/>
                <w:lang w:val="en-GB"/>
              </w:rPr>
            </w:pPr>
            <w:r>
              <w:rPr>
                <w:sz w:val="22"/>
                <w:szCs w:val="22"/>
                <w:lang w:val="en-GB"/>
              </w:rPr>
              <w:t>Nepoznato</w:t>
            </w:r>
          </w:p>
        </w:tc>
      </w:tr>
      <w:tr w:rsidR="00EB7A81" w14:paraId="1BA06A7E" w14:textId="77777777" w:rsidTr="003F6A56">
        <w:trPr>
          <w:trHeight w:val="120"/>
        </w:trPr>
        <w:tc>
          <w:tcPr>
            <w:tcW w:w="0" w:type="auto"/>
            <w:vMerge/>
            <w:tcBorders>
              <w:left w:val="single" w:sz="4" w:space="0" w:color="auto"/>
              <w:right w:val="single" w:sz="4" w:space="0" w:color="auto"/>
            </w:tcBorders>
            <w:vAlign w:val="center"/>
            <w:hideMark/>
          </w:tcPr>
          <w:p w14:paraId="13B66937"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7EF1A0D" w14:textId="77777777" w:rsidR="00EB7A81" w:rsidRDefault="00EB7A81" w:rsidP="00641EEB">
            <w:pPr>
              <w:pStyle w:val="TableText10"/>
              <w:rPr>
                <w:sz w:val="22"/>
                <w:szCs w:val="22"/>
                <w:lang w:val="en-GB"/>
              </w:rPr>
            </w:pPr>
            <w:r>
              <w:rPr>
                <w:sz w:val="22"/>
                <w:szCs w:val="22"/>
                <w:vertAlign w:val="superscript"/>
                <w:lang w:val="en-GB"/>
              </w:rPr>
              <w:t>+</w:t>
            </w:r>
            <w:r>
              <w:rPr>
                <w:sz w:val="22"/>
                <w:szCs w:val="22"/>
                <w:lang w:val="en-GB"/>
              </w:rPr>
              <w:t>Akutni respiratorni distres sindrom</w:t>
            </w:r>
          </w:p>
        </w:tc>
        <w:tc>
          <w:tcPr>
            <w:tcW w:w="1289" w:type="pct"/>
            <w:tcBorders>
              <w:top w:val="single" w:sz="4" w:space="0" w:color="auto"/>
              <w:left w:val="single" w:sz="4" w:space="0" w:color="auto"/>
              <w:bottom w:val="single" w:sz="4" w:space="0" w:color="auto"/>
              <w:right w:val="single" w:sz="4" w:space="0" w:color="auto"/>
            </w:tcBorders>
            <w:hideMark/>
          </w:tcPr>
          <w:p w14:paraId="0AC751F9" w14:textId="77777777" w:rsidR="00EB7A81" w:rsidRDefault="00EB7A81" w:rsidP="00641EEB">
            <w:pPr>
              <w:pStyle w:val="TableText10"/>
              <w:rPr>
                <w:sz w:val="22"/>
                <w:szCs w:val="22"/>
                <w:lang w:val="en-GB"/>
              </w:rPr>
            </w:pPr>
            <w:r>
              <w:rPr>
                <w:sz w:val="22"/>
                <w:szCs w:val="22"/>
                <w:lang w:val="en-GB"/>
              </w:rPr>
              <w:t>Nepoznato</w:t>
            </w:r>
          </w:p>
        </w:tc>
      </w:tr>
      <w:tr w:rsidR="00EB7A81" w14:paraId="7F1B30F4" w14:textId="77777777" w:rsidTr="003F6A56">
        <w:trPr>
          <w:trHeight w:val="120"/>
        </w:trPr>
        <w:tc>
          <w:tcPr>
            <w:tcW w:w="0" w:type="auto"/>
            <w:vMerge/>
            <w:tcBorders>
              <w:left w:val="single" w:sz="4" w:space="0" w:color="auto"/>
              <w:right w:val="single" w:sz="4" w:space="0" w:color="auto"/>
            </w:tcBorders>
            <w:vAlign w:val="center"/>
            <w:hideMark/>
          </w:tcPr>
          <w:p w14:paraId="74221D9D"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BD718EE" w14:textId="77777777" w:rsidR="00EB7A81" w:rsidRDefault="00EB7A81" w:rsidP="00641EEB">
            <w:pPr>
              <w:pStyle w:val="TableText10"/>
              <w:rPr>
                <w:sz w:val="22"/>
                <w:szCs w:val="22"/>
                <w:lang w:val="en-GB"/>
              </w:rPr>
            </w:pPr>
            <w:r>
              <w:rPr>
                <w:sz w:val="22"/>
                <w:szCs w:val="22"/>
                <w:vertAlign w:val="superscript"/>
                <w:lang w:val="en-GB"/>
              </w:rPr>
              <w:t>+</w:t>
            </w:r>
            <w:r>
              <w:rPr>
                <w:sz w:val="22"/>
                <w:szCs w:val="22"/>
                <w:lang w:val="en-GB"/>
              </w:rPr>
              <w:t>Bronhospazam</w:t>
            </w:r>
          </w:p>
        </w:tc>
        <w:tc>
          <w:tcPr>
            <w:tcW w:w="1289" w:type="pct"/>
            <w:tcBorders>
              <w:top w:val="single" w:sz="4" w:space="0" w:color="auto"/>
              <w:left w:val="single" w:sz="4" w:space="0" w:color="auto"/>
              <w:bottom w:val="single" w:sz="4" w:space="0" w:color="auto"/>
              <w:right w:val="single" w:sz="4" w:space="0" w:color="auto"/>
            </w:tcBorders>
            <w:hideMark/>
          </w:tcPr>
          <w:p w14:paraId="65E436E7" w14:textId="77777777" w:rsidR="00EB7A81" w:rsidRDefault="00EB7A81" w:rsidP="00641EEB">
            <w:pPr>
              <w:pStyle w:val="TableText10"/>
              <w:rPr>
                <w:sz w:val="22"/>
                <w:szCs w:val="22"/>
                <w:lang w:val="en-GB"/>
              </w:rPr>
            </w:pPr>
            <w:r>
              <w:rPr>
                <w:sz w:val="22"/>
                <w:szCs w:val="22"/>
                <w:lang w:val="en-GB"/>
              </w:rPr>
              <w:t>Nepoznato</w:t>
            </w:r>
          </w:p>
        </w:tc>
      </w:tr>
      <w:tr w:rsidR="00EB7A81" w14:paraId="68C9ECEA" w14:textId="77777777" w:rsidTr="003F6A56">
        <w:trPr>
          <w:trHeight w:val="120"/>
        </w:trPr>
        <w:tc>
          <w:tcPr>
            <w:tcW w:w="0" w:type="auto"/>
            <w:vMerge/>
            <w:tcBorders>
              <w:left w:val="single" w:sz="4" w:space="0" w:color="auto"/>
              <w:right w:val="single" w:sz="4" w:space="0" w:color="auto"/>
            </w:tcBorders>
            <w:vAlign w:val="center"/>
            <w:hideMark/>
          </w:tcPr>
          <w:p w14:paraId="5131F634"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04BF0295" w14:textId="77777777" w:rsidR="00EB7A81" w:rsidRDefault="00EB7A81" w:rsidP="00641EEB">
            <w:pPr>
              <w:pStyle w:val="TableText10"/>
              <w:rPr>
                <w:sz w:val="22"/>
                <w:szCs w:val="22"/>
                <w:lang w:val="en-GB"/>
              </w:rPr>
            </w:pPr>
            <w:r>
              <w:rPr>
                <w:sz w:val="22"/>
                <w:szCs w:val="22"/>
                <w:vertAlign w:val="superscript"/>
                <w:lang w:val="en-GB"/>
              </w:rPr>
              <w:t>+</w:t>
            </w:r>
            <w:r>
              <w:rPr>
                <w:sz w:val="22"/>
                <w:szCs w:val="22"/>
                <w:lang w:val="en-GB"/>
              </w:rPr>
              <w:t>Hipoksija</w:t>
            </w:r>
          </w:p>
        </w:tc>
        <w:tc>
          <w:tcPr>
            <w:tcW w:w="1289" w:type="pct"/>
            <w:tcBorders>
              <w:top w:val="single" w:sz="4" w:space="0" w:color="auto"/>
              <w:left w:val="single" w:sz="4" w:space="0" w:color="auto"/>
              <w:bottom w:val="single" w:sz="4" w:space="0" w:color="auto"/>
              <w:right w:val="single" w:sz="4" w:space="0" w:color="auto"/>
            </w:tcBorders>
            <w:hideMark/>
          </w:tcPr>
          <w:p w14:paraId="2ED2D1DE" w14:textId="77777777" w:rsidR="00EB7A81" w:rsidRDefault="00EB7A81" w:rsidP="00641EEB">
            <w:pPr>
              <w:pStyle w:val="TableText10"/>
              <w:rPr>
                <w:sz w:val="22"/>
                <w:szCs w:val="22"/>
                <w:lang w:val="en-GB"/>
              </w:rPr>
            </w:pPr>
            <w:r>
              <w:rPr>
                <w:sz w:val="22"/>
                <w:szCs w:val="22"/>
                <w:lang w:val="en-GB"/>
              </w:rPr>
              <w:t>Nepoznato</w:t>
            </w:r>
          </w:p>
        </w:tc>
      </w:tr>
      <w:tr w:rsidR="00EB7A81" w14:paraId="4DAFBC33" w14:textId="77777777" w:rsidTr="003F6A56">
        <w:trPr>
          <w:trHeight w:val="120"/>
        </w:trPr>
        <w:tc>
          <w:tcPr>
            <w:tcW w:w="0" w:type="auto"/>
            <w:vMerge/>
            <w:tcBorders>
              <w:left w:val="single" w:sz="4" w:space="0" w:color="auto"/>
              <w:right w:val="single" w:sz="4" w:space="0" w:color="auto"/>
            </w:tcBorders>
            <w:vAlign w:val="center"/>
            <w:hideMark/>
          </w:tcPr>
          <w:p w14:paraId="2592C0D9"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09FD17A2" w14:textId="77777777" w:rsidR="00EB7A81" w:rsidRDefault="00EB7A81" w:rsidP="00641EEB">
            <w:pPr>
              <w:pStyle w:val="TableText10"/>
              <w:rPr>
                <w:sz w:val="22"/>
                <w:szCs w:val="22"/>
                <w:lang w:val="en-GB"/>
              </w:rPr>
            </w:pPr>
            <w:r>
              <w:rPr>
                <w:sz w:val="22"/>
                <w:szCs w:val="22"/>
                <w:vertAlign w:val="superscript"/>
                <w:lang w:val="en-GB"/>
              </w:rPr>
              <w:t>+</w:t>
            </w:r>
            <w:r>
              <w:rPr>
                <w:sz w:val="22"/>
                <w:szCs w:val="22"/>
                <w:lang w:val="en-GB"/>
              </w:rPr>
              <w:t>Smanjena zasićenost kiseonikom</w:t>
            </w:r>
          </w:p>
        </w:tc>
        <w:tc>
          <w:tcPr>
            <w:tcW w:w="1289" w:type="pct"/>
            <w:tcBorders>
              <w:top w:val="single" w:sz="4" w:space="0" w:color="auto"/>
              <w:left w:val="single" w:sz="4" w:space="0" w:color="auto"/>
              <w:bottom w:val="single" w:sz="4" w:space="0" w:color="auto"/>
              <w:right w:val="single" w:sz="4" w:space="0" w:color="auto"/>
            </w:tcBorders>
            <w:hideMark/>
          </w:tcPr>
          <w:p w14:paraId="4D804A50" w14:textId="77777777" w:rsidR="00EB7A81" w:rsidRDefault="00EB7A81" w:rsidP="00641EEB">
            <w:pPr>
              <w:pStyle w:val="TableText10"/>
              <w:rPr>
                <w:sz w:val="22"/>
                <w:szCs w:val="22"/>
                <w:lang w:val="en-GB"/>
              </w:rPr>
            </w:pPr>
            <w:r>
              <w:rPr>
                <w:sz w:val="22"/>
                <w:szCs w:val="22"/>
                <w:lang w:val="en-GB"/>
              </w:rPr>
              <w:t>Nepoznato</w:t>
            </w:r>
          </w:p>
        </w:tc>
      </w:tr>
      <w:tr w:rsidR="00EB7A81" w14:paraId="1C343887" w14:textId="77777777" w:rsidTr="003F6A56">
        <w:trPr>
          <w:trHeight w:val="120"/>
        </w:trPr>
        <w:tc>
          <w:tcPr>
            <w:tcW w:w="0" w:type="auto"/>
            <w:vMerge/>
            <w:tcBorders>
              <w:left w:val="single" w:sz="4" w:space="0" w:color="auto"/>
              <w:right w:val="single" w:sz="4" w:space="0" w:color="auto"/>
            </w:tcBorders>
            <w:vAlign w:val="center"/>
            <w:hideMark/>
          </w:tcPr>
          <w:p w14:paraId="69D3C1E6"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7BC2786E" w14:textId="77777777" w:rsidR="00EB7A81" w:rsidRDefault="00EB7A81" w:rsidP="00641EEB">
            <w:pPr>
              <w:pStyle w:val="TableText10"/>
              <w:rPr>
                <w:sz w:val="22"/>
                <w:szCs w:val="22"/>
                <w:lang w:val="en-GB"/>
              </w:rPr>
            </w:pPr>
            <w:r>
              <w:rPr>
                <w:sz w:val="22"/>
                <w:szCs w:val="22"/>
                <w:lang w:val="en-GB"/>
              </w:rPr>
              <w:t>Edem larinksa</w:t>
            </w:r>
          </w:p>
        </w:tc>
        <w:tc>
          <w:tcPr>
            <w:tcW w:w="1289" w:type="pct"/>
            <w:tcBorders>
              <w:top w:val="single" w:sz="4" w:space="0" w:color="auto"/>
              <w:left w:val="single" w:sz="4" w:space="0" w:color="auto"/>
              <w:bottom w:val="single" w:sz="4" w:space="0" w:color="auto"/>
              <w:right w:val="single" w:sz="4" w:space="0" w:color="auto"/>
            </w:tcBorders>
            <w:hideMark/>
          </w:tcPr>
          <w:p w14:paraId="6E931908" w14:textId="77777777" w:rsidR="00EB7A81" w:rsidRDefault="00EB7A81" w:rsidP="00641EEB">
            <w:pPr>
              <w:pStyle w:val="TableText10"/>
              <w:rPr>
                <w:sz w:val="22"/>
                <w:szCs w:val="22"/>
                <w:lang w:val="en-GB"/>
              </w:rPr>
            </w:pPr>
            <w:r>
              <w:rPr>
                <w:sz w:val="22"/>
                <w:szCs w:val="22"/>
                <w:lang w:val="en-GB"/>
              </w:rPr>
              <w:t>Nepoznato</w:t>
            </w:r>
          </w:p>
        </w:tc>
      </w:tr>
      <w:tr w:rsidR="00EB7A81" w14:paraId="0223C503" w14:textId="77777777" w:rsidTr="003F6A56">
        <w:trPr>
          <w:trHeight w:val="120"/>
        </w:trPr>
        <w:tc>
          <w:tcPr>
            <w:tcW w:w="0" w:type="auto"/>
            <w:vMerge/>
            <w:tcBorders>
              <w:left w:val="single" w:sz="4" w:space="0" w:color="auto"/>
              <w:right w:val="single" w:sz="4" w:space="0" w:color="auto"/>
            </w:tcBorders>
            <w:vAlign w:val="center"/>
            <w:hideMark/>
          </w:tcPr>
          <w:p w14:paraId="1A6946D2"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3CEAD78" w14:textId="77777777" w:rsidR="00EB7A81" w:rsidRDefault="00EB7A81" w:rsidP="00641EEB">
            <w:pPr>
              <w:pStyle w:val="TableText10"/>
              <w:rPr>
                <w:sz w:val="22"/>
                <w:szCs w:val="22"/>
                <w:lang w:val="en-GB"/>
              </w:rPr>
            </w:pPr>
            <w:r>
              <w:rPr>
                <w:sz w:val="22"/>
                <w:szCs w:val="22"/>
                <w:lang w:val="en-GB"/>
              </w:rPr>
              <w:t>Ortopnea</w:t>
            </w:r>
          </w:p>
        </w:tc>
        <w:tc>
          <w:tcPr>
            <w:tcW w:w="1289" w:type="pct"/>
            <w:tcBorders>
              <w:top w:val="single" w:sz="4" w:space="0" w:color="auto"/>
              <w:left w:val="single" w:sz="4" w:space="0" w:color="auto"/>
              <w:bottom w:val="single" w:sz="4" w:space="0" w:color="auto"/>
              <w:right w:val="single" w:sz="4" w:space="0" w:color="auto"/>
            </w:tcBorders>
            <w:hideMark/>
          </w:tcPr>
          <w:p w14:paraId="3AE1C3DD" w14:textId="77777777" w:rsidR="00EB7A81" w:rsidRDefault="00EB7A81" w:rsidP="00641EEB">
            <w:pPr>
              <w:pStyle w:val="TableText10"/>
              <w:rPr>
                <w:sz w:val="22"/>
                <w:szCs w:val="22"/>
                <w:lang w:val="en-GB"/>
              </w:rPr>
            </w:pPr>
            <w:r>
              <w:rPr>
                <w:sz w:val="22"/>
                <w:szCs w:val="22"/>
                <w:lang w:val="en-GB"/>
              </w:rPr>
              <w:t>Nepoznato</w:t>
            </w:r>
          </w:p>
        </w:tc>
      </w:tr>
      <w:tr w:rsidR="00EB7A81" w14:paraId="40872D4E" w14:textId="77777777" w:rsidTr="003F6A56">
        <w:trPr>
          <w:trHeight w:val="120"/>
        </w:trPr>
        <w:tc>
          <w:tcPr>
            <w:tcW w:w="0" w:type="auto"/>
            <w:vMerge/>
            <w:tcBorders>
              <w:left w:val="single" w:sz="4" w:space="0" w:color="auto"/>
              <w:right w:val="single" w:sz="4" w:space="0" w:color="auto"/>
            </w:tcBorders>
            <w:vAlign w:val="center"/>
            <w:hideMark/>
          </w:tcPr>
          <w:p w14:paraId="3149C1C2"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759AF5C2" w14:textId="77777777" w:rsidR="00EB7A81" w:rsidRDefault="00EB7A81" w:rsidP="00641EEB">
            <w:pPr>
              <w:pStyle w:val="TableText10"/>
              <w:rPr>
                <w:sz w:val="22"/>
                <w:szCs w:val="22"/>
                <w:lang w:val="en-GB"/>
              </w:rPr>
            </w:pPr>
            <w:r>
              <w:rPr>
                <w:sz w:val="22"/>
                <w:szCs w:val="22"/>
                <w:lang w:val="en-GB"/>
              </w:rPr>
              <w:t>Edem pluća</w:t>
            </w:r>
          </w:p>
        </w:tc>
        <w:tc>
          <w:tcPr>
            <w:tcW w:w="1289" w:type="pct"/>
            <w:tcBorders>
              <w:top w:val="single" w:sz="4" w:space="0" w:color="auto"/>
              <w:left w:val="single" w:sz="4" w:space="0" w:color="auto"/>
              <w:bottom w:val="single" w:sz="4" w:space="0" w:color="auto"/>
              <w:right w:val="single" w:sz="4" w:space="0" w:color="auto"/>
            </w:tcBorders>
            <w:hideMark/>
          </w:tcPr>
          <w:p w14:paraId="54D312DB" w14:textId="77777777" w:rsidR="00EB7A81" w:rsidRDefault="00EB7A81" w:rsidP="00641EEB">
            <w:pPr>
              <w:pStyle w:val="TableText10"/>
              <w:rPr>
                <w:sz w:val="22"/>
                <w:szCs w:val="22"/>
                <w:lang w:val="en-GB"/>
              </w:rPr>
            </w:pPr>
            <w:r>
              <w:rPr>
                <w:sz w:val="22"/>
                <w:szCs w:val="22"/>
                <w:lang w:val="en-GB"/>
              </w:rPr>
              <w:t xml:space="preserve">Nepoznato </w:t>
            </w:r>
          </w:p>
        </w:tc>
      </w:tr>
      <w:tr w:rsidR="00EB7A81" w14:paraId="5918151E" w14:textId="77777777" w:rsidTr="003F6A56">
        <w:trPr>
          <w:trHeight w:val="120"/>
        </w:trPr>
        <w:tc>
          <w:tcPr>
            <w:tcW w:w="1524" w:type="pct"/>
            <w:vMerge/>
            <w:tcBorders>
              <w:left w:val="single" w:sz="4" w:space="0" w:color="auto"/>
              <w:bottom w:val="single" w:sz="4" w:space="0" w:color="auto"/>
              <w:right w:val="single" w:sz="4" w:space="0" w:color="auto"/>
            </w:tcBorders>
            <w:vAlign w:val="center"/>
          </w:tcPr>
          <w:p w14:paraId="1CE1E9B2"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21CF1BC5" w14:textId="77777777" w:rsidR="00EB7A81" w:rsidRDefault="00EB7A81" w:rsidP="00641EEB">
            <w:pPr>
              <w:pStyle w:val="TableText10"/>
              <w:rPr>
                <w:sz w:val="22"/>
                <w:szCs w:val="22"/>
                <w:lang w:val="en-GB"/>
              </w:rPr>
            </w:pPr>
            <w:r>
              <w:rPr>
                <w:sz w:val="22"/>
                <w:szCs w:val="22"/>
                <w:lang w:val="en-GB"/>
              </w:rPr>
              <w:t>Intersticijalna bolest pluća</w:t>
            </w:r>
          </w:p>
        </w:tc>
        <w:tc>
          <w:tcPr>
            <w:tcW w:w="1289" w:type="pct"/>
            <w:tcBorders>
              <w:top w:val="single" w:sz="4" w:space="0" w:color="auto"/>
              <w:left w:val="single" w:sz="4" w:space="0" w:color="auto"/>
              <w:bottom w:val="single" w:sz="4" w:space="0" w:color="auto"/>
              <w:right w:val="single" w:sz="4" w:space="0" w:color="auto"/>
            </w:tcBorders>
            <w:hideMark/>
          </w:tcPr>
          <w:p w14:paraId="216920B2" w14:textId="77777777" w:rsidR="00EB7A81" w:rsidRDefault="00EB7A81" w:rsidP="00641EEB">
            <w:pPr>
              <w:pStyle w:val="TableText10"/>
              <w:rPr>
                <w:sz w:val="22"/>
                <w:szCs w:val="22"/>
                <w:lang w:val="en-GB"/>
              </w:rPr>
            </w:pPr>
            <w:r>
              <w:rPr>
                <w:sz w:val="22"/>
                <w:szCs w:val="22"/>
                <w:lang w:val="en-GB"/>
              </w:rPr>
              <w:t>Nepoznato</w:t>
            </w:r>
          </w:p>
        </w:tc>
      </w:tr>
      <w:tr w:rsidR="00EB7A81" w14:paraId="3B667768" w14:textId="77777777" w:rsidTr="00B05AA9">
        <w:trPr>
          <w:trHeight w:val="120"/>
        </w:trPr>
        <w:tc>
          <w:tcPr>
            <w:tcW w:w="1524" w:type="pct"/>
            <w:vMerge w:val="restart"/>
            <w:tcBorders>
              <w:top w:val="single" w:sz="4" w:space="0" w:color="auto"/>
              <w:left w:val="single" w:sz="4" w:space="0" w:color="auto"/>
              <w:bottom w:val="single" w:sz="4" w:space="0" w:color="auto"/>
              <w:right w:val="single" w:sz="4" w:space="0" w:color="auto"/>
            </w:tcBorders>
            <w:hideMark/>
          </w:tcPr>
          <w:p w14:paraId="0BEF128B" w14:textId="77777777" w:rsidR="00EB7A81" w:rsidRDefault="00EB7A81" w:rsidP="00641EEB">
            <w:pPr>
              <w:pStyle w:val="TableText10"/>
              <w:rPr>
                <w:sz w:val="22"/>
                <w:szCs w:val="22"/>
                <w:lang w:val="en-GB"/>
              </w:rPr>
            </w:pPr>
            <w:r>
              <w:rPr>
                <w:sz w:val="22"/>
                <w:szCs w:val="22"/>
                <w:lang w:val="en-GB"/>
              </w:rPr>
              <w:t>Gastrointestinalni poremećaji</w:t>
            </w:r>
          </w:p>
        </w:tc>
        <w:tc>
          <w:tcPr>
            <w:tcW w:w="2187" w:type="pct"/>
            <w:tcBorders>
              <w:top w:val="single" w:sz="4" w:space="0" w:color="auto"/>
              <w:left w:val="single" w:sz="4" w:space="0" w:color="auto"/>
              <w:bottom w:val="single" w:sz="4" w:space="0" w:color="auto"/>
              <w:right w:val="single" w:sz="4" w:space="0" w:color="auto"/>
            </w:tcBorders>
            <w:hideMark/>
          </w:tcPr>
          <w:p w14:paraId="6DA70E86" w14:textId="77777777" w:rsidR="00EB7A81" w:rsidRDefault="00EB7A81" w:rsidP="00641EEB">
            <w:pPr>
              <w:pStyle w:val="TableText10"/>
              <w:rPr>
                <w:sz w:val="22"/>
                <w:szCs w:val="22"/>
                <w:lang w:val="en-GB"/>
              </w:rPr>
            </w:pPr>
            <w:r>
              <w:rPr>
                <w:sz w:val="22"/>
                <w:szCs w:val="22"/>
                <w:lang w:val="en-GB"/>
              </w:rPr>
              <w:t>Dijareja</w:t>
            </w:r>
          </w:p>
        </w:tc>
        <w:tc>
          <w:tcPr>
            <w:tcW w:w="1289" w:type="pct"/>
            <w:tcBorders>
              <w:top w:val="single" w:sz="4" w:space="0" w:color="auto"/>
              <w:left w:val="single" w:sz="4" w:space="0" w:color="auto"/>
              <w:bottom w:val="single" w:sz="4" w:space="0" w:color="auto"/>
              <w:right w:val="single" w:sz="4" w:space="0" w:color="auto"/>
            </w:tcBorders>
            <w:hideMark/>
          </w:tcPr>
          <w:p w14:paraId="3CE51514" w14:textId="77777777" w:rsidR="00EB7A81" w:rsidRDefault="00EB7A81" w:rsidP="00641EEB">
            <w:pPr>
              <w:pStyle w:val="TableText10"/>
              <w:rPr>
                <w:sz w:val="22"/>
                <w:szCs w:val="22"/>
                <w:lang w:val="en-GB"/>
              </w:rPr>
            </w:pPr>
            <w:r>
              <w:rPr>
                <w:sz w:val="22"/>
                <w:szCs w:val="22"/>
                <w:lang w:val="en-GB"/>
              </w:rPr>
              <w:t xml:space="preserve">Vrlo često </w:t>
            </w:r>
          </w:p>
        </w:tc>
      </w:tr>
      <w:tr w:rsidR="00EB7A81" w14:paraId="44609275"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FB422" w14:textId="77777777" w:rsidR="00EB7A81" w:rsidRDefault="00EB7A81"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40AE7702" w14:textId="77777777" w:rsidR="00EB7A81" w:rsidRDefault="00EB7A81" w:rsidP="00641EEB">
            <w:pPr>
              <w:pStyle w:val="TableText10"/>
              <w:rPr>
                <w:sz w:val="22"/>
                <w:szCs w:val="22"/>
                <w:lang w:val="en-GB"/>
              </w:rPr>
            </w:pPr>
            <w:r>
              <w:rPr>
                <w:sz w:val="22"/>
                <w:szCs w:val="22"/>
                <w:lang w:val="en-GB"/>
              </w:rPr>
              <w:t xml:space="preserve">Povraćanje </w:t>
            </w:r>
          </w:p>
        </w:tc>
        <w:tc>
          <w:tcPr>
            <w:tcW w:w="1289" w:type="pct"/>
            <w:tcBorders>
              <w:top w:val="single" w:sz="4" w:space="0" w:color="auto"/>
              <w:left w:val="single" w:sz="4" w:space="0" w:color="auto"/>
              <w:bottom w:val="single" w:sz="4" w:space="0" w:color="auto"/>
              <w:right w:val="single" w:sz="4" w:space="0" w:color="auto"/>
            </w:tcBorders>
            <w:hideMark/>
          </w:tcPr>
          <w:p w14:paraId="00186ED5" w14:textId="77777777" w:rsidR="00EB7A81" w:rsidRDefault="00EB7A81" w:rsidP="00641EEB">
            <w:pPr>
              <w:pStyle w:val="TableText10"/>
              <w:rPr>
                <w:sz w:val="22"/>
                <w:szCs w:val="22"/>
                <w:lang w:val="en-GB"/>
              </w:rPr>
            </w:pPr>
            <w:r>
              <w:rPr>
                <w:sz w:val="22"/>
                <w:szCs w:val="22"/>
                <w:lang w:val="en-GB"/>
              </w:rPr>
              <w:t xml:space="preserve">Vrlo često </w:t>
            </w:r>
          </w:p>
        </w:tc>
      </w:tr>
      <w:tr w:rsidR="00EB7A81" w14:paraId="71E64EC8"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F6B5F" w14:textId="77777777" w:rsidR="00EB7A81" w:rsidRDefault="00EB7A81"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6126ECF5" w14:textId="77777777" w:rsidR="00EB7A81" w:rsidRDefault="00EB7A81" w:rsidP="00641EEB">
            <w:pPr>
              <w:pStyle w:val="TableText10"/>
              <w:rPr>
                <w:sz w:val="22"/>
                <w:szCs w:val="22"/>
                <w:lang w:val="en-GB"/>
              </w:rPr>
            </w:pPr>
            <w:r>
              <w:rPr>
                <w:sz w:val="22"/>
                <w:szCs w:val="22"/>
                <w:lang w:val="en-GB"/>
              </w:rPr>
              <w:t>Mučnina</w:t>
            </w:r>
          </w:p>
        </w:tc>
        <w:tc>
          <w:tcPr>
            <w:tcW w:w="1289" w:type="pct"/>
            <w:tcBorders>
              <w:top w:val="single" w:sz="4" w:space="0" w:color="auto"/>
              <w:left w:val="single" w:sz="4" w:space="0" w:color="auto"/>
              <w:bottom w:val="single" w:sz="4" w:space="0" w:color="auto"/>
              <w:right w:val="single" w:sz="4" w:space="0" w:color="auto"/>
            </w:tcBorders>
            <w:hideMark/>
          </w:tcPr>
          <w:p w14:paraId="2D5D5DDA" w14:textId="77777777" w:rsidR="00EB7A81" w:rsidRDefault="00EB7A81" w:rsidP="00641EEB">
            <w:pPr>
              <w:pStyle w:val="TableText10"/>
              <w:rPr>
                <w:sz w:val="22"/>
                <w:szCs w:val="22"/>
                <w:lang w:val="en-GB"/>
              </w:rPr>
            </w:pPr>
            <w:r>
              <w:rPr>
                <w:sz w:val="22"/>
                <w:szCs w:val="22"/>
                <w:lang w:val="en-GB"/>
              </w:rPr>
              <w:t xml:space="preserve">Vrlo često </w:t>
            </w:r>
          </w:p>
        </w:tc>
      </w:tr>
      <w:tr w:rsidR="00EB7A81" w14:paraId="26A80CE3" w14:textId="77777777" w:rsidTr="00B05AA9">
        <w:trPr>
          <w:trHeight w:val="3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93FA6" w14:textId="77777777" w:rsidR="00EB7A81" w:rsidRDefault="00EB7A81"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7FBB99D8" w14:textId="77777777" w:rsidR="00EB7A81" w:rsidRDefault="00EB7A81" w:rsidP="00641EEB">
            <w:pPr>
              <w:pStyle w:val="TableText10"/>
              <w:rPr>
                <w:sz w:val="22"/>
                <w:szCs w:val="22"/>
                <w:lang w:val="en-GB"/>
              </w:rPr>
            </w:pPr>
            <w:r>
              <w:rPr>
                <w:sz w:val="22"/>
                <w:szCs w:val="22"/>
                <w:vertAlign w:val="superscript"/>
                <w:lang w:val="en-GB"/>
              </w:rPr>
              <w:t>1</w:t>
            </w:r>
            <w:r>
              <w:rPr>
                <w:sz w:val="22"/>
                <w:szCs w:val="22"/>
                <w:lang w:val="en-GB"/>
              </w:rPr>
              <w:t>Oticanje  usana</w:t>
            </w:r>
          </w:p>
        </w:tc>
        <w:tc>
          <w:tcPr>
            <w:tcW w:w="1289" w:type="pct"/>
            <w:tcBorders>
              <w:top w:val="single" w:sz="4" w:space="0" w:color="auto"/>
              <w:left w:val="single" w:sz="4" w:space="0" w:color="auto"/>
              <w:bottom w:val="single" w:sz="4" w:space="0" w:color="auto"/>
              <w:right w:val="single" w:sz="4" w:space="0" w:color="auto"/>
            </w:tcBorders>
            <w:hideMark/>
          </w:tcPr>
          <w:p w14:paraId="5B09EBCD" w14:textId="77777777" w:rsidR="00EB7A81" w:rsidRDefault="00EB7A81" w:rsidP="00641EEB">
            <w:pPr>
              <w:pStyle w:val="TableText10"/>
              <w:rPr>
                <w:sz w:val="22"/>
                <w:szCs w:val="22"/>
                <w:lang w:val="en-GB"/>
              </w:rPr>
            </w:pPr>
            <w:r>
              <w:rPr>
                <w:sz w:val="22"/>
                <w:szCs w:val="22"/>
                <w:lang w:val="en-GB"/>
              </w:rPr>
              <w:t>Vrlo često</w:t>
            </w:r>
          </w:p>
        </w:tc>
      </w:tr>
      <w:tr w:rsidR="00EB7A81" w14:paraId="1ABD18CE" w14:textId="77777777" w:rsidTr="00B05AA9">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32C25" w14:textId="77777777" w:rsidR="00EB7A81" w:rsidRDefault="00EB7A81"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4CC14C73" w14:textId="77777777" w:rsidR="00EB7A81" w:rsidRDefault="00EB7A81" w:rsidP="00641EEB">
            <w:pPr>
              <w:pStyle w:val="TableText10"/>
              <w:rPr>
                <w:sz w:val="22"/>
                <w:szCs w:val="22"/>
                <w:lang w:val="en-GB"/>
              </w:rPr>
            </w:pPr>
            <w:r>
              <w:rPr>
                <w:sz w:val="22"/>
                <w:szCs w:val="22"/>
                <w:lang w:val="en-GB"/>
              </w:rPr>
              <w:t>Abdominalni bol</w:t>
            </w:r>
          </w:p>
        </w:tc>
        <w:tc>
          <w:tcPr>
            <w:tcW w:w="1289" w:type="pct"/>
            <w:tcBorders>
              <w:top w:val="single" w:sz="4" w:space="0" w:color="auto"/>
              <w:left w:val="single" w:sz="4" w:space="0" w:color="auto"/>
              <w:bottom w:val="single" w:sz="4" w:space="0" w:color="auto"/>
              <w:right w:val="single" w:sz="4" w:space="0" w:color="auto"/>
            </w:tcBorders>
            <w:hideMark/>
          </w:tcPr>
          <w:p w14:paraId="2E9EBCC8" w14:textId="77777777" w:rsidR="00EB7A81" w:rsidRDefault="00EB7A81" w:rsidP="00641EEB">
            <w:pPr>
              <w:pStyle w:val="TableText10"/>
              <w:rPr>
                <w:sz w:val="22"/>
                <w:szCs w:val="22"/>
                <w:lang w:val="en-GB"/>
              </w:rPr>
            </w:pPr>
            <w:r>
              <w:rPr>
                <w:sz w:val="22"/>
                <w:szCs w:val="22"/>
                <w:lang w:val="en-GB"/>
              </w:rPr>
              <w:t xml:space="preserve">Vrlo često </w:t>
            </w:r>
          </w:p>
        </w:tc>
      </w:tr>
      <w:tr w:rsidR="00EB7A81" w14:paraId="0B9F5D57" w14:textId="77777777" w:rsidTr="00B05AA9">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D49A3" w14:textId="77777777" w:rsidR="00EB7A81" w:rsidRDefault="00EB7A81"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72AED1E5" w14:textId="77777777" w:rsidR="00EB7A81" w:rsidRDefault="00EB7A81" w:rsidP="00641EEB">
            <w:pPr>
              <w:pStyle w:val="TableText10"/>
              <w:rPr>
                <w:sz w:val="22"/>
                <w:szCs w:val="22"/>
                <w:lang w:val="en-GB"/>
              </w:rPr>
            </w:pPr>
            <w:r>
              <w:rPr>
                <w:sz w:val="22"/>
                <w:szCs w:val="22"/>
                <w:lang w:val="en-GB"/>
              </w:rPr>
              <w:t>Dispepsija</w:t>
            </w:r>
          </w:p>
        </w:tc>
        <w:tc>
          <w:tcPr>
            <w:tcW w:w="1289" w:type="pct"/>
            <w:tcBorders>
              <w:top w:val="single" w:sz="4" w:space="0" w:color="auto"/>
              <w:left w:val="single" w:sz="4" w:space="0" w:color="auto"/>
              <w:bottom w:val="single" w:sz="4" w:space="0" w:color="auto"/>
              <w:right w:val="single" w:sz="4" w:space="0" w:color="auto"/>
            </w:tcBorders>
            <w:hideMark/>
          </w:tcPr>
          <w:p w14:paraId="37B73CAC" w14:textId="77777777" w:rsidR="00EB7A81" w:rsidRDefault="00EB7A81" w:rsidP="00641EEB">
            <w:pPr>
              <w:pStyle w:val="TableText10"/>
              <w:rPr>
                <w:sz w:val="22"/>
                <w:szCs w:val="22"/>
                <w:lang w:val="en-GB"/>
              </w:rPr>
            </w:pPr>
            <w:r>
              <w:rPr>
                <w:sz w:val="22"/>
                <w:szCs w:val="22"/>
                <w:lang w:val="en-GB"/>
              </w:rPr>
              <w:t>Vrlo često</w:t>
            </w:r>
          </w:p>
        </w:tc>
      </w:tr>
      <w:tr w:rsidR="00EB7A81" w14:paraId="104BC19C" w14:textId="77777777" w:rsidTr="00B05AA9">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CC97B0" w14:textId="77777777" w:rsidR="00EB7A81" w:rsidRDefault="00EB7A81"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72E426E8" w14:textId="77777777" w:rsidR="00EB7A81" w:rsidRDefault="00EB7A81" w:rsidP="00641EEB">
            <w:pPr>
              <w:pStyle w:val="TableText10"/>
              <w:rPr>
                <w:sz w:val="22"/>
                <w:szCs w:val="22"/>
                <w:lang w:val="en-GB"/>
              </w:rPr>
            </w:pPr>
            <w:r>
              <w:rPr>
                <w:sz w:val="22"/>
                <w:szCs w:val="22"/>
                <w:lang w:val="en-GB"/>
              </w:rPr>
              <w:t>Konstipacija</w:t>
            </w:r>
          </w:p>
        </w:tc>
        <w:tc>
          <w:tcPr>
            <w:tcW w:w="1289" w:type="pct"/>
            <w:tcBorders>
              <w:top w:val="single" w:sz="4" w:space="0" w:color="auto"/>
              <w:left w:val="single" w:sz="4" w:space="0" w:color="auto"/>
              <w:bottom w:val="single" w:sz="4" w:space="0" w:color="auto"/>
              <w:right w:val="single" w:sz="4" w:space="0" w:color="auto"/>
            </w:tcBorders>
            <w:hideMark/>
          </w:tcPr>
          <w:p w14:paraId="35B588BE" w14:textId="77777777" w:rsidR="00EB7A81" w:rsidRDefault="00EB7A81" w:rsidP="00641EEB">
            <w:pPr>
              <w:pStyle w:val="TableText10"/>
              <w:rPr>
                <w:sz w:val="22"/>
                <w:szCs w:val="22"/>
                <w:lang w:val="en-GB"/>
              </w:rPr>
            </w:pPr>
            <w:r>
              <w:rPr>
                <w:sz w:val="22"/>
                <w:szCs w:val="22"/>
                <w:lang w:val="en-GB"/>
              </w:rPr>
              <w:t>Vrlo često</w:t>
            </w:r>
          </w:p>
        </w:tc>
      </w:tr>
      <w:tr w:rsidR="00EB7A81" w14:paraId="3D027F55" w14:textId="77777777" w:rsidTr="00B05AA9">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4F3651" w14:textId="77777777" w:rsidR="00EB7A81" w:rsidRDefault="00EB7A81"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0AE3A78E" w14:textId="77777777" w:rsidR="00EB7A81" w:rsidRDefault="00EB7A81" w:rsidP="00641EEB">
            <w:pPr>
              <w:pStyle w:val="TableText10"/>
              <w:rPr>
                <w:sz w:val="22"/>
                <w:szCs w:val="22"/>
                <w:lang w:val="en-GB"/>
              </w:rPr>
            </w:pPr>
            <w:r>
              <w:rPr>
                <w:sz w:val="22"/>
                <w:szCs w:val="22"/>
                <w:lang w:val="en-GB"/>
              </w:rPr>
              <w:t>Stomatitis</w:t>
            </w:r>
          </w:p>
        </w:tc>
        <w:tc>
          <w:tcPr>
            <w:tcW w:w="1289" w:type="pct"/>
            <w:tcBorders>
              <w:top w:val="single" w:sz="4" w:space="0" w:color="auto"/>
              <w:left w:val="single" w:sz="4" w:space="0" w:color="auto"/>
              <w:bottom w:val="single" w:sz="4" w:space="0" w:color="auto"/>
              <w:right w:val="single" w:sz="4" w:space="0" w:color="auto"/>
            </w:tcBorders>
            <w:hideMark/>
          </w:tcPr>
          <w:p w14:paraId="5A9FBC2A" w14:textId="77777777" w:rsidR="00EB7A81" w:rsidRDefault="00EB7A81" w:rsidP="00641EEB">
            <w:pPr>
              <w:pStyle w:val="TableText10"/>
              <w:rPr>
                <w:sz w:val="22"/>
                <w:szCs w:val="22"/>
                <w:lang w:val="en-GB"/>
              </w:rPr>
            </w:pPr>
            <w:r>
              <w:rPr>
                <w:sz w:val="22"/>
                <w:szCs w:val="22"/>
                <w:lang w:val="en-GB"/>
              </w:rPr>
              <w:t>Vrlo često</w:t>
            </w:r>
          </w:p>
        </w:tc>
      </w:tr>
      <w:tr w:rsidR="00EB7A81" w14:paraId="49A48ABC" w14:textId="77777777" w:rsidTr="00B05AA9">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0AD60" w14:textId="77777777" w:rsidR="00EB7A81" w:rsidRDefault="00EB7A81"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24580109" w14:textId="77777777" w:rsidR="00EB7A81" w:rsidRDefault="00EB7A81" w:rsidP="00641EEB">
            <w:pPr>
              <w:pStyle w:val="TableText10"/>
              <w:rPr>
                <w:sz w:val="22"/>
                <w:szCs w:val="22"/>
                <w:lang w:val="en-GB"/>
              </w:rPr>
            </w:pPr>
            <w:r>
              <w:rPr>
                <w:sz w:val="22"/>
                <w:szCs w:val="22"/>
                <w:lang w:val="en-GB"/>
              </w:rPr>
              <w:t>Hemoroidi</w:t>
            </w:r>
          </w:p>
        </w:tc>
        <w:tc>
          <w:tcPr>
            <w:tcW w:w="1289" w:type="pct"/>
            <w:tcBorders>
              <w:top w:val="single" w:sz="4" w:space="0" w:color="auto"/>
              <w:left w:val="single" w:sz="4" w:space="0" w:color="auto"/>
              <w:bottom w:val="single" w:sz="4" w:space="0" w:color="auto"/>
              <w:right w:val="single" w:sz="4" w:space="0" w:color="auto"/>
            </w:tcBorders>
            <w:hideMark/>
          </w:tcPr>
          <w:p w14:paraId="5F2C82D8" w14:textId="77777777" w:rsidR="00EB7A81" w:rsidRDefault="00EB7A81" w:rsidP="00641EEB">
            <w:pPr>
              <w:pStyle w:val="TableText10"/>
              <w:rPr>
                <w:sz w:val="22"/>
                <w:szCs w:val="22"/>
                <w:lang w:val="en-GB"/>
              </w:rPr>
            </w:pPr>
            <w:r>
              <w:rPr>
                <w:sz w:val="22"/>
                <w:szCs w:val="22"/>
                <w:lang w:val="en-GB"/>
              </w:rPr>
              <w:t>Često</w:t>
            </w:r>
          </w:p>
        </w:tc>
      </w:tr>
      <w:tr w:rsidR="00EB7A81" w14:paraId="33C5AC7D" w14:textId="77777777" w:rsidTr="00B05AA9">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B2836" w14:textId="77777777" w:rsidR="00EB7A81" w:rsidRDefault="00EB7A81"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1F27842" w14:textId="49EF138E" w:rsidR="00EB7A81" w:rsidRDefault="00EB7A81" w:rsidP="00641EEB">
            <w:pPr>
              <w:pStyle w:val="TableText10"/>
              <w:rPr>
                <w:sz w:val="22"/>
                <w:szCs w:val="22"/>
                <w:lang w:val="en-GB"/>
              </w:rPr>
            </w:pPr>
            <w:r>
              <w:rPr>
                <w:sz w:val="22"/>
                <w:szCs w:val="22"/>
                <w:lang w:val="en-GB"/>
              </w:rPr>
              <w:t>Suv</w:t>
            </w:r>
            <w:r w:rsidR="0038501C">
              <w:rPr>
                <w:sz w:val="22"/>
                <w:szCs w:val="22"/>
                <w:lang w:val="en-GB"/>
              </w:rPr>
              <w:t>a</w:t>
            </w:r>
            <w:r>
              <w:rPr>
                <w:sz w:val="22"/>
                <w:szCs w:val="22"/>
                <w:lang w:val="en-GB"/>
              </w:rPr>
              <w:t xml:space="preserve"> usta</w:t>
            </w:r>
          </w:p>
        </w:tc>
        <w:tc>
          <w:tcPr>
            <w:tcW w:w="1289" w:type="pct"/>
            <w:tcBorders>
              <w:top w:val="single" w:sz="4" w:space="0" w:color="auto"/>
              <w:left w:val="single" w:sz="4" w:space="0" w:color="auto"/>
              <w:bottom w:val="single" w:sz="4" w:space="0" w:color="auto"/>
              <w:right w:val="single" w:sz="4" w:space="0" w:color="auto"/>
            </w:tcBorders>
            <w:hideMark/>
          </w:tcPr>
          <w:p w14:paraId="5DFC513E" w14:textId="77777777" w:rsidR="00EB7A81" w:rsidRDefault="00EB7A81" w:rsidP="00641EEB">
            <w:pPr>
              <w:pStyle w:val="TableText10"/>
              <w:rPr>
                <w:sz w:val="22"/>
                <w:szCs w:val="22"/>
                <w:lang w:val="en-GB"/>
              </w:rPr>
            </w:pPr>
            <w:r>
              <w:rPr>
                <w:sz w:val="22"/>
                <w:szCs w:val="22"/>
                <w:lang w:val="en-GB"/>
              </w:rPr>
              <w:t>Često</w:t>
            </w:r>
          </w:p>
        </w:tc>
      </w:tr>
      <w:tr w:rsidR="00EB7A81" w14:paraId="53ACF233" w14:textId="77777777" w:rsidTr="00B05AA9">
        <w:trPr>
          <w:trHeight w:val="290"/>
        </w:trPr>
        <w:tc>
          <w:tcPr>
            <w:tcW w:w="1524" w:type="pct"/>
            <w:vMerge w:val="restart"/>
            <w:tcBorders>
              <w:top w:val="single" w:sz="4" w:space="0" w:color="auto"/>
              <w:left w:val="single" w:sz="4" w:space="0" w:color="auto"/>
              <w:bottom w:val="single" w:sz="4" w:space="0" w:color="auto"/>
              <w:right w:val="single" w:sz="4" w:space="0" w:color="auto"/>
            </w:tcBorders>
            <w:hideMark/>
          </w:tcPr>
          <w:p w14:paraId="4176FFA4" w14:textId="77777777" w:rsidR="00EB7A81" w:rsidRDefault="00EB7A81" w:rsidP="00641EEB">
            <w:pPr>
              <w:pStyle w:val="TableText10"/>
              <w:rPr>
                <w:sz w:val="22"/>
                <w:szCs w:val="22"/>
                <w:lang w:val="en-GB"/>
              </w:rPr>
            </w:pPr>
            <w:r>
              <w:rPr>
                <w:sz w:val="22"/>
                <w:szCs w:val="22"/>
                <w:lang w:val="en-GB"/>
              </w:rPr>
              <w:t>Poremećaji jetre i žuči</w:t>
            </w:r>
          </w:p>
        </w:tc>
        <w:tc>
          <w:tcPr>
            <w:tcW w:w="2187" w:type="pct"/>
            <w:tcBorders>
              <w:top w:val="single" w:sz="4" w:space="0" w:color="auto"/>
              <w:left w:val="single" w:sz="4" w:space="0" w:color="auto"/>
              <w:bottom w:val="single" w:sz="4" w:space="0" w:color="auto"/>
              <w:right w:val="single" w:sz="4" w:space="0" w:color="auto"/>
            </w:tcBorders>
            <w:hideMark/>
          </w:tcPr>
          <w:p w14:paraId="0D3A1451" w14:textId="77777777" w:rsidR="00EB7A81" w:rsidRDefault="00EB7A81" w:rsidP="00641EEB">
            <w:pPr>
              <w:pStyle w:val="TableText10"/>
              <w:rPr>
                <w:sz w:val="22"/>
                <w:szCs w:val="22"/>
                <w:lang w:val="en-GB"/>
              </w:rPr>
            </w:pPr>
            <w:r>
              <w:rPr>
                <w:sz w:val="22"/>
                <w:szCs w:val="22"/>
                <w:lang w:val="en-GB"/>
              </w:rPr>
              <w:t>Hepatocelularne povrede</w:t>
            </w:r>
          </w:p>
        </w:tc>
        <w:tc>
          <w:tcPr>
            <w:tcW w:w="1289" w:type="pct"/>
            <w:tcBorders>
              <w:top w:val="single" w:sz="4" w:space="0" w:color="auto"/>
              <w:left w:val="single" w:sz="4" w:space="0" w:color="auto"/>
              <w:bottom w:val="single" w:sz="4" w:space="0" w:color="auto"/>
              <w:right w:val="single" w:sz="4" w:space="0" w:color="auto"/>
            </w:tcBorders>
            <w:hideMark/>
          </w:tcPr>
          <w:p w14:paraId="082A23D2" w14:textId="77777777" w:rsidR="00EB7A81" w:rsidRDefault="00EB7A81" w:rsidP="00641EEB">
            <w:pPr>
              <w:pStyle w:val="TableText10"/>
              <w:rPr>
                <w:sz w:val="22"/>
                <w:szCs w:val="22"/>
                <w:lang w:val="en-GB"/>
              </w:rPr>
            </w:pPr>
            <w:r>
              <w:rPr>
                <w:sz w:val="22"/>
                <w:szCs w:val="22"/>
                <w:lang w:val="en-GB"/>
              </w:rPr>
              <w:t xml:space="preserve">Često </w:t>
            </w:r>
          </w:p>
        </w:tc>
      </w:tr>
      <w:tr w:rsidR="00EB7A81" w14:paraId="6FA39AE0" w14:textId="77777777" w:rsidTr="00B05AA9">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D4703C" w14:textId="77777777" w:rsidR="00EB7A81" w:rsidRDefault="00EB7A81"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6CE2823D" w14:textId="77777777" w:rsidR="00EB7A81" w:rsidRDefault="00EB7A81" w:rsidP="00641EEB">
            <w:pPr>
              <w:pStyle w:val="TableText10"/>
              <w:rPr>
                <w:sz w:val="22"/>
                <w:szCs w:val="22"/>
                <w:lang w:val="en-GB"/>
              </w:rPr>
            </w:pPr>
            <w:r>
              <w:rPr>
                <w:sz w:val="22"/>
                <w:szCs w:val="22"/>
                <w:lang w:val="en-GB"/>
              </w:rPr>
              <w:t>Hepatitis</w:t>
            </w:r>
          </w:p>
        </w:tc>
        <w:tc>
          <w:tcPr>
            <w:tcW w:w="1289" w:type="pct"/>
            <w:tcBorders>
              <w:top w:val="single" w:sz="4" w:space="0" w:color="auto"/>
              <w:left w:val="single" w:sz="4" w:space="0" w:color="auto"/>
              <w:bottom w:val="single" w:sz="4" w:space="0" w:color="auto"/>
              <w:right w:val="single" w:sz="4" w:space="0" w:color="auto"/>
            </w:tcBorders>
            <w:hideMark/>
          </w:tcPr>
          <w:p w14:paraId="48AB5333" w14:textId="77777777" w:rsidR="00EB7A81" w:rsidRDefault="00EB7A81" w:rsidP="00641EEB">
            <w:pPr>
              <w:pStyle w:val="TableText10"/>
              <w:rPr>
                <w:sz w:val="22"/>
                <w:szCs w:val="22"/>
                <w:lang w:val="en-GB"/>
              </w:rPr>
            </w:pPr>
            <w:r>
              <w:rPr>
                <w:sz w:val="22"/>
                <w:szCs w:val="22"/>
                <w:lang w:val="en-GB"/>
              </w:rPr>
              <w:t>Često</w:t>
            </w:r>
          </w:p>
        </w:tc>
      </w:tr>
      <w:tr w:rsidR="00EB7A81" w14:paraId="03D10E70" w14:textId="77777777" w:rsidTr="00B05AA9">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96AEC" w14:textId="77777777" w:rsidR="00EB7A81" w:rsidRDefault="00EB7A81"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3707E123" w14:textId="77777777" w:rsidR="00EB7A81" w:rsidRDefault="00EB7A81" w:rsidP="00641EEB">
            <w:pPr>
              <w:pStyle w:val="TableText10"/>
              <w:rPr>
                <w:sz w:val="22"/>
                <w:szCs w:val="22"/>
                <w:lang w:val="en-GB"/>
              </w:rPr>
            </w:pPr>
            <w:r>
              <w:rPr>
                <w:sz w:val="22"/>
                <w:szCs w:val="22"/>
                <w:lang w:val="en-GB"/>
              </w:rPr>
              <w:t>Osjetljivost jetre</w:t>
            </w:r>
          </w:p>
        </w:tc>
        <w:tc>
          <w:tcPr>
            <w:tcW w:w="1289" w:type="pct"/>
            <w:tcBorders>
              <w:top w:val="single" w:sz="4" w:space="0" w:color="auto"/>
              <w:left w:val="single" w:sz="4" w:space="0" w:color="auto"/>
              <w:bottom w:val="single" w:sz="4" w:space="0" w:color="auto"/>
              <w:right w:val="single" w:sz="4" w:space="0" w:color="auto"/>
            </w:tcBorders>
            <w:hideMark/>
          </w:tcPr>
          <w:p w14:paraId="4454C9DD" w14:textId="77777777" w:rsidR="00EB7A81" w:rsidRDefault="00EB7A81" w:rsidP="00641EEB">
            <w:pPr>
              <w:pStyle w:val="TableText10"/>
              <w:rPr>
                <w:sz w:val="22"/>
                <w:szCs w:val="22"/>
                <w:lang w:val="en-GB"/>
              </w:rPr>
            </w:pPr>
            <w:r>
              <w:rPr>
                <w:sz w:val="22"/>
                <w:szCs w:val="22"/>
                <w:lang w:val="en-GB"/>
              </w:rPr>
              <w:t>Često</w:t>
            </w:r>
          </w:p>
        </w:tc>
      </w:tr>
      <w:tr w:rsidR="00EB7A81" w14:paraId="02ED2C11"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23886D" w14:textId="77777777" w:rsidR="00EB7A81" w:rsidRDefault="00EB7A81" w:rsidP="00641EEB">
            <w:pPr>
              <w:rPr>
                <w:sz w:val="22"/>
                <w:szCs w:val="22"/>
                <w:lang w:val="en-GB" w:eastAsia="ja-JP"/>
              </w:rPr>
            </w:pPr>
          </w:p>
        </w:tc>
        <w:tc>
          <w:tcPr>
            <w:tcW w:w="2187" w:type="pct"/>
            <w:tcBorders>
              <w:top w:val="single" w:sz="4" w:space="0" w:color="auto"/>
              <w:left w:val="single" w:sz="4" w:space="0" w:color="auto"/>
              <w:bottom w:val="single" w:sz="4" w:space="0" w:color="auto"/>
              <w:right w:val="single" w:sz="4" w:space="0" w:color="auto"/>
            </w:tcBorders>
            <w:hideMark/>
          </w:tcPr>
          <w:p w14:paraId="1C3577BF" w14:textId="77777777" w:rsidR="00EB7A81" w:rsidRDefault="00EB7A81" w:rsidP="00641EEB">
            <w:pPr>
              <w:pStyle w:val="TableText10"/>
              <w:rPr>
                <w:sz w:val="22"/>
                <w:szCs w:val="22"/>
                <w:lang w:val="en-GB"/>
              </w:rPr>
            </w:pPr>
            <w:r>
              <w:rPr>
                <w:sz w:val="22"/>
                <w:szCs w:val="22"/>
                <w:lang w:val="en-GB"/>
              </w:rPr>
              <w:t xml:space="preserve">Žutica </w:t>
            </w:r>
          </w:p>
        </w:tc>
        <w:tc>
          <w:tcPr>
            <w:tcW w:w="1289" w:type="pct"/>
            <w:tcBorders>
              <w:top w:val="single" w:sz="4" w:space="0" w:color="auto"/>
              <w:left w:val="single" w:sz="4" w:space="0" w:color="auto"/>
              <w:bottom w:val="single" w:sz="4" w:space="0" w:color="auto"/>
              <w:right w:val="single" w:sz="4" w:space="0" w:color="auto"/>
            </w:tcBorders>
            <w:hideMark/>
          </w:tcPr>
          <w:p w14:paraId="4A3F8C10" w14:textId="77777777" w:rsidR="00EB7A81" w:rsidRDefault="00EB7A81" w:rsidP="00641EEB">
            <w:pPr>
              <w:pStyle w:val="TableText10"/>
              <w:rPr>
                <w:sz w:val="22"/>
                <w:szCs w:val="22"/>
                <w:lang w:val="en-GB"/>
              </w:rPr>
            </w:pPr>
            <w:r>
              <w:rPr>
                <w:sz w:val="22"/>
                <w:szCs w:val="22"/>
                <w:lang w:val="en-GB"/>
              </w:rPr>
              <w:t>Rijetko</w:t>
            </w:r>
          </w:p>
        </w:tc>
      </w:tr>
      <w:tr w:rsidR="00EB7A81" w14:paraId="47A758D4" w14:textId="77777777" w:rsidTr="00B05AA9">
        <w:trPr>
          <w:trHeight w:val="120"/>
        </w:trPr>
        <w:tc>
          <w:tcPr>
            <w:tcW w:w="1524" w:type="pct"/>
            <w:vMerge w:val="restart"/>
            <w:tcBorders>
              <w:top w:val="single" w:sz="4" w:space="0" w:color="auto"/>
              <w:left w:val="single" w:sz="4" w:space="0" w:color="auto"/>
              <w:bottom w:val="single" w:sz="4" w:space="0" w:color="auto"/>
              <w:right w:val="single" w:sz="4" w:space="0" w:color="auto"/>
            </w:tcBorders>
          </w:tcPr>
          <w:p w14:paraId="139B6B8F" w14:textId="77777777" w:rsidR="00EB7A81" w:rsidRDefault="00EB7A81" w:rsidP="00641EEB">
            <w:pPr>
              <w:pStyle w:val="TableText10"/>
              <w:rPr>
                <w:sz w:val="22"/>
                <w:szCs w:val="22"/>
                <w:lang w:val="pl-PL"/>
              </w:rPr>
            </w:pPr>
          </w:p>
          <w:p w14:paraId="4C79FBA1" w14:textId="77777777" w:rsidR="00EB7A81" w:rsidRDefault="00EB7A81" w:rsidP="00641EEB">
            <w:pPr>
              <w:pStyle w:val="TableText10"/>
              <w:rPr>
                <w:sz w:val="22"/>
                <w:szCs w:val="22"/>
                <w:lang w:val="pl-PL"/>
              </w:rPr>
            </w:pPr>
            <w:r>
              <w:rPr>
                <w:sz w:val="22"/>
                <w:szCs w:val="22"/>
                <w:lang w:val="pl-PL"/>
              </w:rPr>
              <w:t>Poremećaji kože i potkožnog tkiva</w:t>
            </w:r>
          </w:p>
        </w:tc>
        <w:tc>
          <w:tcPr>
            <w:tcW w:w="2187" w:type="pct"/>
            <w:tcBorders>
              <w:top w:val="single" w:sz="4" w:space="0" w:color="auto"/>
              <w:left w:val="single" w:sz="4" w:space="0" w:color="auto"/>
              <w:bottom w:val="single" w:sz="4" w:space="0" w:color="auto"/>
              <w:right w:val="single" w:sz="4" w:space="0" w:color="auto"/>
            </w:tcBorders>
            <w:hideMark/>
          </w:tcPr>
          <w:p w14:paraId="7EB72F8B" w14:textId="77777777" w:rsidR="00EB7A81" w:rsidRDefault="00EB7A81" w:rsidP="00641EEB">
            <w:pPr>
              <w:pStyle w:val="TableText10"/>
              <w:rPr>
                <w:sz w:val="22"/>
                <w:szCs w:val="22"/>
                <w:lang w:val="en-GB"/>
              </w:rPr>
            </w:pPr>
            <w:r>
              <w:rPr>
                <w:sz w:val="22"/>
                <w:szCs w:val="22"/>
                <w:lang w:val="en-GB"/>
              </w:rPr>
              <w:t>Eitem</w:t>
            </w:r>
          </w:p>
        </w:tc>
        <w:tc>
          <w:tcPr>
            <w:tcW w:w="1289" w:type="pct"/>
            <w:tcBorders>
              <w:top w:val="single" w:sz="4" w:space="0" w:color="auto"/>
              <w:left w:val="single" w:sz="4" w:space="0" w:color="auto"/>
              <w:bottom w:val="single" w:sz="4" w:space="0" w:color="auto"/>
              <w:right w:val="single" w:sz="4" w:space="0" w:color="auto"/>
            </w:tcBorders>
            <w:hideMark/>
          </w:tcPr>
          <w:p w14:paraId="54A7E274" w14:textId="77777777" w:rsidR="00EB7A81" w:rsidRDefault="00EB7A81" w:rsidP="00641EEB">
            <w:pPr>
              <w:pStyle w:val="TableText10"/>
              <w:rPr>
                <w:sz w:val="22"/>
                <w:szCs w:val="22"/>
                <w:lang w:val="en-GB"/>
              </w:rPr>
            </w:pPr>
            <w:r>
              <w:rPr>
                <w:sz w:val="22"/>
                <w:szCs w:val="22"/>
                <w:lang w:val="en-GB"/>
              </w:rPr>
              <w:t>Vrlo često</w:t>
            </w:r>
          </w:p>
        </w:tc>
      </w:tr>
      <w:tr w:rsidR="00EB7A81" w14:paraId="344C5582"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078AF0"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0E6A15CC" w14:textId="77777777" w:rsidR="00EB7A81" w:rsidRDefault="00EB7A81" w:rsidP="00641EEB">
            <w:pPr>
              <w:pStyle w:val="TableText10"/>
              <w:rPr>
                <w:sz w:val="22"/>
                <w:szCs w:val="22"/>
                <w:lang w:val="en-GB"/>
              </w:rPr>
            </w:pPr>
            <w:r>
              <w:rPr>
                <w:sz w:val="22"/>
                <w:szCs w:val="22"/>
                <w:lang w:val="en-GB"/>
              </w:rPr>
              <w:t>Osip</w:t>
            </w:r>
          </w:p>
        </w:tc>
        <w:tc>
          <w:tcPr>
            <w:tcW w:w="1289" w:type="pct"/>
            <w:tcBorders>
              <w:top w:val="single" w:sz="4" w:space="0" w:color="auto"/>
              <w:left w:val="single" w:sz="4" w:space="0" w:color="auto"/>
              <w:bottom w:val="single" w:sz="4" w:space="0" w:color="auto"/>
              <w:right w:val="single" w:sz="4" w:space="0" w:color="auto"/>
            </w:tcBorders>
            <w:hideMark/>
          </w:tcPr>
          <w:p w14:paraId="16D2E949" w14:textId="77777777" w:rsidR="00EB7A81" w:rsidRDefault="00EB7A81" w:rsidP="00641EEB">
            <w:pPr>
              <w:pStyle w:val="TableText10"/>
              <w:rPr>
                <w:sz w:val="22"/>
                <w:szCs w:val="22"/>
                <w:lang w:val="en-GB"/>
              </w:rPr>
            </w:pPr>
            <w:r>
              <w:rPr>
                <w:sz w:val="22"/>
                <w:szCs w:val="22"/>
                <w:lang w:val="en-GB"/>
              </w:rPr>
              <w:t>Vrlo često</w:t>
            </w:r>
          </w:p>
        </w:tc>
      </w:tr>
      <w:tr w:rsidR="00EB7A81" w14:paraId="5E46FE81" w14:textId="77777777" w:rsidTr="00B05AA9">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93AB5"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18CE33D5" w14:textId="77777777" w:rsidR="00EB7A81" w:rsidRDefault="00EB7A81" w:rsidP="00641EEB">
            <w:pPr>
              <w:pStyle w:val="TableText10"/>
              <w:rPr>
                <w:sz w:val="22"/>
                <w:szCs w:val="22"/>
                <w:lang w:val="en-GB"/>
              </w:rPr>
            </w:pPr>
            <w:r>
              <w:rPr>
                <w:sz w:val="22"/>
                <w:szCs w:val="22"/>
                <w:vertAlign w:val="superscript"/>
                <w:lang w:val="en-GB"/>
              </w:rPr>
              <w:t>1</w:t>
            </w:r>
            <w:r>
              <w:rPr>
                <w:sz w:val="22"/>
                <w:szCs w:val="22"/>
                <w:lang w:val="en-GB"/>
              </w:rPr>
              <w:t>Oticanje lica</w:t>
            </w:r>
          </w:p>
        </w:tc>
        <w:tc>
          <w:tcPr>
            <w:tcW w:w="1289" w:type="pct"/>
            <w:tcBorders>
              <w:top w:val="single" w:sz="4" w:space="0" w:color="auto"/>
              <w:left w:val="single" w:sz="4" w:space="0" w:color="auto"/>
              <w:bottom w:val="single" w:sz="4" w:space="0" w:color="auto"/>
              <w:right w:val="single" w:sz="4" w:space="0" w:color="auto"/>
            </w:tcBorders>
            <w:hideMark/>
          </w:tcPr>
          <w:p w14:paraId="39A73271" w14:textId="77777777" w:rsidR="00EB7A81" w:rsidRDefault="00EB7A81" w:rsidP="00641EEB">
            <w:pPr>
              <w:pStyle w:val="TableText10"/>
              <w:rPr>
                <w:sz w:val="22"/>
                <w:szCs w:val="22"/>
                <w:lang w:val="en-GB"/>
              </w:rPr>
            </w:pPr>
            <w:r>
              <w:rPr>
                <w:sz w:val="22"/>
                <w:szCs w:val="22"/>
                <w:lang w:val="en-GB"/>
              </w:rPr>
              <w:t>Vrlo često</w:t>
            </w:r>
          </w:p>
        </w:tc>
      </w:tr>
      <w:tr w:rsidR="00EB7A81" w14:paraId="55DCBD08" w14:textId="77777777" w:rsidTr="00B05AA9">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E7274"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2D99B2F2" w14:textId="77777777" w:rsidR="00EB7A81" w:rsidRDefault="00EB7A81" w:rsidP="00641EEB">
            <w:pPr>
              <w:pStyle w:val="TableText10"/>
              <w:rPr>
                <w:sz w:val="22"/>
                <w:szCs w:val="22"/>
                <w:vertAlign w:val="superscript"/>
                <w:lang w:val="en-GB"/>
              </w:rPr>
            </w:pPr>
            <w:r>
              <w:rPr>
                <w:sz w:val="22"/>
                <w:szCs w:val="22"/>
                <w:lang w:val="en-GB"/>
              </w:rPr>
              <w:t>Alopecija</w:t>
            </w:r>
          </w:p>
        </w:tc>
        <w:tc>
          <w:tcPr>
            <w:tcW w:w="1289" w:type="pct"/>
            <w:tcBorders>
              <w:top w:val="single" w:sz="4" w:space="0" w:color="auto"/>
              <w:left w:val="single" w:sz="4" w:space="0" w:color="auto"/>
              <w:bottom w:val="single" w:sz="4" w:space="0" w:color="auto"/>
              <w:right w:val="single" w:sz="4" w:space="0" w:color="auto"/>
            </w:tcBorders>
            <w:hideMark/>
          </w:tcPr>
          <w:p w14:paraId="7C72A97B" w14:textId="77777777" w:rsidR="00EB7A81" w:rsidRDefault="00EB7A81" w:rsidP="00641EEB">
            <w:pPr>
              <w:pStyle w:val="TableText10"/>
              <w:rPr>
                <w:sz w:val="22"/>
                <w:szCs w:val="22"/>
                <w:lang w:val="en-GB"/>
              </w:rPr>
            </w:pPr>
            <w:r>
              <w:rPr>
                <w:sz w:val="22"/>
                <w:szCs w:val="22"/>
                <w:lang w:val="en-GB"/>
              </w:rPr>
              <w:t>Vrlo često</w:t>
            </w:r>
          </w:p>
        </w:tc>
      </w:tr>
      <w:tr w:rsidR="00EB7A81" w14:paraId="69B5A8F5" w14:textId="77777777" w:rsidTr="00B05AA9">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CC4BC"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6C241831" w14:textId="77777777" w:rsidR="00EB7A81" w:rsidRDefault="00EB7A81" w:rsidP="00641EEB">
            <w:pPr>
              <w:pStyle w:val="TableText10"/>
              <w:rPr>
                <w:sz w:val="22"/>
                <w:szCs w:val="22"/>
                <w:lang w:val="en-GB"/>
              </w:rPr>
            </w:pPr>
            <w:r>
              <w:rPr>
                <w:sz w:val="22"/>
                <w:szCs w:val="22"/>
                <w:lang w:val="en-GB"/>
              </w:rPr>
              <w:t>Promjene na noktima</w:t>
            </w:r>
          </w:p>
        </w:tc>
        <w:tc>
          <w:tcPr>
            <w:tcW w:w="1289" w:type="pct"/>
            <w:tcBorders>
              <w:top w:val="single" w:sz="4" w:space="0" w:color="auto"/>
              <w:left w:val="single" w:sz="4" w:space="0" w:color="auto"/>
              <w:bottom w:val="single" w:sz="4" w:space="0" w:color="auto"/>
              <w:right w:val="single" w:sz="4" w:space="0" w:color="auto"/>
            </w:tcBorders>
            <w:hideMark/>
          </w:tcPr>
          <w:p w14:paraId="3FC0FCF9" w14:textId="77777777" w:rsidR="00EB7A81" w:rsidRDefault="00EB7A81" w:rsidP="00641EEB">
            <w:pPr>
              <w:pStyle w:val="TableText10"/>
              <w:rPr>
                <w:sz w:val="22"/>
                <w:szCs w:val="22"/>
                <w:lang w:val="en-GB"/>
              </w:rPr>
            </w:pPr>
            <w:r>
              <w:rPr>
                <w:sz w:val="22"/>
                <w:szCs w:val="22"/>
                <w:lang w:val="en-GB"/>
              </w:rPr>
              <w:t>Vrlo često</w:t>
            </w:r>
          </w:p>
        </w:tc>
      </w:tr>
      <w:tr w:rsidR="00EB7A81" w14:paraId="7DB3D6EE" w14:textId="77777777" w:rsidTr="00B05AA9">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1FAA4C"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4ED52A02" w14:textId="77777777" w:rsidR="00EB7A81" w:rsidRDefault="00EB7A81" w:rsidP="00641EEB">
            <w:pPr>
              <w:pStyle w:val="TableText10"/>
              <w:rPr>
                <w:sz w:val="22"/>
                <w:szCs w:val="22"/>
                <w:lang w:val="en-GB"/>
              </w:rPr>
            </w:pPr>
            <w:r>
              <w:rPr>
                <w:sz w:val="22"/>
                <w:szCs w:val="22"/>
                <w:lang w:val="en-GB"/>
              </w:rPr>
              <w:t>Sindrom palmarno-plantarne eritrodizestezije</w:t>
            </w:r>
          </w:p>
        </w:tc>
        <w:tc>
          <w:tcPr>
            <w:tcW w:w="1289" w:type="pct"/>
            <w:tcBorders>
              <w:top w:val="single" w:sz="4" w:space="0" w:color="auto"/>
              <w:left w:val="single" w:sz="4" w:space="0" w:color="auto"/>
              <w:bottom w:val="single" w:sz="4" w:space="0" w:color="auto"/>
              <w:right w:val="single" w:sz="4" w:space="0" w:color="auto"/>
            </w:tcBorders>
            <w:hideMark/>
          </w:tcPr>
          <w:p w14:paraId="62B96711" w14:textId="77777777" w:rsidR="00EB7A81" w:rsidRDefault="00EB7A81" w:rsidP="00641EEB">
            <w:pPr>
              <w:pStyle w:val="TableText10"/>
              <w:rPr>
                <w:sz w:val="22"/>
                <w:szCs w:val="22"/>
                <w:lang w:val="en-GB"/>
              </w:rPr>
            </w:pPr>
            <w:r>
              <w:rPr>
                <w:sz w:val="22"/>
                <w:szCs w:val="22"/>
                <w:lang w:val="en-GB"/>
              </w:rPr>
              <w:t>Vrlo često</w:t>
            </w:r>
          </w:p>
        </w:tc>
      </w:tr>
      <w:tr w:rsidR="00EB7A81" w14:paraId="15A64EE1" w14:textId="77777777" w:rsidTr="00B05AA9">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496DE8"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70A4A73" w14:textId="77777777" w:rsidR="00EB7A81" w:rsidRDefault="00EB7A81" w:rsidP="00641EEB">
            <w:pPr>
              <w:pStyle w:val="TableText10"/>
              <w:rPr>
                <w:sz w:val="22"/>
                <w:szCs w:val="22"/>
                <w:lang w:val="en-GB"/>
              </w:rPr>
            </w:pPr>
            <w:r>
              <w:rPr>
                <w:sz w:val="22"/>
                <w:szCs w:val="22"/>
                <w:lang w:val="en-GB"/>
              </w:rPr>
              <w:t>Akne</w:t>
            </w:r>
          </w:p>
        </w:tc>
        <w:tc>
          <w:tcPr>
            <w:tcW w:w="1289" w:type="pct"/>
            <w:tcBorders>
              <w:top w:val="single" w:sz="4" w:space="0" w:color="auto"/>
              <w:left w:val="single" w:sz="4" w:space="0" w:color="auto"/>
              <w:bottom w:val="single" w:sz="4" w:space="0" w:color="auto"/>
              <w:right w:val="single" w:sz="4" w:space="0" w:color="auto"/>
            </w:tcBorders>
            <w:hideMark/>
          </w:tcPr>
          <w:p w14:paraId="40D710A5" w14:textId="77777777" w:rsidR="00EB7A81" w:rsidRDefault="00EB7A81" w:rsidP="00641EEB">
            <w:pPr>
              <w:pStyle w:val="TableText10"/>
              <w:rPr>
                <w:sz w:val="22"/>
                <w:szCs w:val="22"/>
                <w:lang w:val="en-GB"/>
              </w:rPr>
            </w:pPr>
            <w:r>
              <w:rPr>
                <w:sz w:val="22"/>
                <w:szCs w:val="22"/>
                <w:lang w:val="en-GB"/>
              </w:rPr>
              <w:t>Često</w:t>
            </w:r>
          </w:p>
        </w:tc>
      </w:tr>
      <w:tr w:rsidR="00EB7A81" w14:paraId="23068508"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CC569"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89E2569" w14:textId="4176B729" w:rsidR="00EB7A81" w:rsidRDefault="00EB7A81" w:rsidP="00641EEB">
            <w:pPr>
              <w:pStyle w:val="TableText10"/>
              <w:rPr>
                <w:sz w:val="22"/>
                <w:szCs w:val="22"/>
                <w:lang w:val="en-GB"/>
              </w:rPr>
            </w:pPr>
            <w:r>
              <w:rPr>
                <w:sz w:val="22"/>
                <w:szCs w:val="22"/>
                <w:lang w:val="en-GB"/>
              </w:rPr>
              <w:t>Suv</w:t>
            </w:r>
            <w:r w:rsidR="0038501C">
              <w:rPr>
                <w:sz w:val="22"/>
                <w:szCs w:val="22"/>
                <w:lang w:val="en-GB"/>
              </w:rPr>
              <w:t>a</w:t>
            </w:r>
            <w:r>
              <w:rPr>
                <w:sz w:val="22"/>
                <w:szCs w:val="22"/>
                <w:lang w:val="en-GB"/>
              </w:rPr>
              <w:t xml:space="preserve"> kož</w:t>
            </w:r>
            <w:r w:rsidR="0038501C">
              <w:rPr>
                <w:sz w:val="22"/>
                <w:szCs w:val="22"/>
                <w:lang w:val="en-GB"/>
              </w:rPr>
              <w:t>a</w:t>
            </w:r>
          </w:p>
        </w:tc>
        <w:tc>
          <w:tcPr>
            <w:tcW w:w="1289" w:type="pct"/>
            <w:tcBorders>
              <w:top w:val="single" w:sz="4" w:space="0" w:color="auto"/>
              <w:left w:val="single" w:sz="4" w:space="0" w:color="auto"/>
              <w:bottom w:val="single" w:sz="4" w:space="0" w:color="auto"/>
              <w:right w:val="single" w:sz="4" w:space="0" w:color="auto"/>
            </w:tcBorders>
            <w:hideMark/>
          </w:tcPr>
          <w:p w14:paraId="460E05EF" w14:textId="77777777" w:rsidR="00EB7A81" w:rsidRDefault="00EB7A81" w:rsidP="00641EEB">
            <w:pPr>
              <w:pStyle w:val="TableText10"/>
              <w:rPr>
                <w:sz w:val="22"/>
                <w:szCs w:val="22"/>
                <w:lang w:val="en-GB"/>
              </w:rPr>
            </w:pPr>
            <w:r>
              <w:rPr>
                <w:sz w:val="22"/>
                <w:szCs w:val="22"/>
                <w:lang w:val="en-GB"/>
              </w:rPr>
              <w:t>Često</w:t>
            </w:r>
          </w:p>
        </w:tc>
      </w:tr>
      <w:tr w:rsidR="00EB7A81" w14:paraId="4B29D39C"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A4A43"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0D6FDBB0" w14:textId="77777777" w:rsidR="00EB7A81" w:rsidRDefault="00EB7A81" w:rsidP="00641EEB">
            <w:pPr>
              <w:pStyle w:val="TableText10"/>
              <w:rPr>
                <w:sz w:val="22"/>
                <w:szCs w:val="22"/>
                <w:lang w:val="en-GB"/>
              </w:rPr>
            </w:pPr>
            <w:r>
              <w:rPr>
                <w:sz w:val="22"/>
                <w:szCs w:val="22"/>
                <w:lang w:val="en-GB"/>
              </w:rPr>
              <w:t>Ekhimoza</w:t>
            </w:r>
          </w:p>
        </w:tc>
        <w:tc>
          <w:tcPr>
            <w:tcW w:w="1289" w:type="pct"/>
            <w:tcBorders>
              <w:top w:val="single" w:sz="4" w:space="0" w:color="auto"/>
              <w:left w:val="single" w:sz="4" w:space="0" w:color="auto"/>
              <w:bottom w:val="single" w:sz="4" w:space="0" w:color="auto"/>
              <w:right w:val="single" w:sz="4" w:space="0" w:color="auto"/>
            </w:tcBorders>
            <w:hideMark/>
          </w:tcPr>
          <w:p w14:paraId="174B9F45" w14:textId="77777777" w:rsidR="00EB7A81" w:rsidRDefault="00EB7A81" w:rsidP="00641EEB">
            <w:pPr>
              <w:pStyle w:val="TableText10"/>
              <w:rPr>
                <w:sz w:val="22"/>
                <w:szCs w:val="22"/>
                <w:lang w:val="en-GB"/>
              </w:rPr>
            </w:pPr>
            <w:r>
              <w:rPr>
                <w:sz w:val="22"/>
                <w:szCs w:val="22"/>
                <w:lang w:val="en-GB"/>
              </w:rPr>
              <w:t>Često</w:t>
            </w:r>
          </w:p>
        </w:tc>
      </w:tr>
      <w:tr w:rsidR="00EB7A81" w14:paraId="66EC2F11"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7F4B2"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2C630F28" w14:textId="77777777" w:rsidR="00EB7A81" w:rsidRDefault="00EB7A81" w:rsidP="00641EEB">
            <w:pPr>
              <w:pStyle w:val="TableText10"/>
              <w:rPr>
                <w:sz w:val="22"/>
                <w:szCs w:val="22"/>
                <w:lang w:val="en-GB"/>
              </w:rPr>
            </w:pPr>
            <w:r>
              <w:rPr>
                <w:sz w:val="22"/>
                <w:szCs w:val="22"/>
                <w:lang w:val="en-GB"/>
              </w:rPr>
              <w:t>Hiperhidroza</w:t>
            </w:r>
          </w:p>
        </w:tc>
        <w:tc>
          <w:tcPr>
            <w:tcW w:w="1289" w:type="pct"/>
            <w:tcBorders>
              <w:top w:val="single" w:sz="4" w:space="0" w:color="auto"/>
              <w:left w:val="single" w:sz="4" w:space="0" w:color="auto"/>
              <w:bottom w:val="single" w:sz="4" w:space="0" w:color="auto"/>
              <w:right w:val="single" w:sz="4" w:space="0" w:color="auto"/>
            </w:tcBorders>
            <w:hideMark/>
          </w:tcPr>
          <w:p w14:paraId="6F4937BD" w14:textId="77777777" w:rsidR="00EB7A81" w:rsidRDefault="00EB7A81" w:rsidP="00641EEB">
            <w:pPr>
              <w:pStyle w:val="TableText10"/>
              <w:rPr>
                <w:sz w:val="22"/>
                <w:szCs w:val="22"/>
                <w:lang w:val="en-GB"/>
              </w:rPr>
            </w:pPr>
            <w:r>
              <w:rPr>
                <w:sz w:val="22"/>
                <w:szCs w:val="22"/>
                <w:lang w:val="en-GB"/>
              </w:rPr>
              <w:t>Često</w:t>
            </w:r>
          </w:p>
        </w:tc>
      </w:tr>
      <w:tr w:rsidR="00EB7A81" w14:paraId="787A068A" w14:textId="77777777" w:rsidTr="00B05AA9">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67E1D"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78B0D754" w14:textId="77777777" w:rsidR="00EB7A81" w:rsidRDefault="00EB7A81" w:rsidP="00641EEB">
            <w:pPr>
              <w:pStyle w:val="TableText10"/>
              <w:rPr>
                <w:sz w:val="22"/>
                <w:szCs w:val="22"/>
                <w:lang w:val="en-GB"/>
              </w:rPr>
            </w:pPr>
            <w:r>
              <w:rPr>
                <w:sz w:val="22"/>
                <w:szCs w:val="22"/>
                <w:lang w:val="en-GB"/>
              </w:rPr>
              <w:t>Makulopapularni osip</w:t>
            </w:r>
          </w:p>
        </w:tc>
        <w:tc>
          <w:tcPr>
            <w:tcW w:w="1289" w:type="pct"/>
            <w:tcBorders>
              <w:top w:val="single" w:sz="4" w:space="0" w:color="auto"/>
              <w:left w:val="single" w:sz="4" w:space="0" w:color="auto"/>
              <w:bottom w:val="single" w:sz="4" w:space="0" w:color="auto"/>
              <w:right w:val="single" w:sz="4" w:space="0" w:color="auto"/>
            </w:tcBorders>
            <w:hideMark/>
          </w:tcPr>
          <w:p w14:paraId="3341A595" w14:textId="77777777" w:rsidR="00EB7A81" w:rsidRDefault="00EB7A81" w:rsidP="00641EEB">
            <w:pPr>
              <w:pStyle w:val="TableText10"/>
              <w:rPr>
                <w:sz w:val="22"/>
                <w:szCs w:val="22"/>
                <w:lang w:val="en-GB"/>
              </w:rPr>
            </w:pPr>
            <w:r>
              <w:rPr>
                <w:sz w:val="22"/>
                <w:szCs w:val="22"/>
                <w:lang w:val="en-GB"/>
              </w:rPr>
              <w:t>Često</w:t>
            </w:r>
          </w:p>
        </w:tc>
      </w:tr>
      <w:tr w:rsidR="00EB7A81" w14:paraId="48ADFCBF" w14:textId="77777777" w:rsidTr="00B05AA9">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9CBEC"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1BF11D3D" w14:textId="77777777" w:rsidR="00EB7A81" w:rsidRDefault="00EB7A81" w:rsidP="00641EEB">
            <w:pPr>
              <w:pStyle w:val="TableText10"/>
              <w:rPr>
                <w:sz w:val="22"/>
                <w:szCs w:val="22"/>
                <w:lang w:val="en-GB"/>
              </w:rPr>
            </w:pPr>
            <w:r>
              <w:rPr>
                <w:sz w:val="22"/>
                <w:szCs w:val="22"/>
                <w:lang w:val="en-GB"/>
              </w:rPr>
              <w:t>Pruritus</w:t>
            </w:r>
          </w:p>
        </w:tc>
        <w:tc>
          <w:tcPr>
            <w:tcW w:w="1289" w:type="pct"/>
            <w:tcBorders>
              <w:top w:val="single" w:sz="4" w:space="0" w:color="auto"/>
              <w:left w:val="single" w:sz="4" w:space="0" w:color="auto"/>
              <w:bottom w:val="single" w:sz="4" w:space="0" w:color="auto"/>
              <w:right w:val="single" w:sz="4" w:space="0" w:color="auto"/>
            </w:tcBorders>
            <w:hideMark/>
          </w:tcPr>
          <w:p w14:paraId="0BFB746C" w14:textId="77777777" w:rsidR="00EB7A81" w:rsidRDefault="00EB7A81" w:rsidP="00641EEB">
            <w:pPr>
              <w:pStyle w:val="TableText10"/>
              <w:rPr>
                <w:sz w:val="22"/>
                <w:szCs w:val="22"/>
                <w:lang w:val="en-GB"/>
              </w:rPr>
            </w:pPr>
            <w:r>
              <w:rPr>
                <w:sz w:val="22"/>
                <w:szCs w:val="22"/>
                <w:lang w:val="en-GB"/>
              </w:rPr>
              <w:t>Često</w:t>
            </w:r>
          </w:p>
        </w:tc>
      </w:tr>
      <w:tr w:rsidR="00EB7A81" w14:paraId="4B4B1F35" w14:textId="77777777" w:rsidTr="00B05AA9">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5F6FD"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26A12C51" w14:textId="77777777" w:rsidR="00EB7A81" w:rsidRDefault="00EB7A81" w:rsidP="00641EEB">
            <w:pPr>
              <w:pStyle w:val="TableText10"/>
              <w:rPr>
                <w:sz w:val="22"/>
                <w:szCs w:val="22"/>
                <w:lang w:val="en-GB"/>
              </w:rPr>
            </w:pPr>
            <w:r>
              <w:rPr>
                <w:sz w:val="22"/>
                <w:szCs w:val="22"/>
                <w:lang w:val="en-GB"/>
              </w:rPr>
              <w:t>Onihoklaza</w:t>
            </w:r>
          </w:p>
        </w:tc>
        <w:tc>
          <w:tcPr>
            <w:tcW w:w="1289" w:type="pct"/>
            <w:tcBorders>
              <w:top w:val="single" w:sz="4" w:space="0" w:color="auto"/>
              <w:left w:val="single" w:sz="4" w:space="0" w:color="auto"/>
              <w:bottom w:val="single" w:sz="4" w:space="0" w:color="auto"/>
              <w:right w:val="single" w:sz="4" w:space="0" w:color="auto"/>
            </w:tcBorders>
            <w:hideMark/>
          </w:tcPr>
          <w:p w14:paraId="102DE231" w14:textId="77777777" w:rsidR="00EB7A81" w:rsidRDefault="00EB7A81" w:rsidP="00641EEB">
            <w:pPr>
              <w:pStyle w:val="TableText10"/>
              <w:rPr>
                <w:sz w:val="22"/>
                <w:szCs w:val="22"/>
                <w:lang w:val="en-GB"/>
              </w:rPr>
            </w:pPr>
            <w:r>
              <w:rPr>
                <w:sz w:val="22"/>
                <w:szCs w:val="22"/>
                <w:lang w:val="en-GB"/>
              </w:rPr>
              <w:t>Često</w:t>
            </w:r>
          </w:p>
        </w:tc>
      </w:tr>
      <w:tr w:rsidR="00EB7A81" w14:paraId="302929C6" w14:textId="77777777" w:rsidTr="00B05AA9">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910F1"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3D0BBB7A" w14:textId="77777777" w:rsidR="00EB7A81" w:rsidRDefault="00EB7A81" w:rsidP="00641EEB">
            <w:pPr>
              <w:pStyle w:val="TableText10"/>
              <w:rPr>
                <w:sz w:val="22"/>
                <w:szCs w:val="22"/>
                <w:lang w:val="en-GB"/>
              </w:rPr>
            </w:pPr>
            <w:r>
              <w:rPr>
                <w:sz w:val="22"/>
                <w:szCs w:val="22"/>
                <w:lang w:val="en-GB"/>
              </w:rPr>
              <w:t>Dermatitis</w:t>
            </w:r>
          </w:p>
        </w:tc>
        <w:tc>
          <w:tcPr>
            <w:tcW w:w="1289" w:type="pct"/>
            <w:tcBorders>
              <w:top w:val="single" w:sz="4" w:space="0" w:color="auto"/>
              <w:left w:val="single" w:sz="4" w:space="0" w:color="auto"/>
              <w:bottom w:val="single" w:sz="4" w:space="0" w:color="auto"/>
              <w:right w:val="single" w:sz="4" w:space="0" w:color="auto"/>
            </w:tcBorders>
            <w:hideMark/>
          </w:tcPr>
          <w:p w14:paraId="06240D91" w14:textId="77777777" w:rsidR="00EB7A81" w:rsidRDefault="00EB7A81" w:rsidP="00641EEB">
            <w:pPr>
              <w:pStyle w:val="TableText10"/>
              <w:rPr>
                <w:sz w:val="22"/>
                <w:szCs w:val="22"/>
                <w:lang w:val="en-GB"/>
              </w:rPr>
            </w:pPr>
            <w:r>
              <w:rPr>
                <w:sz w:val="22"/>
                <w:szCs w:val="22"/>
                <w:lang w:val="en-GB"/>
              </w:rPr>
              <w:t>Često</w:t>
            </w:r>
          </w:p>
        </w:tc>
      </w:tr>
      <w:tr w:rsidR="00EB7A81" w14:paraId="090B6875" w14:textId="77777777" w:rsidTr="00B05AA9">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47050"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14C58FAC" w14:textId="77777777" w:rsidR="00EB7A81" w:rsidRDefault="00EB7A81" w:rsidP="00641EEB">
            <w:pPr>
              <w:pStyle w:val="TableText10"/>
              <w:rPr>
                <w:sz w:val="22"/>
                <w:szCs w:val="22"/>
                <w:lang w:val="en-GB"/>
              </w:rPr>
            </w:pPr>
            <w:r>
              <w:rPr>
                <w:sz w:val="22"/>
                <w:szCs w:val="22"/>
                <w:lang w:val="en-GB"/>
              </w:rPr>
              <w:t>Urtikarija</w:t>
            </w:r>
          </w:p>
        </w:tc>
        <w:tc>
          <w:tcPr>
            <w:tcW w:w="1289" w:type="pct"/>
            <w:tcBorders>
              <w:top w:val="single" w:sz="4" w:space="0" w:color="auto"/>
              <w:left w:val="single" w:sz="4" w:space="0" w:color="auto"/>
              <w:bottom w:val="single" w:sz="4" w:space="0" w:color="auto"/>
              <w:right w:val="single" w:sz="4" w:space="0" w:color="auto"/>
            </w:tcBorders>
            <w:hideMark/>
          </w:tcPr>
          <w:p w14:paraId="7A256E75" w14:textId="77777777" w:rsidR="00EB7A81" w:rsidRDefault="00EB7A81" w:rsidP="00641EEB">
            <w:pPr>
              <w:pStyle w:val="TableText10"/>
              <w:rPr>
                <w:sz w:val="22"/>
                <w:szCs w:val="22"/>
                <w:lang w:val="en-GB"/>
              </w:rPr>
            </w:pPr>
            <w:r>
              <w:rPr>
                <w:sz w:val="22"/>
                <w:szCs w:val="22"/>
                <w:lang w:val="en-GB"/>
              </w:rPr>
              <w:t>Povremeno</w:t>
            </w:r>
          </w:p>
        </w:tc>
      </w:tr>
      <w:tr w:rsidR="00EB7A81" w14:paraId="21D05749" w14:textId="77777777" w:rsidTr="00B05AA9">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B2FDFD"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0EC69034" w14:textId="77777777" w:rsidR="00EB7A81" w:rsidRDefault="00EB7A81" w:rsidP="00641EEB">
            <w:pPr>
              <w:pStyle w:val="TableText10"/>
              <w:rPr>
                <w:sz w:val="22"/>
                <w:szCs w:val="22"/>
                <w:lang w:val="en-GB"/>
              </w:rPr>
            </w:pPr>
            <w:r>
              <w:rPr>
                <w:sz w:val="22"/>
                <w:szCs w:val="22"/>
                <w:lang w:val="en-GB"/>
              </w:rPr>
              <w:t>Angioedem</w:t>
            </w:r>
          </w:p>
        </w:tc>
        <w:tc>
          <w:tcPr>
            <w:tcW w:w="1289" w:type="pct"/>
            <w:tcBorders>
              <w:top w:val="single" w:sz="4" w:space="0" w:color="auto"/>
              <w:left w:val="single" w:sz="4" w:space="0" w:color="auto"/>
              <w:bottom w:val="single" w:sz="4" w:space="0" w:color="auto"/>
              <w:right w:val="single" w:sz="4" w:space="0" w:color="auto"/>
            </w:tcBorders>
            <w:hideMark/>
          </w:tcPr>
          <w:p w14:paraId="7296E4B1" w14:textId="77777777" w:rsidR="00EB7A81" w:rsidRDefault="00EB7A81" w:rsidP="00641EEB">
            <w:pPr>
              <w:pStyle w:val="TableText10"/>
              <w:rPr>
                <w:sz w:val="22"/>
                <w:szCs w:val="22"/>
                <w:lang w:val="en-GB"/>
              </w:rPr>
            </w:pPr>
            <w:r>
              <w:rPr>
                <w:sz w:val="22"/>
                <w:szCs w:val="22"/>
                <w:lang w:val="en-GB"/>
              </w:rPr>
              <w:t>Nepoznato</w:t>
            </w:r>
          </w:p>
        </w:tc>
      </w:tr>
      <w:tr w:rsidR="00EB7A81" w14:paraId="1B73EC26" w14:textId="77777777" w:rsidTr="00B05AA9">
        <w:trPr>
          <w:trHeight w:val="173"/>
        </w:trPr>
        <w:tc>
          <w:tcPr>
            <w:tcW w:w="1524" w:type="pct"/>
            <w:vMerge w:val="restart"/>
            <w:tcBorders>
              <w:top w:val="single" w:sz="4" w:space="0" w:color="auto"/>
              <w:left w:val="single" w:sz="4" w:space="0" w:color="auto"/>
              <w:bottom w:val="single" w:sz="4" w:space="0" w:color="auto"/>
              <w:right w:val="single" w:sz="4" w:space="0" w:color="auto"/>
            </w:tcBorders>
            <w:hideMark/>
          </w:tcPr>
          <w:p w14:paraId="50B13E18" w14:textId="77777777" w:rsidR="00EB7A81" w:rsidRDefault="00EB7A81" w:rsidP="00641EEB">
            <w:pPr>
              <w:pStyle w:val="TableText10"/>
              <w:rPr>
                <w:sz w:val="22"/>
                <w:szCs w:val="22"/>
              </w:rPr>
            </w:pPr>
            <w:r>
              <w:rPr>
                <w:sz w:val="22"/>
                <w:szCs w:val="22"/>
                <w:lang w:val="en-GB"/>
              </w:rPr>
              <w:t>Poreme</w:t>
            </w:r>
            <w:r>
              <w:rPr>
                <w:sz w:val="22"/>
                <w:szCs w:val="22"/>
              </w:rPr>
              <w:t>ć</w:t>
            </w:r>
            <w:r>
              <w:rPr>
                <w:sz w:val="22"/>
                <w:szCs w:val="22"/>
                <w:lang w:val="en-GB"/>
              </w:rPr>
              <w:t>aji</w:t>
            </w:r>
            <w:r>
              <w:rPr>
                <w:sz w:val="22"/>
                <w:szCs w:val="22"/>
              </w:rPr>
              <w:t xml:space="preserve"> </w:t>
            </w:r>
            <w:r>
              <w:rPr>
                <w:sz w:val="22"/>
                <w:szCs w:val="22"/>
                <w:lang w:val="en-GB"/>
              </w:rPr>
              <w:t>ko</w:t>
            </w:r>
            <w:r>
              <w:rPr>
                <w:sz w:val="22"/>
                <w:szCs w:val="22"/>
              </w:rPr>
              <w:t>š</w:t>
            </w:r>
            <w:r>
              <w:rPr>
                <w:sz w:val="22"/>
                <w:szCs w:val="22"/>
                <w:lang w:val="en-GB"/>
              </w:rPr>
              <w:t>tano</w:t>
            </w:r>
            <w:r>
              <w:rPr>
                <w:sz w:val="22"/>
                <w:szCs w:val="22"/>
              </w:rPr>
              <w:t>-</w:t>
            </w:r>
            <w:r>
              <w:rPr>
                <w:sz w:val="22"/>
                <w:szCs w:val="22"/>
                <w:lang w:val="en-GB"/>
              </w:rPr>
              <w:t>mi</w:t>
            </w:r>
            <w:r>
              <w:rPr>
                <w:sz w:val="22"/>
                <w:szCs w:val="22"/>
              </w:rPr>
              <w:t>š</w:t>
            </w:r>
            <w:r>
              <w:rPr>
                <w:sz w:val="22"/>
                <w:szCs w:val="22"/>
                <w:lang w:val="en-GB"/>
              </w:rPr>
              <w:t>i</w:t>
            </w:r>
            <w:r>
              <w:rPr>
                <w:sz w:val="22"/>
                <w:szCs w:val="22"/>
              </w:rPr>
              <w:t>ć</w:t>
            </w:r>
            <w:r>
              <w:rPr>
                <w:sz w:val="22"/>
                <w:szCs w:val="22"/>
                <w:lang w:val="en-GB"/>
              </w:rPr>
              <w:t>nog</w:t>
            </w:r>
            <w:r>
              <w:rPr>
                <w:sz w:val="22"/>
                <w:szCs w:val="22"/>
              </w:rPr>
              <w:t xml:space="preserve"> </w:t>
            </w:r>
            <w:r>
              <w:rPr>
                <w:sz w:val="22"/>
                <w:szCs w:val="22"/>
                <w:lang w:val="en-GB"/>
              </w:rPr>
              <w:t>i</w:t>
            </w:r>
            <w:r>
              <w:rPr>
                <w:sz w:val="22"/>
                <w:szCs w:val="22"/>
              </w:rPr>
              <w:t xml:space="preserve"> </w:t>
            </w:r>
            <w:r>
              <w:rPr>
                <w:sz w:val="22"/>
                <w:szCs w:val="22"/>
                <w:lang w:val="en-GB"/>
              </w:rPr>
              <w:t>vezivnog</w:t>
            </w:r>
            <w:r>
              <w:rPr>
                <w:sz w:val="22"/>
                <w:szCs w:val="22"/>
              </w:rPr>
              <w:t xml:space="preserve"> </w:t>
            </w:r>
            <w:r>
              <w:rPr>
                <w:sz w:val="22"/>
                <w:szCs w:val="22"/>
                <w:lang w:val="en-GB"/>
              </w:rPr>
              <w:t>tkiva</w:t>
            </w:r>
          </w:p>
        </w:tc>
        <w:tc>
          <w:tcPr>
            <w:tcW w:w="2187" w:type="pct"/>
            <w:tcBorders>
              <w:top w:val="single" w:sz="4" w:space="0" w:color="auto"/>
              <w:left w:val="single" w:sz="4" w:space="0" w:color="auto"/>
              <w:bottom w:val="single" w:sz="4" w:space="0" w:color="auto"/>
              <w:right w:val="single" w:sz="4" w:space="0" w:color="auto"/>
            </w:tcBorders>
            <w:hideMark/>
          </w:tcPr>
          <w:p w14:paraId="3AA80FDC" w14:textId="77777777" w:rsidR="00EB7A81" w:rsidRDefault="00EB7A81" w:rsidP="00641EEB">
            <w:pPr>
              <w:pStyle w:val="TableText10"/>
              <w:rPr>
                <w:sz w:val="22"/>
                <w:szCs w:val="22"/>
                <w:lang w:val="en-GB"/>
              </w:rPr>
            </w:pPr>
            <w:r>
              <w:rPr>
                <w:sz w:val="22"/>
                <w:szCs w:val="22"/>
                <w:lang w:val="en-GB"/>
              </w:rPr>
              <w:t>Artralgija</w:t>
            </w:r>
          </w:p>
        </w:tc>
        <w:tc>
          <w:tcPr>
            <w:tcW w:w="1289" w:type="pct"/>
            <w:tcBorders>
              <w:top w:val="single" w:sz="4" w:space="0" w:color="auto"/>
              <w:left w:val="single" w:sz="4" w:space="0" w:color="auto"/>
              <w:bottom w:val="single" w:sz="4" w:space="0" w:color="auto"/>
              <w:right w:val="single" w:sz="4" w:space="0" w:color="auto"/>
            </w:tcBorders>
            <w:hideMark/>
          </w:tcPr>
          <w:p w14:paraId="5C754F66" w14:textId="77777777" w:rsidR="00EB7A81" w:rsidRDefault="00EB7A81" w:rsidP="00641EEB">
            <w:pPr>
              <w:pStyle w:val="TableText10"/>
              <w:rPr>
                <w:sz w:val="22"/>
                <w:szCs w:val="22"/>
                <w:lang w:val="en-GB"/>
              </w:rPr>
            </w:pPr>
            <w:r>
              <w:rPr>
                <w:sz w:val="22"/>
                <w:szCs w:val="22"/>
                <w:lang w:val="en-GB"/>
              </w:rPr>
              <w:t>Vrlo često</w:t>
            </w:r>
          </w:p>
        </w:tc>
      </w:tr>
      <w:tr w:rsidR="00EB7A81" w14:paraId="7CAEEE3E" w14:textId="77777777" w:rsidTr="00B05AA9">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73D74" w14:textId="77777777" w:rsidR="00EB7A81" w:rsidRDefault="00EB7A81" w:rsidP="00641EEB">
            <w:pPr>
              <w:rPr>
                <w:sz w:val="22"/>
                <w:szCs w:val="22"/>
                <w:lang w:val="sr-Latn-ME" w:eastAsia="ja-JP"/>
              </w:rPr>
            </w:pPr>
          </w:p>
        </w:tc>
        <w:tc>
          <w:tcPr>
            <w:tcW w:w="2187" w:type="pct"/>
            <w:tcBorders>
              <w:top w:val="single" w:sz="4" w:space="0" w:color="auto"/>
              <w:left w:val="single" w:sz="4" w:space="0" w:color="auto"/>
              <w:bottom w:val="single" w:sz="4" w:space="0" w:color="auto"/>
              <w:right w:val="single" w:sz="4" w:space="0" w:color="auto"/>
            </w:tcBorders>
            <w:hideMark/>
          </w:tcPr>
          <w:p w14:paraId="673D6833" w14:textId="77777777" w:rsidR="00EB7A81" w:rsidRDefault="00EB7A81" w:rsidP="00641EEB">
            <w:pPr>
              <w:pStyle w:val="TableText10"/>
              <w:rPr>
                <w:sz w:val="22"/>
                <w:szCs w:val="22"/>
                <w:lang w:val="en-GB"/>
              </w:rPr>
            </w:pPr>
            <w:r>
              <w:rPr>
                <w:sz w:val="22"/>
                <w:szCs w:val="22"/>
                <w:vertAlign w:val="superscript"/>
                <w:lang w:val="en-GB"/>
              </w:rPr>
              <w:t>1</w:t>
            </w:r>
            <w:r>
              <w:rPr>
                <w:sz w:val="22"/>
                <w:szCs w:val="22"/>
                <w:lang w:val="en-GB"/>
              </w:rPr>
              <w:t>Napetost mišića</w:t>
            </w:r>
          </w:p>
        </w:tc>
        <w:tc>
          <w:tcPr>
            <w:tcW w:w="1289" w:type="pct"/>
            <w:tcBorders>
              <w:top w:val="single" w:sz="4" w:space="0" w:color="auto"/>
              <w:left w:val="single" w:sz="4" w:space="0" w:color="auto"/>
              <w:bottom w:val="single" w:sz="4" w:space="0" w:color="auto"/>
              <w:right w:val="single" w:sz="4" w:space="0" w:color="auto"/>
            </w:tcBorders>
            <w:hideMark/>
          </w:tcPr>
          <w:p w14:paraId="39D35D4C" w14:textId="77777777" w:rsidR="00EB7A81" w:rsidRDefault="00EB7A81" w:rsidP="00641EEB">
            <w:pPr>
              <w:pStyle w:val="TableText10"/>
              <w:rPr>
                <w:sz w:val="22"/>
                <w:szCs w:val="22"/>
                <w:lang w:val="en-GB"/>
              </w:rPr>
            </w:pPr>
            <w:r>
              <w:rPr>
                <w:sz w:val="22"/>
                <w:szCs w:val="22"/>
                <w:lang w:val="en-GB"/>
              </w:rPr>
              <w:t>Vrlo često</w:t>
            </w:r>
          </w:p>
        </w:tc>
      </w:tr>
      <w:tr w:rsidR="00EB7A81" w14:paraId="3807854A"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6C538" w14:textId="77777777" w:rsidR="00EB7A81" w:rsidRDefault="00EB7A81" w:rsidP="00641EEB">
            <w:pPr>
              <w:rPr>
                <w:sz w:val="22"/>
                <w:szCs w:val="22"/>
                <w:lang w:val="sr-Latn-ME"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EF8E98E" w14:textId="77777777" w:rsidR="00EB7A81" w:rsidRDefault="00EB7A81" w:rsidP="00641EEB">
            <w:pPr>
              <w:pStyle w:val="TableText10"/>
              <w:rPr>
                <w:sz w:val="22"/>
                <w:szCs w:val="22"/>
                <w:lang w:val="en-GB"/>
              </w:rPr>
            </w:pPr>
            <w:r>
              <w:rPr>
                <w:sz w:val="22"/>
                <w:szCs w:val="22"/>
                <w:lang w:val="en-GB"/>
              </w:rPr>
              <w:t>Mialgija</w:t>
            </w:r>
          </w:p>
        </w:tc>
        <w:tc>
          <w:tcPr>
            <w:tcW w:w="1289" w:type="pct"/>
            <w:tcBorders>
              <w:top w:val="single" w:sz="4" w:space="0" w:color="auto"/>
              <w:left w:val="single" w:sz="4" w:space="0" w:color="auto"/>
              <w:bottom w:val="single" w:sz="4" w:space="0" w:color="auto"/>
              <w:right w:val="single" w:sz="4" w:space="0" w:color="auto"/>
            </w:tcBorders>
            <w:hideMark/>
          </w:tcPr>
          <w:p w14:paraId="0E24E23A" w14:textId="77777777" w:rsidR="00EB7A81" w:rsidRDefault="00EB7A81" w:rsidP="00641EEB">
            <w:pPr>
              <w:pStyle w:val="TableText10"/>
              <w:rPr>
                <w:sz w:val="22"/>
                <w:szCs w:val="22"/>
                <w:lang w:val="en-GB"/>
              </w:rPr>
            </w:pPr>
            <w:r>
              <w:rPr>
                <w:sz w:val="22"/>
                <w:szCs w:val="22"/>
                <w:lang w:val="en-GB"/>
              </w:rPr>
              <w:t>Vrlo često</w:t>
            </w:r>
          </w:p>
        </w:tc>
      </w:tr>
      <w:tr w:rsidR="00EB7A81" w14:paraId="6E68AA34"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146E5" w14:textId="77777777" w:rsidR="00EB7A81" w:rsidRDefault="00EB7A81" w:rsidP="00641EEB">
            <w:pPr>
              <w:rPr>
                <w:sz w:val="22"/>
                <w:szCs w:val="22"/>
                <w:lang w:val="sr-Latn-ME" w:eastAsia="ja-JP"/>
              </w:rPr>
            </w:pPr>
          </w:p>
        </w:tc>
        <w:tc>
          <w:tcPr>
            <w:tcW w:w="2187" w:type="pct"/>
            <w:tcBorders>
              <w:top w:val="single" w:sz="4" w:space="0" w:color="auto"/>
              <w:left w:val="single" w:sz="4" w:space="0" w:color="auto"/>
              <w:bottom w:val="single" w:sz="4" w:space="0" w:color="auto"/>
              <w:right w:val="single" w:sz="4" w:space="0" w:color="auto"/>
            </w:tcBorders>
            <w:hideMark/>
          </w:tcPr>
          <w:p w14:paraId="47597EF5" w14:textId="77777777" w:rsidR="00EB7A81" w:rsidRDefault="00EB7A81" w:rsidP="00641EEB">
            <w:pPr>
              <w:pStyle w:val="TableText10"/>
              <w:rPr>
                <w:sz w:val="22"/>
                <w:szCs w:val="22"/>
                <w:lang w:val="en-GB"/>
              </w:rPr>
            </w:pPr>
            <w:r>
              <w:rPr>
                <w:sz w:val="22"/>
                <w:szCs w:val="22"/>
                <w:lang w:val="en-GB"/>
              </w:rPr>
              <w:t>Artritis</w:t>
            </w:r>
          </w:p>
        </w:tc>
        <w:tc>
          <w:tcPr>
            <w:tcW w:w="1289" w:type="pct"/>
            <w:tcBorders>
              <w:top w:val="single" w:sz="4" w:space="0" w:color="auto"/>
              <w:left w:val="single" w:sz="4" w:space="0" w:color="auto"/>
              <w:bottom w:val="single" w:sz="4" w:space="0" w:color="auto"/>
              <w:right w:val="single" w:sz="4" w:space="0" w:color="auto"/>
            </w:tcBorders>
            <w:hideMark/>
          </w:tcPr>
          <w:p w14:paraId="4F684695" w14:textId="77777777" w:rsidR="00EB7A81" w:rsidRDefault="00EB7A81" w:rsidP="00641EEB">
            <w:pPr>
              <w:pStyle w:val="TableText10"/>
              <w:rPr>
                <w:sz w:val="22"/>
                <w:szCs w:val="22"/>
                <w:lang w:val="en-GB"/>
              </w:rPr>
            </w:pPr>
            <w:r>
              <w:rPr>
                <w:sz w:val="22"/>
                <w:szCs w:val="22"/>
                <w:lang w:val="en-GB"/>
              </w:rPr>
              <w:t>Često</w:t>
            </w:r>
          </w:p>
        </w:tc>
      </w:tr>
      <w:tr w:rsidR="00EB7A81" w14:paraId="00DC4448" w14:textId="77777777" w:rsidTr="00B05AA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567232" w14:textId="77777777" w:rsidR="00EB7A81" w:rsidRDefault="00EB7A81" w:rsidP="00641EEB">
            <w:pPr>
              <w:rPr>
                <w:sz w:val="22"/>
                <w:szCs w:val="22"/>
                <w:lang w:val="sr-Latn-ME" w:eastAsia="ja-JP"/>
              </w:rPr>
            </w:pPr>
          </w:p>
        </w:tc>
        <w:tc>
          <w:tcPr>
            <w:tcW w:w="2187" w:type="pct"/>
            <w:tcBorders>
              <w:top w:val="single" w:sz="4" w:space="0" w:color="auto"/>
              <w:left w:val="single" w:sz="4" w:space="0" w:color="auto"/>
              <w:bottom w:val="single" w:sz="4" w:space="0" w:color="auto"/>
              <w:right w:val="single" w:sz="4" w:space="0" w:color="auto"/>
            </w:tcBorders>
            <w:hideMark/>
          </w:tcPr>
          <w:p w14:paraId="4F67B1D1" w14:textId="77777777" w:rsidR="00EB7A81" w:rsidRDefault="00EB7A81" w:rsidP="00641EEB">
            <w:pPr>
              <w:pStyle w:val="TableText10"/>
              <w:rPr>
                <w:sz w:val="22"/>
                <w:szCs w:val="22"/>
                <w:lang w:val="en-GB"/>
              </w:rPr>
            </w:pPr>
            <w:r>
              <w:rPr>
                <w:sz w:val="22"/>
                <w:szCs w:val="22"/>
                <w:lang w:val="en-GB"/>
              </w:rPr>
              <w:t>Bol u leđima</w:t>
            </w:r>
          </w:p>
        </w:tc>
        <w:tc>
          <w:tcPr>
            <w:tcW w:w="1289" w:type="pct"/>
            <w:tcBorders>
              <w:top w:val="single" w:sz="4" w:space="0" w:color="auto"/>
              <w:left w:val="single" w:sz="4" w:space="0" w:color="auto"/>
              <w:bottom w:val="single" w:sz="4" w:space="0" w:color="auto"/>
              <w:right w:val="single" w:sz="4" w:space="0" w:color="auto"/>
            </w:tcBorders>
            <w:hideMark/>
          </w:tcPr>
          <w:p w14:paraId="581D8DF8" w14:textId="77777777" w:rsidR="00EB7A81" w:rsidRDefault="00EB7A81" w:rsidP="00641EEB">
            <w:pPr>
              <w:pStyle w:val="TableText10"/>
              <w:rPr>
                <w:sz w:val="22"/>
                <w:szCs w:val="22"/>
                <w:lang w:val="en-GB"/>
              </w:rPr>
            </w:pPr>
            <w:r>
              <w:rPr>
                <w:sz w:val="22"/>
                <w:szCs w:val="22"/>
                <w:lang w:val="en-GB"/>
              </w:rPr>
              <w:t>Često</w:t>
            </w:r>
          </w:p>
        </w:tc>
      </w:tr>
      <w:tr w:rsidR="00EB7A81" w14:paraId="7951E52A" w14:textId="77777777" w:rsidTr="00B05AA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421D3" w14:textId="77777777" w:rsidR="00EB7A81" w:rsidRDefault="00EB7A81" w:rsidP="00641EEB">
            <w:pPr>
              <w:rPr>
                <w:sz w:val="22"/>
                <w:szCs w:val="22"/>
                <w:lang w:val="sr-Latn-ME" w:eastAsia="ja-JP"/>
              </w:rPr>
            </w:pPr>
          </w:p>
        </w:tc>
        <w:tc>
          <w:tcPr>
            <w:tcW w:w="2187" w:type="pct"/>
            <w:tcBorders>
              <w:top w:val="single" w:sz="4" w:space="0" w:color="auto"/>
              <w:left w:val="single" w:sz="4" w:space="0" w:color="auto"/>
              <w:bottom w:val="single" w:sz="4" w:space="0" w:color="auto"/>
              <w:right w:val="single" w:sz="4" w:space="0" w:color="auto"/>
            </w:tcBorders>
            <w:hideMark/>
          </w:tcPr>
          <w:p w14:paraId="740260CF" w14:textId="77777777" w:rsidR="00EB7A81" w:rsidRDefault="00EB7A81" w:rsidP="00641EEB">
            <w:pPr>
              <w:pStyle w:val="TableText10"/>
              <w:rPr>
                <w:sz w:val="22"/>
                <w:szCs w:val="22"/>
                <w:lang w:val="en-GB"/>
              </w:rPr>
            </w:pPr>
            <w:r>
              <w:rPr>
                <w:sz w:val="22"/>
                <w:szCs w:val="22"/>
                <w:lang w:val="en-GB"/>
              </w:rPr>
              <w:t>Bol u kostima</w:t>
            </w:r>
          </w:p>
        </w:tc>
        <w:tc>
          <w:tcPr>
            <w:tcW w:w="1289" w:type="pct"/>
            <w:tcBorders>
              <w:top w:val="single" w:sz="4" w:space="0" w:color="auto"/>
              <w:left w:val="single" w:sz="4" w:space="0" w:color="auto"/>
              <w:bottom w:val="single" w:sz="4" w:space="0" w:color="auto"/>
              <w:right w:val="single" w:sz="4" w:space="0" w:color="auto"/>
            </w:tcBorders>
            <w:hideMark/>
          </w:tcPr>
          <w:p w14:paraId="1A48E3A5" w14:textId="77777777" w:rsidR="00EB7A81" w:rsidRDefault="00EB7A81" w:rsidP="00641EEB">
            <w:pPr>
              <w:pStyle w:val="TableText10"/>
              <w:rPr>
                <w:sz w:val="22"/>
                <w:szCs w:val="22"/>
                <w:lang w:val="en-GB"/>
              </w:rPr>
            </w:pPr>
            <w:r>
              <w:rPr>
                <w:sz w:val="22"/>
                <w:szCs w:val="22"/>
                <w:lang w:val="en-GB"/>
              </w:rPr>
              <w:t>Često</w:t>
            </w:r>
          </w:p>
        </w:tc>
      </w:tr>
      <w:tr w:rsidR="00EB7A81" w14:paraId="2C3F40BF" w14:textId="77777777" w:rsidTr="00B05AA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16D40" w14:textId="77777777" w:rsidR="00EB7A81" w:rsidRDefault="00EB7A81" w:rsidP="00641EEB">
            <w:pPr>
              <w:rPr>
                <w:sz w:val="22"/>
                <w:szCs w:val="22"/>
                <w:lang w:val="sr-Latn-ME"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E5906CA" w14:textId="77777777" w:rsidR="00EB7A81" w:rsidRDefault="00EB7A81" w:rsidP="00641EEB">
            <w:pPr>
              <w:pStyle w:val="TableText10"/>
              <w:rPr>
                <w:sz w:val="22"/>
                <w:szCs w:val="22"/>
                <w:lang w:val="en-GB"/>
              </w:rPr>
            </w:pPr>
            <w:r>
              <w:rPr>
                <w:sz w:val="22"/>
                <w:szCs w:val="22"/>
                <w:lang w:val="en-GB"/>
              </w:rPr>
              <w:t>Grčevi u mišićima</w:t>
            </w:r>
          </w:p>
        </w:tc>
        <w:tc>
          <w:tcPr>
            <w:tcW w:w="1289" w:type="pct"/>
            <w:tcBorders>
              <w:top w:val="single" w:sz="4" w:space="0" w:color="auto"/>
              <w:left w:val="single" w:sz="4" w:space="0" w:color="auto"/>
              <w:bottom w:val="single" w:sz="4" w:space="0" w:color="auto"/>
              <w:right w:val="single" w:sz="4" w:space="0" w:color="auto"/>
            </w:tcBorders>
            <w:hideMark/>
          </w:tcPr>
          <w:p w14:paraId="18666BB8" w14:textId="77777777" w:rsidR="00EB7A81" w:rsidRDefault="00EB7A81" w:rsidP="00641EEB">
            <w:pPr>
              <w:pStyle w:val="TableText10"/>
              <w:rPr>
                <w:sz w:val="22"/>
                <w:szCs w:val="22"/>
                <w:lang w:val="en-GB"/>
              </w:rPr>
            </w:pPr>
            <w:r>
              <w:rPr>
                <w:sz w:val="22"/>
                <w:szCs w:val="22"/>
                <w:lang w:val="en-GB"/>
              </w:rPr>
              <w:t>Često</w:t>
            </w:r>
          </w:p>
        </w:tc>
      </w:tr>
      <w:tr w:rsidR="00EB7A81" w14:paraId="2519ADB3" w14:textId="77777777" w:rsidTr="00B05AA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39D21" w14:textId="77777777" w:rsidR="00EB7A81" w:rsidRDefault="00EB7A81" w:rsidP="00641EEB">
            <w:pPr>
              <w:rPr>
                <w:sz w:val="22"/>
                <w:szCs w:val="22"/>
                <w:lang w:val="sr-Latn-ME" w:eastAsia="ja-JP"/>
              </w:rPr>
            </w:pPr>
          </w:p>
        </w:tc>
        <w:tc>
          <w:tcPr>
            <w:tcW w:w="2187" w:type="pct"/>
            <w:tcBorders>
              <w:top w:val="single" w:sz="4" w:space="0" w:color="auto"/>
              <w:left w:val="single" w:sz="4" w:space="0" w:color="auto"/>
              <w:bottom w:val="single" w:sz="4" w:space="0" w:color="auto"/>
              <w:right w:val="single" w:sz="4" w:space="0" w:color="auto"/>
            </w:tcBorders>
            <w:hideMark/>
          </w:tcPr>
          <w:p w14:paraId="4CCFC83D" w14:textId="77777777" w:rsidR="00EB7A81" w:rsidRDefault="00EB7A81" w:rsidP="00641EEB">
            <w:pPr>
              <w:pStyle w:val="TableText10"/>
              <w:rPr>
                <w:sz w:val="22"/>
                <w:szCs w:val="22"/>
                <w:lang w:val="en-GB"/>
              </w:rPr>
            </w:pPr>
            <w:r>
              <w:rPr>
                <w:sz w:val="22"/>
                <w:szCs w:val="22"/>
                <w:lang w:val="en-GB"/>
              </w:rPr>
              <w:t>Bol u vratu</w:t>
            </w:r>
          </w:p>
        </w:tc>
        <w:tc>
          <w:tcPr>
            <w:tcW w:w="1289" w:type="pct"/>
            <w:tcBorders>
              <w:top w:val="single" w:sz="4" w:space="0" w:color="auto"/>
              <w:left w:val="single" w:sz="4" w:space="0" w:color="auto"/>
              <w:bottom w:val="single" w:sz="4" w:space="0" w:color="auto"/>
              <w:right w:val="single" w:sz="4" w:space="0" w:color="auto"/>
            </w:tcBorders>
            <w:hideMark/>
          </w:tcPr>
          <w:p w14:paraId="5A41B06A" w14:textId="77777777" w:rsidR="00EB7A81" w:rsidRDefault="00EB7A81" w:rsidP="00641EEB">
            <w:pPr>
              <w:pStyle w:val="TableText10"/>
              <w:rPr>
                <w:sz w:val="22"/>
                <w:szCs w:val="22"/>
                <w:lang w:val="en-GB"/>
              </w:rPr>
            </w:pPr>
            <w:r>
              <w:rPr>
                <w:sz w:val="22"/>
                <w:szCs w:val="22"/>
                <w:lang w:val="en-GB"/>
              </w:rPr>
              <w:t>Često</w:t>
            </w:r>
          </w:p>
        </w:tc>
      </w:tr>
      <w:tr w:rsidR="00EB7A81" w14:paraId="4590F726" w14:textId="77777777" w:rsidTr="00B05AA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961AD" w14:textId="77777777" w:rsidR="00EB7A81" w:rsidRDefault="00EB7A81" w:rsidP="00641EEB">
            <w:pPr>
              <w:rPr>
                <w:sz w:val="22"/>
                <w:szCs w:val="22"/>
                <w:lang w:val="sr-Latn-ME" w:eastAsia="ja-JP"/>
              </w:rPr>
            </w:pPr>
          </w:p>
        </w:tc>
        <w:tc>
          <w:tcPr>
            <w:tcW w:w="2187" w:type="pct"/>
            <w:tcBorders>
              <w:top w:val="single" w:sz="4" w:space="0" w:color="auto"/>
              <w:left w:val="single" w:sz="4" w:space="0" w:color="auto"/>
              <w:bottom w:val="single" w:sz="4" w:space="0" w:color="auto"/>
              <w:right w:val="single" w:sz="4" w:space="0" w:color="auto"/>
            </w:tcBorders>
            <w:hideMark/>
          </w:tcPr>
          <w:p w14:paraId="7F9505C8" w14:textId="77777777" w:rsidR="00EB7A81" w:rsidRDefault="00EB7A81" w:rsidP="00641EEB">
            <w:pPr>
              <w:pStyle w:val="TableText10"/>
              <w:rPr>
                <w:sz w:val="22"/>
                <w:szCs w:val="22"/>
                <w:lang w:val="en-GB"/>
              </w:rPr>
            </w:pPr>
            <w:r>
              <w:rPr>
                <w:sz w:val="22"/>
                <w:szCs w:val="22"/>
                <w:lang w:val="en-GB"/>
              </w:rPr>
              <w:t>Bol u ekstremitetima</w:t>
            </w:r>
          </w:p>
        </w:tc>
        <w:tc>
          <w:tcPr>
            <w:tcW w:w="1289" w:type="pct"/>
            <w:tcBorders>
              <w:top w:val="single" w:sz="4" w:space="0" w:color="auto"/>
              <w:left w:val="single" w:sz="4" w:space="0" w:color="auto"/>
              <w:bottom w:val="single" w:sz="4" w:space="0" w:color="auto"/>
              <w:right w:val="single" w:sz="4" w:space="0" w:color="auto"/>
            </w:tcBorders>
            <w:hideMark/>
          </w:tcPr>
          <w:p w14:paraId="130BC4FE" w14:textId="77777777" w:rsidR="00EB7A81" w:rsidRDefault="00EB7A81" w:rsidP="00641EEB">
            <w:pPr>
              <w:pStyle w:val="TableText10"/>
              <w:rPr>
                <w:sz w:val="22"/>
                <w:szCs w:val="22"/>
                <w:lang w:val="en-GB"/>
              </w:rPr>
            </w:pPr>
            <w:r>
              <w:rPr>
                <w:sz w:val="22"/>
                <w:szCs w:val="22"/>
                <w:lang w:val="en-GB"/>
              </w:rPr>
              <w:t>Često</w:t>
            </w:r>
          </w:p>
        </w:tc>
      </w:tr>
      <w:tr w:rsidR="00EB7A81" w14:paraId="6256177E" w14:textId="77777777" w:rsidTr="00B05AA9">
        <w:trPr>
          <w:trHeight w:val="303"/>
        </w:trPr>
        <w:tc>
          <w:tcPr>
            <w:tcW w:w="1524" w:type="pct"/>
            <w:vMerge w:val="restart"/>
            <w:tcBorders>
              <w:top w:val="single" w:sz="4" w:space="0" w:color="auto"/>
              <w:left w:val="single" w:sz="4" w:space="0" w:color="auto"/>
              <w:bottom w:val="single" w:sz="4" w:space="0" w:color="auto"/>
              <w:right w:val="single" w:sz="4" w:space="0" w:color="auto"/>
            </w:tcBorders>
            <w:hideMark/>
          </w:tcPr>
          <w:p w14:paraId="65665374" w14:textId="77777777" w:rsidR="00EB7A81" w:rsidRDefault="00EB7A81" w:rsidP="00641EEB">
            <w:pPr>
              <w:pStyle w:val="TableText10"/>
              <w:rPr>
                <w:sz w:val="22"/>
                <w:szCs w:val="22"/>
                <w:lang w:val="pl-PL"/>
              </w:rPr>
            </w:pPr>
            <w:r>
              <w:rPr>
                <w:sz w:val="22"/>
                <w:szCs w:val="22"/>
                <w:lang w:val="pl-PL"/>
              </w:rPr>
              <w:t>Bubrežni i urinarni poremećaji</w:t>
            </w:r>
          </w:p>
        </w:tc>
        <w:tc>
          <w:tcPr>
            <w:tcW w:w="2187" w:type="pct"/>
            <w:tcBorders>
              <w:top w:val="single" w:sz="4" w:space="0" w:color="auto"/>
              <w:left w:val="single" w:sz="4" w:space="0" w:color="auto"/>
              <w:bottom w:val="single" w:sz="4" w:space="0" w:color="auto"/>
              <w:right w:val="single" w:sz="4" w:space="0" w:color="auto"/>
            </w:tcBorders>
            <w:hideMark/>
          </w:tcPr>
          <w:p w14:paraId="219C8380" w14:textId="77777777" w:rsidR="00EB7A81" w:rsidRDefault="00EB7A81" w:rsidP="00641EEB">
            <w:pPr>
              <w:pStyle w:val="TableText10"/>
              <w:rPr>
                <w:sz w:val="22"/>
                <w:szCs w:val="22"/>
                <w:lang w:val="en-GB"/>
              </w:rPr>
            </w:pPr>
            <w:r>
              <w:rPr>
                <w:sz w:val="22"/>
                <w:szCs w:val="22"/>
                <w:lang w:val="en-GB"/>
              </w:rPr>
              <w:t>Narušena funkcija bubrega</w:t>
            </w:r>
          </w:p>
        </w:tc>
        <w:tc>
          <w:tcPr>
            <w:tcW w:w="1289" w:type="pct"/>
            <w:tcBorders>
              <w:top w:val="single" w:sz="4" w:space="0" w:color="auto"/>
              <w:left w:val="single" w:sz="4" w:space="0" w:color="auto"/>
              <w:bottom w:val="single" w:sz="4" w:space="0" w:color="auto"/>
              <w:right w:val="single" w:sz="4" w:space="0" w:color="auto"/>
            </w:tcBorders>
            <w:hideMark/>
          </w:tcPr>
          <w:p w14:paraId="0C6D90BB" w14:textId="77777777" w:rsidR="00EB7A81" w:rsidRDefault="00EB7A81" w:rsidP="00641EEB">
            <w:pPr>
              <w:pStyle w:val="TableText10"/>
              <w:rPr>
                <w:sz w:val="22"/>
                <w:szCs w:val="22"/>
                <w:lang w:val="en-GB"/>
              </w:rPr>
            </w:pPr>
            <w:r>
              <w:rPr>
                <w:sz w:val="22"/>
                <w:szCs w:val="22"/>
                <w:lang w:val="en-GB"/>
              </w:rPr>
              <w:t>Često</w:t>
            </w:r>
          </w:p>
        </w:tc>
      </w:tr>
      <w:tr w:rsidR="00EB7A81" w14:paraId="1E1965CB" w14:textId="77777777" w:rsidTr="00B05AA9">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03A81"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1E6138C3" w14:textId="77777777" w:rsidR="00EB7A81" w:rsidRDefault="00EB7A81" w:rsidP="00641EEB">
            <w:pPr>
              <w:pStyle w:val="TableText10"/>
              <w:rPr>
                <w:sz w:val="22"/>
                <w:szCs w:val="22"/>
                <w:lang w:val="en-GB"/>
              </w:rPr>
            </w:pPr>
            <w:r>
              <w:rPr>
                <w:sz w:val="22"/>
                <w:szCs w:val="22"/>
                <w:lang w:val="en-GB"/>
              </w:rPr>
              <w:t>Membranski glomerulonefritis</w:t>
            </w:r>
          </w:p>
        </w:tc>
        <w:tc>
          <w:tcPr>
            <w:tcW w:w="1289" w:type="pct"/>
            <w:tcBorders>
              <w:top w:val="single" w:sz="4" w:space="0" w:color="auto"/>
              <w:left w:val="single" w:sz="4" w:space="0" w:color="auto"/>
              <w:bottom w:val="single" w:sz="4" w:space="0" w:color="auto"/>
              <w:right w:val="single" w:sz="4" w:space="0" w:color="auto"/>
            </w:tcBorders>
            <w:hideMark/>
          </w:tcPr>
          <w:p w14:paraId="12CB58C6" w14:textId="77777777" w:rsidR="00EB7A81" w:rsidRDefault="00EB7A81" w:rsidP="00641EEB">
            <w:pPr>
              <w:pStyle w:val="TableText10"/>
              <w:rPr>
                <w:sz w:val="22"/>
                <w:szCs w:val="22"/>
                <w:lang w:val="en-GB"/>
              </w:rPr>
            </w:pPr>
            <w:r>
              <w:rPr>
                <w:sz w:val="22"/>
                <w:szCs w:val="22"/>
                <w:lang w:val="en-GB"/>
              </w:rPr>
              <w:t>Nepoznato</w:t>
            </w:r>
          </w:p>
        </w:tc>
      </w:tr>
      <w:tr w:rsidR="00EB7A81" w14:paraId="3ED10974" w14:textId="77777777" w:rsidTr="00B05AA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2E99F"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20A9608A" w14:textId="77777777" w:rsidR="00EB7A81" w:rsidRDefault="00EB7A81" w:rsidP="00641EEB">
            <w:pPr>
              <w:pStyle w:val="TableText10"/>
              <w:rPr>
                <w:sz w:val="22"/>
                <w:szCs w:val="22"/>
                <w:lang w:val="en-GB"/>
              </w:rPr>
            </w:pPr>
            <w:r>
              <w:rPr>
                <w:sz w:val="22"/>
                <w:szCs w:val="22"/>
                <w:lang w:val="en-GB"/>
              </w:rPr>
              <w:t>Glomerulonefropatija</w:t>
            </w:r>
          </w:p>
        </w:tc>
        <w:tc>
          <w:tcPr>
            <w:tcW w:w="1289" w:type="pct"/>
            <w:tcBorders>
              <w:top w:val="single" w:sz="4" w:space="0" w:color="auto"/>
              <w:left w:val="single" w:sz="4" w:space="0" w:color="auto"/>
              <w:bottom w:val="single" w:sz="4" w:space="0" w:color="auto"/>
              <w:right w:val="single" w:sz="4" w:space="0" w:color="auto"/>
            </w:tcBorders>
            <w:hideMark/>
          </w:tcPr>
          <w:p w14:paraId="1CE95791" w14:textId="77777777" w:rsidR="00EB7A81" w:rsidRDefault="00EB7A81" w:rsidP="00641EEB">
            <w:pPr>
              <w:pStyle w:val="TableText10"/>
              <w:rPr>
                <w:sz w:val="22"/>
                <w:szCs w:val="22"/>
                <w:lang w:val="en-GB"/>
              </w:rPr>
            </w:pPr>
            <w:r>
              <w:rPr>
                <w:sz w:val="22"/>
                <w:szCs w:val="22"/>
                <w:lang w:val="en-GB"/>
              </w:rPr>
              <w:t>Nepoznato</w:t>
            </w:r>
          </w:p>
        </w:tc>
      </w:tr>
      <w:tr w:rsidR="00EB7A81" w14:paraId="7E91B5E1" w14:textId="77777777" w:rsidTr="00B05AA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46E52"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4BE92F0F" w14:textId="77777777" w:rsidR="00EB7A81" w:rsidRDefault="00EB7A81" w:rsidP="00641EEB">
            <w:pPr>
              <w:pStyle w:val="TableText10"/>
              <w:rPr>
                <w:sz w:val="22"/>
                <w:szCs w:val="22"/>
                <w:lang w:val="en-GB"/>
              </w:rPr>
            </w:pPr>
            <w:r>
              <w:rPr>
                <w:sz w:val="22"/>
                <w:szCs w:val="22"/>
                <w:lang w:val="en-GB"/>
              </w:rPr>
              <w:t>Insuficijencija bubrega</w:t>
            </w:r>
          </w:p>
        </w:tc>
        <w:tc>
          <w:tcPr>
            <w:tcW w:w="1289" w:type="pct"/>
            <w:tcBorders>
              <w:top w:val="single" w:sz="4" w:space="0" w:color="auto"/>
              <w:left w:val="single" w:sz="4" w:space="0" w:color="auto"/>
              <w:bottom w:val="single" w:sz="4" w:space="0" w:color="auto"/>
              <w:right w:val="single" w:sz="4" w:space="0" w:color="auto"/>
            </w:tcBorders>
            <w:hideMark/>
          </w:tcPr>
          <w:p w14:paraId="4BBF223F" w14:textId="77777777" w:rsidR="00EB7A81" w:rsidRDefault="00EB7A81" w:rsidP="00641EEB">
            <w:pPr>
              <w:pStyle w:val="TableText10"/>
              <w:rPr>
                <w:sz w:val="22"/>
                <w:szCs w:val="22"/>
                <w:lang w:val="en-GB"/>
              </w:rPr>
            </w:pPr>
            <w:r>
              <w:rPr>
                <w:sz w:val="22"/>
                <w:szCs w:val="22"/>
                <w:lang w:val="en-GB"/>
              </w:rPr>
              <w:t>Nepoznato</w:t>
            </w:r>
          </w:p>
        </w:tc>
      </w:tr>
      <w:tr w:rsidR="00EB7A81" w14:paraId="4EE9B1F1" w14:textId="77777777" w:rsidTr="00B05AA9">
        <w:trPr>
          <w:trHeight w:val="285"/>
        </w:trPr>
        <w:tc>
          <w:tcPr>
            <w:tcW w:w="1524" w:type="pct"/>
            <w:vMerge w:val="restart"/>
            <w:tcBorders>
              <w:top w:val="single" w:sz="4" w:space="0" w:color="auto"/>
              <w:left w:val="single" w:sz="4" w:space="0" w:color="auto"/>
              <w:bottom w:val="single" w:sz="4" w:space="0" w:color="auto"/>
              <w:right w:val="single" w:sz="4" w:space="0" w:color="auto"/>
            </w:tcBorders>
            <w:hideMark/>
          </w:tcPr>
          <w:p w14:paraId="36FB87A1" w14:textId="77777777" w:rsidR="00EB7A81" w:rsidRDefault="00EB7A81" w:rsidP="00641EEB">
            <w:pPr>
              <w:pStyle w:val="TableText10"/>
              <w:rPr>
                <w:sz w:val="22"/>
                <w:szCs w:val="22"/>
                <w:lang w:val="pl-PL"/>
              </w:rPr>
            </w:pPr>
            <w:r>
              <w:rPr>
                <w:sz w:val="22"/>
                <w:szCs w:val="22"/>
                <w:lang w:val="pl-PL"/>
              </w:rPr>
              <w:t>Trudnoća, babinje i perinatalni poremećaji</w:t>
            </w:r>
          </w:p>
        </w:tc>
        <w:tc>
          <w:tcPr>
            <w:tcW w:w="2187" w:type="pct"/>
            <w:tcBorders>
              <w:top w:val="single" w:sz="4" w:space="0" w:color="auto"/>
              <w:left w:val="single" w:sz="4" w:space="0" w:color="auto"/>
              <w:bottom w:val="single" w:sz="4" w:space="0" w:color="auto"/>
              <w:right w:val="single" w:sz="4" w:space="0" w:color="auto"/>
            </w:tcBorders>
            <w:hideMark/>
          </w:tcPr>
          <w:p w14:paraId="6A8EEDF3" w14:textId="77777777" w:rsidR="00EB7A81" w:rsidRDefault="00EB7A81" w:rsidP="00641EEB">
            <w:pPr>
              <w:pStyle w:val="TableText10"/>
              <w:rPr>
                <w:sz w:val="22"/>
                <w:szCs w:val="22"/>
                <w:lang w:val="en-GB"/>
              </w:rPr>
            </w:pPr>
            <w:r>
              <w:rPr>
                <w:sz w:val="22"/>
                <w:szCs w:val="22"/>
                <w:lang w:val="en-GB"/>
              </w:rPr>
              <w:t>Oligohidramnija</w:t>
            </w:r>
          </w:p>
        </w:tc>
        <w:tc>
          <w:tcPr>
            <w:tcW w:w="1289" w:type="pct"/>
            <w:tcBorders>
              <w:top w:val="single" w:sz="4" w:space="0" w:color="auto"/>
              <w:left w:val="single" w:sz="4" w:space="0" w:color="auto"/>
              <w:bottom w:val="single" w:sz="4" w:space="0" w:color="auto"/>
              <w:right w:val="single" w:sz="4" w:space="0" w:color="auto"/>
            </w:tcBorders>
            <w:hideMark/>
          </w:tcPr>
          <w:p w14:paraId="084B618A" w14:textId="77777777" w:rsidR="00EB7A81" w:rsidRDefault="00EB7A81" w:rsidP="00641EEB">
            <w:pPr>
              <w:pStyle w:val="TableText10"/>
              <w:rPr>
                <w:sz w:val="22"/>
                <w:szCs w:val="22"/>
                <w:lang w:val="en-GB"/>
              </w:rPr>
            </w:pPr>
            <w:r>
              <w:rPr>
                <w:sz w:val="22"/>
                <w:szCs w:val="22"/>
                <w:lang w:val="en-GB"/>
              </w:rPr>
              <w:t>Nepoznato</w:t>
            </w:r>
          </w:p>
        </w:tc>
      </w:tr>
      <w:tr w:rsidR="00EB7A81" w14:paraId="7B7B7D20" w14:textId="77777777" w:rsidTr="00B05AA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C36FA"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4AB5F926" w14:textId="77777777" w:rsidR="00EB7A81" w:rsidRDefault="00EB7A81" w:rsidP="00641EEB">
            <w:pPr>
              <w:pStyle w:val="TableText10"/>
              <w:rPr>
                <w:sz w:val="22"/>
                <w:szCs w:val="22"/>
                <w:lang w:val="en-GB"/>
              </w:rPr>
            </w:pPr>
            <w:r>
              <w:rPr>
                <w:sz w:val="22"/>
                <w:szCs w:val="22"/>
                <w:lang w:val="en-GB"/>
              </w:rPr>
              <w:t>Renalna hipoplazija</w:t>
            </w:r>
          </w:p>
        </w:tc>
        <w:tc>
          <w:tcPr>
            <w:tcW w:w="1289" w:type="pct"/>
            <w:tcBorders>
              <w:top w:val="single" w:sz="4" w:space="0" w:color="auto"/>
              <w:left w:val="single" w:sz="4" w:space="0" w:color="auto"/>
              <w:bottom w:val="single" w:sz="4" w:space="0" w:color="auto"/>
              <w:right w:val="single" w:sz="4" w:space="0" w:color="auto"/>
            </w:tcBorders>
            <w:hideMark/>
          </w:tcPr>
          <w:p w14:paraId="42240909" w14:textId="77777777" w:rsidR="00EB7A81" w:rsidRDefault="00EB7A81" w:rsidP="00641EEB">
            <w:pPr>
              <w:pStyle w:val="TableText10"/>
              <w:rPr>
                <w:sz w:val="22"/>
                <w:szCs w:val="22"/>
                <w:lang w:val="en-GB"/>
              </w:rPr>
            </w:pPr>
            <w:r>
              <w:rPr>
                <w:sz w:val="22"/>
                <w:szCs w:val="22"/>
                <w:lang w:val="en-GB"/>
              </w:rPr>
              <w:t>Nepoznato</w:t>
            </w:r>
          </w:p>
        </w:tc>
      </w:tr>
      <w:tr w:rsidR="00EB7A81" w14:paraId="7953692B" w14:textId="77777777" w:rsidTr="00B05AA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C332E" w14:textId="77777777" w:rsidR="00EB7A81" w:rsidRDefault="00EB7A81" w:rsidP="00641EEB">
            <w:pPr>
              <w:rPr>
                <w:sz w:val="22"/>
                <w:szCs w:val="22"/>
                <w:lang w:val="pl-PL" w:eastAsia="ja-JP"/>
              </w:rPr>
            </w:pPr>
          </w:p>
        </w:tc>
        <w:tc>
          <w:tcPr>
            <w:tcW w:w="2187" w:type="pct"/>
            <w:tcBorders>
              <w:top w:val="single" w:sz="4" w:space="0" w:color="auto"/>
              <w:left w:val="single" w:sz="4" w:space="0" w:color="auto"/>
              <w:bottom w:val="single" w:sz="4" w:space="0" w:color="auto"/>
              <w:right w:val="single" w:sz="4" w:space="0" w:color="auto"/>
            </w:tcBorders>
            <w:hideMark/>
          </w:tcPr>
          <w:p w14:paraId="76C43D9B" w14:textId="77777777" w:rsidR="00EB7A81" w:rsidRDefault="00EB7A81" w:rsidP="00641EEB">
            <w:pPr>
              <w:pStyle w:val="TableText10"/>
              <w:rPr>
                <w:sz w:val="22"/>
                <w:szCs w:val="22"/>
                <w:lang w:val="en-GB"/>
              </w:rPr>
            </w:pPr>
            <w:r>
              <w:rPr>
                <w:sz w:val="22"/>
                <w:szCs w:val="22"/>
                <w:lang w:val="en-GB"/>
              </w:rPr>
              <w:t>Pulmonalna hipoplazija</w:t>
            </w:r>
          </w:p>
        </w:tc>
        <w:tc>
          <w:tcPr>
            <w:tcW w:w="1289" w:type="pct"/>
            <w:tcBorders>
              <w:top w:val="single" w:sz="4" w:space="0" w:color="auto"/>
              <w:left w:val="single" w:sz="4" w:space="0" w:color="auto"/>
              <w:bottom w:val="single" w:sz="4" w:space="0" w:color="auto"/>
              <w:right w:val="single" w:sz="4" w:space="0" w:color="auto"/>
            </w:tcBorders>
            <w:hideMark/>
          </w:tcPr>
          <w:p w14:paraId="617C519A" w14:textId="77777777" w:rsidR="00EB7A81" w:rsidRDefault="00EB7A81" w:rsidP="00641EEB">
            <w:pPr>
              <w:pStyle w:val="TableText10"/>
              <w:rPr>
                <w:sz w:val="22"/>
                <w:szCs w:val="22"/>
                <w:lang w:val="en-GB"/>
              </w:rPr>
            </w:pPr>
            <w:r>
              <w:rPr>
                <w:sz w:val="22"/>
                <w:szCs w:val="22"/>
                <w:lang w:val="en-GB"/>
              </w:rPr>
              <w:t>Nepoznato</w:t>
            </w:r>
          </w:p>
        </w:tc>
      </w:tr>
      <w:tr w:rsidR="00EB7A81" w14:paraId="21B6A66D" w14:textId="77777777" w:rsidTr="00B05AA9">
        <w:trPr>
          <w:trHeight w:val="260"/>
        </w:trPr>
        <w:tc>
          <w:tcPr>
            <w:tcW w:w="1524" w:type="pct"/>
            <w:tcBorders>
              <w:top w:val="single" w:sz="4" w:space="0" w:color="auto"/>
              <w:left w:val="single" w:sz="4" w:space="0" w:color="auto"/>
              <w:bottom w:val="single" w:sz="4" w:space="0" w:color="auto"/>
              <w:right w:val="single" w:sz="4" w:space="0" w:color="auto"/>
            </w:tcBorders>
            <w:hideMark/>
          </w:tcPr>
          <w:p w14:paraId="0FF689DD" w14:textId="77777777" w:rsidR="00EB7A81" w:rsidRDefault="00EB7A81" w:rsidP="00641EEB">
            <w:pPr>
              <w:pStyle w:val="TableText10"/>
              <w:rPr>
                <w:sz w:val="22"/>
                <w:szCs w:val="22"/>
                <w:lang w:val="pt-BR"/>
              </w:rPr>
            </w:pPr>
            <w:r>
              <w:rPr>
                <w:sz w:val="22"/>
                <w:szCs w:val="22"/>
                <w:lang w:val="pt-BR"/>
              </w:rPr>
              <w:t>Poremećaji reproduktivnog sistema i dojki</w:t>
            </w:r>
          </w:p>
        </w:tc>
        <w:tc>
          <w:tcPr>
            <w:tcW w:w="2187" w:type="pct"/>
            <w:tcBorders>
              <w:top w:val="single" w:sz="4" w:space="0" w:color="auto"/>
              <w:left w:val="single" w:sz="4" w:space="0" w:color="auto"/>
              <w:bottom w:val="single" w:sz="4" w:space="0" w:color="auto"/>
              <w:right w:val="single" w:sz="4" w:space="0" w:color="auto"/>
            </w:tcBorders>
            <w:hideMark/>
          </w:tcPr>
          <w:p w14:paraId="0013A4DA" w14:textId="77777777" w:rsidR="00EB7A81" w:rsidRDefault="00EB7A81" w:rsidP="00641EEB">
            <w:pPr>
              <w:pStyle w:val="TableText10"/>
              <w:rPr>
                <w:sz w:val="22"/>
                <w:szCs w:val="22"/>
                <w:lang w:val="en-GB"/>
              </w:rPr>
            </w:pPr>
            <w:r>
              <w:rPr>
                <w:sz w:val="22"/>
                <w:szCs w:val="22"/>
                <w:lang w:val="en-GB"/>
              </w:rPr>
              <w:t>Zapaljenje dojki/mastits</w:t>
            </w:r>
          </w:p>
        </w:tc>
        <w:tc>
          <w:tcPr>
            <w:tcW w:w="1289" w:type="pct"/>
            <w:tcBorders>
              <w:top w:val="single" w:sz="4" w:space="0" w:color="auto"/>
              <w:left w:val="single" w:sz="4" w:space="0" w:color="auto"/>
              <w:bottom w:val="single" w:sz="4" w:space="0" w:color="auto"/>
              <w:right w:val="single" w:sz="4" w:space="0" w:color="auto"/>
            </w:tcBorders>
            <w:hideMark/>
          </w:tcPr>
          <w:p w14:paraId="0CA7F034" w14:textId="77777777" w:rsidR="00EB7A81" w:rsidRDefault="00EB7A81" w:rsidP="00641EEB">
            <w:pPr>
              <w:pStyle w:val="TableText10"/>
              <w:rPr>
                <w:sz w:val="22"/>
                <w:szCs w:val="22"/>
                <w:lang w:val="en-GB"/>
              </w:rPr>
            </w:pPr>
            <w:r>
              <w:rPr>
                <w:sz w:val="22"/>
                <w:szCs w:val="22"/>
                <w:lang w:val="en-GB"/>
              </w:rPr>
              <w:t>Često</w:t>
            </w:r>
          </w:p>
        </w:tc>
      </w:tr>
      <w:tr w:rsidR="00EB7A81" w14:paraId="1049CCE3" w14:textId="77777777" w:rsidTr="00B05AA9">
        <w:trPr>
          <w:trHeight w:val="261"/>
        </w:trPr>
        <w:tc>
          <w:tcPr>
            <w:tcW w:w="1524" w:type="pct"/>
            <w:vMerge w:val="restart"/>
            <w:tcBorders>
              <w:top w:val="single" w:sz="4" w:space="0" w:color="auto"/>
              <w:left w:val="single" w:sz="4" w:space="0" w:color="auto"/>
              <w:bottom w:val="single" w:sz="4" w:space="0" w:color="auto"/>
              <w:right w:val="single" w:sz="4" w:space="0" w:color="auto"/>
            </w:tcBorders>
            <w:hideMark/>
          </w:tcPr>
          <w:p w14:paraId="771B792E" w14:textId="77777777" w:rsidR="00EB7A81" w:rsidRDefault="00EB7A81" w:rsidP="00641EEB">
            <w:pPr>
              <w:pStyle w:val="TableText10"/>
              <w:rPr>
                <w:sz w:val="22"/>
                <w:szCs w:val="22"/>
                <w:lang w:val="pt-BR"/>
              </w:rPr>
            </w:pPr>
            <w:r>
              <w:rPr>
                <w:sz w:val="22"/>
                <w:szCs w:val="22"/>
                <w:lang w:val="pt-BR"/>
              </w:rPr>
              <w:lastRenderedPageBreak/>
              <w:t>Opšti poremećaji i reakcije na mjestu primjene</w:t>
            </w:r>
          </w:p>
        </w:tc>
        <w:tc>
          <w:tcPr>
            <w:tcW w:w="2187" w:type="pct"/>
            <w:tcBorders>
              <w:top w:val="single" w:sz="4" w:space="0" w:color="auto"/>
              <w:left w:val="single" w:sz="4" w:space="0" w:color="auto"/>
              <w:bottom w:val="single" w:sz="4" w:space="0" w:color="auto"/>
              <w:right w:val="single" w:sz="4" w:space="0" w:color="auto"/>
            </w:tcBorders>
            <w:hideMark/>
          </w:tcPr>
          <w:p w14:paraId="7404E2AD" w14:textId="77777777" w:rsidR="00EB7A81" w:rsidRDefault="00EB7A81" w:rsidP="00641EEB">
            <w:pPr>
              <w:pStyle w:val="TableText10"/>
              <w:rPr>
                <w:sz w:val="22"/>
                <w:szCs w:val="22"/>
                <w:lang w:val="en-GB"/>
              </w:rPr>
            </w:pPr>
            <w:r>
              <w:rPr>
                <w:sz w:val="22"/>
                <w:szCs w:val="22"/>
                <w:lang w:val="en-GB"/>
              </w:rPr>
              <w:t>Astenija</w:t>
            </w:r>
          </w:p>
        </w:tc>
        <w:tc>
          <w:tcPr>
            <w:tcW w:w="1289" w:type="pct"/>
            <w:tcBorders>
              <w:top w:val="single" w:sz="4" w:space="0" w:color="auto"/>
              <w:left w:val="single" w:sz="4" w:space="0" w:color="auto"/>
              <w:bottom w:val="single" w:sz="4" w:space="0" w:color="auto"/>
              <w:right w:val="single" w:sz="4" w:space="0" w:color="auto"/>
            </w:tcBorders>
            <w:hideMark/>
          </w:tcPr>
          <w:p w14:paraId="7A79088C" w14:textId="77777777" w:rsidR="00EB7A81" w:rsidRDefault="00EB7A81" w:rsidP="00641EEB">
            <w:pPr>
              <w:pStyle w:val="TableText10"/>
              <w:rPr>
                <w:sz w:val="22"/>
                <w:szCs w:val="22"/>
                <w:lang w:val="en-GB"/>
              </w:rPr>
            </w:pPr>
            <w:r>
              <w:rPr>
                <w:sz w:val="22"/>
                <w:szCs w:val="22"/>
                <w:lang w:val="en-GB"/>
              </w:rPr>
              <w:t>Vrlo često</w:t>
            </w:r>
          </w:p>
        </w:tc>
      </w:tr>
      <w:tr w:rsidR="00EB7A81" w14:paraId="6A5B297B" w14:textId="77777777" w:rsidTr="00B05AA9">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5D4D6" w14:textId="77777777" w:rsidR="00EB7A81" w:rsidRDefault="00EB7A81" w:rsidP="00641EEB">
            <w:pPr>
              <w:rPr>
                <w:sz w:val="22"/>
                <w:szCs w:val="22"/>
                <w:lang w:val="pt-BR" w:eastAsia="ja-JP"/>
              </w:rPr>
            </w:pPr>
          </w:p>
        </w:tc>
        <w:tc>
          <w:tcPr>
            <w:tcW w:w="2187" w:type="pct"/>
            <w:tcBorders>
              <w:top w:val="single" w:sz="4" w:space="0" w:color="auto"/>
              <w:left w:val="single" w:sz="4" w:space="0" w:color="auto"/>
              <w:bottom w:val="single" w:sz="4" w:space="0" w:color="auto"/>
              <w:right w:val="single" w:sz="4" w:space="0" w:color="auto"/>
            </w:tcBorders>
            <w:hideMark/>
          </w:tcPr>
          <w:p w14:paraId="640314AB" w14:textId="77777777" w:rsidR="00EB7A81" w:rsidRDefault="00EB7A81" w:rsidP="00641EEB">
            <w:pPr>
              <w:pStyle w:val="TableText10"/>
              <w:rPr>
                <w:sz w:val="22"/>
                <w:szCs w:val="22"/>
                <w:lang w:val="en-GB"/>
              </w:rPr>
            </w:pPr>
            <w:r>
              <w:rPr>
                <w:sz w:val="22"/>
                <w:szCs w:val="22"/>
                <w:lang w:val="en-GB"/>
              </w:rPr>
              <w:t>Bol u grudnom košu</w:t>
            </w:r>
          </w:p>
        </w:tc>
        <w:tc>
          <w:tcPr>
            <w:tcW w:w="1289" w:type="pct"/>
            <w:tcBorders>
              <w:top w:val="single" w:sz="4" w:space="0" w:color="auto"/>
              <w:left w:val="single" w:sz="4" w:space="0" w:color="auto"/>
              <w:bottom w:val="single" w:sz="4" w:space="0" w:color="auto"/>
              <w:right w:val="single" w:sz="4" w:space="0" w:color="auto"/>
            </w:tcBorders>
            <w:hideMark/>
          </w:tcPr>
          <w:p w14:paraId="653CD8EF" w14:textId="77777777" w:rsidR="00EB7A81" w:rsidRDefault="00EB7A81" w:rsidP="00641EEB">
            <w:pPr>
              <w:pStyle w:val="TableText10"/>
              <w:rPr>
                <w:sz w:val="22"/>
                <w:szCs w:val="22"/>
                <w:lang w:val="en-GB"/>
              </w:rPr>
            </w:pPr>
            <w:r>
              <w:rPr>
                <w:sz w:val="22"/>
                <w:szCs w:val="22"/>
                <w:lang w:val="en-GB"/>
              </w:rPr>
              <w:t>Vrlo često</w:t>
            </w:r>
          </w:p>
        </w:tc>
      </w:tr>
      <w:tr w:rsidR="00EB7A81" w14:paraId="151A9012" w14:textId="77777777" w:rsidTr="00B05AA9">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339A9" w14:textId="77777777" w:rsidR="00EB7A81" w:rsidRDefault="00EB7A81" w:rsidP="00641EEB">
            <w:pPr>
              <w:rPr>
                <w:sz w:val="22"/>
                <w:szCs w:val="22"/>
                <w:lang w:val="pt-BR" w:eastAsia="ja-JP"/>
              </w:rPr>
            </w:pPr>
          </w:p>
        </w:tc>
        <w:tc>
          <w:tcPr>
            <w:tcW w:w="2187" w:type="pct"/>
            <w:tcBorders>
              <w:top w:val="single" w:sz="4" w:space="0" w:color="auto"/>
              <w:left w:val="single" w:sz="4" w:space="0" w:color="auto"/>
              <w:bottom w:val="single" w:sz="4" w:space="0" w:color="auto"/>
              <w:right w:val="single" w:sz="4" w:space="0" w:color="auto"/>
            </w:tcBorders>
            <w:hideMark/>
          </w:tcPr>
          <w:p w14:paraId="01D7EA68" w14:textId="77777777" w:rsidR="00EB7A81" w:rsidRDefault="00EB7A81" w:rsidP="00641EEB">
            <w:pPr>
              <w:pStyle w:val="TableText10"/>
              <w:rPr>
                <w:sz w:val="22"/>
                <w:szCs w:val="22"/>
                <w:lang w:val="en-GB"/>
              </w:rPr>
            </w:pPr>
            <w:r>
              <w:rPr>
                <w:sz w:val="22"/>
                <w:szCs w:val="22"/>
                <w:lang w:val="en-GB"/>
              </w:rPr>
              <w:t>Groznica</w:t>
            </w:r>
          </w:p>
        </w:tc>
        <w:tc>
          <w:tcPr>
            <w:tcW w:w="1289" w:type="pct"/>
            <w:tcBorders>
              <w:top w:val="single" w:sz="4" w:space="0" w:color="auto"/>
              <w:left w:val="single" w:sz="4" w:space="0" w:color="auto"/>
              <w:bottom w:val="single" w:sz="4" w:space="0" w:color="auto"/>
              <w:right w:val="single" w:sz="4" w:space="0" w:color="auto"/>
            </w:tcBorders>
            <w:hideMark/>
          </w:tcPr>
          <w:p w14:paraId="53483B5F" w14:textId="77777777" w:rsidR="00EB7A81" w:rsidRDefault="00EB7A81" w:rsidP="00641EEB">
            <w:pPr>
              <w:pStyle w:val="TableText10"/>
              <w:rPr>
                <w:sz w:val="22"/>
                <w:szCs w:val="22"/>
                <w:lang w:val="en-GB"/>
              </w:rPr>
            </w:pPr>
            <w:r>
              <w:rPr>
                <w:sz w:val="22"/>
                <w:szCs w:val="22"/>
                <w:lang w:val="en-GB"/>
              </w:rPr>
              <w:t>Vrlo često</w:t>
            </w:r>
          </w:p>
        </w:tc>
      </w:tr>
      <w:tr w:rsidR="00EB7A81" w14:paraId="773EDF30" w14:textId="77777777" w:rsidTr="00B05AA9">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5C3E1" w14:textId="77777777" w:rsidR="00EB7A81" w:rsidRDefault="00EB7A81" w:rsidP="00641EEB">
            <w:pPr>
              <w:rPr>
                <w:sz w:val="22"/>
                <w:szCs w:val="22"/>
                <w:lang w:val="pt-BR"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9085133" w14:textId="77777777" w:rsidR="00EB7A81" w:rsidRDefault="00EB7A81" w:rsidP="00641EEB">
            <w:pPr>
              <w:pStyle w:val="TableText10"/>
              <w:rPr>
                <w:sz w:val="22"/>
                <w:szCs w:val="22"/>
                <w:lang w:val="en-GB"/>
              </w:rPr>
            </w:pPr>
            <w:r>
              <w:rPr>
                <w:sz w:val="22"/>
                <w:szCs w:val="22"/>
                <w:lang w:val="en-GB"/>
              </w:rPr>
              <w:t>Umor</w:t>
            </w:r>
          </w:p>
        </w:tc>
        <w:tc>
          <w:tcPr>
            <w:tcW w:w="1289" w:type="pct"/>
            <w:tcBorders>
              <w:top w:val="single" w:sz="4" w:space="0" w:color="auto"/>
              <w:left w:val="single" w:sz="4" w:space="0" w:color="auto"/>
              <w:bottom w:val="single" w:sz="4" w:space="0" w:color="auto"/>
              <w:right w:val="single" w:sz="4" w:space="0" w:color="auto"/>
            </w:tcBorders>
            <w:hideMark/>
          </w:tcPr>
          <w:p w14:paraId="2F1FEFCA" w14:textId="77777777" w:rsidR="00EB7A81" w:rsidRDefault="00EB7A81" w:rsidP="00641EEB">
            <w:pPr>
              <w:pStyle w:val="TableText10"/>
              <w:rPr>
                <w:sz w:val="22"/>
                <w:szCs w:val="22"/>
                <w:lang w:val="en-GB"/>
              </w:rPr>
            </w:pPr>
            <w:r>
              <w:rPr>
                <w:sz w:val="22"/>
                <w:szCs w:val="22"/>
                <w:lang w:val="en-GB"/>
              </w:rPr>
              <w:t>Vrlo često</w:t>
            </w:r>
          </w:p>
        </w:tc>
      </w:tr>
      <w:tr w:rsidR="00EB7A81" w14:paraId="76374E81" w14:textId="77777777" w:rsidTr="00B05AA9">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5273A" w14:textId="77777777" w:rsidR="00EB7A81" w:rsidRDefault="00EB7A81" w:rsidP="00641EEB">
            <w:pPr>
              <w:rPr>
                <w:sz w:val="22"/>
                <w:szCs w:val="22"/>
                <w:lang w:val="pt-BR" w:eastAsia="ja-JP"/>
              </w:rPr>
            </w:pPr>
          </w:p>
        </w:tc>
        <w:tc>
          <w:tcPr>
            <w:tcW w:w="2187" w:type="pct"/>
            <w:tcBorders>
              <w:top w:val="single" w:sz="4" w:space="0" w:color="auto"/>
              <w:left w:val="single" w:sz="4" w:space="0" w:color="auto"/>
              <w:bottom w:val="single" w:sz="4" w:space="0" w:color="auto"/>
              <w:right w:val="single" w:sz="4" w:space="0" w:color="auto"/>
            </w:tcBorders>
            <w:hideMark/>
          </w:tcPr>
          <w:p w14:paraId="5ABEC066" w14:textId="77777777" w:rsidR="00EB7A81" w:rsidRDefault="00EB7A81" w:rsidP="00641EEB">
            <w:pPr>
              <w:pStyle w:val="TableText10"/>
              <w:rPr>
                <w:sz w:val="22"/>
                <w:szCs w:val="22"/>
                <w:lang w:val="en-GB"/>
              </w:rPr>
            </w:pPr>
            <w:r>
              <w:rPr>
                <w:sz w:val="22"/>
                <w:szCs w:val="22"/>
                <w:lang w:val="en-GB"/>
              </w:rPr>
              <w:t>Simptomi slični gripu</w:t>
            </w:r>
          </w:p>
        </w:tc>
        <w:tc>
          <w:tcPr>
            <w:tcW w:w="1289" w:type="pct"/>
            <w:tcBorders>
              <w:top w:val="single" w:sz="4" w:space="0" w:color="auto"/>
              <w:left w:val="single" w:sz="4" w:space="0" w:color="auto"/>
              <w:bottom w:val="single" w:sz="4" w:space="0" w:color="auto"/>
              <w:right w:val="single" w:sz="4" w:space="0" w:color="auto"/>
            </w:tcBorders>
            <w:hideMark/>
          </w:tcPr>
          <w:p w14:paraId="62E7EB35" w14:textId="77777777" w:rsidR="00EB7A81" w:rsidRDefault="00EB7A81" w:rsidP="00641EEB">
            <w:pPr>
              <w:pStyle w:val="TableText10"/>
              <w:rPr>
                <w:sz w:val="22"/>
                <w:szCs w:val="22"/>
                <w:lang w:val="en-GB"/>
              </w:rPr>
            </w:pPr>
            <w:r>
              <w:rPr>
                <w:sz w:val="22"/>
                <w:szCs w:val="22"/>
                <w:lang w:val="en-GB"/>
              </w:rPr>
              <w:t>Vrlo često</w:t>
            </w:r>
          </w:p>
        </w:tc>
      </w:tr>
      <w:tr w:rsidR="00EB7A81" w14:paraId="79A6319F"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BAD8A" w14:textId="77777777" w:rsidR="00EB7A81" w:rsidRDefault="00EB7A81" w:rsidP="00641EEB">
            <w:pPr>
              <w:rPr>
                <w:sz w:val="22"/>
                <w:szCs w:val="22"/>
                <w:lang w:val="pt-BR" w:eastAsia="ja-JP"/>
              </w:rPr>
            </w:pPr>
          </w:p>
        </w:tc>
        <w:tc>
          <w:tcPr>
            <w:tcW w:w="2187" w:type="pct"/>
            <w:tcBorders>
              <w:top w:val="single" w:sz="4" w:space="0" w:color="auto"/>
              <w:left w:val="single" w:sz="4" w:space="0" w:color="auto"/>
              <w:bottom w:val="single" w:sz="4" w:space="0" w:color="auto"/>
              <w:right w:val="single" w:sz="4" w:space="0" w:color="auto"/>
            </w:tcBorders>
            <w:hideMark/>
          </w:tcPr>
          <w:p w14:paraId="1ACD5895" w14:textId="77777777" w:rsidR="00EB7A81" w:rsidRDefault="00EB7A81" w:rsidP="00641EEB">
            <w:pPr>
              <w:pStyle w:val="TableText10"/>
              <w:rPr>
                <w:sz w:val="22"/>
                <w:szCs w:val="22"/>
                <w:lang w:val="en-GB"/>
              </w:rPr>
            </w:pPr>
            <w:r>
              <w:rPr>
                <w:sz w:val="22"/>
                <w:szCs w:val="22"/>
                <w:lang w:val="en-GB"/>
              </w:rPr>
              <w:t>Reakcije na infuziju</w:t>
            </w:r>
          </w:p>
        </w:tc>
        <w:tc>
          <w:tcPr>
            <w:tcW w:w="1289" w:type="pct"/>
            <w:tcBorders>
              <w:top w:val="single" w:sz="4" w:space="0" w:color="auto"/>
              <w:left w:val="single" w:sz="4" w:space="0" w:color="auto"/>
              <w:bottom w:val="single" w:sz="4" w:space="0" w:color="auto"/>
              <w:right w:val="single" w:sz="4" w:space="0" w:color="auto"/>
            </w:tcBorders>
            <w:hideMark/>
          </w:tcPr>
          <w:p w14:paraId="52CC109D" w14:textId="77777777" w:rsidR="00EB7A81" w:rsidRDefault="00EB7A81" w:rsidP="00641EEB">
            <w:pPr>
              <w:pStyle w:val="TableText10"/>
              <w:rPr>
                <w:sz w:val="22"/>
                <w:szCs w:val="22"/>
                <w:lang w:val="en-GB"/>
              </w:rPr>
            </w:pPr>
            <w:r>
              <w:rPr>
                <w:sz w:val="22"/>
                <w:szCs w:val="22"/>
                <w:lang w:val="en-GB"/>
              </w:rPr>
              <w:t>Vrlo često</w:t>
            </w:r>
          </w:p>
        </w:tc>
      </w:tr>
      <w:tr w:rsidR="00EB7A81" w14:paraId="1CF79F23" w14:textId="77777777" w:rsidTr="00B05AA9">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A91C0" w14:textId="77777777" w:rsidR="00EB7A81" w:rsidRDefault="00EB7A81" w:rsidP="00641EEB">
            <w:pPr>
              <w:rPr>
                <w:sz w:val="22"/>
                <w:szCs w:val="22"/>
                <w:lang w:val="pt-BR" w:eastAsia="ja-JP"/>
              </w:rPr>
            </w:pPr>
          </w:p>
        </w:tc>
        <w:tc>
          <w:tcPr>
            <w:tcW w:w="2187" w:type="pct"/>
            <w:tcBorders>
              <w:top w:val="single" w:sz="4" w:space="0" w:color="auto"/>
              <w:left w:val="single" w:sz="4" w:space="0" w:color="auto"/>
              <w:bottom w:val="single" w:sz="4" w:space="0" w:color="auto"/>
              <w:right w:val="single" w:sz="4" w:space="0" w:color="auto"/>
            </w:tcBorders>
            <w:hideMark/>
          </w:tcPr>
          <w:p w14:paraId="31466FA8" w14:textId="77777777" w:rsidR="00EB7A81" w:rsidRDefault="00EB7A81" w:rsidP="00641EEB">
            <w:pPr>
              <w:pStyle w:val="TableText10"/>
              <w:rPr>
                <w:sz w:val="22"/>
                <w:szCs w:val="22"/>
                <w:lang w:val="en-GB"/>
              </w:rPr>
            </w:pPr>
            <w:r>
              <w:rPr>
                <w:sz w:val="22"/>
                <w:szCs w:val="22"/>
                <w:lang w:val="en-GB"/>
              </w:rPr>
              <w:t>Bol</w:t>
            </w:r>
          </w:p>
        </w:tc>
        <w:tc>
          <w:tcPr>
            <w:tcW w:w="1289" w:type="pct"/>
            <w:tcBorders>
              <w:top w:val="single" w:sz="4" w:space="0" w:color="auto"/>
              <w:left w:val="single" w:sz="4" w:space="0" w:color="auto"/>
              <w:bottom w:val="single" w:sz="4" w:space="0" w:color="auto"/>
              <w:right w:val="single" w:sz="4" w:space="0" w:color="auto"/>
            </w:tcBorders>
            <w:hideMark/>
          </w:tcPr>
          <w:p w14:paraId="76365213" w14:textId="77777777" w:rsidR="00EB7A81" w:rsidRDefault="00EB7A81" w:rsidP="00641EEB">
            <w:pPr>
              <w:pStyle w:val="TableText10"/>
              <w:rPr>
                <w:sz w:val="22"/>
                <w:szCs w:val="22"/>
                <w:lang w:val="en-GB"/>
              </w:rPr>
            </w:pPr>
            <w:r>
              <w:rPr>
                <w:sz w:val="22"/>
                <w:szCs w:val="22"/>
                <w:lang w:val="en-GB"/>
              </w:rPr>
              <w:t>Vrlo često</w:t>
            </w:r>
          </w:p>
        </w:tc>
      </w:tr>
      <w:tr w:rsidR="00EB7A81" w14:paraId="094C5E98" w14:textId="77777777" w:rsidTr="00B05AA9">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0BB7C" w14:textId="77777777" w:rsidR="00EB7A81" w:rsidRDefault="00EB7A81" w:rsidP="00641EEB">
            <w:pPr>
              <w:rPr>
                <w:sz w:val="22"/>
                <w:szCs w:val="22"/>
                <w:lang w:val="pt-BR" w:eastAsia="ja-JP"/>
              </w:rPr>
            </w:pPr>
          </w:p>
        </w:tc>
        <w:tc>
          <w:tcPr>
            <w:tcW w:w="2187" w:type="pct"/>
            <w:tcBorders>
              <w:top w:val="single" w:sz="4" w:space="0" w:color="auto"/>
              <w:left w:val="single" w:sz="4" w:space="0" w:color="auto"/>
              <w:bottom w:val="single" w:sz="4" w:space="0" w:color="auto"/>
              <w:right w:val="single" w:sz="4" w:space="0" w:color="auto"/>
            </w:tcBorders>
            <w:hideMark/>
          </w:tcPr>
          <w:p w14:paraId="4B455F9C" w14:textId="77777777" w:rsidR="00EB7A81" w:rsidRDefault="00EB7A81" w:rsidP="00641EEB">
            <w:pPr>
              <w:pStyle w:val="TableText10"/>
              <w:rPr>
                <w:sz w:val="22"/>
                <w:szCs w:val="22"/>
                <w:lang w:val="en-GB"/>
              </w:rPr>
            </w:pPr>
            <w:r>
              <w:rPr>
                <w:sz w:val="22"/>
                <w:szCs w:val="22"/>
                <w:lang w:val="en-GB"/>
              </w:rPr>
              <w:t>Pireksija</w:t>
            </w:r>
          </w:p>
        </w:tc>
        <w:tc>
          <w:tcPr>
            <w:tcW w:w="1289" w:type="pct"/>
            <w:tcBorders>
              <w:top w:val="single" w:sz="4" w:space="0" w:color="auto"/>
              <w:left w:val="single" w:sz="4" w:space="0" w:color="auto"/>
              <w:bottom w:val="single" w:sz="4" w:space="0" w:color="auto"/>
              <w:right w:val="single" w:sz="4" w:space="0" w:color="auto"/>
            </w:tcBorders>
            <w:hideMark/>
          </w:tcPr>
          <w:p w14:paraId="3F71BC2A" w14:textId="77777777" w:rsidR="00EB7A81" w:rsidRDefault="00EB7A81" w:rsidP="00641EEB">
            <w:pPr>
              <w:pStyle w:val="TableText10"/>
              <w:rPr>
                <w:sz w:val="22"/>
                <w:szCs w:val="22"/>
                <w:lang w:val="en-GB"/>
              </w:rPr>
            </w:pPr>
            <w:r>
              <w:rPr>
                <w:sz w:val="22"/>
                <w:szCs w:val="22"/>
                <w:lang w:val="en-GB"/>
              </w:rPr>
              <w:t>Vrlo često</w:t>
            </w:r>
          </w:p>
        </w:tc>
      </w:tr>
      <w:tr w:rsidR="00EB7A81" w14:paraId="1BADE6F8" w14:textId="77777777" w:rsidTr="00B05AA9">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59DB2" w14:textId="77777777" w:rsidR="00EB7A81" w:rsidRDefault="00EB7A81" w:rsidP="00641EEB">
            <w:pPr>
              <w:rPr>
                <w:sz w:val="22"/>
                <w:szCs w:val="22"/>
                <w:lang w:val="pt-BR" w:eastAsia="ja-JP"/>
              </w:rPr>
            </w:pPr>
          </w:p>
        </w:tc>
        <w:tc>
          <w:tcPr>
            <w:tcW w:w="2187" w:type="pct"/>
            <w:tcBorders>
              <w:top w:val="single" w:sz="4" w:space="0" w:color="auto"/>
              <w:left w:val="single" w:sz="4" w:space="0" w:color="auto"/>
              <w:bottom w:val="single" w:sz="4" w:space="0" w:color="auto"/>
              <w:right w:val="single" w:sz="4" w:space="0" w:color="auto"/>
            </w:tcBorders>
            <w:hideMark/>
          </w:tcPr>
          <w:p w14:paraId="0B0FA383" w14:textId="77777777" w:rsidR="00EB7A81" w:rsidRDefault="00EB7A81" w:rsidP="00641EEB">
            <w:pPr>
              <w:pStyle w:val="TableText10"/>
              <w:rPr>
                <w:sz w:val="22"/>
                <w:szCs w:val="22"/>
                <w:lang w:val="en-GB"/>
              </w:rPr>
            </w:pPr>
            <w:r>
              <w:rPr>
                <w:sz w:val="22"/>
                <w:szCs w:val="22"/>
                <w:lang w:val="en-GB"/>
              </w:rPr>
              <w:t>Zapaljenje sluznica</w:t>
            </w:r>
          </w:p>
        </w:tc>
        <w:tc>
          <w:tcPr>
            <w:tcW w:w="1289" w:type="pct"/>
            <w:tcBorders>
              <w:top w:val="single" w:sz="4" w:space="0" w:color="auto"/>
              <w:left w:val="single" w:sz="4" w:space="0" w:color="auto"/>
              <w:bottom w:val="single" w:sz="4" w:space="0" w:color="auto"/>
              <w:right w:val="single" w:sz="4" w:space="0" w:color="auto"/>
            </w:tcBorders>
            <w:hideMark/>
          </w:tcPr>
          <w:p w14:paraId="72009701" w14:textId="77777777" w:rsidR="00EB7A81" w:rsidRDefault="00EB7A81" w:rsidP="00641EEB">
            <w:pPr>
              <w:pStyle w:val="TableText10"/>
              <w:rPr>
                <w:sz w:val="22"/>
                <w:szCs w:val="22"/>
                <w:lang w:val="en-GB"/>
              </w:rPr>
            </w:pPr>
            <w:r>
              <w:rPr>
                <w:sz w:val="22"/>
                <w:szCs w:val="22"/>
                <w:lang w:val="en-GB"/>
              </w:rPr>
              <w:t>Vrlo često</w:t>
            </w:r>
          </w:p>
        </w:tc>
      </w:tr>
      <w:tr w:rsidR="00EB7A81" w14:paraId="1DA004D4" w14:textId="77777777" w:rsidTr="00B05AA9">
        <w:trPr>
          <w:trHeight w:val="1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27741" w14:textId="77777777" w:rsidR="00EB7A81" w:rsidRDefault="00EB7A81" w:rsidP="00641EEB">
            <w:pPr>
              <w:rPr>
                <w:sz w:val="22"/>
                <w:szCs w:val="22"/>
                <w:lang w:val="pt-BR" w:eastAsia="ja-JP"/>
              </w:rPr>
            </w:pPr>
          </w:p>
        </w:tc>
        <w:tc>
          <w:tcPr>
            <w:tcW w:w="2187" w:type="pct"/>
            <w:tcBorders>
              <w:top w:val="single" w:sz="4" w:space="0" w:color="auto"/>
              <w:left w:val="single" w:sz="4" w:space="0" w:color="auto"/>
              <w:bottom w:val="single" w:sz="4" w:space="0" w:color="auto"/>
              <w:right w:val="single" w:sz="4" w:space="0" w:color="auto"/>
            </w:tcBorders>
            <w:hideMark/>
          </w:tcPr>
          <w:p w14:paraId="1D25FD8A" w14:textId="77777777" w:rsidR="00EB7A81" w:rsidRDefault="00EB7A81" w:rsidP="00641EEB">
            <w:pPr>
              <w:pStyle w:val="TableText10"/>
              <w:rPr>
                <w:sz w:val="22"/>
                <w:szCs w:val="22"/>
                <w:lang w:val="en-GB"/>
              </w:rPr>
            </w:pPr>
            <w:r>
              <w:rPr>
                <w:sz w:val="22"/>
                <w:szCs w:val="22"/>
                <w:lang w:val="en-GB"/>
              </w:rPr>
              <w:t>Periferni edemi</w:t>
            </w:r>
          </w:p>
        </w:tc>
        <w:tc>
          <w:tcPr>
            <w:tcW w:w="1289" w:type="pct"/>
            <w:tcBorders>
              <w:top w:val="single" w:sz="4" w:space="0" w:color="auto"/>
              <w:left w:val="single" w:sz="4" w:space="0" w:color="auto"/>
              <w:bottom w:val="single" w:sz="4" w:space="0" w:color="auto"/>
              <w:right w:val="single" w:sz="4" w:space="0" w:color="auto"/>
            </w:tcBorders>
            <w:hideMark/>
          </w:tcPr>
          <w:p w14:paraId="557C5399" w14:textId="77777777" w:rsidR="00EB7A81" w:rsidRDefault="00EB7A81" w:rsidP="00641EEB">
            <w:pPr>
              <w:pStyle w:val="TableText10"/>
              <w:rPr>
                <w:sz w:val="22"/>
                <w:szCs w:val="22"/>
                <w:lang w:val="en-GB"/>
              </w:rPr>
            </w:pPr>
            <w:r>
              <w:rPr>
                <w:sz w:val="22"/>
                <w:szCs w:val="22"/>
                <w:lang w:val="en-GB"/>
              </w:rPr>
              <w:t>Vrlo često</w:t>
            </w:r>
          </w:p>
        </w:tc>
      </w:tr>
      <w:tr w:rsidR="00EB7A81" w14:paraId="0A2EF447" w14:textId="77777777" w:rsidTr="00B05AA9">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5F03D" w14:textId="77777777" w:rsidR="00EB7A81" w:rsidRDefault="00EB7A81" w:rsidP="00641EEB">
            <w:pPr>
              <w:rPr>
                <w:sz w:val="22"/>
                <w:szCs w:val="22"/>
                <w:lang w:val="pt-BR" w:eastAsia="ja-JP"/>
              </w:rPr>
            </w:pPr>
          </w:p>
        </w:tc>
        <w:tc>
          <w:tcPr>
            <w:tcW w:w="2187" w:type="pct"/>
            <w:tcBorders>
              <w:top w:val="single" w:sz="4" w:space="0" w:color="auto"/>
              <w:left w:val="single" w:sz="4" w:space="0" w:color="auto"/>
              <w:bottom w:val="single" w:sz="4" w:space="0" w:color="auto"/>
              <w:right w:val="single" w:sz="4" w:space="0" w:color="auto"/>
            </w:tcBorders>
            <w:hideMark/>
          </w:tcPr>
          <w:p w14:paraId="763E28FA" w14:textId="77777777" w:rsidR="00EB7A81" w:rsidRDefault="00EB7A81" w:rsidP="00641EEB">
            <w:pPr>
              <w:pStyle w:val="TableText10"/>
              <w:rPr>
                <w:sz w:val="22"/>
                <w:szCs w:val="22"/>
                <w:lang w:val="en-GB"/>
              </w:rPr>
            </w:pPr>
            <w:r>
              <w:rPr>
                <w:sz w:val="22"/>
                <w:szCs w:val="22"/>
                <w:lang w:val="en-GB"/>
              </w:rPr>
              <w:t>Slabost</w:t>
            </w:r>
          </w:p>
        </w:tc>
        <w:tc>
          <w:tcPr>
            <w:tcW w:w="1289" w:type="pct"/>
            <w:tcBorders>
              <w:top w:val="single" w:sz="4" w:space="0" w:color="auto"/>
              <w:left w:val="single" w:sz="4" w:space="0" w:color="auto"/>
              <w:bottom w:val="single" w:sz="4" w:space="0" w:color="auto"/>
              <w:right w:val="single" w:sz="4" w:space="0" w:color="auto"/>
            </w:tcBorders>
            <w:hideMark/>
          </w:tcPr>
          <w:p w14:paraId="49B6F056" w14:textId="77777777" w:rsidR="00EB7A81" w:rsidRDefault="00EB7A81" w:rsidP="00641EEB">
            <w:pPr>
              <w:pStyle w:val="TableText10"/>
              <w:rPr>
                <w:sz w:val="22"/>
                <w:szCs w:val="22"/>
                <w:lang w:val="en-GB"/>
              </w:rPr>
            </w:pPr>
            <w:r>
              <w:rPr>
                <w:sz w:val="22"/>
                <w:szCs w:val="22"/>
                <w:lang w:val="en-GB"/>
              </w:rPr>
              <w:t>Često</w:t>
            </w:r>
          </w:p>
        </w:tc>
      </w:tr>
      <w:tr w:rsidR="00EB7A81" w14:paraId="73781343" w14:textId="77777777" w:rsidTr="00B05AA9">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E03E3" w14:textId="77777777" w:rsidR="00EB7A81" w:rsidRDefault="00EB7A81" w:rsidP="00641EEB">
            <w:pPr>
              <w:rPr>
                <w:sz w:val="22"/>
                <w:szCs w:val="22"/>
                <w:lang w:val="pt-BR" w:eastAsia="ja-JP"/>
              </w:rPr>
            </w:pPr>
          </w:p>
        </w:tc>
        <w:tc>
          <w:tcPr>
            <w:tcW w:w="2187" w:type="pct"/>
            <w:tcBorders>
              <w:top w:val="single" w:sz="4" w:space="0" w:color="auto"/>
              <w:left w:val="single" w:sz="4" w:space="0" w:color="auto"/>
              <w:bottom w:val="single" w:sz="4" w:space="0" w:color="auto"/>
              <w:right w:val="single" w:sz="4" w:space="0" w:color="auto"/>
            </w:tcBorders>
            <w:hideMark/>
          </w:tcPr>
          <w:p w14:paraId="1FC7E8DE" w14:textId="77777777" w:rsidR="00EB7A81" w:rsidRDefault="00EB7A81" w:rsidP="00641EEB">
            <w:pPr>
              <w:pStyle w:val="TableText10"/>
              <w:rPr>
                <w:sz w:val="22"/>
                <w:szCs w:val="22"/>
                <w:lang w:val="en-GB"/>
              </w:rPr>
            </w:pPr>
            <w:r>
              <w:rPr>
                <w:sz w:val="22"/>
                <w:szCs w:val="22"/>
                <w:lang w:val="en-GB"/>
              </w:rPr>
              <w:t>Edemi</w:t>
            </w:r>
          </w:p>
        </w:tc>
        <w:tc>
          <w:tcPr>
            <w:tcW w:w="1289" w:type="pct"/>
            <w:tcBorders>
              <w:top w:val="single" w:sz="4" w:space="0" w:color="auto"/>
              <w:left w:val="single" w:sz="4" w:space="0" w:color="auto"/>
              <w:bottom w:val="single" w:sz="4" w:space="0" w:color="auto"/>
              <w:right w:val="single" w:sz="4" w:space="0" w:color="auto"/>
            </w:tcBorders>
            <w:hideMark/>
          </w:tcPr>
          <w:p w14:paraId="533D587A" w14:textId="77777777" w:rsidR="00EB7A81" w:rsidRDefault="00EB7A81" w:rsidP="00641EEB">
            <w:pPr>
              <w:pStyle w:val="TableText10"/>
              <w:rPr>
                <w:sz w:val="22"/>
                <w:szCs w:val="22"/>
                <w:lang w:val="en-GB"/>
              </w:rPr>
            </w:pPr>
            <w:r>
              <w:rPr>
                <w:sz w:val="22"/>
                <w:szCs w:val="22"/>
                <w:lang w:val="en-GB"/>
              </w:rPr>
              <w:t>Često</w:t>
            </w:r>
          </w:p>
        </w:tc>
      </w:tr>
      <w:tr w:rsidR="00EB7A81" w14:paraId="64479701" w14:textId="77777777" w:rsidTr="00B05AA9">
        <w:tc>
          <w:tcPr>
            <w:tcW w:w="1524" w:type="pct"/>
            <w:tcBorders>
              <w:top w:val="single" w:sz="4" w:space="0" w:color="auto"/>
              <w:left w:val="single" w:sz="4" w:space="0" w:color="auto"/>
              <w:bottom w:val="single" w:sz="4" w:space="0" w:color="auto"/>
              <w:right w:val="single" w:sz="4" w:space="0" w:color="auto"/>
            </w:tcBorders>
            <w:hideMark/>
          </w:tcPr>
          <w:p w14:paraId="6087F476" w14:textId="77777777" w:rsidR="00EB7A81" w:rsidRDefault="00EB7A81" w:rsidP="00641EEB">
            <w:pPr>
              <w:pStyle w:val="TableText10"/>
              <w:rPr>
                <w:sz w:val="22"/>
                <w:szCs w:val="22"/>
                <w:lang w:val="it-IT"/>
              </w:rPr>
            </w:pPr>
            <w:r>
              <w:rPr>
                <w:sz w:val="22"/>
                <w:szCs w:val="22"/>
                <w:lang w:val="it-IT"/>
              </w:rPr>
              <w:t>Povrede, trovanja i proceduralne komplikacije</w:t>
            </w:r>
          </w:p>
        </w:tc>
        <w:tc>
          <w:tcPr>
            <w:tcW w:w="2187" w:type="pct"/>
            <w:tcBorders>
              <w:top w:val="single" w:sz="4" w:space="0" w:color="auto"/>
              <w:left w:val="single" w:sz="4" w:space="0" w:color="auto"/>
              <w:bottom w:val="single" w:sz="4" w:space="0" w:color="auto"/>
              <w:right w:val="single" w:sz="4" w:space="0" w:color="auto"/>
            </w:tcBorders>
            <w:hideMark/>
          </w:tcPr>
          <w:p w14:paraId="5ABA4E46" w14:textId="77777777" w:rsidR="00EB7A81" w:rsidRDefault="00EB7A81" w:rsidP="00641EEB">
            <w:pPr>
              <w:pStyle w:val="TableText10"/>
              <w:rPr>
                <w:sz w:val="22"/>
                <w:szCs w:val="22"/>
                <w:lang w:val="it-IT"/>
              </w:rPr>
            </w:pPr>
            <w:r>
              <w:rPr>
                <w:sz w:val="22"/>
                <w:szCs w:val="22"/>
                <w:lang w:val="it-IT"/>
              </w:rPr>
              <w:t>Kontuzije</w:t>
            </w:r>
          </w:p>
        </w:tc>
        <w:tc>
          <w:tcPr>
            <w:tcW w:w="1289" w:type="pct"/>
            <w:tcBorders>
              <w:top w:val="single" w:sz="4" w:space="0" w:color="auto"/>
              <w:left w:val="single" w:sz="4" w:space="0" w:color="auto"/>
              <w:bottom w:val="single" w:sz="4" w:space="0" w:color="auto"/>
              <w:right w:val="single" w:sz="4" w:space="0" w:color="auto"/>
            </w:tcBorders>
            <w:hideMark/>
          </w:tcPr>
          <w:p w14:paraId="3859B37D" w14:textId="77777777" w:rsidR="00EB7A81" w:rsidRDefault="00EB7A81" w:rsidP="00641EEB">
            <w:pPr>
              <w:pStyle w:val="TableText10"/>
              <w:rPr>
                <w:sz w:val="22"/>
                <w:szCs w:val="22"/>
                <w:lang w:val="it-IT"/>
              </w:rPr>
            </w:pPr>
            <w:r>
              <w:rPr>
                <w:sz w:val="22"/>
                <w:szCs w:val="22"/>
                <w:lang w:val="it-IT"/>
              </w:rPr>
              <w:t>Često</w:t>
            </w:r>
          </w:p>
        </w:tc>
      </w:tr>
    </w:tbl>
    <w:p w14:paraId="2978DDFA" w14:textId="025D6834" w:rsidR="00B05AA9" w:rsidRPr="00BA76B8" w:rsidRDefault="00B05AA9" w:rsidP="00BA76B8">
      <w:pPr>
        <w:jc w:val="both"/>
        <w:rPr>
          <w:sz w:val="20"/>
          <w:szCs w:val="20"/>
        </w:rPr>
      </w:pPr>
      <w:r w:rsidRPr="00BA76B8">
        <w:rPr>
          <w:sz w:val="20"/>
          <w:szCs w:val="20"/>
        </w:rPr>
        <w:t xml:space="preserve">+ </w:t>
      </w:r>
      <w:proofErr w:type="gramStart"/>
      <w:r w:rsidRPr="00BA76B8">
        <w:rPr>
          <w:sz w:val="20"/>
          <w:szCs w:val="20"/>
        </w:rPr>
        <w:t>označava</w:t>
      </w:r>
      <w:proofErr w:type="gramEnd"/>
      <w:r w:rsidRPr="00BA76B8">
        <w:rPr>
          <w:sz w:val="20"/>
          <w:szCs w:val="20"/>
        </w:rPr>
        <w:t xml:space="preserve"> neželjene reakcije koje su </w:t>
      </w:r>
      <w:r w:rsidR="002F3E04">
        <w:rPr>
          <w:sz w:val="20"/>
          <w:szCs w:val="20"/>
        </w:rPr>
        <w:t>povezane</w:t>
      </w:r>
      <w:r w:rsidRPr="00BA76B8">
        <w:rPr>
          <w:sz w:val="20"/>
          <w:szCs w:val="20"/>
        </w:rPr>
        <w:t xml:space="preserve"> sa smrtnim ishodom.</w:t>
      </w:r>
    </w:p>
    <w:p w14:paraId="1CE886C8" w14:textId="77777777" w:rsidR="00B05AA9" w:rsidRPr="00BA76B8" w:rsidRDefault="00B05AA9" w:rsidP="00BA76B8">
      <w:pPr>
        <w:jc w:val="both"/>
        <w:rPr>
          <w:sz w:val="20"/>
          <w:szCs w:val="20"/>
        </w:rPr>
      </w:pPr>
      <w:r w:rsidRPr="00BA76B8">
        <w:rPr>
          <w:sz w:val="20"/>
          <w:szCs w:val="20"/>
        </w:rPr>
        <w:t xml:space="preserve">1 označava neželjene reakcije koje su uglavnom prijavljene u vezi </w:t>
      </w:r>
      <w:proofErr w:type="gramStart"/>
      <w:r w:rsidRPr="00BA76B8">
        <w:rPr>
          <w:sz w:val="20"/>
          <w:szCs w:val="20"/>
        </w:rPr>
        <w:t>sa</w:t>
      </w:r>
      <w:proofErr w:type="gramEnd"/>
      <w:r w:rsidRPr="00BA76B8">
        <w:rPr>
          <w:sz w:val="20"/>
          <w:szCs w:val="20"/>
        </w:rPr>
        <w:t xml:space="preserve"> reakcijama na infuziju. Nema podataka o tačnim procentima za </w:t>
      </w:r>
      <w:proofErr w:type="gramStart"/>
      <w:r w:rsidRPr="00BA76B8">
        <w:rPr>
          <w:sz w:val="20"/>
          <w:szCs w:val="20"/>
        </w:rPr>
        <w:t>te</w:t>
      </w:r>
      <w:proofErr w:type="gramEnd"/>
      <w:r w:rsidRPr="00BA76B8">
        <w:rPr>
          <w:sz w:val="20"/>
          <w:szCs w:val="20"/>
        </w:rPr>
        <w:t xml:space="preserve"> neželjene reakcije.</w:t>
      </w:r>
    </w:p>
    <w:p w14:paraId="1F875AA9" w14:textId="77777777" w:rsidR="00B05AA9" w:rsidRPr="00BA76B8" w:rsidRDefault="00B05AA9" w:rsidP="00BA76B8">
      <w:pPr>
        <w:jc w:val="both"/>
        <w:rPr>
          <w:sz w:val="20"/>
          <w:szCs w:val="20"/>
        </w:rPr>
      </w:pPr>
      <w:r w:rsidRPr="00BA76B8">
        <w:rPr>
          <w:sz w:val="20"/>
          <w:szCs w:val="20"/>
        </w:rPr>
        <w:t xml:space="preserve">* </w:t>
      </w:r>
      <w:proofErr w:type="gramStart"/>
      <w:r w:rsidRPr="00BA76B8">
        <w:rPr>
          <w:sz w:val="20"/>
          <w:szCs w:val="20"/>
        </w:rPr>
        <w:t>primijećno</w:t>
      </w:r>
      <w:proofErr w:type="gramEnd"/>
      <w:r w:rsidRPr="00BA76B8">
        <w:rPr>
          <w:sz w:val="20"/>
          <w:szCs w:val="20"/>
        </w:rPr>
        <w:t xml:space="preserve"> sa kombinovanom terapijom nakon antraciklina i u kombinaciji sa taksanima.</w:t>
      </w:r>
    </w:p>
    <w:p w14:paraId="26ADBB1F" w14:textId="77777777" w:rsidR="00B05AA9" w:rsidRPr="00442616" w:rsidRDefault="00B05AA9" w:rsidP="00641EEB">
      <w:pPr>
        <w:rPr>
          <w:sz w:val="22"/>
          <w:szCs w:val="22"/>
        </w:rPr>
      </w:pPr>
    </w:p>
    <w:p w14:paraId="71F050CD" w14:textId="77777777" w:rsidR="00B05AA9" w:rsidRPr="00442616" w:rsidRDefault="00B05AA9" w:rsidP="00641EEB">
      <w:pPr>
        <w:jc w:val="both"/>
        <w:rPr>
          <w:sz w:val="22"/>
          <w:szCs w:val="22"/>
          <w:u w:val="single"/>
        </w:rPr>
      </w:pPr>
      <w:r w:rsidRPr="00442616">
        <w:rPr>
          <w:sz w:val="22"/>
          <w:szCs w:val="22"/>
          <w:u w:val="single"/>
        </w:rPr>
        <w:t>Opis odabranih neželjenih reakcija</w:t>
      </w:r>
    </w:p>
    <w:p w14:paraId="2B58BFAF" w14:textId="77777777" w:rsidR="00B05AA9" w:rsidRPr="00442616" w:rsidRDefault="00B05AA9" w:rsidP="00641EEB">
      <w:pPr>
        <w:jc w:val="both"/>
        <w:rPr>
          <w:sz w:val="22"/>
          <w:szCs w:val="22"/>
        </w:rPr>
      </w:pPr>
    </w:p>
    <w:p w14:paraId="06BE761E" w14:textId="77777777" w:rsidR="00B05AA9" w:rsidRPr="00442616" w:rsidRDefault="00B05AA9" w:rsidP="00641EEB">
      <w:pPr>
        <w:jc w:val="both"/>
        <w:rPr>
          <w:i/>
          <w:sz w:val="22"/>
          <w:szCs w:val="22"/>
        </w:rPr>
      </w:pPr>
      <w:r w:rsidRPr="00442616">
        <w:rPr>
          <w:i/>
          <w:sz w:val="22"/>
          <w:szCs w:val="22"/>
        </w:rPr>
        <w:t>Disfunkcija srca</w:t>
      </w:r>
    </w:p>
    <w:p w14:paraId="53C612B2" w14:textId="77777777" w:rsidR="00B05AA9" w:rsidRPr="00442616" w:rsidRDefault="00B05AA9" w:rsidP="00641EEB">
      <w:pPr>
        <w:jc w:val="both"/>
        <w:rPr>
          <w:i/>
          <w:sz w:val="22"/>
          <w:szCs w:val="22"/>
        </w:rPr>
      </w:pPr>
    </w:p>
    <w:p w14:paraId="70C82089" w14:textId="5B6C9D49" w:rsidR="00B05AA9" w:rsidRDefault="00B05AA9" w:rsidP="00641EEB">
      <w:pPr>
        <w:jc w:val="both"/>
        <w:rPr>
          <w:sz w:val="22"/>
          <w:szCs w:val="22"/>
          <w:lang w:val="hr-HR"/>
        </w:rPr>
      </w:pPr>
      <w:r w:rsidRPr="00442616">
        <w:rPr>
          <w:sz w:val="22"/>
          <w:szCs w:val="22"/>
        </w:rPr>
        <w:t xml:space="preserve">Kongestivna srčana insuficijencija (NYHA klase II-IV), čest je neželjeni događaj kod primjene lijeka Herceptin, ponekad povezana i </w:t>
      </w:r>
      <w:proofErr w:type="gramStart"/>
      <w:r w:rsidRPr="00442616">
        <w:rPr>
          <w:sz w:val="22"/>
          <w:szCs w:val="22"/>
        </w:rPr>
        <w:t>sa</w:t>
      </w:r>
      <w:proofErr w:type="gramEnd"/>
      <w:r w:rsidRPr="00442616">
        <w:rPr>
          <w:sz w:val="22"/>
          <w:szCs w:val="22"/>
        </w:rPr>
        <w:t xml:space="preserve"> smrtnim ishodom (vidjeti dio 4.4). </w:t>
      </w:r>
      <w:r>
        <w:rPr>
          <w:szCs w:val="22"/>
          <w:lang w:val="hr-HR"/>
        </w:rPr>
        <w:t xml:space="preserve"> </w:t>
      </w:r>
      <w:r>
        <w:rPr>
          <w:sz w:val="22"/>
          <w:szCs w:val="22"/>
          <w:lang w:val="hr-HR"/>
        </w:rPr>
        <w:t>Kod pacijenata liječenih lijekom Herceptin primijećeni su znaci i simptomi disfunkcije srca, poput dispnee, ortopnee, pojačanog kašlja, plućnog edema, trećeg srčanog zvuka ili smanjene ejekcione frakcije komore (vidjeti dio 4.4).</w:t>
      </w:r>
    </w:p>
    <w:p w14:paraId="70DAE94F" w14:textId="77777777" w:rsidR="004E1F29" w:rsidRDefault="004E1F29" w:rsidP="00641EEB">
      <w:pPr>
        <w:jc w:val="both"/>
        <w:rPr>
          <w:sz w:val="22"/>
          <w:szCs w:val="22"/>
          <w:lang w:val="hr-HR"/>
        </w:rPr>
      </w:pPr>
    </w:p>
    <w:p w14:paraId="48951ADC" w14:textId="5473513B" w:rsidR="00B05AA9" w:rsidRDefault="00B05AA9" w:rsidP="00641EEB">
      <w:pPr>
        <w:jc w:val="both"/>
        <w:rPr>
          <w:sz w:val="22"/>
          <w:szCs w:val="22"/>
          <w:lang w:val="hr-HR"/>
        </w:rPr>
      </w:pPr>
      <w:r>
        <w:rPr>
          <w:sz w:val="22"/>
          <w:szCs w:val="22"/>
          <w:lang w:val="hr-HR"/>
        </w:rPr>
        <w:t xml:space="preserve">U tri pivotalna klinička ispitivanja primjene adjuvantnog lijeka Herceptin u kombinaciji sa hemoterapijom, incidenca disfunkcije srca stepena 3/4  (naročito simptomatska kongestivna srčana insuficijencija) je bila slična kod pacijenata koji su primali samo hemoterapiju (nijesu primali </w:t>
      </w:r>
      <w:r w:rsidR="002F3E04">
        <w:rPr>
          <w:sz w:val="22"/>
          <w:szCs w:val="22"/>
          <w:lang w:val="hr-HR"/>
        </w:rPr>
        <w:t xml:space="preserve">lijek </w:t>
      </w:r>
      <w:r>
        <w:rPr>
          <w:sz w:val="22"/>
          <w:szCs w:val="22"/>
          <w:lang w:val="hr-HR"/>
        </w:rPr>
        <w:t xml:space="preserve">Herceptin) i kod pacijenata koji su primali </w:t>
      </w:r>
      <w:r w:rsidR="002F3E04">
        <w:rPr>
          <w:sz w:val="22"/>
          <w:szCs w:val="22"/>
          <w:lang w:val="hr-HR"/>
        </w:rPr>
        <w:t xml:space="preserve">lijek </w:t>
      </w:r>
      <w:r>
        <w:rPr>
          <w:sz w:val="22"/>
          <w:szCs w:val="22"/>
          <w:lang w:val="hr-HR"/>
        </w:rPr>
        <w:t xml:space="preserve">Herceptin nakon taksana (0.3 – 0.4%). Najveća incidenca je bila kod pacijenata koji su primali </w:t>
      </w:r>
      <w:r w:rsidR="002F3E04">
        <w:rPr>
          <w:sz w:val="22"/>
          <w:szCs w:val="22"/>
          <w:lang w:val="hr-HR"/>
        </w:rPr>
        <w:t xml:space="preserve">lijek </w:t>
      </w:r>
      <w:r>
        <w:rPr>
          <w:sz w:val="22"/>
          <w:szCs w:val="22"/>
          <w:lang w:val="hr-HR"/>
        </w:rPr>
        <w:t xml:space="preserve">Herceptin </w:t>
      </w:r>
      <w:r w:rsidR="002F3E04">
        <w:rPr>
          <w:sz w:val="22"/>
          <w:szCs w:val="22"/>
          <w:lang w:val="hr-HR"/>
        </w:rPr>
        <w:t xml:space="preserve">istovremeno </w:t>
      </w:r>
      <w:r>
        <w:rPr>
          <w:sz w:val="22"/>
          <w:szCs w:val="22"/>
          <w:lang w:val="hr-HR"/>
        </w:rPr>
        <w:t>sa taksanima (2.0%). U neoadjuvantnom liječenju, iskustvo sa istovremenom primjenom lijeka Herceptin i niske doze antraciklina je ograničeno (vidjeti dio 4.4).</w:t>
      </w:r>
    </w:p>
    <w:p w14:paraId="61ECC3E9" w14:textId="77777777" w:rsidR="002F3E04" w:rsidRDefault="002F3E04" w:rsidP="00641EEB">
      <w:pPr>
        <w:jc w:val="both"/>
        <w:rPr>
          <w:sz w:val="22"/>
          <w:szCs w:val="22"/>
          <w:lang w:val="hr-HR"/>
        </w:rPr>
      </w:pPr>
    </w:p>
    <w:p w14:paraId="1B3443C3" w14:textId="67002311" w:rsidR="00B05AA9" w:rsidRDefault="00B05AA9" w:rsidP="00641EEB">
      <w:pPr>
        <w:jc w:val="both"/>
        <w:rPr>
          <w:sz w:val="22"/>
          <w:szCs w:val="22"/>
          <w:lang w:val="hr-HR"/>
        </w:rPr>
      </w:pPr>
      <w:r>
        <w:rPr>
          <w:sz w:val="22"/>
          <w:szCs w:val="22"/>
          <w:lang w:val="hr-HR"/>
        </w:rPr>
        <w:t xml:space="preserve">Kada se </w:t>
      </w:r>
      <w:r w:rsidR="002F3E04">
        <w:rPr>
          <w:sz w:val="22"/>
          <w:szCs w:val="22"/>
          <w:lang w:val="hr-HR"/>
        </w:rPr>
        <w:t xml:space="preserve">lijek </w:t>
      </w:r>
      <w:r>
        <w:rPr>
          <w:sz w:val="22"/>
          <w:szCs w:val="22"/>
          <w:lang w:val="hr-HR"/>
        </w:rPr>
        <w:t>Herceptin primjenjivao nakon završetka adjuvantne hemoterapije, srčana insuficijencija NYHA klase III</w:t>
      </w:r>
      <w:r>
        <w:rPr>
          <w:sz w:val="22"/>
          <w:szCs w:val="22"/>
          <w:lang w:val="hr-HR"/>
        </w:rPr>
        <w:noBreakHyphen/>
        <w:t>IV zabilježena je kod 0,6% pacijenata iz grupe liječene godinu dana nakon medijane praćenja od 12 mjeseci. U ispitivanju BO16348</w:t>
      </w:r>
      <w:r w:rsidR="002F3E04">
        <w:rPr>
          <w:sz w:val="22"/>
          <w:szCs w:val="22"/>
          <w:lang w:val="hr-HR"/>
        </w:rPr>
        <w:t>,</w:t>
      </w:r>
      <w:r>
        <w:rPr>
          <w:sz w:val="22"/>
          <w:szCs w:val="22"/>
          <w:lang w:val="hr-HR"/>
        </w:rPr>
        <w:t xml:space="preserve"> nakon medijane praćenja od 8 godina, incidenca teške kongestivne srčane insuficijencije (NYHA klase III i IV) u grupi liječenoj 1 godinu lijekom Herceptin iznosila je 0,8%, dok je stopa blage simptomatske i asimptomatske disfunkcije lijeve komore iznosila 4.6%.</w:t>
      </w:r>
    </w:p>
    <w:p w14:paraId="56B685E3" w14:textId="77777777" w:rsidR="002F3E04" w:rsidRDefault="002F3E04" w:rsidP="00641EEB">
      <w:pPr>
        <w:jc w:val="both"/>
        <w:rPr>
          <w:sz w:val="22"/>
          <w:szCs w:val="22"/>
          <w:lang w:val="hr-HR"/>
        </w:rPr>
      </w:pPr>
    </w:p>
    <w:p w14:paraId="3F186183" w14:textId="77777777" w:rsidR="00B05AA9" w:rsidRDefault="00B05AA9" w:rsidP="00641EEB">
      <w:pPr>
        <w:jc w:val="both"/>
        <w:rPr>
          <w:sz w:val="22"/>
          <w:szCs w:val="22"/>
          <w:lang w:val="hr-HR"/>
        </w:rPr>
      </w:pPr>
      <w:r>
        <w:rPr>
          <w:sz w:val="22"/>
          <w:szCs w:val="22"/>
          <w:lang w:val="hr-HR"/>
        </w:rPr>
        <w:t>Reverzibilnost teške kongestivne srčane insuficijencije (definisana kao slijed od najmanje dvije uzastopne vrijednosti LVEF ≥ 50% nakon događaja) bila je primjetna kod 71.4% pacijenata liječenih lijekom Herceptin. Reverzibilnost blage simptomatske i asimptomatske disfunkcije lijeve komore dokazana je kod 79.5% pacijenata liječenih lijekom Herceptin. Približno 17% ishoda povezanih sa srcem nastupilo je nakon završetka liječenja lijekom Herceptin.</w:t>
      </w:r>
    </w:p>
    <w:p w14:paraId="2561B7FB" w14:textId="77777777" w:rsidR="00B05AA9" w:rsidRDefault="00B05AA9" w:rsidP="00641EEB">
      <w:pPr>
        <w:jc w:val="both"/>
        <w:rPr>
          <w:sz w:val="22"/>
          <w:szCs w:val="22"/>
          <w:lang w:val="hr-HR"/>
        </w:rPr>
      </w:pPr>
    </w:p>
    <w:p w14:paraId="30DBE669" w14:textId="5C4D2618" w:rsidR="00B05AA9" w:rsidRDefault="00B05AA9" w:rsidP="00641EEB">
      <w:pPr>
        <w:jc w:val="both"/>
        <w:rPr>
          <w:sz w:val="22"/>
          <w:szCs w:val="22"/>
          <w:lang w:val="hr-HR"/>
        </w:rPr>
      </w:pPr>
      <w:r>
        <w:rPr>
          <w:sz w:val="22"/>
          <w:szCs w:val="22"/>
          <w:lang w:val="hr-HR"/>
        </w:rPr>
        <w:t xml:space="preserve">U pivotalnim ispitivanjima intravenske formulacije lijeka Herceptin u metastatskoj bolesti, incidenca srčane disfunkcije kretala se između 9% i 12% kod primjene u kombinaciji sa paklitakselom, u poređenju sa 1% - 4% kod primjene samo paklitaksela. Kod primjene u monoterapiji, stopa je iznosila 6% do 9%. Najviša stopa srčane disfunkcije zabilježena je kod pacijentkinja koje su primale </w:t>
      </w:r>
      <w:r w:rsidR="002F3E04">
        <w:rPr>
          <w:sz w:val="22"/>
          <w:szCs w:val="22"/>
          <w:lang w:val="hr-HR"/>
        </w:rPr>
        <w:t xml:space="preserve">lijek </w:t>
      </w:r>
      <w:r>
        <w:rPr>
          <w:sz w:val="22"/>
          <w:szCs w:val="22"/>
          <w:lang w:val="hr-HR"/>
        </w:rPr>
        <w:t xml:space="preserve">Herceptin istovremeno sa antraciklinom/ciklofosfamidom (27%), što je bilo značajno više nego kod primjene samo </w:t>
      </w:r>
      <w:r>
        <w:rPr>
          <w:sz w:val="22"/>
          <w:szCs w:val="22"/>
          <w:lang w:val="hr-HR"/>
        </w:rPr>
        <w:lastRenderedPageBreak/>
        <w:t xml:space="preserve">antraciklina/ciklofosfamida (7% – 10%). U kasnijoj studiji u kojoj se prospektivno pratila srčana funkcija, incidenca simptomatske kongestivne srčane insuficijencije bila je 2,2% kod pacijentkinja koje su primale </w:t>
      </w:r>
      <w:r w:rsidR="002F3E04">
        <w:rPr>
          <w:sz w:val="22"/>
          <w:szCs w:val="22"/>
          <w:lang w:val="hr-HR"/>
        </w:rPr>
        <w:t xml:space="preserve">lijek </w:t>
      </w:r>
      <w:r>
        <w:rPr>
          <w:sz w:val="22"/>
          <w:szCs w:val="22"/>
          <w:lang w:val="hr-HR"/>
        </w:rPr>
        <w:t>Herceptin i docetaksel, u poređenju sa 0% kod pacijenata koje su primale samo docetaksel. Kod većine pacijentkinja (79%) kod kojih se u tim studijama razvila srčana disfunkcija došlo je do poboljšanja nakon što su primile standardnu terapiju za kongestivnu srčanu insuficijenciju.</w:t>
      </w:r>
    </w:p>
    <w:p w14:paraId="7F2315E5" w14:textId="77777777" w:rsidR="00B05AA9" w:rsidRDefault="00B05AA9" w:rsidP="00641EEB">
      <w:pPr>
        <w:rPr>
          <w:sz w:val="22"/>
          <w:szCs w:val="22"/>
          <w:lang w:val="hr-HR"/>
        </w:rPr>
      </w:pPr>
    </w:p>
    <w:p w14:paraId="000BE489" w14:textId="77777777" w:rsidR="00B05AA9" w:rsidRDefault="00B05AA9" w:rsidP="00641EEB">
      <w:pPr>
        <w:jc w:val="both"/>
        <w:rPr>
          <w:i/>
          <w:sz w:val="22"/>
          <w:szCs w:val="22"/>
          <w:lang w:val="hr-HR"/>
        </w:rPr>
      </w:pPr>
      <w:r>
        <w:rPr>
          <w:i/>
          <w:sz w:val="22"/>
          <w:szCs w:val="22"/>
          <w:lang w:val="hr-HR"/>
        </w:rPr>
        <w:t>Reakcije na infuziju, reakcije slične alergijama i preosjetljivost</w:t>
      </w:r>
    </w:p>
    <w:p w14:paraId="52A8A925" w14:textId="0B4E43D5" w:rsidR="00B05AA9" w:rsidRDefault="00B05AA9" w:rsidP="00641EEB">
      <w:pPr>
        <w:jc w:val="both"/>
        <w:rPr>
          <w:sz w:val="22"/>
          <w:szCs w:val="22"/>
          <w:lang w:val="hr-HR"/>
        </w:rPr>
      </w:pPr>
      <w:r>
        <w:rPr>
          <w:sz w:val="22"/>
          <w:szCs w:val="22"/>
          <w:lang w:val="hr-HR"/>
        </w:rPr>
        <w:t xml:space="preserve">Procijenjuje se da će otprilike 40% pacijenata liječenih </w:t>
      </w:r>
      <w:r w:rsidR="002F3E04">
        <w:rPr>
          <w:sz w:val="22"/>
          <w:szCs w:val="22"/>
          <w:lang w:val="hr-HR"/>
        </w:rPr>
        <w:t xml:space="preserve">lijekom </w:t>
      </w:r>
      <w:r>
        <w:rPr>
          <w:sz w:val="22"/>
          <w:szCs w:val="22"/>
          <w:lang w:val="hr-HR"/>
        </w:rPr>
        <w:t>Herceptin razviti neki oblik reakcije na infuziju. Međutim, većina reakcija na infuziju je blagog do umjerenog intenziteta (prema NCI-CTC gradaciji) i uglavnom se javljaju na početku liječenja, tj. za vrijeme prve, druge i treće infuzije tako da im se učestalost smanjuje sa svakom sljedećom infuzijom. Te reakcije uključuju drhtavicu, groznicu, dispneu, hipotenziju, šištanje pri disanju (vizing), bronhospazam, tahikardiju, smanjenu zasićenost kiseonikom, respiratorni distres, osip, mučninu i povraćanje i glavobolju (vidjeti dio 4.4). Stopa reakcija svih stepeni povezanih sa infuzijom lijeka varirala je od studije do studije zavisno o indikaciji, metodologiji prikupljanja podataka, te o tome je li se trastuzumab primjenjivao u kombinaciji sa hemoterapijom ili kao monoterapija.</w:t>
      </w:r>
    </w:p>
    <w:p w14:paraId="2B6DCB7B" w14:textId="77777777" w:rsidR="00B05AA9" w:rsidRDefault="00B05AA9" w:rsidP="00641EEB">
      <w:pPr>
        <w:jc w:val="both"/>
        <w:rPr>
          <w:sz w:val="22"/>
          <w:szCs w:val="22"/>
          <w:lang w:val="hr-HR"/>
        </w:rPr>
      </w:pPr>
    </w:p>
    <w:p w14:paraId="2E23FBC3" w14:textId="77777777" w:rsidR="00B05AA9" w:rsidRDefault="00B05AA9" w:rsidP="00641EEB">
      <w:pPr>
        <w:jc w:val="both"/>
        <w:rPr>
          <w:sz w:val="22"/>
          <w:szCs w:val="22"/>
          <w:lang w:val="hr-HR"/>
        </w:rPr>
      </w:pPr>
      <w:r>
        <w:rPr>
          <w:sz w:val="22"/>
          <w:szCs w:val="22"/>
          <w:lang w:val="hr-HR"/>
        </w:rPr>
        <w:t>Teške anafilaktičke reakcije koje zahtijevaju dodatnu hitnu intervenciju, obično se mogu javiti tokom prve ili druge infuzije Herceptina (vidjeti dio 4.4 ) i bile su povezane sa smrtnim ishodom.</w:t>
      </w:r>
    </w:p>
    <w:p w14:paraId="357E25A8" w14:textId="77777777" w:rsidR="00B05AA9" w:rsidRDefault="00B05AA9" w:rsidP="00641EEB">
      <w:pPr>
        <w:jc w:val="both"/>
        <w:rPr>
          <w:sz w:val="22"/>
          <w:szCs w:val="22"/>
          <w:lang w:val="hr-HR"/>
        </w:rPr>
      </w:pPr>
    </w:p>
    <w:p w14:paraId="43777240" w14:textId="77777777" w:rsidR="00B05AA9" w:rsidRDefault="00B05AA9" w:rsidP="00641EEB">
      <w:pPr>
        <w:jc w:val="both"/>
        <w:rPr>
          <w:sz w:val="22"/>
          <w:szCs w:val="22"/>
          <w:lang w:val="hr-HR"/>
        </w:rPr>
      </w:pPr>
      <w:r>
        <w:rPr>
          <w:sz w:val="22"/>
          <w:szCs w:val="22"/>
          <w:lang w:val="hr-HR"/>
        </w:rPr>
        <w:t>U pojedinim slučajevima primijećene su anafilaktoidne reakcije.</w:t>
      </w:r>
    </w:p>
    <w:p w14:paraId="111C2032" w14:textId="353D7442" w:rsidR="00B05AA9" w:rsidRPr="00442616" w:rsidRDefault="00B05AA9" w:rsidP="00641EEB">
      <w:pPr>
        <w:tabs>
          <w:tab w:val="left" w:pos="540"/>
          <w:tab w:val="left" w:pos="569"/>
        </w:tabs>
        <w:rPr>
          <w:b/>
          <w:bCs/>
          <w:sz w:val="22"/>
          <w:szCs w:val="22"/>
          <w:lang w:val="hr-HR"/>
        </w:rPr>
      </w:pPr>
    </w:p>
    <w:p w14:paraId="78742796" w14:textId="77777777" w:rsidR="00B05AA9" w:rsidRDefault="00B05AA9" w:rsidP="00641EEB">
      <w:pPr>
        <w:jc w:val="both"/>
        <w:rPr>
          <w:i/>
          <w:sz w:val="22"/>
          <w:szCs w:val="22"/>
          <w:lang w:val="hr-HR"/>
        </w:rPr>
      </w:pPr>
      <w:r>
        <w:rPr>
          <w:i/>
          <w:sz w:val="22"/>
          <w:szCs w:val="22"/>
          <w:lang w:val="hr-HR"/>
        </w:rPr>
        <w:t>Hematotoksičnost</w:t>
      </w:r>
    </w:p>
    <w:p w14:paraId="27A8D4E6" w14:textId="77777777" w:rsidR="00B05AA9" w:rsidRDefault="00B05AA9" w:rsidP="00641EEB">
      <w:pPr>
        <w:jc w:val="both"/>
        <w:rPr>
          <w:sz w:val="22"/>
          <w:szCs w:val="22"/>
          <w:lang w:val="hr-HR"/>
        </w:rPr>
      </w:pPr>
      <w:r>
        <w:rPr>
          <w:sz w:val="22"/>
          <w:szCs w:val="22"/>
          <w:lang w:val="hr-HR"/>
        </w:rPr>
        <w:t>Febrilna neutropenija i leukopenija, anemija, trombocitopenija i neutropenija su vrlo česte. Učestalost pojave hipoprotrombinemije nije poznata. Rizik od razvoja neutropenije može biti neznatno povećan kada se trastuzumab primjenjuje sa docetakselom nakon antraciklinske terapije.</w:t>
      </w:r>
    </w:p>
    <w:p w14:paraId="12FC4656" w14:textId="77777777" w:rsidR="00B05AA9" w:rsidRDefault="00B05AA9" w:rsidP="00641EEB">
      <w:pPr>
        <w:jc w:val="both"/>
        <w:rPr>
          <w:sz w:val="22"/>
          <w:szCs w:val="22"/>
          <w:lang w:val="hr-HR"/>
        </w:rPr>
      </w:pPr>
    </w:p>
    <w:p w14:paraId="52BA48BF" w14:textId="77777777" w:rsidR="002F3E04" w:rsidRDefault="002F3E04" w:rsidP="00641EEB">
      <w:pPr>
        <w:jc w:val="both"/>
        <w:rPr>
          <w:i/>
          <w:sz w:val="22"/>
          <w:szCs w:val="22"/>
          <w:lang w:val="hr-HR"/>
        </w:rPr>
      </w:pPr>
    </w:p>
    <w:p w14:paraId="73230F5B" w14:textId="2F80EC49" w:rsidR="00B05AA9" w:rsidRDefault="00B05AA9" w:rsidP="00641EEB">
      <w:pPr>
        <w:jc w:val="both"/>
        <w:rPr>
          <w:i/>
          <w:sz w:val="22"/>
          <w:szCs w:val="22"/>
          <w:lang w:val="hr-HR"/>
        </w:rPr>
      </w:pPr>
      <w:r>
        <w:rPr>
          <w:i/>
          <w:sz w:val="22"/>
          <w:szCs w:val="22"/>
          <w:lang w:val="hr-HR"/>
        </w:rPr>
        <w:t>Plućni događaji</w:t>
      </w:r>
    </w:p>
    <w:p w14:paraId="5F25D5D1" w14:textId="070137F2" w:rsidR="00B05AA9" w:rsidRDefault="00B05AA9" w:rsidP="00641EEB">
      <w:pPr>
        <w:jc w:val="both"/>
        <w:rPr>
          <w:sz w:val="22"/>
          <w:szCs w:val="22"/>
          <w:lang w:val="hr-HR"/>
        </w:rPr>
      </w:pPr>
      <w:r>
        <w:rPr>
          <w:sz w:val="22"/>
          <w:szCs w:val="22"/>
          <w:lang w:val="hr-HR"/>
        </w:rPr>
        <w:t>Pri upotrebi lijeka Herceptin javljaju se teške plućne neželjene reakcije koje su se završavale smrtnim ishodom. Te reakcije, između ostalog, uključuju plućne infiltrate, sindrom akutnog respiratornog distresa, pneumoniju, pneumonitis, pleuralni izliv, respiratorni distres, akutni plućni edem i respiratornu insuficijenciju (vidjeti dio 4.4).</w:t>
      </w:r>
    </w:p>
    <w:p w14:paraId="54CBE86C" w14:textId="77777777" w:rsidR="004E1F29" w:rsidRDefault="004E1F29" w:rsidP="00641EEB">
      <w:pPr>
        <w:jc w:val="both"/>
        <w:rPr>
          <w:sz w:val="22"/>
          <w:szCs w:val="22"/>
          <w:lang w:val="hr-HR"/>
        </w:rPr>
      </w:pPr>
    </w:p>
    <w:p w14:paraId="49888FFD" w14:textId="77777777" w:rsidR="00B05AA9" w:rsidRDefault="00B05AA9" w:rsidP="00641EEB">
      <w:pPr>
        <w:jc w:val="both"/>
        <w:rPr>
          <w:sz w:val="22"/>
          <w:szCs w:val="22"/>
          <w:lang w:val="hr-HR"/>
        </w:rPr>
      </w:pPr>
      <w:r>
        <w:rPr>
          <w:sz w:val="22"/>
          <w:szCs w:val="22"/>
          <w:lang w:val="hr-HR"/>
        </w:rPr>
        <w:t>Detalji o mjerama za smanjenje rizika u skladu sa Evropskim planom upravljanja rizikom navedeni su u dijelu Posebna upozorenja i mjere opreza pri upotrebi (vidjeti dio 4.4).</w:t>
      </w:r>
    </w:p>
    <w:p w14:paraId="1708A751" w14:textId="77777777" w:rsidR="00B05AA9" w:rsidRDefault="00B05AA9" w:rsidP="00641EEB">
      <w:pPr>
        <w:autoSpaceDE w:val="0"/>
        <w:autoSpaceDN w:val="0"/>
        <w:adjustRightInd w:val="0"/>
        <w:jc w:val="both"/>
        <w:rPr>
          <w:noProof/>
          <w:sz w:val="20"/>
          <w:szCs w:val="22"/>
          <w:u w:val="single"/>
          <w:lang w:val="hr-HR"/>
        </w:rPr>
      </w:pPr>
    </w:p>
    <w:p w14:paraId="42079010" w14:textId="77777777" w:rsidR="00B05AA9" w:rsidRPr="00E32C47" w:rsidRDefault="00B05AA9" w:rsidP="00641EEB">
      <w:pPr>
        <w:jc w:val="both"/>
        <w:rPr>
          <w:sz w:val="22"/>
          <w:szCs w:val="22"/>
          <w:u w:val="single"/>
          <w:lang w:val="hr-HR"/>
        </w:rPr>
      </w:pPr>
      <w:r w:rsidRPr="00E32C47">
        <w:rPr>
          <w:sz w:val="22"/>
          <w:szCs w:val="22"/>
          <w:u w:val="single"/>
          <w:lang w:val="hr-HR"/>
        </w:rPr>
        <w:t>Imunogenost</w:t>
      </w:r>
    </w:p>
    <w:p w14:paraId="372E9426" w14:textId="77777777" w:rsidR="00B05AA9" w:rsidRDefault="00B05AA9" w:rsidP="00641EEB">
      <w:pPr>
        <w:jc w:val="both"/>
        <w:rPr>
          <w:sz w:val="22"/>
          <w:szCs w:val="22"/>
          <w:lang w:val="hr-HR"/>
        </w:rPr>
      </w:pPr>
    </w:p>
    <w:p w14:paraId="10F64395" w14:textId="548CF122" w:rsidR="00B05AA9" w:rsidRDefault="00B05AA9" w:rsidP="00641EEB">
      <w:pPr>
        <w:jc w:val="both"/>
        <w:rPr>
          <w:sz w:val="22"/>
          <w:szCs w:val="22"/>
          <w:lang w:val="hr-HR"/>
        </w:rPr>
      </w:pPr>
      <w:r>
        <w:rPr>
          <w:sz w:val="22"/>
          <w:szCs w:val="22"/>
          <w:lang w:val="hr-HR"/>
        </w:rPr>
        <w:t>U sklopu neoadjuvantnog-adjuvantnog liječenja ranog karcinoma dojke, studija BO22227, nakon medijane praćenja od više od 70 meseci, kod 10,1% (30/296) pacijenata liječenih lijekom Herceptin za intravensku primjenu razvila su se antitijela na trastuzumab. Neutrališuća antitijela na trastuzumab pronađena su u uzorcima prikupljenima nakon početka studi</w:t>
      </w:r>
      <w:r w:rsidR="002F3E04">
        <w:rPr>
          <w:sz w:val="22"/>
          <w:szCs w:val="22"/>
          <w:lang w:val="hr-HR"/>
        </w:rPr>
        <w:t>je</w:t>
      </w:r>
      <w:r>
        <w:rPr>
          <w:sz w:val="22"/>
          <w:szCs w:val="22"/>
          <w:lang w:val="hr-HR"/>
        </w:rPr>
        <w:t xml:space="preserve"> u 2 od 30 pacijenta liječena lijekom Herceptin za intravensku primjenu.</w:t>
      </w:r>
    </w:p>
    <w:p w14:paraId="11A1EABC" w14:textId="5191C34A" w:rsidR="00B05AA9" w:rsidRPr="00442616" w:rsidRDefault="00B05AA9" w:rsidP="00641EEB">
      <w:pPr>
        <w:tabs>
          <w:tab w:val="left" w:pos="540"/>
          <w:tab w:val="left" w:pos="569"/>
        </w:tabs>
        <w:rPr>
          <w:b/>
          <w:bCs/>
          <w:sz w:val="22"/>
          <w:szCs w:val="22"/>
          <w:lang w:val="hr-HR"/>
        </w:rPr>
      </w:pPr>
    </w:p>
    <w:p w14:paraId="22F88F01" w14:textId="77777777" w:rsidR="00B05AA9" w:rsidRDefault="00B05AA9" w:rsidP="00641EEB">
      <w:pPr>
        <w:jc w:val="both"/>
        <w:rPr>
          <w:sz w:val="22"/>
          <w:szCs w:val="22"/>
          <w:lang w:val="hr-HR"/>
        </w:rPr>
      </w:pPr>
      <w:r>
        <w:rPr>
          <w:sz w:val="22"/>
          <w:szCs w:val="22"/>
          <w:lang w:val="hr-HR"/>
        </w:rPr>
        <w:t xml:space="preserve">Klinički značaj tih anttijela nije poznat; Prisutnost antitijela na trastuzumabnije nije uticala na farmakokinetiku, efikasnost (određenu potpunim patološkim odgovorom [engl. </w:t>
      </w:r>
      <w:r w:rsidRPr="00BA76B8">
        <w:rPr>
          <w:i/>
          <w:sz w:val="22"/>
          <w:szCs w:val="22"/>
          <w:lang w:val="hr-HR"/>
        </w:rPr>
        <w:t>pathological complete response,</w:t>
      </w:r>
      <w:r>
        <w:rPr>
          <w:sz w:val="22"/>
          <w:szCs w:val="22"/>
          <w:lang w:val="hr-HR"/>
        </w:rPr>
        <w:t xml:space="preserve"> pCR] i preživljavanjem bez pojave događaja (engl. Event-free survival, EFS)) niti bezbjednost određenu na osnovu nastupa reakcija povezanih sa primjenom lijeka Herceptin za intravensku primjenu.</w:t>
      </w:r>
    </w:p>
    <w:p w14:paraId="3492D947" w14:textId="77777777" w:rsidR="00B05AA9" w:rsidRDefault="00B05AA9" w:rsidP="00641EEB">
      <w:pPr>
        <w:jc w:val="both"/>
        <w:rPr>
          <w:sz w:val="22"/>
          <w:szCs w:val="22"/>
          <w:lang w:val="hr-HR"/>
        </w:rPr>
      </w:pPr>
    </w:p>
    <w:p w14:paraId="0763C689" w14:textId="4E91AE7D" w:rsidR="00B05AA9" w:rsidRDefault="00B05AA9" w:rsidP="00641EEB">
      <w:pPr>
        <w:jc w:val="both"/>
        <w:rPr>
          <w:sz w:val="22"/>
          <w:szCs w:val="22"/>
          <w:lang w:val="hr-HR"/>
        </w:rPr>
      </w:pPr>
      <w:r>
        <w:rPr>
          <w:sz w:val="22"/>
          <w:szCs w:val="22"/>
          <w:lang w:val="hr-HR"/>
        </w:rPr>
        <w:t>Nema dostupnih podataka o imunogenosti lijeka Herceptin kod karcinoma želuca.</w:t>
      </w:r>
    </w:p>
    <w:p w14:paraId="19C43576" w14:textId="77777777" w:rsidR="00B05AA9" w:rsidRDefault="00B05AA9" w:rsidP="00641EEB">
      <w:pPr>
        <w:jc w:val="both"/>
        <w:rPr>
          <w:sz w:val="22"/>
          <w:szCs w:val="22"/>
          <w:u w:val="single"/>
          <w:lang w:val="hr-HR"/>
        </w:rPr>
      </w:pPr>
    </w:p>
    <w:p w14:paraId="1743BDFC" w14:textId="77777777" w:rsidR="00B05AA9" w:rsidRDefault="00B05AA9" w:rsidP="00641EEB">
      <w:pPr>
        <w:jc w:val="both"/>
        <w:rPr>
          <w:sz w:val="22"/>
          <w:szCs w:val="22"/>
          <w:u w:val="single"/>
          <w:lang w:val="hr-HR"/>
        </w:rPr>
      </w:pPr>
      <w:r>
        <w:rPr>
          <w:sz w:val="22"/>
          <w:szCs w:val="22"/>
          <w:u w:val="single"/>
          <w:lang w:val="hr-HR"/>
        </w:rPr>
        <w:t>Prelazak sa liječenja intravenskom formulacijom lijeka Herceptin na subkutanu formulaciju lijeka Herceptin i obrnuto</w:t>
      </w:r>
    </w:p>
    <w:p w14:paraId="1CDC1AAB" w14:textId="77777777" w:rsidR="00B05AA9" w:rsidRDefault="00B05AA9" w:rsidP="00641EEB">
      <w:pPr>
        <w:jc w:val="both"/>
        <w:rPr>
          <w:sz w:val="22"/>
          <w:szCs w:val="22"/>
          <w:lang w:val="hr-HR"/>
        </w:rPr>
      </w:pPr>
    </w:p>
    <w:p w14:paraId="42F7D119" w14:textId="3E0B8C61" w:rsidR="00B05AA9" w:rsidRDefault="00B05AA9" w:rsidP="00641EEB">
      <w:pPr>
        <w:jc w:val="both"/>
        <w:rPr>
          <w:sz w:val="22"/>
          <w:szCs w:val="22"/>
          <w:lang w:val="hr-HR"/>
        </w:rPr>
      </w:pPr>
      <w:r>
        <w:rPr>
          <w:sz w:val="22"/>
          <w:szCs w:val="22"/>
          <w:lang w:val="hr-HR"/>
        </w:rPr>
        <w:t xml:space="preserve">U Studiji MO22982 istraživao se prelazak sa intravenske formulacije lijeka Herceptin na subkutanu formulaciju lijeka Herceptin i obrnuto, a primarni je cilj bio da se ocijeni da li pacijenti daju prednost </w:t>
      </w:r>
      <w:r>
        <w:rPr>
          <w:sz w:val="22"/>
          <w:szCs w:val="22"/>
          <w:lang w:val="hr-HR"/>
        </w:rPr>
        <w:lastRenderedPageBreak/>
        <w:t xml:space="preserve">intravenskom ili subkutanom putu primjene trastuzumaba. U ovoj </w:t>
      </w:r>
      <w:r w:rsidR="00CE3611">
        <w:rPr>
          <w:sz w:val="22"/>
          <w:szCs w:val="22"/>
          <w:lang w:val="hr-HR"/>
        </w:rPr>
        <w:t>s</w:t>
      </w:r>
      <w:r>
        <w:rPr>
          <w:sz w:val="22"/>
          <w:szCs w:val="22"/>
          <w:lang w:val="hr-HR"/>
        </w:rPr>
        <w:t>tudiji su se ocjenjivale 2 kohorte (jedna je primjenjivala subkutanu formulaciju u bočici, a druga subkutanu formulaciju u sistemu za primjenu). Radilo se o ukr</w:t>
      </w:r>
      <w:r w:rsidRPr="00442616">
        <w:rPr>
          <w:sz w:val="22"/>
          <w:szCs w:val="22"/>
          <w:lang w:val="hr-HR"/>
        </w:rPr>
        <w:t>š</w:t>
      </w:r>
      <w:r>
        <w:rPr>
          <w:sz w:val="22"/>
          <w:szCs w:val="22"/>
          <w:lang w:val="hr-HR"/>
        </w:rPr>
        <w:t>tenoj Studiji sa dvije grupe, u kojoj je 488 pacijenata bilo randomizovano da prima jedan od dva različita tronedjeljna sljedova liječenja lijekom Herceptin (i.v. [1.</w:t>
      </w:r>
      <w:r>
        <w:rPr>
          <w:sz w:val="22"/>
          <w:szCs w:val="22"/>
          <w:lang w:val="hr-HR"/>
        </w:rPr>
        <w:noBreakHyphen/>
        <w:t>4. ciklus] → s.c. [5.</w:t>
      </w:r>
      <w:r>
        <w:rPr>
          <w:sz w:val="22"/>
          <w:szCs w:val="22"/>
          <w:lang w:val="hr-HR"/>
        </w:rPr>
        <w:noBreakHyphen/>
        <w:t>8. ciklus] ili s.c. [1.</w:t>
      </w:r>
      <w:r>
        <w:rPr>
          <w:sz w:val="22"/>
          <w:szCs w:val="22"/>
          <w:lang w:val="hr-HR"/>
        </w:rPr>
        <w:noBreakHyphen/>
        <w:t>4. ciklus] → i.v. [5.</w:t>
      </w:r>
      <w:r>
        <w:rPr>
          <w:sz w:val="22"/>
          <w:szCs w:val="22"/>
          <w:lang w:val="hr-HR"/>
        </w:rPr>
        <w:noBreakHyphen/>
        <w:t>8. ciklus]). Pacijenti ili prethodno ni</w:t>
      </w:r>
      <w:r w:rsidR="00CE3611">
        <w:rPr>
          <w:sz w:val="22"/>
          <w:szCs w:val="22"/>
          <w:lang w:val="hr-HR"/>
        </w:rPr>
        <w:t>je</w:t>
      </w:r>
      <w:r>
        <w:rPr>
          <w:sz w:val="22"/>
          <w:szCs w:val="22"/>
          <w:lang w:val="hr-HR"/>
        </w:rPr>
        <w:t>su bili liječeni intravenskom formulacijom lijeka Herceptin (20,3%) ili su već bili izloženi intravenskoj formulaciji lijeka Herceptin (79,7%). Kod slijeda i.v. → s.c. (objedinjene kohorte koje su primale s.c. formulaciju u bočici i s.c. formulaciju u sisitemu za primjenu), stopa neželjenih dejstava (svih stepeni) prije prelaska (1.</w:t>
      </w:r>
      <w:r>
        <w:rPr>
          <w:sz w:val="22"/>
          <w:szCs w:val="22"/>
          <w:lang w:val="hr-HR"/>
        </w:rPr>
        <w:noBreakHyphen/>
        <w:t>4. ciklus) iznosila je 53,8%, a nakon prelaska (5.</w:t>
      </w:r>
      <w:r>
        <w:rPr>
          <w:sz w:val="22"/>
          <w:szCs w:val="22"/>
          <w:lang w:val="hr-HR"/>
        </w:rPr>
        <w:noBreakHyphen/>
        <w:t>8. ciklus) 56,4%; kod slijeda s.c. → i.v. (objedinjene kohorte koje su primale s.c. formulaciju u bočici i s.c. formulaciju u sistemu za primjenu), stopa neželjenih dejstava (svih stepeni) prije prelaska iznosila je 65,4%, a nakon prelaska 48,7%.</w:t>
      </w:r>
    </w:p>
    <w:p w14:paraId="381D8C67" w14:textId="77777777" w:rsidR="00B05AA9" w:rsidRDefault="00B05AA9" w:rsidP="00641EEB">
      <w:pPr>
        <w:jc w:val="both"/>
        <w:rPr>
          <w:sz w:val="22"/>
          <w:szCs w:val="22"/>
          <w:lang w:val="hr-HR"/>
        </w:rPr>
      </w:pPr>
      <w:r>
        <w:rPr>
          <w:sz w:val="22"/>
          <w:szCs w:val="22"/>
          <w:lang w:val="hr-HR"/>
        </w:rPr>
        <w:t>Stope ozbiljnih neželjenih dejstava, neželjena dejstva 3. stepena i prekida liječenja zbog neželjenih dejstava zabilježene prije prelaska (1.</w:t>
      </w:r>
      <w:r>
        <w:rPr>
          <w:sz w:val="22"/>
          <w:szCs w:val="22"/>
          <w:lang w:val="hr-HR"/>
        </w:rPr>
        <w:noBreakHyphen/>
        <w:t>4. ciklus) bile su niske (&lt;5%) i slične onima primjećenima nakon prelaska (5.</w:t>
      </w:r>
      <w:r>
        <w:rPr>
          <w:sz w:val="22"/>
          <w:szCs w:val="22"/>
          <w:lang w:val="hr-HR"/>
        </w:rPr>
        <w:noBreakHyphen/>
        <w:t>8. ciklus). Nije prijavljeno nijedno neželjeno dejstvo  4. ili 5. stepena.</w:t>
      </w:r>
    </w:p>
    <w:p w14:paraId="5FFDDCB3" w14:textId="77777777" w:rsidR="00B05AA9" w:rsidRPr="00442616" w:rsidRDefault="00B05AA9" w:rsidP="00641EEB">
      <w:pPr>
        <w:tabs>
          <w:tab w:val="left" w:pos="540"/>
          <w:tab w:val="left" w:pos="569"/>
        </w:tabs>
        <w:rPr>
          <w:b/>
          <w:bCs/>
          <w:sz w:val="22"/>
          <w:szCs w:val="22"/>
          <w:lang w:val="hr-HR"/>
        </w:rPr>
      </w:pPr>
    </w:p>
    <w:p w14:paraId="1880DDE5" w14:textId="77777777" w:rsidR="005A23D2" w:rsidRPr="00786071" w:rsidRDefault="005A23D2" w:rsidP="00641EEB">
      <w:pPr>
        <w:rPr>
          <w:rFonts w:eastAsia="Calibri"/>
          <w:sz w:val="22"/>
          <w:szCs w:val="22"/>
          <w:u w:val="single"/>
          <w:lang w:val="sr-Latn-RS"/>
        </w:rPr>
      </w:pPr>
      <w:r w:rsidRPr="00786071">
        <w:rPr>
          <w:rFonts w:eastAsia="Calibri"/>
          <w:sz w:val="22"/>
          <w:szCs w:val="22"/>
          <w:u w:val="single"/>
          <w:lang w:val="sr-Latn-RS"/>
        </w:rPr>
        <w:t>Prijavljivanje sumnji na neželjena dejstva</w:t>
      </w:r>
    </w:p>
    <w:p w14:paraId="6889CF4F" w14:textId="77777777" w:rsidR="00753748" w:rsidRPr="00786071" w:rsidRDefault="00753748" w:rsidP="00641EEB">
      <w:pPr>
        <w:jc w:val="both"/>
        <w:rPr>
          <w:rFonts w:eastAsia="Calibri"/>
          <w:sz w:val="22"/>
          <w:szCs w:val="22"/>
          <w:lang w:val="sr-Latn-RS"/>
        </w:rPr>
      </w:pPr>
      <w:r w:rsidRPr="00786071">
        <w:rPr>
          <w:rFonts w:eastAsia="Calibri"/>
          <w:sz w:val="22"/>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 w:val="22"/>
          <w:szCs w:val="22"/>
          <w:lang w:val="sr-Latn-RS"/>
        </w:rPr>
        <w:t>Institutu</w:t>
      </w:r>
      <w:r w:rsidRPr="00786071">
        <w:rPr>
          <w:rFonts w:eastAsia="Calibri"/>
          <w:sz w:val="22"/>
          <w:szCs w:val="22"/>
          <w:lang w:val="sr-Latn-RS"/>
        </w:rPr>
        <w:t xml:space="preserve"> za ljekove i medicinska sredstva</w:t>
      </w:r>
      <w:r>
        <w:rPr>
          <w:rFonts w:eastAsia="Calibri"/>
          <w:sz w:val="22"/>
          <w:szCs w:val="22"/>
          <w:lang w:val="sr-Latn-RS"/>
        </w:rPr>
        <w:t xml:space="preserve"> </w:t>
      </w:r>
      <w:r w:rsidRPr="00786071">
        <w:rPr>
          <w:rFonts w:eastAsia="Calibri"/>
          <w:sz w:val="22"/>
          <w:szCs w:val="22"/>
          <w:lang w:val="sr-Latn-RS"/>
        </w:rPr>
        <w:t>(C</w:t>
      </w:r>
      <w:r>
        <w:rPr>
          <w:rFonts w:eastAsia="Calibri"/>
          <w:sz w:val="22"/>
          <w:szCs w:val="22"/>
          <w:lang w:val="sr-Latn-RS"/>
        </w:rPr>
        <w:t>InMED</w:t>
      </w:r>
      <w:r w:rsidRPr="00786071">
        <w:rPr>
          <w:rFonts w:eastAsia="Calibri"/>
          <w:sz w:val="22"/>
          <w:szCs w:val="22"/>
          <w:lang w:val="sr-Latn-RS"/>
        </w:rPr>
        <w:t>):</w:t>
      </w:r>
    </w:p>
    <w:p w14:paraId="09E2F0E1" w14:textId="77777777" w:rsidR="00753748" w:rsidRPr="00786071" w:rsidRDefault="00753748" w:rsidP="00641EEB">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623F9FC8" w14:textId="77777777" w:rsidR="00753748" w:rsidRPr="00786071" w:rsidRDefault="00753748" w:rsidP="00641EEB">
      <w:pPr>
        <w:pStyle w:val="NoSpacing"/>
        <w:jc w:val="both"/>
        <w:rPr>
          <w:rFonts w:eastAsia="Calibri"/>
          <w:sz w:val="22"/>
          <w:szCs w:val="22"/>
          <w:lang w:val="sr-Latn-RS"/>
        </w:rPr>
      </w:pPr>
      <w:r w:rsidRPr="00786071">
        <w:rPr>
          <w:rFonts w:eastAsia="Calibri"/>
          <w:sz w:val="22"/>
          <w:szCs w:val="22"/>
          <w:lang w:val="sr-Latn-RS"/>
        </w:rPr>
        <w:t>Odjeljenje za farmakovigilancu</w:t>
      </w:r>
    </w:p>
    <w:p w14:paraId="3DE1B6C4" w14:textId="77777777" w:rsidR="00753748" w:rsidRPr="00786071" w:rsidRDefault="00753748" w:rsidP="00641EEB">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172D4164" w14:textId="77777777" w:rsidR="00753748" w:rsidRPr="00786071" w:rsidRDefault="00753748" w:rsidP="00641EEB">
      <w:pPr>
        <w:pStyle w:val="NoSpacing"/>
        <w:rPr>
          <w:rFonts w:eastAsia="Calibri"/>
          <w:sz w:val="22"/>
          <w:szCs w:val="22"/>
          <w:lang w:val="sr-Latn-RS"/>
        </w:rPr>
      </w:pPr>
    </w:p>
    <w:p w14:paraId="3E32580B" w14:textId="77777777" w:rsidR="00753748" w:rsidRPr="00786071" w:rsidRDefault="00753748" w:rsidP="00641EEB">
      <w:pPr>
        <w:pStyle w:val="NoSpacing"/>
        <w:jc w:val="both"/>
        <w:rPr>
          <w:rFonts w:eastAsia="Calibri"/>
          <w:sz w:val="22"/>
          <w:szCs w:val="22"/>
          <w:lang w:val="sr-Latn-RS"/>
        </w:rPr>
      </w:pPr>
      <w:r w:rsidRPr="00786071">
        <w:rPr>
          <w:rFonts w:eastAsia="Calibri"/>
          <w:sz w:val="22"/>
          <w:szCs w:val="22"/>
          <w:lang w:val="sr-Latn-RS"/>
        </w:rPr>
        <w:t>tel: +382 (0) 20 310 280</w:t>
      </w:r>
    </w:p>
    <w:p w14:paraId="2C68791C" w14:textId="77777777" w:rsidR="00753748" w:rsidRPr="00786071" w:rsidRDefault="00753748" w:rsidP="00641EEB">
      <w:pPr>
        <w:pStyle w:val="NoSpacing"/>
        <w:jc w:val="both"/>
        <w:rPr>
          <w:rFonts w:eastAsia="Calibri"/>
          <w:sz w:val="22"/>
          <w:szCs w:val="22"/>
          <w:lang w:val="sr-Latn-RS"/>
        </w:rPr>
      </w:pPr>
      <w:r w:rsidRPr="00786071">
        <w:rPr>
          <w:rFonts w:eastAsia="Calibri"/>
          <w:sz w:val="22"/>
          <w:szCs w:val="22"/>
          <w:lang w:val="sr-Latn-RS"/>
        </w:rPr>
        <w:t>fax: +382 (0) 20 310 581</w:t>
      </w:r>
    </w:p>
    <w:p w14:paraId="3EFAFC37" w14:textId="63D3C420" w:rsidR="00753748" w:rsidRPr="00786071" w:rsidRDefault="00DB1E7C" w:rsidP="00641EEB">
      <w:pPr>
        <w:pStyle w:val="NoSpacing"/>
        <w:jc w:val="both"/>
        <w:rPr>
          <w:rFonts w:eastAsia="Calibri"/>
          <w:sz w:val="22"/>
          <w:szCs w:val="22"/>
          <w:lang w:val="sr-Latn-RS"/>
        </w:rPr>
      </w:pPr>
      <w:hyperlink r:id="rId11" w:history="1">
        <w:r w:rsidR="00753748" w:rsidRPr="00B664A0">
          <w:rPr>
            <w:rStyle w:val="Hyperlink"/>
            <w:rFonts w:eastAsia="Calibri"/>
            <w:sz w:val="22"/>
            <w:szCs w:val="22"/>
            <w:lang w:val="sr-Latn-RS"/>
          </w:rPr>
          <w:t>www.cinmed.me</w:t>
        </w:r>
      </w:hyperlink>
    </w:p>
    <w:p w14:paraId="3DAAAA0A" w14:textId="4E17F8EF" w:rsidR="00753748" w:rsidRPr="00786071" w:rsidRDefault="00DB1E7C" w:rsidP="00641EEB">
      <w:pPr>
        <w:pStyle w:val="NoSpacing"/>
        <w:jc w:val="both"/>
        <w:rPr>
          <w:rFonts w:eastAsia="Calibri"/>
          <w:color w:val="0000FF"/>
          <w:sz w:val="22"/>
          <w:szCs w:val="22"/>
          <w:u w:val="single"/>
          <w:lang w:val="sr-Latn-RS"/>
        </w:rPr>
      </w:pPr>
      <w:hyperlink r:id="rId12" w:history="1">
        <w:r w:rsidR="00753748" w:rsidRPr="00B664A0">
          <w:rPr>
            <w:rStyle w:val="Hyperlink"/>
            <w:rFonts w:eastAsia="Calibri"/>
            <w:sz w:val="22"/>
            <w:szCs w:val="22"/>
            <w:lang w:val="sr-Latn-RS"/>
          </w:rPr>
          <w:t>nezeljenadejstva@cinmed.me</w:t>
        </w:r>
      </w:hyperlink>
    </w:p>
    <w:p w14:paraId="574A163A" w14:textId="3A18C65E" w:rsidR="00753748" w:rsidRDefault="00753748" w:rsidP="00641EEB">
      <w:pPr>
        <w:pStyle w:val="NoSpacing"/>
        <w:jc w:val="both"/>
        <w:rPr>
          <w:rFonts w:eastAsia="Calibri"/>
          <w:sz w:val="22"/>
          <w:szCs w:val="22"/>
          <w:lang w:val="sr-Latn-RS"/>
        </w:rPr>
      </w:pPr>
      <w:r w:rsidRPr="00786071">
        <w:rPr>
          <w:rFonts w:eastAsia="Calibri"/>
          <w:sz w:val="22"/>
          <w:szCs w:val="22"/>
          <w:lang w:val="sr-Latn-RS"/>
        </w:rPr>
        <w:t>putem IS zdravstvene zaštite</w:t>
      </w:r>
    </w:p>
    <w:p w14:paraId="60EB1A92" w14:textId="77777777" w:rsidR="00CE3611" w:rsidRDefault="00CE3611" w:rsidP="00641EEB">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36673B91" w14:textId="77777777" w:rsidR="00CE3611" w:rsidRDefault="00CE3611" w:rsidP="00641EEB">
      <w:pPr>
        <w:pStyle w:val="NoSpacing"/>
        <w:jc w:val="both"/>
        <w:rPr>
          <w:rFonts w:eastAsia="Calibri"/>
          <w:sz w:val="22"/>
          <w:szCs w:val="22"/>
          <w:lang w:val="sr-Latn-RS"/>
        </w:rPr>
      </w:pPr>
    </w:p>
    <w:p w14:paraId="637ED897" w14:textId="5BD2BA3D" w:rsidR="00CE3611" w:rsidRPr="00786071" w:rsidRDefault="00CE3611" w:rsidP="00BA76B8">
      <w:pPr>
        <w:pStyle w:val="NoSpacing"/>
        <w:rPr>
          <w:rFonts w:eastAsia="Calibri"/>
          <w:sz w:val="22"/>
          <w:szCs w:val="22"/>
          <w:lang w:val="sr-Latn-RS"/>
        </w:rPr>
      </w:pPr>
      <w:r>
        <w:rPr>
          <w:noProof/>
        </w:rPr>
        <w:drawing>
          <wp:inline distT="0" distB="0" distL="0" distR="0" wp14:anchorId="07C0F91C" wp14:editId="11214BBD">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880DDF0" w14:textId="77777777" w:rsidR="00836B35" w:rsidRPr="00442616" w:rsidRDefault="00836B35" w:rsidP="00641EEB">
      <w:pPr>
        <w:tabs>
          <w:tab w:val="left" w:pos="540"/>
          <w:tab w:val="left" w:pos="569"/>
        </w:tabs>
        <w:rPr>
          <w:b/>
          <w:bCs/>
          <w:sz w:val="22"/>
          <w:szCs w:val="22"/>
          <w:lang w:val="sr-Latn-RS"/>
        </w:rPr>
      </w:pPr>
    </w:p>
    <w:p w14:paraId="1880DDF1" w14:textId="77777777" w:rsidR="00CD6F02" w:rsidRPr="00786071" w:rsidRDefault="0072020E" w:rsidP="00641EEB">
      <w:pPr>
        <w:tabs>
          <w:tab w:val="left" w:pos="540"/>
          <w:tab w:val="left" w:pos="569"/>
        </w:tabs>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14:paraId="1880DDF2" w14:textId="1780854A" w:rsidR="00CD6F02" w:rsidRDefault="00CD6F02" w:rsidP="00641EEB">
      <w:pPr>
        <w:tabs>
          <w:tab w:val="left" w:pos="540"/>
          <w:tab w:val="left" w:pos="569"/>
        </w:tabs>
        <w:rPr>
          <w:b/>
          <w:bCs/>
          <w:sz w:val="22"/>
          <w:szCs w:val="22"/>
        </w:rPr>
      </w:pPr>
    </w:p>
    <w:p w14:paraId="38863596" w14:textId="51063F16" w:rsidR="00B05AA9" w:rsidRDefault="00B05AA9" w:rsidP="00641EEB">
      <w:pPr>
        <w:tabs>
          <w:tab w:val="left" w:pos="284"/>
        </w:tabs>
        <w:jc w:val="both"/>
        <w:rPr>
          <w:sz w:val="22"/>
          <w:szCs w:val="22"/>
          <w:lang w:val="sr-Latn-CS"/>
        </w:rPr>
      </w:pPr>
      <w:r>
        <w:rPr>
          <w:sz w:val="22"/>
          <w:szCs w:val="22"/>
          <w:lang w:val="sr-Latn-CS"/>
        </w:rPr>
        <w:t xml:space="preserve">Nije bilo iskustava sa predoziranjem u kliničkim ispitivanjima na ljudima. Nijesu ispitivane pojedinačne doze </w:t>
      </w:r>
      <w:r w:rsidR="00335A9D">
        <w:rPr>
          <w:sz w:val="22"/>
          <w:szCs w:val="22"/>
          <w:lang w:val="sr-Latn-CS"/>
        </w:rPr>
        <w:t xml:space="preserve">lijeka </w:t>
      </w:r>
      <w:r>
        <w:rPr>
          <w:sz w:val="22"/>
          <w:szCs w:val="22"/>
          <w:lang w:val="sr-Latn-CS"/>
        </w:rPr>
        <w:t>Herceptin veće od 10</w:t>
      </w:r>
      <w:r w:rsidR="00335A9D">
        <w:rPr>
          <w:sz w:val="22"/>
          <w:szCs w:val="22"/>
          <w:lang w:val="sr-Latn-CS"/>
        </w:rPr>
        <w:t xml:space="preserve"> </w:t>
      </w:r>
      <w:r>
        <w:rPr>
          <w:sz w:val="22"/>
          <w:szCs w:val="22"/>
          <w:lang w:val="sr-Latn-CS"/>
        </w:rPr>
        <w:t xml:space="preserve">mg/kg; doza održavanja od 10 mg/kg svake 3 nedjelje nakon udarne doze od 8 mg/kg ispitivana je u kliničkom ispitivanju kod pacijenata sa metastatskim rakom želuca. </w:t>
      </w:r>
      <w:r>
        <w:rPr>
          <w:sz w:val="22"/>
          <w:szCs w:val="22"/>
        </w:rPr>
        <w:t>Doze</w:t>
      </w:r>
      <w:r>
        <w:rPr>
          <w:sz w:val="22"/>
          <w:szCs w:val="22"/>
          <w:lang w:val="sr-Latn-CS"/>
        </w:rPr>
        <w:t xml:space="preserve"> </w:t>
      </w:r>
      <w:r>
        <w:rPr>
          <w:sz w:val="22"/>
          <w:szCs w:val="22"/>
        </w:rPr>
        <w:t>do</w:t>
      </w:r>
      <w:r>
        <w:rPr>
          <w:sz w:val="22"/>
          <w:szCs w:val="22"/>
          <w:lang w:val="sr-Latn-CS"/>
        </w:rPr>
        <w:t xml:space="preserve"> </w:t>
      </w:r>
      <w:r>
        <w:rPr>
          <w:sz w:val="22"/>
          <w:szCs w:val="22"/>
        </w:rPr>
        <w:t>ove</w:t>
      </w:r>
      <w:r>
        <w:rPr>
          <w:sz w:val="22"/>
          <w:szCs w:val="22"/>
          <w:lang w:val="sr-Latn-CS"/>
        </w:rPr>
        <w:t xml:space="preserve"> </w:t>
      </w:r>
      <w:r>
        <w:rPr>
          <w:sz w:val="22"/>
          <w:szCs w:val="22"/>
        </w:rPr>
        <w:t>vrijednosti</w:t>
      </w:r>
      <w:r>
        <w:rPr>
          <w:sz w:val="22"/>
          <w:szCs w:val="22"/>
          <w:lang w:val="sr-Latn-CS"/>
        </w:rPr>
        <w:t xml:space="preserve"> </w:t>
      </w:r>
      <w:r>
        <w:rPr>
          <w:sz w:val="22"/>
          <w:szCs w:val="22"/>
        </w:rPr>
        <w:t>pacijenti</w:t>
      </w:r>
      <w:r>
        <w:rPr>
          <w:sz w:val="22"/>
          <w:szCs w:val="22"/>
          <w:lang w:val="sr-Latn-CS"/>
        </w:rPr>
        <w:t xml:space="preserve"> </w:t>
      </w:r>
      <w:r>
        <w:rPr>
          <w:sz w:val="22"/>
          <w:szCs w:val="22"/>
        </w:rPr>
        <w:t>su</w:t>
      </w:r>
      <w:r>
        <w:rPr>
          <w:sz w:val="22"/>
          <w:szCs w:val="22"/>
          <w:lang w:val="sr-Latn-CS"/>
        </w:rPr>
        <w:t xml:space="preserve"> </w:t>
      </w:r>
      <w:proofErr w:type="gramStart"/>
      <w:r>
        <w:rPr>
          <w:sz w:val="22"/>
          <w:szCs w:val="22"/>
        </w:rPr>
        <w:t>dobro</w:t>
      </w:r>
      <w:proofErr w:type="gramEnd"/>
      <w:r>
        <w:rPr>
          <w:sz w:val="22"/>
          <w:szCs w:val="22"/>
          <w:lang w:val="sr-Latn-CS"/>
        </w:rPr>
        <w:t xml:space="preserve"> </w:t>
      </w:r>
      <w:r>
        <w:rPr>
          <w:sz w:val="22"/>
          <w:szCs w:val="22"/>
        </w:rPr>
        <w:t>podnosili</w:t>
      </w:r>
      <w:r>
        <w:rPr>
          <w:sz w:val="22"/>
          <w:szCs w:val="22"/>
          <w:lang w:val="sr-Latn-CS"/>
        </w:rPr>
        <w:t xml:space="preserve">.  </w:t>
      </w:r>
    </w:p>
    <w:p w14:paraId="410DE4B4" w14:textId="77777777" w:rsidR="00335A9D" w:rsidRPr="00B05AA9" w:rsidRDefault="00335A9D" w:rsidP="00641EEB">
      <w:pPr>
        <w:tabs>
          <w:tab w:val="left" w:pos="284"/>
        </w:tabs>
        <w:jc w:val="both"/>
        <w:rPr>
          <w:sz w:val="22"/>
          <w:szCs w:val="22"/>
          <w:lang w:val="sr-Latn-CS"/>
        </w:rPr>
      </w:pPr>
    </w:p>
    <w:p w14:paraId="1880DDF3" w14:textId="77777777" w:rsidR="00227BDB" w:rsidRPr="00442616" w:rsidRDefault="00227BDB" w:rsidP="00641EEB">
      <w:pPr>
        <w:tabs>
          <w:tab w:val="left" w:pos="540"/>
          <w:tab w:val="left" w:pos="569"/>
        </w:tabs>
        <w:rPr>
          <w:b/>
          <w:bCs/>
          <w:sz w:val="22"/>
          <w:szCs w:val="22"/>
          <w:lang w:val="sr-Latn-CS"/>
        </w:rPr>
      </w:pPr>
    </w:p>
    <w:p w14:paraId="1880DDF4" w14:textId="77777777" w:rsidR="0072020E" w:rsidRPr="00442616" w:rsidRDefault="0072020E" w:rsidP="00641EEB">
      <w:pPr>
        <w:tabs>
          <w:tab w:val="left" w:pos="540"/>
          <w:tab w:val="left" w:pos="569"/>
        </w:tabs>
        <w:rPr>
          <w:b/>
          <w:bCs/>
          <w:sz w:val="22"/>
          <w:szCs w:val="22"/>
          <w:lang w:val="sr-Latn-CS"/>
        </w:rPr>
      </w:pPr>
      <w:r w:rsidRPr="00442616">
        <w:rPr>
          <w:b/>
          <w:bCs/>
          <w:sz w:val="22"/>
          <w:szCs w:val="22"/>
          <w:lang w:val="sr-Latn-CS"/>
        </w:rPr>
        <w:t xml:space="preserve">5. </w:t>
      </w:r>
      <w:r w:rsidR="00480FB1" w:rsidRPr="00442616">
        <w:rPr>
          <w:b/>
          <w:bCs/>
          <w:sz w:val="22"/>
          <w:szCs w:val="22"/>
          <w:lang w:val="sr-Latn-CS"/>
        </w:rPr>
        <w:tab/>
      </w:r>
      <w:r w:rsidRPr="00786071">
        <w:rPr>
          <w:b/>
          <w:bCs/>
          <w:sz w:val="22"/>
          <w:szCs w:val="22"/>
        </w:rPr>
        <w:t>FARMAKOLO</w:t>
      </w:r>
      <w:r w:rsidRPr="00442616">
        <w:rPr>
          <w:b/>
          <w:bCs/>
          <w:sz w:val="22"/>
          <w:szCs w:val="22"/>
          <w:lang w:val="sr-Latn-CS"/>
        </w:rPr>
        <w:t>Š</w:t>
      </w:r>
      <w:r w:rsidRPr="00786071">
        <w:rPr>
          <w:b/>
          <w:bCs/>
          <w:sz w:val="22"/>
          <w:szCs w:val="22"/>
        </w:rPr>
        <w:t>K</w:t>
      </w:r>
      <w:r w:rsidR="000D425A" w:rsidRPr="00786071">
        <w:rPr>
          <w:b/>
          <w:bCs/>
          <w:sz w:val="22"/>
          <w:szCs w:val="22"/>
        </w:rPr>
        <w:t>I</w:t>
      </w:r>
      <w:r w:rsidRPr="00442616">
        <w:rPr>
          <w:b/>
          <w:bCs/>
          <w:sz w:val="22"/>
          <w:szCs w:val="22"/>
          <w:lang w:val="sr-Latn-CS"/>
        </w:rPr>
        <w:t xml:space="preserve"> </w:t>
      </w:r>
      <w:r w:rsidRPr="00786071">
        <w:rPr>
          <w:b/>
          <w:bCs/>
          <w:sz w:val="22"/>
          <w:szCs w:val="22"/>
        </w:rPr>
        <w:t>PODACI</w:t>
      </w:r>
    </w:p>
    <w:p w14:paraId="1880DDF5" w14:textId="77777777" w:rsidR="0072020E" w:rsidRPr="00442616" w:rsidRDefault="0072020E" w:rsidP="00641EEB">
      <w:pPr>
        <w:tabs>
          <w:tab w:val="left" w:pos="540"/>
          <w:tab w:val="left" w:pos="569"/>
        </w:tabs>
        <w:rPr>
          <w:b/>
          <w:bCs/>
          <w:sz w:val="22"/>
          <w:szCs w:val="22"/>
          <w:lang w:val="sr-Latn-CS"/>
        </w:rPr>
      </w:pPr>
    </w:p>
    <w:p w14:paraId="1880DDF6" w14:textId="77777777" w:rsidR="0072020E" w:rsidRPr="00442616" w:rsidRDefault="0072020E" w:rsidP="00641EEB">
      <w:pPr>
        <w:tabs>
          <w:tab w:val="left" w:pos="540"/>
          <w:tab w:val="left" w:pos="569"/>
        </w:tabs>
        <w:rPr>
          <w:b/>
          <w:bCs/>
          <w:sz w:val="22"/>
          <w:szCs w:val="22"/>
          <w:lang w:val="sr-Latn-CS"/>
        </w:rPr>
      </w:pPr>
      <w:r w:rsidRPr="00442616">
        <w:rPr>
          <w:b/>
          <w:bCs/>
          <w:sz w:val="22"/>
          <w:szCs w:val="22"/>
          <w:lang w:val="sr-Latn-CS"/>
        </w:rPr>
        <w:t xml:space="preserve">5.1. </w:t>
      </w:r>
      <w:r w:rsidR="00480FB1" w:rsidRPr="00442616">
        <w:rPr>
          <w:b/>
          <w:bCs/>
          <w:sz w:val="22"/>
          <w:szCs w:val="22"/>
          <w:lang w:val="sr-Latn-CS"/>
        </w:rPr>
        <w:tab/>
      </w:r>
      <w:r w:rsidRPr="00786071">
        <w:rPr>
          <w:b/>
          <w:bCs/>
          <w:sz w:val="22"/>
          <w:szCs w:val="22"/>
        </w:rPr>
        <w:t>Farmakodinamski</w:t>
      </w:r>
      <w:r w:rsidRPr="00442616">
        <w:rPr>
          <w:b/>
          <w:bCs/>
          <w:sz w:val="22"/>
          <w:szCs w:val="22"/>
          <w:lang w:val="sr-Latn-CS"/>
        </w:rPr>
        <w:t xml:space="preserve"> </w:t>
      </w:r>
      <w:r w:rsidRPr="00786071">
        <w:rPr>
          <w:b/>
          <w:bCs/>
          <w:sz w:val="22"/>
          <w:szCs w:val="22"/>
        </w:rPr>
        <w:t>podaci</w:t>
      </w:r>
      <w:r w:rsidR="003A7059" w:rsidRPr="00442616">
        <w:rPr>
          <w:b/>
          <w:bCs/>
          <w:sz w:val="22"/>
          <w:szCs w:val="22"/>
          <w:lang w:val="sr-Latn-CS"/>
        </w:rPr>
        <w:t xml:space="preserve"> </w:t>
      </w:r>
    </w:p>
    <w:p w14:paraId="1880DDF7" w14:textId="77777777" w:rsidR="00F45F77" w:rsidRPr="00442616" w:rsidRDefault="00F45F77" w:rsidP="00641EEB">
      <w:pPr>
        <w:tabs>
          <w:tab w:val="left" w:pos="540"/>
          <w:tab w:val="left" w:pos="569"/>
        </w:tabs>
        <w:rPr>
          <w:b/>
          <w:bCs/>
          <w:sz w:val="22"/>
          <w:szCs w:val="22"/>
          <w:lang w:val="sr-Latn-CS"/>
        </w:rPr>
      </w:pPr>
    </w:p>
    <w:p w14:paraId="1880DDF8" w14:textId="1C33CCB9" w:rsidR="0072020E" w:rsidRPr="00786071" w:rsidRDefault="0072020E" w:rsidP="00641EEB">
      <w:pPr>
        <w:tabs>
          <w:tab w:val="left" w:pos="540"/>
          <w:tab w:val="left" w:pos="569"/>
        </w:tabs>
        <w:rPr>
          <w:bCs/>
          <w:sz w:val="22"/>
          <w:szCs w:val="22"/>
        </w:rPr>
      </w:pPr>
      <w:r w:rsidRPr="00786071">
        <w:rPr>
          <w:bCs/>
          <w:sz w:val="22"/>
          <w:szCs w:val="22"/>
        </w:rPr>
        <w:t>Farmakoterapijska grupa:</w:t>
      </w:r>
      <w:r w:rsidR="00B05AA9">
        <w:rPr>
          <w:bCs/>
          <w:sz w:val="22"/>
          <w:szCs w:val="22"/>
        </w:rPr>
        <w:t xml:space="preserve"> </w:t>
      </w:r>
      <w:r w:rsidR="00B05AA9">
        <w:rPr>
          <w:sz w:val="22"/>
          <w:szCs w:val="22"/>
          <w:lang w:val="sr-Latn-CS"/>
        </w:rPr>
        <w:t>Antineoplastični ljekovi, monoklonska antitijela</w:t>
      </w:r>
    </w:p>
    <w:p w14:paraId="1880DDF9" w14:textId="77777777" w:rsidR="0072020E" w:rsidRPr="00786071" w:rsidRDefault="0072020E" w:rsidP="00641EEB">
      <w:pPr>
        <w:tabs>
          <w:tab w:val="left" w:pos="540"/>
          <w:tab w:val="left" w:pos="569"/>
        </w:tabs>
        <w:rPr>
          <w:bCs/>
          <w:sz w:val="22"/>
          <w:szCs w:val="22"/>
        </w:rPr>
      </w:pPr>
    </w:p>
    <w:p w14:paraId="1880DDFA" w14:textId="64190166" w:rsidR="0072020E" w:rsidRDefault="0072020E" w:rsidP="00641EEB">
      <w:pPr>
        <w:tabs>
          <w:tab w:val="left" w:pos="540"/>
          <w:tab w:val="left" w:pos="569"/>
        </w:tabs>
        <w:rPr>
          <w:sz w:val="22"/>
          <w:szCs w:val="22"/>
        </w:rPr>
      </w:pPr>
      <w:r w:rsidRPr="00786071">
        <w:rPr>
          <w:bCs/>
          <w:sz w:val="22"/>
          <w:szCs w:val="22"/>
        </w:rPr>
        <w:t>ATC kod:</w:t>
      </w:r>
      <w:r w:rsidR="00B05AA9">
        <w:rPr>
          <w:bCs/>
          <w:sz w:val="22"/>
          <w:szCs w:val="22"/>
        </w:rPr>
        <w:t xml:space="preserve"> </w:t>
      </w:r>
      <w:r w:rsidR="00B05AA9">
        <w:rPr>
          <w:sz w:val="22"/>
          <w:szCs w:val="22"/>
        </w:rPr>
        <w:t>L01XC03</w:t>
      </w:r>
    </w:p>
    <w:p w14:paraId="2E578990" w14:textId="4DA96D1C" w:rsidR="00B05AA9" w:rsidRDefault="00B05AA9" w:rsidP="00641EEB">
      <w:pPr>
        <w:tabs>
          <w:tab w:val="left" w:pos="540"/>
          <w:tab w:val="left" w:pos="569"/>
        </w:tabs>
        <w:rPr>
          <w:sz w:val="22"/>
          <w:szCs w:val="22"/>
        </w:rPr>
      </w:pPr>
    </w:p>
    <w:p w14:paraId="6F94727E" w14:textId="2A9E7E59" w:rsidR="00B05AA9" w:rsidRDefault="00B05AA9" w:rsidP="00641EEB">
      <w:pPr>
        <w:jc w:val="both"/>
        <w:rPr>
          <w:sz w:val="22"/>
          <w:szCs w:val="22"/>
          <w:lang w:val="sr-Latn-CS"/>
        </w:rPr>
      </w:pPr>
      <w:r>
        <w:rPr>
          <w:sz w:val="22"/>
          <w:szCs w:val="22"/>
          <w:lang w:val="sr-Latn-CS"/>
        </w:rPr>
        <w:t>Trastuzumab je rekombinantno humanizovano IgG1 monoklonsko antitijelo protiv receptora  humanog epidermalnog faktora rasta</w:t>
      </w:r>
      <w:r w:rsidR="00156395">
        <w:rPr>
          <w:sz w:val="22"/>
          <w:szCs w:val="22"/>
          <w:lang w:val="sr-Latn-CS"/>
        </w:rPr>
        <w:t xml:space="preserve"> 2</w:t>
      </w:r>
      <w:r>
        <w:rPr>
          <w:sz w:val="22"/>
          <w:szCs w:val="22"/>
          <w:lang w:val="sr-Latn-CS"/>
        </w:rPr>
        <w:t xml:space="preserve"> (HER2). Prekomjerna ekspresija HER2 zabilježena je kod 20% do 30% primarnih karcinoma dojke. Ispitivanja stope HER2-pozitivnosti kod karcinoma želuca  korišćenjem imunohistohemijskih (IHC) metoda i fluorescentne </w:t>
      </w:r>
      <w:r>
        <w:rPr>
          <w:i/>
          <w:sz w:val="22"/>
          <w:szCs w:val="22"/>
          <w:lang w:val="sr-Latn-CS"/>
        </w:rPr>
        <w:t>in situ</w:t>
      </w:r>
      <w:r>
        <w:rPr>
          <w:sz w:val="22"/>
          <w:szCs w:val="22"/>
          <w:lang w:val="sr-Latn-CS"/>
        </w:rPr>
        <w:t xml:space="preserve"> hibridizacije (FISH) ili hromogene </w:t>
      </w:r>
      <w:r>
        <w:rPr>
          <w:i/>
          <w:sz w:val="22"/>
          <w:szCs w:val="22"/>
          <w:lang w:val="sr-Latn-CS"/>
        </w:rPr>
        <w:t>in situ</w:t>
      </w:r>
      <w:r>
        <w:rPr>
          <w:sz w:val="22"/>
          <w:szCs w:val="22"/>
          <w:lang w:val="sr-Latn-CS"/>
        </w:rPr>
        <w:t xml:space="preserve"> </w:t>
      </w:r>
      <w:r>
        <w:rPr>
          <w:sz w:val="22"/>
          <w:szCs w:val="22"/>
          <w:lang w:val="sr-Latn-CS"/>
        </w:rPr>
        <w:lastRenderedPageBreak/>
        <w:t xml:space="preserve">hibridizacije (CISH), su pokazala da postoji široka varijabilnost </w:t>
      </w:r>
      <w:r w:rsidR="00156395">
        <w:rPr>
          <w:sz w:val="22"/>
          <w:szCs w:val="22"/>
          <w:lang w:val="sr-Latn-CS"/>
        </w:rPr>
        <w:t xml:space="preserve">ekspresije </w:t>
      </w:r>
      <w:r>
        <w:rPr>
          <w:sz w:val="22"/>
          <w:szCs w:val="22"/>
          <w:lang w:val="sr-Latn-CS"/>
        </w:rPr>
        <w:t xml:space="preserve">HER2 koja se kreće u opsegu od 6,8%-34.0% </w:t>
      </w:r>
      <w:r w:rsidR="00156395">
        <w:rPr>
          <w:sz w:val="22"/>
          <w:szCs w:val="22"/>
          <w:lang w:val="sr-Latn-CS"/>
        </w:rPr>
        <w:t>kod</w:t>
      </w:r>
      <w:r>
        <w:rPr>
          <w:sz w:val="22"/>
          <w:szCs w:val="22"/>
          <w:lang w:val="sr-Latn-CS"/>
        </w:rPr>
        <w:t xml:space="preserve"> IHC, odnosno 7.1%-42.6% </w:t>
      </w:r>
      <w:r w:rsidR="00156395">
        <w:rPr>
          <w:sz w:val="22"/>
          <w:szCs w:val="22"/>
          <w:lang w:val="sr-Latn-CS"/>
        </w:rPr>
        <w:t>kod</w:t>
      </w:r>
      <w:r>
        <w:rPr>
          <w:sz w:val="22"/>
          <w:szCs w:val="22"/>
          <w:lang w:val="sr-Latn-CS"/>
        </w:rPr>
        <w:t xml:space="preserve"> FISH.  Ispitivanja </w:t>
      </w:r>
      <w:r w:rsidR="00156395">
        <w:rPr>
          <w:sz w:val="22"/>
          <w:szCs w:val="22"/>
          <w:lang w:val="sr-Latn-CS"/>
        </w:rPr>
        <w:t xml:space="preserve">su </w:t>
      </w:r>
      <w:r>
        <w:rPr>
          <w:sz w:val="22"/>
          <w:szCs w:val="22"/>
          <w:lang w:val="sr-Latn-CS"/>
        </w:rPr>
        <w:t>pokaz</w:t>
      </w:r>
      <w:r w:rsidR="00156395">
        <w:rPr>
          <w:sz w:val="22"/>
          <w:szCs w:val="22"/>
          <w:lang w:val="sr-Latn-CS"/>
        </w:rPr>
        <w:t>ala</w:t>
      </w:r>
      <w:r>
        <w:rPr>
          <w:sz w:val="22"/>
          <w:szCs w:val="22"/>
          <w:lang w:val="sr-Latn-CS"/>
        </w:rPr>
        <w:t xml:space="preserve"> da pacijenti sa karcinomom dojke čiji tumori pokazuju prekomjernu ekspresiju HER2 imaju kraće </w:t>
      </w:r>
      <w:r w:rsidR="00156395">
        <w:rPr>
          <w:sz w:val="22"/>
          <w:szCs w:val="22"/>
          <w:lang w:val="sr-Latn-CS"/>
        </w:rPr>
        <w:t xml:space="preserve">vrijeme </w:t>
      </w:r>
      <w:r>
        <w:rPr>
          <w:sz w:val="22"/>
          <w:szCs w:val="22"/>
          <w:lang w:val="sr-Latn-CS"/>
        </w:rPr>
        <w:t>preživljavanj</w:t>
      </w:r>
      <w:r w:rsidR="00156395">
        <w:rPr>
          <w:sz w:val="22"/>
          <w:szCs w:val="22"/>
          <w:lang w:val="sr-Latn-CS"/>
        </w:rPr>
        <w:t>a</w:t>
      </w:r>
      <w:r>
        <w:rPr>
          <w:sz w:val="22"/>
          <w:szCs w:val="22"/>
          <w:lang w:val="sr-Latn-CS"/>
        </w:rPr>
        <w:t xml:space="preserve"> bez </w:t>
      </w:r>
      <w:r w:rsidR="00156395">
        <w:rPr>
          <w:sz w:val="22"/>
          <w:szCs w:val="22"/>
          <w:lang w:val="sr-Latn-CS"/>
        </w:rPr>
        <w:t xml:space="preserve">simptoma </w:t>
      </w:r>
      <w:r>
        <w:rPr>
          <w:sz w:val="22"/>
          <w:szCs w:val="22"/>
          <w:lang w:val="sr-Latn-CS"/>
        </w:rPr>
        <w:t>bolesti u poređenju sa pacijentima čiji tumori ne pokazuju  prekomjernu ekspresiju HER2. Ekstracelularni domen ovog receptora (ECD, p105) može preći u krv i mjeriti se u uzorcima seruma.</w:t>
      </w:r>
    </w:p>
    <w:p w14:paraId="2CF944C9" w14:textId="77777777" w:rsidR="00B05AA9" w:rsidRPr="004E1F29" w:rsidRDefault="00B05AA9" w:rsidP="00641EEB">
      <w:pPr>
        <w:jc w:val="both"/>
        <w:rPr>
          <w:sz w:val="22"/>
          <w:szCs w:val="22"/>
          <w:u w:val="single"/>
          <w:lang w:val="sr-Latn-CS"/>
        </w:rPr>
      </w:pPr>
    </w:p>
    <w:p w14:paraId="69C9F087" w14:textId="713FA927" w:rsidR="00B05AA9" w:rsidRPr="004E1F29" w:rsidRDefault="00B05AA9" w:rsidP="00641EEB">
      <w:pPr>
        <w:jc w:val="both"/>
        <w:rPr>
          <w:sz w:val="22"/>
          <w:szCs w:val="22"/>
          <w:u w:val="single"/>
          <w:lang w:val="sr-Latn-CS"/>
        </w:rPr>
      </w:pPr>
      <w:r w:rsidRPr="004E1F29">
        <w:rPr>
          <w:sz w:val="22"/>
          <w:szCs w:val="22"/>
          <w:u w:val="single"/>
          <w:lang w:val="sr-Latn-CS"/>
        </w:rPr>
        <w:t>Mehanizam dejstva</w:t>
      </w:r>
    </w:p>
    <w:p w14:paraId="32493A99" w14:textId="77777777" w:rsidR="00E32C47" w:rsidRDefault="00E32C47" w:rsidP="00641EEB">
      <w:pPr>
        <w:jc w:val="both"/>
        <w:rPr>
          <w:i/>
          <w:sz w:val="22"/>
          <w:szCs w:val="22"/>
          <w:lang w:val="sr-Latn-CS"/>
        </w:rPr>
      </w:pPr>
    </w:p>
    <w:p w14:paraId="77CBBAA9" w14:textId="52A0C27B" w:rsidR="00B05AA9" w:rsidRDefault="00B05AA9" w:rsidP="00641EEB">
      <w:pPr>
        <w:jc w:val="both"/>
        <w:rPr>
          <w:sz w:val="22"/>
          <w:szCs w:val="22"/>
          <w:lang w:val="sr-Latn-CS"/>
        </w:rPr>
      </w:pPr>
      <w:r>
        <w:rPr>
          <w:sz w:val="22"/>
          <w:szCs w:val="22"/>
          <w:lang w:val="sr-Latn-CS"/>
        </w:rPr>
        <w:t xml:space="preserve">Trastuzumab se sa visokim afinitetom i specifičnošću veže za subdomen IV jukstamembranske regije  HER2 ekstracelularnog domena. Vezivanje trastuzumaba za HER2 inhibira HER 2 put signalizacije nezavisan od liganda i spečava proteolitičko </w:t>
      </w:r>
      <w:r w:rsidR="00394BC5">
        <w:rPr>
          <w:sz w:val="22"/>
          <w:szCs w:val="22"/>
          <w:lang w:val="sr-Latn-CS"/>
        </w:rPr>
        <w:t xml:space="preserve">cijepanje </w:t>
      </w:r>
      <w:r>
        <w:rPr>
          <w:sz w:val="22"/>
          <w:szCs w:val="22"/>
          <w:lang w:val="sr-Latn-CS"/>
        </w:rPr>
        <w:t xml:space="preserve">njegovih ekstracelularnih domena, koji predstavljaju aktivacijski mehanizam HER2. Kao rezultat toga, trastuzumab u </w:t>
      </w:r>
      <w:r>
        <w:rPr>
          <w:i/>
          <w:sz w:val="22"/>
          <w:szCs w:val="22"/>
          <w:lang w:val="sr-Latn-CS"/>
        </w:rPr>
        <w:t>in vitro</w:t>
      </w:r>
      <w:r>
        <w:rPr>
          <w:sz w:val="22"/>
          <w:szCs w:val="22"/>
          <w:lang w:val="sr-Latn-CS"/>
        </w:rPr>
        <w:t xml:space="preserve"> testovima i na životinjama inhibira proliferaciju humanih tumorskih ćelija sa prekomjernom ekspresijom HER2. Uz to, trastuzumab je potencijalni medijator antitijelo-zavisne ćelijski posredovane citotoksičnosti (ADCC). </w:t>
      </w:r>
      <w:r>
        <w:rPr>
          <w:i/>
          <w:sz w:val="22"/>
          <w:szCs w:val="22"/>
          <w:lang w:val="sr-Latn-CS"/>
        </w:rPr>
        <w:t>In  vitro</w:t>
      </w:r>
      <w:r>
        <w:rPr>
          <w:sz w:val="22"/>
          <w:szCs w:val="22"/>
          <w:lang w:val="sr-Latn-CS"/>
        </w:rPr>
        <w:t xml:space="preserve">, pokazano je da trastuzumabom posredovana ADCC preferencijalno djeluje na kancerske ćelije sa prekomjernom ekspresijom HER2 u poređenju sa kancerskim ćelijama koje ne pokazuju prekomjernu ekspresiju HER2. </w:t>
      </w:r>
    </w:p>
    <w:p w14:paraId="1880DDFB" w14:textId="0A94DBD4" w:rsidR="002E37A5" w:rsidRPr="00442616" w:rsidRDefault="002E37A5" w:rsidP="00641EEB">
      <w:pPr>
        <w:tabs>
          <w:tab w:val="left" w:pos="540"/>
          <w:tab w:val="left" w:pos="569"/>
        </w:tabs>
        <w:rPr>
          <w:b/>
          <w:bCs/>
          <w:sz w:val="22"/>
          <w:szCs w:val="22"/>
          <w:lang w:val="sr-Latn-CS"/>
        </w:rPr>
      </w:pPr>
    </w:p>
    <w:p w14:paraId="42D71D03" w14:textId="77777777" w:rsidR="00B05AA9" w:rsidRPr="00E32C47" w:rsidRDefault="00B05AA9" w:rsidP="00641EEB">
      <w:pPr>
        <w:jc w:val="both"/>
        <w:rPr>
          <w:sz w:val="22"/>
          <w:szCs w:val="22"/>
          <w:u w:val="single"/>
          <w:lang w:val="sr-Latn-CS"/>
        </w:rPr>
      </w:pPr>
      <w:r w:rsidRPr="00E32C47">
        <w:rPr>
          <w:sz w:val="22"/>
          <w:szCs w:val="22"/>
          <w:u w:val="single"/>
          <w:lang w:val="sr-Latn-CS"/>
        </w:rPr>
        <w:t>Detekcija prekomjerne ekspresije HER2 ili genske amplifikacije HER2</w:t>
      </w:r>
    </w:p>
    <w:p w14:paraId="5180DCAC" w14:textId="77777777" w:rsidR="00B05AA9" w:rsidRDefault="00B05AA9" w:rsidP="00641EEB">
      <w:pPr>
        <w:jc w:val="both"/>
        <w:rPr>
          <w:i/>
          <w:sz w:val="22"/>
          <w:szCs w:val="22"/>
          <w:lang w:val="sr-Latn-CS"/>
        </w:rPr>
      </w:pPr>
    </w:p>
    <w:p w14:paraId="579E917E" w14:textId="77777777" w:rsidR="00B05AA9" w:rsidRDefault="00B05AA9" w:rsidP="00641EEB">
      <w:pPr>
        <w:jc w:val="both"/>
        <w:rPr>
          <w:i/>
          <w:sz w:val="22"/>
          <w:szCs w:val="22"/>
          <w:lang w:val="sr-Latn-CS"/>
        </w:rPr>
      </w:pPr>
      <w:r>
        <w:rPr>
          <w:i/>
          <w:sz w:val="22"/>
          <w:szCs w:val="22"/>
          <w:lang w:val="sr-Latn-CS"/>
        </w:rPr>
        <w:t>Detekcija prekomjerne ekspresije HER2 ili genske amplifikacije HER2 kod karcinoma dojke</w:t>
      </w:r>
    </w:p>
    <w:p w14:paraId="794074E6" w14:textId="1AC2EAA9" w:rsidR="00B05AA9" w:rsidRDefault="00394BC5" w:rsidP="00641EEB">
      <w:pPr>
        <w:jc w:val="both"/>
        <w:rPr>
          <w:sz w:val="22"/>
          <w:szCs w:val="22"/>
          <w:lang w:val="sr-Latn-CS"/>
        </w:rPr>
      </w:pPr>
      <w:r>
        <w:rPr>
          <w:sz w:val="22"/>
          <w:szCs w:val="22"/>
          <w:lang w:val="sr-Latn-CS"/>
        </w:rPr>
        <w:t xml:space="preserve">Lijek </w:t>
      </w:r>
      <w:r w:rsidR="00B05AA9">
        <w:rPr>
          <w:sz w:val="22"/>
          <w:szCs w:val="22"/>
          <w:lang w:val="sr-Latn-CS"/>
        </w:rPr>
        <w:t xml:space="preserve">Herceptin treba koristiti samo kod pacijenata </w:t>
      </w:r>
      <w:r w:rsidR="008F647F">
        <w:rPr>
          <w:sz w:val="22"/>
          <w:szCs w:val="22"/>
          <w:lang w:val="sr-Latn-CS"/>
        </w:rPr>
        <w:t xml:space="preserve">sa </w:t>
      </w:r>
      <w:r w:rsidR="00B05AA9">
        <w:rPr>
          <w:sz w:val="22"/>
          <w:szCs w:val="22"/>
          <w:lang w:val="sr-Latn-CS"/>
        </w:rPr>
        <w:t>tumori</w:t>
      </w:r>
      <w:r w:rsidR="008F647F">
        <w:rPr>
          <w:sz w:val="22"/>
          <w:szCs w:val="22"/>
          <w:lang w:val="sr-Latn-CS"/>
        </w:rPr>
        <w:t>ma čije ćelije pokazuju</w:t>
      </w:r>
      <w:r w:rsidR="00B05AA9">
        <w:rPr>
          <w:sz w:val="22"/>
          <w:szCs w:val="22"/>
          <w:lang w:val="sr-Latn-CS"/>
        </w:rPr>
        <w:t xml:space="preserve"> p</w:t>
      </w:r>
      <w:r w:rsidR="008F647F">
        <w:rPr>
          <w:sz w:val="22"/>
          <w:szCs w:val="22"/>
          <w:lang w:val="sr-Latn-CS"/>
        </w:rPr>
        <w:t>ovećanu</w:t>
      </w:r>
      <w:r w:rsidR="00B05AA9">
        <w:rPr>
          <w:sz w:val="22"/>
          <w:szCs w:val="22"/>
          <w:lang w:val="sr-Latn-CS"/>
        </w:rPr>
        <w:t xml:space="preserve"> ekspr</w:t>
      </w:r>
      <w:r w:rsidR="005D6FD8">
        <w:rPr>
          <w:sz w:val="22"/>
          <w:szCs w:val="22"/>
          <w:lang w:val="sr-Latn-CS"/>
        </w:rPr>
        <w:t>esiju</w:t>
      </w:r>
      <w:r w:rsidR="00B05AA9">
        <w:rPr>
          <w:sz w:val="22"/>
          <w:szCs w:val="22"/>
          <w:lang w:val="sr-Latn-CS"/>
        </w:rPr>
        <w:t xml:space="preserve"> HER2 ili </w:t>
      </w:r>
      <w:r w:rsidR="008F647F">
        <w:rPr>
          <w:sz w:val="22"/>
          <w:szCs w:val="22"/>
          <w:lang w:val="sr-Latn-CS"/>
        </w:rPr>
        <w:t xml:space="preserve">HER2 </w:t>
      </w:r>
      <w:r w:rsidR="00B05AA9">
        <w:rPr>
          <w:sz w:val="22"/>
          <w:szCs w:val="22"/>
          <w:lang w:val="sr-Latn-CS"/>
        </w:rPr>
        <w:t>gensk</w:t>
      </w:r>
      <w:r w:rsidR="008F647F">
        <w:rPr>
          <w:sz w:val="22"/>
          <w:szCs w:val="22"/>
          <w:lang w:val="sr-Latn-CS"/>
        </w:rPr>
        <w:t>u</w:t>
      </w:r>
      <w:r w:rsidR="00B05AA9">
        <w:rPr>
          <w:sz w:val="22"/>
          <w:szCs w:val="22"/>
          <w:lang w:val="sr-Latn-CS"/>
        </w:rPr>
        <w:t xml:space="preserve"> amplifikacij</w:t>
      </w:r>
      <w:r w:rsidR="008F647F">
        <w:rPr>
          <w:sz w:val="22"/>
          <w:szCs w:val="22"/>
          <w:lang w:val="sr-Latn-CS"/>
        </w:rPr>
        <w:t>u</w:t>
      </w:r>
      <w:r w:rsidR="00B05AA9">
        <w:rPr>
          <w:sz w:val="22"/>
          <w:szCs w:val="22"/>
          <w:lang w:val="sr-Latn-CS"/>
        </w:rPr>
        <w:t xml:space="preserve"> potvrđen</w:t>
      </w:r>
      <w:r w:rsidR="008F647F">
        <w:rPr>
          <w:sz w:val="22"/>
          <w:szCs w:val="22"/>
          <w:lang w:val="sr-Latn-CS"/>
        </w:rPr>
        <w:t>u</w:t>
      </w:r>
      <w:r w:rsidR="00B05AA9">
        <w:rPr>
          <w:sz w:val="22"/>
          <w:szCs w:val="22"/>
          <w:lang w:val="sr-Latn-CS"/>
        </w:rPr>
        <w:t xml:space="preserve"> validiranim i preciznim testov</w:t>
      </w:r>
      <w:r w:rsidR="008F647F">
        <w:rPr>
          <w:sz w:val="22"/>
          <w:szCs w:val="22"/>
          <w:lang w:val="sr-Latn-CS"/>
        </w:rPr>
        <w:t>om</w:t>
      </w:r>
      <w:r w:rsidR="00B05AA9">
        <w:rPr>
          <w:sz w:val="22"/>
          <w:szCs w:val="22"/>
          <w:lang w:val="sr-Latn-CS"/>
        </w:rPr>
        <w:t>.  Prekomjerna ekspresija HER2 se detektuje imunohistohemijsk</w:t>
      </w:r>
      <w:r w:rsidR="008F647F">
        <w:rPr>
          <w:sz w:val="22"/>
          <w:szCs w:val="22"/>
          <w:lang w:val="sr-Latn-CS"/>
        </w:rPr>
        <w:t>om metodom</w:t>
      </w:r>
      <w:r w:rsidR="00B05AA9">
        <w:rPr>
          <w:sz w:val="22"/>
          <w:szCs w:val="22"/>
          <w:lang w:val="sr-Latn-CS"/>
        </w:rPr>
        <w:t xml:space="preserve"> (ICH) procjene fiksiranih</w:t>
      </w:r>
      <w:r w:rsidR="008F647F">
        <w:rPr>
          <w:sz w:val="22"/>
          <w:szCs w:val="22"/>
          <w:lang w:val="sr-Latn-CS"/>
        </w:rPr>
        <w:t xml:space="preserve"> </w:t>
      </w:r>
      <w:r w:rsidR="00B05AA9">
        <w:rPr>
          <w:sz w:val="22"/>
          <w:szCs w:val="22"/>
          <w:lang w:val="sr-Latn-CS"/>
        </w:rPr>
        <w:t>blokova tumor</w:t>
      </w:r>
      <w:r w:rsidR="008F647F">
        <w:rPr>
          <w:sz w:val="22"/>
          <w:szCs w:val="22"/>
          <w:lang w:val="sr-Latn-CS"/>
        </w:rPr>
        <w:t>skog tkiva</w:t>
      </w:r>
      <w:r w:rsidR="00B05AA9">
        <w:rPr>
          <w:sz w:val="22"/>
          <w:szCs w:val="22"/>
          <w:lang w:val="sr-Latn-CS"/>
        </w:rPr>
        <w:t xml:space="preserve"> (vidjeti dio 4.4). Genska amplifikacija HER2 treba da se određuje korišćenjem fluorescentne </w:t>
      </w:r>
      <w:r w:rsidR="00B05AA9">
        <w:rPr>
          <w:i/>
          <w:sz w:val="22"/>
          <w:szCs w:val="22"/>
          <w:lang w:val="sr-Latn-CS"/>
        </w:rPr>
        <w:t>in situ</w:t>
      </w:r>
      <w:r w:rsidR="00B05AA9">
        <w:rPr>
          <w:sz w:val="22"/>
          <w:szCs w:val="22"/>
          <w:lang w:val="sr-Latn-CS"/>
        </w:rPr>
        <w:t xml:space="preserve"> hibridizacije (FISH) ili hromogene </w:t>
      </w:r>
      <w:r w:rsidR="00B05AA9">
        <w:rPr>
          <w:i/>
          <w:sz w:val="22"/>
          <w:szCs w:val="22"/>
          <w:lang w:val="sr-Latn-CS"/>
        </w:rPr>
        <w:t>in situ</w:t>
      </w:r>
      <w:r w:rsidR="00B05AA9">
        <w:rPr>
          <w:sz w:val="22"/>
          <w:szCs w:val="22"/>
          <w:lang w:val="sr-Latn-CS"/>
        </w:rPr>
        <w:t xml:space="preserve"> hibridizacije (CISH)  fiksiranih </w:t>
      </w:r>
      <w:r w:rsidR="008F647F">
        <w:rPr>
          <w:sz w:val="22"/>
          <w:szCs w:val="22"/>
          <w:lang w:val="sr-Latn-CS"/>
        </w:rPr>
        <w:t xml:space="preserve">blokova </w:t>
      </w:r>
      <w:r w:rsidR="00B05AA9">
        <w:rPr>
          <w:sz w:val="22"/>
          <w:szCs w:val="22"/>
          <w:lang w:val="sr-Latn-CS"/>
        </w:rPr>
        <w:t>tumorsk</w:t>
      </w:r>
      <w:r w:rsidR="008F647F">
        <w:rPr>
          <w:sz w:val="22"/>
          <w:szCs w:val="22"/>
          <w:lang w:val="sr-Latn-CS"/>
        </w:rPr>
        <w:t>og tkiva</w:t>
      </w:r>
      <w:r w:rsidR="00B05AA9">
        <w:rPr>
          <w:sz w:val="22"/>
          <w:szCs w:val="22"/>
          <w:lang w:val="sr-Latn-CS"/>
        </w:rPr>
        <w:t xml:space="preserve">. Pacijenti ispunjavaju uslove za primjenu terapije </w:t>
      </w:r>
      <w:r w:rsidR="008F647F">
        <w:rPr>
          <w:sz w:val="22"/>
          <w:szCs w:val="22"/>
          <w:lang w:val="sr-Latn-CS"/>
        </w:rPr>
        <w:t xml:space="preserve">lijekom </w:t>
      </w:r>
      <w:r w:rsidR="00B05AA9">
        <w:rPr>
          <w:sz w:val="22"/>
          <w:szCs w:val="22"/>
          <w:lang w:val="sr-Latn-CS"/>
        </w:rPr>
        <w:t xml:space="preserve">Herceptin ako pokazuju snažnu prekomjernu ekspresiju HER2 što se opisuje kao skor 3+ </w:t>
      </w:r>
      <w:r w:rsidR="008F647F">
        <w:rPr>
          <w:sz w:val="22"/>
          <w:szCs w:val="22"/>
          <w:lang w:val="sr-Latn-CS"/>
        </w:rPr>
        <w:t xml:space="preserve">na osnovu </w:t>
      </w:r>
      <w:r w:rsidR="00B05AA9">
        <w:rPr>
          <w:sz w:val="22"/>
          <w:szCs w:val="22"/>
          <w:lang w:val="sr-Latn-CS"/>
        </w:rPr>
        <w:t xml:space="preserve">IHC ili pozitivni FISH ili CISH rezultat.  </w:t>
      </w:r>
    </w:p>
    <w:p w14:paraId="38D18B80" w14:textId="77777777" w:rsidR="00B05AA9" w:rsidRDefault="00B05AA9" w:rsidP="00641EEB">
      <w:pPr>
        <w:jc w:val="both"/>
        <w:rPr>
          <w:sz w:val="22"/>
          <w:szCs w:val="22"/>
          <w:lang w:val="sr-Latn-CS"/>
        </w:rPr>
      </w:pPr>
    </w:p>
    <w:p w14:paraId="59E16F5C" w14:textId="77777777" w:rsidR="00B05AA9" w:rsidRDefault="00B05AA9" w:rsidP="00641EEB">
      <w:pPr>
        <w:jc w:val="both"/>
        <w:rPr>
          <w:sz w:val="22"/>
          <w:szCs w:val="22"/>
          <w:lang w:val="sr-Latn-CS"/>
        </w:rPr>
      </w:pPr>
      <w:r>
        <w:rPr>
          <w:sz w:val="22"/>
          <w:szCs w:val="22"/>
          <w:lang w:val="sr-Latn-CS"/>
        </w:rPr>
        <w:t xml:space="preserve">Da bi se obezbijedili tačni i ponovljivi rezultati, testiranje se mora obaviti u specijalizovanoj laboratoriji koja može da obezbijedi validaciju procedure testiranja. </w:t>
      </w:r>
    </w:p>
    <w:p w14:paraId="387A0FAA" w14:textId="77777777" w:rsidR="00B05AA9" w:rsidRDefault="00B05AA9" w:rsidP="00641EEB">
      <w:pPr>
        <w:jc w:val="both"/>
        <w:rPr>
          <w:sz w:val="22"/>
          <w:szCs w:val="22"/>
          <w:lang w:val="sr-Latn-CS"/>
        </w:rPr>
      </w:pPr>
    </w:p>
    <w:p w14:paraId="3DB7AE2C" w14:textId="77777777" w:rsidR="00B05AA9" w:rsidRDefault="00B05AA9" w:rsidP="00641EEB">
      <w:pPr>
        <w:jc w:val="both"/>
        <w:rPr>
          <w:sz w:val="22"/>
          <w:szCs w:val="22"/>
          <w:lang w:val="sr-Latn-CS"/>
        </w:rPr>
      </w:pPr>
      <w:r>
        <w:rPr>
          <w:sz w:val="22"/>
          <w:szCs w:val="22"/>
          <w:lang w:val="sr-Latn-CS"/>
        </w:rPr>
        <w:t xml:space="preserve">Predlaže se sljedeći sistem bodovanja za procjenu prebojavanja uzorka po IHC metodi u Tabeli 2.: </w:t>
      </w:r>
    </w:p>
    <w:p w14:paraId="4AA1976A" w14:textId="77777777" w:rsidR="00B05AA9" w:rsidRDefault="00B05AA9" w:rsidP="00641EEB">
      <w:pPr>
        <w:jc w:val="both"/>
        <w:rPr>
          <w:sz w:val="22"/>
          <w:szCs w:val="22"/>
          <w:lang w:val="sr-Latn-CS"/>
        </w:rPr>
      </w:pPr>
    </w:p>
    <w:p w14:paraId="343A97A6" w14:textId="77777777" w:rsidR="00B05AA9" w:rsidRDefault="00B05AA9" w:rsidP="00641EEB">
      <w:pPr>
        <w:jc w:val="both"/>
        <w:rPr>
          <w:sz w:val="22"/>
          <w:szCs w:val="22"/>
          <w:lang w:val="sr-Latn-CS"/>
        </w:rPr>
      </w:pPr>
      <w:r>
        <w:rPr>
          <w:sz w:val="22"/>
          <w:szCs w:val="22"/>
          <w:lang w:val="sr-Latn-CS"/>
        </w:rPr>
        <w:t>Tabela 2: Preporučeni sistem bodovanja za procjenu prebojavanja uzorka IHC metodom kod raka dojke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5220"/>
        <w:gridCol w:w="2479"/>
      </w:tblGrid>
      <w:tr w:rsidR="00B05AA9" w14:paraId="61320AD5" w14:textId="77777777" w:rsidTr="00BA76B8">
        <w:tc>
          <w:tcPr>
            <w:tcW w:w="1368" w:type="dxa"/>
            <w:tcBorders>
              <w:top w:val="single" w:sz="4" w:space="0" w:color="auto"/>
              <w:left w:val="single" w:sz="4" w:space="0" w:color="auto"/>
              <w:bottom w:val="single" w:sz="4" w:space="0" w:color="auto"/>
              <w:right w:val="single" w:sz="4" w:space="0" w:color="auto"/>
            </w:tcBorders>
            <w:hideMark/>
          </w:tcPr>
          <w:p w14:paraId="46D8827D" w14:textId="77777777" w:rsidR="00B05AA9" w:rsidRDefault="00B05AA9" w:rsidP="00BA76B8">
            <w:pPr>
              <w:tabs>
                <w:tab w:val="left" w:pos="284"/>
              </w:tabs>
              <w:rPr>
                <w:sz w:val="22"/>
                <w:szCs w:val="22"/>
                <w:lang w:val="sr-Latn-ME"/>
              </w:rPr>
            </w:pPr>
            <w:r>
              <w:rPr>
                <w:sz w:val="22"/>
                <w:szCs w:val="22"/>
              </w:rPr>
              <w:t>Ocjena intenziteta prebojavanja</w:t>
            </w:r>
          </w:p>
        </w:tc>
        <w:tc>
          <w:tcPr>
            <w:tcW w:w="5220" w:type="dxa"/>
            <w:tcBorders>
              <w:top w:val="single" w:sz="4" w:space="0" w:color="auto"/>
              <w:left w:val="single" w:sz="4" w:space="0" w:color="auto"/>
              <w:bottom w:val="single" w:sz="4" w:space="0" w:color="auto"/>
              <w:right w:val="single" w:sz="4" w:space="0" w:color="auto"/>
            </w:tcBorders>
            <w:hideMark/>
          </w:tcPr>
          <w:p w14:paraId="7B12BE50" w14:textId="77777777" w:rsidR="00B05AA9" w:rsidRDefault="00B05AA9" w:rsidP="00BA76B8">
            <w:pPr>
              <w:tabs>
                <w:tab w:val="left" w:pos="284"/>
              </w:tabs>
              <w:rPr>
                <w:sz w:val="22"/>
                <w:szCs w:val="22"/>
              </w:rPr>
            </w:pPr>
            <w:r>
              <w:rPr>
                <w:sz w:val="22"/>
                <w:szCs w:val="22"/>
              </w:rPr>
              <w:t>Način bojenja</w:t>
            </w:r>
          </w:p>
        </w:tc>
        <w:tc>
          <w:tcPr>
            <w:tcW w:w="2479" w:type="dxa"/>
            <w:tcBorders>
              <w:top w:val="single" w:sz="4" w:space="0" w:color="auto"/>
              <w:left w:val="single" w:sz="4" w:space="0" w:color="auto"/>
              <w:bottom w:val="single" w:sz="4" w:space="0" w:color="auto"/>
              <w:right w:val="single" w:sz="4" w:space="0" w:color="auto"/>
            </w:tcBorders>
            <w:hideMark/>
          </w:tcPr>
          <w:p w14:paraId="191BF927" w14:textId="77777777" w:rsidR="00B05AA9" w:rsidRDefault="00B05AA9" w:rsidP="00BA76B8">
            <w:pPr>
              <w:tabs>
                <w:tab w:val="left" w:pos="284"/>
              </w:tabs>
              <w:rPr>
                <w:sz w:val="22"/>
                <w:szCs w:val="22"/>
              </w:rPr>
            </w:pPr>
            <w:r>
              <w:rPr>
                <w:sz w:val="22"/>
                <w:szCs w:val="22"/>
              </w:rPr>
              <w:t>Procjena prekomjerne ekspresije HER2</w:t>
            </w:r>
          </w:p>
        </w:tc>
      </w:tr>
      <w:tr w:rsidR="00B05AA9" w14:paraId="7CFBA296" w14:textId="77777777" w:rsidTr="00BA76B8">
        <w:tc>
          <w:tcPr>
            <w:tcW w:w="1368" w:type="dxa"/>
            <w:tcBorders>
              <w:top w:val="single" w:sz="4" w:space="0" w:color="auto"/>
              <w:left w:val="single" w:sz="4" w:space="0" w:color="auto"/>
              <w:bottom w:val="single" w:sz="4" w:space="0" w:color="auto"/>
              <w:right w:val="single" w:sz="4" w:space="0" w:color="auto"/>
            </w:tcBorders>
            <w:hideMark/>
          </w:tcPr>
          <w:p w14:paraId="57D67A06" w14:textId="77777777" w:rsidR="00B05AA9" w:rsidRDefault="00B05AA9" w:rsidP="00BA76B8">
            <w:pPr>
              <w:tabs>
                <w:tab w:val="left" w:pos="284"/>
              </w:tabs>
              <w:rPr>
                <w:sz w:val="22"/>
                <w:szCs w:val="22"/>
              </w:rPr>
            </w:pPr>
            <w:r>
              <w:rPr>
                <w:sz w:val="22"/>
                <w:szCs w:val="22"/>
              </w:rPr>
              <w:t>0</w:t>
            </w:r>
          </w:p>
        </w:tc>
        <w:tc>
          <w:tcPr>
            <w:tcW w:w="5220" w:type="dxa"/>
            <w:tcBorders>
              <w:top w:val="single" w:sz="4" w:space="0" w:color="auto"/>
              <w:left w:val="single" w:sz="4" w:space="0" w:color="auto"/>
              <w:bottom w:val="single" w:sz="4" w:space="0" w:color="auto"/>
              <w:right w:val="single" w:sz="4" w:space="0" w:color="auto"/>
            </w:tcBorders>
            <w:hideMark/>
          </w:tcPr>
          <w:p w14:paraId="5A14208E" w14:textId="273EF477" w:rsidR="00B05AA9" w:rsidRDefault="00B05AA9" w:rsidP="00BA76B8">
            <w:pPr>
              <w:tabs>
                <w:tab w:val="left" w:pos="284"/>
              </w:tabs>
              <w:rPr>
                <w:sz w:val="22"/>
                <w:szCs w:val="22"/>
              </w:rPr>
            </w:pPr>
            <w:r>
              <w:rPr>
                <w:sz w:val="22"/>
                <w:szCs w:val="22"/>
              </w:rPr>
              <w:t>Nikakvo prebojavanje nije primijećeno ili se prebojavanje membrane uočava kod &lt;</w:t>
            </w:r>
            <w:r w:rsidR="008F647F">
              <w:rPr>
                <w:sz w:val="22"/>
                <w:szCs w:val="22"/>
              </w:rPr>
              <w:t xml:space="preserve"> </w:t>
            </w:r>
            <w:r>
              <w:rPr>
                <w:sz w:val="22"/>
                <w:szCs w:val="22"/>
              </w:rPr>
              <w:t>10% tumorskih ćelija</w:t>
            </w:r>
          </w:p>
        </w:tc>
        <w:tc>
          <w:tcPr>
            <w:tcW w:w="2479" w:type="dxa"/>
            <w:tcBorders>
              <w:top w:val="single" w:sz="4" w:space="0" w:color="auto"/>
              <w:left w:val="single" w:sz="4" w:space="0" w:color="auto"/>
              <w:bottom w:val="single" w:sz="4" w:space="0" w:color="auto"/>
              <w:right w:val="single" w:sz="4" w:space="0" w:color="auto"/>
            </w:tcBorders>
            <w:hideMark/>
          </w:tcPr>
          <w:p w14:paraId="5131C266" w14:textId="42B10F04" w:rsidR="00B05AA9" w:rsidRDefault="00B05AA9" w:rsidP="00BA76B8">
            <w:pPr>
              <w:tabs>
                <w:tab w:val="left" w:pos="284"/>
              </w:tabs>
              <w:rPr>
                <w:sz w:val="22"/>
                <w:szCs w:val="22"/>
              </w:rPr>
            </w:pPr>
            <w:r>
              <w:rPr>
                <w:sz w:val="22"/>
                <w:szCs w:val="22"/>
              </w:rPr>
              <w:t>Negativn</w:t>
            </w:r>
            <w:r w:rsidR="00E24576">
              <w:rPr>
                <w:sz w:val="22"/>
                <w:szCs w:val="22"/>
              </w:rPr>
              <w:t>a</w:t>
            </w:r>
          </w:p>
        </w:tc>
      </w:tr>
      <w:tr w:rsidR="00B05AA9" w14:paraId="414C4CA1" w14:textId="77777777" w:rsidTr="00BA76B8">
        <w:tc>
          <w:tcPr>
            <w:tcW w:w="1368" w:type="dxa"/>
            <w:tcBorders>
              <w:top w:val="single" w:sz="4" w:space="0" w:color="auto"/>
              <w:left w:val="single" w:sz="4" w:space="0" w:color="auto"/>
              <w:bottom w:val="single" w:sz="4" w:space="0" w:color="auto"/>
              <w:right w:val="single" w:sz="4" w:space="0" w:color="auto"/>
            </w:tcBorders>
            <w:hideMark/>
          </w:tcPr>
          <w:p w14:paraId="5C994508" w14:textId="77777777" w:rsidR="00B05AA9" w:rsidRDefault="00B05AA9" w:rsidP="00BA76B8">
            <w:pPr>
              <w:tabs>
                <w:tab w:val="left" w:pos="284"/>
              </w:tabs>
              <w:rPr>
                <w:sz w:val="22"/>
                <w:szCs w:val="22"/>
              </w:rPr>
            </w:pPr>
            <w:r>
              <w:rPr>
                <w:sz w:val="22"/>
                <w:szCs w:val="22"/>
              </w:rPr>
              <w:t>1+</w:t>
            </w:r>
          </w:p>
        </w:tc>
        <w:tc>
          <w:tcPr>
            <w:tcW w:w="5220" w:type="dxa"/>
            <w:tcBorders>
              <w:top w:val="single" w:sz="4" w:space="0" w:color="auto"/>
              <w:left w:val="single" w:sz="4" w:space="0" w:color="auto"/>
              <w:bottom w:val="single" w:sz="4" w:space="0" w:color="auto"/>
              <w:right w:val="single" w:sz="4" w:space="0" w:color="auto"/>
            </w:tcBorders>
            <w:hideMark/>
          </w:tcPr>
          <w:p w14:paraId="7EFA3D83" w14:textId="32501200" w:rsidR="00B05AA9" w:rsidRDefault="00B05AA9" w:rsidP="00BA76B8">
            <w:pPr>
              <w:tabs>
                <w:tab w:val="left" w:pos="284"/>
              </w:tabs>
              <w:rPr>
                <w:sz w:val="22"/>
                <w:szCs w:val="22"/>
              </w:rPr>
            </w:pPr>
            <w:r>
              <w:rPr>
                <w:sz w:val="22"/>
                <w:szCs w:val="22"/>
              </w:rPr>
              <w:t>Blijedo/jedva primjetno prebojavanje membrane uočava se kod &gt;</w:t>
            </w:r>
            <w:r w:rsidR="008F647F">
              <w:rPr>
                <w:sz w:val="22"/>
                <w:szCs w:val="22"/>
              </w:rPr>
              <w:t xml:space="preserve"> </w:t>
            </w:r>
            <w:r>
              <w:rPr>
                <w:sz w:val="22"/>
                <w:szCs w:val="22"/>
              </w:rPr>
              <w:t>10% tumorskih ćelija. Prebojen</w:t>
            </w:r>
            <w:r w:rsidR="008F647F">
              <w:rPr>
                <w:sz w:val="22"/>
                <w:szCs w:val="22"/>
              </w:rPr>
              <w:t>i</w:t>
            </w:r>
            <w:r>
              <w:rPr>
                <w:sz w:val="22"/>
                <w:szCs w:val="22"/>
              </w:rPr>
              <w:t xml:space="preserve"> </w:t>
            </w:r>
            <w:r w:rsidR="008F647F">
              <w:rPr>
                <w:sz w:val="22"/>
                <w:szCs w:val="22"/>
              </w:rPr>
              <w:t>su</w:t>
            </w:r>
            <w:r>
              <w:rPr>
                <w:sz w:val="22"/>
                <w:szCs w:val="22"/>
              </w:rPr>
              <w:t xml:space="preserve"> samo </w:t>
            </w:r>
            <w:r w:rsidR="008F647F">
              <w:rPr>
                <w:sz w:val="22"/>
                <w:szCs w:val="22"/>
              </w:rPr>
              <w:t xml:space="preserve">djelovi </w:t>
            </w:r>
            <w:r>
              <w:rPr>
                <w:sz w:val="22"/>
                <w:szCs w:val="22"/>
              </w:rPr>
              <w:t xml:space="preserve">ćelijske membrane. </w:t>
            </w:r>
          </w:p>
        </w:tc>
        <w:tc>
          <w:tcPr>
            <w:tcW w:w="2479" w:type="dxa"/>
            <w:tcBorders>
              <w:top w:val="single" w:sz="4" w:space="0" w:color="auto"/>
              <w:left w:val="single" w:sz="4" w:space="0" w:color="auto"/>
              <w:bottom w:val="single" w:sz="4" w:space="0" w:color="auto"/>
              <w:right w:val="single" w:sz="4" w:space="0" w:color="auto"/>
            </w:tcBorders>
            <w:hideMark/>
          </w:tcPr>
          <w:p w14:paraId="6116C339" w14:textId="44CF5095" w:rsidR="00B05AA9" w:rsidRDefault="00B05AA9" w:rsidP="00BA76B8">
            <w:pPr>
              <w:tabs>
                <w:tab w:val="left" w:pos="284"/>
              </w:tabs>
              <w:rPr>
                <w:sz w:val="22"/>
                <w:szCs w:val="22"/>
              </w:rPr>
            </w:pPr>
            <w:r>
              <w:rPr>
                <w:sz w:val="22"/>
                <w:szCs w:val="22"/>
              </w:rPr>
              <w:t>Negativn</w:t>
            </w:r>
            <w:r w:rsidR="00E24576">
              <w:rPr>
                <w:sz w:val="22"/>
                <w:szCs w:val="22"/>
              </w:rPr>
              <w:t>a</w:t>
            </w:r>
          </w:p>
        </w:tc>
      </w:tr>
      <w:tr w:rsidR="00B05AA9" w14:paraId="4CE57C48" w14:textId="77777777" w:rsidTr="00BA76B8">
        <w:tc>
          <w:tcPr>
            <w:tcW w:w="1368" w:type="dxa"/>
            <w:tcBorders>
              <w:top w:val="single" w:sz="4" w:space="0" w:color="auto"/>
              <w:left w:val="single" w:sz="4" w:space="0" w:color="auto"/>
              <w:bottom w:val="single" w:sz="4" w:space="0" w:color="auto"/>
              <w:right w:val="single" w:sz="4" w:space="0" w:color="auto"/>
            </w:tcBorders>
            <w:hideMark/>
          </w:tcPr>
          <w:p w14:paraId="27249E0C" w14:textId="77777777" w:rsidR="00B05AA9" w:rsidRDefault="00B05AA9" w:rsidP="00BA76B8">
            <w:pPr>
              <w:tabs>
                <w:tab w:val="left" w:pos="284"/>
              </w:tabs>
              <w:rPr>
                <w:sz w:val="22"/>
                <w:szCs w:val="22"/>
              </w:rPr>
            </w:pPr>
            <w:r>
              <w:rPr>
                <w:sz w:val="22"/>
                <w:szCs w:val="22"/>
              </w:rPr>
              <w:t>2+</w:t>
            </w:r>
          </w:p>
        </w:tc>
        <w:tc>
          <w:tcPr>
            <w:tcW w:w="5220" w:type="dxa"/>
            <w:tcBorders>
              <w:top w:val="single" w:sz="4" w:space="0" w:color="auto"/>
              <w:left w:val="single" w:sz="4" w:space="0" w:color="auto"/>
              <w:bottom w:val="single" w:sz="4" w:space="0" w:color="auto"/>
              <w:right w:val="single" w:sz="4" w:space="0" w:color="auto"/>
            </w:tcBorders>
            <w:hideMark/>
          </w:tcPr>
          <w:p w14:paraId="42CFF8DE" w14:textId="3350A423" w:rsidR="00B05AA9" w:rsidRDefault="00B05AA9" w:rsidP="00BA76B8">
            <w:pPr>
              <w:tabs>
                <w:tab w:val="left" w:pos="284"/>
              </w:tabs>
              <w:rPr>
                <w:sz w:val="22"/>
                <w:szCs w:val="22"/>
              </w:rPr>
            </w:pPr>
            <w:r>
              <w:rPr>
                <w:sz w:val="22"/>
                <w:szCs w:val="22"/>
              </w:rPr>
              <w:t xml:space="preserve">Blago do umjereno potpuno prebojavanje </w:t>
            </w:r>
            <w:r w:rsidR="008F647F">
              <w:rPr>
                <w:sz w:val="22"/>
                <w:szCs w:val="22"/>
              </w:rPr>
              <w:t xml:space="preserve">cijele </w:t>
            </w:r>
            <w:r>
              <w:rPr>
                <w:sz w:val="22"/>
                <w:szCs w:val="22"/>
              </w:rPr>
              <w:t>membrane uočava se kod &gt;</w:t>
            </w:r>
            <w:r w:rsidR="008F647F">
              <w:rPr>
                <w:sz w:val="22"/>
                <w:szCs w:val="22"/>
              </w:rPr>
              <w:t xml:space="preserve"> </w:t>
            </w:r>
            <w:r>
              <w:rPr>
                <w:sz w:val="22"/>
                <w:szCs w:val="22"/>
              </w:rPr>
              <w:t>10% tumorskih ćelija.</w:t>
            </w:r>
          </w:p>
        </w:tc>
        <w:tc>
          <w:tcPr>
            <w:tcW w:w="2479" w:type="dxa"/>
            <w:tcBorders>
              <w:top w:val="single" w:sz="4" w:space="0" w:color="auto"/>
              <w:left w:val="single" w:sz="4" w:space="0" w:color="auto"/>
              <w:bottom w:val="single" w:sz="4" w:space="0" w:color="auto"/>
              <w:right w:val="single" w:sz="4" w:space="0" w:color="auto"/>
            </w:tcBorders>
          </w:tcPr>
          <w:p w14:paraId="3F8B3391" w14:textId="60534203" w:rsidR="00B05AA9" w:rsidRDefault="00B05AA9" w:rsidP="00BA76B8">
            <w:pPr>
              <w:rPr>
                <w:strike/>
                <w:sz w:val="22"/>
                <w:szCs w:val="22"/>
                <w:lang w:val="pt-BR"/>
              </w:rPr>
            </w:pPr>
            <w:r>
              <w:rPr>
                <w:sz w:val="22"/>
                <w:szCs w:val="22"/>
                <w:lang w:val="pt-BR"/>
              </w:rPr>
              <w:t>Dvoznačn</w:t>
            </w:r>
            <w:r w:rsidR="00E24576">
              <w:rPr>
                <w:sz w:val="22"/>
                <w:szCs w:val="22"/>
                <w:lang w:val="pt-BR"/>
              </w:rPr>
              <w:t>a</w:t>
            </w:r>
            <w:r w:rsidR="008F647F">
              <w:rPr>
                <w:sz w:val="22"/>
                <w:szCs w:val="22"/>
                <w:lang w:val="pt-BR"/>
              </w:rPr>
              <w:t>/Nepouzdan rezultat</w:t>
            </w:r>
            <w:r>
              <w:rPr>
                <w:strike/>
                <w:sz w:val="22"/>
                <w:szCs w:val="22"/>
                <w:lang w:val="pt-BR"/>
              </w:rPr>
              <w:t xml:space="preserve"> </w:t>
            </w:r>
          </w:p>
          <w:p w14:paraId="5A461020" w14:textId="77777777" w:rsidR="00B05AA9" w:rsidRDefault="00B05AA9" w:rsidP="00BA76B8">
            <w:pPr>
              <w:tabs>
                <w:tab w:val="left" w:pos="284"/>
              </w:tabs>
              <w:rPr>
                <w:strike/>
                <w:sz w:val="22"/>
                <w:szCs w:val="22"/>
                <w:lang w:val="pt-BR"/>
              </w:rPr>
            </w:pPr>
          </w:p>
        </w:tc>
      </w:tr>
      <w:tr w:rsidR="00B05AA9" w14:paraId="5A48E0A8" w14:textId="77777777" w:rsidTr="00BA76B8">
        <w:tc>
          <w:tcPr>
            <w:tcW w:w="1368" w:type="dxa"/>
            <w:tcBorders>
              <w:top w:val="single" w:sz="4" w:space="0" w:color="auto"/>
              <w:left w:val="single" w:sz="4" w:space="0" w:color="auto"/>
              <w:bottom w:val="single" w:sz="4" w:space="0" w:color="auto"/>
              <w:right w:val="single" w:sz="4" w:space="0" w:color="auto"/>
            </w:tcBorders>
            <w:hideMark/>
          </w:tcPr>
          <w:p w14:paraId="1ADDBC23" w14:textId="77777777" w:rsidR="00B05AA9" w:rsidRDefault="00B05AA9" w:rsidP="00BA76B8">
            <w:pPr>
              <w:tabs>
                <w:tab w:val="left" w:pos="284"/>
              </w:tabs>
              <w:rPr>
                <w:sz w:val="22"/>
                <w:szCs w:val="22"/>
                <w:lang w:val="sr-Latn-ME"/>
              </w:rPr>
            </w:pPr>
            <w:r>
              <w:rPr>
                <w:sz w:val="22"/>
                <w:szCs w:val="22"/>
              </w:rPr>
              <w:t>3+</w:t>
            </w:r>
          </w:p>
        </w:tc>
        <w:tc>
          <w:tcPr>
            <w:tcW w:w="5220" w:type="dxa"/>
            <w:tcBorders>
              <w:top w:val="single" w:sz="4" w:space="0" w:color="auto"/>
              <w:left w:val="single" w:sz="4" w:space="0" w:color="auto"/>
              <w:bottom w:val="single" w:sz="4" w:space="0" w:color="auto"/>
              <w:right w:val="single" w:sz="4" w:space="0" w:color="auto"/>
            </w:tcBorders>
            <w:hideMark/>
          </w:tcPr>
          <w:p w14:paraId="4787465C" w14:textId="77777777" w:rsidR="00B05AA9" w:rsidRPr="00442616" w:rsidRDefault="00B05AA9" w:rsidP="00BA76B8">
            <w:pPr>
              <w:tabs>
                <w:tab w:val="left" w:pos="284"/>
              </w:tabs>
              <w:rPr>
                <w:sz w:val="22"/>
                <w:szCs w:val="22"/>
                <w:lang w:val="sr-Latn-ME"/>
              </w:rPr>
            </w:pPr>
            <w:r>
              <w:rPr>
                <w:sz w:val="22"/>
                <w:szCs w:val="22"/>
              </w:rPr>
              <w:t>Jako</w:t>
            </w:r>
            <w:r w:rsidRPr="00442616">
              <w:rPr>
                <w:sz w:val="22"/>
                <w:szCs w:val="22"/>
                <w:lang w:val="sr-Latn-ME"/>
              </w:rPr>
              <w:t xml:space="preserve"> </w:t>
            </w:r>
            <w:r>
              <w:rPr>
                <w:sz w:val="22"/>
                <w:szCs w:val="22"/>
              </w:rPr>
              <w:t>potpuno</w:t>
            </w:r>
            <w:r w:rsidRPr="00442616">
              <w:rPr>
                <w:sz w:val="22"/>
                <w:szCs w:val="22"/>
                <w:lang w:val="sr-Latn-ME"/>
              </w:rPr>
              <w:t xml:space="preserve"> </w:t>
            </w:r>
            <w:r>
              <w:rPr>
                <w:sz w:val="22"/>
                <w:szCs w:val="22"/>
              </w:rPr>
              <w:t>prebojavanje</w:t>
            </w:r>
            <w:r w:rsidRPr="00442616">
              <w:rPr>
                <w:sz w:val="22"/>
                <w:szCs w:val="22"/>
                <w:lang w:val="sr-Latn-ME"/>
              </w:rPr>
              <w:t xml:space="preserve"> </w:t>
            </w:r>
            <w:r>
              <w:rPr>
                <w:sz w:val="22"/>
                <w:szCs w:val="22"/>
              </w:rPr>
              <w:t>membrane</w:t>
            </w:r>
            <w:r w:rsidRPr="00442616">
              <w:rPr>
                <w:sz w:val="22"/>
                <w:szCs w:val="22"/>
                <w:lang w:val="sr-Latn-ME"/>
              </w:rPr>
              <w:t xml:space="preserve"> </w:t>
            </w:r>
            <w:r>
              <w:rPr>
                <w:sz w:val="22"/>
                <w:szCs w:val="22"/>
              </w:rPr>
              <w:t>uo</w:t>
            </w:r>
            <w:r w:rsidRPr="00442616">
              <w:rPr>
                <w:sz w:val="22"/>
                <w:szCs w:val="22"/>
                <w:lang w:val="sr-Latn-ME"/>
              </w:rPr>
              <w:t>č</w:t>
            </w:r>
            <w:r>
              <w:rPr>
                <w:sz w:val="22"/>
                <w:szCs w:val="22"/>
              </w:rPr>
              <w:t>ava</w:t>
            </w:r>
            <w:r w:rsidRPr="00442616">
              <w:rPr>
                <w:sz w:val="22"/>
                <w:szCs w:val="22"/>
                <w:lang w:val="sr-Latn-ME"/>
              </w:rPr>
              <w:t xml:space="preserve"> </w:t>
            </w:r>
            <w:r>
              <w:rPr>
                <w:sz w:val="22"/>
                <w:szCs w:val="22"/>
              </w:rPr>
              <w:t>se</w:t>
            </w:r>
            <w:r w:rsidRPr="00442616">
              <w:rPr>
                <w:sz w:val="22"/>
                <w:szCs w:val="22"/>
                <w:lang w:val="sr-Latn-ME"/>
              </w:rPr>
              <w:t xml:space="preserve"> </w:t>
            </w:r>
            <w:r>
              <w:rPr>
                <w:sz w:val="22"/>
                <w:szCs w:val="22"/>
              </w:rPr>
              <w:t>kod</w:t>
            </w:r>
            <w:r w:rsidRPr="00442616">
              <w:rPr>
                <w:sz w:val="22"/>
                <w:szCs w:val="22"/>
                <w:lang w:val="sr-Latn-ME"/>
              </w:rPr>
              <w:t xml:space="preserve"> &gt;10% </w:t>
            </w:r>
            <w:r>
              <w:rPr>
                <w:sz w:val="22"/>
                <w:szCs w:val="22"/>
              </w:rPr>
              <w:t>tumorskih</w:t>
            </w:r>
            <w:r w:rsidRPr="00442616">
              <w:rPr>
                <w:sz w:val="22"/>
                <w:szCs w:val="22"/>
                <w:lang w:val="sr-Latn-ME"/>
              </w:rPr>
              <w:t xml:space="preserve"> ć</w:t>
            </w:r>
            <w:r>
              <w:rPr>
                <w:sz w:val="22"/>
                <w:szCs w:val="22"/>
              </w:rPr>
              <w:t>elija</w:t>
            </w:r>
            <w:r w:rsidRPr="00442616">
              <w:rPr>
                <w:sz w:val="22"/>
                <w:szCs w:val="22"/>
                <w:lang w:val="sr-Latn-ME"/>
              </w:rPr>
              <w:t>.</w:t>
            </w:r>
          </w:p>
        </w:tc>
        <w:tc>
          <w:tcPr>
            <w:tcW w:w="2479" w:type="dxa"/>
            <w:tcBorders>
              <w:top w:val="single" w:sz="4" w:space="0" w:color="auto"/>
              <w:left w:val="single" w:sz="4" w:space="0" w:color="auto"/>
              <w:bottom w:val="single" w:sz="4" w:space="0" w:color="auto"/>
              <w:right w:val="single" w:sz="4" w:space="0" w:color="auto"/>
            </w:tcBorders>
          </w:tcPr>
          <w:p w14:paraId="2BA30161" w14:textId="75185DC7" w:rsidR="00B05AA9" w:rsidRDefault="00B05AA9" w:rsidP="00BA76B8">
            <w:pPr>
              <w:rPr>
                <w:sz w:val="22"/>
                <w:szCs w:val="22"/>
              </w:rPr>
            </w:pPr>
            <w:r>
              <w:rPr>
                <w:sz w:val="22"/>
                <w:szCs w:val="22"/>
                <w:lang w:val="pt-BR"/>
              </w:rPr>
              <w:t>Pozitivn</w:t>
            </w:r>
            <w:r w:rsidR="00E24576">
              <w:rPr>
                <w:sz w:val="22"/>
                <w:szCs w:val="22"/>
                <w:lang w:val="pt-BR"/>
              </w:rPr>
              <w:t>a</w:t>
            </w:r>
            <w:r>
              <w:rPr>
                <w:sz w:val="22"/>
                <w:szCs w:val="22"/>
              </w:rPr>
              <w:t xml:space="preserve"> </w:t>
            </w:r>
          </w:p>
          <w:p w14:paraId="2778A46E" w14:textId="77777777" w:rsidR="00B05AA9" w:rsidRDefault="00B05AA9" w:rsidP="00BA76B8">
            <w:pPr>
              <w:tabs>
                <w:tab w:val="left" w:pos="284"/>
              </w:tabs>
              <w:rPr>
                <w:strike/>
                <w:sz w:val="22"/>
                <w:szCs w:val="22"/>
              </w:rPr>
            </w:pPr>
          </w:p>
        </w:tc>
      </w:tr>
    </w:tbl>
    <w:p w14:paraId="38DF7EEC" w14:textId="77777777" w:rsidR="00B05AA9" w:rsidRDefault="00B05AA9" w:rsidP="00641EEB">
      <w:pPr>
        <w:jc w:val="both"/>
        <w:rPr>
          <w:sz w:val="22"/>
          <w:szCs w:val="22"/>
          <w:lang w:val="sr-Latn-ME"/>
        </w:rPr>
      </w:pPr>
    </w:p>
    <w:p w14:paraId="7115012B" w14:textId="34C3332C" w:rsidR="00B05AA9" w:rsidRPr="00442616" w:rsidRDefault="00B05AA9" w:rsidP="00641EEB">
      <w:pPr>
        <w:jc w:val="both"/>
        <w:rPr>
          <w:sz w:val="22"/>
          <w:szCs w:val="22"/>
          <w:lang w:val="sr-Latn-ME"/>
        </w:rPr>
      </w:pPr>
      <w:r>
        <w:rPr>
          <w:sz w:val="22"/>
          <w:szCs w:val="22"/>
          <w:lang w:val="pt-BR"/>
        </w:rPr>
        <w:t>Po</w:t>
      </w:r>
      <w:r w:rsidRPr="00442616">
        <w:rPr>
          <w:sz w:val="22"/>
          <w:szCs w:val="22"/>
          <w:lang w:val="sr-Latn-ME"/>
        </w:rPr>
        <w:t xml:space="preserve"> </w:t>
      </w:r>
      <w:r>
        <w:rPr>
          <w:sz w:val="22"/>
          <w:szCs w:val="22"/>
          <w:lang w:val="pt-BR"/>
        </w:rPr>
        <w:t>pravilu</w:t>
      </w:r>
      <w:r w:rsidRPr="00442616">
        <w:rPr>
          <w:sz w:val="22"/>
          <w:szCs w:val="22"/>
          <w:lang w:val="sr-Latn-ME"/>
        </w:rPr>
        <w:t xml:space="preserve">, </w:t>
      </w:r>
      <w:r>
        <w:rPr>
          <w:sz w:val="22"/>
          <w:szCs w:val="22"/>
          <w:lang w:val="pt-BR"/>
        </w:rPr>
        <w:t>FISH</w:t>
      </w:r>
      <w:r w:rsidRPr="00442616">
        <w:rPr>
          <w:sz w:val="22"/>
          <w:szCs w:val="22"/>
          <w:lang w:val="sr-Latn-ME"/>
        </w:rPr>
        <w:t xml:space="preserve"> </w:t>
      </w:r>
      <w:r>
        <w:rPr>
          <w:sz w:val="22"/>
          <w:szCs w:val="22"/>
          <w:lang w:val="pt-BR"/>
        </w:rPr>
        <w:t>se</w:t>
      </w:r>
      <w:r w:rsidRPr="00442616">
        <w:rPr>
          <w:sz w:val="22"/>
          <w:szCs w:val="22"/>
          <w:lang w:val="sr-Latn-ME"/>
        </w:rPr>
        <w:t xml:space="preserve"> </w:t>
      </w:r>
      <w:r>
        <w:rPr>
          <w:sz w:val="22"/>
          <w:szCs w:val="22"/>
          <w:lang w:val="pt-BR"/>
        </w:rPr>
        <w:t>smatra</w:t>
      </w:r>
      <w:r w:rsidRPr="00442616">
        <w:rPr>
          <w:sz w:val="22"/>
          <w:szCs w:val="22"/>
          <w:lang w:val="sr-Latn-ME"/>
        </w:rPr>
        <w:t xml:space="preserve"> </w:t>
      </w:r>
      <w:r>
        <w:rPr>
          <w:sz w:val="22"/>
          <w:szCs w:val="22"/>
          <w:lang w:val="pt-BR"/>
        </w:rPr>
        <w:t>pozitivnim</w:t>
      </w:r>
      <w:r w:rsidRPr="00442616">
        <w:rPr>
          <w:sz w:val="22"/>
          <w:szCs w:val="22"/>
          <w:lang w:val="sr-Latn-ME"/>
        </w:rPr>
        <w:t xml:space="preserve"> </w:t>
      </w:r>
      <w:r>
        <w:rPr>
          <w:sz w:val="22"/>
          <w:szCs w:val="22"/>
          <w:lang w:val="pt-BR"/>
        </w:rPr>
        <w:t>ako</w:t>
      </w:r>
      <w:r w:rsidRPr="00442616">
        <w:rPr>
          <w:sz w:val="22"/>
          <w:szCs w:val="22"/>
          <w:lang w:val="sr-Latn-ME"/>
        </w:rPr>
        <w:t xml:space="preserve"> </w:t>
      </w:r>
      <w:r>
        <w:rPr>
          <w:sz w:val="22"/>
          <w:szCs w:val="22"/>
          <w:lang w:val="pt-BR"/>
        </w:rPr>
        <w:t>je</w:t>
      </w:r>
      <w:r w:rsidRPr="00442616">
        <w:rPr>
          <w:sz w:val="22"/>
          <w:szCs w:val="22"/>
          <w:lang w:val="sr-Latn-ME"/>
        </w:rPr>
        <w:t xml:space="preserve"> </w:t>
      </w:r>
      <w:r>
        <w:rPr>
          <w:sz w:val="22"/>
          <w:szCs w:val="22"/>
          <w:lang w:val="pt-BR"/>
        </w:rPr>
        <w:t>odnos</w:t>
      </w:r>
      <w:r w:rsidRPr="00442616">
        <w:rPr>
          <w:sz w:val="22"/>
          <w:szCs w:val="22"/>
          <w:lang w:val="sr-Latn-ME"/>
        </w:rPr>
        <w:t xml:space="preserve"> </w:t>
      </w:r>
      <w:r>
        <w:rPr>
          <w:sz w:val="22"/>
          <w:szCs w:val="22"/>
          <w:lang w:val="pt-BR"/>
        </w:rPr>
        <w:t>broja</w:t>
      </w:r>
      <w:r w:rsidRPr="00442616">
        <w:rPr>
          <w:sz w:val="22"/>
          <w:szCs w:val="22"/>
          <w:lang w:val="sr-Latn-ME"/>
        </w:rPr>
        <w:t xml:space="preserve"> </w:t>
      </w:r>
      <w:r>
        <w:rPr>
          <w:sz w:val="22"/>
          <w:szCs w:val="22"/>
          <w:lang w:val="pt-BR"/>
        </w:rPr>
        <w:t>HER</w:t>
      </w:r>
      <w:r w:rsidRPr="00442616">
        <w:rPr>
          <w:sz w:val="22"/>
          <w:szCs w:val="22"/>
          <w:lang w:val="sr-Latn-ME"/>
        </w:rPr>
        <w:t xml:space="preserve">2 </w:t>
      </w:r>
      <w:r>
        <w:rPr>
          <w:sz w:val="22"/>
          <w:szCs w:val="22"/>
          <w:lang w:val="pt-BR"/>
        </w:rPr>
        <w:t>genskih</w:t>
      </w:r>
      <w:r w:rsidRPr="00442616">
        <w:rPr>
          <w:sz w:val="22"/>
          <w:szCs w:val="22"/>
          <w:lang w:val="sr-Latn-ME"/>
        </w:rPr>
        <w:t xml:space="preserve"> </w:t>
      </w:r>
      <w:r>
        <w:rPr>
          <w:sz w:val="22"/>
          <w:szCs w:val="22"/>
          <w:lang w:val="pt-BR"/>
        </w:rPr>
        <w:t>kopija</w:t>
      </w:r>
      <w:r w:rsidRPr="00442616">
        <w:rPr>
          <w:sz w:val="22"/>
          <w:szCs w:val="22"/>
          <w:lang w:val="sr-Latn-ME"/>
        </w:rPr>
        <w:t xml:space="preserve"> </w:t>
      </w:r>
      <w:r>
        <w:rPr>
          <w:sz w:val="22"/>
          <w:szCs w:val="22"/>
          <w:lang w:val="pt-BR"/>
        </w:rPr>
        <w:t>po</w:t>
      </w:r>
      <w:r w:rsidRPr="00442616">
        <w:rPr>
          <w:sz w:val="22"/>
          <w:szCs w:val="22"/>
          <w:lang w:val="sr-Latn-ME"/>
        </w:rPr>
        <w:t xml:space="preserve"> </w:t>
      </w:r>
      <w:r>
        <w:rPr>
          <w:sz w:val="22"/>
          <w:szCs w:val="22"/>
          <w:lang w:val="pt-BR"/>
        </w:rPr>
        <w:t>tumorskoj</w:t>
      </w:r>
      <w:r w:rsidRPr="00442616">
        <w:rPr>
          <w:sz w:val="22"/>
          <w:szCs w:val="22"/>
          <w:lang w:val="sr-Latn-ME"/>
        </w:rPr>
        <w:t xml:space="preserve"> ć</w:t>
      </w:r>
      <w:r>
        <w:rPr>
          <w:sz w:val="22"/>
          <w:szCs w:val="22"/>
          <w:lang w:val="pt-BR"/>
        </w:rPr>
        <w:t>eliji</w:t>
      </w:r>
      <w:r w:rsidRPr="00442616">
        <w:rPr>
          <w:sz w:val="22"/>
          <w:szCs w:val="22"/>
          <w:lang w:val="sr-Latn-ME"/>
        </w:rPr>
        <w:t xml:space="preserve"> </w:t>
      </w:r>
      <w:r>
        <w:rPr>
          <w:sz w:val="22"/>
          <w:szCs w:val="22"/>
          <w:lang w:val="pt-BR"/>
        </w:rPr>
        <w:t>u</w:t>
      </w:r>
      <w:r w:rsidRPr="00442616">
        <w:rPr>
          <w:sz w:val="22"/>
          <w:szCs w:val="22"/>
          <w:lang w:val="sr-Latn-ME"/>
        </w:rPr>
        <w:t xml:space="preserve"> </w:t>
      </w:r>
      <w:r>
        <w:rPr>
          <w:sz w:val="22"/>
          <w:szCs w:val="22"/>
          <w:lang w:val="pt-BR"/>
        </w:rPr>
        <w:t>odnosu</w:t>
      </w:r>
      <w:r w:rsidRPr="00442616">
        <w:rPr>
          <w:sz w:val="22"/>
          <w:szCs w:val="22"/>
          <w:lang w:val="sr-Latn-ME"/>
        </w:rPr>
        <w:t xml:space="preserve"> </w:t>
      </w:r>
      <w:r>
        <w:rPr>
          <w:sz w:val="22"/>
          <w:szCs w:val="22"/>
          <w:lang w:val="pt-BR"/>
        </w:rPr>
        <w:t>na</w:t>
      </w:r>
      <w:r w:rsidRPr="00442616">
        <w:rPr>
          <w:sz w:val="22"/>
          <w:szCs w:val="22"/>
          <w:lang w:val="sr-Latn-ME"/>
        </w:rPr>
        <w:t xml:space="preserve"> </w:t>
      </w:r>
      <w:r>
        <w:rPr>
          <w:sz w:val="22"/>
          <w:szCs w:val="22"/>
          <w:lang w:val="pt-BR"/>
        </w:rPr>
        <w:t>broj</w:t>
      </w:r>
      <w:r w:rsidRPr="00442616">
        <w:rPr>
          <w:sz w:val="22"/>
          <w:szCs w:val="22"/>
          <w:lang w:val="sr-Latn-ME"/>
        </w:rPr>
        <w:t xml:space="preserve"> </w:t>
      </w:r>
      <w:r>
        <w:rPr>
          <w:sz w:val="22"/>
          <w:szCs w:val="22"/>
          <w:lang w:val="pt-BR"/>
        </w:rPr>
        <w:t>kopija</w:t>
      </w:r>
      <w:r w:rsidRPr="00442616">
        <w:rPr>
          <w:sz w:val="22"/>
          <w:szCs w:val="22"/>
          <w:lang w:val="sr-Latn-ME"/>
        </w:rPr>
        <w:t xml:space="preserve"> </w:t>
      </w:r>
      <w:r>
        <w:rPr>
          <w:sz w:val="22"/>
          <w:szCs w:val="22"/>
          <w:lang w:val="pt-BR"/>
        </w:rPr>
        <w:t>hromozima</w:t>
      </w:r>
      <w:r w:rsidRPr="00442616">
        <w:rPr>
          <w:sz w:val="22"/>
          <w:szCs w:val="22"/>
          <w:lang w:val="sr-Latn-ME"/>
        </w:rPr>
        <w:t xml:space="preserve"> 17 </w:t>
      </w:r>
      <w:r>
        <w:rPr>
          <w:sz w:val="22"/>
          <w:szCs w:val="22"/>
          <w:lang w:val="pt-BR"/>
        </w:rPr>
        <w:t>ve</w:t>
      </w:r>
      <w:r w:rsidRPr="00442616">
        <w:rPr>
          <w:sz w:val="22"/>
          <w:szCs w:val="22"/>
          <w:lang w:val="sr-Latn-ME"/>
        </w:rPr>
        <w:t>ć</w:t>
      </w:r>
      <w:r>
        <w:rPr>
          <w:sz w:val="22"/>
          <w:szCs w:val="22"/>
          <w:lang w:val="pt-BR"/>
        </w:rPr>
        <w:t>i</w:t>
      </w:r>
      <w:r w:rsidRPr="00442616">
        <w:rPr>
          <w:sz w:val="22"/>
          <w:szCs w:val="22"/>
          <w:lang w:val="sr-Latn-ME"/>
        </w:rPr>
        <w:t xml:space="preserve"> </w:t>
      </w:r>
      <w:r>
        <w:rPr>
          <w:sz w:val="22"/>
          <w:szCs w:val="22"/>
          <w:lang w:val="pt-BR"/>
        </w:rPr>
        <w:t>ili</w:t>
      </w:r>
      <w:r w:rsidRPr="00442616">
        <w:rPr>
          <w:sz w:val="22"/>
          <w:szCs w:val="22"/>
          <w:lang w:val="sr-Latn-ME"/>
        </w:rPr>
        <w:t xml:space="preserve"> </w:t>
      </w:r>
      <w:r>
        <w:rPr>
          <w:sz w:val="22"/>
          <w:szCs w:val="22"/>
          <w:lang w:val="pt-BR"/>
        </w:rPr>
        <w:t>jednak</w:t>
      </w:r>
      <w:r w:rsidRPr="00442616">
        <w:rPr>
          <w:sz w:val="22"/>
          <w:szCs w:val="22"/>
          <w:lang w:val="sr-Latn-ME"/>
        </w:rPr>
        <w:t xml:space="preserve"> 2, </w:t>
      </w:r>
      <w:r>
        <w:rPr>
          <w:sz w:val="22"/>
          <w:szCs w:val="22"/>
          <w:lang w:val="pt-BR"/>
        </w:rPr>
        <w:t>ili</w:t>
      </w:r>
      <w:r w:rsidRPr="00442616">
        <w:rPr>
          <w:sz w:val="22"/>
          <w:szCs w:val="22"/>
          <w:lang w:val="sr-Latn-ME"/>
        </w:rPr>
        <w:t xml:space="preserve"> </w:t>
      </w:r>
      <w:r>
        <w:rPr>
          <w:sz w:val="22"/>
          <w:szCs w:val="22"/>
          <w:lang w:val="pt-BR"/>
        </w:rPr>
        <w:t>ako</w:t>
      </w:r>
      <w:r w:rsidRPr="00442616">
        <w:rPr>
          <w:sz w:val="22"/>
          <w:szCs w:val="22"/>
          <w:lang w:val="sr-Latn-ME"/>
        </w:rPr>
        <w:t xml:space="preserve"> </w:t>
      </w:r>
      <w:r>
        <w:rPr>
          <w:sz w:val="22"/>
          <w:szCs w:val="22"/>
          <w:lang w:val="pt-BR"/>
        </w:rPr>
        <w:t>ima</w:t>
      </w:r>
      <w:r w:rsidRPr="00442616">
        <w:rPr>
          <w:sz w:val="22"/>
          <w:szCs w:val="22"/>
          <w:lang w:val="sr-Latn-ME"/>
        </w:rPr>
        <w:t xml:space="preserve"> </w:t>
      </w:r>
      <w:r>
        <w:rPr>
          <w:sz w:val="22"/>
          <w:szCs w:val="22"/>
          <w:lang w:val="pt-BR"/>
        </w:rPr>
        <w:t>vi</w:t>
      </w:r>
      <w:r w:rsidRPr="00442616">
        <w:rPr>
          <w:sz w:val="22"/>
          <w:szCs w:val="22"/>
          <w:lang w:val="sr-Latn-ME"/>
        </w:rPr>
        <w:t>š</w:t>
      </w:r>
      <w:r>
        <w:rPr>
          <w:sz w:val="22"/>
          <w:szCs w:val="22"/>
          <w:lang w:val="pt-BR"/>
        </w:rPr>
        <w:t>e</w:t>
      </w:r>
      <w:r w:rsidRPr="00442616">
        <w:rPr>
          <w:sz w:val="22"/>
          <w:szCs w:val="22"/>
          <w:lang w:val="sr-Latn-ME"/>
        </w:rPr>
        <w:t xml:space="preserve"> </w:t>
      </w:r>
      <w:r>
        <w:rPr>
          <w:sz w:val="22"/>
          <w:szCs w:val="22"/>
          <w:lang w:val="pt-BR"/>
        </w:rPr>
        <w:t>od</w:t>
      </w:r>
      <w:r w:rsidRPr="00442616">
        <w:rPr>
          <w:sz w:val="22"/>
          <w:szCs w:val="22"/>
          <w:lang w:val="sr-Latn-ME"/>
        </w:rPr>
        <w:t xml:space="preserve"> 4 </w:t>
      </w:r>
      <w:r>
        <w:rPr>
          <w:sz w:val="22"/>
          <w:szCs w:val="22"/>
          <w:lang w:val="pt-BR"/>
        </w:rPr>
        <w:t>kopije</w:t>
      </w:r>
      <w:r w:rsidRPr="00442616">
        <w:rPr>
          <w:sz w:val="22"/>
          <w:szCs w:val="22"/>
          <w:lang w:val="sr-Latn-ME"/>
        </w:rPr>
        <w:t xml:space="preserve"> </w:t>
      </w:r>
      <w:r>
        <w:rPr>
          <w:sz w:val="22"/>
          <w:szCs w:val="22"/>
          <w:lang w:val="pt-BR"/>
        </w:rPr>
        <w:t>HER</w:t>
      </w:r>
      <w:r w:rsidRPr="00442616">
        <w:rPr>
          <w:sz w:val="22"/>
          <w:szCs w:val="22"/>
          <w:lang w:val="sr-Latn-ME"/>
        </w:rPr>
        <w:t xml:space="preserve">2 </w:t>
      </w:r>
      <w:r>
        <w:rPr>
          <w:sz w:val="22"/>
          <w:szCs w:val="22"/>
          <w:lang w:val="pt-BR"/>
        </w:rPr>
        <w:t>gena</w:t>
      </w:r>
      <w:r w:rsidRPr="00442616">
        <w:rPr>
          <w:sz w:val="22"/>
          <w:szCs w:val="22"/>
          <w:lang w:val="sr-Latn-ME"/>
        </w:rPr>
        <w:t xml:space="preserve"> </w:t>
      </w:r>
      <w:r>
        <w:rPr>
          <w:sz w:val="22"/>
          <w:szCs w:val="22"/>
          <w:lang w:val="pt-BR"/>
        </w:rPr>
        <w:t>po</w:t>
      </w:r>
      <w:r w:rsidRPr="00442616">
        <w:rPr>
          <w:sz w:val="22"/>
          <w:szCs w:val="22"/>
          <w:lang w:val="sr-Latn-ME"/>
        </w:rPr>
        <w:t xml:space="preserve"> </w:t>
      </w:r>
      <w:r>
        <w:rPr>
          <w:sz w:val="22"/>
          <w:szCs w:val="22"/>
          <w:lang w:val="pt-BR"/>
        </w:rPr>
        <w:t>tumorskoj</w:t>
      </w:r>
      <w:r w:rsidRPr="00442616">
        <w:rPr>
          <w:sz w:val="22"/>
          <w:szCs w:val="22"/>
          <w:lang w:val="sr-Latn-ME"/>
        </w:rPr>
        <w:t xml:space="preserve"> ć</w:t>
      </w:r>
      <w:r>
        <w:rPr>
          <w:sz w:val="22"/>
          <w:szCs w:val="22"/>
          <w:lang w:val="pt-BR"/>
        </w:rPr>
        <w:t>eliji</w:t>
      </w:r>
      <w:r w:rsidRPr="00442616">
        <w:rPr>
          <w:sz w:val="22"/>
          <w:szCs w:val="22"/>
          <w:lang w:val="sr-Latn-ME"/>
        </w:rPr>
        <w:t xml:space="preserve"> </w:t>
      </w:r>
      <w:r>
        <w:rPr>
          <w:sz w:val="22"/>
          <w:szCs w:val="22"/>
          <w:lang w:val="pt-BR"/>
        </w:rPr>
        <w:t>ako</w:t>
      </w:r>
      <w:r w:rsidRPr="00442616">
        <w:rPr>
          <w:sz w:val="22"/>
          <w:szCs w:val="22"/>
          <w:lang w:val="sr-Latn-ME"/>
        </w:rPr>
        <w:t xml:space="preserve"> </w:t>
      </w:r>
      <w:r>
        <w:rPr>
          <w:sz w:val="22"/>
          <w:szCs w:val="22"/>
          <w:lang w:val="pt-BR"/>
        </w:rPr>
        <w:t>se</w:t>
      </w:r>
      <w:r w:rsidRPr="00442616">
        <w:rPr>
          <w:sz w:val="22"/>
          <w:szCs w:val="22"/>
          <w:lang w:val="sr-Latn-ME"/>
        </w:rPr>
        <w:t xml:space="preserve"> </w:t>
      </w:r>
      <w:r>
        <w:rPr>
          <w:sz w:val="22"/>
          <w:szCs w:val="22"/>
          <w:lang w:val="pt-BR"/>
        </w:rPr>
        <w:t>ne</w:t>
      </w:r>
      <w:r w:rsidRPr="00442616">
        <w:rPr>
          <w:sz w:val="22"/>
          <w:szCs w:val="22"/>
          <w:lang w:val="sr-Latn-ME"/>
        </w:rPr>
        <w:t xml:space="preserve"> </w:t>
      </w:r>
      <w:r>
        <w:rPr>
          <w:sz w:val="22"/>
          <w:szCs w:val="22"/>
          <w:lang w:val="pt-BR"/>
        </w:rPr>
        <w:t>koristi</w:t>
      </w:r>
      <w:r w:rsidRPr="00442616">
        <w:rPr>
          <w:sz w:val="22"/>
          <w:szCs w:val="22"/>
          <w:lang w:val="sr-Latn-ME"/>
        </w:rPr>
        <w:t xml:space="preserve"> </w:t>
      </w:r>
      <w:r>
        <w:rPr>
          <w:sz w:val="22"/>
          <w:szCs w:val="22"/>
          <w:lang w:val="pt-BR"/>
        </w:rPr>
        <w:t>kontrola</w:t>
      </w:r>
      <w:r w:rsidRPr="00442616">
        <w:rPr>
          <w:sz w:val="22"/>
          <w:szCs w:val="22"/>
          <w:lang w:val="sr-Latn-ME"/>
        </w:rPr>
        <w:t xml:space="preserve"> </w:t>
      </w:r>
      <w:r>
        <w:rPr>
          <w:sz w:val="22"/>
          <w:szCs w:val="22"/>
          <w:lang w:val="pt-BR"/>
        </w:rPr>
        <w:t>hromozoma</w:t>
      </w:r>
      <w:r w:rsidRPr="00442616">
        <w:rPr>
          <w:sz w:val="22"/>
          <w:szCs w:val="22"/>
          <w:lang w:val="sr-Latn-ME"/>
        </w:rPr>
        <w:t xml:space="preserve"> 17. </w:t>
      </w:r>
    </w:p>
    <w:p w14:paraId="4DDABBDE" w14:textId="77777777" w:rsidR="00B05AA9" w:rsidRPr="00442616" w:rsidRDefault="00B05AA9" w:rsidP="00641EEB">
      <w:pPr>
        <w:jc w:val="both"/>
        <w:rPr>
          <w:sz w:val="22"/>
          <w:szCs w:val="22"/>
          <w:lang w:val="sr-Latn-ME"/>
        </w:rPr>
      </w:pPr>
    </w:p>
    <w:p w14:paraId="5B660731" w14:textId="77777777" w:rsidR="00B05AA9" w:rsidRPr="00442616" w:rsidRDefault="00B05AA9" w:rsidP="00641EEB">
      <w:pPr>
        <w:jc w:val="both"/>
        <w:rPr>
          <w:sz w:val="22"/>
          <w:szCs w:val="22"/>
          <w:lang w:val="sr-Latn-ME"/>
        </w:rPr>
      </w:pPr>
      <w:r>
        <w:rPr>
          <w:sz w:val="22"/>
          <w:szCs w:val="22"/>
          <w:lang w:val="pt-BR"/>
        </w:rPr>
        <w:lastRenderedPageBreak/>
        <w:t>Po</w:t>
      </w:r>
      <w:r w:rsidRPr="00442616">
        <w:rPr>
          <w:sz w:val="22"/>
          <w:szCs w:val="22"/>
          <w:lang w:val="sr-Latn-ME"/>
        </w:rPr>
        <w:t xml:space="preserve"> </w:t>
      </w:r>
      <w:r>
        <w:rPr>
          <w:sz w:val="22"/>
          <w:szCs w:val="22"/>
          <w:lang w:val="pt-BR"/>
        </w:rPr>
        <w:t>pravilu</w:t>
      </w:r>
      <w:r w:rsidRPr="00442616">
        <w:rPr>
          <w:sz w:val="22"/>
          <w:szCs w:val="22"/>
          <w:lang w:val="sr-Latn-ME"/>
        </w:rPr>
        <w:t xml:space="preserve">, </w:t>
      </w:r>
      <w:r>
        <w:rPr>
          <w:sz w:val="22"/>
          <w:szCs w:val="22"/>
          <w:lang w:val="pt-BR"/>
        </w:rPr>
        <w:t>CISH</w:t>
      </w:r>
      <w:r w:rsidRPr="00442616">
        <w:rPr>
          <w:sz w:val="22"/>
          <w:szCs w:val="22"/>
          <w:lang w:val="sr-Latn-ME"/>
        </w:rPr>
        <w:t xml:space="preserve"> </w:t>
      </w:r>
      <w:r>
        <w:rPr>
          <w:sz w:val="22"/>
          <w:szCs w:val="22"/>
          <w:lang w:val="pt-BR"/>
        </w:rPr>
        <w:t>se</w:t>
      </w:r>
      <w:r w:rsidRPr="00442616">
        <w:rPr>
          <w:sz w:val="22"/>
          <w:szCs w:val="22"/>
          <w:lang w:val="sr-Latn-ME"/>
        </w:rPr>
        <w:t xml:space="preserve"> </w:t>
      </w:r>
      <w:r>
        <w:rPr>
          <w:sz w:val="22"/>
          <w:szCs w:val="22"/>
          <w:lang w:val="pt-BR"/>
        </w:rPr>
        <w:t>smatra</w:t>
      </w:r>
      <w:r w:rsidRPr="00442616">
        <w:rPr>
          <w:sz w:val="22"/>
          <w:szCs w:val="22"/>
          <w:lang w:val="sr-Latn-ME"/>
        </w:rPr>
        <w:t xml:space="preserve"> </w:t>
      </w:r>
      <w:r>
        <w:rPr>
          <w:sz w:val="22"/>
          <w:szCs w:val="22"/>
          <w:lang w:val="pt-BR"/>
        </w:rPr>
        <w:t>pozitivnim</w:t>
      </w:r>
      <w:r w:rsidRPr="00442616">
        <w:rPr>
          <w:sz w:val="22"/>
          <w:szCs w:val="22"/>
          <w:lang w:val="sr-Latn-ME"/>
        </w:rPr>
        <w:t xml:space="preserve"> </w:t>
      </w:r>
      <w:r>
        <w:rPr>
          <w:sz w:val="22"/>
          <w:szCs w:val="22"/>
          <w:lang w:val="pt-BR"/>
        </w:rPr>
        <w:t>ako</w:t>
      </w:r>
      <w:r w:rsidRPr="00442616">
        <w:rPr>
          <w:sz w:val="22"/>
          <w:szCs w:val="22"/>
          <w:lang w:val="sr-Latn-ME"/>
        </w:rPr>
        <w:t xml:space="preserve"> </w:t>
      </w:r>
      <w:r>
        <w:rPr>
          <w:sz w:val="22"/>
          <w:szCs w:val="22"/>
          <w:lang w:val="pt-BR"/>
        </w:rPr>
        <w:t>ima</w:t>
      </w:r>
      <w:r w:rsidRPr="00442616">
        <w:rPr>
          <w:sz w:val="22"/>
          <w:szCs w:val="22"/>
          <w:lang w:val="sr-Latn-ME"/>
        </w:rPr>
        <w:t xml:space="preserve"> </w:t>
      </w:r>
      <w:r>
        <w:rPr>
          <w:sz w:val="22"/>
          <w:szCs w:val="22"/>
          <w:lang w:val="pt-BR"/>
        </w:rPr>
        <w:t>vi</w:t>
      </w:r>
      <w:r w:rsidRPr="00442616">
        <w:rPr>
          <w:sz w:val="22"/>
          <w:szCs w:val="22"/>
          <w:lang w:val="sr-Latn-ME"/>
        </w:rPr>
        <w:t>š</w:t>
      </w:r>
      <w:r>
        <w:rPr>
          <w:sz w:val="22"/>
          <w:szCs w:val="22"/>
          <w:lang w:val="pt-BR"/>
        </w:rPr>
        <w:t>e</w:t>
      </w:r>
      <w:r w:rsidRPr="00442616">
        <w:rPr>
          <w:sz w:val="22"/>
          <w:szCs w:val="22"/>
          <w:lang w:val="sr-Latn-ME"/>
        </w:rPr>
        <w:t xml:space="preserve"> </w:t>
      </w:r>
      <w:r>
        <w:rPr>
          <w:sz w:val="22"/>
          <w:szCs w:val="22"/>
          <w:lang w:val="pt-BR"/>
        </w:rPr>
        <w:t>od</w:t>
      </w:r>
      <w:r w:rsidRPr="00442616">
        <w:rPr>
          <w:sz w:val="22"/>
          <w:szCs w:val="22"/>
          <w:lang w:val="sr-Latn-ME"/>
        </w:rPr>
        <w:t xml:space="preserve"> 5 </w:t>
      </w:r>
      <w:r>
        <w:rPr>
          <w:sz w:val="22"/>
          <w:szCs w:val="22"/>
          <w:lang w:val="pt-BR"/>
        </w:rPr>
        <w:t>kopija</w:t>
      </w:r>
      <w:r w:rsidRPr="00442616">
        <w:rPr>
          <w:sz w:val="22"/>
          <w:szCs w:val="22"/>
          <w:lang w:val="sr-Latn-ME"/>
        </w:rPr>
        <w:t xml:space="preserve"> </w:t>
      </w:r>
      <w:r>
        <w:rPr>
          <w:sz w:val="22"/>
          <w:szCs w:val="22"/>
          <w:lang w:val="pt-BR"/>
        </w:rPr>
        <w:t>HER</w:t>
      </w:r>
      <w:r w:rsidRPr="00442616">
        <w:rPr>
          <w:sz w:val="22"/>
          <w:szCs w:val="22"/>
          <w:lang w:val="sr-Latn-ME"/>
        </w:rPr>
        <w:t xml:space="preserve">2 </w:t>
      </w:r>
      <w:r>
        <w:rPr>
          <w:sz w:val="22"/>
          <w:szCs w:val="22"/>
          <w:lang w:val="pt-BR"/>
        </w:rPr>
        <w:t>gena</w:t>
      </w:r>
      <w:r w:rsidRPr="00442616">
        <w:rPr>
          <w:sz w:val="22"/>
          <w:szCs w:val="22"/>
          <w:lang w:val="sr-Latn-ME"/>
        </w:rPr>
        <w:t xml:space="preserve"> </w:t>
      </w:r>
      <w:r>
        <w:rPr>
          <w:sz w:val="22"/>
          <w:szCs w:val="22"/>
          <w:lang w:val="pt-BR"/>
        </w:rPr>
        <w:t>po</w:t>
      </w:r>
      <w:r w:rsidRPr="00442616">
        <w:rPr>
          <w:sz w:val="22"/>
          <w:szCs w:val="22"/>
          <w:lang w:val="sr-Latn-ME"/>
        </w:rPr>
        <w:t xml:space="preserve"> </w:t>
      </w:r>
      <w:r>
        <w:rPr>
          <w:sz w:val="22"/>
          <w:szCs w:val="22"/>
          <w:lang w:val="pt-BR"/>
        </w:rPr>
        <w:t>jedru</w:t>
      </w:r>
      <w:r w:rsidRPr="00442616">
        <w:rPr>
          <w:sz w:val="22"/>
          <w:szCs w:val="22"/>
          <w:lang w:val="sr-Latn-ME"/>
        </w:rPr>
        <w:t xml:space="preserve"> </w:t>
      </w:r>
      <w:r>
        <w:rPr>
          <w:sz w:val="22"/>
          <w:szCs w:val="22"/>
          <w:lang w:val="pt-BR"/>
        </w:rPr>
        <w:t>u</w:t>
      </w:r>
      <w:r w:rsidRPr="00442616">
        <w:rPr>
          <w:sz w:val="22"/>
          <w:szCs w:val="22"/>
          <w:lang w:val="sr-Latn-ME"/>
        </w:rPr>
        <w:t xml:space="preserve"> </w:t>
      </w:r>
      <w:r>
        <w:rPr>
          <w:sz w:val="22"/>
          <w:szCs w:val="22"/>
          <w:lang w:val="pt-BR"/>
        </w:rPr>
        <w:t>vi</w:t>
      </w:r>
      <w:r w:rsidRPr="00442616">
        <w:rPr>
          <w:sz w:val="22"/>
          <w:szCs w:val="22"/>
          <w:lang w:val="sr-Latn-ME"/>
        </w:rPr>
        <w:t>š</w:t>
      </w:r>
      <w:r>
        <w:rPr>
          <w:sz w:val="22"/>
          <w:szCs w:val="22"/>
          <w:lang w:val="pt-BR"/>
        </w:rPr>
        <w:t>e</w:t>
      </w:r>
      <w:r w:rsidRPr="00442616">
        <w:rPr>
          <w:sz w:val="22"/>
          <w:szCs w:val="22"/>
          <w:lang w:val="sr-Latn-ME"/>
        </w:rPr>
        <w:t xml:space="preserve"> </w:t>
      </w:r>
      <w:r>
        <w:rPr>
          <w:sz w:val="22"/>
          <w:szCs w:val="22"/>
          <w:lang w:val="pt-BR"/>
        </w:rPr>
        <w:t>od</w:t>
      </w:r>
      <w:r w:rsidRPr="00442616">
        <w:rPr>
          <w:sz w:val="22"/>
          <w:szCs w:val="22"/>
          <w:lang w:val="sr-Latn-ME"/>
        </w:rPr>
        <w:t xml:space="preserve"> 50% </w:t>
      </w:r>
      <w:r>
        <w:rPr>
          <w:sz w:val="22"/>
          <w:szCs w:val="22"/>
          <w:lang w:val="pt-BR"/>
        </w:rPr>
        <w:t>tumorskih</w:t>
      </w:r>
      <w:r w:rsidRPr="00442616">
        <w:rPr>
          <w:sz w:val="22"/>
          <w:szCs w:val="22"/>
          <w:lang w:val="sr-Latn-ME"/>
        </w:rPr>
        <w:t xml:space="preserve"> ć</w:t>
      </w:r>
      <w:r>
        <w:rPr>
          <w:sz w:val="22"/>
          <w:szCs w:val="22"/>
          <w:lang w:val="pt-BR"/>
        </w:rPr>
        <w:t>elija</w:t>
      </w:r>
      <w:r w:rsidRPr="00442616">
        <w:rPr>
          <w:sz w:val="22"/>
          <w:szCs w:val="22"/>
          <w:lang w:val="sr-Latn-ME"/>
        </w:rPr>
        <w:t xml:space="preserve">. </w:t>
      </w:r>
    </w:p>
    <w:p w14:paraId="742ED0F1" w14:textId="77777777" w:rsidR="00B05AA9" w:rsidRPr="00442616" w:rsidRDefault="00B05AA9" w:rsidP="00641EEB">
      <w:pPr>
        <w:jc w:val="both"/>
        <w:rPr>
          <w:sz w:val="22"/>
          <w:szCs w:val="22"/>
          <w:lang w:val="sr-Latn-ME"/>
        </w:rPr>
      </w:pPr>
    </w:p>
    <w:p w14:paraId="4312AE34" w14:textId="77777777" w:rsidR="00B05AA9" w:rsidRPr="00442616" w:rsidRDefault="00B05AA9" w:rsidP="00641EEB">
      <w:pPr>
        <w:jc w:val="both"/>
        <w:rPr>
          <w:sz w:val="22"/>
          <w:szCs w:val="22"/>
          <w:lang w:val="sr-Latn-ME"/>
        </w:rPr>
      </w:pPr>
      <w:r>
        <w:rPr>
          <w:sz w:val="22"/>
          <w:szCs w:val="22"/>
          <w:lang w:val="pt-BR"/>
        </w:rPr>
        <w:t>Za</w:t>
      </w:r>
      <w:r w:rsidRPr="00442616">
        <w:rPr>
          <w:sz w:val="22"/>
          <w:szCs w:val="22"/>
          <w:lang w:val="sr-Latn-ME"/>
        </w:rPr>
        <w:t xml:space="preserve"> </w:t>
      </w:r>
      <w:r>
        <w:rPr>
          <w:sz w:val="22"/>
          <w:szCs w:val="22"/>
          <w:lang w:val="pt-BR"/>
        </w:rPr>
        <w:t>detaljna</w:t>
      </w:r>
      <w:r w:rsidRPr="00442616">
        <w:rPr>
          <w:sz w:val="22"/>
          <w:szCs w:val="22"/>
          <w:lang w:val="sr-Latn-ME"/>
        </w:rPr>
        <w:t xml:space="preserve"> </w:t>
      </w:r>
      <w:r>
        <w:rPr>
          <w:sz w:val="22"/>
          <w:szCs w:val="22"/>
          <w:lang w:val="pt-BR"/>
        </w:rPr>
        <w:t>uputstva</w:t>
      </w:r>
      <w:r w:rsidRPr="00442616">
        <w:rPr>
          <w:sz w:val="22"/>
          <w:szCs w:val="22"/>
          <w:lang w:val="sr-Latn-ME"/>
        </w:rPr>
        <w:t xml:space="preserve"> </w:t>
      </w:r>
      <w:r>
        <w:rPr>
          <w:sz w:val="22"/>
          <w:szCs w:val="22"/>
          <w:lang w:val="pt-BR"/>
        </w:rPr>
        <w:t>o</w:t>
      </w:r>
      <w:r w:rsidRPr="00442616">
        <w:rPr>
          <w:sz w:val="22"/>
          <w:szCs w:val="22"/>
          <w:lang w:val="sr-Latn-ME"/>
        </w:rPr>
        <w:t xml:space="preserve"> </w:t>
      </w:r>
      <w:r>
        <w:rPr>
          <w:sz w:val="22"/>
          <w:szCs w:val="22"/>
          <w:lang w:val="pt-BR"/>
        </w:rPr>
        <w:t>tome</w:t>
      </w:r>
      <w:r w:rsidRPr="00442616">
        <w:rPr>
          <w:sz w:val="22"/>
          <w:szCs w:val="22"/>
          <w:lang w:val="sr-Latn-ME"/>
        </w:rPr>
        <w:t xml:space="preserve"> </w:t>
      </w:r>
      <w:r>
        <w:rPr>
          <w:sz w:val="22"/>
          <w:szCs w:val="22"/>
          <w:lang w:val="pt-BR"/>
        </w:rPr>
        <w:t>kako</w:t>
      </w:r>
      <w:r w:rsidRPr="00442616">
        <w:rPr>
          <w:sz w:val="22"/>
          <w:szCs w:val="22"/>
          <w:lang w:val="sr-Latn-ME"/>
        </w:rPr>
        <w:t xml:space="preserve"> </w:t>
      </w:r>
      <w:r>
        <w:rPr>
          <w:sz w:val="22"/>
          <w:szCs w:val="22"/>
          <w:lang w:val="pt-BR"/>
        </w:rPr>
        <w:t>se</w:t>
      </w:r>
      <w:r w:rsidRPr="00442616">
        <w:rPr>
          <w:sz w:val="22"/>
          <w:szCs w:val="22"/>
          <w:lang w:val="sr-Latn-ME"/>
        </w:rPr>
        <w:t xml:space="preserve"> </w:t>
      </w:r>
      <w:r>
        <w:rPr>
          <w:sz w:val="22"/>
          <w:szCs w:val="22"/>
          <w:lang w:val="pt-BR"/>
        </w:rPr>
        <w:t>rade</w:t>
      </w:r>
      <w:r w:rsidRPr="00442616">
        <w:rPr>
          <w:sz w:val="22"/>
          <w:szCs w:val="22"/>
          <w:lang w:val="sr-Latn-ME"/>
        </w:rPr>
        <w:t xml:space="preserve"> </w:t>
      </w:r>
      <w:r>
        <w:rPr>
          <w:sz w:val="22"/>
          <w:szCs w:val="22"/>
          <w:lang w:val="pt-BR"/>
        </w:rPr>
        <w:t>ovi</w:t>
      </w:r>
      <w:r w:rsidRPr="00442616">
        <w:rPr>
          <w:sz w:val="22"/>
          <w:szCs w:val="22"/>
          <w:lang w:val="sr-Latn-ME"/>
        </w:rPr>
        <w:t xml:space="preserve"> </w:t>
      </w:r>
      <w:r>
        <w:rPr>
          <w:sz w:val="22"/>
          <w:szCs w:val="22"/>
          <w:lang w:val="pt-BR"/>
        </w:rPr>
        <w:t>testovi</w:t>
      </w:r>
      <w:r w:rsidRPr="00442616">
        <w:rPr>
          <w:sz w:val="22"/>
          <w:szCs w:val="22"/>
          <w:lang w:val="sr-Latn-ME"/>
        </w:rPr>
        <w:t xml:space="preserve"> </w:t>
      </w:r>
      <w:r>
        <w:rPr>
          <w:sz w:val="22"/>
          <w:szCs w:val="22"/>
          <w:lang w:val="pt-BR"/>
        </w:rPr>
        <w:t>i</w:t>
      </w:r>
      <w:r w:rsidRPr="00442616">
        <w:rPr>
          <w:sz w:val="22"/>
          <w:szCs w:val="22"/>
          <w:lang w:val="sr-Latn-ME"/>
        </w:rPr>
        <w:t xml:space="preserve"> </w:t>
      </w:r>
      <w:r>
        <w:rPr>
          <w:sz w:val="22"/>
          <w:szCs w:val="22"/>
          <w:lang w:val="pt-BR"/>
        </w:rPr>
        <w:t>kako</w:t>
      </w:r>
      <w:r w:rsidRPr="00442616">
        <w:rPr>
          <w:sz w:val="22"/>
          <w:szCs w:val="22"/>
          <w:lang w:val="sr-Latn-ME"/>
        </w:rPr>
        <w:t xml:space="preserve"> </w:t>
      </w:r>
      <w:r>
        <w:rPr>
          <w:sz w:val="22"/>
          <w:szCs w:val="22"/>
          <w:lang w:val="pt-BR"/>
        </w:rPr>
        <w:t>se</w:t>
      </w:r>
      <w:r w:rsidRPr="00442616">
        <w:rPr>
          <w:sz w:val="22"/>
          <w:szCs w:val="22"/>
          <w:lang w:val="sr-Latn-ME"/>
        </w:rPr>
        <w:t xml:space="preserve"> </w:t>
      </w:r>
      <w:r>
        <w:rPr>
          <w:sz w:val="22"/>
          <w:szCs w:val="22"/>
          <w:lang w:val="pt-BR"/>
        </w:rPr>
        <w:t>tuma</w:t>
      </w:r>
      <w:r w:rsidRPr="00442616">
        <w:rPr>
          <w:sz w:val="22"/>
          <w:szCs w:val="22"/>
          <w:lang w:val="sr-Latn-ME"/>
        </w:rPr>
        <w:t>č</w:t>
      </w:r>
      <w:r>
        <w:rPr>
          <w:sz w:val="22"/>
          <w:szCs w:val="22"/>
          <w:lang w:val="pt-BR"/>
        </w:rPr>
        <w:t>e</w:t>
      </w:r>
      <w:r w:rsidRPr="00442616">
        <w:rPr>
          <w:sz w:val="22"/>
          <w:szCs w:val="22"/>
          <w:lang w:val="sr-Latn-ME"/>
        </w:rPr>
        <w:t xml:space="preserve">, </w:t>
      </w:r>
      <w:r>
        <w:rPr>
          <w:sz w:val="22"/>
          <w:szCs w:val="22"/>
          <w:lang w:val="pt-BR"/>
        </w:rPr>
        <w:t>molimo</w:t>
      </w:r>
      <w:r w:rsidRPr="00442616">
        <w:rPr>
          <w:sz w:val="22"/>
          <w:szCs w:val="22"/>
          <w:lang w:val="sr-Latn-ME"/>
        </w:rPr>
        <w:t xml:space="preserve"> </w:t>
      </w:r>
      <w:r>
        <w:rPr>
          <w:sz w:val="22"/>
          <w:szCs w:val="22"/>
          <w:lang w:val="pt-BR"/>
        </w:rPr>
        <w:t>da</w:t>
      </w:r>
      <w:r w:rsidRPr="00442616">
        <w:rPr>
          <w:sz w:val="22"/>
          <w:szCs w:val="22"/>
          <w:lang w:val="sr-Latn-ME"/>
        </w:rPr>
        <w:t xml:space="preserve"> </w:t>
      </w:r>
      <w:r>
        <w:rPr>
          <w:sz w:val="22"/>
          <w:szCs w:val="22"/>
          <w:lang w:val="pt-BR"/>
        </w:rPr>
        <w:t>pro</w:t>
      </w:r>
      <w:r w:rsidRPr="00442616">
        <w:rPr>
          <w:sz w:val="22"/>
          <w:szCs w:val="22"/>
          <w:lang w:val="sr-Latn-ME"/>
        </w:rPr>
        <w:t>č</w:t>
      </w:r>
      <w:r>
        <w:rPr>
          <w:sz w:val="22"/>
          <w:szCs w:val="22"/>
          <w:lang w:val="pt-BR"/>
        </w:rPr>
        <w:t>itate</w:t>
      </w:r>
      <w:r w:rsidRPr="00442616">
        <w:rPr>
          <w:sz w:val="22"/>
          <w:szCs w:val="22"/>
          <w:lang w:val="sr-Latn-ME"/>
        </w:rPr>
        <w:t xml:space="preserve"> </w:t>
      </w:r>
      <w:r>
        <w:rPr>
          <w:sz w:val="22"/>
          <w:szCs w:val="22"/>
          <w:lang w:val="pt-BR"/>
        </w:rPr>
        <w:t>uputstvo</w:t>
      </w:r>
      <w:r w:rsidRPr="00442616">
        <w:rPr>
          <w:sz w:val="22"/>
          <w:szCs w:val="22"/>
          <w:lang w:val="sr-Latn-ME"/>
        </w:rPr>
        <w:t xml:space="preserve"> </w:t>
      </w:r>
      <w:r>
        <w:rPr>
          <w:sz w:val="22"/>
          <w:szCs w:val="22"/>
          <w:lang w:val="pt-BR"/>
        </w:rPr>
        <w:t>za</w:t>
      </w:r>
      <w:r w:rsidRPr="00442616">
        <w:rPr>
          <w:sz w:val="22"/>
          <w:szCs w:val="22"/>
          <w:lang w:val="sr-Latn-ME"/>
        </w:rPr>
        <w:t xml:space="preserve"> </w:t>
      </w:r>
      <w:r>
        <w:rPr>
          <w:sz w:val="22"/>
          <w:szCs w:val="22"/>
          <w:lang w:val="pt-BR"/>
        </w:rPr>
        <w:t>kori</w:t>
      </w:r>
      <w:r w:rsidRPr="00442616">
        <w:rPr>
          <w:sz w:val="22"/>
          <w:szCs w:val="22"/>
          <w:lang w:val="sr-Latn-ME"/>
        </w:rPr>
        <w:t>šć</w:t>
      </w:r>
      <w:r>
        <w:rPr>
          <w:sz w:val="22"/>
          <w:szCs w:val="22"/>
          <w:lang w:val="pt-BR"/>
        </w:rPr>
        <w:t>enje</w:t>
      </w:r>
      <w:r w:rsidRPr="00442616">
        <w:rPr>
          <w:sz w:val="22"/>
          <w:szCs w:val="22"/>
          <w:lang w:val="sr-Latn-ME"/>
        </w:rPr>
        <w:t xml:space="preserve"> </w:t>
      </w:r>
      <w:r>
        <w:rPr>
          <w:sz w:val="22"/>
          <w:szCs w:val="22"/>
          <w:lang w:val="pt-BR"/>
        </w:rPr>
        <w:t>FISH</w:t>
      </w:r>
      <w:r w:rsidRPr="00442616">
        <w:rPr>
          <w:sz w:val="22"/>
          <w:szCs w:val="22"/>
          <w:lang w:val="sr-Latn-ME"/>
        </w:rPr>
        <w:t xml:space="preserve"> </w:t>
      </w:r>
      <w:r>
        <w:rPr>
          <w:sz w:val="22"/>
          <w:szCs w:val="22"/>
          <w:lang w:val="pt-BR"/>
        </w:rPr>
        <w:t>i</w:t>
      </w:r>
      <w:r w:rsidRPr="00442616">
        <w:rPr>
          <w:sz w:val="22"/>
          <w:szCs w:val="22"/>
          <w:lang w:val="sr-Latn-ME"/>
        </w:rPr>
        <w:t xml:space="preserve"> </w:t>
      </w:r>
      <w:r>
        <w:rPr>
          <w:sz w:val="22"/>
          <w:szCs w:val="22"/>
          <w:lang w:val="pt-BR"/>
        </w:rPr>
        <w:t>CISH</w:t>
      </w:r>
      <w:r w:rsidRPr="00442616">
        <w:rPr>
          <w:sz w:val="22"/>
          <w:szCs w:val="22"/>
          <w:lang w:val="sr-Latn-ME"/>
        </w:rPr>
        <w:t xml:space="preserve"> </w:t>
      </w:r>
      <w:r>
        <w:rPr>
          <w:sz w:val="22"/>
          <w:szCs w:val="22"/>
          <w:lang w:val="pt-BR"/>
        </w:rPr>
        <w:t>testova</w:t>
      </w:r>
      <w:r w:rsidRPr="00442616">
        <w:rPr>
          <w:sz w:val="22"/>
          <w:szCs w:val="22"/>
          <w:lang w:val="sr-Latn-ME"/>
        </w:rPr>
        <w:t xml:space="preserve">.  </w:t>
      </w:r>
      <w:r>
        <w:rPr>
          <w:sz w:val="22"/>
          <w:szCs w:val="22"/>
        </w:rPr>
        <w:t>Zvani</w:t>
      </w:r>
      <w:r w:rsidRPr="00442616">
        <w:rPr>
          <w:sz w:val="22"/>
          <w:szCs w:val="22"/>
          <w:lang w:val="sr-Latn-ME"/>
        </w:rPr>
        <w:t>č</w:t>
      </w:r>
      <w:r>
        <w:rPr>
          <w:sz w:val="22"/>
          <w:szCs w:val="22"/>
        </w:rPr>
        <w:t>ne</w:t>
      </w:r>
      <w:r w:rsidRPr="00442616">
        <w:rPr>
          <w:sz w:val="22"/>
          <w:szCs w:val="22"/>
          <w:lang w:val="sr-Latn-ME"/>
        </w:rPr>
        <w:t xml:space="preserve"> </w:t>
      </w:r>
      <w:r>
        <w:rPr>
          <w:sz w:val="22"/>
          <w:szCs w:val="22"/>
        </w:rPr>
        <w:t>preporuke</w:t>
      </w:r>
      <w:r w:rsidRPr="00442616">
        <w:rPr>
          <w:sz w:val="22"/>
          <w:szCs w:val="22"/>
          <w:lang w:val="sr-Latn-ME"/>
        </w:rPr>
        <w:t xml:space="preserve"> </w:t>
      </w:r>
      <w:r>
        <w:rPr>
          <w:sz w:val="22"/>
          <w:szCs w:val="22"/>
        </w:rPr>
        <w:t>za</w:t>
      </w:r>
      <w:r w:rsidRPr="00442616">
        <w:rPr>
          <w:sz w:val="22"/>
          <w:szCs w:val="22"/>
          <w:lang w:val="sr-Latn-ME"/>
        </w:rPr>
        <w:t xml:space="preserve"> </w:t>
      </w:r>
      <w:r>
        <w:rPr>
          <w:sz w:val="22"/>
          <w:szCs w:val="22"/>
        </w:rPr>
        <w:t>HER</w:t>
      </w:r>
      <w:r w:rsidRPr="00442616">
        <w:rPr>
          <w:sz w:val="22"/>
          <w:szCs w:val="22"/>
          <w:lang w:val="sr-Latn-ME"/>
        </w:rPr>
        <w:t xml:space="preserve">2 </w:t>
      </w:r>
      <w:r>
        <w:rPr>
          <w:sz w:val="22"/>
          <w:szCs w:val="22"/>
        </w:rPr>
        <w:t>testiranje</w:t>
      </w:r>
      <w:r w:rsidRPr="00442616">
        <w:rPr>
          <w:sz w:val="22"/>
          <w:szCs w:val="22"/>
          <w:lang w:val="sr-Latn-ME"/>
        </w:rPr>
        <w:t xml:space="preserve">, </w:t>
      </w:r>
      <w:r>
        <w:rPr>
          <w:sz w:val="22"/>
          <w:szCs w:val="22"/>
        </w:rPr>
        <w:t>tako</w:t>
      </w:r>
      <w:r w:rsidRPr="00442616">
        <w:rPr>
          <w:sz w:val="22"/>
          <w:szCs w:val="22"/>
          <w:lang w:val="sr-Latn-ME"/>
        </w:rPr>
        <w:t>đ</w:t>
      </w:r>
      <w:r>
        <w:rPr>
          <w:sz w:val="22"/>
          <w:szCs w:val="22"/>
        </w:rPr>
        <w:t>e</w:t>
      </w:r>
      <w:r w:rsidRPr="00442616">
        <w:rPr>
          <w:sz w:val="22"/>
          <w:szCs w:val="22"/>
          <w:lang w:val="sr-Latn-ME"/>
        </w:rPr>
        <w:t xml:space="preserve"> </w:t>
      </w:r>
      <w:r>
        <w:rPr>
          <w:sz w:val="22"/>
          <w:szCs w:val="22"/>
        </w:rPr>
        <w:t>su</w:t>
      </w:r>
      <w:r w:rsidRPr="00442616">
        <w:rPr>
          <w:sz w:val="22"/>
          <w:szCs w:val="22"/>
          <w:lang w:val="sr-Latn-ME"/>
        </w:rPr>
        <w:t xml:space="preserve"> </w:t>
      </w:r>
      <w:r>
        <w:rPr>
          <w:sz w:val="22"/>
          <w:szCs w:val="22"/>
        </w:rPr>
        <w:t>primjenljive</w:t>
      </w:r>
      <w:r w:rsidRPr="00442616">
        <w:rPr>
          <w:sz w:val="22"/>
          <w:szCs w:val="22"/>
          <w:lang w:val="sr-Latn-ME"/>
        </w:rPr>
        <w:t xml:space="preserve">.  </w:t>
      </w:r>
    </w:p>
    <w:p w14:paraId="3EB1D616" w14:textId="77777777" w:rsidR="00B05AA9" w:rsidRPr="00442616" w:rsidRDefault="00B05AA9" w:rsidP="00641EEB">
      <w:pPr>
        <w:jc w:val="both"/>
        <w:rPr>
          <w:sz w:val="22"/>
          <w:szCs w:val="22"/>
          <w:lang w:val="sr-Latn-ME"/>
        </w:rPr>
      </w:pPr>
    </w:p>
    <w:p w14:paraId="476ED1A0" w14:textId="77777777" w:rsidR="00B05AA9" w:rsidRPr="00442616" w:rsidRDefault="00B05AA9" w:rsidP="00641EEB">
      <w:pPr>
        <w:jc w:val="both"/>
        <w:rPr>
          <w:sz w:val="22"/>
          <w:szCs w:val="22"/>
          <w:lang w:val="sr-Latn-ME"/>
        </w:rPr>
      </w:pPr>
      <w:r>
        <w:rPr>
          <w:sz w:val="22"/>
          <w:szCs w:val="22"/>
          <w:lang w:val="pt-BR"/>
        </w:rPr>
        <w:t>Za</w:t>
      </w:r>
      <w:r w:rsidRPr="00442616">
        <w:rPr>
          <w:sz w:val="22"/>
          <w:szCs w:val="22"/>
          <w:lang w:val="sr-Latn-ME"/>
        </w:rPr>
        <w:t xml:space="preserve"> </w:t>
      </w:r>
      <w:r>
        <w:rPr>
          <w:sz w:val="22"/>
          <w:szCs w:val="22"/>
          <w:lang w:val="pt-BR"/>
        </w:rPr>
        <w:t>svaku</w:t>
      </w:r>
      <w:r w:rsidRPr="00442616">
        <w:rPr>
          <w:sz w:val="22"/>
          <w:szCs w:val="22"/>
          <w:lang w:val="sr-Latn-ME"/>
        </w:rPr>
        <w:t xml:space="preserve"> </w:t>
      </w:r>
      <w:r>
        <w:rPr>
          <w:sz w:val="22"/>
          <w:szCs w:val="22"/>
          <w:lang w:val="pt-BR"/>
        </w:rPr>
        <w:t>drugu</w:t>
      </w:r>
      <w:r w:rsidRPr="00442616">
        <w:rPr>
          <w:sz w:val="22"/>
          <w:szCs w:val="22"/>
          <w:lang w:val="sr-Latn-ME"/>
        </w:rPr>
        <w:t xml:space="preserve"> </w:t>
      </w:r>
      <w:r>
        <w:rPr>
          <w:sz w:val="22"/>
          <w:szCs w:val="22"/>
          <w:lang w:val="pt-BR"/>
        </w:rPr>
        <w:t>metodu</w:t>
      </w:r>
      <w:r w:rsidRPr="00442616">
        <w:rPr>
          <w:sz w:val="22"/>
          <w:szCs w:val="22"/>
          <w:lang w:val="sr-Latn-ME"/>
        </w:rPr>
        <w:t xml:space="preserve"> </w:t>
      </w:r>
      <w:r>
        <w:rPr>
          <w:sz w:val="22"/>
          <w:szCs w:val="22"/>
          <w:lang w:val="pt-BR"/>
        </w:rPr>
        <w:t>koja</w:t>
      </w:r>
      <w:r w:rsidRPr="00442616">
        <w:rPr>
          <w:sz w:val="22"/>
          <w:szCs w:val="22"/>
          <w:lang w:val="sr-Latn-ME"/>
        </w:rPr>
        <w:t xml:space="preserve"> </w:t>
      </w:r>
      <w:r>
        <w:rPr>
          <w:sz w:val="22"/>
          <w:szCs w:val="22"/>
          <w:lang w:val="pt-BR"/>
        </w:rPr>
        <w:t>se</w:t>
      </w:r>
      <w:r w:rsidRPr="00442616">
        <w:rPr>
          <w:sz w:val="22"/>
          <w:szCs w:val="22"/>
          <w:lang w:val="sr-Latn-ME"/>
        </w:rPr>
        <w:t xml:space="preserve"> </w:t>
      </w:r>
      <w:r>
        <w:rPr>
          <w:sz w:val="22"/>
          <w:szCs w:val="22"/>
          <w:lang w:val="pt-BR"/>
        </w:rPr>
        <w:t>mo</w:t>
      </w:r>
      <w:r w:rsidRPr="00442616">
        <w:rPr>
          <w:sz w:val="22"/>
          <w:szCs w:val="22"/>
          <w:lang w:val="sr-Latn-ME"/>
        </w:rPr>
        <w:t>ž</w:t>
      </w:r>
      <w:r>
        <w:rPr>
          <w:sz w:val="22"/>
          <w:szCs w:val="22"/>
          <w:lang w:val="pt-BR"/>
        </w:rPr>
        <w:t>e</w:t>
      </w:r>
      <w:r w:rsidRPr="00442616">
        <w:rPr>
          <w:sz w:val="22"/>
          <w:szCs w:val="22"/>
          <w:lang w:val="sr-Latn-ME"/>
        </w:rPr>
        <w:t xml:space="preserve"> </w:t>
      </w:r>
      <w:r>
        <w:rPr>
          <w:sz w:val="22"/>
          <w:szCs w:val="22"/>
          <w:lang w:val="pt-BR"/>
        </w:rPr>
        <w:t>koristiti</w:t>
      </w:r>
      <w:r w:rsidRPr="00442616">
        <w:rPr>
          <w:sz w:val="22"/>
          <w:szCs w:val="22"/>
          <w:lang w:val="sr-Latn-ME"/>
        </w:rPr>
        <w:t xml:space="preserve"> </w:t>
      </w:r>
      <w:r>
        <w:rPr>
          <w:sz w:val="22"/>
          <w:szCs w:val="22"/>
          <w:lang w:val="pt-BR"/>
        </w:rPr>
        <w:t>za</w:t>
      </w:r>
      <w:r w:rsidRPr="00442616">
        <w:rPr>
          <w:sz w:val="22"/>
          <w:szCs w:val="22"/>
          <w:lang w:val="sr-Latn-ME"/>
        </w:rPr>
        <w:t xml:space="preserve"> </w:t>
      </w:r>
      <w:r>
        <w:rPr>
          <w:sz w:val="22"/>
          <w:szCs w:val="22"/>
          <w:lang w:val="pt-BR"/>
        </w:rPr>
        <w:t>procjenu</w:t>
      </w:r>
      <w:r w:rsidRPr="00442616">
        <w:rPr>
          <w:sz w:val="22"/>
          <w:szCs w:val="22"/>
          <w:lang w:val="sr-Latn-ME"/>
        </w:rPr>
        <w:t xml:space="preserve"> </w:t>
      </w:r>
      <w:r>
        <w:rPr>
          <w:sz w:val="22"/>
          <w:szCs w:val="22"/>
          <w:lang w:val="pt-BR"/>
        </w:rPr>
        <w:t>ekspresije</w:t>
      </w:r>
      <w:r w:rsidRPr="00442616">
        <w:rPr>
          <w:sz w:val="22"/>
          <w:szCs w:val="22"/>
          <w:lang w:val="sr-Latn-ME"/>
        </w:rPr>
        <w:t xml:space="preserve"> </w:t>
      </w:r>
      <w:r>
        <w:rPr>
          <w:sz w:val="22"/>
          <w:szCs w:val="22"/>
          <w:lang w:val="pt-BR"/>
        </w:rPr>
        <w:t>HER</w:t>
      </w:r>
      <w:r w:rsidRPr="00442616">
        <w:rPr>
          <w:sz w:val="22"/>
          <w:szCs w:val="22"/>
          <w:lang w:val="sr-Latn-ME"/>
        </w:rPr>
        <w:t xml:space="preserve">2 </w:t>
      </w:r>
      <w:r>
        <w:rPr>
          <w:sz w:val="22"/>
          <w:szCs w:val="22"/>
          <w:lang w:val="pt-BR"/>
        </w:rPr>
        <w:t>proteina</w:t>
      </w:r>
      <w:r w:rsidRPr="00442616">
        <w:rPr>
          <w:sz w:val="22"/>
          <w:szCs w:val="22"/>
          <w:lang w:val="sr-Latn-ME"/>
        </w:rPr>
        <w:t xml:space="preserve"> </w:t>
      </w:r>
      <w:r>
        <w:rPr>
          <w:sz w:val="22"/>
          <w:szCs w:val="22"/>
          <w:lang w:val="pt-BR"/>
        </w:rPr>
        <w:t>ili</w:t>
      </w:r>
      <w:r w:rsidRPr="00442616">
        <w:rPr>
          <w:sz w:val="22"/>
          <w:szCs w:val="22"/>
          <w:lang w:val="sr-Latn-ME"/>
        </w:rPr>
        <w:t xml:space="preserve"> </w:t>
      </w:r>
      <w:r>
        <w:rPr>
          <w:sz w:val="22"/>
          <w:szCs w:val="22"/>
          <w:lang w:val="pt-BR"/>
        </w:rPr>
        <w:t>gena</w:t>
      </w:r>
      <w:r w:rsidRPr="00442616">
        <w:rPr>
          <w:sz w:val="22"/>
          <w:szCs w:val="22"/>
          <w:lang w:val="sr-Latn-ME"/>
        </w:rPr>
        <w:t xml:space="preserve">, </w:t>
      </w:r>
      <w:r>
        <w:rPr>
          <w:sz w:val="22"/>
          <w:szCs w:val="22"/>
          <w:lang w:val="pt-BR"/>
        </w:rPr>
        <w:t>analize</w:t>
      </w:r>
      <w:r w:rsidRPr="00442616">
        <w:rPr>
          <w:sz w:val="22"/>
          <w:szCs w:val="22"/>
          <w:lang w:val="sr-Latn-ME"/>
        </w:rPr>
        <w:t xml:space="preserve"> </w:t>
      </w:r>
      <w:r>
        <w:rPr>
          <w:sz w:val="22"/>
          <w:szCs w:val="22"/>
          <w:lang w:val="pt-BR"/>
        </w:rPr>
        <w:t>se</w:t>
      </w:r>
      <w:r w:rsidRPr="00442616">
        <w:rPr>
          <w:sz w:val="22"/>
          <w:szCs w:val="22"/>
          <w:lang w:val="sr-Latn-ME"/>
        </w:rPr>
        <w:t xml:space="preserve"> </w:t>
      </w:r>
      <w:r>
        <w:rPr>
          <w:sz w:val="22"/>
          <w:szCs w:val="22"/>
          <w:lang w:val="pt-BR"/>
        </w:rPr>
        <w:t>smiju</w:t>
      </w:r>
      <w:r w:rsidRPr="00442616">
        <w:rPr>
          <w:sz w:val="22"/>
          <w:szCs w:val="22"/>
          <w:lang w:val="sr-Latn-ME"/>
        </w:rPr>
        <w:t xml:space="preserve"> </w:t>
      </w:r>
      <w:r>
        <w:rPr>
          <w:sz w:val="22"/>
          <w:szCs w:val="22"/>
          <w:lang w:val="pt-BR"/>
        </w:rPr>
        <w:t>raditi</w:t>
      </w:r>
      <w:r w:rsidRPr="00442616">
        <w:rPr>
          <w:sz w:val="22"/>
          <w:szCs w:val="22"/>
          <w:lang w:val="sr-Latn-ME"/>
        </w:rPr>
        <w:t xml:space="preserve"> </w:t>
      </w:r>
      <w:r>
        <w:rPr>
          <w:sz w:val="22"/>
          <w:szCs w:val="22"/>
          <w:lang w:val="pt-BR"/>
        </w:rPr>
        <w:t>samo</w:t>
      </w:r>
      <w:r w:rsidRPr="00442616">
        <w:rPr>
          <w:sz w:val="22"/>
          <w:szCs w:val="22"/>
          <w:lang w:val="sr-Latn-ME"/>
        </w:rPr>
        <w:t xml:space="preserve"> </w:t>
      </w:r>
      <w:r>
        <w:rPr>
          <w:sz w:val="22"/>
          <w:szCs w:val="22"/>
          <w:lang w:val="pt-BR"/>
        </w:rPr>
        <w:t>u</w:t>
      </w:r>
      <w:r w:rsidRPr="00442616">
        <w:rPr>
          <w:sz w:val="22"/>
          <w:szCs w:val="22"/>
          <w:lang w:val="sr-Latn-ME"/>
        </w:rPr>
        <w:t xml:space="preserve"> </w:t>
      </w:r>
      <w:r>
        <w:rPr>
          <w:sz w:val="22"/>
          <w:szCs w:val="22"/>
          <w:lang w:val="pt-BR"/>
        </w:rPr>
        <w:t>laboratorijama</w:t>
      </w:r>
      <w:r w:rsidRPr="00442616">
        <w:rPr>
          <w:sz w:val="22"/>
          <w:szCs w:val="22"/>
          <w:lang w:val="sr-Latn-ME"/>
        </w:rPr>
        <w:t xml:space="preserve"> </w:t>
      </w:r>
      <w:r>
        <w:rPr>
          <w:sz w:val="22"/>
          <w:szCs w:val="22"/>
          <w:lang w:val="pt-BR"/>
        </w:rPr>
        <w:t>koje</w:t>
      </w:r>
      <w:r w:rsidRPr="00442616">
        <w:rPr>
          <w:sz w:val="22"/>
          <w:szCs w:val="22"/>
          <w:lang w:val="sr-Latn-ME"/>
        </w:rPr>
        <w:t xml:space="preserve"> </w:t>
      </w:r>
      <w:r>
        <w:rPr>
          <w:sz w:val="22"/>
          <w:szCs w:val="22"/>
          <w:lang w:val="pt-BR"/>
        </w:rPr>
        <w:t>obezbje</w:t>
      </w:r>
      <w:r w:rsidRPr="00442616">
        <w:rPr>
          <w:sz w:val="22"/>
          <w:szCs w:val="22"/>
          <w:lang w:val="sr-Latn-ME"/>
        </w:rPr>
        <w:t>đ</w:t>
      </w:r>
      <w:r>
        <w:rPr>
          <w:sz w:val="22"/>
          <w:szCs w:val="22"/>
          <w:lang w:val="pt-BR"/>
        </w:rPr>
        <w:t>uju</w:t>
      </w:r>
      <w:r w:rsidRPr="00442616">
        <w:rPr>
          <w:sz w:val="22"/>
          <w:szCs w:val="22"/>
          <w:lang w:val="sr-Latn-ME"/>
        </w:rPr>
        <w:t xml:space="preserve"> </w:t>
      </w:r>
      <w:r>
        <w:rPr>
          <w:sz w:val="22"/>
          <w:szCs w:val="22"/>
          <w:lang w:val="pt-BR"/>
        </w:rPr>
        <w:t>najsavremenije</w:t>
      </w:r>
      <w:r w:rsidRPr="00442616">
        <w:rPr>
          <w:sz w:val="22"/>
          <w:szCs w:val="22"/>
          <w:lang w:val="sr-Latn-ME"/>
        </w:rPr>
        <w:t xml:space="preserve">, </w:t>
      </w:r>
      <w:r>
        <w:rPr>
          <w:sz w:val="22"/>
          <w:szCs w:val="22"/>
          <w:lang w:val="pt-BR"/>
        </w:rPr>
        <w:t>provjerene</w:t>
      </w:r>
      <w:r w:rsidRPr="00442616">
        <w:rPr>
          <w:sz w:val="22"/>
          <w:szCs w:val="22"/>
          <w:lang w:val="sr-Latn-ME"/>
        </w:rPr>
        <w:t xml:space="preserve"> </w:t>
      </w:r>
      <w:r>
        <w:rPr>
          <w:sz w:val="22"/>
          <w:szCs w:val="22"/>
          <w:lang w:val="pt-BR"/>
        </w:rPr>
        <w:t>metode</w:t>
      </w:r>
      <w:r w:rsidRPr="00442616">
        <w:rPr>
          <w:sz w:val="22"/>
          <w:szCs w:val="22"/>
          <w:lang w:val="sr-Latn-ME"/>
        </w:rPr>
        <w:t xml:space="preserve">. </w:t>
      </w:r>
      <w:r>
        <w:rPr>
          <w:sz w:val="22"/>
          <w:szCs w:val="22"/>
          <w:lang w:val="pt-BR"/>
        </w:rPr>
        <w:t>Takve</w:t>
      </w:r>
      <w:r w:rsidRPr="00442616">
        <w:rPr>
          <w:sz w:val="22"/>
          <w:szCs w:val="22"/>
          <w:lang w:val="sr-Latn-ME"/>
        </w:rPr>
        <w:t xml:space="preserve"> </w:t>
      </w:r>
      <w:r>
        <w:rPr>
          <w:sz w:val="22"/>
          <w:szCs w:val="22"/>
          <w:lang w:val="pt-BR"/>
        </w:rPr>
        <w:t>metode</w:t>
      </w:r>
      <w:r w:rsidRPr="00442616">
        <w:rPr>
          <w:sz w:val="22"/>
          <w:szCs w:val="22"/>
          <w:lang w:val="sr-Latn-ME"/>
        </w:rPr>
        <w:t xml:space="preserve"> </w:t>
      </w:r>
      <w:r>
        <w:rPr>
          <w:sz w:val="22"/>
          <w:szCs w:val="22"/>
          <w:lang w:val="pt-BR"/>
        </w:rPr>
        <w:t>moraju</w:t>
      </w:r>
      <w:r w:rsidRPr="00442616">
        <w:rPr>
          <w:sz w:val="22"/>
          <w:szCs w:val="22"/>
          <w:lang w:val="sr-Latn-ME"/>
        </w:rPr>
        <w:t xml:space="preserve"> </w:t>
      </w:r>
      <w:r>
        <w:rPr>
          <w:sz w:val="22"/>
          <w:szCs w:val="22"/>
          <w:lang w:val="pt-BR"/>
        </w:rPr>
        <w:t>biti</w:t>
      </w:r>
      <w:r w:rsidRPr="00442616">
        <w:rPr>
          <w:sz w:val="22"/>
          <w:szCs w:val="22"/>
          <w:lang w:val="sr-Latn-ME"/>
        </w:rPr>
        <w:t xml:space="preserve"> </w:t>
      </w:r>
      <w:r>
        <w:rPr>
          <w:sz w:val="22"/>
          <w:szCs w:val="22"/>
          <w:lang w:val="pt-BR"/>
        </w:rPr>
        <w:t>nedvosmisleno</w:t>
      </w:r>
      <w:r w:rsidRPr="00442616">
        <w:rPr>
          <w:sz w:val="22"/>
          <w:szCs w:val="22"/>
          <w:lang w:val="sr-Latn-ME"/>
        </w:rPr>
        <w:t xml:space="preserve"> </w:t>
      </w:r>
      <w:r>
        <w:rPr>
          <w:sz w:val="22"/>
          <w:szCs w:val="22"/>
          <w:lang w:val="pt-BR"/>
        </w:rPr>
        <w:t>precizne</w:t>
      </w:r>
      <w:r w:rsidRPr="00442616">
        <w:rPr>
          <w:sz w:val="22"/>
          <w:szCs w:val="22"/>
          <w:lang w:val="sr-Latn-ME"/>
        </w:rPr>
        <w:t xml:space="preserve"> </w:t>
      </w:r>
      <w:r>
        <w:rPr>
          <w:sz w:val="22"/>
          <w:szCs w:val="22"/>
          <w:lang w:val="pt-BR"/>
        </w:rPr>
        <w:t>i</w:t>
      </w:r>
      <w:r w:rsidRPr="00442616">
        <w:rPr>
          <w:sz w:val="22"/>
          <w:szCs w:val="22"/>
          <w:lang w:val="sr-Latn-ME"/>
        </w:rPr>
        <w:t xml:space="preserve"> </w:t>
      </w:r>
      <w:r>
        <w:rPr>
          <w:sz w:val="22"/>
          <w:szCs w:val="22"/>
          <w:lang w:val="pt-BR"/>
        </w:rPr>
        <w:t>dovoljno</w:t>
      </w:r>
      <w:r w:rsidRPr="00442616">
        <w:rPr>
          <w:sz w:val="22"/>
          <w:szCs w:val="22"/>
          <w:lang w:val="sr-Latn-ME"/>
        </w:rPr>
        <w:t xml:space="preserve"> </w:t>
      </w:r>
      <w:r>
        <w:rPr>
          <w:sz w:val="22"/>
          <w:szCs w:val="22"/>
          <w:lang w:val="pt-BR"/>
        </w:rPr>
        <w:t>ta</w:t>
      </w:r>
      <w:r w:rsidRPr="00442616">
        <w:rPr>
          <w:sz w:val="22"/>
          <w:szCs w:val="22"/>
          <w:lang w:val="sr-Latn-ME"/>
        </w:rPr>
        <w:t>č</w:t>
      </w:r>
      <w:r>
        <w:rPr>
          <w:sz w:val="22"/>
          <w:szCs w:val="22"/>
          <w:lang w:val="pt-BR"/>
        </w:rPr>
        <w:t>ne</w:t>
      </w:r>
      <w:r w:rsidRPr="00442616">
        <w:rPr>
          <w:sz w:val="22"/>
          <w:szCs w:val="22"/>
          <w:lang w:val="sr-Latn-ME"/>
        </w:rPr>
        <w:t xml:space="preserve"> </w:t>
      </w:r>
      <w:r>
        <w:rPr>
          <w:sz w:val="22"/>
          <w:szCs w:val="22"/>
          <w:lang w:val="pt-BR"/>
        </w:rPr>
        <w:t>da</w:t>
      </w:r>
      <w:r w:rsidRPr="00442616">
        <w:rPr>
          <w:sz w:val="22"/>
          <w:szCs w:val="22"/>
          <w:lang w:val="sr-Latn-ME"/>
        </w:rPr>
        <w:t xml:space="preserve"> </w:t>
      </w:r>
      <w:r>
        <w:rPr>
          <w:sz w:val="22"/>
          <w:szCs w:val="22"/>
          <w:lang w:val="pt-BR"/>
        </w:rPr>
        <w:t>se</w:t>
      </w:r>
      <w:r w:rsidRPr="00442616">
        <w:rPr>
          <w:sz w:val="22"/>
          <w:szCs w:val="22"/>
          <w:lang w:val="sr-Latn-ME"/>
        </w:rPr>
        <w:t xml:space="preserve"> </w:t>
      </w:r>
      <w:r>
        <w:rPr>
          <w:sz w:val="22"/>
          <w:szCs w:val="22"/>
          <w:lang w:val="pt-BR"/>
        </w:rPr>
        <w:t>poka</w:t>
      </w:r>
      <w:r w:rsidRPr="00442616">
        <w:rPr>
          <w:sz w:val="22"/>
          <w:szCs w:val="22"/>
          <w:lang w:val="sr-Latn-ME"/>
        </w:rPr>
        <w:t>ž</w:t>
      </w:r>
      <w:r>
        <w:rPr>
          <w:sz w:val="22"/>
          <w:szCs w:val="22"/>
          <w:lang w:val="pt-BR"/>
        </w:rPr>
        <w:t>e</w:t>
      </w:r>
      <w:r w:rsidRPr="00442616">
        <w:rPr>
          <w:sz w:val="22"/>
          <w:szCs w:val="22"/>
          <w:lang w:val="sr-Latn-ME"/>
        </w:rPr>
        <w:t xml:space="preserve"> </w:t>
      </w:r>
      <w:r>
        <w:rPr>
          <w:sz w:val="22"/>
          <w:szCs w:val="22"/>
          <w:lang w:val="pt-BR"/>
        </w:rPr>
        <w:t>prekomjerna</w:t>
      </w:r>
      <w:r w:rsidRPr="00442616">
        <w:rPr>
          <w:sz w:val="22"/>
          <w:szCs w:val="22"/>
          <w:lang w:val="sr-Latn-ME"/>
        </w:rPr>
        <w:t xml:space="preserve"> </w:t>
      </w:r>
      <w:r>
        <w:rPr>
          <w:sz w:val="22"/>
          <w:szCs w:val="22"/>
          <w:lang w:val="pt-BR"/>
        </w:rPr>
        <w:t>ekspresija</w:t>
      </w:r>
      <w:r w:rsidRPr="00442616">
        <w:rPr>
          <w:sz w:val="22"/>
          <w:szCs w:val="22"/>
          <w:lang w:val="sr-Latn-ME"/>
        </w:rPr>
        <w:t xml:space="preserve"> </w:t>
      </w:r>
      <w:r>
        <w:rPr>
          <w:sz w:val="22"/>
          <w:szCs w:val="22"/>
          <w:lang w:val="pt-BR"/>
        </w:rPr>
        <w:t>HER</w:t>
      </w:r>
      <w:r w:rsidRPr="00442616">
        <w:rPr>
          <w:sz w:val="22"/>
          <w:szCs w:val="22"/>
          <w:lang w:val="sr-Latn-ME"/>
        </w:rPr>
        <w:t xml:space="preserve">2 </w:t>
      </w:r>
      <w:r>
        <w:rPr>
          <w:sz w:val="22"/>
          <w:szCs w:val="22"/>
          <w:lang w:val="pt-BR"/>
        </w:rPr>
        <w:t>i</w:t>
      </w:r>
      <w:r w:rsidRPr="00442616">
        <w:rPr>
          <w:sz w:val="22"/>
          <w:szCs w:val="22"/>
          <w:lang w:val="sr-Latn-ME"/>
        </w:rPr>
        <w:t xml:space="preserve"> </w:t>
      </w:r>
      <w:r>
        <w:rPr>
          <w:sz w:val="22"/>
          <w:szCs w:val="22"/>
          <w:lang w:val="pt-BR"/>
        </w:rPr>
        <w:t>moraju</w:t>
      </w:r>
      <w:r w:rsidRPr="00442616">
        <w:rPr>
          <w:sz w:val="22"/>
          <w:szCs w:val="22"/>
          <w:lang w:val="sr-Latn-ME"/>
        </w:rPr>
        <w:t xml:space="preserve"> </w:t>
      </w:r>
      <w:r>
        <w:rPr>
          <w:sz w:val="22"/>
          <w:szCs w:val="22"/>
          <w:lang w:val="pt-BR"/>
        </w:rPr>
        <w:t>biti</w:t>
      </w:r>
      <w:r w:rsidRPr="00442616">
        <w:rPr>
          <w:sz w:val="22"/>
          <w:szCs w:val="22"/>
          <w:lang w:val="sr-Latn-ME"/>
        </w:rPr>
        <w:t xml:space="preserve"> </w:t>
      </w:r>
      <w:r>
        <w:rPr>
          <w:sz w:val="22"/>
          <w:szCs w:val="22"/>
          <w:lang w:val="pt-BR"/>
        </w:rPr>
        <w:t>u</w:t>
      </w:r>
      <w:r w:rsidRPr="00442616">
        <w:rPr>
          <w:sz w:val="22"/>
          <w:szCs w:val="22"/>
          <w:lang w:val="sr-Latn-ME"/>
        </w:rPr>
        <w:t xml:space="preserve"> </w:t>
      </w:r>
      <w:r>
        <w:rPr>
          <w:sz w:val="22"/>
          <w:szCs w:val="22"/>
          <w:lang w:val="pt-BR"/>
        </w:rPr>
        <w:t>stanju</w:t>
      </w:r>
      <w:r w:rsidRPr="00442616">
        <w:rPr>
          <w:sz w:val="22"/>
          <w:szCs w:val="22"/>
          <w:lang w:val="sr-Latn-ME"/>
        </w:rPr>
        <w:t xml:space="preserve"> </w:t>
      </w:r>
      <w:r>
        <w:rPr>
          <w:sz w:val="22"/>
          <w:szCs w:val="22"/>
          <w:lang w:val="pt-BR"/>
        </w:rPr>
        <w:t>da</w:t>
      </w:r>
      <w:r w:rsidRPr="00442616">
        <w:rPr>
          <w:sz w:val="22"/>
          <w:szCs w:val="22"/>
          <w:lang w:val="sr-Latn-ME"/>
        </w:rPr>
        <w:t xml:space="preserve"> </w:t>
      </w:r>
      <w:r>
        <w:rPr>
          <w:sz w:val="22"/>
          <w:szCs w:val="22"/>
          <w:lang w:val="pt-BR"/>
        </w:rPr>
        <w:t>naprave</w:t>
      </w:r>
      <w:r w:rsidRPr="00442616">
        <w:rPr>
          <w:sz w:val="22"/>
          <w:szCs w:val="22"/>
          <w:lang w:val="sr-Latn-ME"/>
        </w:rPr>
        <w:t xml:space="preserve"> </w:t>
      </w:r>
      <w:r>
        <w:rPr>
          <w:sz w:val="22"/>
          <w:szCs w:val="22"/>
          <w:lang w:val="pt-BR"/>
        </w:rPr>
        <w:t>razliku</w:t>
      </w:r>
      <w:r w:rsidRPr="00442616">
        <w:rPr>
          <w:sz w:val="22"/>
          <w:szCs w:val="22"/>
          <w:lang w:val="sr-Latn-ME"/>
        </w:rPr>
        <w:t xml:space="preserve"> </w:t>
      </w:r>
      <w:r>
        <w:rPr>
          <w:sz w:val="22"/>
          <w:szCs w:val="22"/>
          <w:lang w:val="pt-BR"/>
        </w:rPr>
        <w:t>izme</w:t>
      </w:r>
      <w:r w:rsidRPr="00442616">
        <w:rPr>
          <w:sz w:val="22"/>
          <w:szCs w:val="22"/>
          <w:lang w:val="sr-Latn-ME"/>
        </w:rPr>
        <w:t>đ</w:t>
      </w:r>
      <w:r>
        <w:rPr>
          <w:sz w:val="22"/>
          <w:szCs w:val="22"/>
          <w:lang w:val="pt-BR"/>
        </w:rPr>
        <w:t>u</w:t>
      </w:r>
      <w:r w:rsidRPr="00442616">
        <w:rPr>
          <w:sz w:val="22"/>
          <w:szCs w:val="22"/>
          <w:lang w:val="sr-Latn-ME"/>
        </w:rPr>
        <w:t xml:space="preserve"> </w:t>
      </w:r>
      <w:r>
        <w:rPr>
          <w:sz w:val="22"/>
          <w:szCs w:val="22"/>
          <w:lang w:val="pt-BR"/>
        </w:rPr>
        <w:t>umjerene</w:t>
      </w:r>
      <w:r w:rsidRPr="00442616">
        <w:rPr>
          <w:sz w:val="22"/>
          <w:szCs w:val="22"/>
          <w:lang w:val="sr-Latn-ME"/>
        </w:rPr>
        <w:t xml:space="preserve"> (š</w:t>
      </w:r>
      <w:r>
        <w:rPr>
          <w:sz w:val="22"/>
          <w:szCs w:val="22"/>
          <w:lang w:val="pt-BR"/>
        </w:rPr>
        <w:t>to</w:t>
      </w:r>
      <w:r w:rsidRPr="00442616">
        <w:rPr>
          <w:sz w:val="22"/>
          <w:szCs w:val="22"/>
          <w:lang w:val="sr-Latn-ME"/>
        </w:rPr>
        <w:t xml:space="preserve"> </w:t>
      </w:r>
      <w:r>
        <w:rPr>
          <w:sz w:val="22"/>
          <w:szCs w:val="22"/>
          <w:lang w:val="pt-BR"/>
        </w:rPr>
        <w:t>odgovara</w:t>
      </w:r>
      <w:r w:rsidRPr="00442616">
        <w:rPr>
          <w:sz w:val="22"/>
          <w:szCs w:val="22"/>
          <w:lang w:val="sr-Latn-ME"/>
        </w:rPr>
        <w:t xml:space="preserve"> 2+) </w:t>
      </w:r>
      <w:r>
        <w:rPr>
          <w:sz w:val="22"/>
          <w:szCs w:val="22"/>
          <w:lang w:val="pt-BR"/>
        </w:rPr>
        <w:t>i</w:t>
      </w:r>
      <w:r w:rsidRPr="00442616">
        <w:rPr>
          <w:sz w:val="22"/>
          <w:szCs w:val="22"/>
          <w:lang w:val="sr-Latn-ME"/>
        </w:rPr>
        <w:t xml:space="preserve"> </w:t>
      </w:r>
      <w:r>
        <w:rPr>
          <w:sz w:val="22"/>
          <w:szCs w:val="22"/>
          <w:lang w:val="pt-BR"/>
        </w:rPr>
        <w:t>jake</w:t>
      </w:r>
      <w:r w:rsidRPr="00442616">
        <w:rPr>
          <w:sz w:val="22"/>
          <w:szCs w:val="22"/>
          <w:lang w:val="sr-Latn-ME"/>
        </w:rPr>
        <w:t xml:space="preserve"> (š</w:t>
      </w:r>
      <w:r>
        <w:rPr>
          <w:sz w:val="22"/>
          <w:szCs w:val="22"/>
          <w:lang w:val="pt-BR"/>
        </w:rPr>
        <w:t>to</w:t>
      </w:r>
      <w:r w:rsidRPr="00442616">
        <w:rPr>
          <w:sz w:val="22"/>
          <w:szCs w:val="22"/>
          <w:lang w:val="sr-Latn-ME"/>
        </w:rPr>
        <w:t xml:space="preserve"> </w:t>
      </w:r>
      <w:r>
        <w:rPr>
          <w:sz w:val="22"/>
          <w:szCs w:val="22"/>
          <w:lang w:val="pt-BR"/>
        </w:rPr>
        <w:t>odgovara</w:t>
      </w:r>
      <w:r w:rsidRPr="00442616">
        <w:rPr>
          <w:sz w:val="22"/>
          <w:szCs w:val="22"/>
          <w:lang w:val="sr-Latn-ME"/>
        </w:rPr>
        <w:t xml:space="preserve"> 3+) </w:t>
      </w:r>
      <w:r>
        <w:rPr>
          <w:sz w:val="22"/>
          <w:szCs w:val="22"/>
          <w:lang w:val="pt-BR"/>
        </w:rPr>
        <w:t>prekomjerne</w:t>
      </w:r>
      <w:r w:rsidRPr="00442616">
        <w:rPr>
          <w:sz w:val="22"/>
          <w:szCs w:val="22"/>
          <w:lang w:val="sr-Latn-ME"/>
        </w:rPr>
        <w:t xml:space="preserve"> </w:t>
      </w:r>
      <w:r>
        <w:rPr>
          <w:sz w:val="22"/>
          <w:szCs w:val="22"/>
          <w:lang w:val="pt-BR"/>
        </w:rPr>
        <w:t>ekspresije</w:t>
      </w:r>
      <w:r w:rsidRPr="00442616">
        <w:rPr>
          <w:sz w:val="22"/>
          <w:szCs w:val="22"/>
          <w:lang w:val="sr-Latn-ME"/>
        </w:rPr>
        <w:t xml:space="preserve"> </w:t>
      </w:r>
      <w:r>
        <w:rPr>
          <w:sz w:val="22"/>
          <w:szCs w:val="22"/>
          <w:lang w:val="pt-BR"/>
        </w:rPr>
        <w:t>HER</w:t>
      </w:r>
      <w:r w:rsidRPr="00442616">
        <w:rPr>
          <w:sz w:val="22"/>
          <w:szCs w:val="22"/>
          <w:lang w:val="sr-Latn-ME"/>
        </w:rPr>
        <w:t xml:space="preserve">2. </w:t>
      </w:r>
    </w:p>
    <w:p w14:paraId="016CB37B" w14:textId="77777777" w:rsidR="00B05AA9" w:rsidRPr="00442616" w:rsidRDefault="00B05AA9" w:rsidP="00641EEB">
      <w:pPr>
        <w:jc w:val="both"/>
        <w:rPr>
          <w:sz w:val="22"/>
          <w:szCs w:val="22"/>
          <w:lang w:val="sr-Latn-ME"/>
        </w:rPr>
      </w:pPr>
    </w:p>
    <w:p w14:paraId="422E2CAE" w14:textId="77777777" w:rsidR="00B05AA9" w:rsidRPr="00442616" w:rsidRDefault="00B05AA9" w:rsidP="00641EEB">
      <w:pPr>
        <w:jc w:val="both"/>
        <w:rPr>
          <w:sz w:val="22"/>
          <w:szCs w:val="22"/>
          <w:lang w:val="sr-Latn-ME"/>
        </w:rPr>
      </w:pPr>
      <w:r>
        <w:rPr>
          <w:i/>
          <w:sz w:val="22"/>
          <w:szCs w:val="22"/>
          <w:lang w:val="sr-Latn-CS"/>
        </w:rPr>
        <w:t>Detekcija prekomjerne ekspresije HER2 ili genske amplifikacije HER2 kod karcinoma želuca</w:t>
      </w:r>
    </w:p>
    <w:p w14:paraId="0074F57E" w14:textId="01D26E03" w:rsidR="00B05AA9" w:rsidRDefault="00B05AA9" w:rsidP="00641EEB">
      <w:pPr>
        <w:jc w:val="both"/>
        <w:rPr>
          <w:sz w:val="22"/>
          <w:szCs w:val="22"/>
          <w:lang w:val="pt-BR"/>
        </w:rPr>
      </w:pPr>
      <w:r>
        <w:rPr>
          <w:sz w:val="22"/>
          <w:szCs w:val="22"/>
          <w:lang w:val="pt-BR"/>
        </w:rPr>
        <w:t>Za</w:t>
      </w:r>
      <w:r w:rsidRPr="00442616">
        <w:rPr>
          <w:sz w:val="22"/>
          <w:szCs w:val="22"/>
          <w:lang w:val="sr-Latn-ME"/>
        </w:rPr>
        <w:t xml:space="preserve"> </w:t>
      </w:r>
      <w:r>
        <w:rPr>
          <w:sz w:val="22"/>
          <w:szCs w:val="22"/>
          <w:lang w:val="pt-BR"/>
        </w:rPr>
        <w:t>detekciju</w:t>
      </w:r>
      <w:r w:rsidRPr="00442616">
        <w:rPr>
          <w:sz w:val="22"/>
          <w:szCs w:val="22"/>
          <w:lang w:val="sr-Latn-ME"/>
        </w:rPr>
        <w:t xml:space="preserve"> </w:t>
      </w:r>
      <w:r>
        <w:rPr>
          <w:sz w:val="22"/>
          <w:szCs w:val="22"/>
          <w:lang w:val="sr-Latn-CS"/>
        </w:rPr>
        <w:t>prekomjerne ekspresije HER2 ili genske amplifikacije HER2</w:t>
      </w:r>
      <w:r>
        <w:rPr>
          <w:sz w:val="22"/>
          <w:szCs w:val="22"/>
          <w:lang w:val="sr-Latn-RS"/>
        </w:rPr>
        <w:t xml:space="preserve"> </w:t>
      </w:r>
      <w:r>
        <w:rPr>
          <w:sz w:val="22"/>
          <w:szCs w:val="22"/>
          <w:lang w:val="pt-BR"/>
        </w:rPr>
        <w:t>treba</w:t>
      </w:r>
      <w:r w:rsidRPr="00442616">
        <w:rPr>
          <w:sz w:val="22"/>
          <w:szCs w:val="22"/>
          <w:lang w:val="sr-Latn-ME"/>
        </w:rPr>
        <w:t xml:space="preserve"> </w:t>
      </w:r>
      <w:r>
        <w:rPr>
          <w:sz w:val="22"/>
          <w:szCs w:val="22"/>
          <w:lang w:val="pt-BR"/>
        </w:rPr>
        <w:t>koristiti</w:t>
      </w:r>
      <w:r w:rsidRPr="00442616">
        <w:rPr>
          <w:sz w:val="22"/>
          <w:szCs w:val="22"/>
          <w:lang w:val="sr-Latn-ME"/>
        </w:rPr>
        <w:t xml:space="preserve"> </w:t>
      </w:r>
      <w:r>
        <w:rPr>
          <w:sz w:val="22"/>
          <w:szCs w:val="22"/>
          <w:lang w:val="pt-BR"/>
        </w:rPr>
        <w:t>samo</w:t>
      </w:r>
      <w:r w:rsidRPr="00442616">
        <w:rPr>
          <w:sz w:val="22"/>
          <w:szCs w:val="22"/>
          <w:lang w:val="sr-Latn-ME"/>
        </w:rPr>
        <w:t xml:space="preserve"> </w:t>
      </w:r>
      <w:r>
        <w:rPr>
          <w:sz w:val="22"/>
          <w:szCs w:val="22"/>
          <w:lang w:val="pt-BR"/>
        </w:rPr>
        <w:t>ta</w:t>
      </w:r>
      <w:r w:rsidRPr="00442616">
        <w:rPr>
          <w:sz w:val="22"/>
          <w:szCs w:val="22"/>
          <w:lang w:val="sr-Latn-ME"/>
        </w:rPr>
        <w:t>č</w:t>
      </w:r>
      <w:r>
        <w:rPr>
          <w:sz w:val="22"/>
          <w:szCs w:val="22"/>
          <w:lang w:val="pt-BR"/>
        </w:rPr>
        <w:t>ne</w:t>
      </w:r>
      <w:r w:rsidRPr="00442616">
        <w:rPr>
          <w:sz w:val="22"/>
          <w:szCs w:val="22"/>
          <w:lang w:val="sr-Latn-ME"/>
        </w:rPr>
        <w:t xml:space="preserve"> </w:t>
      </w:r>
      <w:r>
        <w:rPr>
          <w:sz w:val="22"/>
          <w:szCs w:val="22"/>
          <w:lang w:val="pt-BR"/>
        </w:rPr>
        <w:t>i</w:t>
      </w:r>
      <w:r w:rsidRPr="00442616">
        <w:rPr>
          <w:sz w:val="22"/>
          <w:szCs w:val="22"/>
          <w:lang w:val="sr-Latn-ME"/>
        </w:rPr>
        <w:t xml:space="preserve"> </w:t>
      </w:r>
      <w:r>
        <w:rPr>
          <w:sz w:val="22"/>
          <w:szCs w:val="22"/>
          <w:lang w:val="pt-BR"/>
        </w:rPr>
        <w:t>validirane</w:t>
      </w:r>
      <w:r w:rsidRPr="00442616">
        <w:rPr>
          <w:sz w:val="22"/>
          <w:szCs w:val="22"/>
          <w:lang w:val="sr-Latn-ME"/>
        </w:rPr>
        <w:t xml:space="preserve"> </w:t>
      </w:r>
      <w:r>
        <w:rPr>
          <w:sz w:val="22"/>
          <w:szCs w:val="22"/>
          <w:lang w:val="pt-BR"/>
        </w:rPr>
        <w:t>testove</w:t>
      </w:r>
      <w:r w:rsidRPr="00442616">
        <w:rPr>
          <w:sz w:val="22"/>
          <w:szCs w:val="22"/>
          <w:lang w:val="sr-Latn-ME"/>
        </w:rPr>
        <w:t xml:space="preserve">. </w:t>
      </w:r>
      <w:r>
        <w:rPr>
          <w:sz w:val="22"/>
          <w:szCs w:val="22"/>
          <w:lang w:val="pt-BR"/>
        </w:rPr>
        <w:t>Kao</w:t>
      </w:r>
      <w:r w:rsidRPr="00442616">
        <w:rPr>
          <w:sz w:val="22"/>
          <w:szCs w:val="22"/>
          <w:lang w:val="sr-Latn-ME"/>
        </w:rPr>
        <w:t xml:space="preserve"> </w:t>
      </w:r>
      <w:r>
        <w:rPr>
          <w:sz w:val="22"/>
          <w:szCs w:val="22"/>
          <w:lang w:val="pt-BR"/>
        </w:rPr>
        <w:t>prvi</w:t>
      </w:r>
      <w:r w:rsidRPr="00442616">
        <w:rPr>
          <w:sz w:val="22"/>
          <w:szCs w:val="22"/>
          <w:lang w:val="sr-Latn-ME"/>
        </w:rPr>
        <w:t xml:space="preserve"> </w:t>
      </w:r>
      <w:r>
        <w:rPr>
          <w:sz w:val="22"/>
          <w:szCs w:val="22"/>
          <w:lang w:val="pt-BR"/>
        </w:rPr>
        <w:t>modalitet</w:t>
      </w:r>
      <w:r w:rsidRPr="00442616">
        <w:rPr>
          <w:sz w:val="22"/>
          <w:szCs w:val="22"/>
          <w:lang w:val="sr-Latn-ME"/>
        </w:rPr>
        <w:t xml:space="preserve"> </w:t>
      </w:r>
      <w:r>
        <w:rPr>
          <w:sz w:val="22"/>
          <w:szCs w:val="22"/>
          <w:lang w:val="pt-BR"/>
        </w:rPr>
        <w:t>za</w:t>
      </w:r>
      <w:r w:rsidRPr="00442616">
        <w:rPr>
          <w:sz w:val="22"/>
          <w:szCs w:val="22"/>
          <w:lang w:val="sr-Latn-ME"/>
        </w:rPr>
        <w:t xml:space="preserve"> </w:t>
      </w:r>
      <w:r>
        <w:rPr>
          <w:sz w:val="22"/>
          <w:szCs w:val="22"/>
          <w:lang w:val="pt-BR"/>
        </w:rPr>
        <w:t>testiranje</w:t>
      </w:r>
      <w:r w:rsidRPr="00442616">
        <w:rPr>
          <w:sz w:val="22"/>
          <w:szCs w:val="22"/>
          <w:lang w:val="sr-Latn-ME"/>
        </w:rPr>
        <w:t xml:space="preserve"> </w:t>
      </w:r>
      <w:r>
        <w:rPr>
          <w:sz w:val="22"/>
          <w:szCs w:val="22"/>
          <w:lang w:val="pt-BR"/>
        </w:rPr>
        <w:t>se</w:t>
      </w:r>
      <w:r w:rsidRPr="00442616">
        <w:rPr>
          <w:sz w:val="22"/>
          <w:szCs w:val="22"/>
          <w:lang w:val="sr-Latn-ME"/>
        </w:rPr>
        <w:t xml:space="preserve"> </w:t>
      </w:r>
      <w:r>
        <w:rPr>
          <w:sz w:val="22"/>
          <w:szCs w:val="22"/>
          <w:lang w:val="pt-BR"/>
        </w:rPr>
        <w:t>preporu</w:t>
      </w:r>
      <w:r w:rsidRPr="00442616">
        <w:rPr>
          <w:sz w:val="22"/>
          <w:szCs w:val="22"/>
          <w:lang w:val="sr-Latn-ME"/>
        </w:rPr>
        <w:t>č</w:t>
      </w:r>
      <w:r>
        <w:rPr>
          <w:sz w:val="22"/>
          <w:szCs w:val="22"/>
          <w:lang w:val="pt-BR"/>
        </w:rPr>
        <w:t>uje</w:t>
      </w:r>
      <w:r w:rsidRPr="00442616">
        <w:rPr>
          <w:sz w:val="22"/>
          <w:szCs w:val="22"/>
          <w:lang w:val="sr-Latn-ME"/>
        </w:rPr>
        <w:t xml:space="preserve"> </w:t>
      </w:r>
      <w:r>
        <w:rPr>
          <w:sz w:val="22"/>
          <w:szCs w:val="22"/>
          <w:lang w:val="pt-BR"/>
        </w:rPr>
        <w:t>IHC</w:t>
      </w:r>
      <w:r w:rsidRPr="00442616">
        <w:rPr>
          <w:sz w:val="22"/>
          <w:szCs w:val="22"/>
          <w:lang w:val="sr-Latn-ME"/>
        </w:rPr>
        <w:t xml:space="preserve">, </w:t>
      </w:r>
      <w:r>
        <w:rPr>
          <w:sz w:val="22"/>
          <w:szCs w:val="22"/>
          <w:lang w:val="pt-BR"/>
        </w:rPr>
        <w:t>a</w:t>
      </w:r>
      <w:r w:rsidRPr="00442616">
        <w:rPr>
          <w:sz w:val="22"/>
          <w:szCs w:val="22"/>
          <w:lang w:val="sr-Latn-ME"/>
        </w:rPr>
        <w:t xml:space="preserve"> </w:t>
      </w:r>
      <w:r>
        <w:rPr>
          <w:sz w:val="22"/>
          <w:szCs w:val="22"/>
          <w:lang w:val="pt-BR"/>
        </w:rPr>
        <w:t>u</w:t>
      </w:r>
      <w:r w:rsidRPr="00442616">
        <w:rPr>
          <w:sz w:val="22"/>
          <w:szCs w:val="22"/>
          <w:lang w:val="sr-Latn-ME"/>
        </w:rPr>
        <w:t xml:space="preserve"> </w:t>
      </w:r>
      <w:r>
        <w:rPr>
          <w:sz w:val="22"/>
          <w:szCs w:val="22"/>
          <w:lang w:val="pt-BR"/>
        </w:rPr>
        <w:t>slu</w:t>
      </w:r>
      <w:r w:rsidRPr="00442616">
        <w:rPr>
          <w:sz w:val="22"/>
          <w:szCs w:val="22"/>
          <w:lang w:val="sr-Latn-ME"/>
        </w:rPr>
        <w:t>č</w:t>
      </w:r>
      <w:r>
        <w:rPr>
          <w:sz w:val="22"/>
          <w:szCs w:val="22"/>
          <w:lang w:val="pt-BR"/>
        </w:rPr>
        <w:t>ajevima</w:t>
      </w:r>
      <w:r w:rsidRPr="00442616">
        <w:rPr>
          <w:sz w:val="22"/>
          <w:szCs w:val="22"/>
          <w:lang w:val="sr-Latn-ME"/>
        </w:rPr>
        <w:t xml:space="preserve"> </w:t>
      </w:r>
      <w:r>
        <w:rPr>
          <w:sz w:val="22"/>
          <w:szCs w:val="22"/>
          <w:lang w:val="pt-BR"/>
        </w:rPr>
        <w:t>kada</w:t>
      </w:r>
      <w:r w:rsidRPr="00442616">
        <w:rPr>
          <w:sz w:val="22"/>
          <w:szCs w:val="22"/>
          <w:lang w:val="sr-Latn-ME"/>
        </w:rPr>
        <w:t xml:space="preserve"> </w:t>
      </w:r>
      <w:r>
        <w:rPr>
          <w:sz w:val="22"/>
          <w:szCs w:val="22"/>
          <w:lang w:val="pt-BR"/>
        </w:rPr>
        <w:t>se</w:t>
      </w:r>
      <w:r w:rsidRPr="00442616">
        <w:rPr>
          <w:sz w:val="22"/>
          <w:szCs w:val="22"/>
          <w:lang w:val="sr-Latn-ME"/>
        </w:rPr>
        <w:t xml:space="preserve"> </w:t>
      </w:r>
      <w:r>
        <w:rPr>
          <w:sz w:val="22"/>
          <w:szCs w:val="22"/>
          <w:lang w:val="pt-BR"/>
        </w:rPr>
        <w:t>tako</w:t>
      </w:r>
      <w:r w:rsidRPr="00442616">
        <w:rPr>
          <w:sz w:val="22"/>
          <w:szCs w:val="22"/>
          <w:lang w:val="sr-Latn-ME"/>
        </w:rPr>
        <w:t>đ</w:t>
      </w:r>
      <w:r>
        <w:rPr>
          <w:sz w:val="22"/>
          <w:szCs w:val="22"/>
          <w:lang w:val="pt-BR"/>
        </w:rPr>
        <w:t>e</w:t>
      </w:r>
      <w:r w:rsidRPr="00442616">
        <w:rPr>
          <w:sz w:val="22"/>
          <w:szCs w:val="22"/>
          <w:lang w:val="sr-Latn-ME"/>
        </w:rPr>
        <w:t xml:space="preserve"> </w:t>
      </w:r>
      <w:r>
        <w:rPr>
          <w:sz w:val="22"/>
          <w:szCs w:val="22"/>
          <w:lang w:val="pt-BR"/>
        </w:rPr>
        <w:t>tra</w:t>
      </w:r>
      <w:r w:rsidRPr="00442616">
        <w:rPr>
          <w:sz w:val="22"/>
          <w:szCs w:val="22"/>
          <w:lang w:val="sr-Latn-ME"/>
        </w:rPr>
        <w:t>ž</w:t>
      </w:r>
      <w:r>
        <w:rPr>
          <w:sz w:val="22"/>
          <w:szCs w:val="22"/>
          <w:lang w:val="pt-BR"/>
        </w:rPr>
        <w:t>i</w:t>
      </w:r>
      <w:r w:rsidRPr="00442616">
        <w:rPr>
          <w:sz w:val="22"/>
          <w:szCs w:val="22"/>
          <w:lang w:val="sr-Latn-ME"/>
        </w:rPr>
        <w:t xml:space="preserve"> </w:t>
      </w:r>
      <w:r>
        <w:rPr>
          <w:sz w:val="22"/>
          <w:szCs w:val="22"/>
          <w:lang w:val="pt-BR"/>
        </w:rPr>
        <w:t>i</w:t>
      </w:r>
      <w:r w:rsidRPr="00442616">
        <w:rPr>
          <w:sz w:val="22"/>
          <w:szCs w:val="22"/>
          <w:lang w:val="sr-Latn-ME"/>
        </w:rPr>
        <w:t xml:space="preserve"> </w:t>
      </w:r>
      <w:r>
        <w:rPr>
          <w:sz w:val="22"/>
          <w:szCs w:val="22"/>
          <w:lang w:val="pt-BR"/>
        </w:rPr>
        <w:t>status</w:t>
      </w:r>
      <w:r w:rsidRPr="00442616">
        <w:rPr>
          <w:sz w:val="22"/>
          <w:szCs w:val="22"/>
          <w:lang w:val="sr-Latn-ME"/>
        </w:rPr>
        <w:t xml:space="preserve"> </w:t>
      </w:r>
      <w:r>
        <w:rPr>
          <w:sz w:val="22"/>
          <w:szCs w:val="22"/>
          <w:lang w:val="pt-BR"/>
        </w:rPr>
        <w:t>genske</w:t>
      </w:r>
      <w:r w:rsidRPr="00442616">
        <w:rPr>
          <w:sz w:val="22"/>
          <w:szCs w:val="22"/>
          <w:lang w:val="sr-Latn-ME"/>
        </w:rPr>
        <w:t xml:space="preserve"> </w:t>
      </w:r>
      <w:r>
        <w:rPr>
          <w:sz w:val="22"/>
          <w:szCs w:val="22"/>
          <w:lang w:val="pt-BR"/>
        </w:rPr>
        <w:t>amplifikacije</w:t>
      </w:r>
      <w:r w:rsidRPr="00442616">
        <w:rPr>
          <w:sz w:val="22"/>
          <w:szCs w:val="22"/>
          <w:lang w:val="sr-Latn-ME"/>
        </w:rPr>
        <w:t xml:space="preserve"> </w:t>
      </w:r>
      <w:r>
        <w:rPr>
          <w:sz w:val="22"/>
          <w:szCs w:val="22"/>
          <w:lang w:val="pt-BR"/>
        </w:rPr>
        <w:t>HER</w:t>
      </w:r>
      <w:r w:rsidRPr="00442616">
        <w:rPr>
          <w:sz w:val="22"/>
          <w:szCs w:val="22"/>
          <w:lang w:val="sr-Latn-ME"/>
        </w:rPr>
        <w:t xml:space="preserve">2, </w:t>
      </w:r>
      <w:r>
        <w:rPr>
          <w:sz w:val="22"/>
          <w:szCs w:val="22"/>
          <w:lang w:val="pt-BR"/>
        </w:rPr>
        <w:t>treba</w:t>
      </w:r>
      <w:r w:rsidRPr="00442616">
        <w:rPr>
          <w:sz w:val="22"/>
          <w:szCs w:val="22"/>
          <w:lang w:val="sr-Latn-ME"/>
        </w:rPr>
        <w:t xml:space="preserve"> </w:t>
      </w:r>
      <w:r>
        <w:rPr>
          <w:sz w:val="22"/>
          <w:szCs w:val="22"/>
          <w:lang w:val="pt-BR"/>
        </w:rPr>
        <w:t>primijeniti</w:t>
      </w:r>
      <w:r w:rsidRPr="00442616">
        <w:rPr>
          <w:sz w:val="22"/>
          <w:szCs w:val="22"/>
          <w:lang w:val="sr-Latn-ME"/>
        </w:rPr>
        <w:t xml:space="preserve"> </w:t>
      </w:r>
      <w:r>
        <w:rPr>
          <w:sz w:val="22"/>
          <w:szCs w:val="22"/>
          <w:lang w:val="pt-BR"/>
        </w:rPr>
        <w:t>ili</w:t>
      </w:r>
      <w:r w:rsidRPr="00442616">
        <w:rPr>
          <w:sz w:val="22"/>
          <w:szCs w:val="22"/>
          <w:lang w:val="sr-Latn-ME"/>
        </w:rPr>
        <w:t xml:space="preserve"> </w:t>
      </w:r>
      <w:r>
        <w:rPr>
          <w:sz w:val="22"/>
          <w:szCs w:val="22"/>
          <w:lang w:val="pt-BR"/>
        </w:rPr>
        <w:t>srebrom</w:t>
      </w:r>
      <w:r w:rsidRPr="00442616">
        <w:rPr>
          <w:sz w:val="22"/>
          <w:szCs w:val="22"/>
          <w:lang w:val="sr-Latn-ME"/>
        </w:rPr>
        <w:t xml:space="preserve"> </w:t>
      </w:r>
      <w:r>
        <w:rPr>
          <w:sz w:val="22"/>
          <w:szCs w:val="22"/>
          <w:lang w:val="pt-BR"/>
        </w:rPr>
        <w:t>poja</w:t>
      </w:r>
      <w:r w:rsidRPr="00442616">
        <w:rPr>
          <w:sz w:val="22"/>
          <w:szCs w:val="22"/>
          <w:lang w:val="sr-Latn-ME"/>
        </w:rPr>
        <w:t>č</w:t>
      </w:r>
      <w:r>
        <w:rPr>
          <w:sz w:val="22"/>
          <w:szCs w:val="22"/>
          <w:lang w:val="pt-BR"/>
        </w:rPr>
        <w:t>anu</w:t>
      </w:r>
      <w:r w:rsidRPr="00442616">
        <w:rPr>
          <w:sz w:val="22"/>
          <w:szCs w:val="22"/>
          <w:lang w:val="sr-Latn-ME"/>
        </w:rPr>
        <w:t xml:space="preserve"> </w:t>
      </w:r>
      <w:r>
        <w:rPr>
          <w:i/>
          <w:sz w:val="22"/>
          <w:szCs w:val="22"/>
          <w:lang w:val="pt-BR"/>
        </w:rPr>
        <w:t>in</w:t>
      </w:r>
      <w:r w:rsidRPr="00442616">
        <w:rPr>
          <w:i/>
          <w:sz w:val="22"/>
          <w:szCs w:val="22"/>
          <w:lang w:val="sr-Latn-ME"/>
        </w:rPr>
        <w:t xml:space="preserve"> </w:t>
      </w:r>
      <w:r>
        <w:rPr>
          <w:i/>
          <w:sz w:val="22"/>
          <w:szCs w:val="22"/>
          <w:lang w:val="pt-BR"/>
        </w:rPr>
        <w:t>situ</w:t>
      </w:r>
      <w:r w:rsidRPr="00442616">
        <w:rPr>
          <w:sz w:val="22"/>
          <w:szCs w:val="22"/>
          <w:lang w:val="sr-Latn-ME"/>
        </w:rPr>
        <w:t xml:space="preserve"> </w:t>
      </w:r>
      <w:r>
        <w:rPr>
          <w:sz w:val="22"/>
          <w:szCs w:val="22"/>
          <w:lang w:val="pt-BR"/>
        </w:rPr>
        <w:t>hibridizaciju</w:t>
      </w:r>
      <w:r w:rsidRPr="00442616">
        <w:rPr>
          <w:sz w:val="22"/>
          <w:szCs w:val="22"/>
          <w:lang w:val="sr-Latn-ME"/>
        </w:rPr>
        <w:t xml:space="preserve"> (</w:t>
      </w:r>
      <w:r>
        <w:rPr>
          <w:sz w:val="22"/>
          <w:szCs w:val="22"/>
          <w:lang w:val="pt-BR"/>
        </w:rPr>
        <w:t>SISH</w:t>
      </w:r>
      <w:r w:rsidRPr="00442616">
        <w:rPr>
          <w:sz w:val="22"/>
          <w:szCs w:val="22"/>
          <w:lang w:val="sr-Latn-ME"/>
        </w:rPr>
        <w:t xml:space="preserve">) </w:t>
      </w:r>
      <w:r>
        <w:rPr>
          <w:sz w:val="22"/>
          <w:szCs w:val="22"/>
          <w:lang w:val="pt-BR"/>
        </w:rPr>
        <w:t>ili</w:t>
      </w:r>
      <w:r w:rsidRPr="00442616">
        <w:rPr>
          <w:sz w:val="22"/>
          <w:szCs w:val="22"/>
          <w:lang w:val="sr-Latn-ME"/>
        </w:rPr>
        <w:t xml:space="preserve"> </w:t>
      </w:r>
      <w:r>
        <w:rPr>
          <w:sz w:val="22"/>
          <w:szCs w:val="22"/>
          <w:lang w:val="pt-BR"/>
        </w:rPr>
        <w:t>FISH</w:t>
      </w:r>
      <w:r w:rsidRPr="00442616">
        <w:rPr>
          <w:sz w:val="22"/>
          <w:szCs w:val="22"/>
          <w:lang w:val="sr-Latn-ME"/>
        </w:rPr>
        <w:t xml:space="preserve"> </w:t>
      </w:r>
      <w:r w:rsidR="002B762C">
        <w:rPr>
          <w:sz w:val="22"/>
          <w:szCs w:val="22"/>
          <w:lang w:val="pt-BR"/>
        </w:rPr>
        <w:t>metodu</w:t>
      </w:r>
      <w:r w:rsidRPr="00442616">
        <w:rPr>
          <w:sz w:val="22"/>
          <w:szCs w:val="22"/>
          <w:lang w:val="sr-Latn-ME"/>
        </w:rPr>
        <w:t xml:space="preserve">. </w:t>
      </w:r>
      <w:r>
        <w:rPr>
          <w:sz w:val="22"/>
          <w:szCs w:val="22"/>
          <w:lang w:val="pt-BR"/>
        </w:rPr>
        <w:t xml:space="preserve">Preporučuje se SISH </w:t>
      </w:r>
      <w:r w:rsidR="002B762C">
        <w:rPr>
          <w:sz w:val="22"/>
          <w:szCs w:val="22"/>
          <w:lang w:val="pt-BR"/>
        </w:rPr>
        <w:t>metoda</w:t>
      </w:r>
      <w:r>
        <w:rPr>
          <w:sz w:val="22"/>
          <w:szCs w:val="22"/>
          <w:lang w:val="pt-BR"/>
        </w:rPr>
        <w:t>, jer omogućuje paralelnu evaluacija histologije i morfologije tumora. Da bi se obezbjedila validacija procedura testiranja i generisanje tačnih i ponovljivih rezultata, HER2 testiranje se mora vršiti u laboratoriji sa obučenim kadrom. Za detaljna uputstva o tome kako se  radi ovo ispitivanje i kako se tumače rezultati, treba pročitati uputstvo  o proizvodu koje se dobija uz HER2 testove.</w:t>
      </w:r>
    </w:p>
    <w:p w14:paraId="21FA9F65" w14:textId="77777777" w:rsidR="00B05AA9" w:rsidRDefault="00B05AA9" w:rsidP="00641EEB">
      <w:pPr>
        <w:jc w:val="both"/>
        <w:rPr>
          <w:sz w:val="22"/>
          <w:szCs w:val="22"/>
          <w:lang w:val="pt-BR"/>
        </w:rPr>
      </w:pPr>
      <w:r>
        <w:rPr>
          <w:sz w:val="22"/>
          <w:szCs w:val="22"/>
          <w:lang w:val="pt-BR"/>
        </w:rPr>
        <w:t xml:space="preserve">  </w:t>
      </w:r>
    </w:p>
    <w:p w14:paraId="26C19726" w14:textId="77777777" w:rsidR="00B05AA9" w:rsidRDefault="00B05AA9" w:rsidP="00641EEB">
      <w:pPr>
        <w:jc w:val="both"/>
        <w:rPr>
          <w:sz w:val="22"/>
          <w:szCs w:val="22"/>
          <w:lang w:val="pt-BR"/>
        </w:rPr>
      </w:pPr>
      <w:r>
        <w:rPr>
          <w:sz w:val="22"/>
          <w:szCs w:val="22"/>
          <w:lang w:val="pt-BR"/>
        </w:rPr>
        <w:t xml:space="preserve">U ToGA (BO18255) kliničkom ispitivanju, pacijenti čiji su tumori bili ili IHC3+ ili FISH pozitivni, definisani su kao  HER2 pozitivni i stoga uključeni u studiju. Na osnovu rezultata kliničkog ispitivanja, pozitivni efekti liječenja su bili limitirani na pacijente sa najvišim nivoom prekomjerne ekspresije HER2 proteina, definisano kao 3+ skor za IHC, ili 2+ skor za IHC uz pozitivan FISH rezultat. </w:t>
      </w:r>
    </w:p>
    <w:p w14:paraId="6BD04749" w14:textId="77777777" w:rsidR="00B05AA9" w:rsidRDefault="00B05AA9" w:rsidP="00641EEB">
      <w:pPr>
        <w:jc w:val="both"/>
        <w:rPr>
          <w:sz w:val="22"/>
          <w:szCs w:val="22"/>
          <w:lang w:val="pt-BR"/>
        </w:rPr>
      </w:pPr>
    </w:p>
    <w:p w14:paraId="304B9FBD" w14:textId="00D31BF8" w:rsidR="00B05AA9" w:rsidRDefault="00B05AA9" w:rsidP="00641EEB">
      <w:pPr>
        <w:jc w:val="both"/>
        <w:rPr>
          <w:sz w:val="22"/>
          <w:szCs w:val="22"/>
          <w:lang w:val="pt-BR"/>
        </w:rPr>
      </w:pPr>
      <w:r>
        <w:rPr>
          <w:sz w:val="22"/>
          <w:szCs w:val="22"/>
          <w:lang w:val="pt-BR"/>
        </w:rPr>
        <w:t xml:space="preserve">U ispitivanju u kojem su se poredile metode (ispitivanje D008548) kod </w:t>
      </w:r>
      <w:r w:rsidR="002B762C">
        <w:rPr>
          <w:sz w:val="22"/>
          <w:szCs w:val="22"/>
          <w:lang w:val="pt-BR"/>
        </w:rPr>
        <w:t xml:space="preserve">pacijenata </w:t>
      </w:r>
      <w:r>
        <w:rPr>
          <w:sz w:val="22"/>
          <w:szCs w:val="22"/>
          <w:lang w:val="pt-BR"/>
        </w:rPr>
        <w:t>sa karcinomom želuca ustanovljen je viši stepen podudarnosti (&gt;</w:t>
      </w:r>
      <w:r w:rsidR="002B762C">
        <w:rPr>
          <w:sz w:val="22"/>
          <w:szCs w:val="22"/>
          <w:lang w:val="pt-BR"/>
        </w:rPr>
        <w:t xml:space="preserve"> </w:t>
      </w:r>
      <w:r>
        <w:rPr>
          <w:sz w:val="22"/>
          <w:szCs w:val="22"/>
          <w:lang w:val="pt-BR"/>
        </w:rPr>
        <w:t>95%) za SISH i FISH tehniku detekcije HER2 genske amplifikacije.</w:t>
      </w:r>
    </w:p>
    <w:p w14:paraId="603BDA38" w14:textId="77777777" w:rsidR="00B05AA9" w:rsidRDefault="00B05AA9" w:rsidP="00641EEB">
      <w:pPr>
        <w:jc w:val="both"/>
        <w:rPr>
          <w:sz w:val="22"/>
          <w:szCs w:val="22"/>
          <w:lang w:val="pt-BR"/>
        </w:rPr>
      </w:pPr>
    </w:p>
    <w:p w14:paraId="732F77E6" w14:textId="0AA8CF99" w:rsidR="00B05AA9" w:rsidRDefault="00B05AA9" w:rsidP="00641EEB">
      <w:pPr>
        <w:jc w:val="both"/>
        <w:rPr>
          <w:sz w:val="22"/>
          <w:szCs w:val="22"/>
          <w:lang w:val="sr-Latn-CS"/>
        </w:rPr>
      </w:pPr>
      <w:r>
        <w:rPr>
          <w:sz w:val="22"/>
          <w:szCs w:val="22"/>
          <w:lang w:val="sr-Latn-CS"/>
        </w:rPr>
        <w:t xml:space="preserve">Prekomjerna ekspresija HER2 se detektuje korišćenjem imunohistohemijskog testa  (ICH)  fiksiranih </w:t>
      </w:r>
      <w:r w:rsidR="002B762C">
        <w:rPr>
          <w:sz w:val="22"/>
          <w:szCs w:val="22"/>
          <w:lang w:val="sr-Latn-CS"/>
        </w:rPr>
        <w:t xml:space="preserve">blokova </w:t>
      </w:r>
      <w:r>
        <w:rPr>
          <w:sz w:val="22"/>
          <w:szCs w:val="22"/>
          <w:lang w:val="sr-Latn-CS"/>
        </w:rPr>
        <w:t>tumorsk</w:t>
      </w:r>
      <w:r w:rsidR="002B762C">
        <w:rPr>
          <w:sz w:val="22"/>
          <w:szCs w:val="22"/>
          <w:lang w:val="sr-Latn-CS"/>
        </w:rPr>
        <w:t>og tkiva</w:t>
      </w:r>
      <w:r>
        <w:rPr>
          <w:sz w:val="22"/>
          <w:szCs w:val="22"/>
          <w:lang w:val="pt-BR"/>
        </w:rPr>
        <w:t xml:space="preserve">; </w:t>
      </w:r>
      <w:r>
        <w:rPr>
          <w:sz w:val="22"/>
          <w:szCs w:val="22"/>
          <w:lang w:val="sr-Latn-CS"/>
        </w:rPr>
        <w:t xml:space="preserve">HER2 gensku amplifikaciju treba detektovati korišćenjem </w:t>
      </w:r>
      <w:r>
        <w:rPr>
          <w:i/>
          <w:sz w:val="22"/>
          <w:szCs w:val="22"/>
          <w:lang w:val="sr-Latn-CS"/>
        </w:rPr>
        <w:t>in situ</w:t>
      </w:r>
      <w:r>
        <w:rPr>
          <w:sz w:val="22"/>
          <w:szCs w:val="22"/>
          <w:lang w:val="sr-Latn-CS"/>
        </w:rPr>
        <w:t xml:space="preserve"> hibridizacije (npr. FISH ili SISH) na fiksiranim </w:t>
      </w:r>
      <w:r w:rsidR="002B762C">
        <w:rPr>
          <w:sz w:val="22"/>
          <w:szCs w:val="22"/>
          <w:lang w:val="sr-Latn-CS"/>
        </w:rPr>
        <w:t xml:space="preserve">blokovima </w:t>
      </w:r>
      <w:r>
        <w:rPr>
          <w:sz w:val="22"/>
          <w:szCs w:val="22"/>
          <w:lang w:val="sr-Latn-CS"/>
        </w:rPr>
        <w:t>tumorsk</w:t>
      </w:r>
      <w:r w:rsidR="002B762C">
        <w:rPr>
          <w:sz w:val="22"/>
          <w:szCs w:val="22"/>
          <w:lang w:val="sr-Latn-CS"/>
        </w:rPr>
        <w:t>og tkiva</w:t>
      </w:r>
      <w:r>
        <w:rPr>
          <w:sz w:val="22"/>
          <w:szCs w:val="22"/>
          <w:lang w:val="sr-Latn-CS"/>
        </w:rPr>
        <w:t xml:space="preserve">. </w:t>
      </w:r>
    </w:p>
    <w:p w14:paraId="7F179F6C" w14:textId="77777777" w:rsidR="00B05AA9" w:rsidRDefault="00B05AA9" w:rsidP="00641EEB">
      <w:pPr>
        <w:jc w:val="both"/>
        <w:rPr>
          <w:sz w:val="22"/>
          <w:szCs w:val="22"/>
          <w:lang w:val="sr-Latn-CS"/>
        </w:rPr>
      </w:pPr>
    </w:p>
    <w:p w14:paraId="484BEF97" w14:textId="77777777" w:rsidR="00B05AA9" w:rsidRDefault="00B05AA9" w:rsidP="00641EEB">
      <w:pPr>
        <w:jc w:val="both"/>
        <w:rPr>
          <w:sz w:val="22"/>
          <w:szCs w:val="22"/>
          <w:lang w:val="sr-Latn-CS"/>
        </w:rPr>
      </w:pPr>
      <w:r>
        <w:rPr>
          <w:sz w:val="22"/>
          <w:szCs w:val="22"/>
          <w:lang w:val="sr-Latn-CS"/>
        </w:rPr>
        <w:t xml:space="preserve">Predlaže se sljedeći sistem bodovanja za procjenu prebojavanja uzorka po IHC metodi u Tabeli 3: </w:t>
      </w:r>
    </w:p>
    <w:p w14:paraId="1852F9FA" w14:textId="77777777" w:rsidR="00B05AA9" w:rsidRDefault="00B05AA9" w:rsidP="00641EEB">
      <w:pPr>
        <w:jc w:val="both"/>
        <w:rPr>
          <w:sz w:val="22"/>
          <w:szCs w:val="22"/>
          <w:lang w:val="sr-Latn-CS"/>
        </w:rPr>
      </w:pPr>
    </w:p>
    <w:p w14:paraId="424CA451" w14:textId="77777777" w:rsidR="00B05AA9" w:rsidRDefault="00B05AA9" w:rsidP="00641EEB">
      <w:pPr>
        <w:jc w:val="both"/>
        <w:rPr>
          <w:sz w:val="22"/>
          <w:szCs w:val="22"/>
          <w:lang w:val="sr-Latn-CS"/>
        </w:rPr>
      </w:pPr>
      <w:r>
        <w:rPr>
          <w:sz w:val="22"/>
          <w:szCs w:val="22"/>
          <w:lang w:val="sr-Latn-CS"/>
        </w:rPr>
        <w:t>Tabela 3: Preporučeni sistem bodovanja za procjenu prebojavanja uzorka IHC metodom kod raka želuca</w:t>
      </w:r>
    </w:p>
    <w:tbl>
      <w:tblPr>
        <w:tblW w:w="9062" w:type="dxa"/>
        <w:tblLayout w:type="fixed"/>
        <w:tblCellMar>
          <w:left w:w="0" w:type="dxa"/>
          <w:right w:w="0" w:type="dxa"/>
        </w:tblCellMar>
        <w:tblLook w:val="04A0" w:firstRow="1" w:lastRow="0" w:firstColumn="1" w:lastColumn="0" w:noHBand="0" w:noVBand="1"/>
      </w:tblPr>
      <w:tblGrid>
        <w:gridCol w:w="1140"/>
        <w:gridCol w:w="2808"/>
        <w:gridCol w:w="2991"/>
        <w:gridCol w:w="2123"/>
      </w:tblGrid>
      <w:tr w:rsidR="00B05AA9" w14:paraId="6FA6A104" w14:textId="77777777" w:rsidTr="00BA76B8">
        <w:tc>
          <w:tcPr>
            <w:tcW w:w="11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11488F9F" w14:textId="77777777" w:rsidR="00B05AA9" w:rsidRDefault="00B05AA9" w:rsidP="00BA76B8">
            <w:pPr>
              <w:tabs>
                <w:tab w:val="left" w:pos="284"/>
              </w:tabs>
              <w:rPr>
                <w:sz w:val="22"/>
                <w:szCs w:val="22"/>
                <w:lang w:val="pt-BR"/>
              </w:rPr>
            </w:pPr>
            <w:r>
              <w:rPr>
                <w:sz w:val="22"/>
                <w:szCs w:val="22"/>
                <w:lang w:val="pt-BR"/>
              </w:rPr>
              <w:t>Ocjena intenziteta prebojavanja</w:t>
            </w:r>
          </w:p>
        </w:tc>
        <w:tc>
          <w:tcPr>
            <w:tcW w:w="280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7BA7239" w14:textId="77777777" w:rsidR="00B05AA9" w:rsidRDefault="00B05AA9" w:rsidP="00BA76B8">
            <w:pPr>
              <w:tabs>
                <w:tab w:val="left" w:pos="284"/>
              </w:tabs>
              <w:rPr>
                <w:sz w:val="22"/>
                <w:szCs w:val="22"/>
                <w:lang w:val="pt-BR"/>
              </w:rPr>
            </w:pPr>
            <w:r>
              <w:rPr>
                <w:sz w:val="22"/>
                <w:szCs w:val="22"/>
                <w:lang w:val="pt-BR"/>
              </w:rPr>
              <w:t>Hirurški uzorak – intezitet prebojenosti</w:t>
            </w:r>
          </w:p>
        </w:tc>
        <w:tc>
          <w:tcPr>
            <w:tcW w:w="299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6BCB5AC" w14:textId="77777777" w:rsidR="00B05AA9" w:rsidRDefault="00B05AA9" w:rsidP="00BA76B8">
            <w:pPr>
              <w:rPr>
                <w:sz w:val="22"/>
                <w:szCs w:val="22"/>
                <w:lang w:val="pt-BR"/>
              </w:rPr>
            </w:pPr>
            <w:r>
              <w:rPr>
                <w:sz w:val="22"/>
                <w:szCs w:val="22"/>
                <w:lang w:val="pt-BR"/>
              </w:rPr>
              <w:t xml:space="preserve">Uzorak biopsije – </w:t>
            </w:r>
          </w:p>
          <w:p w14:paraId="00924D79" w14:textId="77777777" w:rsidR="00B05AA9" w:rsidRDefault="00B05AA9" w:rsidP="00BA76B8">
            <w:pPr>
              <w:tabs>
                <w:tab w:val="left" w:pos="284"/>
              </w:tabs>
              <w:rPr>
                <w:sz w:val="22"/>
                <w:szCs w:val="22"/>
                <w:lang w:val="pt-BR"/>
              </w:rPr>
            </w:pPr>
            <w:r>
              <w:rPr>
                <w:sz w:val="22"/>
                <w:szCs w:val="22"/>
                <w:lang w:val="pt-BR"/>
              </w:rPr>
              <w:t>intenzitet prebojenosti</w:t>
            </w:r>
          </w:p>
        </w:tc>
        <w:tc>
          <w:tcPr>
            <w:tcW w:w="212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7B2C119" w14:textId="77777777" w:rsidR="00B05AA9" w:rsidRDefault="00B05AA9" w:rsidP="00BA76B8">
            <w:pPr>
              <w:tabs>
                <w:tab w:val="left" w:pos="284"/>
              </w:tabs>
              <w:rPr>
                <w:sz w:val="22"/>
                <w:szCs w:val="22"/>
                <w:lang w:val="pt-BR"/>
              </w:rPr>
            </w:pPr>
            <w:r>
              <w:rPr>
                <w:sz w:val="22"/>
                <w:szCs w:val="22"/>
                <w:lang w:val="pt-BR"/>
              </w:rPr>
              <w:t>Procjena prekomjerne ekspresije HER2</w:t>
            </w:r>
          </w:p>
        </w:tc>
      </w:tr>
      <w:tr w:rsidR="00B05AA9" w14:paraId="11A4610A" w14:textId="77777777" w:rsidTr="00BA76B8">
        <w:tc>
          <w:tcPr>
            <w:tcW w:w="11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67BFFFD" w14:textId="77777777" w:rsidR="00B05AA9" w:rsidRDefault="00B05AA9" w:rsidP="00BA76B8">
            <w:pPr>
              <w:tabs>
                <w:tab w:val="left" w:pos="284"/>
              </w:tabs>
              <w:rPr>
                <w:sz w:val="22"/>
                <w:szCs w:val="22"/>
                <w:lang w:val="pt-BR"/>
              </w:rPr>
            </w:pPr>
            <w:r>
              <w:rPr>
                <w:sz w:val="22"/>
                <w:szCs w:val="22"/>
                <w:lang w:val="pt-BR"/>
              </w:rPr>
              <w:t>0</w:t>
            </w:r>
          </w:p>
        </w:tc>
        <w:tc>
          <w:tcPr>
            <w:tcW w:w="2808" w:type="dxa"/>
            <w:tcBorders>
              <w:top w:val="nil"/>
              <w:left w:val="nil"/>
              <w:bottom w:val="single" w:sz="8" w:space="0" w:color="auto"/>
              <w:right w:val="single" w:sz="8" w:space="0" w:color="auto"/>
            </w:tcBorders>
            <w:tcMar>
              <w:top w:w="0" w:type="dxa"/>
              <w:left w:w="70" w:type="dxa"/>
              <w:bottom w:w="0" w:type="dxa"/>
              <w:right w:w="70" w:type="dxa"/>
            </w:tcMar>
            <w:hideMark/>
          </w:tcPr>
          <w:p w14:paraId="3E1873F0" w14:textId="309A7CC1" w:rsidR="00B05AA9" w:rsidRDefault="005573C8" w:rsidP="00BA76B8">
            <w:pPr>
              <w:tabs>
                <w:tab w:val="left" w:pos="284"/>
              </w:tabs>
              <w:rPr>
                <w:sz w:val="22"/>
                <w:szCs w:val="22"/>
                <w:lang w:val="pt-BR"/>
              </w:rPr>
            </w:pPr>
            <w:r>
              <w:rPr>
                <w:sz w:val="22"/>
                <w:szCs w:val="22"/>
                <w:lang w:val="pt-BR"/>
              </w:rPr>
              <w:t xml:space="preserve">Nema </w:t>
            </w:r>
            <w:r w:rsidR="00B05AA9">
              <w:rPr>
                <w:sz w:val="22"/>
                <w:szCs w:val="22"/>
                <w:lang w:val="pt-BR"/>
              </w:rPr>
              <w:t>reaktivnost</w:t>
            </w:r>
            <w:r>
              <w:rPr>
                <w:sz w:val="22"/>
                <w:szCs w:val="22"/>
                <w:lang w:val="pt-BR"/>
              </w:rPr>
              <w:t>i</w:t>
            </w:r>
            <w:r w:rsidR="00B05AA9">
              <w:rPr>
                <w:sz w:val="22"/>
                <w:szCs w:val="22"/>
                <w:lang w:val="pt-BR"/>
              </w:rPr>
              <w:t xml:space="preserve"> ili membransk</w:t>
            </w:r>
            <w:r>
              <w:rPr>
                <w:sz w:val="22"/>
                <w:szCs w:val="22"/>
                <w:lang w:val="pt-BR"/>
              </w:rPr>
              <w:t>e</w:t>
            </w:r>
            <w:r w:rsidR="00B05AA9">
              <w:rPr>
                <w:sz w:val="22"/>
                <w:szCs w:val="22"/>
                <w:lang w:val="pt-BR"/>
              </w:rPr>
              <w:t xml:space="preserve"> reaktivnost</w:t>
            </w:r>
            <w:r>
              <w:rPr>
                <w:sz w:val="22"/>
                <w:szCs w:val="22"/>
                <w:lang w:val="pt-BR"/>
              </w:rPr>
              <w:t>i</w:t>
            </w:r>
            <w:r w:rsidR="00B05AA9">
              <w:rPr>
                <w:sz w:val="22"/>
                <w:szCs w:val="22"/>
                <w:lang w:val="pt-BR"/>
              </w:rPr>
              <w:t xml:space="preserve"> kod &lt; 10% tumorskih ćelija</w:t>
            </w:r>
          </w:p>
        </w:tc>
        <w:tc>
          <w:tcPr>
            <w:tcW w:w="2991" w:type="dxa"/>
            <w:tcBorders>
              <w:top w:val="nil"/>
              <w:left w:val="nil"/>
              <w:bottom w:val="single" w:sz="8" w:space="0" w:color="auto"/>
              <w:right w:val="single" w:sz="8" w:space="0" w:color="auto"/>
            </w:tcBorders>
            <w:tcMar>
              <w:top w:w="0" w:type="dxa"/>
              <w:left w:w="70" w:type="dxa"/>
              <w:bottom w:w="0" w:type="dxa"/>
              <w:right w:w="70" w:type="dxa"/>
            </w:tcMar>
            <w:hideMark/>
          </w:tcPr>
          <w:p w14:paraId="4B248EA9" w14:textId="7FE6A498" w:rsidR="00B05AA9" w:rsidRDefault="005573C8" w:rsidP="00BA76B8">
            <w:pPr>
              <w:tabs>
                <w:tab w:val="left" w:pos="284"/>
              </w:tabs>
              <w:rPr>
                <w:sz w:val="22"/>
                <w:szCs w:val="22"/>
                <w:lang w:val="pt-BR"/>
              </w:rPr>
            </w:pPr>
            <w:r>
              <w:rPr>
                <w:sz w:val="22"/>
                <w:szCs w:val="22"/>
                <w:lang w:val="pt-BR"/>
              </w:rPr>
              <w:t xml:space="preserve">Nema </w:t>
            </w:r>
            <w:r w:rsidR="00B05AA9">
              <w:rPr>
                <w:sz w:val="22"/>
                <w:szCs w:val="22"/>
                <w:lang w:val="pt-BR"/>
              </w:rPr>
              <w:t>reaktivnost</w:t>
            </w:r>
            <w:r>
              <w:rPr>
                <w:sz w:val="22"/>
                <w:szCs w:val="22"/>
                <w:lang w:val="pt-BR"/>
              </w:rPr>
              <w:t>i</w:t>
            </w:r>
            <w:r w:rsidR="00B05AA9">
              <w:rPr>
                <w:sz w:val="22"/>
                <w:szCs w:val="22"/>
                <w:lang w:val="pt-BR"/>
              </w:rPr>
              <w:t xml:space="preserve"> ili membransk</w:t>
            </w:r>
            <w:r>
              <w:rPr>
                <w:sz w:val="22"/>
                <w:szCs w:val="22"/>
                <w:lang w:val="pt-BR"/>
              </w:rPr>
              <w:t>e</w:t>
            </w:r>
            <w:r w:rsidR="00B05AA9">
              <w:rPr>
                <w:sz w:val="22"/>
                <w:szCs w:val="22"/>
                <w:lang w:val="pt-BR"/>
              </w:rPr>
              <w:t xml:space="preserve"> reaktivnost</w:t>
            </w:r>
            <w:r>
              <w:rPr>
                <w:sz w:val="22"/>
                <w:szCs w:val="22"/>
                <w:lang w:val="pt-BR"/>
              </w:rPr>
              <w:t>i</w:t>
            </w:r>
            <w:r w:rsidR="00B05AA9">
              <w:rPr>
                <w:sz w:val="22"/>
                <w:szCs w:val="22"/>
                <w:lang w:val="pt-BR"/>
              </w:rPr>
              <w:t xml:space="preserve"> ni</w:t>
            </w:r>
            <w:r>
              <w:rPr>
                <w:sz w:val="22"/>
                <w:szCs w:val="22"/>
                <w:lang w:val="pt-BR"/>
              </w:rPr>
              <w:t xml:space="preserve"> u jednoj</w:t>
            </w:r>
            <w:r w:rsidR="00B05AA9">
              <w:rPr>
                <w:sz w:val="22"/>
                <w:szCs w:val="22"/>
                <w:lang w:val="pt-BR"/>
              </w:rPr>
              <w:t xml:space="preserve"> tumorsk</w:t>
            </w:r>
            <w:r>
              <w:rPr>
                <w:sz w:val="22"/>
                <w:szCs w:val="22"/>
                <w:lang w:val="pt-BR"/>
              </w:rPr>
              <w:t>oj</w:t>
            </w:r>
            <w:r w:rsidR="00B05AA9">
              <w:rPr>
                <w:sz w:val="22"/>
                <w:szCs w:val="22"/>
                <w:lang w:val="pt-BR"/>
              </w:rPr>
              <w:t xml:space="preserve"> ćelij</w:t>
            </w:r>
            <w:r>
              <w:rPr>
                <w:sz w:val="22"/>
                <w:szCs w:val="22"/>
                <w:lang w:val="pt-BR"/>
              </w:rPr>
              <w:t>i</w:t>
            </w:r>
          </w:p>
        </w:tc>
        <w:tc>
          <w:tcPr>
            <w:tcW w:w="21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81C661" w14:textId="4E455953" w:rsidR="00B05AA9" w:rsidRDefault="00B05AA9" w:rsidP="00BA76B8">
            <w:pPr>
              <w:tabs>
                <w:tab w:val="left" w:pos="284"/>
              </w:tabs>
              <w:rPr>
                <w:sz w:val="22"/>
                <w:szCs w:val="22"/>
                <w:lang w:val="pt-BR"/>
              </w:rPr>
            </w:pPr>
            <w:r>
              <w:rPr>
                <w:sz w:val="22"/>
                <w:szCs w:val="22"/>
                <w:lang w:val="pt-BR"/>
              </w:rPr>
              <w:t>Negativn</w:t>
            </w:r>
            <w:r w:rsidR="005573C8">
              <w:rPr>
                <w:sz w:val="22"/>
                <w:szCs w:val="22"/>
                <w:lang w:val="pt-BR"/>
              </w:rPr>
              <w:t>a</w:t>
            </w:r>
          </w:p>
        </w:tc>
      </w:tr>
      <w:tr w:rsidR="00B05AA9" w14:paraId="4AB35F98" w14:textId="77777777" w:rsidTr="00BA76B8">
        <w:tc>
          <w:tcPr>
            <w:tcW w:w="11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2B8264" w14:textId="77777777" w:rsidR="00B05AA9" w:rsidRDefault="00B05AA9" w:rsidP="00BA76B8">
            <w:pPr>
              <w:tabs>
                <w:tab w:val="left" w:pos="284"/>
              </w:tabs>
              <w:rPr>
                <w:sz w:val="22"/>
                <w:szCs w:val="22"/>
                <w:lang w:val="pt-BR"/>
              </w:rPr>
            </w:pPr>
            <w:r>
              <w:rPr>
                <w:sz w:val="22"/>
                <w:szCs w:val="22"/>
                <w:lang w:val="pt-BR"/>
              </w:rPr>
              <w:t>1+</w:t>
            </w:r>
          </w:p>
        </w:tc>
        <w:tc>
          <w:tcPr>
            <w:tcW w:w="2808" w:type="dxa"/>
            <w:tcBorders>
              <w:top w:val="nil"/>
              <w:left w:val="nil"/>
              <w:bottom w:val="single" w:sz="8" w:space="0" w:color="auto"/>
              <w:right w:val="single" w:sz="8" w:space="0" w:color="auto"/>
            </w:tcBorders>
            <w:tcMar>
              <w:top w:w="0" w:type="dxa"/>
              <w:left w:w="70" w:type="dxa"/>
              <w:bottom w:w="0" w:type="dxa"/>
              <w:right w:w="70" w:type="dxa"/>
            </w:tcMar>
            <w:hideMark/>
          </w:tcPr>
          <w:p w14:paraId="2236144A" w14:textId="77777777" w:rsidR="00B05AA9" w:rsidRDefault="00B05AA9" w:rsidP="00BA76B8">
            <w:pPr>
              <w:tabs>
                <w:tab w:val="left" w:pos="284"/>
              </w:tabs>
              <w:rPr>
                <w:sz w:val="22"/>
                <w:szCs w:val="22"/>
                <w:lang w:val="pt-BR"/>
              </w:rPr>
            </w:pPr>
            <w:r>
              <w:rPr>
                <w:sz w:val="22"/>
                <w:szCs w:val="22"/>
                <w:lang w:val="pt-BR"/>
              </w:rPr>
              <w:t xml:space="preserve">Blijeda/jedva primjetna membranska reaktivnost kod  ≥ 10% tumorskih ćelija; ćelije su reaktivne samo u dijelu membrane </w:t>
            </w:r>
          </w:p>
        </w:tc>
        <w:tc>
          <w:tcPr>
            <w:tcW w:w="2991" w:type="dxa"/>
            <w:tcBorders>
              <w:top w:val="nil"/>
              <w:left w:val="nil"/>
              <w:bottom w:val="single" w:sz="8" w:space="0" w:color="auto"/>
              <w:right w:val="single" w:sz="8" w:space="0" w:color="auto"/>
            </w:tcBorders>
            <w:tcMar>
              <w:top w:w="0" w:type="dxa"/>
              <w:left w:w="70" w:type="dxa"/>
              <w:bottom w:w="0" w:type="dxa"/>
              <w:right w:w="70" w:type="dxa"/>
            </w:tcMar>
            <w:hideMark/>
          </w:tcPr>
          <w:p w14:paraId="0FB52C2F" w14:textId="77777777" w:rsidR="00B05AA9" w:rsidRDefault="00B05AA9" w:rsidP="00BA76B8">
            <w:pPr>
              <w:tabs>
                <w:tab w:val="left" w:pos="284"/>
              </w:tabs>
              <w:rPr>
                <w:sz w:val="22"/>
                <w:szCs w:val="22"/>
                <w:lang w:val="pt-BR"/>
              </w:rPr>
            </w:pPr>
            <w:r>
              <w:rPr>
                <w:sz w:val="22"/>
                <w:szCs w:val="22"/>
                <w:lang w:val="pt-BR"/>
              </w:rPr>
              <w:t xml:space="preserve">Klaster tumorskih ćelija sa blijedom/jedva primjetnom membranskom reaktivnošću, nezavisno od procenta obojenih tumorskih ćelija. </w:t>
            </w:r>
          </w:p>
        </w:tc>
        <w:tc>
          <w:tcPr>
            <w:tcW w:w="21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46CBDA0" w14:textId="5580939A" w:rsidR="00B05AA9" w:rsidRDefault="00B05AA9" w:rsidP="00BA76B8">
            <w:pPr>
              <w:tabs>
                <w:tab w:val="left" w:pos="284"/>
              </w:tabs>
              <w:rPr>
                <w:sz w:val="22"/>
                <w:szCs w:val="22"/>
                <w:lang w:val="pt-BR"/>
              </w:rPr>
            </w:pPr>
            <w:r>
              <w:rPr>
                <w:sz w:val="22"/>
                <w:szCs w:val="22"/>
                <w:lang w:val="pt-BR"/>
              </w:rPr>
              <w:t>Negativn</w:t>
            </w:r>
            <w:r w:rsidR="0055240E">
              <w:rPr>
                <w:sz w:val="22"/>
                <w:szCs w:val="22"/>
                <w:lang w:val="pt-BR"/>
              </w:rPr>
              <w:t>a</w:t>
            </w:r>
          </w:p>
        </w:tc>
      </w:tr>
      <w:tr w:rsidR="00B05AA9" w14:paraId="1F97965A" w14:textId="77777777" w:rsidTr="00BA76B8">
        <w:tc>
          <w:tcPr>
            <w:tcW w:w="11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E671419" w14:textId="77777777" w:rsidR="00B05AA9" w:rsidRDefault="00B05AA9" w:rsidP="00BA76B8">
            <w:pPr>
              <w:tabs>
                <w:tab w:val="left" w:pos="284"/>
              </w:tabs>
              <w:rPr>
                <w:sz w:val="22"/>
                <w:szCs w:val="22"/>
                <w:lang w:val="pt-BR"/>
              </w:rPr>
            </w:pPr>
            <w:r>
              <w:rPr>
                <w:sz w:val="22"/>
                <w:szCs w:val="22"/>
                <w:lang w:val="pt-BR"/>
              </w:rPr>
              <w:t>2+</w:t>
            </w:r>
          </w:p>
        </w:tc>
        <w:tc>
          <w:tcPr>
            <w:tcW w:w="2808" w:type="dxa"/>
            <w:tcBorders>
              <w:top w:val="nil"/>
              <w:left w:val="nil"/>
              <w:bottom w:val="single" w:sz="8" w:space="0" w:color="auto"/>
              <w:right w:val="single" w:sz="8" w:space="0" w:color="auto"/>
            </w:tcBorders>
            <w:tcMar>
              <w:top w:w="0" w:type="dxa"/>
              <w:left w:w="70" w:type="dxa"/>
              <w:bottom w:w="0" w:type="dxa"/>
              <w:right w:w="70" w:type="dxa"/>
            </w:tcMar>
            <w:hideMark/>
          </w:tcPr>
          <w:p w14:paraId="337AE0AB" w14:textId="77777777" w:rsidR="00B05AA9" w:rsidRDefault="00B05AA9" w:rsidP="00BA76B8">
            <w:pPr>
              <w:tabs>
                <w:tab w:val="left" w:pos="284"/>
              </w:tabs>
              <w:rPr>
                <w:sz w:val="22"/>
                <w:szCs w:val="22"/>
                <w:lang w:val="pt-BR"/>
              </w:rPr>
            </w:pPr>
            <w:r>
              <w:rPr>
                <w:sz w:val="22"/>
                <w:szCs w:val="22"/>
                <w:lang w:val="pt-BR"/>
              </w:rPr>
              <w:t>Blaga do umjerena potpuna, bazolateralna ili lateralna membranska reaktivnost kod ≥ 10% tumorskih ćelija</w:t>
            </w:r>
          </w:p>
        </w:tc>
        <w:tc>
          <w:tcPr>
            <w:tcW w:w="2991" w:type="dxa"/>
            <w:tcBorders>
              <w:top w:val="nil"/>
              <w:left w:val="nil"/>
              <w:bottom w:val="single" w:sz="8" w:space="0" w:color="auto"/>
              <w:right w:val="single" w:sz="8" w:space="0" w:color="auto"/>
            </w:tcBorders>
            <w:tcMar>
              <w:top w:w="0" w:type="dxa"/>
              <w:left w:w="70" w:type="dxa"/>
              <w:bottom w:w="0" w:type="dxa"/>
              <w:right w:w="70" w:type="dxa"/>
            </w:tcMar>
            <w:hideMark/>
          </w:tcPr>
          <w:p w14:paraId="0C09D4F2" w14:textId="77777777" w:rsidR="00B05AA9" w:rsidRDefault="00B05AA9" w:rsidP="00BA76B8">
            <w:pPr>
              <w:tabs>
                <w:tab w:val="left" w:pos="284"/>
              </w:tabs>
              <w:rPr>
                <w:sz w:val="22"/>
                <w:szCs w:val="22"/>
                <w:lang w:val="pt-BR"/>
              </w:rPr>
            </w:pPr>
            <w:r>
              <w:rPr>
                <w:sz w:val="22"/>
                <w:szCs w:val="22"/>
                <w:lang w:val="pt-BR"/>
              </w:rPr>
              <w:t>Klaster tumorskih ćelija sa blagom do umjerenom potpunom, bazolateralnom ili lateralnom membranskom reaktivnošću nezavisno od procenta obojenih tumorskih ćelija.</w:t>
            </w:r>
          </w:p>
        </w:tc>
        <w:tc>
          <w:tcPr>
            <w:tcW w:w="21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03AECB4" w14:textId="40AB5B9A" w:rsidR="00B05AA9" w:rsidRDefault="00B05AA9" w:rsidP="00BA76B8">
            <w:pPr>
              <w:tabs>
                <w:tab w:val="left" w:pos="284"/>
              </w:tabs>
              <w:rPr>
                <w:sz w:val="22"/>
                <w:szCs w:val="22"/>
                <w:lang w:val="pt-BR"/>
              </w:rPr>
            </w:pPr>
            <w:r>
              <w:rPr>
                <w:sz w:val="22"/>
                <w:szCs w:val="22"/>
                <w:lang w:val="pt-BR"/>
              </w:rPr>
              <w:t>Dvoznačn</w:t>
            </w:r>
            <w:r w:rsidR="0055240E">
              <w:rPr>
                <w:sz w:val="22"/>
                <w:szCs w:val="22"/>
                <w:lang w:val="pt-BR"/>
              </w:rPr>
              <w:t>a/Nepouzdan rezultat</w:t>
            </w:r>
          </w:p>
        </w:tc>
      </w:tr>
      <w:tr w:rsidR="00B05AA9" w14:paraId="2A2C4559" w14:textId="77777777" w:rsidTr="00BA76B8">
        <w:tc>
          <w:tcPr>
            <w:tcW w:w="11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6FAFF9" w14:textId="77777777" w:rsidR="00B05AA9" w:rsidRDefault="00B05AA9" w:rsidP="00BA76B8">
            <w:pPr>
              <w:tabs>
                <w:tab w:val="left" w:pos="284"/>
              </w:tabs>
              <w:rPr>
                <w:sz w:val="22"/>
                <w:szCs w:val="22"/>
                <w:lang w:val="pt-BR"/>
              </w:rPr>
            </w:pPr>
            <w:r>
              <w:rPr>
                <w:sz w:val="22"/>
                <w:szCs w:val="22"/>
                <w:lang w:val="pt-BR"/>
              </w:rPr>
              <w:lastRenderedPageBreak/>
              <w:t>3+</w:t>
            </w:r>
          </w:p>
        </w:tc>
        <w:tc>
          <w:tcPr>
            <w:tcW w:w="2808" w:type="dxa"/>
            <w:tcBorders>
              <w:top w:val="nil"/>
              <w:left w:val="nil"/>
              <w:bottom w:val="single" w:sz="8" w:space="0" w:color="auto"/>
              <w:right w:val="single" w:sz="8" w:space="0" w:color="auto"/>
            </w:tcBorders>
            <w:tcMar>
              <w:top w:w="0" w:type="dxa"/>
              <w:left w:w="70" w:type="dxa"/>
              <w:bottom w:w="0" w:type="dxa"/>
              <w:right w:w="70" w:type="dxa"/>
            </w:tcMar>
            <w:hideMark/>
          </w:tcPr>
          <w:p w14:paraId="78BE9C8D" w14:textId="77777777" w:rsidR="00B05AA9" w:rsidRDefault="00B05AA9" w:rsidP="00BA76B8">
            <w:pPr>
              <w:tabs>
                <w:tab w:val="left" w:pos="284"/>
              </w:tabs>
              <w:rPr>
                <w:sz w:val="22"/>
                <w:szCs w:val="22"/>
                <w:lang w:val="pt-BR"/>
              </w:rPr>
            </w:pPr>
            <w:r>
              <w:rPr>
                <w:sz w:val="22"/>
                <w:szCs w:val="22"/>
                <w:lang w:val="pt-BR"/>
              </w:rPr>
              <w:t>Jaka potpuna, bazolateralna ili lateralna membranska reaktivnost kod ≥ 10% tumorskih ćelija</w:t>
            </w:r>
          </w:p>
        </w:tc>
        <w:tc>
          <w:tcPr>
            <w:tcW w:w="2991" w:type="dxa"/>
            <w:tcBorders>
              <w:top w:val="nil"/>
              <w:left w:val="nil"/>
              <w:bottom w:val="single" w:sz="8" w:space="0" w:color="auto"/>
              <w:right w:val="single" w:sz="8" w:space="0" w:color="auto"/>
            </w:tcBorders>
            <w:tcMar>
              <w:top w:w="0" w:type="dxa"/>
              <w:left w:w="70" w:type="dxa"/>
              <w:bottom w:w="0" w:type="dxa"/>
              <w:right w:w="70" w:type="dxa"/>
            </w:tcMar>
            <w:hideMark/>
          </w:tcPr>
          <w:p w14:paraId="4388B6CC" w14:textId="77777777" w:rsidR="00B05AA9" w:rsidRDefault="00B05AA9" w:rsidP="00BA76B8">
            <w:pPr>
              <w:tabs>
                <w:tab w:val="left" w:pos="284"/>
              </w:tabs>
              <w:rPr>
                <w:sz w:val="22"/>
                <w:szCs w:val="22"/>
                <w:lang w:val="pt-BR"/>
              </w:rPr>
            </w:pPr>
            <w:r>
              <w:rPr>
                <w:sz w:val="22"/>
                <w:szCs w:val="22"/>
                <w:lang w:val="pt-BR"/>
              </w:rPr>
              <w:t>Klaster tumorskih ćelija sa jakom potpunom, bazolateralnom ili lateralnom membranskom reaktivnošću nezavisno od procenta obojenih tumorskih ćelija.</w:t>
            </w:r>
          </w:p>
        </w:tc>
        <w:tc>
          <w:tcPr>
            <w:tcW w:w="21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ED98766" w14:textId="08E608ED" w:rsidR="00B05AA9" w:rsidRDefault="00B05AA9" w:rsidP="00BA76B8">
            <w:pPr>
              <w:tabs>
                <w:tab w:val="left" w:pos="284"/>
              </w:tabs>
              <w:rPr>
                <w:sz w:val="22"/>
                <w:szCs w:val="22"/>
                <w:lang w:val="pt-BR"/>
              </w:rPr>
            </w:pPr>
            <w:r>
              <w:rPr>
                <w:sz w:val="22"/>
                <w:szCs w:val="22"/>
                <w:lang w:val="pt-BR"/>
              </w:rPr>
              <w:t>Pozitivn</w:t>
            </w:r>
            <w:r w:rsidR="0055240E">
              <w:rPr>
                <w:sz w:val="22"/>
                <w:szCs w:val="22"/>
                <w:lang w:val="pt-BR"/>
              </w:rPr>
              <w:t>a</w:t>
            </w:r>
          </w:p>
        </w:tc>
      </w:tr>
    </w:tbl>
    <w:p w14:paraId="7F6D3361" w14:textId="77777777" w:rsidR="00B05AA9" w:rsidRDefault="00B05AA9" w:rsidP="00641EEB">
      <w:pPr>
        <w:jc w:val="both"/>
        <w:rPr>
          <w:sz w:val="22"/>
          <w:szCs w:val="22"/>
          <w:lang w:val="pt-BR"/>
        </w:rPr>
      </w:pPr>
    </w:p>
    <w:p w14:paraId="1B591E74" w14:textId="77777777" w:rsidR="00B05AA9" w:rsidRDefault="00B05AA9" w:rsidP="00641EEB">
      <w:pPr>
        <w:jc w:val="both"/>
        <w:rPr>
          <w:sz w:val="22"/>
          <w:szCs w:val="22"/>
          <w:lang w:val="pt-BR"/>
        </w:rPr>
      </w:pPr>
      <w:r>
        <w:rPr>
          <w:sz w:val="22"/>
          <w:szCs w:val="22"/>
          <w:lang w:val="pt-BR"/>
        </w:rPr>
        <w:t xml:space="preserve">Uglavnom, FISH ili SISH se smatraju pozitivnim ukoliko je odnos broja HER2 genskih kopija po tumorskoj ćeliji i broja kopija hromozoma 17 veći ili jednak 2. </w:t>
      </w:r>
    </w:p>
    <w:p w14:paraId="44F218B0" w14:textId="77777777" w:rsidR="00B05AA9" w:rsidRDefault="00B05AA9" w:rsidP="00641EEB">
      <w:pPr>
        <w:jc w:val="both"/>
        <w:rPr>
          <w:sz w:val="22"/>
          <w:szCs w:val="22"/>
          <w:lang w:val="pt-BR"/>
        </w:rPr>
      </w:pPr>
    </w:p>
    <w:p w14:paraId="16A9FBE5" w14:textId="77777777" w:rsidR="00B05AA9" w:rsidRPr="00E32C47" w:rsidRDefault="00B05AA9" w:rsidP="00641EEB">
      <w:pPr>
        <w:jc w:val="both"/>
        <w:rPr>
          <w:sz w:val="22"/>
          <w:szCs w:val="22"/>
          <w:u w:val="single"/>
          <w:lang w:val="pt-BR"/>
        </w:rPr>
      </w:pPr>
      <w:r w:rsidRPr="00E32C47">
        <w:rPr>
          <w:sz w:val="22"/>
          <w:szCs w:val="22"/>
          <w:u w:val="single"/>
          <w:lang w:val="pt-BR"/>
        </w:rPr>
        <w:t>Klinička efikasnost i bezbjednost</w:t>
      </w:r>
    </w:p>
    <w:p w14:paraId="12313F82" w14:textId="77777777" w:rsidR="00B05AA9" w:rsidRDefault="00B05AA9" w:rsidP="00641EEB">
      <w:pPr>
        <w:jc w:val="both"/>
        <w:rPr>
          <w:b/>
          <w:sz w:val="22"/>
          <w:szCs w:val="22"/>
          <w:lang w:val="pt-BR"/>
        </w:rPr>
      </w:pPr>
    </w:p>
    <w:p w14:paraId="065E245D" w14:textId="55DD9CB3" w:rsidR="00B05AA9" w:rsidRDefault="00B05AA9" w:rsidP="00641EEB">
      <w:pPr>
        <w:jc w:val="both"/>
        <w:rPr>
          <w:i/>
          <w:sz w:val="22"/>
          <w:szCs w:val="22"/>
          <w:u w:val="single"/>
          <w:lang w:val="pt-BR"/>
        </w:rPr>
      </w:pPr>
      <w:r w:rsidRPr="00E32C47">
        <w:rPr>
          <w:i/>
          <w:sz w:val="22"/>
          <w:szCs w:val="22"/>
          <w:u w:val="single"/>
          <w:lang w:val="pt-BR"/>
        </w:rPr>
        <w:t>Metastatski karcinom dojke</w:t>
      </w:r>
    </w:p>
    <w:p w14:paraId="31D163CF" w14:textId="77777777" w:rsidR="007153AC" w:rsidRPr="00E32C47" w:rsidRDefault="007153AC" w:rsidP="00641EEB">
      <w:pPr>
        <w:jc w:val="both"/>
        <w:rPr>
          <w:i/>
          <w:sz w:val="22"/>
          <w:szCs w:val="22"/>
          <w:u w:val="single"/>
          <w:lang w:val="pt-BR"/>
        </w:rPr>
      </w:pPr>
    </w:p>
    <w:p w14:paraId="64A5B7DC" w14:textId="7BF127BD" w:rsidR="00B05AA9" w:rsidRDefault="007153AC" w:rsidP="00641EEB">
      <w:pPr>
        <w:jc w:val="both"/>
        <w:rPr>
          <w:sz w:val="22"/>
          <w:szCs w:val="22"/>
          <w:lang w:val="pt-BR"/>
        </w:rPr>
      </w:pPr>
      <w:r>
        <w:rPr>
          <w:sz w:val="22"/>
          <w:szCs w:val="22"/>
          <w:lang w:val="pt-BR"/>
        </w:rPr>
        <w:t xml:space="preserve">Lijek </w:t>
      </w:r>
      <w:r w:rsidR="00B05AA9">
        <w:rPr>
          <w:sz w:val="22"/>
          <w:szCs w:val="22"/>
          <w:lang w:val="pt-BR"/>
        </w:rPr>
        <w:t xml:space="preserve">Herceptin se u kliničkim ispitivanjima primjenjivao kao monoterapija u liječenju </w:t>
      </w:r>
      <w:r>
        <w:rPr>
          <w:sz w:val="22"/>
          <w:szCs w:val="22"/>
          <w:lang w:val="pt-BR"/>
        </w:rPr>
        <w:t xml:space="preserve">pacijenata </w:t>
      </w:r>
      <w:r w:rsidR="00B05AA9">
        <w:rPr>
          <w:sz w:val="22"/>
          <w:szCs w:val="22"/>
          <w:lang w:val="pt-BR"/>
        </w:rPr>
        <w:t>sa metastatskim karcinomom dojke, koji imaju povećanu ekspresiju HER2 i koji nijesu reagovali na jedan ili više hemoterapijskih protokola za njihovu metastatsku bolest (samo Herceptin).</w:t>
      </w:r>
    </w:p>
    <w:p w14:paraId="448B55FA" w14:textId="77777777" w:rsidR="00B05AA9" w:rsidRDefault="00B05AA9" w:rsidP="00641EEB">
      <w:pPr>
        <w:jc w:val="both"/>
        <w:rPr>
          <w:sz w:val="22"/>
          <w:szCs w:val="22"/>
          <w:lang w:val="pt-BR"/>
        </w:rPr>
      </w:pPr>
    </w:p>
    <w:p w14:paraId="306E369B" w14:textId="6D8E6DFA" w:rsidR="00B05AA9" w:rsidRDefault="007153AC" w:rsidP="00641EEB">
      <w:pPr>
        <w:jc w:val="both"/>
        <w:rPr>
          <w:sz w:val="22"/>
          <w:szCs w:val="22"/>
          <w:lang w:val="pt-BR"/>
        </w:rPr>
      </w:pPr>
      <w:r>
        <w:rPr>
          <w:sz w:val="22"/>
          <w:szCs w:val="22"/>
          <w:lang w:val="pt-BR"/>
        </w:rPr>
        <w:t xml:space="preserve">Lijek </w:t>
      </w:r>
      <w:r w:rsidR="00B05AA9">
        <w:rPr>
          <w:sz w:val="22"/>
          <w:szCs w:val="22"/>
          <w:lang w:val="pt-BR"/>
        </w:rPr>
        <w:t xml:space="preserve">Herceptin je takođe korišćen u kombinaciji sa paklitakselom ili docetakselom za liječenje </w:t>
      </w:r>
      <w:r>
        <w:rPr>
          <w:sz w:val="22"/>
          <w:szCs w:val="22"/>
          <w:lang w:val="pt-BR"/>
        </w:rPr>
        <w:t xml:space="preserve">pacijenata </w:t>
      </w:r>
      <w:r w:rsidR="00B05AA9">
        <w:rPr>
          <w:sz w:val="22"/>
          <w:szCs w:val="22"/>
          <w:lang w:val="pt-BR"/>
        </w:rPr>
        <w:t>koji nijesu primali terapiju za metastatsku bolest. Pacijenti koji su prethodno primali antraciklinsku adjuvantnu hemoterapiju liječeni su paklitakselom (175 mg/m</w:t>
      </w:r>
      <w:r w:rsidR="00B05AA9">
        <w:rPr>
          <w:sz w:val="22"/>
          <w:szCs w:val="22"/>
          <w:vertAlign w:val="superscript"/>
          <w:lang w:val="pt-BR"/>
        </w:rPr>
        <w:t>2</w:t>
      </w:r>
      <w:r w:rsidR="00B05AA9">
        <w:rPr>
          <w:sz w:val="22"/>
          <w:szCs w:val="22"/>
          <w:lang w:val="pt-BR"/>
        </w:rPr>
        <w:t xml:space="preserve">  infuzijom u trajanju od tri sata) u kombinaciji sa lijekom Herceptin ili bez njega. U pivotalnim ispitivanjim docetaksela (100 mg/m</w:t>
      </w:r>
      <w:r w:rsidR="00B05AA9">
        <w:rPr>
          <w:sz w:val="22"/>
          <w:szCs w:val="22"/>
          <w:vertAlign w:val="superscript"/>
          <w:lang w:val="pt-BR"/>
        </w:rPr>
        <w:t>2</w:t>
      </w:r>
      <w:r w:rsidR="00B05AA9">
        <w:rPr>
          <w:sz w:val="22"/>
          <w:szCs w:val="22"/>
          <w:lang w:val="pt-BR"/>
        </w:rPr>
        <w:t xml:space="preserve"> infuzijom u trajanju od jednog sata) u kombinaciji sa lijekom Herceptin ili bez njega, 60 % pacijenata već je primalo antraciklinsku adjuvantnu terapiju. Pacijenti su primali </w:t>
      </w:r>
      <w:r>
        <w:rPr>
          <w:sz w:val="22"/>
          <w:szCs w:val="22"/>
          <w:lang w:val="pt-BR"/>
        </w:rPr>
        <w:t xml:space="preserve">lijek </w:t>
      </w:r>
      <w:r w:rsidR="00B05AA9">
        <w:rPr>
          <w:sz w:val="22"/>
          <w:szCs w:val="22"/>
          <w:lang w:val="pt-BR"/>
        </w:rPr>
        <w:t>Herceptin do progresije bolesti.</w:t>
      </w:r>
    </w:p>
    <w:p w14:paraId="20559390" w14:textId="77777777" w:rsidR="007153AC" w:rsidRDefault="007153AC" w:rsidP="00641EEB">
      <w:pPr>
        <w:jc w:val="both"/>
        <w:rPr>
          <w:sz w:val="22"/>
          <w:szCs w:val="22"/>
          <w:lang w:val="pt-BR"/>
        </w:rPr>
      </w:pPr>
    </w:p>
    <w:p w14:paraId="0F31A989" w14:textId="0C1DF474" w:rsidR="00B05AA9" w:rsidRDefault="00B05AA9" w:rsidP="00641EEB">
      <w:pPr>
        <w:jc w:val="both"/>
        <w:rPr>
          <w:sz w:val="22"/>
          <w:szCs w:val="22"/>
          <w:lang w:val="pt-BR"/>
        </w:rPr>
      </w:pPr>
      <w:r>
        <w:rPr>
          <w:sz w:val="22"/>
          <w:szCs w:val="22"/>
          <w:lang w:val="pt-BR"/>
        </w:rPr>
        <w:t xml:space="preserve">Nije ispitana </w:t>
      </w:r>
      <w:r w:rsidR="007153AC">
        <w:rPr>
          <w:sz w:val="22"/>
          <w:szCs w:val="22"/>
          <w:lang w:val="pt-BR"/>
        </w:rPr>
        <w:t xml:space="preserve">efikasnost </w:t>
      </w:r>
      <w:r>
        <w:rPr>
          <w:sz w:val="22"/>
          <w:szCs w:val="22"/>
          <w:lang w:val="pt-BR"/>
        </w:rPr>
        <w:t xml:space="preserve">lijeka Herceptin u kombinaciji sa paklitakselom kod pacijenata koji prethodno nijesu primali adjuvantnu terapiju antraciklinima. </w:t>
      </w:r>
      <w:r w:rsidR="007153AC">
        <w:rPr>
          <w:sz w:val="22"/>
          <w:szCs w:val="22"/>
          <w:lang w:val="pt-BR"/>
        </w:rPr>
        <w:t xml:space="preserve">Ljekovi </w:t>
      </w:r>
      <w:r>
        <w:rPr>
          <w:sz w:val="22"/>
          <w:szCs w:val="22"/>
          <w:lang w:val="pt-BR"/>
        </w:rPr>
        <w:t>Herceptin i docetaksel bili su, međutim, efikasni  kod pacijenata bez obzira da li su prethodno dobijali adjuvantu terapiju antraciklinima.</w:t>
      </w:r>
    </w:p>
    <w:p w14:paraId="7F419C58" w14:textId="77777777" w:rsidR="00B05AA9" w:rsidRDefault="00B05AA9" w:rsidP="00641EEB">
      <w:pPr>
        <w:jc w:val="both"/>
        <w:rPr>
          <w:sz w:val="22"/>
          <w:szCs w:val="22"/>
          <w:lang w:val="pt-BR"/>
        </w:rPr>
      </w:pPr>
    </w:p>
    <w:p w14:paraId="1317E949" w14:textId="7437B784" w:rsidR="00B05AA9" w:rsidRDefault="00B05AA9" w:rsidP="00641EEB">
      <w:pPr>
        <w:jc w:val="both"/>
        <w:rPr>
          <w:sz w:val="22"/>
          <w:szCs w:val="22"/>
          <w:lang w:val="it-IT"/>
        </w:rPr>
      </w:pPr>
      <w:r>
        <w:rPr>
          <w:sz w:val="22"/>
          <w:szCs w:val="22"/>
          <w:lang w:val="pt-BR"/>
        </w:rPr>
        <w:t xml:space="preserve">Metoda testiranja pojačane ekspresije HER2, koja se u kliničkim ispitivanjima koristila za odabir pacijenata koji se mogu podvrgnuti monoterapiji lijekom Herceptin ili kombinaciji lijeka Herceptin i paklitaksela, zasnivala se na imunocistohemijskoj metodi određivanja HER2 u materijalu uzetom iz tumora dojke, pomoću monoklonskih antitijela CB11i 4D5 miševa. </w:t>
      </w:r>
      <w:r>
        <w:rPr>
          <w:sz w:val="22"/>
          <w:szCs w:val="22"/>
          <w:lang w:val="it-IT"/>
        </w:rPr>
        <w:t>Ova su tkiva bila fiksirana u formalinu ili Bouinovom fiksativu. Navedene analize u kliničkom ispitivanju obavljale su se u centralnoj laboratoriji koristeći skalu od 0 do 3+. Pacijenti koji su imali intenzitet bojenja od 2+ do 3+ uključeni su u ispitivanje, a oni sa 0 do 1+ nijesu. Više od 70 % uključenih pacijenata imalo je prekomjernu ekspresiju 3+. Ovi podaci upućuju na to da su povoljni efekati bili izraženiji kod pacijenata sa većim stepenom prekomjerne ekspresije HER2 (3+).</w:t>
      </w:r>
    </w:p>
    <w:p w14:paraId="175D5F2D" w14:textId="77777777" w:rsidR="00B05AA9" w:rsidRDefault="00B05AA9" w:rsidP="00641EEB">
      <w:pPr>
        <w:jc w:val="both"/>
        <w:rPr>
          <w:sz w:val="22"/>
          <w:szCs w:val="22"/>
          <w:u w:val="single"/>
          <w:lang w:val="it-IT"/>
        </w:rPr>
      </w:pPr>
    </w:p>
    <w:p w14:paraId="74190A06" w14:textId="188837B2" w:rsidR="00B05AA9" w:rsidRDefault="00B05AA9" w:rsidP="00641EEB">
      <w:pPr>
        <w:jc w:val="both"/>
        <w:rPr>
          <w:sz w:val="22"/>
          <w:szCs w:val="22"/>
          <w:lang w:val="it-IT"/>
        </w:rPr>
      </w:pPr>
      <w:r>
        <w:rPr>
          <w:sz w:val="22"/>
          <w:szCs w:val="22"/>
          <w:lang w:val="it-IT"/>
        </w:rPr>
        <w:t xml:space="preserve">Glavna metoda testiranja koja je korišćene za utvrđivanje HER2 pozitivnosti koja se koristila u pivotalnom kliničkom ispitivanju docetaksela u kombinaciji sa lijekom Herceptin ili bez njega, bila je imunohistohemija. Kod manjeg broja pacijenata korišćena je metoda fluoroscentne </w:t>
      </w:r>
      <w:r>
        <w:rPr>
          <w:i/>
          <w:sz w:val="22"/>
          <w:szCs w:val="22"/>
          <w:lang w:val="it-IT"/>
        </w:rPr>
        <w:t xml:space="preserve">in situ </w:t>
      </w:r>
      <w:r>
        <w:rPr>
          <w:sz w:val="22"/>
          <w:szCs w:val="22"/>
          <w:lang w:val="it-IT"/>
        </w:rPr>
        <w:t>hibridizacije (FISH). U ovom ispitivanju 87 % pacijenata je imalo oboljenje koje je  bilo IHC 3+ i 95% pacijenata je imalo oboljenje koje je  bilo IHC 3+ i/ili FISH pozitivno.</w:t>
      </w:r>
    </w:p>
    <w:p w14:paraId="7FA28FB9" w14:textId="77777777" w:rsidR="00B05AA9" w:rsidRDefault="00B05AA9" w:rsidP="00641EEB">
      <w:pPr>
        <w:jc w:val="both"/>
        <w:rPr>
          <w:b/>
          <w:sz w:val="22"/>
          <w:szCs w:val="22"/>
          <w:lang w:val="it-IT"/>
        </w:rPr>
      </w:pPr>
    </w:p>
    <w:p w14:paraId="1A709CAD" w14:textId="7F489FB5" w:rsidR="00B05AA9" w:rsidRPr="00E32C47" w:rsidRDefault="00B05AA9" w:rsidP="00641EEB">
      <w:pPr>
        <w:jc w:val="both"/>
        <w:rPr>
          <w:i/>
          <w:sz w:val="22"/>
          <w:szCs w:val="22"/>
          <w:lang w:val="it-IT"/>
        </w:rPr>
      </w:pPr>
      <w:r w:rsidRPr="00E32C47">
        <w:rPr>
          <w:i/>
          <w:sz w:val="22"/>
          <w:szCs w:val="22"/>
          <w:lang w:val="it-IT"/>
        </w:rPr>
        <w:t xml:space="preserve">Nedjeljno doziranje kod </w:t>
      </w:r>
      <w:r w:rsidR="00E32C47">
        <w:rPr>
          <w:i/>
          <w:sz w:val="22"/>
          <w:szCs w:val="22"/>
          <w:lang w:val="it-IT"/>
        </w:rPr>
        <w:t>metastatskog karcinoma dojke</w:t>
      </w:r>
    </w:p>
    <w:p w14:paraId="012C7327" w14:textId="2D2E45C0" w:rsidR="00B05AA9" w:rsidRDefault="00B05AA9" w:rsidP="00641EEB">
      <w:pPr>
        <w:jc w:val="both"/>
        <w:rPr>
          <w:sz w:val="22"/>
          <w:szCs w:val="22"/>
          <w:lang w:val="it-IT"/>
        </w:rPr>
      </w:pPr>
      <w:r>
        <w:rPr>
          <w:sz w:val="22"/>
          <w:szCs w:val="22"/>
          <w:lang w:val="it-IT"/>
        </w:rPr>
        <w:t xml:space="preserve">Rezultati efikasnosti ispitivanja monoterapije </w:t>
      </w:r>
      <w:r w:rsidR="00120655">
        <w:rPr>
          <w:sz w:val="22"/>
          <w:szCs w:val="22"/>
          <w:lang w:val="it-IT"/>
        </w:rPr>
        <w:t xml:space="preserve">lijekom Herceptin </w:t>
      </w:r>
      <w:r>
        <w:rPr>
          <w:sz w:val="22"/>
          <w:szCs w:val="22"/>
          <w:lang w:val="it-IT"/>
        </w:rPr>
        <w:t xml:space="preserve">i </w:t>
      </w:r>
      <w:r w:rsidR="00120655">
        <w:rPr>
          <w:sz w:val="22"/>
          <w:szCs w:val="22"/>
          <w:lang w:val="it-IT"/>
        </w:rPr>
        <w:t xml:space="preserve">njegove primjene u </w:t>
      </w:r>
      <w:r>
        <w:rPr>
          <w:sz w:val="22"/>
          <w:szCs w:val="22"/>
          <w:lang w:val="it-IT"/>
        </w:rPr>
        <w:t>kombinovan</w:t>
      </w:r>
      <w:r w:rsidR="00120655">
        <w:rPr>
          <w:sz w:val="22"/>
          <w:szCs w:val="22"/>
          <w:lang w:val="it-IT"/>
        </w:rPr>
        <w:t>oj</w:t>
      </w:r>
      <w:r>
        <w:rPr>
          <w:sz w:val="22"/>
          <w:szCs w:val="22"/>
          <w:lang w:val="it-IT"/>
        </w:rPr>
        <w:t xml:space="preserve"> terapij</w:t>
      </w:r>
      <w:r w:rsidR="00120655">
        <w:rPr>
          <w:sz w:val="22"/>
          <w:szCs w:val="22"/>
          <w:lang w:val="it-IT"/>
        </w:rPr>
        <w:t>i</w:t>
      </w:r>
      <w:r>
        <w:rPr>
          <w:sz w:val="22"/>
          <w:szCs w:val="22"/>
          <w:lang w:val="it-IT"/>
        </w:rPr>
        <w:t xml:space="preserve"> rezimirani su u Tabeli 4: </w:t>
      </w:r>
    </w:p>
    <w:p w14:paraId="214A40F6" w14:textId="77777777" w:rsidR="00B05AA9" w:rsidRDefault="00B05AA9" w:rsidP="00641EEB">
      <w:pPr>
        <w:jc w:val="both"/>
        <w:rPr>
          <w:sz w:val="22"/>
          <w:szCs w:val="22"/>
          <w:lang w:val="it-I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6"/>
        <w:gridCol w:w="1519"/>
        <w:gridCol w:w="1350"/>
        <w:gridCol w:w="1350"/>
        <w:gridCol w:w="1350"/>
        <w:gridCol w:w="1422"/>
      </w:tblGrid>
      <w:tr w:rsidR="00B05AA9" w:rsidRPr="004E1F29" w14:paraId="57558D79" w14:textId="77777777" w:rsidTr="00BA76B8">
        <w:tc>
          <w:tcPr>
            <w:tcW w:w="2076" w:type="dxa"/>
            <w:tcBorders>
              <w:top w:val="single" w:sz="4" w:space="0" w:color="auto"/>
              <w:left w:val="single" w:sz="4" w:space="0" w:color="auto"/>
              <w:bottom w:val="single" w:sz="4" w:space="0" w:color="auto"/>
              <w:right w:val="single" w:sz="4" w:space="0" w:color="auto"/>
            </w:tcBorders>
            <w:hideMark/>
          </w:tcPr>
          <w:p w14:paraId="38AAF423" w14:textId="77777777" w:rsidR="00B05AA9" w:rsidRPr="004E1F29" w:rsidRDefault="00B05AA9" w:rsidP="00BA76B8">
            <w:pPr>
              <w:tabs>
                <w:tab w:val="left" w:pos="284"/>
              </w:tabs>
              <w:rPr>
                <w:b/>
                <w:sz w:val="22"/>
                <w:szCs w:val="22"/>
                <w:lang w:val="pt-BR"/>
              </w:rPr>
            </w:pPr>
            <w:r w:rsidRPr="004E1F29">
              <w:rPr>
                <w:b/>
                <w:sz w:val="22"/>
                <w:szCs w:val="22"/>
                <w:lang w:val="pt-BR"/>
              </w:rPr>
              <w:t>PARAMETAR</w:t>
            </w:r>
          </w:p>
        </w:tc>
        <w:tc>
          <w:tcPr>
            <w:tcW w:w="1519" w:type="dxa"/>
            <w:tcBorders>
              <w:top w:val="single" w:sz="4" w:space="0" w:color="auto"/>
              <w:left w:val="single" w:sz="4" w:space="0" w:color="auto"/>
              <w:bottom w:val="single" w:sz="4" w:space="0" w:color="auto"/>
              <w:right w:val="single" w:sz="4" w:space="0" w:color="auto"/>
            </w:tcBorders>
            <w:hideMark/>
          </w:tcPr>
          <w:p w14:paraId="1164AEBC" w14:textId="77777777" w:rsidR="00B05AA9" w:rsidRPr="004E1F29" w:rsidRDefault="00B05AA9" w:rsidP="00BA76B8">
            <w:pPr>
              <w:tabs>
                <w:tab w:val="left" w:pos="284"/>
              </w:tabs>
              <w:rPr>
                <w:b/>
                <w:sz w:val="22"/>
                <w:szCs w:val="22"/>
                <w:lang w:val="pt-BR"/>
              </w:rPr>
            </w:pPr>
            <w:r w:rsidRPr="004E1F29">
              <w:rPr>
                <w:b/>
                <w:sz w:val="22"/>
                <w:szCs w:val="22"/>
                <w:lang w:val="pt-BR"/>
              </w:rPr>
              <w:t xml:space="preserve">Monoterapija </w:t>
            </w:r>
          </w:p>
        </w:tc>
        <w:tc>
          <w:tcPr>
            <w:tcW w:w="5472" w:type="dxa"/>
            <w:gridSpan w:val="4"/>
            <w:tcBorders>
              <w:top w:val="single" w:sz="4" w:space="0" w:color="auto"/>
              <w:left w:val="single" w:sz="4" w:space="0" w:color="auto"/>
              <w:bottom w:val="single" w:sz="4" w:space="0" w:color="auto"/>
              <w:right w:val="single" w:sz="4" w:space="0" w:color="auto"/>
            </w:tcBorders>
            <w:hideMark/>
          </w:tcPr>
          <w:p w14:paraId="5E900D28" w14:textId="77777777" w:rsidR="00B05AA9" w:rsidRPr="004E1F29" w:rsidRDefault="00B05AA9" w:rsidP="00BA76B8">
            <w:pPr>
              <w:tabs>
                <w:tab w:val="left" w:pos="284"/>
              </w:tabs>
              <w:rPr>
                <w:b/>
                <w:sz w:val="22"/>
                <w:szCs w:val="22"/>
                <w:lang w:val="pt-BR"/>
              </w:rPr>
            </w:pPr>
            <w:r w:rsidRPr="004E1F29">
              <w:rPr>
                <w:b/>
                <w:sz w:val="22"/>
                <w:szCs w:val="22"/>
                <w:lang w:val="pt-BR"/>
              </w:rPr>
              <w:t>Kombinovana terapija</w:t>
            </w:r>
          </w:p>
        </w:tc>
      </w:tr>
      <w:tr w:rsidR="00B05AA9" w:rsidRPr="004E1F29" w14:paraId="30B3BB21" w14:textId="77777777" w:rsidTr="00BA76B8">
        <w:tc>
          <w:tcPr>
            <w:tcW w:w="2076" w:type="dxa"/>
            <w:tcBorders>
              <w:top w:val="single" w:sz="4" w:space="0" w:color="auto"/>
              <w:left w:val="single" w:sz="4" w:space="0" w:color="auto"/>
              <w:bottom w:val="single" w:sz="4" w:space="0" w:color="auto"/>
              <w:right w:val="single" w:sz="4" w:space="0" w:color="auto"/>
            </w:tcBorders>
            <w:hideMark/>
          </w:tcPr>
          <w:p w14:paraId="082141EA" w14:textId="77777777" w:rsidR="00B05AA9" w:rsidRPr="004E1F29" w:rsidRDefault="00B05AA9" w:rsidP="00641EEB">
            <w:pPr>
              <w:rPr>
                <w:b/>
                <w:sz w:val="22"/>
                <w:szCs w:val="22"/>
                <w:lang w:val="pt-BR"/>
              </w:rPr>
            </w:pPr>
          </w:p>
        </w:tc>
        <w:tc>
          <w:tcPr>
            <w:tcW w:w="1519" w:type="dxa"/>
            <w:tcBorders>
              <w:top w:val="single" w:sz="4" w:space="0" w:color="auto"/>
              <w:left w:val="single" w:sz="4" w:space="0" w:color="auto"/>
              <w:bottom w:val="single" w:sz="4" w:space="0" w:color="auto"/>
              <w:right w:val="single" w:sz="4" w:space="0" w:color="auto"/>
            </w:tcBorders>
            <w:hideMark/>
          </w:tcPr>
          <w:p w14:paraId="7EEA5125" w14:textId="77777777" w:rsidR="00B05AA9" w:rsidRPr="004E1F29" w:rsidRDefault="00B05AA9" w:rsidP="00BA76B8">
            <w:pPr>
              <w:rPr>
                <w:b/>
                <w:sz w:val="22"/>
                <w:szCs w:val="22"/>
                <w:lang w:val="pt-BR"/>
              </w:rPr>
            </w:pPr>
            <w:r w:rsidRPr="004E1F29">
              <w:rPr>
                <w:b/>
                <w:sz w:val="22"/>
                <w:szCs w:val="22"/>
                <w:lang w:val="pt-BR"/>
              </w:rPr>
              <w:t>Herceptin</w:t>
            </w:r>
            <w:r w:rsidRPr="004E1F29">
              <w:rPr>
                <w:b/>
                <w:sz w:val="22"/>
                <w:szCs w:val="22"/>
                <w:vertAlign w:val="superscript"/>
                <w:lang w:val="pt-BR"/>
              </w:rPr>
              <w:t>1</w:t>
            </w:r>
          </w:p>
          <w:p w14:paraId="7E37FFE9" w14:textId="77777777" w:rsidR="00B05AA9" w:rsidRPr="004E1F29" w:rsidRDefault="00B05AA9" w:rsidP="00BA76B8">
            <w:pPr>
              <w:tabs>
                <w:tab w:val="left" w:pos="284"/>
              </w:tabs>
              <w:rPr>
                <w:b/>
                <w:sz w:val="22"/>
                <w:szCs w:val="22"/>
                <w:lang w:val="pt-BR"/>
              </w:rPr>
            </w:pPr>
            <w:r w:rsidRPr="004E1F29">
              <w:rPr>
                <w:b/>
                <w:sz w:val="22"/>
                <w:szCs w:val="22"/>
                <w:lang w:val="pt-BR"/>
              </w:rPr>
              <w:t>N=172</w:t>
            </w:r>
          </w:p>
        </w:tc>
        <w:tc>
          <w:tcPr>
            <w:tcW w:w="1350" w:type="dxa"/>
            <w:tcBorders>
              <w:top w:val="single" w:sz="4" w:space="0" w:color="auto"/>
              <w:left w:val="single" w:sz="4" w:space="0" w:color="auto"/>
              <w:bottom w:val="single" w:sz="4" w:space="0" w:color="auto"/>
              <w:right w:val="single" w:sz="4" w:space="0" w:color="auto"/>
            </w:tcBorders>
            <w:hideMark/>
          </w:tcPr>
          <w:p w14:paraId="45617712" w14:textId="6336B023" w:rsidR="00B05AA9" w:rsidRPr="004E1F29" w:rsidRDefault="00B05AA9" w:rsidP="00BA76B8">
            <w:pPr>
              <w:tabs>
                <w:tab w:val="left" w:pos="284"/>
              </w:tabs>
              <w:rPr>
                <w:b/>
                <w:sz w:val="22"/>
                <w:szCs w:val="22"/>
                <w:lang w:val="pt-BR"/>
              </w:rPr>
            </w:pPr>
            <w:r w:rsidRPr="004E1F29">
              <w:rPr>
                <w:b/>
                <w:sz w:val="22"/>
                <w:szCs w:val="22"/>
                <w:lang w:val="pt-BR"/>
              </w:rPr>
              <w:t xml:space="preserve">Herceptin </w:t>
            </w:r>
            <w:r w:rsidR="00407920">
              <w:rPr>
                <w:b/>
                <w:sz w:val="22"/>
                <w:szCs w:val="22"/>
                <w:lang w:val="pt-BR"/>
              </w:rPr>
              <w:t xml:space="preserve">+ </w:t>
            </w:r>
            <w:r w:rsidRPr="004E1F29">
              <w:rPr>
                <w:b/>
                <w:sz w:val="22"/>
                <w:szCs w:val="22"/>
                <w:lang w:val="pt-BR"/>
              </w:rPr>
              <w:t>paklitaksel</w:t>
            </w:r>
            <w:r w:rsidR="004E1F29">
              <w:rPr>
                <w:b/>
                <w:sz w:val="22"/>
                <w:szCs w:val="22"/>
                <w:vertAlign w:val="superscript"/>
                <w:lang w:val="pt-BR"/>
              </w:rPr>
              <w:t>2</w:t>
            </w:r>
            <w:r w:rsidRPr="004E1F29">
              <w:rPr>
                <w:b/>
                <w:sz w:val="22"/>
                <w:szCs w:val="22"/>
                <w:vertAlign w:val="superscript"/>
                <w:lang w:val="pt-BR"/>
              </w:rPr>
              <w:t xml:space="preserve"> </w:t>
            </w:r>
            <w:r w:rsidRPr="004E1F29">
              <w:rPr>
                <w:b/>
                <w:sz w:val="22"/>
                <w:szCs w:val="22"/>
                <w:lang w:val="pt-BR"/>
              </w:rPr>
              <w:t>N=68</w:t>
            </w:r>
          </w:p>
        </w:tc>
        <w:tc>
          <w:tcPr>
            <w:tcW w:w="1350" w:type="dxa"/>
            <w:tcBorders>
              <w:top w:val="single" w:sz="4" w:space="0" w:color="auto"/>
              <w:left w:val="single" w:sz="4" w:space="0" w:color="auto"/>
              <w:bottom w:val="single" w:sz="4" w:space="0" w:color="auto"/>
              <w:right w:val="single" w:sz="4" w:space="0" w:color="auto"/>
            </w:tcBorders>
            <w:hideMark/>
          </w:tcPr>
          <w:p w14:paraId="4721B6E5" w14:textId="37BDF9DD" w:rsidR="00B05AA9" w:rsidRPr="004E1F29" w:rsidRDefault="00B05AA9" w:rsidP="00BA76B8">
            <w:pPr>
              <w:rPr>
                <w:b/>
                <w:sz w:val="22"/>
                <w:szCs w:val="22"/>
                <w:lang w:val="pt-BR"/>
              </w:rPr>
            </w:pPr>
            <w:r w:rsidRPr="004E1F29">
              <w:rPr>
                <w:b/>
                <w:sz w:val="22"/>
                <w:szCs w:val="22"/>
                <w:lang w:val="pt-BR"/>
              </w:rPr>
              <w:t>Paklitaksel</w:t>
            </w:r>
            <w:r w:rsidR="004E1F29" w:rsidRPr="004E1F29">
              <w:rPr>
                <w:b/>
                <w:sz w:val="22"/>
                <w:szCs w:val="22"/>
                <w:vertAlign w:val="superscript"/>
                <w:lang w:val="pt-BR"/>
              </w:rPr>
              <w:t>2</w:t>
            </w:r>
          </w:p>
          <w:p w14:paraId="7372425C" w14:textId="77777777" w:rsidR="00B05AA9" w:rsidRPr="004E1F29" w:rsidRDefault="00B05AA9" w:rsidP="00BA76B8">
            <w:pPr>
              <w:tabs>
                <w:tab w:val="left" w:pos="284"/>
              </w:tabs>
              <w:rPr>
                <w:b/>
                <w:sz w:val="22"/>
                <w:szCs w:val="22"/>
                <w:lang w:val="pt-BR"/>
              </w:rPr>
            </w:pPr>
            <w:r w:rsidRPr="004E1F29">
              <w:rPr>
                <w:b/>
                <w:sz w:val="22"/>
                <w:szCs w:val="22"/>
                <w:lang w:val="pt-BR"/>
              </w:rPr>
              <w:t>N=77</w:t>
            </w:r>
          </w:p>
        </w:tc>
        <w:tc>
          <w:tcPr>
            <w:tcW w:w="1350" w:type="dxa"/>
            <w:tcBorders>
              <w:top w:val="single" w:sz="4" w:space="0" w:color="auto"/>
              <w:left w:val="single" w:sz="4" w:space="0" w:color="auto"/>
              <w:bottom w:val="single" w:sz="4" w:space="0" w:color="auto"/>
              <w:right w:val="single" w:sz="4" w:space="0" w:color="auto"/>
            </w:tcBorders>
            <w:hideMark/>
          </w:tcPr>
          <w:p w14:paraId="0168B518" w14:textId="4410234E" w:rsidR="00B05AA9" w:rsidRPr="004E1F29" w:rsidRDefault="00B05AA9" w:rsidP="00BA76B8">
            <w:pPr>
              <w:rPr>
                <w:b/>
                <w:sz w:val="22"/>
                <w:szCs w:val="22"/>
                <w:lang w:val="pt-BR"/>
              </w:rPr>
            </w:pPr>
            <w:r w:rsidRPr="004E1F29">
              <w:rPr>
                <w:b/>
                <w:sz w:val="22"/>
                <w:szCs w:val="22"/>
                <w:lang w:val="pt-BR"/>
              </w:rPr>
              <w:t xml:space="preserve">Herceptin </w:t>
            </w:r>
            <w:r w:rsidR="00407920">
              <w:rPr>
                <w:b/>
                <w:sz w:val="22"/>
                <w:szCs w:val="22"/>
                <w:lang w:val="pt-BR"/>
              </w:rPr>
              <w:t xml:space="preserve">+ </w:t>
            </w:r>
            <w:r w:rsidRPr="004E1F29">
              <w:rPr>
                <w:b/>
                <w:sz w:val="22"/>
                <w:szCs w:val="22"/>
                <w:lang w:val="pt-BR"/>
              </w:rPr>
              <w:t>docetaksel</w:t>
            </w:r>
            <w:r w:rsidRPr="004E1F29">
              <w:rPr>
                <w:b/>
                <w:sz w:val="22"/>
                <w:szCs w:val="22"/>
                <w:vertAlign w:val="superscript"/>
                <w:lang w:val="pt-BR"/>
              </w:rPr>
              <w:t>3</w:t>
            </w:r>
          </w:p>
          <w:p w14:paraId="28F7FBF6" w14:textId="77777777" w:rsidR="00B05AA9" w:rsidRPr="004E1F29" w:rsidRDefault="00B05AA9" w:rsidP="00BA76B8">
            <w:pPr>
              <w:tabs>
                <w:tab w:val="left" w:pos="284"/>
              </w:tabs>
              <w:rPr>
                <w:b/>
                <w:sz w:val="22"/>
                <w:szCs w:val="22"/>
                <w:lang w:val="pt-BR"/>
              </w:rPr>
            </w:pPr>
            <w:r w:rsidRPr="004E1F29">
              <w:rPr>
                <w:b/>
                <w:sz w:val="22"/>
                <w:szCs w:val="22"/>
                <w:lang w:val="pt-BR"/>
              </w:rPr>
              <w:t>N=92</w:t>
            </w:r>
          </w:p>
        </w:tc>
        <w:tc>
          <w:tcPr>
            <w:tcW w:w="1422" w:type="dxa"/>
            <w:tcBorders>
              <w:top w:val="single" w:sz="4" w:space="0" w:color="auto"/>
              <w:left w:val="single" w:sz="4" w:space="0" w:color="auto"/>
              <w:bottom w:val="single" w:sz="4" w:space="0" w:color="auto"/>
              <w:right w:val="single" w:sz="4" w:space="0" w:color="auto"/>
            </w:tcBorders>
            <w:hideMark/>
          </w:tcPr>
          <w:p w14:paraId="4C89E695" w14:textId="77777777" w:rsidR="00B05AA9" w:rsidRPr="004E1F29" w:rsidRDefault="00B05AA9" w:rsidP="00BA76B8">
            <w:pPr>
              <w:rPr>
                <w:b/>
                <w:sz w:val="22"/>
                <w:szCs w:val="22"/>
                <w:lang w:val="pt-BR"/>
              </w:rPr>
            </w:pPr>
            <w:r w:rsidRPr="004E1F29">
              <w:rPr>
                <w:b/>
                <w:sz w:val="22"/>
                <w:szCs w:val="22"/>
                <w:lang w:val="pt-BR"/>
              </w:rPr>
              <w:t>Docetaksel</w:t>
            </w:r>
            <w:r w:rsidRPr="004E1F29">
              <w:rPr>
                <w:b/>
                <w:sz w:val="22"/>
                <w:szCs w:val="22"/>
                <w:vertAlign w:val="superscript"/>
                <w:lang w:val="pt-BR"/>
              </w:rPr>
              <w:t>3</w:t>
            </w:r>
          </w:p>
          <w:p w14:paraId="615FBBC7" w14:textId="77777777" w:rsidR="00B05AA9" w:rsidRPr="004E1F29" w:rsidRDefault="00B05AA9" w:rsidP="00BA76B8">
            <w:pPr>
              <w:tabs>
                <w:tab w:val="left" w:pos="284"/>
              </w:tabs>
              <w:rPr>
                <w:b/>
                <w:sz w:val="22"/>
                <w:szCs w:val="22"/>
                <w:lang w:val="pt-BR"/>
              </w:rPr>
            </w:pPr>
            <w:r w:rsidRPr="004E1F29">
              <w:rPr>
                <w:b/>
                <w:sz w:val="22"/>
                <w:szCs w:val="22"/>
                <w:lang w:val="pt-BR"/>
              </w:rPr>
              <w:t>N=94</w:t>
            </w:r>
          </w:p>
        </w:tc>
      </w:tr>
      <w:tr w:rsidR="00B05AA9" w14:paraId="3F0F182C" w14:textId="77777777" w:rsidTr="00BA76B8">
        <w:tc>
          <w:tcPr>
            <w:tcW w:w="2076" w:type="dxa"/>
            <w:tcBorders>
              <w:top w:val="single" w:sz="4" w:space="0" w:color="auto"/>
              <w:left w:val="single" w:sz="4" w:space="0" w:color="auto"/>
              <w:bottom w:val="single" w:sz="4" w:space="0" w:color="auto"/>
              <w:right w:val="single" w:sz="4" w:space="0" w:color="auto"/>
            </w:tcBorders>
            <w:hideMark/>
          </w:tcPr>
          <w:p w14:paraId="7A1EA1CC" w14:textId="77777777" w:rsidR="00B05AA9" w:rsidRPr="004E1F29" w:rsidRDefault="00B05AA9" w:rsidP="00BA76B8">
            <w:pPr>
              <w:tabs>
                <w:tab w:val="left" w:pos="284"/>
              </w:tabs>
              <w:rPr>
                <w:b/>
                <w:sz w:val="22"/>
                <w:szCs w:val="22"/>
                <w:lang w:val="it-IT"/>
              </w:rPr>
            </w:pPr>
            <w:r w:rsidRPr="004E1F29">
              <w:rPr>
                <w:b/>
                <w:sz w:val="22"/>
                <w:szCs w:val="22"/>
                <w:lang w:val="it-IT"/>
              </w:rPr>
              <w:t xml:space="preserve">Stopa odgovora (Interval </w:t>
            </w:r>
            <w:r w:rsidRPr="004E1F29">
              <w:rPr>
                <w:b/>
                <w:sz w:val="22"/>
                <w:szCs w:val="22"/>
                <w:lang w:val="it-IT"/>
              </w:rPr>
              <w:lastRenderedPageBreak/>
              <w:t>pouzdanosti-IP- 95%)</w:t>
            </w:r>
          </w:p>
        </w:tc>
        <w:tc>
          <w:tcPr>
            <w:tcW w:w="1519" w:type="dxa"/>
            <w:tcBorders>
              <w:top w:val="single" w:sz="4" w:space="0" w:color="auto"/>
              <w:left w:val="single" w:sz="4" w:space="0" w:color="auto"/>
              <w:bottom w:val="single" w:sz="4" w:space="0" w:color="auto"/>
              <w:right w:val="single" w:sz="4" w:space="0" w:color="auto"/>
            </w:tcBorders>
            <w:hideMark/>
          </w:tcPr>
          <w:p w14:paraId="043213E3" w14:textId="4D2E0B4F" w:rsidR="00B05AA9" w:rsidRDefault="00B05AA9" w:rsidP="00BA76B8">
            <w:pPr>
              <w:rPr>
                <w:sz w:val="22"/>
                <w:szCs w:val="22"/>
                <w:lang w:val="sr-Latn-ME"/>
              </w:rPr>
            </w:pPr>
            <w:r>
              <w:rPr>
                <w:sz w:val="22"/>
                <w:szCs w:val="22"/>
              </w:rPr>
              <w:lastRenderedPageBreak/>
              <w:t>18%</w:t>
            </w:r>
          </w:p>
          <w:p w14:paraId="103199D9" w14:textId="77777777" w:rsidR="00B05AA9" w:rsidRDefault="00B05AA9" w:rsidP="00BA76B8">
            <w:pPr>
              <w:tabs>
                <w:tab w:val="left" w:pos="284"/>
              </w:tabs>
              <w:rPr>
                <w:sz w:val="22"/>
                <w:szCs w:val="22"/>
              </w:rPr>
            </w:pPr>
            <w:r>
              <w:rPr>
                <w:sz w:val="22"/>
                <w:szCs w:val="22"/>
              </w:rPr>
              <w:t>(13-25)</w:t>
            </w:r>
          </w:p>
        </w:tc>
        <w:tc>
          <w:tcPr>
            <w:tcW w:w="1350" w:type="dxa"/>
            <w:tcBorders>
              <w:top w:val="single" w:sz="4" w:space="0" w:color="auto"/>
              <w:left w:val="single" w:sz="4" w:space="0" w:color="auto"/>
              <w:bottom w:val="single" w:sz="4" w:space="0" w:color="auto"/>
              <w:right w:val="single" w:sz="4" w:space="0" w:color="auto"/>
            </w:tcBorders>
            <w:hideMark/>
          </w:tcPr>
          <w:p w14:paraId="59E7DE04" w14:textId="7A74A99E" w:rsidR="00B05AA9" w:rsidRDefault="00B05AA9" w:rsidP="00BA76B8">
            <w:pPr>
              <w:rPr>
                <w:sz w:val="22"/>
                <w:szCs w:val="22"/>
              </w:rPr>
            </w:pPr>
            <w:r>
              <w:rPr>
                <w:sz w:val="22"/>
                <w:szCs w:val="22"/>
              </w:rPr>
              <w:t>49%</w:t>
            </w:r>
          </w:p>
          <w:p w14:paraId="2F3D2488" w14:textId="77777777" w:rsidR="00B05AA9" w:rsidRDefault="00B05AA9" w:rsidP="00BA76B8">
            <w:pPr>
              <w:tabs>
                <w:tab w:val="left" w:pos="284"/>
              </w:tabs>
              <w:rPr>
                <w:sz w:val="22"/>
                <w:szCs w:val="22"/>
              </w:rPr>
            </w:pPr>
            <w:r>
              <w:rPr>
                <w:sz w:val="22"/>
                <w:szCs w:val="22"/>
              </w:rPr>
              <w:t>(36-61)</w:t>
            </w:r>
          </w:p>
        </w:tc>
        <w:tc>
          <w:tcPr>
            <w:tcW w:w="1350" w:type="dxa"/>
            <w:tcBorders>
              <w:top w:val="single" w:sz="4" w:space="0" w:color="auto"/>
              <w:left w:val="single" w:sz="4" w:space="0" w:color="auto"/>
              <w:bottom w:val="single" w:sz="4" w:space="0" w:color="auto"/>
              <w:right w:val="single" w:sz="4" w:space="0" w:color="auto"/>
            </w:tcBorders>
            <w:hideMark/>
          </w:tcPr>
          <w:p w14:paraId="57AF5085" w14:textId="689BFD05" w:rsidR="00B05AA9" w:rsidRDefault="00B05AA9" w:rsidP="00BA76B8">
            <w:pPr>
              <w:rPr>
                <w:sz w:val="22"/>
                <w:szCs w:val="22"/>
              </w:rPr>
            </w:pPr>
            <w:r>
              <w:rPr>
                <w:sz w:val="22"/>
                <w:szCs w:val="22"/>
              </w:rPr>
              <w:t>17%</w:t>
            </w:r>
          </w:p>
          <w:p w14:paraId="7BB0D35B" w14:textId="77777777" w:rsidR="00B05AA9" w:rsidRDefault="00B05AA9" w:rsidP="00BA76B8">
            <w:pPr>
              <w:tabs>
                <w:tab w:val="left" w:pos="284"/>
              </w:tabs>
              <w:rPr>
                <w:sz w:val="22"/>
                <w:szCs w:val="22"/>
              </w:rPr>
            </w:pPr>
            <w:r>
              <w:rPr>
                <w:sz w:val="22"/>
                <w:szCs w:val="22"/>
              </w:rPr>
              <w:t>(9-27)</w:t>
            </w:r>
          </w:p>
        </w:tc>
        <w:tc>
          <w:tcPr>
            <w:tcW w:w="1350" w:type="dxa"/>
            <w:tcBorders>
              <w:top w:val="single" w:sz="4" w:space="0" w:color="auto"/>
              <w:left w:val="single" w:sz="4" w:space="0" w:color="auto"/>
              <w:bottom w:val="single" w:sz="4" w:space="0" w:color="auto"/>
              <w:right w:val="single" w:sz="4" w:space="0" w:color="auto"/>
            </w:tcBorders>
            <w:hideMark/>
          </w:tcPr>
          <w:p w14:paraId="49A9507B" w14:textId="434694F0" w:rsidR="00B05AA9" w:rsidRDefault="00B05AA9" w:rsidP="00BA76B8">
            <w:pPr>
              <w:rPr>
                <w:sz w:val="22"/>
                <w:szCs w:val="22"/>
              </w:rPr>
            </w:pPr>
            <w:r>
              <w:rPr>
                <w:sz w:val="22"/>
                <w:szCs w:val="22"/>
              </w:rPr>
              <w:t>61%</w:t>
            </w:r>
          </w:p>
          <w:p w14:paraId="7F81536D" w14:textId="77777777" w:rsidR="00B05AA9" w:rsidRDefault="00B05AA9" w:rsidP="00BA76B8">
            <w:pPr>
              <w:tabs>
                <w:tab w:val="left" w:pos="284"/>
              </w:tabs>
              <w:rPr>
                <w:sz w:val="22"/>
                <w:szCs w:val="22"/>
              </w:rPr>
            </w:pPr>
            <w:r>
              <w:rPr>
                <w:sz w:val="22"/>
                <w:szCs w:val="22"/>
              </w:rPr>
              <w:t>(50-71)</w:t>
            </w:r>
          </w:p>
        </w:tc>
        <w:tc>
          <w:tcPr>
            <w:tcW w:w="1422" w:type="dxa"/>
            <w:tcBorders>
              <w:top w:val="single" w:sz="4" w:space="0" w:color="auto"/>
              <w:left w:val="single" w:sz="4" w:space="0" w:color="auto"/>
              <w:bottom w:val="single" w:sz="4" w:space="0" w:color="auto"/>
              <w:right w:val="single" w:sz="4" w:space="0" w:color="auto"/>
            </w:tcBorders>
            <w:hideMark/>
          </w:tcPr>
          <w:p w14:paraId="1F6A6726" w14:textId="05CC9927" w:rsidR="00B05AA9" w:rsidRDefault="00B05AA9" w:rsidP="00BA76B8">
            <w:pPr>
              <w:rPr>
                <w:sz w:val="22"/>
                <w:szCs w:val="22"/>
              </w:rPr>
            </w:pPr>
            <w:r>
              <w:rPr>
                <w:sz w:val="22"/>
                <w:szCs w:val="22"/>
              </w:rPr>
              <w:t>34%</w:t>
            </w:r>
          </w:p>
          <w:p w14:paraId="5003DBAB" w14:textId="77777777" w:rsidR="00B05AA9" w:rsidRDefault="00B05AA9" w:rsidP="00BA76B8">
            <w:pPr>
              <w:tabs>
                <w:tab w:val="left" w:pos="284"/>
              </w:tabs>
              <w:rPr>
                <w:sz w:val="22"/>
                <w:szCs w:val="22"/>
              </w:rPr>
            </w:pPr>
            <w:r>
              <w:rPr>
                <w:sz w:val="22"/>
                <w:szCs w:val="22"/>
              </w:rPr>
              <w:t>(25-45)</w:t>
            </w:r>
          </w:p>
        </w:tc>
      </w:tr>
      <w:tr w:rsidR="00B05AA9" w14:paraId="3CDCFC89" w14:textId="77777777" w:rsidTr="00BA76B8">
        <w:tc>
          <w:tcPr>
            <w:tcW w:w="2076" w:type="dxa"/>
            <w:tcBorders>
              <w:top w:val="single" w:sz="4" w:space="0" w:color="auto"/>
              <w:left w:val="single" w:sz="4" w:space="0" w:color="auto"/>
              <w:bottom w:val="single" w:sz="4" w:space="0" w:color="auto"/>
              <w:right w:val="single" w:sz="4" w:space="0" w:color="auto"/>
            </w:tcBorders>
            <w:hideMark/>
          </w:tcPr>
          <w:p w14:paraId="411F1CC9" w14:textId="0CDFC556" w:rsidR="00B05AA9" w:rsidRPr="004E1F29" w:rsidRDefault="008F70C4" w:rsidP="00BA76B8">
            <w:pPr>
              <w:tabs>
                <w:tab w:val="left" w:pos="284"/>
              </w:tabs>
              <w:rPr>
                <w:b/>
                <w:sz w:val="22"/>
                <w:szCs w:val="22"/>
                <w:lang w:val="pl-PL"/>
              </w:rPr>
            </w:pPr>
            <w:r>
              <w:rPr>
                <w:b/>
                <w:sz w:val="22"/>
                <w:szCs w:val="22"/>
                <w:lang w:val="pl-PL"/>
              </w:rPr>
              <w:t>Medijana</w:t>
            </w:r>
            <w:r w:rsidRPr="004E1F29">
              <w:rPr>
                <w:b/>
                <w:sz w:val="22"/>
                <w:szCs w:val="22"/>
                <w:lang w:val="pl-PL"/>
              </w:rPr>
              <w:t xml:space="preserve"> </w:t>
            </w:r>
            <w:r w:rsidR="00B05AA9" w:rsidRPr="004E1F29">
              <w:rPr>
                <w:b/>
                <w:sz w:val="22"/>
                <w:szCs w:val="22"/>
                <w:lang w:val="pl-PL"/>
              </w:rPr>
              <w:t>trajanj</w:t>
            </w:r>
            <w:r>
              <w:rPr>
                <w:b/>
                <w:sz w:val="22"/>
                <w:szCs w:val="22"/>
                <w:lang w:val="pl-PL"/>
              </w:rPr>
              <w:t>a</w:t>
            </w:r>
            <w:r w:rsidR="00B05AA9" w:rsidRPr="004E1F29">
              <w:rPr>
                <w:b/>
                <w:sz w:val="22"/>
                <w:szCs w:val="22"/>
                <w:lang w:val="pl-PL"/>
              </w:rPr>
              <w:t xml:space="preserve"> odgovora (u mjesecima)(IP 95%)</w:t>
            </w:r>
          </w:p>
        </w:tc>
        <w:tc>
          <w:tcPr>
            <w:tcW w:w="1519" w:type="dxa"/>
            <w:tcBorders>
              <w:top w:val="single" w:sz="4" w:space="0" w:color="auto"/>
              <w:left w:val="single" w:sz="4" w:space="0" w:color="auto"/>
              <w:bottom w:val="single" w:sz="4" w:space="0" w:color="auto"/>
              <w:right w:val="single" w:sz="4" w:space="0" w:color="auto"/>
            </w:tcBorders>
            <w:hideMark/>
          </w:tcPr>
          <w:p w14:paraId="61A02BD3" w14:textId="151C181B" w:rsidR="00B05AA9" w:rsidRDefault="00B05AA9" w:rsidP="00BA76B8">
            <w:pPr>
              <w:rPr>
                <w:sz w:val="22"/>
                <w:szCs w:val="22"/>
                <w:lang w:val="sr-Latn-ME"/>
              </w:rPr>
            </w:pPr>
            <w:r>
              <w:rPr>
                <w:sz w:val="22"/>
                <w:szCs w:val="22"/>
              </w:rPr>
              <w:t>9,1</w:t>
            </w:r>
          </w:p>
          <w:p w14:paraId="58BE3191" w14:textId="77777777" w:rsidR="00B05AA9" w:rsidRDefault="00B05AA9" w:rsidP="00BA76B8">
            <w:pPr>
              <w:tabs>
                <w:tab w:val="left" w:pos="284"/>
              </w:tabs>
              <w:rPr>
                <w:sz w:val="22"/>
                <w:szCs w:val="22"/>
              </w:rPr>
            </w:pPr>
            <w:r>
              <w:rPr>
                <w:sz w:val="22"/>
                <w:szCs w:val="22"/>
              </w:rPr>
              <w:t>(5,6-10,3)</w:t>
            </w:r>
          </w:p>
        </w:tc>
        <w:tc>
          <w:tcPr>
            <w:tcW w:w="1350" w:type="dxa"/>
            <w:tcBorders>
              <w:top w:val="single" w:sz="4" w:space="0" w:color="auto"/>
              <w:left w:val="single" w:sz="4" w:space="0" w:color="auto"/>
              <w:bottom w:val="single" w:sz="4" w:space="0" w:color="auto"/>
              <w:right w:val="single" w:sz="4" w:space="0" w:color="auto"/>
            </w:tcBorders>
            <w:hideMark/>
          </w:tcPr>
          <w:p w14:paraId="13806171" w14:textId="77777777" w:rsidR="00B05AA9" w:rsidRDefault="00B05AA9" w:rsidP="00BA76B8">
            <w:pPr>
              <w:rPr>
                <w:sz w:val="22"/>
                <w:szCs w:val="22"/>
              </w:rPr>
            </w:pPr>
            <w:r>
              <w:rPr>
                <w:sz w:val="22"/>
                <w:szCs w:val="22"/>
              </w:rPr>
              <w:t>8,3</w:t>
            </w:r>
          </w:p>
          <w:p w14:paraId="3F26F6C1" w14:textId="77777777" w:rsidR="00B05AA9" w:rsidRDefault="00B05AA9" w:rsidP="00BA76B8">
            <w:pPr>
              <w:tabs>
                <w:tab w:val="left" w:pos="284"/>
              </w:tabs>
              <w:rPr>
                <w:sz w:val="22"/>
                <w:szCs w:val="22"/>
              </w:rPr>
            </w:pPr>
            <w:r>
              <w:rPr>
                <w:sz w:val="22"/>
                <w:szCs w:val="22"/>
              </w:rPr>
              <w:t>(7,3-8,8)</w:t>
            </w:r>
          </w:p>
        </w:tc>
        <w:tc>
          <w:tcPr>
            <w:tcW w:w="1350" w:type="dxa"/>
            <w:tcBorders>
              <w:top w:val="single" w:sz="4" w:space="0" w:color="auto"/>
              <w:left w:val="single" w:sz="4" w:space="0" w:color="auto"/>
              <w:bottom w:val="single" w:sz="4" w:space="0" w:color="auto"/>
              <w:right w:val="single" w:sz="4" w:space="0" w:color="auto"/>
            </w:tcBorders>
            <w:hideMark/>
          </w:tcPr>
          <w:p w14:paraId="54D5279F" w14:textId="77777777" w:rsidR="00B05AA9" w:rsidRDefault="00B05AA9" w:rsidP="00BA76B8">
            <w:pPr>
              <w:rPr>
                <w:sz w:val="22"/>
                <w:szCs w:val="22"/>
              </w:rPr>
            </w:pPr>
            <w:r>
              <w:rPr>
                <w:sz w:val="22"/>
                <w:szCs w:val="22"/>
              </w:rPr>
              <w:t>4,6</w:t>
            </w:r>
          </w:p>
          <w:p w14:paraId="105DF2FB" w14:textId="77777777" w:rsidR="00B05AA9" w:rsidRDefault="00B05AA9" w:rsidP="00BA76B8">
            <w:pPr>
              <w:tabs>
                <w:tab w:val="left" w:pos="284"/>
              </w:tabs>
              <w:rPr>
                <w:sz w:val="22"/>
                <w:szCs w:val="22"/>
              </w:rPr>
            </w:pPr>
            <w:r>
              <w:rPr>
                <w:sz w:val="22"/>
                <w:szCs w:val="22"/>
              </w:rPr>
              <w:t>(3,7-7,4)</w:t>
            </w:r>
          </w:p>
        </w:tc>
        <w:tc>
          <w:tcPr>
            <w:tcW w:w="1350" w:type="dxa"/>
            <w:tcBorders>
              <w:top w:val="single" w:sz="4" w:space="0" w:color="auto"/>
              <w:left w:val="single" w:sz="4" w:space="0" w:color="auto"/>
              <w:bottom w:val="single" w:sz="4" w:space="0" w:color="auto"/>
              <w:right w:val="single" w:sz="4" w:space="0" w:color="auto"/>
            </w:tcBorders>
            <w:hideMark/>
          </w:tcPr>
          <w:p w14:paraId="7F3F3017" w14:textId="77777777" w:rsidR="00B05AA9" w:rsidRDefault="00B05AA9" w:rsidP="00BA76B8">
            <w:pPr>
              <w:rPr>
                <w:sz w:val="22"/>
                <w:szCs w:val="22"/>
              </w:rPr>
            </w:pPr>
            <w:r>
              <w:rPr>
                <w:sz w:val="22"/>
                <w:szCs w:val="22"/>
              </w:rPr>
              <w:t>11,7</w:t>
            </w:r>
          </w:p>
          <w:p w14:paraId="3624E94D" w14:textId="77777777" w:rsidR="00B05AA9" w:rsidRDefault="00B05AA9" w:rsidP="00BA76B8">
            <w:pPr>
              <w:tabs>
                <w:tab w:val="left" w:pos="284"/>
              </w:tabs>
              <w:rPr>
                <w:sz w:val="22"/>
                <w:szCs w:val="22"/>
              </w:rPr>
            </w:pPr>
            <w:r>
              <w:rPr>
                <w:sz w:val="22"/>
                <w:szCs w:val="22"/>
              </w:rPr>
              <w:t>(9,3-15,0)</w:t>
            </w:r>
          </w:p>
        </w:tc>
        <w:tc>
          <w:tcPr>
            <w:tcW w:w="1422" w:type="dxa"/>
            <w:tcBorders>
              <w:top w:val="single" w:sz="4" w:space="0" w:color="auto"/>
              <w:left w:val="single" w:sz="4" w:space="0" w:color="auto"/>
              <w:bottom w:val="single" w:sz="4" w:space="0" w:color="auto"/>
              <w:right w:val="single" w:sz="4" w:space="0" w:color="auto"/>
            </w:tcBorders>
            <w:hideMark/>
          </w:tcPr>
          <w:p w14:paraId="41170E0F" w14:textId="77777777" w:rsidR="00B05AA9" w:rsidRDefault="00B05AA9" w:rsidP="00BA76B8">
            <w:pPr>
              <w:rPr>
                <w:sz w:val="22"/>
                <w:szCs w:val="22"/>
              </w:rPr>
            </w:pPr>
            <w:r>
              <w:rPr>
                <w:sz w:val="22"/>
                <w:szCs w:val="22"/>
              </w:rPr>
              <w:t>5,7</w:t>
            </w:r>
          </w:p>
          <w:p w14:paraId="2C831C2F" w14:textId="77777777" w:rsidR="00B05AA9" w:rsidRDefault="00B05AA9" w:rsidP="00BA76B8">
            <w:pPr>
              <w:tabs>
                <w:tab w:val="left" w:pos="284"/>
              </w:tabs>
              <w:rPr>
                <w:sz w:val="22"/>
                <w:szCs w:val="22"/>
              </w:rPr>
            </w:pPr>
            <w:r>
              <w:rPr>
                <w:sz w:val="22"/>
                <w:szCs w:val="22"/>
              </w:rPr>
              <w:t>(4,6-7,6)</w:t>
            </w:r>
          </w:p>
        </w:tc>
      </w:tr>
      <w:tr w:rsidR="00B05AA9" w14:paraId="04910D54" w14:textId="77777777" w:rsidTr="00BA76B8">
        <w:tc>
          <w:tcPr>
            <w:tcW w:w="2076" w:type="dxa"/>
            <w:tcBorders>
              <w:top w:val="single" w:sz="4" w:space="0" w:color="auto"/>
              <w:left w:val="single" w:sz="4" w:space="0" w:color="auto"/>
              <w:bottom w:val="single" w:sz="4" w:space="0" w:color="auto"/>
              <w:right w:val="single" w:sz="4" w:space="0" w:color="auto"/>
            </w:tcBorders>
            <w:hideMark/>
          </w:tcPr>
          <w:p w14:paraId="04D0D5DC" w14:textId="7FA22EC2" w:rsidR="00B05AA9" w:rsidRPr="004E1F29" w:rsidRDefault="008F70C4" w:rsidP="00BA76B8">
            <w:pPr>
              <w:tabs>
                <w:tab w:val="left" w:pos="284"/>
              </w:tabs>
              <w:rPr>
                <w:b/>
                <w:sz w:val="22"/>
                <w:szCs w:val="22"/>
                <w:lang w:val="pt-BR"/>
              </w:rPr>
            </w:pPr>
            <w:r>
              <w:rPr>
                <w:b/>
                <w:sz w:val="22"/>
                <w:szCs w:val="22"/>
                <w:lang w:val="pt-BR"/>
              </w:rPr>
              <w:t>Medijana</w:t>
            </w:r>
            <w:r w:rsidR="00B05AA9" w:rsidRPr="004E1F29">
              <w:rPr>
                <w:b/>
                <w:sz w:val="22"/>
                <w:szCs w:val="22"/>
                <w:lang w:val="pt-BR"/>
              </w:rPr>
              <w:t xml:space="preserve"> do progresije bolesti (u mjesecima)(IP 95%)</w:t>
            </w:r>
          </w:p>
        </w:tc>
        <w:tc>
          <w:tcPr>
            <w:tcW w:w="1519" w:type="dxa"/>
            <w:tcBorders>
              <w:top w:val="single" w:sz="4" w:space="0" w:color="auto"/>
              <w:left w:val="single" w:sz="4" w:space="0" w:color="auto"/>
              <w:bottom w:val="single" w:sz="4" w:space="0" w:color="auto"/>
              <w:right w:val="single" w:sz="4" w:space="0" w:color="auto"/>
            </w:tcBorders>
            <w:hideMark/>
          </w:tcPr>
          <w:p w14:paraId="5AA91457" w14:textId="77777777" w:rsidR="00B05AA9" w:rsidRDefault="00B05AA9" w:rsidP="00BA76B8">
            <w:pPr>
              <w:rPr>
                <w:sz w:val="22"/>
                <w:szCs w:val="22"/>
                <w:lang w:val="pt-BR"/>
              </w:rPr>
            </w:pPr>
            <w:r>
              <w:rPr>
                <w:sz w:val="22"/>
                <w:szCs w:val="22"/>
                <w:lang w:val="pt-BR"/>
              </w:rPr>
              <w:t>3,2</w:t>
            </w:r>
          </w:p>
          <w:p w14:paraId="237E2905" w14:textId="77777777" w:rsidR="00B05AA9" w:rsidRDefault="00B05AA9" w:rsidP="00BA76B8">
            <w:pPr>
              <w:tabs>
                <w:tab w:val="left" w:pos="284"/>
              </w:tabs>
              <w:rPr>
                <w:sz w:val="22"/>
                <w:szCs w:val="22"/>
                <w:lang w:val="pt-BR"/>
              </w:rPr>
            </w:pPr>
            <w:r>
              <w:rPr>
                <w:sz w:val="22"/>
                <w:szCs w:val="22"/>
                <w:lang w:val="pt-BR"/>
              </w:rPr>
              <w:t>(2,6-3,5)</w:t>
            </w:r>
          </w:p>
        </w:tc>
        <w:tc>
          <w:tcPr>
            <w:tcW w:w="1350" w:type="dxa"/>
            <w:tcBorders>
              <w:top w:val="single" w:sz="4" w:space="0" w:color="auto"/>
              <w:left w:val="single" w:sz="4" w:space="0" w:color="auto"/>
              <w:bottom w:val="single" w:sz="4" w:space="0" w:color="auto"/>
              <w:right w:val="single" w:sz="4" w:space="0" w:color="auto"/>
            </w:tcBorders>
            <w:hideMark/>
          </w:tcPr>
          <w:p w14:paraId="39F86F5F" w14:textId="77777777" w:rsidR="00B05AA9" w:rsidRDefault="00B05AA9" w:rsidP="00BA76B8">
            <w:pPr>
              <w:rPr>
                <w:sz w:val="22"/>
                <w:szCs w:val="22"/>
                <w:lang w:val="pt-BR"/>
              </w:rPr>
            </w:pPr>
            <w:r>
              <w:rPr>
                <w:sz w:val="22"/>
                <w:szCs w:val="22"/>
                <w:lang w:val="pt-BR"/>
              </w:rPr>
              <w:t>7,1</w:t>
            </w:r>
          </w:p>
          <w:p w14:paraId="0AD55F17" w14:textId="77777777" w:rsidR="00B05AA9" w:rsidRDefault="00B05AA9" w:rsidP="00BA76B8">
            <w:pPr>
              <w:tabs>
                <w:tab w:val="left" w:pos="284"/>
              </w:tabs>
              <w:rPr>
                <w:sz w:val="22"/>
                <w:szCs w:val="22"/>
                <w:lang w:val="pt-BR"/>
              </w:rPr>
            </w:pPr>
            <w:r>
              <w:rPr>
                <w:sz w:val="22"/>
                <w:szCs w:val="22"/>
                <w:lang w:val="pt-BR"/>
              </w:rPr>
              <w:t>(6,2-12,0)</w:t>
            </w:r>
          </w:p>
        </w:tc>
        <w:tc>
          <w:tcPr>
            <w:tcW w:w="1350" w:type="dxa"/>
            <w:tcBorders>
              <w:top w:val="single" w:sz="4" w:space="0" w:color="auto"/>
              <w:left w:val="single" w:sz="4" w:space="0" w:color="auto"/>
              <w:bottom w:val="single" w:sz="4" w:space="0" w:color="auto"/>
              <w:right w:val="single" w:sz="4" w:space="0" w:color="auto"/>
            </w:tcBorders>
            <w:hideMark/>
          </w:tcPr>
          <w:p w14:paraId="36ADA516" w14:textId="77777777" w:rsidR="00B05AA9" w:rsidRDefault="00B05AA9" w:rsidP="00BA76B8">
            <w:pPr>
              <w:rPr>
                <w:sz w:val="22"/>
                <w:szCs w:val="22"/>
                <w:lang w:val="pt-BR"/>
              </w:rPr>
            </w:pPr>
            <w:r>
              <w:rPr>
                <w:sz w:val="22"/>
                <w:szCs w:val="22"/>
                <w:lang w:val="pt-BR"/>
              </w:rPr>
              <w:t>3,0</w:t>
            </w:r>
          </w:p>
          <w:p w14:paraId="3EA30B84" w14:textId="77777777" w:rsidR="00B05AA9" w:rsidRDefault="00B05AA9" w:rsidP="00BA76B8">
            <w:pPr>
              <w:tabs>
                <w:tab w:val="left" w:pos="284"/>
              </w:tabs>
              <w:rPr>
                <w:sz w:val="22"/>
                <w:szCs w:val="22"/>
                <w:lang w:val="pt-BR"/>
              </w:rPr>
            </w:pPr>
            <w:r>
              <w:rPr>
                <w:sz w:val="22"/>
                <w:szCs w:val="22"/>
                <w:lang w:val="pt-BR"/>
              </w:rPr>
              <w:t>(2,0-4,4)</w:t>
            </w:r>
          </w:p>
        </w:tc>
        <w:tc>
          <w:tcPr>
            <w:tcW w:w="1350" w:type="dxa"/>
            <w:tcBorders>
              <w:top w:val="single" w:sz="4" w:space="0" w:color="auto"/>
              <w:left w:val="single" w:sz="4" w:space="0" w:color="auto"/>
              <w:bottom w:val="single" w:sz="4" w:space="0" w:color="auto"/>
              <w:right w:val="single" w:sz="4" w:space="0" w:color="auto"/>
            </w:tcBorders>
            <w:hideMark/>
          </w:tcPr>
          <w:p w14:paraId="0FFDAE95" w14:textId="77777777" w:rsidR="00B05AA9" w:rsidRDefault="00B05AA9" w:rsidP="00BA76B8">
            <w:pPr>
              <w:rPr>
                <w:sz w:val="22"/>
                <w:szCs w:val="22"/>
                <w:lang w:val="pt-BR"/>
              </w:rPr>
            </w:pPr>
            <w:r>
              <w:rPr>
                <w:sz w:val="22"/>
                <w:szCs w:val="22"/>
                <w:lang w:val="pt-BR"/>
              </w:rPr>
              <w:t>11.7</w:t>
            </w:r>
          </w:p>
          <w:p w14:paraId="121F45A0" w14:textId="77777777" w:rsidR="00B05AA9" w:rsidRDefault="00B05AA9" w:rsidP="00BA76B8">
            <w:pPr>
              <w:tabs>
                <w:tab w:val="left" w:pos="284"/>
              </w:tabs>
              <w:rPr>
                <w:sz w:val="22"/>
                <w:szCs w:val="22"/>
                <w:lang w:val="pt-BR"/>
              </w:rPr>
            </w:pPr>
            <w:r>
              <w:rPr>
                <w:sz w:val="22"/>
                <w:szCs w:val="22"/>
                <w:lang w:val="pt-BR"/>
              </w:rPr>
              <w:t>(9,2/13,5)</w:t>
            </w:r>
          </w:p>
        </w:tc>
        <w:tc>
          <w:tcPr>
            <w:tcW w:w="1422" w:type="dxa"/>
            <w:tcBorders>
              <w:top w:val="single" w:sz="4" w:space="0" w:color="auto"/>
              <w:left w:val="single" w:sz="4" w:space="0" w:color="auto"/>
              <w:bottom w:val="single" w:sz="4" w:space="0" w:color="auto"/>
              <w:right w:val="single" w:sz="4" w:space="0" w:color="auto"/>
            </w:tcBorders>
            <w:hideMark/>
          </w:tcPr>
          <w:p w14:paraId="54BEC724" w14:textId="77777777" w:rsidR="00B05AA9" w:rsidRDefault="00B05AA9" w:rsidP="00BA76B8">
            <w:pPr>
              <w:rPr>
                <w:sz w:val="22"/>
                <w:szCs w:val="22"/>
                <w:lang w:val="pt-BR"/>
              </w:rPr>
            </w:pPr>
            <w:r>
              <w:rPr>
                <w:sz w:val="22"/>
                <w:szCs w:val="22"/>
                <w:lang w:val="pt-BR"/>
              </w:rPr>
              <w:t>6,1</w:t>
            </w:r>
          </w:p>
          <w:p w14:paraId="35EA9CE0" w14:textId="77777777" w:rsidR="00B05AA9" w:rsidRDefault="00B05AA9" w:rsidP="00BA76B8">
            <w:pPr>
              <w:tabs>
                <w:tab w:val="left" w:pos="284"/>
              </w:tabs>
              <w:rPr>
                <w:sz w:val="22"/>
                <w:szCs w:val="22"/>
                <w:lang w:val="pt-BR"/>
              </w:rPr>
            </w:pPr>
            <w:r>
              <w:rPr>
                <w:sz w:val="22"/>
                <w:szCs w:val="22"/>
                <w:lang w:val="pt-BR"/>
              </w:rPr>
              <w:t>(5,4-7,2)</w:t>
            </w:r>
          </w:p>
        </w:tc>
      </w:tr>
      <w:tr w:rsidR="00B05AA9" w14:paraId="38545B56" w14:textId="77777777" w:rsidTr="00BA76B8">
        <w:tc>
          <w:tcPr>
            <w:tcW w:w="2076" w:type="dxa"/>
            <w:tcBorders>
              <w:top w:val="single" w:sz="4" w:space="0" w:color="auto"/>
              <w:left w:val="single" w:sz="4" w:space="0" w:color="auto"/>
              <w:bottom w:val="single" w:sz="4" w:space="0" w:color="auto"/>
              <w:right w:val="single" w:sz="4" w:space="0" w:color="auto"/>
            </w:tcBorders>
            <w:hideMark/>
          </w:tcPr>
          <w:p w14:paraId="4BB8FBB9" w14:textId="0BE8C35D" w:rsidR="00B05AA9" w:rsidRPr="004E1F29" w:rsidRDefault="008F70C4" w:rsidP="00BA76B8">
            <w:pPr>
              <w:tabs>
                <w:tab w:val="left" w:pos="284"/>
              </w:tabs>
              <w:rPr>
                <w:b/>
                <w:sz w:val="22"/>
                <w:szCs w:val="22"/>
                <w:lang w:val="sr-Latn-ME"/>
              </w:rPr>
            </w:pPr>
            <w:r>
              <w:rPr>
                <w:b/>
                <w:sz w:val="22"/>
                <w:szCs w:val="22"/>
              </w:rPr>
              <w:t>Medijana</w:t>
            </w:r>
            <w:r w:rsidR="00B05AA9" w:rsidRPr="004E1F29">
              <w:rPr>
                <w:b/>
                <w:sz w:val="22"/>
                <w:szCs w:val="22"/>
              </w:rPr>
              <w:t xml:space="preserve"> preživljavanja (u mjesecima) (IP 95%) </w:t>
            </w:r>
          </w:p>
        </w:tc>
        <w:tc>
          <w:tcPr>
            <w:tcW w:w="1519" w:type="dxa"/>
            <w:tcBorders>
              <w:top w:val="single" w:sz="4" w:space="0" w:color="auto"/>
              <w:left w:val="single" w:sz="4" w:space="0" w:color="auto"/>
              <w:bottom w:val="single" w:sz="4" w:space="0" w:color="auto"/>
              <w:right w:val="single" w:sz="4" w:space="0" w:color="auto"/>
            </w:tcBorders>
            <w:hideMark/>
          </w:tcPr>
          <w:p w14:paraId="129DC87E" w14:textId="77777777" w:rsidR="00B05AA9" w:rsidRDefault="00B05AA9" w:rsidP="00BA76B8">
            <w:pPr>
              <w:rPr>
                <w:sz w:val="22"/>
                <w:szCs w:val="22"/>
                <w:lang w:val="it-IT"/>
              </w:rPr>
            </w:pPr>
            <w:r>
              <w:rPr>
                <w:sz w:val="22"/>
                <w:szCs w:val="22"/>
                <w:lang w:val="it-IT"/>
              </w:rPr>
              <w:t>16,4</w:t>
            </w:r>
          </w:p>
          <w:p w14:paraId="4A214CE9" w14:textId="77777777" w:rsidR="00B05AA9" w:rsidRDefault="00B05AA9" w:rsidP="00BA76B8">
            <w:pPr>
              <w:tabs>
                <w:tab w:val="left" w:pos="284"/>
              </w:tabs>
              <w:rPr>
                <w:sz w:val="22"/>
                <w:szCs w:val="22"/>
                <w:lang w:val="it-IT"/>
              </w:rPr>
            </w:pPr>
            <w:r>
              <w:rPr>
                <w:sz w:val="22"/>
                <w:szCs w:val="22"/>
                <w:lang w:val="it-IT"/>
              </w:rPr>
              <w:t>(12,3-ne*)</w:t>
            </w:r>
          </w:p>
        </w:tc>
        <w:tc>
          <w:tcPr>
            <w:tcW w:w="1350" w:type="dxa"/>
            <w:tcBorders>
              <w:top w:val="single" w:sz="4" w:space="0" w:color="auto"/>
              <w:left w:val="single" w:sz="4" w:space="0" w:color="auto"/>
              <w:bottom w:val="single" w:sz="4" w:space="0" w:color="auto"/>
              <w:right w:val="single" w:sz="4" w:space="0" w:color="auto"/>
            </w:tcBorders>
            <w:hideMark/>
          </w:tcPr>
          <w:p w14:paraId="7A9056E4" w14:textId="77777777" w:rsidR="00B05AA9" w:rsidRDefault="00B05AA9" w:rsidP="00BA76B8">
            <w:pPr>
              <w:rPr>
                <w:sz w:val="22"/>
                <w:szCs w:val="22"/>
                <w:lang w:val="it-IT"/>
              </w:rPr>
            </w:pPr>
            <w:r>
              <w:rPr>
                <w:sz w:val="22"/>
                <w:szCs w:val="22"/>
                <w:lang w:val="it-IT"/>
              </w:rPr>
              <w:t>24,8</w:t>
            </w:r>
          </w:p>
          <w:p w14:paraId="0E625747" w14:textId="77777777" w:rsidR="00B05AA9" w:rsidRDefault="00B05AA9" w:rsidP="00BA76B8">
            <w:pPr>
              <w:tabs>
                <w:tab w:val="left" w:pos="284"/>
              </w:tabs>
              <w:rPr>
                <w:sz w:val="22"/>
                <w:szCs w:val="22"/>
                <w:lang w:val="it-IT"/>
              </w:rPr>
            </w:pPr>
            <w:r>
              <w:rPr>
                <w:sz w:val="22"/>
                <w:szCs w:val="22"/>
                <w:lang w:val="it-IT"/>
              </w:rPr>
              <w:t>(18,6-33,7)</w:t>
            </w:r>
          </w:p>
        </w:tc>
        <w:tc>
          <w:tcPr>
            <w:tcW w:w="1350" w:type="dxa"/>
            <w:tcBorders>
              <w:top w:val="single" w:sz="4" w:space="0" w:color="auto"/>
              <w:left w:val="single" w:sz="4" w:space="0" w:color="auto"/>
              <w:bottom w:val="single" w:sz="4" w:space="0" w:color="auto"/>
              <w:right w:val="single" w:sz="4" w:space="0" w:color="auto"/>
            </w:tcBorders>
            <w:hideMark/>
          </w:tcPr>
          <w:p w14:paraId="6DBAE860" w14:textId="77777777" w:rsidR="00B05AA9" w:rsidRDefault="00B05AA9" w:rsidP="00BA76B8">
            <w:pPr>
              <w:rPr>
                <w:sz w:val="22"/>
                <w:szCs w:val="22"/>
                <w:lang w:val="it-IT"/>
              </w:rPr>
            </w:pPr>
            <w:r>
              <w:rPr>
                <w:sz w:val="22"/>
                <w:szCs w:val="22"/>
                <w:lang w:val="it-IT"/>
              </w:rPr>
              <w:t>17,9</w:t>
            </w:r>
          </w:p>
          <w:p w14:paraId="3671A3CF" w14:textId="77777777" w:rsidR="00B05AA9" w:rsidRDefault="00B05AA9" w:rsidP="00BA76B8">
            <w:pPr>
              <w:tabs>
                <w:tab w:val="left" w:pos="284"/>
              </w:tabs>
              <w:rPr>
                <w:sz w:val="22"/>
                <w:szCs w:val="22"/>
                <w:lang w:val="it-IT"/>
              </w:rPr>
            </w:pPr>
            <w:r>
              <w:rPr>
                <w:sz w:val="22"/>
                <w:szCs w:val="22"/>
                <w:lang w:val="it-IT"/>
              </w:rPr>
              <w:t>(11,2-23,8)</w:t>
            </w:r>
          </w:p>
        </w:tc>
        <w:tc>
          <w:tcPr>
            <w:tcW w:w="1350" w:type="dxa"/>
            <w:tcBorders>
              <w:top w:val="single" w:sz="4" w:space="0" w:color="auto"/>
              <w:left w:val="single" w:sz="4" w:space="0" w:color="auto"/>
              <w:bottom w:val="single" w:sz="4" w:space="0" w:color="auto"/>
              <w:right w:val="single" w:sz="4" w:space="0" w:color="auto"/>
            </w:tcBorders>
            <w:hideMark/>
          </w:tcPr>
          <w:p w14:paraId="40A61CA2" w14:textId="77777777" w:rsidR="00B05AA9" w:rsidRDefault="00B05AA9" w:rsidP="00BA76B8">
            <w:pPr>
              <w:rPr>
                <w:sz w:val="22"/>
                <w:szCs w:val="22"/>
                <w:lang w:val="it-IT"/>
              </w:rPr>
            </w:pPr>
            <w:r>
              <w:rPr>
                <w:sz w:val="22"/>
                <w:szCs w:val="22"/>
                <w:lang w:val="it-IT"/>
              </w:rPr>
              <w:t>31,2</w:t>
            </w:r>
          </w:p>
          <w:p w14:paraId="3FA543ED" w14:textId="77777777" w:rsidR="00B05AA9" w:rsidRDefault="00B05AA9" w:rsidP="00BA76B8">
            <w:pPr>
              <w:tabs>
                <w:tab w:val="left" w:pos="284"/>
              </w:tabs>
              <w:rPr>
                <w:sz w:val="22"/>
                <w:szCs w:val="22"/>
                <w:lang w:val="it-IT"/>
              </w:rPr>
            </w:pPr>
            <w:r>
              <w:rPr>
                <w:sz w:val="22"/>
                <w:szCs w:val="22"/>
                <w:lang w:val="it-IT"/>
              </w:rPr>
              <w:t>(27,3/40,8)</w:t>
            </w:r>
          </w:p>
        </w:tc>
        <w:tc>
          <w:tcPr>
            <w:tcW w:w="1422" w:type="dxa"/>
            <w:tcBorders>
              <w:top w:val="single" w:sz="4" w:space="0" w:color="auto"/>
              <w:left w:val="single" w:sz="4" w:space="0" w:color="auto"/>
              <w:bottom w:val="single" w:sz="4" w:space="0" w:color="auto"/>
              <w:right w:val="single" w:sz="4" w:space="0" w:color="auto"/>
            </w:tcBorders>
            <w:hideMark/>
          </w:tcPr>
          <w:p w14:paraId="422BA31B" w14:textId="77777777" w:rsidR="00B05AA9" w:rsidRDefault="00B05AA9" w:rsidP="00BA76B8">
            <w:pPr>
              <w:rPr>
                <w:sz w:val="22"/>
                <w:szCs w:val="22"/>
                <w:lang w:val="it-IT"/>
              </w:rPr>
            </w:pPr>
            <w:r>
              <w:rPr>
                <w:sz w:val="22"/>
                <w:szCs w:val="22"/>
                <w:lang w:val="it-IT"/>
              </w:rPr>
              <w:t>22,74</w:t>
            </w:r>
          </w:p>
          <w:p w14:paraId="1F1D0BA4" w14:textId="77777777" w:rsidR="00B05AA9" w:rsidRDefault="00B05AA9" w:rsidP="00BA76B8">
            <w:pPr>
              <w:tabs>
                <w:tab w:val="left" w:pos="284"/>
              </w:tabs>
              <w:rPr>
                <w:sz w:val="22"/>
                <w:szCs w:val="22"/>
                <w:lang w:val="it-IT"/>
              </w:rPr>
            </w:pPr>
            <w:r>
              <w:rPr>
                <w:sz w:val="22"/>
                <w:szCs w:val="22"/>
                <w:lang w:val="it-IT"/>
              </w:rPr>
              <w:t>(19,1/30,8)</w:t>
            </w:r>
          </w:p>
        </w:tc>
      </w:tr>
    </w:tbl>
    <w:p w14:paraId="1740B408" w14:textId="7B9B7610" w:rsidR="00B05AA9" w:rsidRPr="009D4A69" w:rsidRDefault="00B05AA9" w:rsidP="00641EEB">
      <w:pPr>
        <w:jc w:val="both"/>
        <w:rPr>
          <w:sz w:val="20"/>
          <w:szCs w:val="20"/>
          <w:lang w:val="it-IT"/>
        </w:rPr>
      </w:pPr>
      <w:r w:rsidRPr="009D4A69">
        <w:rPr>
          <w:sz w:val="20"/>
          <w:szCs w:val="20"/>
          <w:lang w:val="it-IT"/>
        </w:rPr>
        <w:t>ne* označava da se ili nije moglo procijeniti ili da nije još dostignuto</w:t>
      </w:r>
    </w:p>
    <w:p w14:paraId="28475CD1" w14:textId="160D3542" w:rsidR="00B05AA9" w:rsidRPr="009D4A69" w:rsidRDefault="00B05AA9" w:rsidP="00641EEB">
      <w:pPr>
        <w:numPr>
          <w:ilvl w:val="1"/>
          <w:numId w:val="15"/>
        </w:numPr>
        <w:jc w:val="both"/>
        <w:rPr>
          <w:sz w:val="20"/>
          <w:szCs w:val="20"/>
          <w:lang w:val="it-IT"/>
        </w:rPr>
      </w:pPr>
      <w:r w:rsidRPr="009D4A69">
        <w:rPr>
          <w:sz w:val="20"/>
          <w:szCs w:val="20"/>
          <w:lang w:val="it-IT"/>
        </w:rPr>
        <w:t xml:space="preserve">Studija H0649g: podgrupa </w:t>
      </w:r>
      <w:r w:rsidR="008F70C4">
        <w:rPr>
          <w:sz w:val="20"/>
          <w:szCs w:val="20"/>
          <w:lang w:val="it-IT"/>
        </w:rPr>
        <w:t>pacijentkinja</w:t>
      </w:r>
      <w:r w:rsidR="008F70C4" w:rsidRPr="009D4A69">
        <w:rPr>
          <w:sz w:val="20"/>
          <w:szCs w:val="20"/>
          <w:lang w:val="it-IT"/>
        </w:rPr>
        <w:t xml:space="preserve"> </w:t>
      </w:r>
      <w:r w:rsidRPr="009D4A69">
        <w:rPr>
          <w:sz w:val="20"/>
          <w:szCs w:val="20"/>
          <w:lang w:val="it-IT"/>
        </w:rPr>
        <w:t>IHC3+</w:t>
      </w:r>
    </w:p>
    <w:p w14:paraId="54C08375" w14:textId="13C0D8C1" w:rsidR="00B05AA9" w:rsidRPr="009D4A69" w:rsidRDefault="00B05AA9" w:rsidP="00641EEB">
      <w:pPr>
        <w:numPr>
          <w:ilvl w:val="1"/>
          <w:numId w:val="15"/>
        </w:numPr>
        <w:jc w:val="both"/>
        <w:rPr>
          <w:sz w:val="20"/>
          <w:szCs w:val="20"/>
          <w:lang w:val="it-IT"/>
        </w:rPr>
      </w:pPr>
      <w:r w:rsidRPr="009D4A69">
        <w:rPr>
          <w:sz w:val="20"/>
          <w:szCs w:val="20"/>
          <w:lang w:val="it-IT"/>
        </w:rPr>
        <w:t xml:space="preserve">Studija H0648g: podgrupa </w:t>
      </w:r>
      <w:r w:rsidR="008F70C4">
        <w:rPr>
          <w:sz w:val="20"/>
          <w:szCs w:val="20"/>
          <w:lang w:val="it-IT"/>
        </w:rPr>
        <w:t>pacijentkinja</w:t>
      </w:r>
      <w:r w:rsidR="008F70C4" w:rsidRPr="009D4A69">
        <w:rPr>
          <w:sz w:val="20"/>
          <w:szCs w:val="20"/>
          <w:lang w:val="it-IT"/>
        </w:rPr>
        <w:t xml:space="preserve"> </w:t>
      </w:r>
      <w:r w:rsidRPr="009D4A69">
        <w:rPr>
          <w:sz w:val="20"/>
          <w:szCs w:val="20"/>
          <w:lang w:val="it-IT"/>
        </w:rPr>
        <w:t>IHC3+</w:t>
      </w:r>
    </w:p>
    <w:p w14:paraId="78800EEB" w14:textId="77777777" w:rsidR="00B05AA9" w:rsidRPr="009D4A69" w:rsidRDefault="00B05AA9" w:rsidP="00641EEB">
      <w:pPr>
        <w:numPr>
          <w:ilvl w:val="1"/>
          <w:numId w:val="15"/>
        </w:numPr>
        <w:jc w:val="both"/>
        <w:rPr>
          <w:sz w:val="20"/>
          <w:szCs w:val="20"/>
          <w:lang w:val="it-IT"/>
        </w:rPr>
      </w:pPr>
      <w:r w:rsidRPr="009D4A69">
        <w:rPr>
          <w:sz w:val="20"/>
          <w:szCs w:val="20"/>
          <w:lang w:val="it-IT"/>
        </w:rPr>
        <w:t>Studija M77001: kompletno urađene sve analize (pacijenti predviđeni za liječenje), rezultati nakon 24 mjeseca</w:t>
      </w:r>
    </w:p>
    <w:p w14:paraId="63C95165" w14:textId="77777777" w:rsidR="00B05AA9" w:rsidRDefault="00B05AA9" w:rsidP="00641EEB">
      <w:pPr>
        <w:jc w:val="both"/>
        <w:rPr>
          <w:i/>
          <w:sz w:val="22"/>
          <w:szCs w:val="22"/>
          <w:lang w:val="it-IT"/>
        </w:rPr>
      </w:pPr>
    </w:p>
    <w:p w14:paraId="3D446BA1" w14:textId="77777777" w:rsidR="00B05AA9" w:rsidRDefault="00B05AA9" w:rsidP="00641EEB">
      <w:pPr>
        <w:jc w:val="both"/>
        <w:rPr>
          <w:i/>
          <w:sz w:val="22"/>
          <w:szCs w:val="22"/>
          <w:lang w:val="it-IT"/>
        </w:rPr>
      </w:pPr>
      <w:r>
        <w:rPr>
          <w:i/>
          <w:sz w:val="22"/>
          <w:szCs w:val="22"/>
          <w:lang w:val="it-IT"/>
        </w:rPr>
        <w:t>Kombinovana terapija Herceptinom i anastrozolom</w:t>
      </w:r>
    </w:p>
    <w:p w14:paraId="04E1D476" w14:textId="497E811C" w:rsidR="00B05AA9" w:rsidRDefault="008F70C4" w:rsidP="00641EEB">
      <w:pPr>
        <w:jc w:val="both"/>
        <w:rPr>
          <w:sz w:val="22"/>
          <w:szCs w:val="22"/>
          <w:lang w:val="it-IT"/>
        </w:rPr>
      </w:pPr>
      <w:r>
        <w:rPr>
          <w:sz w:val="22"/>
          <w:szCs w:val="22"/>
          <w:lang w:val="it-IT"/>
        </w:rPr>
        <w:t xml:space="preserve">Lijek </w:t>
      </w:r>
      <w:r w:rsidR="00B05AA9">
        <w:rPr>
          <w:sz w:val="22"/>
          <w:szCs w:val="22"/>
          <w:lang w:val="it-IT"/>
        </w:rPr>
        <w:t xml:space="preserve">Herceptin je ispitivan u kombinaciji sa anastrozolom za prvu liniju terapije metastatskog karcinoma dojke kod postmenopauzalnih pacijentkinja sa prekomjernom ekspresijom HER2, pozitivnih na hormonske receptore (t.j. estrogenske receptore (ER) i/ili progesteronske receptore (PR)). Preživljavanje bez progresije bolesti dvostruko je produženo kod pacijentkinja koje su primale </w:t>
      </w:r>
      <w:r>
        <w:rPr>
          <w:sz w:val="22"/>
          <w:szCs w:val="22"/>
          <w:lang w:val="it-IT"/>
        </w:rPr>
        <w:t xml:space="preserve">lijek </w:t>
      </w:r>
      <w:r w:rsidR="00B05AA9">
        <w:rPr>
          <w:sz w:val="22"/>
          <w:szCs w:val="22"/>
          <w:lang w:val="it-IT"/>
        </w:rPr>
        <w:t xml:space="preserve">Herceptin plus anastrozol, u poređenju sa onima koje su primale samo anastrozol (4,8 mjeseci prema 2,4 mjeseca). </w:t>
      </w:r>
      <w:r>
        <w:rPr>
          <w:sz w:val="22"/>
          <w:szCs w:val="22"/>
          <w:lang w:val="it-IT"/>
        </w:rPr>
        <w:t>Od ostalih parametara</w:t>
      </w:r>
      <w:r w:rsidR="00B05AA9">
        <w:rPr>
          <w:sz w:val="22"/>
          <w:szCs w:val="22"/>
          <w:lang w:val="it-IT"/>
        </w:rPr>
        <w:t xml:space="preserve"> praćenja poboljšanje koje je zabilježeno za kombinaciju bilo je </w:t>
      </w:r>
      <w:r>
        <w:rPr>
          <w:sz w:val="22"/>
          <w:szCs w:val="22"/>
          <w:lang w:val="it-IT"/>
        </w:rPr>
        <w:t xml:space="preserve">poboljšanje </w:t>
      </w:r>
      <w:r w:rsidR="00B05AA9">
        <w:rPr>
          <w:sz w:val="22"/>
          <w:szCs w:val="22"/>
          <w:lang w:val="it-IT"/>
        </w:rPr>
        <w:t>ukupn</w:t>
      </w:r>
      <w:r>
        <w:rPr>
          <w:sz w:val="22"/>
          <w:szCs w:val="22"/>
          <w:lang w:val="it-IT"/>
        </w:rPr>
        <w:t>e stope</w:t>
      </w:r>
      <w:r w:rsidR="00B05AA9">
        <w:rPr>
          <w:sz w:val="22"/>
          <w:szCs w:val="22"/>
          <w:lang w:val="it-IT"/>
        </w:rPr>
        <w:t xml:space="preserve"> odgovor</w:t>
      </w:r>
      <w:r>
        <w:rPr>
          <w:sz w:val="22"/>
          <w:szCs w:val="22"/>
          <w:lang w:val="it-IT"/>
        </w:rPr>
        <w:t>a</w:t>
      </w:r>
      <w:r w:rsidR="00B05AA9">
        <w:rPr>
          <w:sz w:val="22"/>
          <w:szCs w:val="22"/>
          <w:lang w:val="it-IT"/>
        </w:rPr>
        <w:t xml:space="preserve"> (16,5% prema 6,7%), st</w:t>
      </w:r>
      <w:r>
        <w:rPr>
          <w:sz w:val="22"/>
          <w:szCs w:val="22"/>
          <w:lang w:val="it-IT"/>
        </w:rPr>
        <w:t xml:space="preserve">ope </w:t>
      </w:r>
      <w:r w:rsidR="00B05AA9">
        <w:rPr>
          <w:sz w:val="22"/>
          <w:szCs w:val="22"/>
          <w:lang w:val="it-IT"/>
        </w:rPr>
        <w:t>kliničke koristi (42,7%  prema 27,9%), vr</w:t>
      </w:r>
      <w:r>
        <w:rPr>
          <w:sz w:val="22"/>
          <w:szCs w:val="22"/>
          <w:lang w:val="it-IT"/>
        </w:rPr>
        <w:t>emena</w:t>
      </w:r>
      <w:r w:rsidR="00B05AA9">
        <w:rPr>
          <w:sz w:val="22"/>
          <w:szCs w:val="22"/>
          <w:lang w:val="it-IT"/>
        </w:rPr>
        <w:t xml:space="preserve"> do progresije </w:t>
      </w:r>
      <w:r>
        <w:rPr>
          <w:sz w:val="22"/>
          <w:szCs w:val="22"/>
          <w:lang w:val="it-IT"/>
        </w:rPr>
        <w:t xml:space="preserve">bolesti </w:t>
      </w:r>
      <w:r w:rsidR="00B05AA9">
        <w:rPr>
          <w:sz w:val="22"/>
          <w:szCs w:val="22"/>
          <w:lang w:val="it-IT"/>
        </w:rPr>
        <w:t xml:space="preserve">(4,8 prema 2,4 mjeseca). Što se tiče vremena do odgovora i trajanja odgovora, nije zabilježena nikakva razlika između ovih grupa. </w:t>
      </w:r>
      <w:r>
        <w:rPr>
          <w:sz w:val="22"/>
          <w:szCs w:val="22"/>
          <w:lang w:val="it-IT"/>
        </w:rPr>
        <w:t xml:space="preserve">Medijana </w:t>
      </w:r>
      <w:r w:rsidR="00B05AA9">
        <w:rPr>
          <w:sz w:val="22"/>
          <w:szCs w:val="22"/>
          <w:lang w:val="it-IT"/>
        </w:rPr>
        <w:t>ukupno</w:t>
      </w:r>
      <w:r>
        <w:rPr>
          <w:sz w:val="22"/>
          <w:szCs w:val="22"/>
          <w:lang w:val="it-IT"/>
        </w:rPr>
        <w:t>g</w:t>
      </w:r>
      <w:r w:rsidR="00B05AA9">
        <w:rPr>
          <w:sz w:val="22"/>
          <w:szCs w:val="22"/>
          <w:lang w:val="it-IT"/>
        </w:rPr>
        <w:t xml:space="preserve"> preživljavanj</w:t>
      </w:r>
      <w:r>
        <w:rPr>
          <w:sz w:val="22"/>
          <w:szCs w:val="22"/>
          <w:lang w:val="it-IT"/>
        </w:rPr>
        <w:t>a</w:t>
      </w:r>
      <w:r w:rsidR="00B05AA9">
        <w:rPr>
          <w:sz w:val="22"/>
          <w:szCs w:val="22"/>
          <w:lang w:val="it-IT"/>
        </w:rPr>
        <w:t xml:space="preserve"> produžen</w:t>
      </w:r>
      <w:r>
        <w:rPr>
          <w:sz w:val="22"/>
          <w:szCs w:val="22"/>
          <w:lang w:val="it-IT"/>
        </w:rPr>
        <w:t>a</w:t>
      </w:r>
      <w:r w:rsidR="00B05AA9">
        <w:rPr>
          <w:sz w:val="22"/>
          <w:szCs w:val="22"/>
          <w:lang w:val="it-IT"/>
        </w:rPr>
        <w:t xml:space="preserve"> je za 4,6 mjeseci kod pacijenata u grupi koja je primala kombinovanu terapiju. Ova razlika nije bila statistički značajna, međutim, više od polovine pacijenata u grupi koja je primala samo anastrozol prebačena je na režim koji je sadržao </w:t>
      </w:r>
      <w:r>
        <w:rPr>
          <w:sz w:val="22"/>
          <w:szCs w:val="22"/>
          <w:lang w:val="it-IT"/>
        </w:rPr>
        <w:t xml:space="preserve">lijek </w:t>
      </w:r>
      <w:r w:rsidR="00B05AA9">
        <w:rPr>
          <w:sz w:val="22"/>
          <w:szCs w:val="22"/>
          <w:lang w:val="it-IT"/>
        </w:rPr>
        <w:t xml:space="preserve">Herceptin, nakon progresije bolesti. </w:t>
      </w:r>
    </w:p>
    <w:p w14:paraId="66A06597" w14:textId="77777777" w:rsidR="00B05AA9" w:rsidRDefault="00B05AA9" w:rsidP="00641EEB">
      <w:pPr>
        <w:jc w:val="both"/>
        <w:rPr>
          <w:sz w:val="22"/>
          <w:szCs w:val="22"/>
          <w:lang w:val="it-IT"/>
        </w:rPr>
      </w:pPr>
    </w:p>
    <w:p w14:paraId="326650EF" w14:textId="77777777" w:rsidR="00B05AA9" w:rsidRPr="009D4A69" w:rsidRDefault="00B05AA9" w:rsidP="00641EEB">
      <w:pPr>
        <w:jc w:val="both"/>
        <w:rPr>
          <w:i/>
          <w:sz w:val="22"/>
          <w:szCs w:val="22"/>
          <w:lang w:val="it-IT"/>
        </w:rPr>
      </w:pPr>
      <w:r w:rsidRPr="009D4A69">
        <w:rPr>
          <w:i/>
          <w:sz w:val="22"/>
          <w:szCs w:val="22"/>
          <w:lang w:val="it-IT"/>
        </w:rPr>
        <w:t>Tronedjeljno doziranje u liječenju kod metastatskog karcinoma dojke</w:t>
      </w:r>
    </w:p>
    <w:p w14:paraId="00D0D94C" w14:textId="27357F6D" w:rsidR="00B05AA9" w:rsidRDefault="00B05AA9" w:rsidP="00641EEB">
      <w:pPr>
        <w:jc w:val="both"/>
        <w:rPr>
          <w:sz w:val="22"/>
          <w:szCs w:val="22"/>
          <w:lang w:val="it-IT"/>
        </w:rPr>
      </w:pPr>
      <w:r>
        <w:rPr>
          <w:sz w:val="22"/>
          <w:szCs w:val="22"/>
          <w:lang w:val="it-IT"/>
        </w:rPr>
        <w:t>Rezultati efikasnosti is nekomparativnih studija monoterapij</w:t>
      </w:r>
      <w:r w:rsidR="00CC6AD2">
        <w:rPr>
          <w:sz w:val="22"/>
          <w:szCs w:val="22"/>
          <w:lang w:val="it-IT"/>
        </w:rPr>
        <w:t>e</w:t>
      </w:r>
      <w:r>
        <w:rPr>
          <w:sz w:val="22"/>
          <w:szCs w:val="22"/>
          <w:lang w:val="it-IT"/>
        </w:rPr>
        <w:t xml:space="preserve"> i kombinovan</w:t>
      </w:r>
      <w:r w:rsidR="00CC6AD2">
        <w:rPr>
          <w:sz w:val="22"/>
          <w:szCs w:val="22"/>
          <w:lang w:val="it-IT"/>
        </w:rPr>
        <w:t>e</w:t>
      </w:r>
      <w:r>
        <w:rPr>
          <w:sz w:val="22"/>
          <w:szCs w:val="22"/>
          <w:lang w:val="it-IT"/>
        </w:rPr>
        <w:t xml:space="preserve"> terapij</w:t>
      </w:r>
      <w:r w:rsidR="00CC6AD2">
        <w:rPr>
          <w:sz w:val="22"/>
          <w:szCs w:val="22"/>
          <w:lang w:val="it-IT"/>
        </w:rPr>
        <w:t>e lijekom Herceptin</w:t>
      </w:r>
      <w:r>
        <w:rPr>
          <w:sz w:val="22"/>
          <w:szCs w:val="22"/>
          <w:lang w:val="it-IT"/>
        </w:rPr>
        <w:t xml:space="preserve">, sumirani su u Tabeli 5: </w:t>
      </w:r>
    </w:p>
    <w:p w14:paraId="672CDAD9" w14:textId="77777777" w:rsidR="00B05AA9" w:rsidRDefault="00B05AA9" w:rsidP="00641EEB">
      <w:pPr>
        <w:jc w:val="both"/>
        <w:rPr>
          <w:sz w:val="22"/>
          <w:szCs w:val="22"/>
          <w:lang w:val="it-IT"/>
        </w:rPr>
      </w:pPr>
    </w:p>
    <w:p w14:paraId="3ED4B769" w14:textId="77777777" w:rsidR="00B05AA9" w:rsidRDefault="00B05AA9" w:rsidP="00641EEB">
      <w:pPr>
        <w:jc w:val="both"/>
        <w:rPr>
          <w:b/>
          <w:sz w:val="22"/>
          <w:szCs w:val="22"/>
          <w:lang w:val="it-IT"/>
        </w:rPr>
      </w:pPr>
      <w:r w:rsidRPr="009D4A69">
        <w:rPr>
          <w:sz w:val="22"/>
          <w:szCs w:val="22"/>
          <w:lang w:val="it-IT"/>
        </w:rPr>
        <w:t>Tabela 5</w:t>
      </w:r>
      <w:r>
        <w:rPr>
          <w:b/>
          <w:sz w:val="22"/>
          <w:szCs w:val="22"/>
          <w:lang w:val="it-IT"/>
        </w:rPr>
        <w:t xml:space="preserve"> </w:t>
      </w:r>
      <w:r>
        <w:rPr>
          <w:sz w:val="22"/>
          <w:szCs w:val="22"/>
          <w:lang w:val="it-IT"/>
        </w:rPr>
        <w:t>Rezultati efikasnosti is nekomparativnih studija kad je u pitanju monoterapija i kombinovana terapija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1460"/>
        <w:gridCol w:w="1461"/>
        <w:gridCol w:w="1874"/>
        <w:gridCol w:w="2226"/>
      </w:tblGrid>
      <w:tr w:rsidR="00B05AA9" w14:paraId="59028B6A" w14:textId="77777777" w:rsidTr="00BA76B8">
        <w:trPr>
          <w:cantSplit/>
        </w:trPr>
        <w:tc>
          <w:tcPr>
            <w:tcW w:w="2046" w:type="dxa"/>
            <w:tcBorders>
              <w:top w:val="single" w:sz="4" w:space="0" w:color="auto"/>
              <w:left w:val="single" w:sz="4" w:space="0" w:color="auto"/>
              <w:bottom w:val="single" w:sz="4" w:space="0" w:color="auto"/>
              <w:right w:val="single" w:sz="4" w:space="0" w:color="auto"/>
            </w:tcBorders>
            <w:hideMark/>
          </w:tcPr>
          <w:p w14:paraId="018D10C3" w14:textId="77777777" w:rsidR="00B05AA9" w:rsidRDefault="00B05AA9" w:rsidP="00BA76B8">
            <w:pPr>
              <w:tabs>
                <w:tab w:val="left" w:pos="284"/>
              </w:tabs>
              <w:jc w:val="center"/>
              <w:rPr>
                <w:b/>
                <w:sz w:val="22"/>
                <w:szCs w:val="22"/>
                <w:lang w:val="sr-Latn-ME"/>
              </w:rPr>
            </w:pPr>
            <w:r>
              <w:rPr>
                <w:b/>
                <w:sz w:val="22"/>
                <w:szCs w:val="22"/>
              </w:rPr>
              <w:t>Parametar</w:t>
            </w:r>
          </w:p>
        </w:tc>
        <w:tc>
          <w:tcPr>
            <w:tcW w:w="2921" w:type="dxa"/>
            <w:gridSpan w:val="2"/>
            <w:tcBorders>
              <w:top w:val="single" w:sz="4" w:space="0" w:color="auto"/>
              <w:left w:val="single" w:sz="4" w:space="0" w:color="auto"/>
              <w:bottom w:val="single" w:sz="4" w:space="0" w:color="auto"/>
              <w:right w:val="single" w:sz="4" w:space="0" w:color="auto"/>
            </w:tcBorders>
            <w:hideMark/>
          </w:tcPr>
          <w:p w14:paraId="1BC8C59C" w14:textId="77777777" w:rsidR="00B05AA9" w:rsidRDefault="00B05AA9" w:rsidP="00BA76B8">
            <w:pPr>
              <w:tabs>
                <w:tab w:val="left" w:pos="284"/>
              </w:tabs>
              <w:jc w:val="center"/>
              <w:rPr>
                <w:b/>
                <w:sz w:val="22"/>
                <w:szCs w:val="22"/>
              </w:rPr>
            </w:pPr>
            <w:r>
              <w:rPr>
                <w:b/>
                <w:sz w:val="22"/>
                <w:szCs w:val="22"/>
              </w:rPr>
              <w:t>Monoterapija</w:t>
            </w:r>
          </w:p>
        </w:tc>
        <w:tc>
          <w:tcPr>
            <w:tcW w:w="4100" w:type="dxa"/>
            <w:gridSpan w:val="2"/>
            <w:tcBorders>
              <w:top w:val="single" w:sz="4" w:space="0" w:color="auto"/>
              <w:left w:val="single" w:sz="4" w:space="0" w:color="auto"/>
              <w:bottom w:val="single" w:sz="4" w:space="0" w:color="auto"/>
              <w:right w:val="single" w:sz="4" w:space="0" w:color="auto"/>
            </w:tcBorders>
            <w:hideMark/>
          </w:tcPr>
          <w:p w14:paraId="0051B111" w14:textId="77777777" w:rsidR="00B05AA9" w:rsidRDefault="00B05AA9" w:rsidP="00BA76B8">
            <w:pPr>
              <w:tabs>
                <w:tab w:val="left" w:pos="284"/>
              </w:tabs>
              <w:jc w:val="center"/>
              <w:rPr>
                <w:b/>
                <w:sz w:val="22"/>
                <w:szCs w:val="22"/>
              </w:rPr>
            </w:pPr>
            <w:r>
              <w:rPr>
                <w:b/>
                <w:sz w:val="22"/>
                <w:szCs w:val="22"/>
              </w:rPr>
              <w:t>Kombinovana terapija</w:t>
            </w:r>
          </w:p>
        </w:tc>
      </w:tr>
      <w:tr w:rsidR="00B05AA9" w14:paraId="0EFFAAE0" w14:textId="77777777" w:rsidTr="00BA76B8">
        <w:tc>
          <w:tcPr>
            <w:tcW w:w="2046" w:type="dxa"/>
            <w:tcBorders>
              <w:top w:val="single" w:sz="4" w:space="0" w:color="auto"/>
              <w:left w:val="single" w:sz="4" w:space="0" w:color="auto"/>
              <w:bottom w:val="single" w:sz="4" w:space="0" w:color="auto"/>
              <w:right w:val="single" w:sz="4" w:space="0" w:color="auto"/>
            </w:tcBorders>
            <w:hideMark/>
          </w:tcPr>
          <w:p w14:paraId="51AB4679" w14:textId="26BBB7A8" w:rsidR="00B05AA9" w:rsidRDefault="00B05AA9" w:rsidP="00BA76B8">
            <w:pPr>
              <w:tabs>
                <w:tab w:val="left" w:pos="284"/>
              </w:tabs>
              <w:jc w:val="center"/>
              <w:rPr>
                <w:b/>
                <w:sz w:val="22"/>
                <w:szCs w:val="22"/>
              </w:rPr>
            </w:pPr>
          </w:p>
        </w:tc>
        <w:tc>
          <w:tcPr>
            <w:tcW w:w="1460" w:type="dxa"/>
            <w:tcBorders>
              <w:top w:val="single" w:sz="4" w:space="0" w:color="auto"/>
              <w:left w:val="single" w:sz="4" w:space="0" w:color="auto"/>
              <w:bottom w:val="single" w:sz="4" w:space="0" w:color="auto"/>
              <w:right w:val="single" w:sz="4" w:space="0" w:color="auto"/>
            </w:tcBorders>
          </w:tcPr>
          <w:p w14:paraId="32BB8226" w14:textId="77777777" w:rsidR="00B05AA9" w:rsidRDefault="00B05AA9" w:rsidP="00BA76B8">
            <w:pPr>
              <w:jc w:val="center"/>
              <w:rPr>
                <w:b/>
                <w:sz w:val="22"/>
                <w:szCs w:val="22"/>
                <w:lang w:val="fr-FR"/>
              </w:rPr>
            </w:pPr>
            <w:r>
              <w:rPr>
                <w:b/>
                <w:sz w:val="22"/>
                <w:szCs w:val="22"/>
                <w:lang w:val="fr-FR"/>
              </w:rPr>
              <w:t>Herceptin</w:t>
            </w:r>
            <w:r>
              <w:rPr>
                <w:b/>
                <w:sz w:val="22"/>
                <w:szCs w:val="22"/>
                <w:vertAlign w:val="superscript"/>
                <w:lang w:val="fr-FR"/>
              </w:rPr>
              <w:t>1</w:t>
            </w:r>
          </w:p>
          <w:p w14:paraId="5E7CBEC0" w14:textId="77777777" w:rsidR="00B05AA9" w:rsidRDefault="00B05AA9" w:rsidP="00BA76B8">
            <w:pPr>
              <w:jc w:val="center"/>
              <w:rPr>
                <w:b/>
                <w:sz w:val="22"/>
                <w:szCs w:val="22"/>
                <w:lang w:val="fr-FR"/>
              </w:rPr>
            </w:pPr>
          </w:p>
          <w:p w14:paraId="72AEA882" w14:textId="77777777" w:rsidR="00B05AA9" w:rsidRDefault="00B05AA9" w:rsidP="00BA76B8">
            <w:pPr>
              <w:tabs>
                <w:tab w:val="left" w:pos="284"/>
              </w:tabs>
              <w:jc w:val="center"/>
              <w:rPr>
                <w:b/>
                <w:sz w:val="22"/>
                <w:szCs w:val="22"/>
                <w:lang w:val="fr-FR"/>
              </w:rPr>
            </w:pPr>
            <w:r>
              <w:rPr>
                <w:b/>
                <w:sz w:val="22"/>
                <w:szCs w:val="22"/>
                <w:lang w:val="fr-FR"/>
              </w:rPr>
              <w:t>N=105</w:t>
            </w:r>
          </w:p>
        </w:tc>
        <w:tc>
          <w:tcPr>
            <w:tcW w:w="1461" w:type="dxa"/>
            <w:tcBorders>
              <w:top w:val="single" w:sz="4" w:space="0" w:color="auto"/>
              <w:left w:val="single" w:sz="4" w:space="0" w:color="auto"/>
              <w:bottom w:val="single" w:sz="4" w:space="0" w:color="auto"/>
              <w:right w:val="single" w:sz="4" w:space="0" w:color="auto"/>
            </w:tcBorders>
          </w:tcPr>
          <w:p w14:paraId="31837E7C" w14:textId="77777777" w:rsidR="00B05AA9" w:rsidRDefault="00B05AA9" w:rsidP="00BA76B8">
            <w:pPr>
              <w:jc w:val="center"/>
              <w:rPr>
                <w:b/>
                <w:sz w:val="22"/>
                <w:szCs w:val="22"/>
                <w:lang w:val="fr-FR"/>
              </w:rPr>
            </w:pPr>
            <w:r>
              <w:rPr>
                <w:b/>
                <w:sz w:val="22"/>
                <w:szCs w:val="22"/>
                <w:lang w:val="fr-FR"/>
              </w:rPr>
              <w:t>Herceptin</w:t>
            </w:r>
            <w:r>
              <w:rPr>
                <w:b/>
                <w:sz w:val="22"/>
                <w:szCs w:val="22"/>
                <w:vertAlign w:val="superscript"/>
                <w:lang w:val="fr-FR"/>
              </w:rPr>
              <w:t>2</w:t>
            </w:r>
          </w:p>
          <w:p w14:paraId="1C982D3F" w14:textId="77777777" w:rsidR="00B05AA9" w:rsidRDefault="00B05AA9" w:rsidP="00BA76B8">
            <w:pPr>
              <w:jc w:val="center"/>
              <w:rPr>
                <w:b/>
                <w:sz w:val="22"/>
                <w:szCs w:val="22"/>
                <w:lang w:val="fr-FR"/>
              </w:rPr>
            </w:pPr>
          </w:p>
          <w:p w14:paraId="150C8755" w14:textId="77777777" w:rsidR="00B05AA9" w:rsidRDefault="00B05AA9" w:rsidP="00BA76B8">
            <w:pPr>
              <w:tabs>
                <w:tab w:val="left" w:pos="284"/>
              </w:tabs>
              <w:jc w:val="center"/>
              <w:rPr>
                <w:b/>
                <w:sz w:val="22"/>
                <w:szCs w:val="22"/>
                <w:lang w:val="fr-FR"/>
              </w:rPr>
            </w:pPr>
            <w:r>
              <w:rPr>
                <w:b/>
                <w:sz w:val="22"/>
                <w:szCs w:val="22"/>
                <w:lang w:val="fr-FR"/>
              </w:rPr>
              <w:t>N=72</w:t>
            </w:r>
          </w:p>
        </w:tc>
        <w:tc>
          <w:tcPr>
            <w:tcW w:w="1874" w:type="dxa"/>
            <w:tcBorders>
              <w:top w:val="single" w:sz="4" w:space="0" w:color="auto"/>
              <w:left w:val="single" w:sz="4" w:space="0" w:color="auto"/>
              <w:bottom w:val="single" w:sz="4" w:space="0" w:color="auto"/>
              <w:right w:val="single" w:sz="4" w:space="0" w:color="auto"/>
            </w:tcBorders>
            <w:hideMark/>
          </w:tcPr>
          <w:p w14:paraId="1CB07942" w14:textId="4A663CC8" w:rsidR="00B05AA9" w:rsidRDefault="00B05AA9" w:rsidP="00BA76B8">
            <w:pPr>
              <w:jc w:val="center"/>
              <w:rPr>
                <w:b/>
                <w:sz w:val="22"/>
                <w:szCs w:val="22"/>
                <w:vertAlign w:val="superscript"/>
                <w:lang w:val="fr-FR"/>
              </w:rPr>
            </w:pPr>
            <w:r>
              <w:rPr>
                <w:b/>
                <w:sz w:val="22"/>
                <w:szCs w:val="22"/>
                <w:lang w:val="fr-FR"/>
              </w:rPr>
              <w:t xml:space="preserve">Herceptin </w:t>
            </w:r>
            <w:r w:rsidR="0003283A">
              <w:rPr>
                <w:b/>
                <w:sz w:val="22"/>
                <w:szCs w:val="22"/>
                <w:lang w:val="fr-FR"/>
              </w:rPr>
              <w:t xml:space="preserve">+ </w:t>
            </w:r>
            <w:r>
              <w:rPr>
                <w:b/>
                <w:sz w:val="22"/>
                <w:szCs w:val="22"/>
                <w:lang w:val="fr-FR"/>
              </w:rPr>
              <w:t>paklitaksel</w:t>
            </w:r>
            <w:r>
              <w:rPr>
                <w:b/>
                <w:sz w:val="22"/>
                <w:szCs w:val="22"/>
                <w:vertAlign w:val="superscript"/>
                <w:lang w:val="fr-FR"/>
              </w:rPr>
              <w:t>3</w:t>
            </w:r>
          </w:p>
          <w:p w14:paraId="3928A75A" w14:textId="77777777" w:rsidR="00B05AA9" w:rsidRDefault="00B05AA9" w:rsidP="00BA76B8">
            <w:pPr>
              <w:tabs>
                <w:tab w:val="left" w:pos="284"/>
              </w:tabs>
              <w:jc w:val="center"/>
              <w:rPr>
                <w:b/>
                <w:sz w:val="22"/>
                <w:szCs w:val="22"/>
                <w:lang w:val="fr-FR"/>
              </w:rPr>
            </w:pPr>
            <w:r>
              <w:rPr>
                <w:b/>
                <w:sz w:val="22"/>
                <w:szCs w:val="22"/>
                <w:lang w:val="fr-FR"/>
              </w:rPr>
              <w:t>N=32</w:t>
            </w:r>
          </w:p>
        </w:tc>
        <w:tc>
          <w:tcPr>
            <w:tcW w:w="2226" w:type="dxa"/>
            <w:tcBorders>
              <w:top w:val="single" w:sz="4" w:space="0" w:color="auto"/>
              <w:left w:val="single" w:sz="4" w:space="0" w:color="auto"/>
              <w:bottom w:val="single" w:sz="4" w:space="0" w:color="auto"/>
              <w:right w:val="single" w:sz="4" w:space="0" w:color="auto"/>
            </w:tcBorders>
            <w:hideMark/>
          </w:tcPr>
          <w:p w14:paraId="67A90162" w14:textId="4F36A9BC" w:rsidR="00B05AA9" w:rsidRDefault="00B05AA9" w:rsidP="00BA76B8">
            <w:pPr>
              <w:jc w:val="center"/>
              <w:rPr>
                <w:b/>
                <w:sz w:val="22"/>
                <w:szCs w:val="22"/>
                <w:lang w:val="fr-FR"/>
              </w:rPr>
            </w:pPr>
            <w:r>
              <w:rPr>
                <w:b/>
                <w:sz w:val="22"/>
                <w:szCs w:val="22"/>
                <w:lang w:val="fr-FR"/>
              </w:rPr>
              <w:t xml:space="preserve">Herceptin </w:t>
            </w:r>
            <w:r w:rsidR="0003283A">
              <w:rPr>
                <w:b/>
                <w:sz w:val="22"/>
                <w:szCs w:val="22"/>
                <w:lang w:val="fr-FR"/>
              </w:rPr>
              <w:t>+</w:t>
            </w:r>
          </w:p>
          <w:p w14:paraId="59A6F6B3" w14:textId="77777777" w:rsidR="00B05AA9" w:rsidRDefault="00B05AA9" w:rsidP="00BA76B8">
            <w:pPr>
              <w:jc w:val="center"/>
              <w:rPr>
                <w:b/>
                <w:sz w:val="22"/>
                <w:szCs w:val="22"/>
                <w:lang w:val="fr-FR"/>
              </w:rPr>
            </w:pPr>
            <w:r>
              <w:rPr>
                <w:b/>
                <w:sz w:val="22"/>
                <w:szCs w:val="22"/>
                <w:lang w:val="fr-FR"/>
              </w:rPr>
              <w:t>Docetaksel</w:t>
            </w:r>
            <w:r>
              <w:rPr>
                <w:b/>
                <w:sz w:val="22"/>
                <w:szCs w:val="22"/>
                <w:vertAlign w:val="superscript"/>
                <w:lang w:val="fr-FR"/>
              </w:rPr>
              <w:t>4</w:t>
            </w:r>
          </w:p>
          <w:p w14:paraId="755312A8" w14:textId="77777777" w:rsidR="00B05AA9" w:rsidRDefault="00B05AA9" w:rsidP="00BA76B8">
            <w:pPr>
              <w:tabs>
                <w:tab w:val="left" w:pos="284"/>
              </w:tabs>
              <w:jc w:val="center"/>
              <w:rPr>
                <w:b/>
                <w:sz w:val="22"/>
                <w:szCs w:val="22"/>
                <w:lang w:val="fr-FR"/>
              </w:rPr>
            </w:pPr>
            <w:r>
              <w:rPr>
                <w:b/>
                <w:sz w:val="22"/>
                <w:szCs w:val="22"/>
                <w:lang w:val="fr-FR"/>
              </w:rPr>
              <w:t>N=110</w:t>
            </w:r>
          </w:p>
        </w:tc>
      </w:tr>
      <w:tr w:rsidR="00B05AA9" w14:paraId="62D6FA8B" w14:textId="77777777" w:rsidTr="00BA76B8">
        <w:tc>
          <w:tcPr>
            <w:tcW w:w="2046" w:type="dxa"/>
            <w:tcBorders>
              <w:top w:val="single" w:sz="4" w:space="0" w:color="auto"/>
              <w:left w:val="single" w:sz="4" w:space="0" w:color="auto"/>
              <w:bottom w:val="single" w:sz="4" w:space="0" w:color="auto"/>
              <w:right w:val="single" w:sz="4" w:space="0" w:color="auto"/>
            </w:tcBorders>
            <w:hideMark/>
          </w:tcPr>
          <w:p w14:paraId="014AFFF6" w14:textId="77777777" w:rsidR="00B05AA9" w:rsidRDefault="00B05AA9" w:rsidP="00BA76B8">
            <w:pPr>
              <w:tabs>
                <w:tab w:val="left" w:pos="284"/>
              </w:tabs>
              <w:rPr>
                <w:sz w:val="22"/>
                <w:szCs w:val="22"/>
                <w:lang w:val="it-IT"/>
              </w:rPr>
            </w:pPr>
            <w:r>
              <w:rPr>
                <w:sz w:val="22"/>
                <w:szCs w:val="22"/>
                <w:lang w:val="it-IT"/>
              </w:rPr>
              <w:t>Stopa odgovora (Interval pouzdanosti-IP- 95%)</w:t>
            </w:r>
          </w:p>
        </w:tc>
        <w:tc>
          <w:tcPr>
            <w:tcW w:w="1460" w:type="dxa"/>
            <w:tcBorders>
              <w:top w:val="single" w:sz="4" w:space="0" w:color="auto"/>
              <w:left w:val="single" w:sz="4" w:space="0" w:color="auto"/>
              <w:bottom w:val="single" w:sz="4" w:space="0" w:color="auto"/>
              <w:right w:val="single" w:sz="4" w:space="0" w:color="auto"/>
            </w:tcBorders>
            <w:hideMark/>
          </w:tcPr>
          <w:p w14:paraId="354A36C4" w14:textId="77777777" w:rsidR="00B05AA9" w:rsidRPr="00BA76B8" w:rsidRDefault="00B05AA9" w:rsidP="00BA76B8">
            <w:pPr>
              <w:jc w:val="center"/>
              <w:rPr>
                <w:sz w:val="22"/>
                <w:szCs w:val="22"/>
                <w:lang w:val="fr-FR"/>
              </w:rPr>
            </w:pPr>
            <w:r w:rsidRPr="00BA76B8">
              <w:rPr>
                <w:sz w:val="22"/>
                <w:szCs w:val="22"/>
                <w:lang w:val="fr-FR"/>
              </w:rPr>
              <w:t>24%</w:t>
            </w:r>
          </w:p>
          <w:p w14:paraId="7B23D218" w14:textId="77777777" w:rsidR="00B05AA9" w:rsidRPr="00BA76B8" w:rsidRDefault="00B05AA9" w:rsidP="00BA76B8">
            <w:pPr>
              <w:tabs>
                <w:tab w:val="left" w:pos="284"/>
              </w:tabs>
              <w:jc w:val="center"/>
              <w:rPr>
                <w:sz w:val="22"/>
                <w:szCs w:val="22"/>
                <w:lang w:val="fr-FR"/>
              </w:rPr>
            </w:pPr>
            <w:r w:rsidRPr="00BA76B8">
              <w:rPr>
                <w:sz w:val="22"/>
                <w:szCs w:val="22"/>
              </w:rPr>
              <w:t>(15 - 35)</w:t>
            </w:r>
          </w:p>
        </w:tc>
        <w:tc>
          <w:tcPr>
            <w:tcW w:w="1461" w:type="dxa"/>
            <w:tcBorders>
              <w:top w:val="single" w:sz="4" w:space="0" w:color="auto"/>
              <w:left w:val="single" w:sz="4" w:space="0" w:color="auto"/>
              <w:bottom w:val="single" w:sz="4" w:space="0" w:color="auto"/>
              <w:right w:val="single" w:sz="4" w:space="0" w:color="auto"/>
            </w:tcBorders>
            <w:hideMark/>
          </w:tcPr>
          <w:p w14:paraId="283FE6B5" w14:textId="77777777" w:rsidR="00B05AA9" w:rsidRPr="00BA76B8" w:rsidRDefault="00B05AA9" w:rsidP="00BA76B8">
            <w:pPr>
              <w:jc w:val="center"/>
              <w:rPr>
                <w:sz w:val="22"/>
                <w:szCs w:val="22"/>
                <w:lang w:val="sr-Latn-ME"/>
              </w:rPr>
            </w:pPr>
            <w:r w:rsidRPr="00BA76B8">
              <w:rPr>
                <w:sz w:val="22"/>
                <w:szCs w:val="22"/>
              </w:rPr>
              <w:t>27%</w:t>
            </w:r>
          </w:p>
          <w:p w14:paraId="368272EA" w14:textId="77777777" w:rsidR="00B05AA9" w:rsidRPr="00BA76B8" w:rsidRDefault="00B05AA9" w:rsidP="00BA76B8">
            <w:pPr>
              <w:tabs>
                <w:tab w:val="left" w:pos="284"/>
              </w:tabs>
              <w:jc w:val="center"/>
              <w:rPr>
                <w:sz w:val="22"/>
                <w:szCs w:val="22"/>
              </w:rPr>
            </w:pPr>
            <w:r w:rsidRPr="00BA76B8">
              <w:rPr>
                <w:sz w:val="22"/>
                <w:szCs w:val="22"/>
              </w:rPr>
              <w:t>(14 - 43)</w:t>
            </w:r>
          </w:p>
        </w:tc>
        <w:tc>
          <w:tcPr>
            <w:tcW w:w="1874" w:type="dxa"/>
            <w:tcBorders>
              <w:top w:val="single" w:sz="4" w:space="0" w:color="auto"/>
              <w:left w:val="single" w:sz="4" w:space="0" w:color="auto"/>
              <w:bottom w:val="single" w:sz="4" w:space="0" w:color="auto"/>
              <w:right w:val="single" w:sz="4" w:space="0" w:color="auto"/>
            </w:tcBorders>
            <w:hideMark/>
          </w:tcPr>
          <w:p w14:paraId="457F4796" w14:textId="77777777" w:rsidR="00B05AA9" w:rsidRPr="00BA76B8" w:rsidRDefault="00B05AA9" w:rsidP="00BA76B8">
            <w:pPr>
              <w:jc w:val="center"/>
              <w:rPr>
                <w:sz w:val="22"/>
                <w:szCs w:val="22"/>
              </w:rPr>
            </w:pPr>
            <w:r w:rsidRPr="00BA76B8">
              <w:rPr>
                <w:sz w:val="22"/>
                <w:szCs w:val="22"/>
              </w:rPr>
              <w:t>59%</w:t>
            </w:r>
          </w:p>
          <w:p w14:paraId="3EEA1165" w14:textId="77777777" w:rsidR="00B05AA9" w:rsidRPr="00BA76B8" w:rsidRDefault="00B05AA9" w:rsidP="00BA76B8">
            <w:pPr>
              <w:tabs>
                <w:tab w:val="left" w:pos="284"/>
              </w:tabs>
              <w:jc w:val="center"/>
              <w:rPr>
                <w:sz w:val="22"/>
                <w:szCs w:val="22"/>
              </w:rPr>
            </w:pPr>
            <w:r w:rsidRPr="00BA76B8">
              <w:rPr>
                <w:sz w:val="22"/>
                <w:szCs w:val="22"/>
              </w:rPr>
              <w:t>(41-76)</w:t>
            </w:r>
          </w:p>
        </w:tc>
        <w:tc>
          <w:tcPr>
            <w:tcW w:w="2226" w:type="dxa"/>
            <w:tcBorders>
              <w:top w:val="single" w:sz="4" w:space="0" w:color="auto"/>
              <w:left w:val="single" w:sz="4" w:space="0" w:color="auto"/>
              <w:bottom w:val="single" w:sz="4" w:space="0" w:color="auto"/>
              <w:right w:val="single" w:sz="4" w:space="0" w:color="auto"/>
            </w:tcBorders>
            <w:hideMark/>
          </w:tcPr>
          <w:p w14:paraId="34AA299B" w14:textId="77777777" w:rsidR="00B05AA9" w:rsidRPr="00BA76B8" w:rsidRDefault="00B05AA9" w:rsidP="00BA76B8">
            <w:pPr>
              <w:jc w:val="center"/>
              <w:rPr>
                <w:sz w:val="22"/>
                <w:szCs w:val="22"/>
              </w:rPr>
            </w:pPr>
            <w:r w:rsidRPr="00BA76B8">
              <w:rPr>
                <w:sz w:val="22"/>
                <w:szCs w:val="22"/>
              </w:rPr>
              <w:t>73%</w:t>
            </w:r>
          </w:p>
          <w:p w14:paraId="7F0AF7F2" w14:textId="77777777" w:rsidR="00B05AA9" w:rsidRPr="00BA76B8" w:rsidRDefault="00B05AA9" w:rsidP="00BA76B8">
            <w:pPr>
              <w:tabs>
                <w:tab w:val="left" w:pos="284"/>
              </w:tabs>
              <w:jc w:val="center"/>
              <w:rPr>
                <w:sz w:val="22"/>
                <w:szCs w:val="22"/>
              </w:rPr>
            </w:pPr>
            <w:r w:rsidRPr="00BA76B8">
              <w:rPr>
                <w:sz w:val="22"/>
                <w:szCs w:val="22"/>
              </w:rPr>
              <w:t>(63-81)</w:t>
            </w:r>
          </w:p>
        </w:tc>
      </w:tr>
      <w:tr w:rsidR="00B05AA9" w14:paraId="04CB4BC9" w14:textId="77777777" w:rsidTr="00BA76B8">
        <w:tc>
          <w:tcPr>
            <w:tcW w:w="2046" w:type="dxa"/>
            <w:tcBorders>
              <w:top w:val="single" w:sz="4" w:space="0" w:color="auto"/>
              <w:left w:val="single" w:sz="4" w:space="0" w:color="auto"/>
              <w:bottom w:val="single" w:sz="4" w:space="0" w:color="auto"/>
              <w:right w:val="single" w:sz="4" w:space="0" w:color="auto"/>
            </w:tcBorders>
            <w:hideMark/>
          </w:tcPr>
          <w:p w14:paraId="6C569B9B" w14:textId="33BDCD30" w:rsidR="00B05AA9" w:rsidRDefault="006E0357" w:rsidP="00BA76B8">
            <w:pPr>
              <w:tabs>
                <w:tab w:val="left" w:pos="284"/>
              </w:tabs>
              <w:rPr>
                <w:sz w:val="22"/>
                <w:szCs w:val="22"/>
                <w:lang w:val="pl-PL"/>
              </w:rPr>
            </w:pPr>
            <w:r>
              <w:rPr>
                <w:sz w:val="22"/>
                <w:szCs w:val="22"/>
                <w:lang w:val="pl-PL"/>
              </w:rPr>
              <w:t xml:space="preserve">Medijana </w:t>
            </w:r>
            <w:r w:rsidR="00B05AA9">
              <w:rPr>
                <w:sz w:val="22"/>
                <w:szCs w:val="22"/>
                <w:lang w:val="pl-PL"/>
              </w:rPr>
              <w:t>trajanj</w:t>
            </w:r>
            <w:r>
              <w:rPr>
                <w:sz w:val="22"/>
                <w:szCs w:val="22"/>
                <w:lang w:val="pl-PL"/>
              </w:rPr>
              <w:t>a</w:t>
            </w:r>
            <w:r w:rsidR="00B05AA9">
              <w:rPr>
                <w:sz w:val="22"/>
                <w:szCs w:val="22"/>
                <w:lang w:val="pl-PL"/>
              </w:rPr>
              <w:t xml:space="preserve"> odgovora (u mjesecima) (opseg)</w:t>
            </w:r>
          </w:p>
        </w:tc>
        <w:tc>
          <w:tcPr>
            <w:tcW w:w="1460" w:type="dxa"/>
            <w:tcBorders>
              <w:top w:val="single" w:sz="4" w:space="0" w:color="auto"/>
              <w:left w:val="single" w:sz="4" w:space="0" w:color="auto"/>
              <w:bottom w:val="single" w:sz="4" w:space="0" w:color="auto"/>
              <w:right w:val="single" w:sz="4" w:space="0" w:color="auto"/>
            </w:tcBorders>
            <w:hideMark/>
          </w:tcPr>
          <w:p w14:paraId="519C85D7" w14:textId="77777777" w:rsidR="00B05AA9" w:rsidRPr="00BA76B8" w:rsidRDefault="00B05AA9" w:rsidP="00BA76B8">
            <w:pPr>
              <w:jc w:val="center"/>
              <w:rPr>
                <w:sz w:val="22"/>
                <w:szCs w:val="22"/>
                <w:lang w:val="sr-Latn-ME"/>
              </w:rPr>
            </w:pPr>
            <w:r w:rsidRPr="00BA76B8">
              <w:rPr>
                <w:sz w:val="22"/>
                <w:szCs w:val="22"/>
              </w:rPr>
              <w:t>10.1</w:t>
            </w:r>
          </w:p>
          <w:p w14:paraId="7CC75EBF" w14:textId="77777777" w:rsidR="00B05AA9" w:rsidRPr="00BA76B8" w:rsidRDefault="00B05AA9" w:rsidP="00BA76B8">
            <w:pPr>
              <w:tabs>
                <w:tab w:val="left" w:pos="284"/>
              </w:tabs>
              <w:jc w:val="center"/>
              <w:rPr>
                <w:sz w:val="22"/>
                <w:szCs w:val="22"/>
              </w:rPr>
            </w:pPr>
            <w:r w:rsidRPr="00BA76B8">
              <w:rPr>
                <w:sz w:val="22"/>
                <w:szCs w:val="22"/>
              </w:rPr>
              <w:t>(2.8-35.6)</w:t>
            </w:r>
          </w:p>
        </w:tc>
        <w:tc>
          <w:tcPr>
            <w:tcW w:w="1461" w:type="dxa"/>
            <w:tcBorders>
              <w:top w:val="single" w:sz="4" w:space="0" w:color="auto"/>
              <w:left w:val="single" w:sz="4" w:space="0" w:color="auto"/>
              <w:bottom w:val="single" w:sz="4" w:space="0" w:color="auto"/>
              <w:right w:val="single" w:sz="4" w:space="0" w:color="auto"/>
            </w:tcBorders>
            <w:hideMark/>
          </w:tcPr>
          <w:p w14:paraId="078AB6D5" w14:textId="77777777" w:rsidR="00B05AA9" w:rsidRPr="00BA76B8" w:rsidRDefault="00B05AA9" w:rsidP="00BA76B8">
            <w:pPr>
              <w:jc w:val="center"/>
              <w:rPr>
                <w:sz w:val="22"/>
                <w:szCs w:val="22"/>
              </w:rPr>
            </w:pPr>
            <w:r w:rsidRPr="00BA76B8">
              <w:rPr>
                <w:sz w:val="22"/>
                <w:szCs w:val="22"/>
              </w:rPr>
              <w:t>7.9</w:t>
            </w:r>
          </w:p>
          <w:p w14:paraId="6F94BD27" w14:textId="77777777" w:rsidR="00B05AA9" w:rsidRPr="00BA76B8" w:rsidRDefault="00B05AA9" w:rsidP="00BA76B8">
            <w:pPr>
              <w:tabs>
                <w:tab w:val="left" w:pos="284"/>
              </w:tabs>
              <w:jc w:val="center"/>
              <w:rPr>
                <w:sz w:val="22"/>
                <w:szCs w:val="22"/>
              </w:rPr>
            </w:pPr>
            <w:r w:rsidRPr="00BA76B8">
              <w:rPr>
                <w:sz w:val="22"/>
                <w:szCs w:val="22"/>
              </w:rPr>
              <w:t>(2.1-18.8)</w:t>
            </w:r>
          </w:p>
        </w:tc>
        <w:tc>
          <w:tcPr>
            <w:tcW w:w="1874" w:type="dxa"/>
            <w:tcBorders>
              <w:top w:val="single" w:sz="4" w:space="0" w:color="auto"/>
              <w:left w:val="single" w:sz="4" w:space="0" w:color="auto"/>
              <w:bottom w:val="single" w:sz="4" w:space="0" w:color="auto"/>
              <w:right w:val="single" w:sz="4" w:space="0" w:color="auto"/>
            </w:tcBorders>
            <w:hideMark/>
          </w:tcPr>
          <w:p w14:paraId="38296EB7" w14:textId="77777777" w:rsidR="00B05AA9" w:rsidRPr="00BA76B8" w:rsidRDefault="00B05AA9" w:rsidP="00BA76B8">
            <w:pPr>
              <w:jc w:val="center"/>
              <w:rPr>
                <w:sz w:val="22"/>
                <w:szCs w:val="22"/>
              </w:rPr>
            </w:pPr>
            <w:r w:rsidRPr="00BA76B8">
              <w:rPr>
                <w:sz w:val="22"/>
                <w:szCs w:val="22"/>
              </w:rPr>
              <w:t>10.5</w:t>
            </w:r>
          </w:p>
          <w:p w14:paraId="28892B8A" w14:textId="77777777" w:rsidR="00B05AA9" w:rsidRPr="00BA76B8" w:rsidRDefault="00B05AA9" w:rsidP="00BA76B8">
            <w:pPr>
              <w:tabs>
                <w:tab w:val="left" w:pos="284"/>
              </w:tabs>
              <w:jc w:val="center"/>
              <w:rPr>
                <w:sz w:val="22"/>
                <w:szCs w:val="22"/>
              </w:rPr>
            </w:pPr>
            <w:r w:rsidRPr="00BA76B8">
              <w:rPr>
                <w:sz w:val="22"/>
                <w:szCs w:val="22"/>
              </w:rPr>
              <w:t>(1.8-21)</w:t>
            </w:r>
          </w:p>
        </w:tc>
        <w:tc>
          <w:tcPr>
            <w:tcW w:w="2226" w:type="dxa"/>
            <w:tcBorders>
              <w:top w:val="single" w:sz="4" w:space="0" w:color="auto"/>
              <w:left w:val="single" w:sz="4" w:space="0" w:color="auto"/>
              <w:bottom w:val="single" w:sz="4" w:space="0" w:color="auto"/>
              <w:right w:val="single" w:sz="4" w:space="0" w:color="auto"/>
            </w:tcBorders>
            <w:hideMark/>
          </w:tcPr>
          <w:p w14:paraId="3158046E" w14:textId="77777777" w:rsidR="00B05AA9" w:rsidRPr="00BA76B8" w:rsidRDefault="00B05AA9" w:rsidP="00BA76B8">
            <w:pPr>
              <w:jc w:val="center"/>
              <w:rPr>
                <w:sz w:val="22"/>
                <w:szCs w:val="22"/>
              </w:rPr>
            </w:pPr>
            <w:r w:rsidRPr="00BA76B8">
              <w:rPr>
                <w:sz w:val="22"/>
                <w:szCs w:val="22"/>
              </w:rPr>
              <w:t>13.4</w:t>
            </w:r>
          </w:p>
          <w:p w14:paraId="18AECBC0" w14:textId="77777777" w:rsidR="00B05AA9" w:rsidRPr="00BA76B8" w:rsidRDefault="00B05AA9" w:rsidP="00BA76B8">
            <w:pPr>
              <w:tabs>
                <w:tab w:val="left" w:pos="284"/>
              </w:tabs>
              <w:jc w:val="center"/>
              <w:rPr>
                <w:sz w:val="22"/>
                <w:szCs w:val="22"/>
              </w:rPr>
            </w:pPr>
            <w:r w:rsidRPr="00BA76B8">
              <w:rPr>
                <w:sz w:val="22"/>
                <w:szCs w:val="22"/>
              </w:rPr>
              <w:t>(2.1-55.1)</w:t>
            </w:r>
          </w:p>
        </w:tc>
      </w:tr>
      <w:tr w:rsidR="00B05AA9" w14:paraId="0A26273B" w14:textId="77777777" w:rsidTr="00BA76B8">
        <w:tc>
          <w:tcPr>
            <w:tcW w:w="2046" w:type="dxa"/>
            <w:tcBorders>
              <w:top w:val="single" w:sz="4" w:space="0" w:color="auto"/>
              <w:left w:val="single" w:sz="4" w:space="0" w:color="auto"/>
              <w:bottom w:val="single" w:sz="4" w:space="0" w:color="auto"/>
              <w:right w:val="single" w:sz="4" w:space="0" w:color="auto"/>
            </w:tcBorders>
            <w:hideMark/>
          </w:tcPr>
          <w:p w14:paraId="062718FE" w14:textId="13758A93" w:rsidR="00B05AA9" w:rsidRDefault="006E0357" w:rsidP="00BA76B8">
            <w:pPr>
              <w:tabs>
                <w:tab w:val="left" w:pos="284"/>
              </w:tabs>
              <w:rPr>
                <w:sz w:val="22"/>
                <w:szCs w:val="22"/>
                <w:lang w:val="pt-BR"/>
              </w:rPr>
            </w:pPr>
            <w:r>
              <w:rPr>
                <w:sz w:val="22"/>
                <w:szCs w:val="22"/>
                <w:lang w:val="pt-BR"/>
              </w:rPr>
              <w:t>Medijana</w:t>
            </w:r>
            <w:r w:rsidR="00B05AA9">
              <w:rPr>
                <w:sz w:val="22"/>
                <w:szCs w:val="22"/>
                <w:lang w:val="pt-BR"/>
              </w:rPr>
              <w:t xml:space="preserve"> do progresije bolesti (u mjesecima)(IP95%)</w:t>
            </w:r>
          </w:p>
        </w:tc>
        <w:tc>
          <w:tcPr>
            <w:tcW w:w="1460" w:type="dxa"/>
            <w:tcBorders>
              <w:top w:val="single" w:sz="4" w:space="0" w:color="auto"/>
              <w:left w:val="single" w:sz="4" w:space="0" w:color="auto"/>
              <w:bottom w:val="single" w:sz="4" w:space="0" w:color="auto"/>
              <w:right w:val="single" w:sz="4" w:space="0" w:color="auto"/>
            </w:tcBorders>
            <w:hideMark/>
          </w:tcPr>
          <w:p w14:paraId="24F679E1" w14:textId="77777777" w:rsidR="00B05AA9" w:rsidRPr="00BA76B8" w:rsidRDefault="00B05AA9" w:rsidP="00BA76B8">
            <w:pPr>
              <w:jc w:val="center"/>
              <w:rPr>
                <w:sz w:val="22"/>
                <w:szCs w:val="22"/>
                <w:lang w:val="sr-Latn-ME"/>
              </w:rPr>
            </w:pPr>
            <w:r w:rsidRPr="00BA76B8">
              <w:rPr>
                <w:sz w:val="22"/>
                <w:szCs w:val="22"/>
              </w:rPr>
              <w:t>3.4</w:t>
            </w:r>
          </w:p>
          <w:p w14:paraId="1EAE69A8" w14:textId="77777777" w:rsidR="00B05AA9" w:rsidRPr="00BA76B8" w:rsidRDefault="00B05AA9" w:rsidP="00BA76B8">
            <w:pPr>
              <w:tabs>
                <w:tab w:val="left" w:pos="284"/>
              </w:tabs>
              <w:jc w:val="center"/>
              <w:rPr>
                <w:sz w:val="22"/>
                <w:szCs w:val="22"/>
              </w:rPr>
            </w:pPr>
            <w:r w:rsidRPr="00BA76B8">
              <w:rPr>
                <w:sz w:val="22"/>
                <w:szCs w:val="22"/>
              </w:rPr>
              <w:t>(2.8-4.1)</w:t>
            </w:r>
          </w:p>
        </w:tc>
        <w:tc>
          <w:tcPr>
            <w:tcW w:w="1461" w:type="dxa"/>
            <w:tcBorders>
              <w:top w:val="single" w:sz="4" w:space="0" w:color="auto"/>
              <w:left w:val="single" w:sz="4" w:space="0" w:color="auto"/>
              <w:bottom w:val="single" w:sz="4" w:space="0" w:color="auto"/>
              <w:right w:val="single" w:sz="4" w:space="0" w:color="auto"/>
            </w:tcBorders>
            <w:hideMark/>
          </w:tcPr>
          <w:p w14:paraId="24181F5C" w14:textId="77777777" w:rsidR="00B05AA9" w:rsidRPr="00BA76B8" w:rsidRDefault="00B05AA9" w:rsidP="00BA76B8">
            <w:pPr>
              <w:jc w:val="center"/>
              <w:rPr>
                <w:sz w:val="22"/>
                <w:szCs w:val="22"/>
              </w:rPr>
            </w:pPr>
            <w:r w:rsidRPr="00BA76B8">
              <w:rPr>
                <w:sz w:val="22"/>
                <w:szCs w:val="22"/>
              </w:rPr>
              <w:t>7.7</w:t>
            </w:r>
          </w:p>
          <w:p w14:paraId="4C77D148" w14:textId="77777777" w:rsidR="00B05AA9" w:rsidRPr="00BA76B8" w:rsidRDefault="00B05AA9" w:rsidP="00BA76B8">
            <w:pPr>
              <w:tabs>
                <w:tab w:val="left" w:pos="284"/>
              </w:tabs>
              <w:jc w:val="center"/>
              <w:rPr>
                <w:sz w:val="22"/>
                <w:szCs w:val="22"/>
              </w:rPr>
            </w:pPr>
            <w:r w:rsidRPr="00BA76B8">
              <w:rPr>
                <w:sz w:val="22"/>
                <w:szCs w:val="22"/>
              </w:rPr>
              <w:t>(4.2-8.3)</w:t>
            </w:r>
          </w:p>
        </w:tc>
        <w:tc>
          <w:tcPr>
            <w:tcW w:w="1874" w:type="dxa"/>
            <w:tcBorders>
              <w:top w:val="single" w:sz="4" w:space="0" w:color="auto"/>
              <w:left w:val="single" w:sz="4" w:space="0" w:color="auto"/>
              <w:bottom w:val="single" w:sz="4" w:space="0" w:color="auto"/>
              <w:right w:val="single" w:sz="4" w:space="0" w:color="auto"/>
            </w:tcBorders>
            <w:hideMark/>
          </w:tcPr>
          <w:p w14:paraId="2BA48E39" w14:textId="77777777" w:rsidR="00B05AA9" w:rsidRPr="00BA76B8" w:rsidRDefault="00B05AA9" w:rsidP="00BA76B8">
            <w:pPr>
              <w:jc w:val="center"/>
              <w:rPr>
                <w:sz w:val="22"/>
                <w:szCs w:val="22"/>
              </w:rPr>
            </w:pPr>
            <w:r w:rsidRPr="00BA76B8">
              <w:rPr>
                <w:sz w:val="22"/>
                <w:szCs w:val="22"/>
              </w:rPr>
              <w:t>12.2</w:t>
            </w:r>
          </w:p>
          <w:p w14:paraId="62F0FD18" w14:textId="77777777" w:rsidR="00B05AA9" w:rsidRPr="00BA76B8" w:rsidRDefault="00B05AA9" w:rsidP="00BA76B8">
            <w:pPr>
              <w:tabs>
                <w:tab w:val="left" w:pos="284"/>
              </w:tabs>
              <w:jc w:val="center"/>
              <w:rPr>
                <w:sz w:val="22"/>
                <w:szCs w:val="22"/>
              </w:rPr>
            </w:pPr>
            <w:r w:rsidRPr="00BA76B8">
              <w:rPr>
                <w:sz w:val="22"/>
                <w:szCs w:val="22"/>
              </w:rPr>
              <w:t>(6.2-ne)</w:t>
            </w:r>
          </w:p>
        </w:tc>
        <w:tc>
          <w:tcPr>
            <w:tcW w:w="2226" w:type="dxa"/>
            <w:tcBorders>
              <w:top w:val="single" w:sz="4" w:space="0" w:color="auto"/>
              <w:left w:val="single" w:sz="4" w:space="0" w:color="auto"/>
              <w:bottom w:val="single" w:sz="4" w:space="0" w:color="auto"/>
              <w:right w:val="single" w:sz="4" w:space="0" w:color="auto"/>
            </w:tcBorders>
            <w:hideMark/>
          </w:tcPr>
          <w:p w14:paraId="522A5A22" w14:textId="77777777" w:rsidR="00B05AA9" w:rsidRPr="00BA76B8" w:rsidRDefault="00B05AA9" w:rsidP="00BA76B8">
            <w:pPr>
              <w:jc w:val="center"/>
              <w:rPr>
                <w:sz w:val="22"/>
                <w:szCs w:val="22"/>
              </w:rPr>
            </w:pPr>
            <w:r w:rsidRPr="00BA76B8">
              <w:rPr>
                <w:sz w:val="22"/>
                <w:szCs w:val="22"/>
              </w:rPr>
              <w:t>13.6</w:t>
            </w:r>
          </w:p>
          <w:p w14:paraId="3DD0B114" w14:textId="77777777" w:rsidR="00B05AA9" w:rsidRPr="00BA76B8" w:rsidRDefault="00B05AA9" w:rsidP="00BA76B8">
            <w:pPr>
              <w:tabs>
                <w:tab w:val="left" w:pos="284"/>
              </w:tabs>
              <w:jc w:val="center"/>
              <w:rPr>
                <w:sz w:val="22"/>
                <w:szCs w:val="22"/>
              </w:rPr>
            </w:pPr>
            <w:r w:rsidRPr="00BA76B8">
              <w:rPr>
                <w:sz w:val="22"/>
                <w:szCs w:val="22"/>
              </w:rPr>
              <w:t>(11-16)</w:t>
            </w:r>
          </w:p>
        </w:tc>
      </w:tr>
      <w:tr w:rsidR="00B05AA9" w14:paraId="20F54332" w14:textId="77777777" w:rsidTr="00BA76B8">
        <w:tc>
          <w:tcPr>
            <w:tcW w:w="2046" w:type="dxa"/>
            <w:tcBorders>
              <w:top w:val="single" w:sz="4" w:space="0" w:color="auto"/>
              <w:left w:val="single" w:sz="4" w:space="0" w:color="auto"/>
              <w:bottom w:val="single" w:sz="4" w:space="0" w:color="auto"/>
              <w:right w:val="single" w:sz="4" w:space="0" w:color="auto"/>
            </w:tcBorders>
            <w:hideMark/>
          </w:tcPr>
          <w:p w14:paraId="74BBC98A" w14:textId="22D59270" w:rsidR="00B05AA9" w:rsidRDefault="006E0357" w:rsidP="00BA76B8">
            <w:pPr>
              <w:rPr>
                <w:sz w:val="22"/>
                <w:szCs w:val="22"/>
                <w:lang w:val="it-IT"/>
              </w:rPr>
            </w:pPr>
            <w:r>
              <w:rPr>
                <w:sz w:val="22"/>
                <w:szCs w:val="22"/>
                <w:lang w:val="it-IT"/>
              </w:rPr>
              <w:t xml:space="preserve">Medijana </w:t>
            </w:r>
            <w:r w:rsidR="00B05AA9">
              <w:rPr>
                <w:sz w:val="22"/>
                <w:szCs w:val="22"/>
                <w:lang w:val="it-IT"/>
              </w:rPr>
              <w:t>preživljavanj</w:t>
            </w:r>
            <w:r>
              <w:rPr>
                <w:sz w:val="22"/>
                <w:szCs w:val="22"/>
                <w:lang w:val="it-IT"/>
              </w:rPr>
              <w:t>a</w:t>
            </w:r>
          </w:p>
          <w:p w14:paraId="632F9B6E" w14:textId="77777777" w:rsidR="00B05AA9" w:rsidRDefault="00B05AA9" w:rsidP="00BA76B8">
            <w:pPr>
              <w:tabs>
                <w:tab w:val="left" w:pos="284"/>
              </w:tabs>
              <w:rPr>
                <w:sz w:val="22"/>
                <w:szCs w:val="22"/>
                <w:lang w:val="it-IT"/>
              </w:rPr>
            </w:pPr>
            <w:r>
              <w:rPr>
                <w:sz w:val="22"/>
                <w:szCs w:val="22"/>
                <w:lang w:val="it-IT"/>
              </w:rPr>
              <w:lastRenderedPageBreak/>
              <w:t xml:space="preserve">(u mjesecima) (IP95%) </w:t>
            </w:r>
          </w:p>
        </w:tc>
        <w:tc>
          <w:tcPr>
            <w:tcW w:w="1460" w:type="dxa"/>
            <w:tcBorders>
              <w:top w:val="single" w:sz="4" w:space="0" w:color="auto"/>
              <w:left w:val="single" w:sz="4" w:space="0" w:color="auto"/>
              <w:bottom w:val="single" w:sz="4" w:space="0" w:color="auto"/>
              <w:right w:val="single" w:sz="4" w:space="0" w:color="auto"/>
            </w:tcBorders>
            <w:hideMark/>
          </w:tcPr>
          <w:p w14:paraId="346AC52C" w14:textId="77777777" w:rsidR="00B05AA9" w:rsidRPr="00BA76B8" w:rsidRDefault="00B05AA9" w:rsidP="00BA76B8">
            <w:pPr>
              <w:tabs>
                <w:tab w:val="left" w:pos="284"/>
              </w:tabs>
              <w:jc w:val="center"/>
              <w:rPr>
                <w:sz w:val="22"/>
                <w:szCs w:val="22"/>
                <w:lang w:val="it-IT"/>
              </w:rPr>
            </w:pPr>
            <w:r w:rsidRPr="00BA76B8">
              <w:rPr>
                <w:sz w:val="22"/>
                <w:szCs w:val="22"/>
                <w:lang w:val="it-IT"/>
              </w:rPr>
              <w:lastRenderedPageBreak/>
              <w:t>ne*</w:t>
            </w:r>
          </w:p>
        </w:tc>
        <w:tc>
          <w:tcPr>
            <w:tcW w:w="1461" w:type="dxa"/>
            <w:tcBorders>
              <w:top w:val="single" w:sz="4" w:space="0" w:color="auto"/>
              <w:left w:val="single" w:sz="4" w:space="0" w:color="auto"/>
              <w:bottom w:val="single" w:sz="4" w:space="0" w:color="auto"/>
              <w:right w:val="single" w:sz="4" w:space="0" w:color="auto"/>
            </w:tcBorders>
            <w:hideMark/>
          </w:tcPr>
          <w:p w14:paraId="7F1AE646" w14:textId="77777777" w:rsidR="00B05AA9" w:rsidRPr="00BA76B8" w:rsidRDefault="00B05AA9" w:rsidP="00BA76B8">
            <w:pPr>
              <w:tabs>
                <w:tab w:val="left" w:pos="284"/>
              </w:tabs>
              <w:jc w:val="center"/>
              <w:rPr>
                <w:sz w:val="22"/>
                <w:szCs w:val="22"/>
                <w:lang w:val="it-IT"/>
              </w:rPr>
            </w:pPr>
            <w:r w:rsidRPr="00BA76B8">
              <w:rPr>
                <w:sz w:val="22"/>
                <w:szCs w:val="22"/>
                <w:lang w:val="it-IT"/>
              </w:rPr>
              <w:t>ne*</w:t>
            </w:r>
          </w:p>
        </w:tc>
        <w:tc>
          <w:tcPr>
            <w:tcW w:w="1874" w:type="dxa"/>
            <w:tcBorders>
              <w:top w:val="single" w:sz="4" w:space="0" w:color="auto"/>
              <w:left w:val="single" w:sz="4" w:space="0" w:color="auto"/>
              <w:bottom w:val="single" w:sz="4" w:space="0" w:color="auto"/>
              <w:right w:val="single" w:sz="4" w:space="0" w:color="auto"/>
            </w:tcBorders>
          </w:tcPr>
          <w:p w14:paraId="4600FB99" w14:textId="77777777" w:rsidR="00B05AA9" w:rsidRPr="00BA76B8" w:rsidRDefault="00B05AA9" w:rsidP="00BA76B8">
            <w:pPr>
              <w:jc w:val="center"/>
              <w:rPr>
                <w:sz w:val="22"/>
                <w:szCs w:val="22"/>
                <w:lang w:val="it-IT"/>
              </w:rPr>
            </w:pPr>
            <w:r w:rsidRPr="00BA76B8">
              <w:rPr>
                <w:sz w:val="22"/>
                <w:szCs w:val="22"/>
                <w:lang w:val="it-IT"/>
              </w:rPr>
              <w:t>ne*</w:t>
            </w:r>
          </w:p>
          <w:p w14:paraId="2EC0F347" w14:textId="77777777" w:rsidR="00B05AA9" w:rsidRPr="00BA76B8" w:rsidRDefault="00B05AA9" w:rsidP="00BA76B8">
            <w:pPr>
              <w:tabs>
                <w:tab w:val="left" w:pos="284"/>
              </w:tabs>
              <w:jc w:val="center"/>
              <w:rPr>
                <w:sz w:val="22"/>
                <w:szCs w:val="22"/>
                <w:lang w:val="it-IT"/>
              </w:rPr>
            </w:pPr>
          </w:p>
        </w:tc>
        <w:tc>
          <w:tcPr>
            <w:tcW w:w="2226" w:type="dxa"/>
            <w:tcBorders>
              <w:top w:val="single" w:sz="4" w:space="0" w:color="auto"/>
              <w:left w:val="single" w:sz="4" w:space="0" w:color="auto"/>
              <w:bottom w:val="single" w:sz="4" w:space="0" w:color="auto"/>
              <w:right w:val="single" w:sz="4" w:space="0" w:color="auto"/>
            </w:tcBorders>
            <w:hideMark/>
          </w:tcPr>
          <w:p w14:paraId="3B41A457" w14:textId="77777777" w:rsidR="00B05AA9" w:rsidRPr="00BA76B8" w:rsidRDefault="00B05AA9" w:rsidP="00BA76B8">
            <w:pPr>
              <w:jc w:val="center"/>
              <w:rPr>
                <w:sz w:val="22"/>
                <w:szCs w:val="22"/>
                <w:lang w:val="it-IT"/>
              </w:rPr>
            </w:pPr>
            <w:r w:rsidRPr="00BA76B8">
              <w:rPr>
                <w:sz w:val="22"/>
                <w:szCs w:val="22"/>
                <w:lang w:val="it-IT"/>
              </w:rPr>
              <w:t>47.3</w:t>
            </w:r>
          </w:p>
          <w:p w14:paraId="604A6443" w14:textId="77777777" w:rsidR="00B05AA9" w:rsidRPr="00BA76B8" w:rsidRDefault="00B05AA9" w:rsidP="00BA76B8">
            <w:pPr>
              <w:tabs>
                <w:tab w:val="left" w:pos="284"/>
              </w:tabs>
              <w:jc w:val="center"/>
              <w:rPr>
                <w:sz w:val="22"/>
                <w:szCs w:val="22"/>
                <w:lang w:val="it-IT"/>
              </w:rPr>
            </w:pPr>
            <w:r w:rsidRPr="00BA76B8">
              <w:rPr>
                <w:sz w:val="22"/>
                <w:szCs w:val="22"/>
                <w:lang w:val="it-IT"/>
              </w:rPr>
              <w:t>(32-ne)</w:t>
            </w:r>
          </w:p>
        </w:tc>
      </w:tr>
    </w:tbl>
    <w:p w14:paraId="7C1F9B5E" w14:textId="765F9A04" w:rsidR="00B05AA9" w:rsidRPr="009D4A69" w:rsidRDefault="00B05AA9" w:rsidP="00641EEB">
      <w:pPr>
        <w:jc w:val="both"/>
        <w:rPr>
          <w:sz w:val="20"/>
          <w:szCs w:val="20"/>
          <w:lang w:val="it-IT"/>
        </w:rPr>
      </w:pPr>
      <w:r>
        <w:rPr>
          <w:sz w:val="22"/>
          <w:szCs w:val="22"/>
          <w:lang w:val="it-IT"/>
        </w:rPr>
        <w:t xml:space="preserve"> </w:t>
      </w:r>
      <w:r w:rsidRPr="009D4A69">
        <w:rPr>
          <w:sz w:val="20"/>
          <w:szCs w:val="20"/>
          <w:lang w:val="it-IT"/>
        </w:rPr>
        <w:t>*ne- označava da se ili nije moglo procijeniti ili da nije još dostignuto</w:t>
      </w:r>
    </w:p>
    <w:p w14:paraId="63986CEB" w14:textId="02781117" w:rsidR="00B05AA9" w:rsidRPr="009D4A69" w:rsidRDefault="00B05AA9" w:rsidP="00641EEB">
      <w:pPr>
        <w:jc w:val="both"/>
        <w:rPr>
          <w:sz w:val="20"/>
          <w:szCs w:val="20"/>
          <w:lang w:val="it-IT"/>
        </w:rPr>
      </w:pPr>
      <w:r w:rsidRPr="009D4A69">
        <w:rPr>
          <w:sz w:val="20"/>
          <w:szCs w:val="20"/>
          <w:lang w:val="it-IT"/>
        </w:rPr>
        <w:t>1.</w:t>
      </w:r>
      <w:r w:rsidRPr="009D4A69">
        <w:rPr>
          <w:sz w:val="20"/>
          <w:szCs w:val="20"/>
          <w:lang w:val="it-IT"/>
        </w:rPr>
        <w:tab/>
        <w:t>Studija WO16229: udarna doza 8 mg/kg, nakon koje je slijedilo 6 mg/kg po tronedjeljnom režimu</w:t>
      </w:r>
    </w:p>
    <w:p w14:paraId="6997524E" w14:textId="77777777" w:rsidR="00B05AA9" w:rsidRPr="009D4A69" w:rsidRDefault="00B05AA9" w:rsidP="00641EEB">
      <w:pPr>
        <w:ind w:left="709" w:hanging="709"/>
        <w:jc w:val="both"/>
        <w:rPr>
          <w:sz w:val="20"/>
          <w:szCs w:val="20"/>
          <w:lang w:val="it-IT"/>
        </w:rPr>
      </w:pPr>
      <w:r w:rsidRPr="009D4A69">
        <w:rPr>
          <w:sz w:val="20"/>
          <w:szCs w:val="20"/>
          <w:lang w:val="it-IT"/>
        </w:rPr>
        <w:t>2.</w:t>
      </w:r>
      <w:r w:rsidRPr="009D4A69">
        <w:rPr>
          <w:sz w:val="20"/>
          <w:szCs w:val="20"/>
          <w:lang w:val="it-IT"/>
        </w:rPr>
        <w:tab/>
        <w:t>Studija MO16982: udarna doza 6mg/kg nedjeljno x 3; nakon koje je slijedilo 6 mg/kg po tronedjeljnom režimu</w:t>
      </w:r>
    </w:p>
    <w:p w14:paraId="6D3D597E" w14:textId="1FABB561" w:rsidR="00B05AA9" w:rsidRPr="009D4A69" w:rsidRDefault="00B05AA9" w:rsidP="00641EEB">
      <w:pPr>
        <w:jc w:val="both"/>
        <w:rPr>
          <w:sz w:val="20"/>
          <w:szCs w:val="20"/>
          <w:lang w:val="it-IT"/>
        </w:rPr>
      </w:pPr>
      <w:r w:rsidRPr="009D4A69">
        <w:rPr>
          <w:sz w:val="20"/>
          <w:szCs w:val="20"/>
          <w:lang w:val="it-IT"/>
        </w:rPr>
        <w:t>3.</w:t>
      </w:r>
      <w:r w:rsidRPr="009D4A69">
        <w:rPr>
          <w:sz w:val="20"/>
          <w:szCs w:val="20"/>
          <w:lang w:val="it-IT"/>
        </w:rPr>
        <w:tab/>
      </w:r>
      <w:r w:rsidR="00E05379">
        <w:rPr>
          <w:sz w:val="20"/>
          <w:szCs w:val="20"/>
          <w:lang w:val="it-IT"/>
        </w:rPr>
        <w:t xml:space="preserve">Studija </w:t>
      </w:r>
      <w:r w:rsidRPr="009D4A69">
        <w:rPr>
          <w:sz w:val="20"/>
          <w:szCs w:val="20"/>
          <w:lang w:val="it-IT"/>
        </w:rPr>
        <w:t>BO15935</w:t>
      </w:r>
    </w:p>
    <w:p w14:paraId="659F2AD6" w14:textId="7C966726" w:rsidR="00B05AA9" w:rsidRDefault="00B05AA9" w:rsidP="00641EEB">
      <w:pPr>
        <w:jc w:val="both"/>
        <w:rPr>
          <w:b/>
          <w:sz w:val="22"/>
          <w:szCs w:val="22"/>
          <w:lang w:val="it-IT"/>
        </w:rPr>
      </w:pPr>
      <w:r w:rsidRPr="009D4A69">
        <w:rPr>
          <w:sz w:val="20"/>
          <w:szCs w:val="20"/>
          <w:lang w:val="it-IT"/>
        </w:rPr>
        <w:t>4.</w:t>
      </w:r>
      <w:r w:rsidRPr="009D4A69">
        <w:rPr>
          <w:sz w:val="20"/>
          <w:szCs w:val="20"/>
          <w:lang w:val="it-IT"/>
        </w:rPr>
        <w:tab/>
      </w:r>
      <w:r w:rsidR="00E05379">
        <w:rPr>
          <w:sz w:val="20"/>
          <w:szCs w:val="20"/>
          <w:lang w:val="it-IT"/>
        </w:rPr>
        <w:t xml:space="preserve">Studija </w:t>
      </w:r>
      <w:r w:rsidRPr="009D4A69">
        <w:rPr>
          <w:sz w:val="20"/>
          <w:szCs w:val="20"/>
          <w:lang w:val="it-IT"/>
        </w:rPr>
        <w:t>MO16419</w:t>
      </w:r>
    </w:p>
    <w:p w14:paraId="263B3B85" w14:textId="77777777" w:rsidR="00B05AA9" w:rsidRDefault="00B05AA9" w:rsidP="00641EEB">
      <w:pPr>
        <w:jc w:val="both"/>
        <w:rPr>
          <w:i/>
          <w:sz w:val="22"/>
          <w:szCs w:val="22"/>
          <w:u w:val="single"/>
          <w:lang w:val="it-IT"/>
        </w:rPr>
      </w:pPr>
    </w:p>
    <w:p w14:paraId="496726BF" w14:textId="77777777" w:rsidR="00B05AA9" w:rsidRDefault="00B05AA9" w:rsidP="00641EEB">
      <w:pPr>
        <w:jc w:val="both"/>
        <w:rPr>
          <w:i/>
          <w:sz w:val="22"/>
          <w:szCs w:val="22"/>
          <w:lang w:val="it-IT"/>
        </w:rPr>
      </w:pPr>
      <w:r>
        <w:rPr>
          <w:i/>
          <w:sz w:val="22"/>
          <w:szCs w:val="22"/>
          <w:lang w:val="it-IT"/>
        </w:rPr>
        <w:t>Mjesta progresije bolesti</w:t>
      </w:r>
    </w:p>
    <w:p w14:paraId="4432CD3A" w14:textId="77777777" w:rsidR="00B05AA9" w:rsidRDefault="00B05AA9" w:rsidP="00641EEB">
      <w:pPr>
        <w:jc w:val="both"/>
        <w:rPr>
          <w:sz w:val="22"/>
          <w:szCs w:val="22"/>
          <w:lang w:val="it-IT"/>
        </w:rPr>
      </w:pPr>
      <w:r>
        <w:rPr>
          <w:sz w:val="22"/>
          <w:szCs w:val="22"/>
          <w:lang w:val="it-IT"/>
        </w:rPr>
        <w:t>Učestalost pojave metastaza u jetri bila je znatno smanjena kod pacijenata liječenih kombinacijom lijeka Herceptin i paklitaksela u poređenju sa samim paklitakselom (21.8% naspram 45.7%, p=0.004). Progresija bolesti u centralnom nervnom sistemu zabilježena je više kod pacijenata liječenih lijekom Herceptin i paklitakselom u odnosu na one liječene samo paklitakselom (12.6% naspram 6.5%, p=0.377).</w:t>
      </w:r>
    </w:p>
    <w:p w14:paraId="6BF7F2F9" w14:textId="77777777" w:rsidR="00B05AA9" w:rsidRDefault="00B05AA9" w:rsidP="00641EEB">
      <w:pPr>
        <w:jc w:val="both"/>
        <w:rPr>
          <w:sz w:val="22"/>
          <w:szCs w:val="22"/>
          <w:lang w:val="it-IT"/>
        </w:rPr>
      </w:pPr>
    </w:p>
    <w:p w14:paraId="2231308C" w14:textId="77777777" w:rsidR="00B05AA9" w:rsidRPr="009D4A69" w:rsidRDefault="00B05AA9" w:rsidP="00641EEB">
      <w:pPr>
        <w:jc w:val="both"/>
        <w:rPr>
          <w:i/>
          <w:sz w:val="22"/>
          <w:szCs w:val="22"/>
          <w:u w:val="single"/>
          <w:lang w:val="it-IT"/>
        </w:rPr>
      </w:pPr>
      <w:r w:rsidRPr="009D4A69">
        <w:rPr>
          <w:i/>
          <w:sz w:val="22"/>
          <w:szCs w:val="22"/>
          <w:u w:val="single"/>
          <w:lang w:val="it-IT"/>
        </w:rPr>
        <w:t>Rani karcinom dojke (adjuvantno liječenje)</w:t>
      </w:r>
    </w:p>
    <w:p w14:paraId="54202886" w14:textId="77777777" w:rsidR="00B05AA9" w:rsidRDefault="00B05AA9" w:rsidP="00641EEB">
      <w:pPr>
        <w:jc w:val="both"/>
        <w:rPr>
          <w:sz w:val="22"/>
          <w:szCs w:val="22"/>
          <w:lang w:val="it-IT"/>
        </w:rPr>
      </w:pPr>
    </w:p>
    <w:p w14:paraId="70BF8953" w14:textId="3D9E7285" w:rsidR="00B05AA9" w:rsidRDefault="00B05AA9" w:rsidP="00641EEB">
      <w:pPr>
        <w:jc w:val="both"/>
        <w:rPr>
          <w:sz w:val="22"/>
          <w:szCs w:val="22"/>
          <w:lang w:val="pt-BR"/>
        </w:rPr>
      </w:pPr>
      <w:r>
        <w:rPr>
          <w:sz w:val="22"/>
          <w:szCs w:val="22"/>
          <w:lang w:val="it-IT"/>
        </w:rPr>
        <w:t xml:space="preserve">Rani karcinom dojke se definiše kao nemetastatski primarni invazivni karcinom dojke. </w:t>
      </w:r>
      <w:r>
        <w:rPr>
          <w:sz w:val="22"/>
          <w:szCs w:val="22"/>
          <w:lang w:val="pt-BR"/>
        </w:rPr>
        <w:t>U adjuvantnom liječenju</w:t>
      </w:r>
      <w:r>
        <w:rPr>
          <w:sz w:val="22"/>
          <w:szCs w:val="22"/>
        </w:rPr>
        <w:t>, Her</w:t>
      </w:r>
      <w:r>
        <w:rPr>
          <w:sz w:val="22"/>
          <w:szCs w:val="22"/>
          <w:lang w:val="pt-BR"/>
        </w:rPr>
        <w:t>ceptin je  ispitivan u 4 velike multicentrične, randomizovane studije.</w:t>
      </w:r>
    </w:p>
    <w:p w14:paraId="029C245F" w14:textId="77777777" w:rsidR="00E22177" w:rsidRDefault="00E22177" w:rsidP="00641EEB">
      <w:pPr>
        <w:jc w:val="both"/>
        <w:rPr>
          <w:sz w:val="22"/>
          <w:szCs w:val="22"/>
          <w:lang w:val="pt-BR"/>
        </w:rPr>
      </w:pPr>
    </w:p>
    <w:p w14:paraId="7F041D86" w14:textId="5F1B82F3" w:rsidR="00B05AA9" w:rsidRDefault="00B05AA9" w:rsidP="00641EEB">
      <w:pPr>
        <w:numPr>
          <w:ilvl w:val="0"/>
          <w:numId w:val="16"/>
        </w:numPr>
        <w:tabs>
          <w:tab w:val="left" w:pos="284"/>
        </w:tabs>
        <w:jc w:val="both"/>
        <w:rPr>
          <w:sz w:val="22"/>
          <w:szCs w:val="22"/>
          <w:lang w:val="pt-BR"/>
        </w:rPr>
      </w:pPr>
      <w:r>
        <w:rPr>
          <w:sz w:val="22"/>
          <w:szCs w:val="22"/>
          <w:lang w:val="pt-BR"/>
        </w:rPr>
        <w:t>BO16348 studija je dizajnirana da se uporedi godinu ili dvije godine dana terapije lijekom Herceptin u intervalima od tri nedjelje sa pacijentkinjama koje su imale HER2 pozitivni rani karcinom dojke poslije operacije, uvođenja hemoterapije i radioterapije (ako je bilo potrebno). Osim toga, napravljeno je poređenje dvogodišnjeg liječenja lijekom Herceptin naspram jednogodišnjeg liječenja lijekom Herceptin</w:t>
      </w:r>
      <w:r>
        <w:rPr>
          <w:szCs w:val="22"/>
          <w:lang w:val="hr-HR"/>
        </w:rPr>
        <w:t>.</w:t>
      </w:r>
      <w:r>
        <w:rPr>
          <w:sz w:val="22"/>
          <w:szCs w:val="22"/>
          <w:lang w:val="pt-BR"/>
        </w:rPr>
        <w:t xml:space="preserve"> Pacijentkinje koje su dodijeljene u grupu koja je primala </w:t>
      </w:r>
      <w:r w:rsidR="00E22177">
        <w:rPr>
          <w:sz w:val="22"/>
          <w:szCs w:val="22"/>
          <w:lang w:val="pt-BR"/>
        </w:rPr>
        <w:t xml:space="preserve">lijek </w:t>
      </w:r>
      <w:r>
        <w:rPr>
          <w:sz w:val="22"/>
          <w:szCs w:val="22"/>
          <w:lang w:val="pt-BR"/>
        </w:rPr>
        <w:t xml:space="preserve">Herceptin dobijale su inicijalnu udarnu dozu od 8 mg/kg poslije čega je slijedila terapija dozom od 6 mg/kg na svake tri nedjelje tokom godinu ili dvije godine dana. </w:t>
      </w:r>
    </w:p>
    <w:p w14:paraId="5BED9EEE" w14:textId="77777777" w:rsidR="00B05AA9" w:rsidRDefault="00B05AA9" w:rsidP="00641EEB">
      <w:pPr>
        <w:numPr>
          <w:ilvl w:val="0"/>
          <w:numId w:val="16"/>
        </w:numPr>
        <w:tabs>
          <w:tab w:val="left" w:pos="284"/>
        </w:tabs>
        <w:jc w:val="both"/>
        <w:rPr>
          <w:sz w:val="22"/>
          <w:szCs w:val="22"/>
          <w:lang w:val="pt-BR"/>
        </w:rPr>
      </w:pPr>
      <w:r>
        <w:rPr>
          <w:sz w:val="22"/>
          <w:szCs w:val="22"/>
          <w:lang w:val="pt-BR"/>
        </w:rPr>
        <w:t>Studije NSABP B-31 i NCCTG N9831 koje su obuhvaćene zajedničkom analizom, sa ciljem da se ispita klinička korist kombinacije lijeka Herceptin sa paklitakselom nakon AC hemoterapije, dodatno studija NCCTG N9831 ispitivala je dodatak lijeka Herceptin AC-P hemoterapijskom režimu kod pacijenata sa HER2 pozitivnim ranim karcinomom dojke nakon operacije.</w:t>
      </w:r>
    </w:p>
    <w:p w14:paraId="45F6F70A" w14:textId="09D3CB9E" w:rsidR="00B05AA9" w:rsidRDefault="00B05AA9" w:rsidP="00641EEB">
      <w:pPr>
        <w:numPr>
          <w:ilvl w:val="0"/>
          <w:numId w:val="16"/>
        </w:numPr>
        <w:tabs>
          <w:tab w:val="left" w:pos="284"/>
        </w:tabs>
        <w:jc w:val="both"/>
        <w:rPr>
          <w:sz w:val="22"/>
          <w:szCs w:val="22"/>
          <w:lang w:val="pt-BR"/>
        </w:rPr>
      </w:pPr>
      <w:r>
        <w:rPr>
          <w:sz w:val="22"/>
          <w:szCs w:val="22"/>
          <w:lang w:val="pt-BR"/>
        </w:rPr>
        <w:t>Studija BCIRG 006 dizajnirana je da ispita kombinaciju tretmana lijekom Herceptin sa docetakselom ili nakon AC hemoterapije ili u kombinaciji sa docetakselom i karboplatinom kod pacijenata sa HER2 pozitivnim ranim karcinomom dojke nakon operacije.</w:t>
      </w:r>
    </w:p>
    <w:p w14:paraId="1D371D1B" w14:textId="77777777" w:rsidR="009D4A69" w:rsidRDefault="009D4A69" w:rsidP="00641EEB">
      <w:pPr>
        <w:tabs>
          <w:tab w:val="left" w:pos="284"/>
        </w:tabs>
        <w:ind w:left="720"/>
        <w:jc w:val="both"/>
        <w:rPr>
          <w:sz w:val="22"/>
          <w:szCs w:val="22"/>
          <w:lang w:val="pt-BR"/>
        </w:rPr>
      </w:pPr>
    </w:p>
    <w:p w14:paraId="2E7007A9" w14:textId="2792FD81" w:rsidR="00B05AA9" w:rsidRDefault="00B05AA9" w:rsidP="00641EEB">
      <w:pPr>
        <w:jc w:val="both"/>
        <w:rPr>
          <w:sz w:val="22"/>
          <w:szCs w:val="22"/>
          <w:lang w:val="pt-BR"/>
        </w:rPr>
      </w:pPr>
      <w:r>
        <w:rPr>
          <w:sz w:val="22"/>
          <w:szCs w:val="22"/>
          <w:lang w:val="pt-BR"/>
        </w:rPr>
        <w:t>Rani karcinom dojke u HERA studiji bio je ograničen isključivo na operabilni, primarni, invazivni adenokarcinom dojke, sa pozitivnim ili negativnim aksilarnim čvorovima ako je promjer tumora iznosio najmanje 1 cm.</w:t>
      </w:r>
    </w:p>
    <w:p w14:paraId="4D13F981" w14:textId="77777777" w:rsidR="009D4A69" w:rsidRDefault="009D4A69" w:rsidP="00641EEB">
      <w:pPr>
        <w:jc w:val="both"/>
        <w:rPr>
          <w:sz w:val="22"/>
          <w:szCs w:val="22"/>
          <w:lang w:val="pt-BR"/>
        </w:rPr>
      </w:pPr>
    </w:p>
    <w:p w14:paraId="1AE2ADBF" w14:textId="232DC501" w:rsidR="00B05AA9" w:rsidRDefault="00B05AA9" w:rsidP="00641EEB">
      <w:pPr>
        <w:jc w:val="both"/>
        <w:rPr>
          <w:sz w:val="22"/>
          <w:szCs w:val="22"/>
          <w:lang w:val="pt-BR"/>
        </w:rPr>
      </w:pPr>
      <w:r>
        <w:rPr>
          <w:sz w:val="22"/>
          <w:szCs w:val="22"/>
          <w:lang w:val="pt-BR"/>
        </w:rPr>
        <w:t>U zajedničkoj analizi studija NSABP B-31 i NCCTG N9831, rani karcinom dojke je bio ograničen isključivo na žene sa operabilnim karcinomom dojke visokog rizika, definisanim kao HER2 pozitivan sa aksilarnim limfnim čvorovima ili HER2 pozitivan sa negativnim aksilarnim limfnim čvorovima visokog rizika (veličina tumora &gt;</w:t>
      </w:r>
      <w:r w:rsidR="00667BB3">
        <w:rPr>
          <w:sz w:val="22"/>
          <w:szCs w:val="22"/>
          <w:lang w:val="pt-BR"/>
        </w:rPr>
        <w:t xml:space="preserve"> </w:t>
      </w:r>
      <w:r>
        <w:rPr>
          <w:sz w:val="22"/>
          <w:szCs w:val="22"/>
          <w:lang w:val="pt-BR"/>
        </w:rPr>
        <w:t>1cm i ER negativan ili veličina tumora &gt;</w:t>
      </w:r>
      <w:r w:rsidR="00667BB3">
        <w:rPr>
          <w:sz w:val="22"/>
          <w:szCs w:val="22"/>
          <w:lang w:val="pt-BR"/>
        </w:rPr>
        <w:t xml:space="preserve"> </w:t>
      </w:r>
      <w:r>
        <w:rPr>
          <w:sz w:val="22"/>
          <w:szCs w:val="22"/>
          <w:lang w:val="pt-BR"/>
        </w:rPr>
        <w:t>2cm, nezavisno od hormonskog statusa).</w:t>
      </w:r>
    </w:p>
    <w:p w14:paraId="4DA62342" w14:textId="77777777" w:rsidR="009D4A69" w:rsidRDefault="009D4A69" w:rsidP="00641EEB">
      <w:pPr>
        <w:jc w:val="both"/>
        <w:rPr>
          <w:sz w:val="22"/>
          <w:szCs w:val="22"/>
          <w:lang w:val="pt-BR"/>
        </w:rPr>
      </w:pPr>
    </w:p>
    <w:p w14:paraId="05303994" w14:textId="3D7B9006" w:rsidR="00B05AA9" w:rsidRDefault="00B05AA9" w:rsidP="00641EEB">
      <w:pPr>
        <w:jc w:val="both"/>
        <w:rPr>
          <w:sz w:val="22"/>
          <w:szCs w:val="22"/>
          <w:lang w:val="pt-BR"/>
        </w:rPr>
      </w:pPr>
      <w:r>
        <w:rPr>
          <w:sz w:val="22"/>
          <w:szCs w:val="22"/>
          <w:lang w:val="pt-BR"/>
        </w:rPr>
        <w:t>U studiji BCIRG 006 HER2 pozitivni, rani karcinom dojke je definisan bilo kao tumor sa pozitivnim limfnim čvorovima ili visokorizični tumor sa negativnim limfnim čvorovima i barem jednim od sljedećih faktora: veličina tumora veća od 2</w:t>
      </w:r>
      <w:r w:rsidR="00667BB3">
        <w:rPr>
          <w:sz w:val="22"/>
          <w:szCs w:val="22"/>
          <w:lang w:val="pt-BR"/>
        </w:rPr>
        <w:t xml:space="preserve"> </w:t>
      </w:r>
      <w:r>
        <w:rPr>
          <w:sz w:val="22"/>
          <w:szCs w:val="22"/>
          <w:lang w:val="pt-BR"/>
        </w:rPr>
        <w:t>cm, estrogen receptor i progesteron receptor negativni, histološki i/ili nuklearni stepen 2-3</w:t>
      </w:r>
      <w:r w:rsidR="00667BB3">
        <w:rPr>
          <w:sz w:val="22"/>
          <w:szCs w:val="22"/>
          <w:lang w:val="pt-BR"/>
        </w:rPr>
        <w:t xml:space="preserve"> </w:t>
      </w:r>
      <w:r>
        <w:rPr>
          <w:sz w:val="22"/>
          <w:szCs w:val="22"/>
          <w:lang w:val="pt-BR"/>
        </w:rPr>
        <w:t>i godine starosti &lt;</w:t>
      </w:r>
      <w:r w:rsidR="00667BB3">
        <w:rPr>
          <w:sz w:val="22"/>
          <w:szCs w:val="22"/>
          <w:lang w:val="pt-BR"/>
        </w:rPr>
        <w:t xml:space="preserve"> </w:t>
      </w:r>
      <w:r>
        <w:rPr>
          <w:sz w:val="22"/>
          <w:szCs w:val="22"/>
          <w:lang w:val="pt-BR"/>
        </w:rPr>
        <w:t>35 godina.</w:t>
      </w:r>
    </w:p>
    <w:p w14:paraId="261D974B" w14:textId="77777777" w:rsidR="00B05AA9" w:rsidRDefault="00B05AA9" w:rsidP="00641EEB">
      <w:pPr>
        <w:jc w:val="both"/>
        <w:rPr>
          <w:sz w:val="22"/>
          <w:szCs w:val="22"/>
          <w:lang w:val="pt-BR"/>
        </w:rPr>
      </w:pPr>
    </w:p>
    <w:p w14:paraId="5841D862" w14:textId="485117A9" w:rsidR="00B05AA9" w:rsidRDefault="00B05AA9" w:rsidP="00641EEB">
      <w:pPr>
        <w:jc w:val="both"/>
        <w:rPr>
          <w:sz w:val="22"/>
          <w:szCs w:val="22"/>
          <w:lang w:val="pt-BR"/>
        </w:rPr>
      </w:pPr>
      <w:r>
        <w:rPr>
          <w:sz w:val="22"/>
          <w:szCs w:val="22"/>
          <w:lang w:val="pt-BR"/>
        </w:rPr>
        <w:t>Rezultati efikasnosti studije BO16348, nakon medijan</w:t>
      </w:r>
      <w:r w:rsidR="00667BB3">
        <w:rPr>
          <w:sz w:val="22"/>
          <w:szCs w:val="22"/>
          <w:lang w:val="pt-BR"/>
        </w:rPr>
        <w:t>e</w:t>
      </w:r>
      <w:r>
        <w:rPr>
          <w:sz w:val="22"/>
          <w:szCs w:val="22"/>
          <w:lang w:val="pt-BR"/>
        </w:rPr>
        <w:t xml:space="preserve"> praćenja od 12 mjeseci* i 8 godina*  sažeto su prikazani na Tabeli 6: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559"/>
        <w:gridCol w:w="1560"/>
        <w:gridCol w:w="1559"/>
      </w:tblGrid>
      <w:tr w:rsidR="00B05AA9" w:rsidRPr="00E05379" w14:paraId="32D6FCD6" w14:textId="77777777" w:rsidTr="00B05AA9">
        <w:trPr>
          <w:tblHeader/>
        </w:trPr>
        <w:tc>
          <w:tcPr>
            <w:tcW w:w="3227" w:type="dxa"/>
            <w:tcBorders>
              <w:top w:val="nil"/>
              <w:left w:val="nil"/>
              <w:bottom w:val="single" w:sz="4" w:space="0" w:color="auto"/>
              <w:right w:val="single" w:sz="4" w:space="0" w:color="auto"/>
            </w:tcBorders>
          </w:tcPr>
          <w:p w14:paraId="71171405" w14:textId="77777777" w:rsidR="00B05AA9" w:rsidRPr="00E05379" w:rsidRDefault="00B05AA9" w:rsidP="00641EEB">
            <w:pPr>
              <w:keepNext/>
              <w:keepLines/>
              <w:jc w:val="both"/>
              <w:rPr>
                <w:sz w:val="22"/>
                <w:szCs w:val="22"/>
                <w:lang w:val="hr-HR" w:eastAsia="de-DE"/>
              </w:rPr>
            </w:pPr>
          </w:p>
        </w:tc>
        <w:tc>
          <w:tcPr>
            <w:tcW w:w="3118" w:type="dxa"/>
            <w:gridSpan w:val="2"/>
            <w:tcBorders>
              <w:top w:val="single" w:sz="4" w:space="0" w:color="auto"/>
              <w:left w:val="single" w:sz="4" w:space="0" w:color="auto"/>
              <w:bottom w:val="single" w:sz="4" w:space="0" w:color="auto"/>
              <w:right w:val="single" w:sz="4" w:space="0" w:color="auto"/>
            </w:tcBorders>
            <w:hideMark/>
          </w:tcPr>
          <w:p w14:paraId="1D67FDA7"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 xml:space="preserve">Medijana praćenja </w:t>
            </w:r>
            <w:r w:rsidRPr="00E05379">
              <w:rPr>
                <w:sz w:val="22"/>
                <w:szCs w:val="22"/>
                <w:lang w:val="hr-HR" w:eastAsia="de-DE"/>
              </w:rPr>
              <w:br/>
              <w:t>12 mjeseci*</w:t>
            </w:r>
          </w:p>
        </w:tc>
        <w:tc>
          <w:tcPr>
            <w:tcW w:w="3119" w:type="dxa"/>
            <w:gridSpan w:val="2"/>
            <w:tcBorders>
              <w:top w:val="single" w:sz="4" w:space="0" w:color="auto"/>
              <w:left w:val="single" w:sz="4" w:space="0" w:color="auto"/>
              <w:bottom w:val="single" w:sz="4" w:space="0" w:color="auto"/>
              <w:right w:val="single" w:sz="4" w:space="0" w:color="auto"/>
            </w:tcBorders>
            <w:hideMark/>
          </w:tcPr>
          <w:p w14:paraId="397AB0A2"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 xml:space="preserve">Medijana praćenja </w:t>
            </w:r>
            <w:r w:rsidRPr="00E05379">
              <w:rPr>
                <w:sz w:val="22"/>
                <w:szCs w:val="22"/>
                <w:lang w:val="hr-HR" w:eastAsia="de-DE"/>
              </w:rPr>
              <w:br/>
              <w:t>8 godina**</w:t>
            </w:r>
          </w:p>
        </w:tc>
      </w:tr>
      <w:tr w:rsidR="00B05AA9" w:rsidRPr="00E05379" w14:paraId="472097DB" w14:textId="77777777" w:rsidTr="00B05AA9">
        <w:trPr>
          <w:tblHeader/>
        </w:trPr>
        <w:tc>
          <w:tcPr>
            <w:tcW w:w="3227" w:type="dxa"/>
            <w:tcBorders>
              <w:top w:val="single" w:sz="4" w:space="0" w:color="auto"/>
              <w:left w:val="single" w:sz="4" w:space="0" w:color="auto"/>
              <w:bottom w:val="single" w:sz="4" w:space="0" w:color="auto"/>
              <w:right w:val="single" w:sz="4" w:space="0" w:color="auto"/>
            </w:tcBorders>
            <w:hideMark/>
          </w:tcPr>
          <w:p w14:paraId="7CAE6A3E"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Parametar</w:t>
            </w:r>
          </w:p>
        </w:tc>
        <w:tc>
          <w:tcPr>
            <w:tcW w:w="1559" w:type="dxa"/>
            <w:tcBorders>
              <w:top w:val="single" w:sz="4" w:space="0" w:color="auto"/>
              <w:left w:val="single" w:sz="4" w:space="0" w:color="auto"/>
              <w:bottom w:val="single" w:sz="4" w:space="0" w:color="auto"/>
              <w:right w:val="single" w:sz="4" w:space="0" w:color="auto"/>
            </w:tcBorders>
            <w:hideMark/>
          </w:tcPr>
          <w:p w14:paraId="4A2EB7D2"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Opservacija</w:t>
            </w:r>
          </w:p>
          <w:p w14:paraId="7D4ED152"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N=1693</w:t>
            </w:r>
          </w:p>
        </w:tc>
        <w:tc>
          <w:tcPr>
            <w:tcW w:w="1559" w:type="dxa"/>
            <w:tcBorders>
              <w:top w:val="single" w:sz="4" w:space="0" w:color="auto"/>
              <w:left w:val="single" w:sz="4" w:space="0" w:color="auto"/>
              <w:bottom w:val="single" w:sz="4" w:space="0" w:color="auto"/>
              <w:right w:val="single" w:sz="4" w:space="0" w:color="auto"/>
            </w:tcBorders>
            <w:hideMark/>
          </w:tcPr>
          <w:p w14:paraId="53C1356B"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Herceptin tokom 1 godine</w:t>
            </w:r>
          </w:p>
          <w:p w14:paraId="362B22D0"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N = 1693</w:t>
            </w:r>
          </w:p>
        </w:tc>
        <w:tc>
          <w:tcPr>
            <w:tcW w:w="1560" w:type="dxa"/>
            <w:tcBorders>
              <w:top w:val="single" w:sz="4" w:space="0" w:color="auto"/>
              <w:left w:val="single" w:sz="4" w:space="0" w:color="auto"/>
              <w:bottom w:val="single" w:sz="4" w:space="0" w:color="auto"/>
              <w:right w:val="single" w:sz="4" w:space="0" w:color="auto"/>
            </w:tcBorders>
            <w:hideMark/>
          </w:tcPr>
          <w:p w14:paraId="2FE35058" w14:textId="77777777" w:rsidR="00B05AA9" w:rsidRPr="00E05379" w:rsidRDefault="00B05AA9" w:rsidP="00641EEB">
            <w:pPr>
              <w:keepNext/>
              <w:keepLines/>
              <w:jc w:val="center"/>
              <w:rPr>
                <w:sz w:val="22"/>
                <w:szCs w:val="22"/>
                <w:lang w:val="hr-HR" w:eastAsia="de-DE"/>
              </w:rPr>
            </w:pPr>
            <w:r w:rsidRPr="00E05379">
              <w:rPr>
                <w:sz w:val="22"/>
                <w:szCs w:val="22"/>
                <w:lang w:val="hr-HR"/>
              </w:rPr>
              <w:t>Opservacija</w:t>
            </w:r>
            <w:r w:rsidRPr="00E05379">
              <w:rPr>
                <w:sz w:val="22"/>
                <w:szCs w:val="22"/>
                <w:lang w:val="hr-HR" w:eastAsia="de-DE"/>
              </w:rPr>
              <w:br/>
              <w:t>N= 1697***</w:t>
            </w:r>
          </w:p>
        </w:tc>
        <w:tc>
          <w:tcPr>
            <w:tcW w:w="1559" w:type="dxa"/>
            <w:tcBorders>
              <w:top w:val="single" w:sz="4" w:space="0" w:color="auto"/>
              <w:left w:val="single" w:sz="4" w:space="0" w:color="auto"/>
              <w:bottom w:val="single" w:sz="4" w:space="0" w:color="auto"/>
              <w:right w:val="single" w:sz="4" w:space="0" w:color="auto"/>
            </w:tcBorders>
            <w:hideMark/>
          </w:tcPr>
          <w:p w14:paraId="3E8DFE16" w14:textId="0A692431" w:rsidR="00B05AA9" w:rsidRPr="00E05379" w:rsidRDefault="00B05AA9" w:rsidP="00641EEB">
            <w:pPr>
              <w:keepNext/>
              <w:keepLines/>
              <w:jc w:val="center"/>
              <w:rPr>
                <w:sz w:val="22"/>
                <w:szCs w:val="22"/>
                <w:lang w:val="hr-HR" w:eastAsia="de-DE"/>
              </w:rPr>
            </w:pPr>
            <w:r w:rsidRPr="00E05379">
              <w:rPr>
                <w:sz w:val="22"/>
                <w:szCs w:val="22"/>
                <w:lang w:val="hr-HR" w:eastAsia="de-DE"/>
              </w:rPr>
              <w:t>Herceptin tokom 1 godine</w:t>
            </w:r>
          </w:p>
          <w:p w14:paraId="68595BB8"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N = 1702***</w:t>
            </w:r>
          </w:p>
        </w:tc>
      </w:tr>
      <w:tr w:rsidR="00B05AA9" w:rsidRPr="00E05379" w14:paraId="7EE28668" w14:textId="77777777" w:rsidTr="00B05AA9">
        <w:trPr>
          <w:trHeight w:val="508"/>
        </w:trPr>
        <w:tc>
          <w:tcPr>
            <w:tcW w:w="3227" w:type="dxa"/>
            <w:tcBorders>
              <w:top w:val="single" w:sz="4" w:space="0" w:color="auto"/>
              <w:left w:val="single" w:sz="4" w:space="0" w:color="auto"/>
              <w:bottom w:val="nil"/>
              <w:right w:val="single" w:sz="4" w:space="0" w:color="auto"/>
            </w:tcBorders>
            <w:hideMark/>
          </w:tcPr>
          <w:p w14:paraId="486E899F" w14:textId="77777777" w:rsidR="00B05AA9" w:rsidRPr="00E05379" w:rsidRDefault="00B05AA9" w:rsidP="00BA76B8">
            <w:pPr>
              <w:keepNext/>
              <w:keepLines/>
              <w:rPr>
                <w:sz w:val="22"/>
                <w:szCs w:val="22"/>
                <w:lang w:val="hr-HR" w:eastAsia="de-DE"/>
              </w:rPr>
            </w:pPr>
            <w:r w:rsidRPr="00E05379">
              <w:rPr>
                <w:sz w:val="22"/>
                <w:szCs w:val="22"/>
                <w:lang w:val="hr-HR" w:eastAsia="de-DE"/>
              </w:rPr>
              <w:t>Preživljavanje bez bolesti</w:t>
            </w:r>
          </w:p>
        </w:tc>
        <w:tc>
          <w:tcPr>
            <w:tcW w:w="1559" w:type="dxa"/>
            <w:tcBorders>
              <w:top w:val="single" w:sz="4" w:space="0" w:color="auto"/>
              <w:left w:val="single" w:sz="4" w:space="0" w:color="auto"/>
              <w:bottom w:val="nil"/>
              <w:right w:val="nil"/>
            </w:tcBorders>
          </w:tcPr>
          <w:p w14:paraId="53A2632A" w14:textId="77777777" w:rsidR="00B05AA9" w:rsidRPr="00E05379" w:rsidRDefault="00B05AA9" w:rsidP="00641EEB">
            <w:pPr>
              <w:keepNext/>
              <w:keepLines/>
              <w:jc w:val="both"/>
              <w:rPr>
                <w:sz w:val="22"/>
                <w:szCs w:val="22"/>
                <w:lang w:val="hr-HR" w:eastAsia="de-DE"/>
              </w:rPr>
            </w:pPr>
          </w:p>
        </w:tc>
        <w:tc>
          <w:tcPr>
            <w:tcW w:w="1559" w:type="dxa"/>
            <w:tcBorders>
              <w:top w:val="single" w:sz="4" w:space="0" w:color="auto"/>
              <w:left w:val="nil"/>
              <w:bottom w:val="nil"/>
              <w:right w:val="single" w:sz="4" w:space="0" w:color="auto"/>
            </w:tcBorders>
          </w:tcPr>
          <w:p w14:paraId="17C32A43" w14:textId="77777777" w:rsidR="00B05AA9" w:rsidRPr="00E05379" w:rsidRDefault="00B05AA9" w:rsidP="00641EEB">
            <w:pPr>
              <w:keepNext/>
              <w:keepLines/>
              <w:jc w:val="both"/>
              <w:rPr>
                <w:sz w:val="22"/>
                <w:szCs w:val="22"/>
                <w:lang w:val="hr-HR" w:eastAsia="de-DE"/>
              </w:rPr>
            </w:pPr>
          </w:p>
        </w:tc>
        <w:tc>
          <w:tcPr>
            <w:tcW w:w="1560" w:type="dxa"/>
            <w:tcBorders>
              <w:top w:val="single" w:sz="4" w:space="0" w:color="auto"/>
              <w:left w:val="single" w:sz="4" w:space="0" w:color="auto"/>
              <w:bottom w:val="nil"/>
              <w:right w:val="nil"/>
            </w:tcBorders>
          </w:tcPr>
          <w:p w14:paraId="35390450" w14:textId="77777777" w:rsidR="00B05AA9" w:rsidRPr="00E05379" w:rsidRDefault="00B05AA9" w:rsidP="00641EEB">
            <w:pPr>
              <w:keepNext/>
              <w:keepLines/>
              <w:jc w:val="both"/>
              <w:rPr>
                <w:sz w:val="22"/>
                <w:szCs w:val="22"/>
                <w:lang w:val="hr-HR" w:eastAsia="de-DE"/>
              </w:rPr>
            </w:pPr>
          </w:p>
        </w:tc>
        <w:tc>
          <w:tcPr>
            <w:tcW w:w="1559" w:type="dxa"/>
            <w:tcBorders>
              <w:top w:val="single" w:sz="4" w:space="0" w:color="auto"/>
              <w:left w:val="nil"/>
              <w:bottom w:val="nil"/>
              <w:right w:val="single" w:sz="4" w:space="0" w:color="auto"/>
            </w:tcBorders>
          </w:tcPr>
          <w:p w14:paraId="67673ED6" w14:textId="77777777" w:rsidR="00B05AA9" w:rsidRPr="00E05379" w:rsidRDefault="00B05AA9" w:rsidP="00641EEB">
            <w:pPr>
              <w:keepNext/>
              <w:keepLines/>
              <w:jc w:val="both"/>
              <w:rPr>
                <w:sz w:val="22"/>
                <w:szCs w:val="22"/>
                <w:lang w:val="hr-HR" w:eastAsia="de-DE"/>
              </w:rPr>
            </w:pPr>
          </w:p>
        </w:tc>
      </w:tr>
      <w:tr w:rsidR="00B05AA9" w:rsidRPr="00E05379" w14:paraId="732ADABC" w14:textId="77777777" w:rsidTr="00B05AA9">
        <w:tc>
          <w:tcPr>
            <w:tcW w:w="3227" w:type="dxa"/>
            <w:tcBorders>
              <w:top w:val="nil"/>
              <w:left w:val="single" w:sz="4" w:space="0" w:color="auto"/>
              <w:bottom w:val="nil"/>
              <w:right w:val="single" w:sz="4" w:space="0" w:color="auto"/>
            </w:tcBorders>
            <w:hideMark/>
          </w:tcPr>
          <w:p w14:paraId="534B4ED9" w14:textId="77777777" w:rsidR="00B05AA9" w:rsidRPr="00E05379" w:rsidRDefault="00B05AA9" w:rsidP="00BA76B8">
            <w:pPr>
              <w:keepNext/>
              <w:keepLines/>
              <w:rPr>
                <w:sz w:val="22"/>
                <w:szCs w:val="22"/>
                <w:lang w:val="hr-HR" w:eastAsia="de-DE"/>
              </w:rPr>
            </w:pPr>
            <w:r w:rsidRPr="00E05379">
              <w:rPr>
                <w:sz w:val="22"/>
                <w:szCs w:val="22"/>
                <w:lang w:val="hr-HR" w:eastAsia="de-DE"/>
              </w:rPr>
              <w:t>- broj pacijentkinja sa događajem</w:t>
            </w:r>
          </w:p>
        </w:tc>
        <w:tc>
          <w:tcPr>
            <w:tcW w:w="1559" w:type="dxa"/>
            <w:tcBorders>
              <w:top w:val="nil"/>
              <w:left w:val="single" w:sz="4" w:space="0" w:color="auto"/>
              <w:bottom w:val="nil"/>
              <w:right w:val="nil"/>
            </w:tcBorders>
            <w:hideMark/>
          </w:tcPr>
          <w:p w14:paraId="0B1CB978"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219 (12,9 %)</w:t>
            </w:r>
          </w:p>
        </w:tc>
        <w:tc>
          <w:tcPr>
            <w:tcW w:w="1559" w:type="dxa"/>
            <w:tcBorders>
              <w:top w:val="nil"/>
              <w:left w:val="nil"/>
              <w:bottom w:val="nil"/>
              <w:right w:val="single" w:sz="4" w:space="0" w:color="auto"/>
            </w:tcBorders>
            <w:hideMark/>
          </w:tcPr>
          <w:p w14:paraId="6803F3E1"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127 (7,5 %)</w:t>
            </w:r>
          </w:p>
        </w:tc>
        <w:tc>
          <w:tcPr>
            <w:tcW w:w="1560" w:type="dxa"/>
            <w:tcBorders>
              <w:top w:val="nil"/>
              <w:left w:val="single" w:sz="4" w:space="0" w:color="auto"/>
              <w:bottom w:val="nil"/>
              <w:right w:val="nil"/>
            </w:tcBorders>
            <w:hideMark/>
          </w:tcPr>
          <w:p w14:paraId="7AAFDCEB"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570 (33,6 %)</w:t>
            </w:r>
          </w:p>
        </w:tc>
        <w:tc>
          <w:tcPr>
            <w:tcW w:w="1559" w:type="dxa"/>
            <w:tcBorders>
              <w:top w:val="nil"/>
              <w:left w:val="nil"/>
              <w:bottom w:val="nil"/>
              <w:right w:val="single" w:sz="4" w:space="0" w:color="auto"/>
            </w:tcBorders>
            <w:hideMark/>
          </w:tcPr>
          <w:p w14:paraId="47BB2FF0"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471 (27,7 %)</w:t>
            </w:r>
          </w:p>
        </w:tc>
      </w:tr>
      <w:tr w:rsidR="00B05AA9" w:rsidRPr="00E05379" w14:paraId="3F209884" w14:textId="77777777" w:rsidTr="00B05AA9">
        <w:tc>
          <w:tcPr>
            <w:tcW w:w="3227" w:type="dxa"/>
            <w:tcBorders>
              <w:top w:val="nil"/>
              <w:left w:val="single" w:sz="4" w:space="0" w:color="auto"/>
              <w:bottom w:val="nil"/>
              <w:right w:val="single" w:sz="4" w:space="0" w:color="auto"/>
            </w:tcBorders>
            <w:hideMark/>
          </w:tcPr>
          <w:p w14:paraId="4E164240" w14:textId="77777777" w:rsidR="00B05AA9" w:rsidRPr="00E05379" w:rsidRDefault="00B05AA9" w:rsidP="00BA76B8">
            <w:pPr>
              <w:keepNext/>
              <w:keepLines/>
              <w:rPr>
                <w:sz w:val="22"/>
                <w:szCs w:val="22"/>
                <w:lang w:val="hr-HR" w:eastAsia="de-DE"/>
              </w:rPr>
            </w:pPr>
            <w:r w:rsidRPr="00E05379">
              <w:rPr>
                <w:sz w:val="22"/>
                <w:szCs w:val="22"/>
                <w:lang w:val="hr-HR" w:eastAsia="de-DE"/>
              </w:rPr>
              <w:t>- broj pacijentkinja bez događaja</w:t>
            </w:r>
          </w:p>
        </w:tc>
        <w:tc>
          <w:tcPr>
            <w:tcW w:w="1559" w:type="dxa"/>
            <w:tcBorders>
              <w:top w:val="nil"/>
              <w:left w:val="single" w:sz="4" w:space="0" w:color="auto"/>
              <w:bottom w:val="nil"/>
              <w:right w:val="nil"/>
            </w:tcBorders>
            <w:hideMark/>
          </w:tcPr>
          <w:p w14:paraId="46F87714"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1474 (87,1 %)</w:t>
            </w:r>
          </w:p>
        </w:tc>
        <w:tc>
          <w:tcPr>
            <w:tcW w:w="1559" w:type="dxa"/>
            <w:tcBorders>
              <w:top w:val="nil"/>
              <w:left w:val="nil"/>
              <w:bottom w:val="nil"/>
              <w:right w:val="single" w:sz="4" w:space="0" w:color="auto"/>
            </w:tcBorders>
            <w:hideMark/>
          </w:tcPr>
          <w:p w14:paraId="44FD0E56"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1566 (92,5 %)</w:t>
            </w:r>
          </w:p>
        </w:tc>
        <w:tc>
          <w:tcPr>
            <w:tcW w:w="1560" w:type="dxa"/>
            <w:tcBorders>
              <w:top w:val="nil"/>
              <w:left w:val="single" w:sz="4" w:space="0" w:color="auto"/>
              <w:bottom w:val="nil"/>
              <w:right w:val="nil"/>
            </w:tcBorders>
            <w:hideMark/>
          </w:tcPr>
          <w:p w14:paraId="3B1BCB70"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1127 (66,4 %)</w:t>
            </w:r>
          </w:p>
        </w:tc>
        <w:tc>
          <w:tcPr>
            <w:tcW w:w="1559" w:type="dxa"/>
            <w:tcBorders>
              <w:top w:val="nil"/>
              <w:left w:val="nil"/>
              <w:bottom w:val="nil"/>
              <w:right w:val="single" w:sz="4" w:space="0" w:color="auto"/>
            </w:tcBorders>
            <w:hideMark/>
          </w:tcPr>
          <w:p w14:paraId="34586B7E"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1231 (72,3 %)</w:t>
            </w:r>
          </w:p>
        </w:tc>
      </w:tr>
      <w:tr w:rsidR="00B05AA9" w:rsidRPr="00E05379" w14:paraId="68B0258A" w14:textId="77777777" w:rsidTr="00B05AA9">
        <w:tc>
          <w:tcPr>
            <w:tcW w:w="3227" w:type="dxa"/>
            <w:tcBorders>
              <w:top w:val="nil"/>
              <w:left w:val="single" w:sz="4" w:space="0" w:color="auto"/>
              <w:bottom w:val="nil"/>
              <w:right w:val="single" w:sz="4" w:space="0" w:color="auto"/>
            </w:tcBorders>
            <w:hideMark/>
          </w:tcPr>
          <w:p w14:paraId="6087CE54" w14:textId="77777777" w:rsidR="00B05AA9" w:rsidRPr="00E05379" w:rsidRDefault="00B05AA9" w:rsidP="00BA76B8">
            <w:pPr>
              <w:keepNext/>
              <w:keepLines/>
              <w:rPr>
                <w:sz w:val="22"/>
                <w:szCs w:val="22"/>
                <w:lang w:val="hr-HR" w:eastAsia="de-DE"/>
              </w:rPr>
            </w:pPr>
            <w:r w:rsidRPr="00E05379">
              <w:rPr>
                <w:sz w:val="22"/>
                <w:szCs w:val="22"/>
                <w:lang w:val="hr-HR" w:eastAsia="de-DE"/>
              </w:rPr>
              <w:t>P-vrijednost naspram opservacije</w:t>
            </w:r>
          </w:p>
        </w:tc>
        <w:tc>
          <w:tcPr>
            <w:tcW w:w="3118" w:type="dxa"/>
            <w:gridSpan w:val="2"/>
            <w:tcBorders>
              <w:top w:val="nil"/>
              <w:left w:val="single" w:sz="4" w:space="0" w:color="auto"/>
              <w:bottom w:val="nil"/>
              <w:right w:val="single" w:sz="4" w:space="0" w:color="auto"/>
            </w:tcBorders>
            <w:hideMark/>
          </w:tcPr>
          <w:p w14:paraId="55034634"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&lt; 0,0001</w:t>
            </w:r>
          </w:p>
        </w:tc>
        <w:tc>
          <w:tcPr>
            <w:tcW w:w="3119" w:type="dxa"/>
            <w:gridSpan w:val="2"/>
            <w:tcBorders>
              <w:top w:val="nil"/>
              <w:left w:val="single" w:sz="4" w:space="0" w:color="auto"/>
              <w:bottom w:val="nil"/>
              <w:right w:val="single" w:sz="4" w:space="0" w:color="auto"/>
            </w:tcBorders>
            <w:hideMark/>
          </w:tcPr>
          <w:p w14:paraId="79A922FC"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&lt; 0,0001</w:t>
            </w:r>
          </w:p>
        </w:tc>
      </w:tr>
      <w:tr w:rsidR="00B05AA9" w:rsidRPr="00E05379" w14:paraId="40B8A707" w14:textId="77777777" w:rsidTr="00B05AA9">
        <w:tc>
          <w:tcPr>
            <w:tcW w:w="3227" w:type="dxa"/>
            <w:tcBorders>
              <w:top w:val="nil"/>
              <w:left w:val="single" w:sz="4" w:space="0" w:color="auto"/>
              <w:bottom w:val="single" w:sz="4" w:space="0" w:color="auto"/>
              <w:right w:val="single" w:sz="4" w:space="0" w:color="auto"/>
            </w:tcBorders>
            <w:hideMark/>
          </w:tcPr>
          <w:p w14:paraId="489D130C" w14:textId="77777777" w:rsidR="00B05AA9" w:rsidRPr="00E05379" w:rsidRDefault="00B05AA9" w:rsidP="00BA76B8">
            <w:pPr>
              <w:keepNext/>
              <w:keepLines/>
              <w:widowControl w:val="0"/>
              <w:rPr>
                <w:sz w:val="22"/>
                <w:szCs w:val="22"/>
                <w:lang w:val="hr-HR" w:eastAsia="de-DE"/>
              </w:rPr>
            </w:pPr>
            <w:r w:rsidRPr="00E05379">
              <w:rPr>
                <w:sz w:val="22"/>
                <w:szCs w:val="22"/>
                <w:lang w:val="hr-HR"/>
              </w:rPr>
              <w:t xml:space="preserve">Odnos hazarda </w:t>
            </w:r>
            <w:r w:rsidRPr="00E05379">
              <w:rPr>
                <w:sz w:val="22"/>
                <w:szCs w:val="22"/>
                <w:lang w:val="hr-HR" w:eastAsia="de-DE"/>
              </w:rPr>
              <w:t>naspram</w:t>
            </w:r>
            <w:r w:rsidRPr="00E05379">
              <w:rPr>
                <w:sz w:val="22"/>
                <w:szCs w:val="22"/>
                <w:lang w:val="hr-HR"/>
              </w:rPr>
              <w:t xml:space="preserve"> opservacije</w:t>
            </w:r>
          </w:p>
        </w:tc>
        <w:tc>
          <w:tcPr>
            <w:tcW w:w="3118" w:type="dxa"/>
            <w:gridSpan w:val="2"/>
            <w:tcBorders>
              <w:top w:val="nil"/>
              <w:left w:val="single" w:sz="4" w:space="0" w:color="auto"/>
              <w:bottom w:val="single" w:sz="4" w:space="0" w:color="auto"/>
              <w:right w:val="single" w:sz="4" w:space="0" w:color="auto"/>
            </w:tcBorders>
            <w:hideMark/>
          </w:tcPr>
          <w:p w14:paraId="4CF08D1F"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0,54</w:t>
            </w:r>
          </w:p>
        </w:tc>
        <w:tc>
          <w:tcPr>
            <w:tcW w:w="3119" w:type="dxa"/>
            <w:gridSpan w:val="2"/>
            <w:tcBorders>
              <w:top w:val="nil"/>
              <w:left w:val="single" w:sz="4" w:space="0" w:color="auto"/>
              <w:bottom w:val="single" w:sz="4" w:space="0" w:color="auto"/>
              <w:right w:val="single" w:sz="4" w:space="0" w:color="auto"/>
            </w:tcBorders>
            <w:hideMark/>
          </w:tcPr>
          <w:p w14:paraId="4362CF54"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0,76</w:t>
            </w:r>
          </w:p>
        </w:tc>
      </w:tr>
      <w:tr w:rsidR="00B05AA9" w:rsidRPr="00E05379" w14:paraId="73D4B3B3" w14:textId="77777777" w:rsidTr="00B05AA9">
        <w:tc>
          <w:tcPr>
            <w:tcW w:w="3227" w:type="dxa"/>
            <w:tcBorders>
              <w:top w:val="single" w:sz="4" w:space="0" w:color="auto"/>
              <w:left w:val="single" w:sz="4" w:space="0" w:color="auto"/>
              <w:bottom w:val="nil"/>
              <w:right w:val="single" w:sz="4" w:space="0" w:color="auto"/>
            </w:tcBorders>
            <w:hideMark/>
          </w:tcPr>
          <w:p w14:paraId="06EC8566" w14:textId="77777777" w:rsidR="00B05AA9" w:rsidRPr="00E05379" w:rsidRDefault="00B05AA9" w:rsidP="00BA76B8">
            <w:pPr>
              <w:keepNext/>
              <w:keepLines/>
              <w:rPr>
                <w:sz w:val="22"/>
                <w:szCs w:val="22"/>
                <w:lang w:val="hr-HR" w:eastAsia="de-DE"/>
              </w:rPr>
            </w:pPr>
            <w:r w:rsidRPr="00E05379">
              <w:rPr>
                <w:sz w:val="22"/>
                <w:szCs w:val="22"/>
                <w:lang w:val="hr-HR" w:eastAsia="de-DE"/>
              </w:rPr>
              <w:t>Preživljavanje bez recidiva</w:t>
            </w:r>
          </w:p>
        </w:tc>
        <w:tc>
          <w:tcPr>
            <w:tcW w:w="1559" w:type="dxa"/>
            <w:tcBorders>
              <w:top w:val="single" w:sz="4" w:space="0" w:color="auto"/>
              <w:left w:val="single" w:sz="4" w:space="0" w:color="auto"/>
              <w:bottom w:val="nil"/>
              <w:right w:val="nil"/>
            </w:tcBorders>
          </w:tcPr>
          <w:p w14:paraId="3AC642F7" w14:textId="77777777" w:rsidR="00B05AA9" w:rsidRPr="00E05379" w:rsidRDefault="00B05AA9" w:rsidP="00641EEB">
            <w:pPr>
              <w:keepNext/>
              <w:keepLines/>
              <w:jc w:val="both"/>
              <w:rPr>
                <w:sz w:val="22"/>
                <w:szCs w:val="22"/>
                <w:lang w:val="hr-HR" w:eastAsia="de-DE"/>
              </w:rPr>
            </w:pPr>
          </w:p>
        </w:tc>
        <w:tc>
          <w:tcPr>
            <w:tcW w:w="1559" w:type="dxa"/>
            <w:tcBorders>
              <w:top w:val="single" w:sz="4" w:space="0" w:color="auto"/>
              <w:left w:val="nil"/>
              <w:bottom w:val="nil"/>
              <w:right w:val="single" w:sz="4" w:space="0" w:color="auto"/>
            </w:tcBorders>
          </w:tcPr>
          <w:p w14:paraId="6303DE50" w14:textId="77777777" w:rsidR="00B05AA9" w:rsidRPr="00E05379" w:rsidRDefault="00B05AA9" w:rsidP="00641EEB">
            <w:pPr>
              <w:keepNext/>
              <w:keepLines/>
              <w:jc w:val="both"/>
              <w:rPr>
                <w:sz w:val="22"/>
                <w:szCs w:val="22"/>
                <w:lang w:val="hr-HR" w:eastAsia="de-DE"/>
              </w:rPr>
            </w:pPr>
          </w:p>
        </w:tc>
        <w:tc>
          <w:tcPr>
            <w:tcW w:w="1560" w:type="dxa"/>
            <w:tcBorders>
              <w:top w:val="single" w:sz="4" w:space="0" w:color="auto"/>
              <w:left w:val="single" w:sz="4" w:space="0" w:color="auto"/>
              <w:bottom w:val="nil"/>
              <w:right w:val="nil"/>
            </w:tcBorders>
          </w:tcPr>
          <w:p w14:paraId="26748213" w14:textId="77777777" w:rsidR="00B05AA9" w:rsidRPr="00E05379" w:rsidRDefault="00B05AA9" w:rsidP="00641EEB">
            <w:pPr>
              <w:keepNext/>
              <w:keepLines/>
              <w:jc w:val="both"/>
              <w:rPr>
                <w:sz w:val="22"/>
                <w:szCs w:val="22"/>
                <w:lang w:val="hr-HR" w:eastAsia="de-DE"/>
              </w:rPr>
            </w:pPr>
          </w:p>
        </w:tc>
        <w:tc>
          <w:tcPr>
            <w:tcW w:w="1559" w:type="dxa"/>
            <w:tcBorders>
              <w:top w:val="single" w:sz="4" w:space="0" w:color="auto"/>
              <w:left w:val="nil"/>
              <w:bottom w:val="nil"/>
              <w:right w:val="single" w:sz="4" w:space="0" w:color="auto"/>
            </w:tcBorders>
          </w:tcPr>
          <w:p w14:paraId="5EAED2AA" w14:textId="77777777" w:rsidR="00B05AA9" w:rsidRPr="00E05379" w:rsidRDefault="00B05AA9" w:rsidP="00641EEB">
            <w:pPr>
              <w:keepNext/>
              <w:keepLines/>
              <w:jc w:val="both"/>
              <w:rPr>
                <w:sz w:val="22"/>
                <w:szCs w:val="22"/>
                <w:lang w:val="hr-HR" w:eastAsia="de-DE"/>
              </w:rPr>
            </w:pPr>
          </w:p>
        </w:tc>
      </w:tr>
      <w:tr w:rsidR="00B05AA9" w:rsidRPr="00E05379" w14:paraId="63AA011E" w14:textId="77777777" w:rsidTr="00B05AA9">
        <w:tc>
          <w:tcPr>
            <w:tcW w:w="3227" w:type="dxa"/>
            <w:tcBorders>
              <w:top w:val="nil"/>
              <w:left w:val="single" w:sz="4" w:space="0" w:color="auto"/>
              <w:bottom w:val="nil"/>
              <w:right w:val="single" w:sz="4" w:space="0" w:color="auto"/>
            </w:tcBorders>
            <w:hideMark/>
          </w:tcPr>
          <w:p w14:paraId="41FEC21A" w14:textId="77777777" w:rsidR="00B05AA9" w:rsidRPr="00E05379" w:rsidRDefault="00B05AA9" w:rsidP="00BA76B8">
            <w:pPr>
              <w:keepNext/>
              <w:keepLines/>
              <w:rPr>
                <w:sz w:val="22"/>
                <w:szCs w:val="22"/>
                <w:lang w:val="hr-HR" w:eastAsia="de-DE"/>
              </w:rPr>
            </w:pPr>
            <w:r w:rsidRPr="00E05379">
              <w:rPr>
                <w:sz w:val="22"/>
                <w:szCs w:val="22"/>
                <w:lang w:val="hr-HR" w:eastAsia="de-DE"/>
              </w:rPr>
              <w:t>- broj pacijentkinja sa događajem</w:t>
            </w:r>
          </w:p>
        </w:tc>
        <w:tc>
          <w:tcPr>
            <w:tcW w:w="1559" w:type="dxa"/>
            <w:tcBorders>
              <w:top w:val="nil"/>
              <w:left w:val="single" w:sz="4" w:space="0" w:color="auto"/>
              <w:bottom w:val="nil"/>
              <w:right w:val="nil"/>
            </w:tcBorders>
            <w:hideMark/>
          </w:tcPr>
          <w:p w14:paraId="656944D2"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208 (12,3 %)</w:t>
            </w:r>
          </w:p>
        </w:tc>
        <w:tc>
          <w:tcPr>
            <w:tcW w:w="1559" w:type="dxa"/>
            <w:tcBorders>
              <w:top w:val="nil"/>
              <w:left w:val="nil"/>
              <w:bottom w:val="nil"/>
              <w:right w:val="single" w:sz="4" w:space="0" w:color="auto"/>
            </w:tcBorders>
            <w:hideMark/>
          </w:tcPr>
          <w:p w14:paraId="12822347"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113 (6,7 %)</w:t>
            </w:r>
          </w:p>
        </w:tc>
        <w:tc>
          <w:tcPr>
            <w:tcW w:w="1560" w:type="dxa"/>
            <w:tcBorders>
              <w:top w:val="nil"/>
              <w:left w:val="single" w:sz="4" w:space="0" w:color="auto"/>
              <w:bottom w:val="nil"/>
              <w:right w:val="nil"/>
            </w:tcBorders>
            <w:hideMark/>
          </w:tcPr>
          <w:p w14:paraId="25901F5B"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506 (29,8 %)</w:t>
            </w:r>
          </w:p>
        </w:tc>
        <w:tc>
          <w:tcPr>
            <w:tcW w:w="1559" w:type="dxa"/>
            <w:tcBorders>
              <w:top w:val="nil"/>
              <w:left w:val="nil"/>
              <w:bottom w:val="nil"/>
              <w:right w:val="single" w:sz="4" w:space="0" w:color="auto"/>
            </w:tcBorders>
            <w:hideMark/>
          </w:tcPr>
          <w:p w14:paraId="250FA141"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399 (23,4 %)</w:t>
            </w:r>
          </w:p>
        </w:tc>
      </w:tr>
      <w:tr w:rsidR="00B05AA9" w:rsidRPr="00E05379" w14:paraId="1D679FBA" w14:textId="77777777" w:rsidTr="00B05AA9">
        <w:tc>
          <w:tcPr>
            <w:tcW w:w="3227" w:type="dxa"/>
            <w:tcBorders>
              <w:top w:val="nil"/>
              <w:left w:val="single" w:sz="4" w:space="0" w:color="auto"/>
              <w:bottom w:val="nil"/>
              <w:right w:val="single" w:sz="4" w:space="0" w:color="auto"/>
            </w:tcBorders>
            <w:hideMark/>
          </w:tcPr>
          <w:p w14:paraId="0BF9D92F" w14:textId="77777777" w:rsidR="00B05AA9" w:rsidRPr="00E05379" w:rsidRDefault="00B05AA9" w:rsidP="00BA76B8">
            <w:pPr>
              <w:keepNext/>
              <w:keepLines/>
              <w:rPr>
                <w:sz w:val="22"/>
                <w:szCs w:val="22"/>
                <w:lang w:val="hr-HR" w:eastAsia="de-DE"/>
              </w:rPr>
            </w:pPr>
            <w:r w:rsidRPr="00E05379">
              <w:rPr>
                <w:sz w:val="22"/>
                <w:szCs w:val="22"/>
                <w:lang w:val="hr-HR" w:eastAsia="de-DE"/>
              </w:rPr>
              <w:t xml:space="preserve">- </w:t>
            </w:r>
            <w:r w:rsidRPr="00E05379">
              <w:rPr>
                <w:sz w:val="22"/>
                <w:szCs w:val="22"/>
                <w:lang w:val="hr-HR"/>
              </w:rPr>
              <w:t>broj pacijentkinja bez događaja</w:t>
            </w:r>
          </w:p>
        </w:tc>
        <w:tc>
          <w:tcPr>
            <w:tcW w:w="1559" w:type="dxa"/>
            <w:tcBorders>
              <w:top w:val="nil"/>
              <w:left w:val="single" w:sz="4" w:space="0" w:color="auto"/>
              <w:bottom w:val="nil"/>
              <w:right w:val="nil"/>
            </w:tcBorders>
            <w:hideMark/>
          </w:tcPr>
          <w:p w14:paraId="0B0D882A"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1485 (87,7 %)</w:t>
            </w:r>
          </w:p>
        </w:tc>
        <w:tc>
          <w:tcPr>
            <w:tcW w:w="1559" w:type="dxa"/>
            <w:tcBorders>
              <w:top w:val="nil"/>
              <w:left w:val="nil"/>
              <w:bottom w:val="nil"/>
              <w:right w:val="single" w:sz="4" w:space="0" w:color="auto"/>
            </w:tcBorders>
            <w:hideMark/>
          </w:tcPr>
          <w:p w14:paraId="212D6D8E"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1580 (93,3 %)</w:t>
            </w:r>
          </w:p>
        </w:tc>
        <w:tc>
          <w:tcPr>
            <w:tcW w:w="1560" w:type="dxa"/>
            <w:tcBorders>
              <w:top w:val="nil"/>
              <w:left w:val="single" w:sz="4" w:space="0" w:color="auto"/>
              <w:bottom w:val="nil"/>
              <w:right w:val="nil"/>
            </w:tcBorders>
            <w:hideMark/>
          </w:tcPr>
          <w:p w14:paraId="66D0A033"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1191 (70,2 %)</w:t>
            </w:r>
          </w:p>
        </w:tc>
        <w:tc>
          <w:tcPr>
            <w:tcW w:w="1559" w:type="dxa"/>
            <w:tcBorders>
              <w:top w:val="nil"/>
              <w:left w:val="nil"/>
              <w:bottom w:val="nil"/>
              <w:right w:val="single" w:sz="4" w:space="0" w:color="auto"/>
            </w:tcBorders>
            <w:hideMark/>
          </w:tcPr>
          <w:p w14:paraId="6C9EA688"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1303 (76,6 %)</w:t>
            </w:r>
          </w:p>
        </w:tc>
      </w:tr>
      <w:tr w:rsidR="00B05AA9" w:rsidRPr="00E05379" w14:paraId="413C6708" w14:textId="77777777" w:rsidTr="00B05AA9">
        <w:tc>
          <w:tcPr>
            <w:tcW w:w="3227" w:type="dxa"/>
            <w:tcBorders>
              <w:top w:val="nil"/>
              <w:left w:val="single" w:sz="4" w:space="0" w:color="auto"/>
              <w:bottom w:val="nil"/>
              <w:right w:val="single" w:sz="4" w:space="0" w:color="auto"/>
            </w:tcBorders>
            <w:hideMark/>
          </w:tcPr>
          <w:p w14:paraId="2B6760D6" w14:textId="77777777" w:rsidR="00B05AA9" w:rsidRPr="00E05379" w:rsidRDefault="00B05AA9" w:rsidP="00BA76B8">
            <w:pPr>
              <w:keepNext/>
              <w:keepLines/>
              <w:widowControl w:val="0"/>
              <w:rPr>
                <w:sz w:val="22"/>
                <w:szCs w:val="22"/>
                <w:lang w:val="hr-HR" w:eastAsia="de-DE"/>
              </w:rPr>
            </w:pPr>
            <w:r w:rsidRPr="00E05379">
              <w:rPr>
                <w:sz w:val="22"/>
                <w:szCs w:val="22"/>
                <w:lang w:val="hr-HR"/>
              </w:rPr>
              <w:t xml:space="preserve">P-vrijednost </w:t>
            </w:r>
            <w:r w:rsidRPr="00E05379">
              <w:rPr>
                <w:sz w:val="22"/>
                <w:szCs w:val="22"/>
                <w:lang w:val="hr-HR" w:eastAsia="de-DE"/>
              </w:rPr>
              <w:t xml:space="preserve">naspram </w:t>
            </w:r>
            <w:r w:rsidRPr="00E05379">
              <w:rPr>
                <w:sz w:val="22"/>
                <w:szCs w:val="22"/>
                <w:lang w:val="hr-HR"/>
              </w:rPr>
              <w:t>opservacije</w:t>
            </w:r>
          </w:p>
        </w:tc>
        <w:tc>
          <w:tcPr>
            <w:tcW w:w="3118" w:type="dxa"/>
            <w:gridSpan w:val="2"/>
            <w:tcBorders>
              <w:top w:val="nil"/>
              <w:left w:val="single" w:sz="4" w:space="0" w:color="auto"/>
              <w:bottom w:val="nil"/>
              <w:right w:val="single" w:sz="4" w:space="0" w:color="auto"/>
            </w:tcBorders>
            <w:hideMark/>
          </w:tcPr>
          <w:p w14:paraId="37FAC969"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&lt; 0,0001</w:t>
            </w:r>
          </w:p>
        </w:tc>
        <w:tc>
          <w:tcPr>
            <w:tcW w:w="3119" w:type="dxa"/>
            <w:gridSpan w:val="2"/>
            <w:tcBorders>
              <w:top w:val="nil"/>
              <w:left w:val="single" w:sz="4" w:space="0" w:color="auto"/>
              <w:bottom w:val="nil"/>
              <w:right w:val="single" w:sz="4" w:space="0" w:color="auto"/>
            </w:tcBorders>
            <w:hideMark/>
          </w:tcPr>
          <w:p w14:paraId="2B0D888E"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&lt; 0,0001</w:t>
            </w:r>
          </w:p>
        </w:tc>
      </w:tr>
      <w:tr w:rsidR="00B05AA9" w:rsidRPr="00E05379" w14:paraId="77C93550" w14:textId="77777777" w:rsidTr="00B05AA9">
        <w:tc>
          <w:tcPr>
            <w:tcW w:w="3227" w:type="dxa"/>
            <w:tcBorders>
              <w:top w:val="nil"/>
              <w:left w:val="single" w:sz="4" w:space="0" w:color="auto"/>
              <w:bottom w:val="single" w:sz="4" w:space="0" w:color="auto"/>
              <w:right w:val="single" w:sz="4" w:space="0" w:color="auto"/>
            </w:tcBorders>
            <w:hideMark/>
          </w:tcPr>
          <w:p w14:paraId="454987A1" w14:textId="77777777" w:rsidR="00B05AA9" w:rsidRPr="00E05379" w:rsidRDefault="00B05AA9" w:rsidP="00BA76B8">
            <w:pPr>
              <w:keepNext/>
              <w:keepLines/>
              <w:widowControl w:val="0"/>
              <w:rPr>
                <w:sz w:val="22"/>
                <w:szCs w:val="22"/>
                <w:lang w:val="hr-HR" w:eastAsia="de-DE"/>
              </w:rPr>
            </w:pPr>
            <w:r w:rsidRPr="00E05379">
              <w:rPr>
                <w:sz w:val="22"/>
                <w:szCs w:val="22"/>
                <w:lang w:val="hr-HR"/>
              </w:rPr>
              <w:t xml:space="preserve">Odnos hazarda </w:t>
            </w:r>
            <w:r w:rsidRPr="00E05379">
              <w:rPr>
                <w:sz w:val="22"/>
                <w:szCs w:val="22"/>
                <w:lang w:val="hr-HR" w:eastAsia="de-DE"/>
              </w:rPr>
              <w:t>naspram</w:t>
            </w:r>
            <w:r w:rsidRPr="00E05379">
              <w:rPr>
                <w:sz w:val="22"/>
                <w:szCs w:val="22"/>
                <w:lang w:val="hr-HR"/>
              </w:rPr>
              <w:t xml:space="preserve"> opservacije</w:t>
            </w:r>
          </w:p>
        </w:tc>
        <w:tc>
          <w:tcPr>
            <w:tcW w:w="3118" w:type="dxa"/>
            <w:gridSpan w:val="2"/>
            <w:tcBorders>
              <w:top w:val="nil"/>
              <w:left w:val="single" w:sz="4" w:space="0" w:color="auto"/>
              <w:bottom w:val="single" w:sz="4" w:space="0" w:color="auto"/>
              <w:right w:val="single" w:sz="4" w:space="0" w:color="auto"/>
            </w:tcBorders>
            <w:hideMark/>
          </w:tcPr>
          <w:p w14:paraId="30E510A5"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0,51</w:t>
            </w:r>
          </w:p>
        </w:tc>
        <w:tc>
          <w:tcPr>
            <w:tcW w:w="3119" w:type="dxa"/>
            <w:gridSpan w:val="2"/>
            <w:tcBorders>
              <w:top w:val="nil"/>
              <w:left w:val="single" w:sz="4" w:space="0" w:color="auto"/>
              <w:bottom w:val="single" w:sz="4" w:space="0" w:color="auto"/>
              <w:right w:val="single" w:sz="4" w:space="0" w:color="auto"/>
            </w:tcBorders>
            <w:hideMark/>
          </w:tcPr>
          <w:p w14:paraId="5EBC45A8"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0,73</w:t>
            </w:r>
          </w:p>
        </w:tc>
      </w:tr>
      <w:tr w:rsidR="00B05AA9" w:rsidRPr="00E05379" w14:paraId="59847109" w14:textId="77777777" w:rsidTr="00B05AA9">
        <w:tc>
          <w:tcPr>
            <w:tcW w:w="3227" w:type="dxa"/>
            <w:tcBorders>
              <w:top w:val="single" w:sz="4" w:space="0" w:color="auto"/>
              <w:left w:val="single" w:sz="4" w:space="0" w:color="auto"/>
              <w:bottom w:val="nil"/>
              <w:right w:val="single" w:sz="4" w:space="0" w:color="auto"/>
            </w:tcBorders>
            <w:hideMark/>
          </w:tcPr>
          <w:p w14:paraId="7D0F44DB" w14:textId="731702A5" w:rsidR="00B05AA9" w:rsidRPr="00E05379" w:rsidRDefault="00B05AA9" w:rsidP="00BA76B8">
            <w:pPr>
              <w:keepNext/>
              <w:keepLines/>
              <w:rPr>
                <w:sz w:val="22"/>
                <w:szCs w:val="22"/>
                <w:lang w:val="hr-HR" w:eastAsia="de-DE"/>
              </w:rPr>
            </w:pPr>
            <w:r w:rsidRPr="00E05379">
              <w:rPr>
                <w:sz w:val="22"/>
                <w:szCs w:val="22"/>
                <w:lang w:val="hr-HR" w:eastAsia="de-DE"/>
              </w:rPr>
              <w:t>Preživljenje bez udaljen</w:t>
            </w:r>
            <w:r w:rsidR="003F5550">
              <w:rPr>
                <w:sz w:val="22"/>
                <w:szCs w:val="22"/>
                <w:lang w:val="hr-HR" w:eastAsia="de-DE"/>
              </w:rPr>
              <w:t>ih</w:t>
            </w:r>
            <w:r w:rsidRPr="00E05379">
              <w:rPr>
                <w:sz w:val="22"/>
                <w:szCs w:val="22"/>
                <w:lang w:val="hr-HR" w:eastAsia="de-DE"/>
              </w:rPr>
              <w:t xml:space="preserve"> </w:t>
            </w:r>
            <w:r w:rsidR="003F5550">
              <w:rPr>
                <w:sz w:val="22"/>
                <w:szCs w:val="22"/>
                <w:lang w:val="hr-HR" w:eastAsia="de-DE"/>
              </w:rPr>
              <w:t>metastaza</w:t>
            </w:r>
          </w:p>
        </w:tc>
        <w:tc>
          <w:tcPr>
            <w:tcW w:w="1559" w:type="dxa"/>
            <w:tcBorders>
              <w:top w:val="single" w:sz="4" w:space="0" w:color="auto"/>
              <w:left w:val="single" w:sz="4" w:space="0" w:color="auto"/>
              <w:bottom w:val="nil"/>
              <w:right w:val="nil"/>
            </w:tcBorders>
          </w:tcPr>
          <w:p w14:paraId="4DD17D12" w14:textId="77777777" w:rsidR="00B05AA9" w:rsidRPr="00E05379" w:rsidRDefault="00B05AA9" w:rsidP="00641EEB">
            <w:pPr>
              <w:keepNext/>
              <w:keepLines/>
              <w:jc w:val="both"/>
              <w:rPr>
                <w:sz w:val="22"/>
                <w:szCs w:val="22"/>
                <w:lang w:val="hr-HR" w:eastAsia="de-DE"/>
              </w:rPr>
            </w:pPr>
          </w:p>
        </w:tc>
        <w:tc>
          <w:tcPr>
            <w:tcW w:w="1559" w:type="dxa"/>
            <w:tcBorders>
              <w:top w:val="single" w:sz="4" w:space="0" w:color="auto"/>
              <w:left w:val="nil"/>
              <w:bottom w:val="nil"/>
              <w:right w:val="single" w:sz="4" w:space="0" w:color="auto"/>
            </w:tcBorders>
          </w:tcPr>
          <w:p w14:paraId="78B7EA96" w14:textId="77777777" w:rsidR="00B05AA9" w:rsidRPr="00E05379" w:rsidRDefault="00B05AA9" w:rsidP="00641EEB">
            <w:pPr>
              <w:keepNext/>
              <w:keepLines/>
              <w:jc w:val="both"/>
              <w:rPr>
                <w:sz w:val="22"/>
                <w:szCs w:val="22"/>
                <w:lang w:val="hr-HR" w:eastAsia="de-DE"/>
              </w:rPr>
            </w:pPr>
          </w:p>
        </w:tc>
        <w:tc>
          <w:tcPr>
            <w:tcW w:w="1560" w:type="dxa"/>
            <w:tcBorders>
              <w:top w:val="single" w:sz="4" w:space="0" w:color="auto"/>
              <w:left w:val="single" w:sz="4" w:space="0" w:color="auto"/>
              <w:bottom w:val="nil"/>
              <w:right w:val="nil"/>
            </w:tcBorders>
          </w:tcPr>
          <w:p w14:paraId="42AF6E89" w14:textId="77777777" w:rsidR="00B05AA9" w:rsidRPr="00E05379" w:rsidRDefault="00B05AA9" w:rsidP="00641EEB">
            <w:pPr>
              <w:keepNext/>
              <w:keepLines/>
              <w:jc w:val="both"/>
              <w:rPr>
                <w:sz w:val="22"/>
                <w:szCs w:val="22"/>
                <w:lang w:val="hr-HR" w:eastAsia="de-DE"/>
              </w:rPr>
            </w:pPr>
          </w:p>
        </w:tc>
        <w:tc>
          <w:tcPr>
            <w:tcW w:w="1559" w:type="dxa"/>
            <w:tcBorders>
              <w:top w:val="single" w:sz="4" w:space="0" w:color="auto"/>
              <w:left w:val="nil"/>
              <w:bottom w:val="nil"/>
              <w:right w:val="single" w:sz="4" w:space="0" w:color="auto"/>
            </w:tcBorders>
          </w:tcPr>
          <w:p w14:paraId="5F3042ED" w14:textId="77777777" w:rsidR="00B05AA9" w:rsidRPr="00E05379" w:rsidRDefault="00B05AA9" w:rsidP="00641EEB">
            <w:pPr>
              <w:keepNext/>
              <w:keepLines/>
              <w:jc w:val="both"/>
              <w:rPr>
                <w:sz w:val="22"/>
                <w:szCs w:val="22"/>
                <w:lang w:val="hr-HR" w:eastAsia="de-DE"/>
              </w:rPr>
            </w:pPr>
          </w:p>
        </w:tc>
      </w:tr>
      <w:tr w:rsidR="00B05AA9" w:rsidRPr="00E05379" w14:paraId="5F507C51" w14:textId="77777777" w:rsidTr="00B05AA9">
        <w:tc>
          <w:tcPr>
            <w:tcW w:w="3227" w:type="dxa"/>
            <w:tcBorders>
              <w:top w:val="nil"/>
              <w:left w:val="single" w:sz="4" w:space="0" w:color="auto"/>
              <w:bottom w:val="nil"/>
              <w:right w:val="single" w:sz="4" w:space="0" w:color="auto"/>
            </w:tcBorders>
            <w:hideMark/>
          </w:tcPr>
          <w:p w14:paraId="48F15889" w14:textId="77777777" w:rsidR="00B05AA9" w:rsidRPr="00E05379" w:rsidRDefault="00B05AA9" w:rsidP="00BA76B8">
            <w:pPr>
              <w:keepNext/>
              <w:keepLines/>
              <w:rPr>
                <w:sz w:val="22"/>
                <w:szCs w:val="22"/>
                <w:lang w:val="hr-HR" w:eastAsia="de-DE"/>
              </w:rPr>
            </w:pPr>
            <w:r w:rsidRPr="00E05379">
              <w:rPr>
                <w:sz w:val="22"/>
                <w:szCs w:val="22"/>
                <w:lang w:val="hr-HR" w:eastAsia="de-DE"/>
              </w:rPr>
              <w:t>- broj pacijentkinja sa događajem</w:t>
            </w:r>
          </w:p>
        </w:tc>
        <w:tc>
          <w:tcPr>
            <w:tcW w:w="1559" w:type="dxa"/>
            <w:tcBorders>
              <w:top w:val="nil"/>
              <w:left w:val="single" w:sz="4" w:space="0" w:color="auto"/>
              <w:bottom w:val="nil"/>
              <w:right w:val="nil"/>
            </w:tcBorders>
            <w:hideMark/>
          </w:tcPr>
          <w:p w14:paraId="6DDE59AE"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184 (10,9 %)</w:t>
            </w:r>
          </w:p>
        </w:tc>
        <w:tc>
          <w:tcPr>
            <w:tcW w:w="1559" w:type="dxa"/>
            <w:tcBorders>
              <w:top w:val="nil"/>
              <w:left w:val="nil"/>
              <w:bottom w:val="nil"/>
              <w:right w:val="single" w:sz="4" w:space="0" w:color="auto"/>
            </w:tcBorders>
            <w:hideMark/>
          </w:tcPr>
          <w:p w14:paraId="06236738"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99 (5,8 %)</w:t>
            </w:r>
          </w:p>
        </w:tc>
        <w:tc>
          <w:tcPr>
            <w:tcW w:w="1560" w:type="dxa"/>
            <w:tcBorders>
              <w:top w:val="nil"/>
              <w:left w:val="single" w:sz="4" w:space="0" w:color="auto"/>
              <w:bottom w:val="nil"/>
              <w:right w:val="nil"/>
            </w:tcBorders>
            <w:hideMark/>
          </w:tcPr>
          <w:p w14:paraId="173B7E54"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488 (28,8 %)</w:t>
            </w:r>
          </w:p>
        </w:tc>
        <w:tc>
          <w:tcPr>
            <w:tcW w:w="1559" w:type="dxa"/>
            <w:tcBorders>
              <w:top w:val="nil"/>
              <w:left w:val="nil"/>
              <w:bottom w:val="nil"/>
              <w:right w:val="single" w:sz="4" w:space="0" w:color="auto"/>
            </w:tcBorders>
            <w:hideMark/>
          </w:tcPr>
          <w:p w14:paraId="606A0BB8"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399 (23,4 %)</w:t>
            </w:r>
          </w:p>
        </w:tc>
      </w:tr>
      <w:tr w:rsidR="00B05AA9" w:rsidRPr="00E05379" w14:paraId="50A23268" w14:textId="77777777" w:rsidTr="00B05AA9">
        <w:tc>
          <w:tcPr>
            <w:tcW w:w="3227" w:type="dxa"/>
            <w:tcBorders>
              <w:top w:val="nil"/>
              <w:left w:val="single" w:sz="4" w:space="0" w:color="auto"/>
              <w:bottom w:val="nil"/>
              <w:right w:val="single" w:sz="4" w:space="0" w:color="auto"/>
            </w:tcBorders>
            <w:hideMark/>
          </w:tcPr>
          <w:p w14:paraId="2DBE0D8A" w14:textId="77777777" w:rsidR="00B05AA9" w:rsidRPr="00E05379" w:rsidRDefault="00B05AA9" w:rsidP="00BA76B8">
            <w:pPr>
              <w:keepNext/>
              <w:keepLines/>
              <w:rPr>
                <w:sz w:val="22"/>
                <w:szCs w:val="22"/>
                <w:lang w:val="hr-HR" w:eastAsia="de-DE"/>
              </w:rPr>
            </w:pPr>
            <w:r w:rsidRPr="00E05379">
              <w:rPr>
                <w:sz w:val="22"/>
                <w:szCs w:val="22"/>
                <w:lang w:val="hr-HR" w:eastAsia="de-DE"/>
              </w:rPr>
              <w:t xml:space="preserve">- </w:t>
            </w:r>
            <w:r w:rsidRPr="00E05379">
              <w:rPr>
                <w:sz w:val="22"/>
                <w:szCs w:val="22"/>
                <w:lang w:val="hr-HR"/>
              </w:rPr>
              <w:t>broj pacijentkinja bez događaja</w:t>
            </w:r>
          </w:p>
        </w:tc>
        <w:tc>
          <w:tcPr>
            <w:tcW w:w="1559" w:type="dxa"/>
            <w:tcBorders>
              <w:top w:val="nil"/>
              <w:left w:val="single" w:sz="4" w:space="0" w:color="auto"/>
              <w:bottom w:val="nil"/>
              <w:right w:val="nil"/>
            </w:tcBorders>
            <w:hideMark/>
          </w:tcPr>
          <w:p w14:paraId="6F1A2000"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1508 (89,1 %)</w:t>
            </w:r>
          </w:p>
        </w:tc>
        <w:tc>
          <w:tcPr>
            <w:tcW w:w="1559" w:type="dxa"/>
            <w:tcBorders>
              <w:top w:val="nil"/>
              <w:left w:val="nil"/>
              <w:bottom w:val="nil"/>
              <w:right w:val="single" w:sz="4" w:space="0" w:color="auto"/>
            </w:tcBorders>
            <w:hideMark/>
          </w:tcPr>
          <w:p w14:paraId="584A9B08"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1594 (94,6 %)</w:t>
            </w:r>
          </w:p>
        </w:tc>
        <w:tc>
          <w:tcPr>
            <w:tcW w:w="1560" w:type="dxa"/>
            <w:tcBorders>
              <w:top w:val="nil"/>
              <w:left w:val="single" w:sz="4" w:space="0" w:color="auto"/>
              <w:bottom w:val="nil"/>
              <w:right w:val="nil"/>
            </w:tcBorders>
            <w:hideMark/>
          </w:tcPr>
          <w:p w14:paraId="412A65A3"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1209 (71,2 %)</w:t>
            </w:r>
          </w:p>
        </w:tc>
        <w:tc>
          <w:tcPr>
            <w:tcW w:w="1559" w:type="dxa"/>
            <w:tcBorders>
              <w:top w:val="nil"/>
              <w:left w:val="nil"/>
              <w:bottom w:val="nil"/>
              <w:right w:val="single" w:sz="4" w:space="0" w:color="auto"/>
            </w:tcBorders>
            <w:hideMark/>
          </w:tcPr>
          <w:p w14:paraId="1289EEFE"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1303 (76,6 %)</w:t>
            </w:r>
          </w:p>
        </w:tc>
      </w:tr>
      <w:tr w:rsidR="00B05AA9" w:rsidRPr="00E05379" w14:paraId="48722228" w14:textId="77777777" w:rsidTr="00B05AA9">
        <w:tc>
          <w:tcPr>
            <w:tcW w:w="3227" w:type="dxa"/>
            <w:tcBorders>
              <w:top w:val="nil"/>
              <w:left w:val="single" w:sz="4" w:space="0" w:color="auto"/>
              <w:bottom w:val="nil"/>
              <w:right w:val="single" w:sz="4" w:space="0" w:color="auto"/>
            </w:tcBorders>
            <w:hideMark/>
          </w:tcPr>
          <w:p w14:paraId="79749918" w14:textId="77777777" w:rsidR="00B05AA9" w:rsidRPr="00E05379" w:rsidRDefault="00B05AA9" w:rsidP="00BA76B8">
            <w:pPr>
              <w:keepNext/>
              <w:keepLines/>
              <w:widowControl w:val="0"/>
              <w:rPr>
                <w:sz w:val="22"/>
                <w:szCs w:val="22"/>
                <w:lang w:val="hr-HR" w:eastAsia="de-DE"/>
              </w:rPr>
            </w:pPr>
            <w:r w:rsidRPr="00E05379">
              <w:rPr>
                <w:sz w:val="22"/>
                <w:szCs w:val="22"/>
                <w:lang w:val="hr-HR"/>
              </w:rPr>
              <w:t xml:space="preserve">P-vrijednost </w:t>
            </w:r>
            <w:r w:rsidRPr="00E05379">
              <w:rPr>
                <w:sz w:val="22"/>
                <w:szCs w:val="22"/>
                <w:lang w:val="hr-HR" w:eastAsia="de-DE"/>
              </w:rPr>
              <w:t xml:space="preserve">naspram </w:t>
            </w:r>
            <w:r w:rsidRPr="00E05379">
              <w:rPr>
                <w:sz w:val="22"/>
                <w:szCs w:val="22"/>
                <w:lang w:val="hr-HR"/>
              </w:rPr>
              <w:t>opservacije</w:t>
            </w:r>
          </w:p>
        </w:tc>
        <w:tc>
          <w:tcPr>
            <w:tcW w:w="3118" w:type="dxa"/>
            <w:gridSpan w:val="2"/>
            <w:tcBorders>
              <w:top w:val="nil"/>
              <w:left w:val="single" w:sz="4" w:space="0" w:color="auto"/>
              <w:bottom w:val="nil"/>
              <w:right w:val="single" w:sz="4" w:space="0" w:color="auto"/>
            </w:tcBorders>
            <w:hideMark/>
          </w:tcPr>
          <w:p w14:paraId="09221B58"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&lt; 0,0001</w:t>
            </w:r>
          </w:p>
        </w:tc>
        <w:tc>
          <w:tcPr>
            <w:tcW w:w="3119" w:type="dxa"/>
            <w:gridSpan w:val="2"/>
            <w:tcBorders>
              <w:top w:val="nil"/>
              <w:left w:val="single" w:sz="4" w:space="0" w:color="auto"/>
              <w:bottom w:val="nil"/>
              <w:right w:val="single" w:sz="4" w:space="0" w:color="auto"/>
            </w:tcBorders>
            <w:hideMark/>
          </w:tcPr>
          <w:p w14:paraId="7C7FA88D"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&lt; 0,0001</w:t>
            </w:r>
          </w:p>
        </w:tc>
      </w:tr>
      <w:tr w:rsidR="00B05AA9" w:rsidRPr="00E05379" w14:paraId="53FA014C" w14:textId="77777777" w:rsidTr="00B05AA9">
        <w:tc>
          <w:tcPr>
            <w:tcW w:w="3227" w:type="dxa"/>
            <w:tcBorders>
              <w:top w:val="nil"/>
              <w:left w:val="single" w:sz="4" w:space="0" w:color="auto"/>
              <w:bottom w:val="single" w:sz="4" w:space="0" w:color="auto"/>
              <w:right w:val="single" w:sz="4" w:space="0" w:color="auto"/>
            </w:tcBorders>
            <w:hideMark/>
          </w:tcPr>
          <w:p w14:paraId="5D9538F6" w14:textId="77777777" w:rsidR="00B05AA9" w:rsidRPr="00E05379" w:rsidRDefault="00B05AA9" w:rsidP="00BA76B8">
            <w:pPr>
              <w:keepNext/>
              <w:keepLines/>
              <w:widowControl w:val="0"/>
              <w:rPr>
                <w:sz w:val="22"/>
                <w:szCs w:val="22"/>
                <w:lang w:val="hr-HR" w:eastAsia="de-DE"/>
              </w:rPr>
            </w:pPr>
            <w:r w:rsidRPr="00E05379">
              <w:rPr>
                <w:sz w:val="22"/>
                <w:szCs w:val="22"/>
                <w:lang w:val="hr-HR"/>
              </w:rPr>
              <w:t xml:space="preserve">Odnos hazarda </w:t>
            </w:r>
            <w:r w:rsidRPr="00E05379">
              <w:rPr>
                <w:sz w:val="22"/>
                <w:szCs w:val="22"/>
                <w:lang w:val="hr-HR" w:eastAsia="de-DE"/>
              </w:rPr>
              <w:t>naspram</w:t>
            </w:r>
            <w:r w:rsidRPr="00E05379">
              <w:rPr>
                <w:sz w:val="22"/>
                <w:szCs w:val="22"/>
                <w:lang w:val="hr-HR"/>
              </w:rPr>
              <w:t xml:space="preserve"> opservacije</w:t>
            </w:r>
          </w:p>
        </w:tc>
        <w:tc>
          <w:tcPr>
            <w:tcW w:w="3118" w:type="dxa"/>
            <w:gridSpan w:val="2"/>
            <w:tcBorders>
              <w:top w:val="nil"/>
              <w:left w:val="single" w:sz="4" w:space="0" w:color="auto"/>
              <w:bottom w:val="single" w:sz="4" w:space="0" w:color="auto"/>
              <w:right w:val="single" w:sz="4" w:space="0" w:color="auto"/>
            </w:tcBorders>
            <w:hideMark/>
          </w:tcPr>
          <w:p w14:paraId="40B72CCE"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0,50</w:t>
            </w:r>
          </w:p>
        </w:tc>
        <w:tc>
          <w:tcPr>
            <w:tcW w:w="3119" w:type="dxa"/>
            <w:gridSpan w:val="2"/>
            <w:tcBorders>
              <w:top w:val="nil"/>
              <w:left w:val="single" w:sz="4" w:space="0" w:color="auto"/>
              <w:bottom w:val="single" w:sz="4" w:space="0" w:color="auto"/>
              <w:right w:val="single" w:sz="4" w:space="0" w:color="auto"/>
            </w:tcBorders>
            <w:hideMark/>
          </w:tcPr>
          <w:p w14:paraId="4E3EA2D7" w14:textId="77777777" w:rsidR="00B05AA9" w:rsidRPr="00E05379" w:rsidRDefault="00B05AA9" w:rsidP="00641EEB">
            <w:pPr>
              <w:keepNext/>
              <w:keepLines/>
              <w:jc w:val="center"/>
              <w:rPr>
                <w:sz w:val="22"/>
                <w:szCs w:val="22"/>
                <w:lang w:val="hr-HR" w:eastAsia="de-DE"/>
              </w:rPr>
            </w:pPr>
            <w:r w:rsidRPr="00E05379">
              <w:rPr>
                <w:sz w:val="22"/>
                <w:szCs w:val="22"/>
                <w:lang w:val="hr-HR" w:eastAsia="de-DE"/>
              </w:rPr>
              <w:t>0,76</w:t>
            </w:r>
          </w:p>
        </w:tc>
      </w:tr>
      <w:tr w:rsidR="00B05AA9" w:rsidRPr="00E05379" w14:paraId="61C39EE6" w14:textId="77777777" w:rsidTr="00B05AA9">
        <w:tc>
          <w:tcPr>
            <w:tcW w:w="3227" w:type="dxa"/>
            <w:tcBorders>
              <w:top w:val="single" w:sz="4" w:space="0" w:color="auto"/>
              <w:left w:val="single" w:sz="4" w:space="0" w:color="auto"/>
              <w:bottom w:val="nil"/>
              <w:right w:val="single" w:sz="4" w:space="0" w:color="auto"/>
            </w:tcBorders>
            <w:hideMark/>
          </w:tcPr>
          <w:p w14:paraId="3910AFBB" w14:textId="77777777" w:rsidR="00B05AA9" w:rsidRPr="00E05379" w:rsidRDefault="00B05AA9" w:rsidP="00BA76B8">
            <w:pPr>
              <w:keepNext/>
              <w:keepLines/>
              <w:rPr>
                <w:sz w:val="22"/>
                <w:szCs w:val="22"/>
                <w:lang w:val="hr-HR" w:eastAsia="de-DE"/>
              </w:rPr>
            </w:pPr>
            <w:r w:rsidRPr="00E05379">
              <w:rPr>
                <w:sz w:val="22"/>
                <w:szCs w:val="22"/>
                <w:lang w:val="hr-HR" w:eastAsia="de-DE"/>
              </w:rPr>
              <w:t>Ukupno preživljavanje (smrt)</w:t>
            </w:r>
          </w:p>
        </w:tc>
        <w:tc>
          <w:tcPr>
            <w:tcW w:w="1559" w:type="dxa"/>
            <w:tcBorders>
              <w:top w:val="single" w:sz="4" w:space="0" w:color="auto"/>
              <w:left w:val="single" w:sz="4" w:space="0" w:color="auto"/>
              <w:bottom w:val="nil"/>
              <w:right w:val="nil"/>
            </w:tcBorders>
          </w:tcPr>
          <w:p w14:paraId="50325AB8" w14:textId="77777777" w:rsidR="00B05AA9" w:rsidRPr="00E05379" w:rsidRDefault="00B05AA9" w:rsidP="00641EEB">
            <w:pPr>
              <w:keepNext/>
              <w:keepLines/>
              <w:jc w:val="both"/>
              <w:rPr>
                <w:sz w:val="22"/>
                <w:szCs w:val="22"/>
                <w:lang w:val="hr-HR" w:eastAsia="de-DE"/>
              </w:rPr>
            </w:pPr>
          </w:p>
        </w:tc>
        <w:tc>
          <w:tcPr>
            <w:tcW w:w="1559" w:type="dxa"/>
            <w:tcBorders>
              <w:top w:val="single" w:sz="4" w:space="0" w:color="auto"/>
              <w:left w:val="nil"/>
              <w:bottom w:val="nil"/>
              <w:right w:val="single" w:sz="4" w:space="0" w:color="auto"/>
            </w:tcBorders>
          </w:tcPr>
          <w:p w14:paraId="36CF311E" w14:textId="77777777" w:rsidR="00B05AA9" w:rsidRPr="00E05379" w:rsidRDefault="00B05AA9" w:rsidP="00641EEB">
            <w:pPr>
              <w:keepNext/>
              <w:keepLines/>
              <w:jc w:val="both"/>
              <w:rPr>
                <w:sz w:val="22"/>
                <w:szCs w:val="22"/>
                <w:lang w:val="hr-HR" w:eastAsia="de-DE"/>
              </w:rPr>
            </w:pPr>
          </w:p>
        </w:tc>
        <w:tc>
          <w:tcPr>
            <w:tcW w:w="1560" w:type="dxa"/>
            <w:tcBorders>
              <w:top w:val="single" w:sz="4" w:space="0" w:color="auto"/>
              <w:left w:val="single" w:sz="4" w:space="0" w:color="auto"/>
              <w:bottom w:val="nil"/>
              <w:right w:val="nil"/>
            </w:tcBorders>
          </w:tcPr>
          <w:p w14:paraId="459C116F" w14:textId="77777777" w:rsidR="00B05AA9" w:rsidRPr="00E05379" w:rsidRDefault="00B05AA9" w:rsidP="00641EEB">
            <w:pPr>
              <w:keepNext/>
              <w:keepLines/>
              <w:jc w:val="both"/>
              <w:rPr>
                <w:sz w:val="22"/>
                <w:szCs w:val="22"/>
                <w:lang w:val="hr-HR" w:eastAsia="de-DE"/>
              </w:rPr>
            </w:pPr>
          </w:p>
        </w:tc>
        <w:tc>
          <w:tcPr>
            <w:tcW w:w="1559" w:type="dxa"/>
            <w:tcBorders>
              <w:top w:val="single" w:sz="4" w:space="0" w:color="auto"/>
              <w:left w:val="nil"/>
              <w:bottom w:val="nil"/>
              <w:right w:val="single" w:sz="4" w:space="0" w:color="auto"/>
            </w:tcBorders>
          </w:tcPr>
          <w:p w14:paraId="0F559862" w14:textId="77777777" w:rsidR="00B05AA9" w:rsidRPr="00E05379" w:rsidRDefault="00B05AA9" w:rsidP="00641EEB">
            <w:pPr>
              <w:keepNext/>
              <w:keepLines/>
              <w:jc w:val="both"/>
              <w:rPr>
                <w:sz w:val="22"/>
                <w:szCs w:val="22"/>
                <w:lang w:val="hr-HR" w:eastAsia="de-DE"/>
              </w:rPr>
            </w:pPr>
          </w:p>
        </w:tc>
      </w:tr>
      <w:tr w:rsidR="00B05AA9" w:rsidRPr="00E05379" w14:paraId="2C7974D2" w14:textId="77777777" w:rsidTr="00B05AA9">
        <w:tc>
          <w:tcPr>
            <w:tcW w:w="3227" w:type="dxa"/>
            <w:tcBorders>
              <w:top w:val="nil"/>
              <w:left w:val="single" w:sz="4" w:space="0" w:color="auto"/>
              <w:bottom w:val="nil"/>
              <w:right w:val="single" w:sz="4" w:space="0" w:color="auto"/>
            </w:tcBorders>
            <w:hideMark/>
          </w:tcPr>
          <w:p w14:paraId="28B3B958" w14:textId="77777777" w:rsidR="00B05AA9" w:rsidRPr="00E05379" w:rsidRDefault="00B05AA9" w:rsidP="00BA76B8">
            <w:pPr>
              <w:keepNext/>
              <w:keepLines/>
              <w:rPr>
                <w:sz w:val="22"/>
                <w:szCs w:val="22"/>
                <w:lang w:val="hr-HR" w:eastAsia="de-DE"/>
              </w:rPr>
            </w:pPr>
            <w:r w:rsidRPr="00E05379">
              <w:rPr>
                <w:sz w:val="22"/>
                <w:szCs w:val="22"/>
                <w:lang w:val="hr-HR" w:eastAsia="de-DE"/>
              </w:rPr>
              <w:t>- broj pacijentkinja sa događajem</w:t>
            </w:r>
          </w:p>
        </w:tc>
        <w:tc>
          <w:tcPr>
            <w:tcW w:w="1559" w:type="dxa"/>
            <w:tcBorders>
              <w:top w:val="nil"/>
              <w:left w:val="single" w:sz="4" w:space="0" w:color="auto"/>
              <w:bottom w:val="nil"/>
              <w:right w:val="nil"/>
            </w:tcBorders>
            <w:hideMark/>
          </w:tcPr>
          <w:p w14:paraId="11DA2C01"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40 (2,4 %)</w:t>
            </w:r>
          </w:p>
        </w:tc>
        <w:tc>
          <w:tcPr>
            <w:tcW w:w="1559" w:type="dxa"/>
            <w:tcBorders>
              <w:top w:val="nil"/>
              <w:left w:val="nil"/>
              <w:bottom w:val="nil"/>
              <w:right w:val="single" w:sz="4" w:space="0" w:color="auto"/>
            </w:tcBorders>
            <w:hideMark/>
          </w:tcPr>
          <w:p w14:paraId="79D6DD54"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31 (1,8 %)</w:t>
            </w:r>
          </w:p>
        </w:tc>
        <w:tc>
          <w:tcPr>
            <w:tcW w:w="1560" w:type="dxa"/>
            <w:tcBorders>
              <w:top w:val="nil"/>
              <w:left w:val="single" w:sz="4" w:space="0" w:color="auto"/>
              <w:bottom w:val="nil"/>
              <w:right w:val="nil"/>
            </w:tcBorders>
            <w:hideMark/>
          </w:tcPr>
          <w:p w14:paraId="42F5DDD8"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350 (20,6 %)</w:t>
            </w:r>
          </w:p>
        </w:tc>
        <w:tc>
          <w:tcPr>
            <w:tcW w:w="1559" w:type="dxa"/>
            <w:tcBorders>
              <w:top w:val="nil"/>
              <w:left w:val="nil"/>
              <w:bottom w:val="nil"/>
              <w:right w:val="single" w:sz="4" w:space="0" w:color="auto"/>
            </w:tcBorders>
            <w:hideMark/>
          </w:tcPr>
          <w:p w14:paraId="6D4C8AE5"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278 (16,3 %)</w:t>
            </w:r>
          </w:p>
        </w:tc>
      </w:tr>
      <w:tr w:rsidR="00B05AA9" w:rsidRPr="00E05379" w14:paraId="544125DB" w14:textId="77777777" w:rsidTr="00B05AA9">
        <w:tc>
          <w:tcPr>
            <w:tcW w:w="3227" w:type="dxa"/>
            <w:tcBorders>
              <w:top w:val="nil"/>
              <w:left w:val="single" w:sz="4" w:space="0" w:color="auto"/>
              <w:bottom w:val="nil"/>
              <w:right w:val="single" w:sz="4" w:space="0" w:color="auto"/>
            </w:tcBorders>
            <w:hideMark/>
          </w:tcPr>
          <w:p w14:paraId="4A83590E" w14:textId="77777777" w:rsidR="00B05AA9" w:rsidRPr="00E05379" w:rsidRDefault="00B05AA9" w:rsidP="00BA76B8">
            <w:pPr>
              <w:keepNext/>
              <w:keepLines/>
              <w:rPr>
                <w:sz w:val="22"/>
                <w:szCs w:val="22"/>
                <w:lang w:val="hr-HR" w:eastAsia="de-DE"/>
              </w:rPr>
            </w:pPr>
            <w:r w:rsidRPr="00E05379">
              <w:rPr>
                <w:sz w:val="22"/>
                <w:szCs w:val="22"/>
                <w:lang w:val="hr-HR" w:eastAsia="de-DE"/>
              </w:rPr>
              <w:t xml:space="preserve">- </w:t>
            </w:r>
            <w:r w:rsidRPr="00E05379">
              <w:rPr>
                <w:sz w:val="22"/>
                <w:szCs w:val="22"/>
                <w:lang w:val="hr-HR"/>
              </w:rPr>
              <w:t>broj pacijentkinja bez događaja</w:t>
            </w:r>
          </w:p>
        </w:tc>
        <w:tc>
          <w:tcPr>
            <w:tcW w:w="1559" w:type="dxa"/>
            <w:tcBorders>
              <w:top w:val="nil"/>
              <w:left w:val="single" w:sz="4" w:space="0" w:color="auto"/>
              <w:bottom w:val="nil"/>
              <w:right w:val="nil"/>
            </w:tcBorders>
            <w:hideMark/>
          </w:tcPr>
          <w:p w14:paraId="2BFC53D7"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1653 (97,6 %)</w:t>
            </w:r>
          </w:p>
        </w:tc>
        <w:tc>
          <w:tcPr>
            <w:tcW w:w="1559" w:type="dxa"/>
            <w:tcBorders>
              <w:top w:val="nil"/>
              <w:left w:val="nil"/>
              <w:bottom w:val="nil"/>
              <w:right w:val="single" w:sz="4" w:space="0" w:color="auto"/>
            </w:tcBorders>
            <w:hideMark/>
          </w:tcPr>
          <w:p w14:paraId="0A292C36"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1662 (98,2 %)</w:t>
            </w:r>
          </w:p>
        </w:tc>
        <w:tc>
          <w:tcPr>
            <w:tcW w:w="1560" w:type="dxa"/>
            <w:tcBorders>
              <w:top w:val="nil"/>
              <w:left w:val="single" w:sz="4" w:space="0" w:color="auto"/>
              <w:bottom w:val="nil"/>
              <w:right w:val="nil"/>
            </w:tcBorders>
            <w:hideMark/>
          </w:tcPr>
          <w:p w14:paraId="6891C392"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1347 (79,4 %)</w:t>
            </w:r>
          </w:p>
        </w:tc>
        <w:tc>
          <w:tcPr>
            <w:tcW w:w="1559" w:type="dxa"/>
            <w:tcBorders>
              <w:top w:val="nil"/>
              <w:left w:val="nil"/>
              <w:bottom w:val="nil"/>
              <w:right w:val="single" w:sz="4" w:space="0" w:color="auto"/>
            </w:tcBorders>
            <w:hideMark/>
          </w:tcPr>
          <w:p w14:paraId="3B089B78" w14:textId="77777777" w:rsidR="00B05AA9" w:rsidRPr="00E05379" w:rsidRDefault="00B05AA9" w:rsidP="00641EEB">
            <w:pPr>
              <w:keepNext/>
              <w:keepLines/>
              <w:jc w:val="both"/>
              <w:rPr>
                <w:sz w:val="22"/>
                <w:szCs w:val="22"/>
                <w:lang w:val="hr-HR" w:eastAsia="de-DE"/>
              </w:rPr>
            </w:pPr>
            <w:r w:rsidRPr="00E05379">
              <w:rPr>
                <w:sz w:val="22"/>
                <w:szCs w:val="22"/>
                <w:lang w:val="hr-HR" w:eastAsia="de-DE"/>
              </w:rPr>
              <w:t>1424 (83,7 %)</w:t>
            </w:r>
          </w:p>
        </w:tc>
      </w:tr>
      <w:tr w:rsidR="00B05AA9" w:rsidRPr="00E05379" w14:paraId="4A7BB254" w14:textId="77777777" w:rsidTr="00B05AA9">
        <w:tc>
          <w:tcPr>
            <w:tcW w:w="3227" w:type="dxa"/>
            <w:tcBorders>
              <w:top w:val="nil"/>
              <w:left w:val="single" w:sz="4" w:space="0" w:color="auto"/>
              <w:bottom w:val="nil"/>
              <w:right w:val="single" w:sz="4" w:space="0" w:color="auto"/>
            </w:tcBorders>
            <w:hideMark/>
          </w:tcPr>
          <w:p w14:paraId="62562589" w14:textId="77777777" w:rsidR="00B05AA9" w:rsidRPr="00E05379" w:rsidRDefault="00B05AA9" w:rsidP="00BA76B8">
            <w:pPr>
              <w:keepNext/>
              <w:widowControl w:val="0"/>
              <w:rPr>
                <w:sz w:val="22"/>
                <w:szCs w:val="22"/>
                <w:lang w:val="hr-HR" w:eastAsia="de-DE"/>
              </w:rPr>
            </w:pPr>
            <w:r w:rsidRPr="00E05379">
              <w:rPr>
                <w:sz w:val="22"/>
                <w:szCs w:val="22"/>
                <w:lang w:val="hr-HR"/>
              </w:rPr>
              <w:t xml:space="preserve">P-vrijednost </w:t>
            </w:r>
            <w:r w:rsidRPr="00E05379">
              <w:rPr>
                <w:sz w:val="22"/>
                <w:szCs w:val="22"/>
                <w:lang w:val="hr-HR" w:eastAsia="de-DE"/>
              </w:rPr>
              <w:t xml:space="preserve">naspram </w:t>
            </w:r>
            <w:r w:rsidRPr="00E05379">
              <w:rPr>
                <w:sz w:val="22"/>
                <w:szCs w:val="22"/>
                <w:lang w:val="hr-HR"/>
              </w:rPr>
              <w:t>opservacije</w:t>
            </w:r>
          </w:p>
        </w:tc>
        <w:tc>
          <w:tcPr>
            <w:tcW w:w="3118" w:type="dxa"/>
            <w:gridSpan w:val="2"/>
            <w:tcBorders>
              <w:top w:val="nil"/>
              <w:left w:val="single" w:sz="4" w:space="0" w:color="auto"/>
              <w:bottom w:val="nil"/>
              <w:right w:val="single" w:sz="4" w:space="0" w:color="auto"/>
            </w:tcBorders>
            <w:hideMark/>
          </w:tcPr>
          <w:p w14:paraId="1DEAF6F4" w14:textId="77777777" w:rsidR="00B05AA9" w:rsidRPr="00E05379" w:rsidRDefault="00B05AA9" w:rsidP="00641EEB">
            <w:pPr>
              <w:jc w:val="center"/>
              <w:rPr>
                <w:sz w:val="22"/>
                <w:szCs w:val="22"/>
                <w:lang w:val="hr-HR" w:eastAsia="de-DE"/>
              </w:rPr>
            </w:pPr>
            <w:r w:rsidRPr="00E05379">
              <w:rPr>
                <w:sz w:val="22"/>
                <w:szCs w:val="22"/>
                <w:lang w:val="hr-HR" w:eastAsia="de-DE"/>
              </w:rPr>
              <w:t>0,24</w:t>
            </w:r>
          </w:p>
        </w:tc>
        <w:tc>
          <w:tcPr>
            <w:tcW w:w="3119" w:type="dxa"/>
            <w:gridSpan w:val="2"/>
            <w:tcBorders>
              <w:top w:val="nil"/>
              <w:left w:val="single" w:sz="4" w:space="0" w:color="auto"/>
              <w:bottom w:val="nil"/>
              <w:right w:val="single" w:sz="4" w:space="0" w:color="auto"/>
            </w:tcBorders>
            <w:hideMark/>
          </w:tcPr>
          <w:p w14:paraId="5A109D9F" w14:textId="77777777" w:rsidR="00B05AA9" w:rsidRPr="00E05379" w:rsidRDefault="00B05AA9" w:rsidP="00641EEB">
            <w:pPr>
              <w:jc w:val="center"/>
              <w:rPr>
                <w:sz w:val="22"/>
                <w:szCs w:val="22"/>
                <w:lang w:val="hr-HR" w:eastAsia="de-DE"/>
              </w:rPr>
            </w:pPr>
            <w:r w:rsidRPr="00E05379">
              <w:rPr>
                <w:sz w:val="22"/>
                <w:szCs w:val="22"/>
                <w:lang w:val="hr-HR" w:eastAsia="de-DE"/>
              </w:rPr>
              <w:t>0,0005</w:t>
            </w:r>
          </w:p>
        </w:tc>
      </w:tr>
      <w:tr w:rsidR="00B05AA9" w:rsidRPr="00E05379" w14:paraId="4C3C6464" w14:textId="77777777" w:rsidTr="00B05AA9">
        <w:tc>
          <w:tcPr>
            <w:tcW w:w="3227" w:type="dxa"/>
            <w:tcBorders>
              <w:top w:val="nil"/>
              <w:left w:val="single" w:sz="4" w:space="0" w:color="auto"/>
              <w:bottom w:val="single" w:sz="4" w:space="0" w:color="auto"/>
              <w:right w:val="single" w:sz="4" w:space="0" w:color="auto"/>
            </w:tcBorders>
            <w:hideMark/>
          </w:tcPr>
          <w:p w14:paraId="06752AFE" w14:textId="0B444E96" w:rsidR="00B05AA9" w:rsidRPr="00E05379" w:rsidRDefault="00B05AA9" w:rsidP="00BA76B8">
            <w:pPr>
              <w:keepNext/>
              <w:widowControl w:val="0"/>
              <w:rPr>
                <w:sz w:val="22"/>
                <w:szCs w:val="22"/>
                <w:lang w:val="hr-HR" w:eastAsia="de-DE"/>
              </w:rPr>
            </w:pPr>
            <w:r w:rsidRPr="00E05379">
              <w:rPr>
                <w:sz w:val="22"/>
                <w:szCs w:val="22"/>
                <w:lang w:val="hr-HR"/>
              </w:rPr>
              <w:t>Odnos</w:t>
            </w:r>
            <w:r w:rsidR="003F5550">
              <w:rPr>
                <w:sz w:val="22"/>
                <w:szCs w:val="22"/>
                <w:lang w:val="hr-HR"/>
              </w:rPr>
              <w:t xml:space="preserve"> </w:t>
            </w:r>
            <w:r w:rsidRPr="00E05379">
              <w:rPr>
                <w:sz w:val="22"/>
                <w:szCs w:val="22"/>
                <w:lang w:val="hr-HR"/>
              </w:rPr>
              <w:t xml:space="preserve">hazarda </w:t>
            </w:r>
            <w:r w:rsidRPr="00E05379">
              <w:rPr>
                <w:sz w:val="22"/>
                <w:szCs w:val="22"/>
                <w:lang w:val="hr-HR" w:eastAsia="de-DE"/>
              </w:rPr>
              <w:t>naspram</w:t>
            </w:r>
            <w:r w:rsidRPr="00E05379">
              <w:rPr>
                <w:sz w:val="22"/>
                <w:szCs w:val="22"/>
                <w:lang w:val="hr-HR"/>
              </w:rPr>
              <w:t xml:space="preserve"> opservacije</w:t>
            </w:r>
          </w:p>
        </w:tc>
        <w:tc>
          <w:tcPr>
            <w:tcW w:w="3118" w:type="dxa"/>
            <w:gridSpan w:val="2"/>
            <w:tcBorders>
              <w:top w:val="nil"/>
              <w:left w:val="single" w:sz="4" w:space="0" w:color="auto"/>
              <w:bottom w:val="single" w:sz="4" w:space="0" w:color="auto"/>
              <w:right w:val="single" w:sz="4" w:space="0" w:color="auto"/>
            </w:tcBorders>
            <w:hideMark/>
          </w:tcPr>
          <w:p w14:paraId="57FF0A05" w14:textId="77777777" w:rsidR="00B05AA9" w:rsidRPr="00E05379" w:rsidRDefault="00B05AA9" w:rsidP="00641EEB">
            <w:pPr>
              <w:jc w:val="center"/>
              <w:rPr>
                <w:sz w:val="22"/>
                <w:szCs w:val="22"/>
                <w:lang w:val="hr-HR" w:eastAsia="de-DE"/>
              </w:rPr>
            </w:pPr>
            <w:r w:rsidRPr="00E05379">
              <w:rPr>
                <w:sz w:val="22"/>
                <w:szCs w:val="22"/>
                <w:lang w:val="hr-HR" w:eastAsia="de-DE"/>
              </w:rPr>
              <w:t>0,75</w:t>
            </w:r>
          </w:p>
        </w:tc>
        <w:tc>
          <w:tcPr>
            <w:tcW w:w="3119" w:type="dxa"/>
            <w:gridSpan w:val="2"/>
            <w:tcBorders>
              <w:top w:val="nil"/>
              <w:left w:val="single" w:sz="4" w:space="0" w:color="auto"/>
              <w:bottom w:val="single" w:sz="4" w:space="0" w:color="auto"/>
              <w:right w:val="single" w:sz="4" w:space="0" w:color="auto"/>
            </w:tcBorders>
            <w:hideMark/>
          </w:tcPr>
          <w:p w14:paraId="6E30410C" w14:textId="77777777" w:rsidR="00B05AA9" w:rsidRPr="00E05379" w:rsidRDefault="00B05AA9" w:rsidP="00641EEB">
            <w:pPr>
              <w:jc w:val="center"/>
              <w:rPr>
                <w:sz w:val="22"/>
                <w:szCs w:val="22"/>
                <w:lang w:val="hr-HR" w:eastAsia="de-DE"/>
              </w:rPr>
            </w:pPr>
            <w:r w:rsidRPr="00E05379">
              <w:rPr>
                <w:sz w:val="22"/>
                <w:szCs w:val="22"/>
                <w:lang w:val="hr-HR" w:eastAsia="de-DE"/>
              </w:rPr>
              <w:t>0,76</w:t>
            </w:r>
          </w:p>
        </w:tc>
      </w:tr>
    </w:tbl>
    <w:p w14:paraId="24ADF439" w14:textId="77777777" w:rsidR="00B05AA9" w:rsidRPr="009D4A69" w:rsidRDefault="00B05AA9" w:rsidP="00641EEB">
      <w:pPr>
        <w:jc w:val="both"/>
        <w:rPr>
          <w:sz w:val="20"/>
          <w:szCs w:val="20"/>
          <w:lang w:val="hr-HR"/>
        </w:rPr>
      </w:pPr>
      <w:r w:rsidRPr="009D4A69">
        <w:rPr>
          <w:sz w:val="20"/>
          <w:szCs w:val="20"/>
          <w:lang w:val="hr-HR"/>
        </w:rPr>
        <w:t>*Jedan od dva primarna ishoda, preživljavanje bez simptoma bolesti tokom jedne godine naspram opservacije, dostigao je prethodno definisanu statističku graničnu vrijednost.</w:t>
      </w:r>
    </w:p>
    <w:p w14:paraId="407F0134" w14:textId="77777777" w:rsidR="00B05AA9" w:rsidRPr="009D4A69" w:rsidRDefault="00B05AA9" w:rsidP="00641EEB">
      <w:pPr>
        <w:jc w:val="both"/>
        <w:rPr>
          <w:sz w:val="20"/>
          <w:szCs w:val="20"/>
          <w:lang w:val="hr-HR"/>
        </w:rPr>
      </w:pPr>
      <w:r w:rsidRPr="009D4A69">
        <w:rPr>
          <w:sz w:val="20"/>
          <w:szCs w:val="20"/>
          <w:lang w:val="hr-HR"/>
        </w:rPr>
        <w:t>**Završna analiza (uključujući prelaz 52% pacijenata iz opservacijske grupe na Herceptin)</w:t>
      </w:r>
    </w:p>
    <w:p w14:paraId="635E0134" w14:textId="54CD6861" w:rsidR="00B05AA9" w:rsidRPr="009D4A69" w:rsidRDefault="00B05AA9" w:rsidP="00641EEB">
      <w:pPr>
        <w:jc w:val="both"/>
        <w:rPr>
          <w:sz w:val="20"/>
          <w:szCs w:val="20"/>
          <w:lang w:val="hr-HR"/>
        </w:rPr>
      </w:pPr>
      <w:r w:rsidRPr="009D4A69">
        <w:rPr>
          <w:sz w:val="20"/>
          <w:szCs w:val="20"/>
          <w:lang w:val="hr-HR"/>
        </w:rPr>
        <w:t>***Postoji nesrazmjer</w:t>
      </w:r>
      <w:r w:rsidR="003F5550">
        <w:rPr>
          <w:sz w:val="20"/>
          <w:szCs w:val="20"/>
          <w:lang w:val="hr-HR"/>
        </w:rPr>
        <w:t>nost</w:t>
      </w:r>
      <w:r w:rsidRPr="009D4A69">
        <w:rPr>
          <w:sz w:val="20"/>
          <w:szCs w:val="20"/>
          <w:lang w:val="hr-HR"/>
        </w:rPr>
        <w:t xml:space="preserve"> u ukupnoj veličini uzorka zbog malog broja pacijenata koji su randomizovani nakon završnog datuma za analizu medijan</w:t>
      </w:r>
      <w:r w:rsidR="003F5550">
        <w:rPr>
          <w:sz w:val="20"/>
          <w:szCs w:val="20"/>
          <w:lang w:val="hr-HR"/>
        </w:rPr>
        <w:t>e</w:t>
      </w:r>
      <w:r w:rsidRPr="009D4A69">
        <w:rPr>
          <w:sz w:val="20"/>
          <w:szCs w:val="20"/>
          <w:lang w:val="hr-HR"/>
        </w:rPr>
        <w:t xml:space="preserve"> praćenja od 12 mjeseci.</w:t>
      </w:r>
    </w:p>
    <w:p w14:paraId="28611583" w14:textId="77777777" w:rsidR="00B05AA9" w:rsidRDefault="00B05AA9" w:rsidP="00641EEB">
      <w:pPr>
        <w:jc w:val="both"/>
        <w:rPr>
          <w:sz w:val="22"/>
          <w:szCs w:val="22"/>
          <w:lang w:val="hr-HR"/>
        </w:rPr>
      </w:pPr>
    </w:p>
    <w:p w14:paraId="2F831277" w14:textId="77777777" w:rsidR="00B05AA9" w:rsidRDefault="00B05AA9" w:rsidP="00641EEB">
      <w:pPr>
        <w:jc w:val="both"/>
        <w:rPr>
          <w:sz w:val="22"/>
          <w:szCs w:val="22"/>
          <w:lang w:val="hr-HR"/>
        </w:rPr>
      </w:pPr>
      <w:r>
        <w:rPr>
          <w:sz w:val="22"/>
          <w:szCs w:val="22"/>
          <w:lang w:val="hr-HR"/>
        </w:rPr>
        <w:t xml:space="preserve">Rezultati efikasnosti iz privremene analize efikasnosti nadmašili su prethodno definisanu statističku graničnu vrijednost za poređenje grupe liječene lijekom Herceptin tokom 1 godine naspram opservacija. Nakon medijana praćenja od 12 mjeseci, odnos hazarda (engl. </w:t>
      </w:r>
      <w:r w:rsidRPr="00BA76B8">
        <w:rPr>
          <w:i/>
          <w:sz w:val="22"/>
          <w:szCs w:val="22"/>
          <w:lang w:val="hr-HR"/>
        </w:rPr>
        <w:t>hazard ratio</w:t>
      </w:r>
      <w:r>
        <w:rPr>
          <w:sz w:val="22"/>
          <w:szCs w:val="22"/>
          <w:lang w:val="hr-HR"/>
        </w:rPr>
        <w:t xml:space="preserve">, HR) za preživljavanje bez simptoma bolesti (engl. </w:t>
      </w:r>
      <w:r w:rsidRPr="00BA76B8">
        <w:rPr>
          <w:i/>
          <w:sz w:val="22"/>
          <w:szCs w:val="22"/>
          <w:lang w:val="hr-HR"/>
        </w:rPr>
        <w:t>disease-free survival,</w:t>
      </w:r>
      <w:r>
        <w:rPr>
          <w:sz w:val="22"/>
          <w:szCs w:val="22"/>
          <w:lang w:val="hr-HR"/>
        </w:rPr>
        <w:t xml:space="preserve"> DFS) iznosio je 0,54 (95% CI 0,44; 0,67), što znači da je apsolutno povoljan u smislu dvogodišnjeg preživljavanja bez simptoma bolesti sa razlikom od 7,6 procentnih bodova (85,8 % naspram 78,2 %) u korist grupe liječene lijekom Herceptin.</w:t>
      </w:r>
    </w:p>
    <w:p w14:paraId="52682AD5" w14:textId="77777777" w:rsidR="00B05AA9" w:rsidRDefault="00B05AA9" w:rsidP="00641EEB">
      <w:pPr>
        <w:jc w:val="both"/>
        <w:rPr>
          <w:sz w:val="22"/>
          <w:szCs w:val="22"/>
          <w:lang w:val="hr-HR"/>
        </w:rPr>
      </w:pPr>
    </w:p>
    <w:p w14:paraId="014011C9" w14:textId="77777777" w:rsidR="00B05AA9" w:rsidRDefault="00B05AA9" w:rsidP="00641EEB">
      <w:pPr>
        <w:jc w:val="both"/>
        <w:rPr>
          <w:sz w:val="22"/>
          <w:szCs w:val="22"/>
          <w:lang w:val="hr-HR"/>
        </w:rPr>
      </w:pPr>
      <w:r>
        <w:rPr>
          <w:sz w:val="22"/>
          <w:szCs w:val="22"/>
          <w:lang w:val="hr-HR"/>
        </w:rPr>
        <w:t xml:space="preserve">Završna analiza sprovedena nakon medijane praćenja od 8 godina ukazala je na smanjenje rizika od 24% u grupi liječenoj lijekom Herceptin tokom 1 godine u poređenju sa opservacijom (HR=0,76, 95% CI 0,67; 0,86). To ukazuje na apsolutnu povoljnost u smislu 8-godišnjeg preživljavanja bez simptoma bolesti sa razlikom od 6,4 procentnih bodova u korist grupe liječene 1 godinu lijekom Herceptin. </w:t>
      </w:r>
    </w:p>
    <w:p w14:paraId="11F70EC9" w14:textId="77777777" w:rsidR="00B05AA9" w:rsidRDefault="00B05AA9" w:rsidP="00641EEB">
      <w:pPr>
        <w:jc w:val="both"/>
        <w:rPr>
          <w:sz w:val="22"/>
          <w:szCs w:val="22"/>
          <w:lang w:val="hr-HR"/>
        </w:rPr>
      </w:pPr>
    </w:p>
    <w:p w14:paraId="4DFEE26D" w14:textId="672A3591" w:rsidR="00B05AA9" w:rsidRDefault="00B05AA9" w:rsidP="00641EEB">
      <w:pPr>
        <w:jc w:val="both"/>
        <w:rPr>
          <w:sz w:val="22"/>
          <w:szCs w:val="22"/>
          <w:lang w:val="hr-HR"/>
        </w:rPr>
      </w:pPr>
      <w:r>
        <w:rPr>
          <w:sz w:val="22"/>
          <w:szCs w:val="22"/>
          <w:lang w:val="hr-HR"/>
        </w:rPr>
        <w:t xml:space="preserve">U toj završnoj analizi produženje liječenja lijekom Herceptin na dvije godine nije pokazalo dodatne korisne efekte u odnosu na jednogodišnje liječenje [odnos hazarda za preživljavanje bez simptoma bolesti (DFS HR) u populaciji koja se namjeravala liječiti (ITT) tokom 2 godine naspram 1 godine = 0,99 (95% CI: 0,87; 1,13), p-vrijednost = 0,90 i odnos hazarda za ukupno preživljavanje (OS HR) = 0,98 (0,83; 1,15); p-vrijednost= 0,78]. </w:t>
      </w:r>
      <w:r w:rsidR="003F5550">
        <w:rPr>
          <w:sz w:val="22"/>
          <w:szCs w:val="22"/>
          <w:lang w:val="hr-HR"/>
        </w:rPr>
        <w:t xml:space="preserve">Stopa </w:t>
      </w:r>
      <w:r>
        <w:rPr>
          <w:sz w:val="22"/>
          <w:szCs w:val="22"/>
          <w:lang w:val="hr-HR"/>
        </w:rPr>
        <w:t xml:space="preserve">asimptomatske disfunkcije srca bila je povećana u grupi liječenoj tokom 2 godine (8,1% naspram 4,6% u grupi  liječenoj tokom 1 godine). Barem jedno neželjeno dejstvo </w:t>
      </w:r>
      <w:r>
        <w:rPr>
          <w:sz w:val="22"/>
          <w:szCs w:val="22"/>
          <w:lang w:val="hr-HR"/>
        </w:rPr>
        <w:lastRenderedPageBreak/>
        <w:t>stepena 3 ili 4 pojavilo se u više pacijenata u grupi liječenoj tokom 2 godine (20,4%) u poređenju sa grupom liječenoj tokom 1 godine (16,3%).</w:t>
      </w:r>
    </w:p>
    <w:p w14:paraId="464157C9" w14:textId="77777777" w:rsidR="00B05AA9" w:rsidRDefault="00B05AA9" w:rsidP="00641EEB">
      <w:pPr>
        <w:jc w:val="both"/>
        <w:rPr>
          <w:sz w:val="22"/>
          <w:szCs w:val="22"/>
          <w:lang w:val="hr-HR"/>
        </w:rPr>
      </w:pPr>
    </w:p>
    <w:p w14:paraId="53D196A1" w14:textId="105B3170" w:rsidR="00B05AA9" w:rsidRDefault="00B05AA9" w:rsidP="00641EEB">
      <w:pPr>
        <w:jc w:val="both"/>
        <w:rPr>
          <w:sz w:val="22"/>
          <w:szCs w:val="22"/>
          <w:lang w:val="hr-HR"/>
        </w:rPr>
      </w:pPr>
      <w:r>
        <w:rPr>
          <w:sz w:val="22"/>
          <w:szCs w:val="22"/>
          <w:lang w:val="hr-HR"/>
        </w:rPr>
        <w:t xml:space="preserve">U studijama NSABP B-31 i NCCTG N9831, </w:t>
      </w:r>
      <w:r w:rsidR="003F5550">
        <w:rPr>
          <w:sz w:val="22"/>
          <w:szCs w:val="22"/>
          <w:lang w:val="hr-HR"/>
        </w:rPr>
        <w:t xml:space="preserve">lijek </w:t>
      </w:r>
      <w:r>
        <w:rPr>
          <w:sz w:val="22"/>
          <w:szCs w:val="22"/>
          <w:lang w:val="hr-HR"/>
        </w:rPr>
        <w:t>Herceptin je primjenjivan u kombinaciji sa paklitakselom, nakon AC hemoterapije.</w:t>
      </w:r>
    </w:p>
    <w:p w14:paraId="1C086EC9" w14:textId="77777777" w:rsidR="00E05379" w:rsidRDefault="00E05379" w:rsidP="00641EEB">
      <w:pPr>
        <w:jc w:val="both"/>
        <w:rPr>
          <w:sz w:val="22"/>
          <w:szCs w:val="22"/>
          <w:lang w:val="hr-HR"/>
        </w:rPr>
      </w:pPr>
    </w:p>
    <w:p w14:paraId="2A8C8BCF" w14:textId="77777777" w:rsidR="00B05AA9" w:rsidRDefault="00B05AA9" w:rsidP="00641EEB">
      <w:pPr>
        <w:jc w:val="both"/>
        <w:rPr>
          <w:sz w:val="22"/>
          <w:szCs w:val="22"/>
          <w:lang w:val="hr-HR"/>
        </w:rPr>
      </w:pPr>
      <w:r>
        <w:rPr>
          <w:sz w:val="22"/>
          <w:szCs w:val="22"/>
          <w:lang w:val="hr-HR"/>
        </w:rPr>
        <w:t>Doksorubicin i ciklofosfamid su primjenjivani istovremeno na sljedeći način:</w:t>
      </w:r>
    </w:p>
    <w:p w14:paraId="6CDC5E8F" w14:textId="5955DDD5" w:rsidR="00B05AA9" w:rsidRDefault="00B05AA9" w:rsidP="00641EEB">
      <w:pPr>
        <w:numPr>
          <w:ilvl w:val="0"/>
          <w:numId w:val="17"/>
        </w:numPr>
        <w:tabs>
          <w:tab w:val="left" w:pos="284"/>
        </w:tabs>
        <w:jc w:val="both"/>
        <w:rPr>
          <w:sz w:val="22"/>
          <w:szCs w:val="22"/>
          <w:lang w:val="hr-HR"/>
        </w:rPr>
      </w:pPr>
      <w:r>
        <w:rPr>
          <w:sz w:val="22"/>
          <w:szCs w:val="22"/>
          <w:lang w:val="hr-HR"/>
        </w:rPr>
        <w:t>brza intravenska injekcija doksorubicina u dozi od 60mg/m</w:t>
      </w:r>
      <w:r>
        <w:rPr>
          <w:sz w:val="22"/>
          <w:szCs w:val="22"/>
          <w:vertAlign w:val="superscript"/>
          <w:lang w:val="hr-HR"/>
        </w:rPr>
        <w:t>2</w:t>
      </w:r>
      <w:r>
        <w:rPr>
          <w:sz w:val="22"/>
          <w:szCs w:val="22"/>
          <w:lang w:val="hr-HR"/>
        </w:rPr>
        <w:t>, svake 3 nedjelje, tokom 4 ciklusa</w:t>
      </w:r>
    </w:p>
    <w:p w14:paraId="2F426525" w14:textId="77777777" w:rsidR="00E41D59" w:rsidRDefault="00E41D59" w:rsidP="00BA76B8">
      <w:pPr>
        <w:tabs>
          <w:tab w:val="left" w:pos="284"/>
        </w:tabs>
        <w:jc w:val="both"/>
        <w:rPr>
          <w:sz w:val="22"/>
          <w:szCs w:val="22"/>
          <w:lang w:val="hr-HR"/>
        </w:rPr>
      </w:pPr>
    </w:p>
    <w:p w14:paraId="5D249666" w14:textId="3E6EEB8C" w:rsidR="00B05AA9" w:rsidRDefault="00B05AA9" w:rsidP="00641EEB">
      <w:pPr>
        <w:numPr>
          <w:ilvl w:val="0"/>
          <w:numId w:val="17"/>
        </w:numPr>
        <w:tabs>
          <w:tab w:val="left" w:pos="284"/>
        </w:tabs>
        <w:jc w:val="both"/>
        <w:rPr>
          <w:sz w:val="22"/>
          <w:szCs w:val="22"/>
          <w:lang w:val="hr-HR"/>
        </w:rPr>
      </w:pPr>
      <w:r>
        <w:rPr>
          <w:sz w:val="22"/>
          <w:szCs w:val="22"/>
          <w:lang w:val="hr-HR"/>
        </w:rPr>
        <w:t>intravenski ciklofosfamid u dozi od 600 mg/m</w:t>
      </w:r>
      <w:r>
        <w:rPr>
          <w:sz w:val="22"/>
          <w:szCs w:val="22"/>
          <w:vertAlign w:val="superscript"/>
          <w:lang w:val="hr-HR"/>
        </w:rPr>
        <w:t xml:space="preserve">2 </w:t>
      </w:r>
      <w:r>
        <w:rPr>
          <w:sz w:val="22"/>
          <w:szCs w:val="22"/>
          <w:lang w:val="hr-HR"/>
        </w:rPr>
        <w:t>tokom 30 minuta, jednom u 3 nedjelje, tokom 4 ciklusa</w:t>
      </w:r>
    </w:p>
    <w:p w14:paraId="404F2D68" w14:textId="77777777" w:rsidR="00E41D59" w:rsidRDefault="00E41D59" w:rsidP="00BA76B8">
      <w:pPr>
        <w:tabs>
          <w:tab w:val="left" w:pos="284"/>
        </w:tabs>
        <w:jc w:val="both"/>
        <w:rPr>
          <w:sz w:val="22"/>
          <w:szCs w:val="22"/>
          <w:lang w:val="hr-HR"/>
        </w:rPr>
      </w:pPr>
    </w:p>
    <w:p w14:paraId="5FAAAA09" w14:textId="77777777" w:rsidR="00B05AA9" w:rsidRDefault="00B05AA9" w:rsidP="00641EEB">
      <w:pPr>
        <w:jc w:val="both"/>
        <w:rPr>
          <w:sz w:val="22"/>
          <w:szCs w:val="22"/>
          <w:lang w:val="hr-HR"/>
        </w:rPr>
      </w:pPr>
      <w:r>
        <w:rPr>
          <w:sz w:val="22"/>
          <w:szCs w:val="22"/>
          <w:lang w:val="hr-HR"/>
        </w:rPr>
        <w:t>Paklitaksel, u kombinaciji sa lijekom Herceptin, primijenjen na sljedeći način:</w:t>
      </w:r>
    </w:p>
    <w:p w14:paraId="401BBE20" w14:textId="77777777" w:rsidR="00E41D59" w:rsidRDefault="00B05AA9" w:rsidP="00641EEB">
      <w:pPr>
        <w:numPr>
          <w:ilvl w:val="0"/>
          <w:numId w:val="18"/>
        </w:numPr>
        <w:tabs>
          <w:tab w:val="left" w:pos="284"/>
        </w:tabs>
        <w:jc w:val="both"/>
        <w:rPr>
          <w:sz w:val="22"/>
          <w:szCs w:val="22"/>
          <w:lang w:val="hr-HR"/>
        </w:rPr>
      </w:pPr>
      <w:r>
        <w:rPr>
          <w:sz w:val="22"/>
          <w:szCs w:val="22"/>
          <w:lang w:val="hr-HR"/>
        </w:rPr>
        <w:t>intravenski paklitaksel – 80 mg/m</w:t>
      </w:r>
      <w:r>
        <w:rPr>
          <w:sz w:val="22"/>
          <w:szCs w:val="22"/>
          <w:vertAlign w:val="superscript"/>
          <w:lang w:val="hr-HR"/>
        </w:rPr>
        <w:t xml:space="preserve">2 </w:t>
      </w:r>
      <w:r>
        <w:rPr>
          <w:sz w:val="22"/>
          <w:szCs w:val="22"/>
          <w:lang w:val="hr-HR"/>
        </w:rPr>
        <w:t>, kao kontinuirana intravenska infuzija, jednom nedjeljno tokom 12 nedjelja</w:t>
      </w:r>
    </w:p>
    <w:p w14:paraId="3149F316" w14:textId="7CF78E51" w:rsidR="00B05AA9" w:rsidRDefault="00B05AA9" w:rsidP="00BA76B8">
      <w:pPr>
        <w:tabs>
          <w:tab w:val="left" w:pos="284"/>
        </w:tabs>
        <w:ind w:left="720"/>
        <w:jc w:val="both"/>
        <w:rPr>
          <w:sz w:val="22"/>
          <w:szCs w:val="22"/>
          <w:lang w:val="hr-HR"/>
        </w:rPr>
      </w:pPr>
      <w:r>
        <w:rPr>
          <w:sz w:val="22"/>
          <w:szCs w:val="22"/>
          <w:lang w:val="hr-HR"/>
        </w:rPr>
        <w:t xml:space="preserve"> ili</w:t>
      </w:r>
    </w:p>
    <w:p w14:paraId="7CFF6855" w14:textId="77777777" w:rsidR="00B05AA9" w:rsidRDefault="00B05AA9" w:rsidP="00641EEB">
      <w:pPr>
        <w:numPr>
          <w:ilvl w:val="0"/>
          <w:numId w:val="18"/>
        </w:numPr>
        <w:tabs>
          <w:tab w:val="left" w:pos="284"/>
        </w:tabs>
        <w:jc w:val="both"/>
        <w:rPr>
          <w:sz w:val="22"/>
          <w:szCs w:val="22"/>
          <w:lang w:val="hr-HR"/>
        </w:rPr>
      </w:pPr>
      <w:r>
        <w:rPr>
          <w:sz w:val="22"/>
          <w:szCs w:val="22"/>
          <w:lang w:val="hr-HR"/>
        </w:rPr>
        <w:t>intravenski paklitaksel -175mg/m</w:t>
      </w:r>
      <w:r>
        <w:rPr>
          <w:sz w:val="22"/>
          <w:szCs w:val="22"/>
          <w:vertAlign w:val="superscript"/>
          <w:lang w:val="hr-HR"/>
        </w:rPr>
        <w:t>2</w:t>
      </w:r>
      <w:r>
        <w:rPr>
          <w:sz w:val="22"/>
          <w:szCs w:val="22"/>
          <w:lang w:val="hr-HR"/>
        </w:rPr>
        <w:t xml:space="preserve"> kao kontinuirana intravenska infuzija, svake 3 nedjelje tokom 4 ciklusa (1. dan svakog ciklusa)</w:t>
      </w:r>
    </w:p>
    <w:p w14:paraId="6D5280CF" w14:textId="77777777" w:rsidR="00B05AA9" w:rsidRDefault="00B05AA9" w:rsidP="00641EEB">
      <w:pPr>
        <w:jc w:val="both"/>
        <w:rPr>
          <w:sz w:val="22"/>
          <w:szCs w:val="22"/>
          <w:lang w:val="hr-HR"/>
        </w:rPr>
      </w:pPr>
    </w:p>
    <w:p w14:paraId="11246FD3" w14:textId="22AE92D3" w:rsidR="00B05AA9" w:rsidRDefault="00B05AA9" w:rsidP="00641EEB">
      <w:pPr>
        <w:jc w:val="both"/>
        <w:rPr>
          <w:sz w:val="22"/>
          <w:szCs w:val="22"/>
          <w:lang w:val="hr-HR"/>
        </w:rPr>
      </w:pPr>
      <w:r>
        <w:rPr>
          <w:sz w:val="22"/>
          <w:szCs w:val="22"/>
          <w:lang w:val="hr-HR"/>
        </w:rPr>
        <w:t xml:space="preserve">Rezultati efikasnosti iz zajedničke analize studija NSABP B-31 i NCCTG 9831 u trenutku konačne analize preživljavanje bez bolesti su prikazani u Tabeli 7. </w:t>
      </w:r>
      <w:r w:rsidR="00E41D59">
        <w:rPr>
          <w:sz w:val="22"/>
          <w:szCs w:val="22"/>
          <w:lang w:val="hr-HR"/>
        </w:rPr>
        <w:t>Medijana</w:t>
      </w:r>
      <w:r>
        <w:rPr>
          <w:sz w:val="22"/>
          <w:szCs w:val="22"/>
          <w:lang w:val="hr-HR"/>
        </w:rPr>
        <w:t xml:space="preserve"> trajanja praćenja je bila 1.8 godina za pacijente koji su primali AC-P hemoterapiju i 2,0 godine za pacijente koji su primali AC-PH hemoterapiju. </w:t>
      </w:r>
    </w:p>
    <w:p w14:paraId="3DE2B769" w14:textId="77777777" w:rsidR="00B05AA9" w:rsidRDefault="00B05AA9" w:rsidP="00641EEB">
      <w:pPr>
        <w:jc w:val="both"/>
        <w:rPr>
          <w:sz w:val="22"/>
          <w:szCs w:val="22"/>
          <w:lang w:val="hr-HR"/>
        </w:rPr>
      </w:pPr>
    </w:p>
    <w:p w14:paraId="3DA3151B" w14:textId="77777777" w:rsidR="00B05AA9" w:rsidRDefault="00B05AA9" w:rsidP="00641EEB">
      <w:pPr>
        <w:jc w:val="both"/>
        <w:rPr>
          <w:sz w:val="22"/>
          <w:szCs w:val="22"/>
          <w:lang w:val="hr-HR"/>
        </w:rPr>
      </w:pPr>
      <w:r>
        <w:rPr>
          <w:sz w:val="22"/>
          <w:szCs w:val="22"/>
          <w:lang w:val="hr-HR"/>
        </w:rPr>
        <w:t>Tabela 7 Sažetak rezultata efikasnosti iz grupne analize Studija NSABP B-31 i NCCTG N 9831 u trenutku konačne analize preživljavanje bez bolesti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800"/>
        <w:gridCol w:w="1710"/>
        <w:gridCol w:w="2475"/>
      </w:tblGrid>
      <w:tr w:rsidR="00B05AA9" w14:paraId="18E26031" w14:textId="77777777" w:rsidTr="00B05AA9">
        <w:tc>
          <w:tcPr>
            <w:tcW w:w="3415" w:type="dxa"/>
            <w:tcBorders>
              <w:top w:val="single" w:sz="4" w:space="0" w:color="auto"/>
              <w:left w:val="single" w:sz="4" w:space="0" w:color="auto"/>
              <w:bottom w:val="single" w:sz="4" w:space="0" w:color="auto"/>
              <w:right w:val="single" w:sz="4" w:space="0" w:color="auto"/>
            </w:tcBorders>
          </w:tcPr>
          <w:p w14:paraId="346D7E1B" w14:textId="77777777" w:rsidR="00B05AA9" w:rsidRDefault="00B05AA9" w:rsidP="00BA76B8">
            <w:pPr>
              <w:rPr>
                <w:sz w:val="22"/>
                <w:szCs w:val="22"/>
                <w:lang w:val="hr-HR"/>
              </w:rPr>
            </w:pPr>
          </w:p>
          <w:p w14:paraId="678BAEB8" w14:textId="77777777" w:rsidR="00B05AA9" w:rsidRDefault="00B05AA9" w:rsidP="00BA76B8">
            <w:pPr>
              <w:rPr>
                <w:sz w:val="22"/>
                <w:szCs w:val="22"/>
                <w:lang w:val="sr-Latn-ME"/>
              </w:rPr>
            </w:pPr>
            <w:r>
              <w:rPr>
                <w:sz w:val="22"/>
                <w:szCs w:val="22"/>
              </w:rPr>
              <w:t xml:space="preserve">Parametar </w:t>
            </w:r>
          </w:p>
          <w:p w14:paraId="74BAABAC" w14:textId="77777777" w:rsidR="00B05AA9" w:rsidRDefault="00B05AA9" w:rsidP="00BA76B8">
            <w:pPr>
              <w:rPr>
                <w:sz w:val="22"/>
                <w:szCs w:val="22"/>
              </w:rPr>
            </w:pPr>
          </w:p>
          <w:p w14:paraId="3858D5BA" w14:textId="77777777" w:rsidR="00B05AA9" w:rsidRDefault="00B05AA9" w:rsidP="00BA76B8">
            <w:pPr>
              <w:tabs>
                <w:tab w:val="left" w:pos="284"/>
              </w:tabs>
              <w:rPr>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14:paraId="430C1E4E" w14:textId="77777777" w:rsidR="00B05AA9" w:rsidRDefault="00B05AA9" w:rsidP="00641EEB">
            <w:pPr>
              <w:jc w:val="center"/>
              <w:rPr>
                <w:sz w:val="22"/>
                <w:szCs w:val="22"/>
              </w:rPr>
            </w:pPr>
            <w:r>
              <w:rPr>
                <w:sz w:val="22"/>
                <w:szCs w:val="22"/>
              </w:rPr>
              <w:t>AC-P</w:t>
            </w:r>
          </w:p>
          <w:p w14:paraId="42F37917" w14:textId="77777777" w:rsidR="00B05AA9" w:rsidRDefault="00B05AA9" w:rsidP="00641EEB">
            <w:pPr>
              <w:tabs>
                <w:tab w:val="left" w:pos="284"/>
              </w:tabs>
              <w:jc w:val="center"/>
              <w:rPr>
                <w:sz w:val="22"/>
                <w:szCs w:val="22"/>
              </w:rPr>
            </w:pPr>
            <w:r>
              <w:rPr>
                <w:sz w:val="22"/>
                <w:szCs w:val="22"/>
              </w:rPr>
              <w:t>(n=1679)</w:t>
            </w:r>
          </w:p>
        </w:tc>
        <w:tc>
          <w:tcPr>
            <w:tcW w:w="1710" w:type="dxa"/>
            <w:tcBorders>
              <w:top w:val="single" w:sz="4" w:space="0" w:color="auto"/>
              <w:left w:val="single" w:sz="4" w:space="0" w:color="auto"/>
              <w:bottom w:val="single" w:sz="4" w:space="0" w:color="auto"/>
              <w:right w:val="single" w:sz="4" w:space="0" w:color="auto"/>
            </w:tcBorders>
            <w:hideMark/>
          </w:tcPr>
          <w:p w14:paraId="117950A2" w14:textId="77777777" w:rsidR="00B05AA9" w:rsidRDefault="00B05AA9" w:rsidP="00641EEB">
            <w:pPr>
              <w:jc w:val="center"/>
              <w:rPr>
                <w:sz w:val="22"/>
                <w:szCs w:val="22"/>
              </w:rPr>
            </w:pPr>
            <w:r>
              <w:rPr>
                <w:sz w:val="22"/>
                <w:szCs w:val="22"/>
              </w:rPr>
              <w:t>AC-PH</w:t>
            </w:r>
          </w:p>
          <w:p w14:paraId="76171231" w14:textId="77777777" w:rsidR="00B05AA9" w:rsidRDefault="00B05AA9" w:rsidP="00641EEB">
            <w:pPr>
              <w:tabs>
                <w:tab w:val="left" w:pos="284"/>
              </w:tabs>
              <w:jc w:val="center"/>
              <w:rPr>
                <w:sz w:val="22"/>
                <w:szCs w:val="22"/>
              </w:rPr>
            </w:pPr>
            <w:r>
              <w:rPr>
                <w:sz w:val="22"/>
                <w:szCs w:val="22"/>
              </w:rPr>
              <w:t>(n=1672)</w:t>
            </w:r>
          </w:p>
        </w:tc>
        <w:tc>
          <w:tcPr>
            <w:tcW w:w="2475" w:type="dxa"/>
            <w:tcBorders>
              <w:top w:val="single" w:sz="4" w:space="0" w:color="auto"/>
              <w:left w:val="single" w:sz="4" w:space="0" w:color="auto"/>
              <w:bottom w:val="single" w:sz="4" w:space="0" w:color="auto"/>
              <w:right w:val="single" w:sz="4" w:space="0" w:color="auto"/>
            </w:tcBorders>
            <w:hideMark/>
          </w:tcPr>
          <w:p w14:paraId="6E21DC9B" w14:textId="77777777" w:rsidR="00B05AA9" w:rsidRDefault="00B05AA9" w:rsidP="00641EEB">
            <w:pPr>
              <w:jc w:val="center"/>
              <w:rPr>
                <w:sz w:val="22"/>
                <w:szCs w:val="22"/>
                <w:lang w:val="pt-BR"/>
              </w:rPr>
            </w:pPr>
            <w:r>
              <w:rPr>
                <w:sz w:val="22"/>
                <w:szCs w:val="22"/>
                <w:lang w:val="pt-BR"/>
              </w:rPr>
              <w:t>Odnos hazarda naspram</w:t>
            </w:r>
          </w:p>
          <w:p w14:paraId="24191B6C" w14:textId="77777777" w:rsidR="00B05AA9" w:rsidRDefault="00B05AA9" w:rsidP="00641EEB">
            <w:pPr>
              <w:jc w:val="center"/>
              <w:rPr>
                <w:sz w:val="22"/>
                <w:szCs w:val="22"/>
                <w:lang w:val="pt-BR"/>
              </w:rPr>
            </w:pPr>
            <w:r>
              <w:rPr>
                <w:sz w:val="22"/>
                <w:szCs w:val="22"/>
                <w:lang w:val="pt-BR"/>
              </w:rPr>
              <w:t>AC-P</w:t>
            </w:r>
          </w:p>
          <w:p w14:paraId="723DD479" w14:textId="77777777" w:rsidR="00B05AA9" w:rsidRDefault="00B05AA9" w:rsidP="00641EEB">
            <w:pPr>
              <w:jc w:val="center"/>
              <w:rPr>
                <w:sz w:val="22"/>
                <w:szCs w:val="22"/>
                <w:lang w:val="pt-BR"/>
              </w:rPr>
            </w:pPr>
            <w:r>
              <w:rPr>
                <w:sz w:val="22"/>
                <w:szCs w:val="22"/>
                <w:lang w:val="pt-BR"/>
              </w:rPr>
              <w:t>(95% CI)</w:t>
            </w:r>
          </w:p>
          <w:p w14:paraId="490D28C8" w14:textId="77777777" w:rsidR="00B05AA9" w:rsidRDefault="00B05AA9" w:rsidP="00641EEB">
            <w:pPr>
              <w:tabs>
                <w:tab w:val="left" w:pos="284"/>
              </w:tabs>
              <w:jc w:val="center"/>
              <w:rPr>
                <w:sz w:val="22"/>
                <w:szCs w:val="22"/>
                <w:lang w:val="sr-Latn-ME"/>
              </w:rPr>
            </w:pPr>
            <w:r>
              <w:rPr>
                <w:sz w:val="22"/>
                <w:szCs w:val="22"/>
              </w:rPr>
              <w:t>p- vrijednost</w:t>
            </w:r>
          </w:p>
        </w:tc>
      </w:tr>
      <w:tr w:rsidR="00B05AA9" w14:paraId="68231C57" w14:textId="77777777" w:rsidTr="00B05AA9">
        <w:tc>
          <w:tcPr>
            <w:tcW w:w="3415" w:type="dxa"/>
            <w:tcBorders>
              <w:top w:val="single" w:sz="4" w:space="0" w:color="auto"/>
              <w:left w:val="single" w:sz="4" w:space="0" w:color="auto"/>
              <w:bottom w:val="single" w:sz="4" w:space="0" w:color="auto"/>
              <w:right w:val="single" w:sz="4" w:space="0" w:color="auto"/>
            </w:tcBorders>
          </w:tcPr>
          <w:p w14:paraId="3F9101FB" w14:textId="77777777" w:rsidR="00B05AA9" w:rsidRDefault="00B05AA9" w:rsidP="00BA76B8">
            <w:pPr>
              <w:rPr>
                <w:sz w:val="22"/>
                <w:szCs w:val="22"/>
              </w:rPr>
            </w:pPr>
            <w:r w:rsidRPr="00442616">
              <w:rPr>
                <w:sz w:val="22"/>
                <w:szCs w:val="22"/>
              </w:rPr>
              <w:t>Pre</w:t>
            </w:r>
            <w:r>
              <w:rPr>
                <w:sz w:val="22"/>
                <w:szCs w:val="22"/>
              </w:rPr>
              <w:t>ž</w:t>
            </w:r>
            <w:r w:rsidRPr="00442616">
              <w:rPr>
                <w:sz w:val="22"/>
                <w:szCs w:val="22"/>
              </w:rPr>
              <w:t>ivljavanje bez bolesti</w:t>
            </w:r>
          </w:p>
          <w:p w14:paraId="3905CD48" w14:textId="77777777" w:rsidR="00B05AA9" w:rsidRDefault="00B05AA9" w:rsidP="00BA76B8">
            <w:pPr>
              <w:rPr>
                <w:sz w:val="22"/>
                <w:szCs w:val="22"/>
              </w:rPr>
            </w:pPr>
            <w:r w:rsidRPr="00442616">
              <w:rPr>
                <w:sz w:val="22"/>
                <w:szCs w:val="22"/>
              </w:rPr>
              <w:t>Broj pacijenata sa doga</w:t>
            </w:r>
            <w:r>
              <w:rPr>
                <w:sz w:val="22"/>
                <w:szCs w:val="22"/>
              </w:rPr>
              <w:t>đ</w:t>
            </w:r>
            <w:r w:rsidRPr="00442616">
              <w:rPr>
                <w:sz w:val="22"/>
                <w:szCs w:val="22"/>
              </w:rPr>
              <w:t>ajem</w:t>
            </w:r>
            <w:r>
              <w:rPr>
                <w:sz w:val="22"/>
                <w:szCs w:val="22"/>
              </w:rPr>
              <w:t xml:space="preserve"> (%)</w:t>
            </w:r>
          </w:p>
          <w:p w14:paraId="2EA1077E" w14:textId="77777777" w:rsidR="00B05AA9" w:rsidRDefault="00B05AA9" w:rsidP="00BA76B8">
            <w:pPr>
              <w:tabs>
                <w:tab w:val="left" w:pos="284"/>
              </w:tabs>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2A9396C" w14:textId="77777777" w:rsidR="00B05AA9" w:rsidRDefault="00B05AA9" w:rsidP="00641EEB">
            <w:pPr>
              <w:jc w:val="center"/>
              <w:rPr>
                <w:sz w:val="22"/>
                <w:szCs w:val="22"/>
              </w:rPr>
            </w:pPr>
          </w:p>
          <w:p w14:paraId="610CDD77" w14:textId="77777777" w:rsidR="00B05AA9" w:rsidRDefault="00B05AA9" w:rsidP="00641EEB">
            <w:pPr>
              <w:tabs>
                <w:tab w:val="left" w:pos="284"/>
              </w:tabs>
              <w:jc w:val="center"/>
              <w:rPr>
                <w:sz w:val="22"/>
                <w:szCs w:val="22"/>
              </w:rPr>
            </w:pPr>
            <w:r>
              <w:rPr>
                <w:sz w:val="22"/>
                <w:szCs w:val="22"/>
              </w:rPr>
              <w:t>261 (15.54)</w:t>
            </w:r>
          </w:p>
        </w:tc>
        <w:tc>
          <w:tcPr>
            <w:tcW w:w="1710" w:type="dxa"/>
            <w:tcBorders>
              <w:top w:val="single" w:sz="4" w:space="0" w:color="auto"/>
              <w:left w:val="single" w:sz="4" w:space="0" w:color="auto"/>
              <w:bottom w:val="single" w:sz="4" w:space="0" w:color="auto"/>
              <w:right w:val="single" w:sz="4" w:space="0" w:color="auto"/>
            </w:tcBorders>
          </w:tcPr>
          <w:p w14:paraId="45991A89" w14:textId="77777777" w:rsidR="00B05AA9" w:rsidRDefault="00B05AA9" w:rsidP="00641EEB">
            <w:pPr>
              <w:jc w:val="center"/>
              <w:rPr>
                <w:sz w:val="22"/>
                <w:szCs w:val="22"/>
              </w:rPr>
            </w:pPr>
          </w:p>
          <w:p w14:paraId="1D9BE0B9" w14:textId="77777777" w:rsidR="00B05AA9" w:rsidRDefault="00B05AA9" w:rsidP="00641EEB">
            <w:pPr>
              <w:tabs>
                <w:tab w:val="left" w:pos="284"/>
              </w:tabs>
              <w:jc w:val="center"/>
              <w:rPr>
                <w:sz w:val="22"/>
                <w:szCs w:val="22"/>
              </w:rPr>
            </w:pPr>
            <w:r>
              <w:rPr>
                <w:sz w:val="22"/>
                <w:szCs w:val="22"/>
              </w:rPr>
              <w:t>133 (8.0)</w:t>
            </w:r>
          </w:p>
        </w:tc>
        <w:tc>
          <w:tcPr>
            <w:tcW w:w="2475" w:type="dxa"/>
            <w:tcBorders>
              <w:top w:val="single" w:sz="4" w:space="0" w:color="auto"/>
              <w:left w:val="single" w:sz="4" w:space="0" w:color="auto"/>
              <w:bottom w:val="single" w:sz="4" w:space="0" w:color="auto"/>
              <w:right w:val="single" w:sz="4" w:space="0" w:color="auto"/>
            </w:tcBorders>
          </w:tcPr>
          <w:p w14:paraId="0008E2B7" w14:textId="77777777" w:rsidR="00B05AA9" w:rsidRDefault="00B05AA9" w:rsidP="00641EEB">
            <w:pPr>
              <w:jc w:val="center"/>
              <w:rPr>
                <w:sz w:val="22"/>
                <w:szCs w:val="22"/>
              </w:rPr>
            </w:pPr>
          </w:p>
          <w:p w14:paraId="6FEE4139" w14:textId="77777777" w:rsidR="00B05AA9" w:rsidRDefault="00B05AA9" w:rsidP="00641EEB">
            <w:pPr>
              <w:jc w:val="center"/>
              <w:rPr>
                <w:sz w:val="22"/>
                <w:szCs w:val="22"/>
              </w:rPr>
            </w:pPr>
            <w:r>
              <w:rPr>
                <w:sz w:val="22"/>
                <w:szCs w:val="22"/>
              </w:rPr>
              <w:t>0,48 (0,39, 0,59)</w:t>
            </w:r>
          </w:p>
          <w:p w14:paraId="22491122" w14:textId="77777777" w:rsidR="00B05AA9" w:rsidRDefault="00B05AA9" w:rsidP="00641EEB">
            <w:pPr>
              <w:tabs>
                <w:tab w:val="left" w:pos="284"/>
              </w:tabs>
              <w:jc w:val="center"/>
              <w:rPr>
                <w:sz w:val="22"/>
                <w:szCs w:val="22"/>
              </w:rPr>
            </w:pPr>
            <w:r>
              <w:rPr>
                <w:sz w:val="22"/>
                <w:szCs w:val="22"/>
              </w:rPr>
              <w:t>p&lt;0.0001</w:t>
            </w:r>
          </w:p>
        </w:tc>
      </w:tr>
      <w:tr w:rsidR="00B05AA9" w14:paraId="4CD6CC75" w14:textId="77777777" w:rsidTr="00B05AA9">
        <w:tc>
          <w:tcPr>
            <w:tcW w:w="3415" w:type="dxa"/>
            <w:tcBorders>
              <w:top w:val="single" w:sz="4" w:space="0" w:color="auto"/>
              <w:left w:val="single" w:sz="4" w:space="0" w:color="auto"/>
              <w:bottom w:val="single" w:sz="4" w:space="0" w:color="auto"/>
              <w:right w:val="single" w:sz="4" w:space="0" w:color="auto"/>
            </w:tcBorders>
          </w:tcPr>
          <w:p w14:paraId="26033164" w14:textId="77777777" w:rsidR="00B05AA9" w:rsidRDefault="00B05AA9" w:rsidP="00BA76B8">
            <w:pPr>
              <w:rPr>
                <w:sz w:val="22"/>
                <w:szCs w:val="22"/>
              </w:rPr>
            </w:pPr>
          </w:p>
          <w:p w14:paraId="638A7F80" w14:textId="77777777" w:rsidR="00B05AA9" w:rsidRDefault="00B05AA9" w:rsidP="00BA76B8">
            <w:pPr>
              <w:rPr>
                <w:sz w:val="22"/>
                <w:szCs w:val="22"/>
              </w:rPr>
            </w:pPr>
            <w:r>
              <w:rPr>
                <w:sz w:val="22"/>
                <w:szCs w:val="22"/>
              </w:rPr>
              <w:t>Pojava udaljenih metastaza</w:t>
            </w:r>
          </w:p>
          <w:p w14:paraId="534A37DA" w14:textId="77777777" w:rsidR="00B05AA9" w:rsidRDefault="00B05AA9" w:rsidP="00BA76B8">
            <w:pPr>
              <w:rPr>
                <w:sz w:val="22"/>
                <w:szCs w:val="22"/>
              </w:rPr>
            </w:pPr>
            <w:r>
              <w:rPr>
                <w:sz w:val="22"/>
                <w:szCs w:val="22"/>
              </w:rPr>
              <w:t>Broj pacijenata sa događajem (%)</w:t>
            </w:r>
          </w:p>
          <w:p w14:paraId="614D84AE" w14:textId="77777777" w:rsidR="00B05AA9" w:rsidRDefault="00B05AA9" w:rsidP="00BA76B8">
            <w:pPr>
              <w:tabs>
                <w:tab w:val="left" w:pos="284"/>
              </w:tabs>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5E7E2EC" w14:textId="77777777" w:rsidR="00B05AA9" w:rsidRDefault="00B05AA9" w:rsidP="00641EEB">
            <w:pPr>
              <w:jc w:val="center"/>
              <w:rPr>
                <w:sz w:val="22"/>
                <w:szCs w:val="22"/>
              </w:rPr>
            </w:pPr>
          </w:p>
          <w:p w14:paraId="5BF95E29" w14:textId="77777777" w:rsidR="00B05AA9" w:rsidRDefault="00B05AA9" w:rsidP="00641EEB">
            <w:pPr>
              <w:tabs>
                <w:tab w:val="left" w:pos="284"/>
              </w:tabs>
              <w:jc w:val="center"/>
              <w:rPr>
                <w:sz w:val="22"/>
                <w:szCs w:val="22"/>
              </w:rPr>
            </w:pPr>
            <w:r>
              <w:rPr>
                <w:sz w:val="22"/>
                <w:szCs w:val="22"/>
              </w:rPr>
              <w:t>193 (11.5)</w:t>
            </w:r>
          </w:p>
        </w:tc>
        <w:tc>
          <w:tcPr>
            <w:tcW w:w="1710" w:type="dxa"/>
            <w:tcBorders>
              <w:top w:val="single" w:sz="4" w:space="0" w:color="auto"/>
              <w:left w:val="single" w:sz="4" w:space="0" w:color="auto"/>
              <w:bottom w:val="single" w:sz="4" w:space="0" w:color="auto"/>
              <w:right w:val="single" w:sz="4" w:space="0" w:color="auto"/>
            </w:tcBorders>
          </w:tcPr>
          <w:p w14:paraId="089E306D" w14:textId="77777777" w:rsidR="00B05AA9" w:rsidRDefault="00B05AA9" w:rsidP="00641EEB">
            <w:pPr>
              <w:jc w:val="center"/>
              <w:rPr>
                <w:sz w:val="22"/>
                <w:szCs w:val="22"/>
              </w:rPr>
            </w:pPr>
          </w:p>
          <w:p w14:paraId="37B47DCB" w14:textId="77777777" w:rsidR="00B05AA9" w:rsidRDefault="00B05AA9" w:rsidP="00641EEB">
            <w:pPr>
              <w:tabs>
                <w:tab w:val="left" w:pos="284"/>
              </w:tabs>
              <w:jc w:val="center"/>
              <w:rPr>
                <w:sz w:val="22"/>
                <w:szCs w:val="22"/>
              </w:rPr>
            </w:pPr>
            <w:r>
              <w:rPr>
                <w:sz w:val="22"/>
                <w:szCs w:val="22"/>
              </w:rPr>
              <w:t>96 (5.7)</w:t>
            </w:r>
          </w:p>
        </w:tc>
        <w:tc>
          <w:tcPr>
            <w:tcW w:w="2475" w:type="dxa"/>
            <w:tcBorders>
              <w:top w:val="single" w:sz="4" w:space="0" w:color="auto"/>
              <w:left w:val="single" w:sz="4" w:space="0" w:color="auto"/>
              <w:bottom w:val="single" w:sz="4" w:space="0" w:color="auto"/>
              <w:right w:val="single" w:sz="4" w:space="0" w:color="auto"/>
            </w:tcBorders>
          </w:tcPr>
          <w:p w14:paraId="224AB76E" w14:textId="77777777" w:rsidR="00B05AA9" w:rsidRDefault="00B05AA9" w:rsidP="00641EEB">
            <w:pPr>
              <w:jc w:val="center"/>
              <w:rPr>
                <w:sz w:val="22"/>
                <w:szCs w:val="22"/>
              </w:rPr>
            </w:pPr>
          </w:p>
          <w:p w14:paraId="276BB2E8" w14:textId="77777777" w:rsidR="00B05AA9" w:rsidRDefault="00B05AA9" w:rsidP="00641EEB">
            <w:pPr>
              <w:jc w:val="center"/>
              <w:rPr>
                <w:sz w:val="22"/>
                <w:szCs w:val="22"/>
              </w:rPr>
            </w:pPr>
            <w:r>
              <w:rPr>
                <w:sz w:val="22"/>
                <w:szCs w:val="22"/>
              </w:rPr>
              <w:t>0.47 (0.37, 0.60)</w:t>
            </w:r>
          </w:p>
          <w:p w14:paraId="69BB2DBE" w14:textId="77777777" w:rsidR="00B05AA9" w:rsidRDefault="00B05AA9" w:rsidP="00641EEB">
            <w:pPr>
              <w:tabs>
                <w:tab w:val="left" w:pos="284"/>
              </w:tabs>
              <w:jc w:val="center"/>
              <w:rPr>
                <w:sz w:val="22"/>
                <w:szCs w:val="22"/>
              </w:rPr>
            </w:pPr>
            <w:r>
              <w:rPr>
                <w:sz w:val="22"/>
                <w:szCs w:val="22"/>
              </w:rPr>
              <w:t>p&lt;0.0001</w:t>
            </w:r>
          </w:p>
        </w:tc>
      </w:tr>
      <w:tr w:rsidR="00B05AA9" w14:paraId="26D637B6" w14:textId="77777777" w:rsidTr="00B05AA9">
        <w:tc>
          <w:tcPr>
            <w:tcW w:w="3415" w:type="dxa"/>
            <w:tcBorders>
              <w:top w:val="single" w:sz="4" w:space="0" w:color="auto"/>
              <w:left w:val="single" w:sz="4" w:space="0" w:color="auto"/>
              <w:bottom w:val="single" w:sz="4" w:space="0" w:color="auto"/>
              <w:right w:val="single" w:sz="4" w:space="0" w:color="auto"/>
            </w:tcBorders>
          </w:tcPr>
          <w:p w14:paraId="676E76B3" w14:textId="77777777" w:rsidR="00B05AA9" w:rsidRDefault="00B05AA9" w:rsidP="00BA76B8">
            <w:pPr>
              <w:rPr>
                <w:sz w:val="22"/>
                <w:szCs w:val="22"/>
              </w:rPr>
            </w:pPr>
          </w:p>
          <w:p w14:paraId="13CC94D6" w14:textId="69EEB789" w:rsidR="00B05AA9" w:rsidRDefault="00B05AA9" w:rsidP="00BA76B8">
            <w:pPr>
              <w:rPr>
                <w:sz w:val="22"/>
                <w:szCs w:val="22"/>
              </w:rPr>
            </w:pPr>
            <w:r>
              <w:rPr>
                <w:sz w:val="22"/>
                <w:szCs w:val="22"/>
              </w:rPr>
              <w:t>Smrt (dogadjaj ukupnog preživljavanja)</w:t>
            </w:r>
            <w:r w:rsidR="00E05379">
              <w:rPr>
                <w:sz w:val="22"/>
                <w:szCs w:val="22"/>
              </w:rPr>
              <w:t>:</w:t>
            </w:r>
          </w:p>
          <w:p w14:paraId="2A76871F" w14:textId="77777777" w:rsidR="00B05AA9" w:rsidRDefault="00B05AA9" w:rsidP="00BA76B8">
            <w:pPr>
              <w:rPr>
                <w:sz w:val="22"/>
                <w:szCs w:val="22"/>
              </w:rPr>
            </w:pPr>
            <w:r>
              <w:rPr>
                <w:sz w:val="22"/>
                <w:szCs w:val="22"/>
              </w:rPr>
              <w:t>Broj pacijenata sa događajem (%)</w:t>
            </w:r>
          </w:p>
          <w:p w14:paraId="202A7EA4" w14:textId="77777777" w:rsidR="00B05AA9" w:rsidRDefault="00B05AA9" w:rsidP="00BA76B8">
            <w:pPr>
              <w:tabs>
                <w:tab w:val="left" w:pos="284"/>
              </w:tabs>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9490CE8" w14:textId="77777777" w:rsidR="00B05AA9" w:rsidRDefault="00B05AA9" w:rsidP="00641EEB">
            <w:pPr>
              <w:jc w:val="center"/>
              <w:rPr>
                <w:sz w:val="22"/>
                <w:szCs w:val="22"/>
              </w:rPr>
            </w:pPr>
          </w:p>
          <w:p w14:paraId="2280E405" w14:textId="77777777" w:rsidR="00B05AA9" w:rsidRDefault="00B05AA9" w:rsidP="00641EEB">
            <w:pPr>
              <w:tabs>
                <w:tab w:val="left" w:pos="284"/>
              </w:tabs>
              <w:jc w:val="center"/>
              <w:rPr>
                <w:sz w:val="22"/>
                <w:szCs w:val="22"/>
              </w:rPr>
            </w:pPr>
            <w:r>
              <w:rPr>
                <w:sz w:val="22"/>
                <w:szCs w:val="22"/>
              </w:rPr>
              <w:t>92 (5.5)</w:t>
            </w:r>
          </w:p>
        </w:tc>
        <w:tc>
          <w:tcPr>
            <w:tcW w:w="1710" w:type="dxa"/>
            <w:tcBorders>
              <w:top w:val="single" w:sz="4" w:space="0" w:color="auto"/>
              <w:left w:val="single" w:sz="4" w:space="0" w:color="auto"/>
              <w:bottom w:val="single" w:sz="4" w:space="0" w:color="auto"/>
              <w:right w:val="single" w:sz="4" w:space="0" w:color="auto"/>
            </w:tcBorders>
          </w:tcPr>
          <w:p w14:paraId="45B84F16" w14:textId="77777777" w:rsidR="00B05AA9" w:rsidRDefault="00B05AA9" w:rsidP="00641EEB">
            <w:pPr>
              <w:jc w:val="center"/>
              <w:rPr>
                <w:sz w:val="22"/>
                <w:szCs w:val="22"/>
              </w:rPr>
            </w:pPr>
          </w:p>
          <w:p w14:paraId="4ABECC78" w14:textId="77777777" w:rsidR="00B05AA9" w:rsidRDefault="00B05AA9" w:rsidP="00641EEB">
            <w:pPr>
              <w:tabs>
                <w:tab w:val="left" w:pos="284"/>
              </w:tabs>
              <w:jc w:val="center"/>
              <w:rPr>
                <w:sz w:val="22"/>
                <w:szCs w:val="22"/>
              </w:rPr>
            </w:pPr>
            <w:r>
              <w:rPr>
                <w:sz w:val="22"/>
                <w:szCs w:val="22"/>
              </w:rPr>
              <w:t>62 (3.7)</w:t>
            </w:r>
          </w:p>
        </w:tc>
        <w:tc>
          <w:tcPr>
            <w:tcW w:w="2475" w:type="dxa"/>
            <w:tcBorders>
              <w:top w:val="single" w:sz="4" w:space="0" w:color="auto"/>
              <w:left w:val="single" w:sz="4" w:space="0" w:color="auto"/>
              <w:bottom w:val="single" w:sz="4" w:space="0" w:color="auto"/>
              <w:right w:val="single" w:sz="4" w:space="0" w:color="auto"/>
            </w:tcBorders>
          </w:tcPr>
          <w:p w14:paraId="14B6EA64" w14:textId="77777777" w:rsidR="00B05AA9" w:rsidRDefault="00B05AA9" w:rsidP="00641EEB">
            <w:pPr>
              <w:jc w:val="center"/>
              <w:rPr>
                <w:sz w:val="22"/>
                <w:szCs w:val="22"/>
              </w:rPr>
            </w:pPr>
          </w:p>
          <w:p w14:paraId="484ACD27" w14:textId="77777777" w:rsidR="00B05AA9" w:rsidRDefault="00B05AA9" w:rsidP="00641EEB">
            <w:pPr>
              <w:jc w:val="center"/>
              <w:rPr>
                <w:sz w:val="22"/>
                <w:szCs w:val="22"/>
              </w:rPr>
            </w:pPr>
            <w:r>
              <w:rPr>
                <w:sz w:val="22"/>
                <w:szCs w:val="22"/>
              </w:rPr>
              <w:t>0.67 (0.48, 0.92)</w:t>
            </w:r>
          </w:p>
          <w:p w14:paraId="78AD2E4D" w14:textId="77777777" w:rsidR="00B05AA9" w:rsidRDefault="00B05AA9" w:rsidP="00641EEB">
            <w:pPr>
              <w:tabs>
                <w:tab w:val="left" w:pos="284"/>
              </w:tabs>
              <w:jc w:val="center"/>
              <w:rPr>
                <w:sz w:val="22"/>
                <w:szCs w:val="22"/>
                <w:vertAlign w:val="superscript"/>
              </w:rPr>
            </w:pPr>
            <w:r>
              <w:rPr>
                <w:sz w:val="22"/>
                <w:szCs w:val="22"/>
              </w:rPr>
              <w:t>p=0.014**</w:t>
            </w:r>
          </w:p>
        </w:tc>
      </w:tr>
    </w:tbl>
    <w:p w14:paraId="0323FECA" w14:textId="77777777" w:rsidR="00B05AA9" w:rsidRPr="009D4A69" w:rsidRDefault="00B05AA9" w:rsidP="00641EEB">
      <w:pPr>
        <w:jc w:val="both"/>
        <w:rPr>
          <w:sz w:val="20"/>
          <w:szCs w:val="20"/>
          <w:lang w:val="sr-Latn-ME"/>
        </w:rPr>
      </w:pPr>
      <w:r w:rsidRPr="009D4A69">
        <w:rPr>
          <w:sz w:val="20"/>
          <w:szCs w:val="20"/>
        </w:rPr>
        <w:t>A: doksorubicin; C: ciklofosfamid; P: paklitaksel; H: trastuzumab</w:t>
      </w:r>
    </w:p>
    <w:p w14:paraId="16F22B4E" w14:textId="1E437349" w:rsidR="00B05AA9" w:rsidRPr="009D4A69" w:rsidRDefault="00B05AA9" w:rsidP="00641EEB">
      <w:pPr>
        <w:jc w:val="both"/>
        <w:rPr>
          <w:sz w:val="20"/>
          <w:szCs w:val="20"/>
          <w:lang w:val="sr-Latn-ME"/>
        </w:rPr>
      </w:pPr>
      <w:r w:rsidRPr="009D4A69">
        <w:rPr>
          <w:sz w:val="20"/>
          <w:szCs w:val="20"/>
          <w:vertAlign w:val="superscript"/>
          <w:lang w:val="hr-HR"/>
        </w:rPr>
        <w:t>*</w:t>
      </w:r>
      <w:r w:rsidRPr="009D4A69">
        <w:rPr>
          <w:sz w:val="20"/>
          <w:szCs w:val="20"/>
          <w:lang w:val="sr-Latn-ME"/>
        </w:rPr>
        <w:t xml:space="preserve"> </w:t>
      </w:r>
      <w:r w:rsidRPr="009D4A69">
        <w:rPr>
          <w:sz w:val="20"/>
          <w:szCs w:val="20"/>
        </w:rPr>
        <w:t>Uz</w:t>
      </w:r>
      <w:r w:rsidRPr="009D4A69">
        <w:rPr>
          <w:sz w:val="20"/>
          <w:szCs w:val="20"/>
          <w:lang w:val="sr-Latn-ME"/>
        </w:rPr>
        <w:t xml:space="preserve"> </w:t>
      </w:r>
      <w:r w:rsidRPr="009D4A69">
        <w:rPr>
          <w:sz w:val="20"/>
          <w:szCs w:val="20"/>
        </w:rPr>
        <w:t>medijan</w:t>
      </w:r>
      <w:r w:rsidR="00FD35FE">
        <w:rPr>
          <w:sz w:val="20"/>
          <w:szCs w:val="20"/>
        </w:rPr>
        <w:t>u</w:t>
      </w:r>
      <w:r w:rsidRPr="009D4A69">
        <w:rPr>
          <w:sz w:val="20"/>
          <w:szCs w:val="20"/>
          <w:lang w:val="sr-Latn-ME"/>
        </w:rPr>
        <w:t xml:space="preserve"> </w:t>
      </w:r>
      <w:r w:rsidRPr="009D4A69">
        <w:rPr>
          <w:sz w:val="20"/>
          <w:szCs w:val="20"/>
        </w:rPr>
        <w:t>trajanja</w:t>
      </w:r>
      <w:r w:rsidRPr="009D4A69">
        <w:rPr>
          <w:sz w:val="20"/>
          <w:szCs w:val="20"/>
          <w:lang w:val="sr-Latn-ME"/>
        </w:rPr>
        <w:t xml:space="preserve"> </w:t>
      </w:r>
      <w:r w:rsidRPr="009D4A69">
        <w:rPr>
          <w:sz w:val="20"/>
          <w:szCs w:val="20"/>
        </w:rPr>
        <w:t>pra</w:t>
      </w:r>
      <w:r w:rsidRPr="009D4A69">
        <w:rPr>
          <w:sz w:val="20"/>
          <w:szCs w:val="20"/>
          <w:lang w:val="sr-Latn-ME"/>
        </w:rPr>
        <w:t>ć</w:t>
      </w:r>
      <w:r w:rsidRPr="009D4A69">
        <w:rPr>
          <w:sz w:val="20"/>
          <w:szCs w:val="20"/>
        </w:rPr>
        <w:t>enja</w:t>
      </w:r>
      <w:r w:rsidRPr="009D4A69">
        <w:rPr>
          <w:sz w:val="20"/>
          <w:szCs w:val="20"/>
          <w:lang w:val="sr-Latn-ME"/>
        </w:rPr>
        <w:t xml:space="preserve"> </w:t>
      </w:r>
      <w:r w:rsidRPr="009D4A69">
        <w:rPr>
          <w:sz w:val="20"/>
          <w:szCs w:val="20"/>
        </w:rPr>
        <w:t>od</w:t>
      </w:r>
      <w:r w:rsidRPr="009D4A69">
        <w:rPr>
          <w:sz w:val="20"/>
          <w:szCs w:val="20"/>
          <w:lang w:val="sr-Latn-ME"/>
        </w:rPr>
        <w:t xml:space="preserve"> 1,8</w:t>
      </w:r>
      <w:r w:rsidRPr="009D4A69">
        <w:rPr>
          <w:sz w:val="20"/>
          <w:szCs w:val="20"/>
        </w:rPr>
        <w:t> godina</w:t>
      </w:r>
      <w:r w:rsidRPr="009D4A69">
        <w:rPr>
          <w:sz w:val="20"/>
          <w:szCs w:val="20"/>
          <w:lang w:val="sr-Latn-ME"/>
        </w:rPr>
        <w:t xml:space="preserve"> </w:t>
      </w:r>
      <w:r w:rsidRPr="009D4A69">
        <w:rPr>
          <w:sz w:val="20"/>
          <w:szCs w:val="20"/>
        </w:rPr>
        <w:t>za</w:t>
      </w:r>
      <w:r w:rsidRPr="009D4A69">
        <w:rPr>
          <w:sz w:val="20"/>
          <w:szCs w:val="20"/>
          <w:lang w:val="sr-Latn-ME"/>
        </w:rPr>
        <w:t xml:space="preserve"> </w:t>
      </w:r>
      <w:r w:rsidRPr="009D4A69">
        <w:rPr>
          <w:sz w:val="20"/>
          <w:szCs w:val="20"/>
        </w:rPr>
        <w:t>pacijentkinje</w:t>
      </w:r>
      <w:r w:rsidRPr="009D4A69">
        <w:rPr>
          <w:sz w:val="20"/>
          <w:szCs w:val="20"/>
          <w:lang w:val="sr-Latn-ME"/>
        </w:rPr>
        <w:t xml:space="preserve"> </w:t>
      </w:r>
      <w:r w:rsidRPr="009D4A69">
        <w:rPr>
          <w:sz w:val="20"/>
          <w:szCs w:val="20"/>
        </w:rPr>
        <w:t>u</w:t>
      </w:r>
      <w:r w:rsidRPr="009D4A69">
        <w:rPr>
          <w:sz w:val="20"/>
          <w:szCs w:val="20"/>
          <w:lang w:val="sr-Latn-ME"/>
        </w:rPr>
        <w:t xml:space="preserve"> </w:t>
      </w:r>
      <w:r w:rsidRPr="009D4A69">
        <w:rPr>
          <w:sz w:val="20"/>
          <w:szCs w:val="20"/>
        </w:rPr>
        <w:t>grupi</w:t>
      </w:r>
      <w:r w:rsidRPr="009D4A69">
        <w:rPr>
          <w:sz w:val="20"/>
          <w:szCs w:val="20"/>
          <w:lang w:val="sr-Latn-ME"/>
        </w:rPr>
        <w:t xml:space="preserve"> </w:t>
      </w:r>
      <w:r w:rsidRPr="009D4A69">
        <w:rPr>
          <w:sz w:val="20"/>
          <w:szCs w:val="20"/>
        </w:rPr>
        <w:t>koja</w:t>
      </w:r>
      <w:r w:rsidRPr="009D4A69">
        <w:rPr>
          <w:sz w:val="20"/>
          <w:szCs w:val="20"/>
          <w:lang w:val="sr-Latn-ME"/>
        </w:rPr>
        <w:t xml:space="preserve"> </w:t>
      </w:r>
      <w:r w:rsidRPr="009D4A69">
        <w:rPr>
          <w:sz w:val="20"/>
          <w:szCs w:val="20"/>
        </w:rPr>
        <w:t>je</w:t>
      </w:r>
      <w:r w:rsidRPr="009D4A69">
        <w:rPr>
          <w:sz w:val="20"/>
          <w:szCs w:val="20"/>
          <w:lang w:val="sr-Latn-ME"/>
        </w:rPr>
        <w:t xml:space="preserve"> </w:t>
      </w:r>
      <w:r w:rsidRPr="009D4A69">
        <w:rPr>
          <w:sz w:val="20"/>
          <w:szCs w:val="20"/>
        </w:rPr>
        <w:t>primala</w:t>
      </w:r>
      <w:r w:rsidRPr="009D4A69">
        <w:rPr>
          <w:sz w:val="20"/>
          <w:szCs w:val="20"/>
          <w:lang w:val="sr-Latn-ME"/>
        </w:rPr>
        <w:t xml:space="preserve"> </w:t>
      </w:r>
      <w:r w:rsidRPr="009D4A69">
        <w:rPr>
          <w:sz w:val="20"/>
          <w:szCs w:val="20"/>
        </w:rPr>
        <w:t>AC</w:t>
      </w:r>
      <w:r w:rsidRPr="009D4A69">
        <w:rPr>
          <w:sz w:val="20"/>
          <w:szCs w:val="20"/>
          <w:lang w:val="sr-Latn-ME"/>
        </w:rPr>
        <w:t>→</w:t>
      </w:r>
      <w:r w:rsidRPr="009D4A69">
        <w:rPr>
          <w:sz w:val="20"/>
          <w:szCs w:val="20"/>
        </w:rPr>
        <w:t>P</w:t>
      </w:r>
      <w:r w:rsidRPr="009D4A69">
        <w:rPr>
          <w:sz w:val="20"/>
          <w:szCs w:val="20"/>
          <w:lang w:val="sr-Latn-ME"/>
        </w:rPr>
        <w:t xml:space="preserve"> </w:t>
      </w:r>
      <w:r w:rsidRPr="009D4A69">
        <w:rPr>
          <w:sz w:val="20"/>
          <w:szCs w:val="20"/>
        </w:rPr>
        <w:t>hemoterapiju</w:t>
      </w:r>
      <w:r w:rsidRPr="009D4A69">
        <w:rPr>
          <w:sz w:val="20"/>
          <w:szCs w:val="20"/>
          <w:lang w:val="sr-Latn-ME"/>
        </w:rPr>
        <w:t xml:space="preserve"> </w:t>
      </w:r>
      <w:r w:rsidRPr="009D4A69">
        <w:rPr>
          <w:sz w:val="20"/>
          <w:szCs w:val="20"/>
        </w:rPr>
        <w:t>i</w:t>
      </w:r>
      <w:r w:rsidRPr="009D4A69">
        <w:rPr>
          <w:sz w:val="20"/>
          <w:szCs w:val="20"/>
          <w:lang w:val="sr-Latn-ME"/>
        </w:rPr>
        <w:t xml:space="preserve"> 2,0</w:t>
      </w:r>
      <w:r w:rsidRPr="009D4A69">
        <w:rPr>
          <w:sz w:val="20"/>
          <w:szCs w:val="20"/>
        </w:rPr>
        <w:t> godine</w:t>
      </w:r>
      <w:r w:rsidRPr="009D4A69">
        <w:rPr>
          <w:sz w:val="20"/>
          <w:szCs w:val="20"/>
          <w:lang w:val="sr-Latn-ME"/>
        </w:rPr>
        <w:t xml:space="preserve"> </w:t>
      </w:r>
      <w:r w:rsidRPr="009D4A69">
        <w:rPr>
          <w:sz w:val="20"/>
          <w:szCs w:val="20"/>
        </w:rPr>
        <w:t>za</w:t>
      </w:r>
      <w:r w:rsidRPr="009D4A69">
        <w:rPr>
          <w:sz w:val="20"/>
          <w:szCs w:val="20"/>
          <w:lang w:val="sr-Latn-ME"/>
        </w:rPr>
        <w:t xml:space="preserve"> </w:t>
      </w:r>
      <w:r w:rsidRPr="009D4A69">
        <w:rPr>
          <w:sz w:val="20"/>
          <w:szCs w:val="20"/>
        </w:rPr>
        <w:t>pacijentkinje</w:t>
      </w:r>
      <w:r w:rsidRPr="009D4A69">
        <w:rPr>
          <w:sz w:val="20"/>
          <w:szCs w:val="20"/>
          <w:lang w:val="sr-Latn-ME"/>
        </w:rPr>
        <w:t xml:space="preserve"> </w:t>
      </w:r>
      <w:r w:rsidRPr="009D4A69">
        <w:rPr>
          <w:sz w:val="20"/>
          <w:szCs w:val="20"/>
        </w:rPr>
        <w:t>u</w:t>
      </w:r>
      <w:r w:rsidRPr="009D4A69">
        <w:rPr>
          <w:sz w:val="20"/>
          <w:szCs w:val="20"/>
          <w:lang w:val="sr-Latn-ME"/>
        </w:rPr>
        <w:t xml:space="preserve"> </w:t>
      </w:r>
      <w:r w:rsidRPr="009D4A69">
        <w:rPr>
          <w:sz w:val="20"/>
          <w:szCs w:val="20"/>
        </w:rPr>
        <w:t>grupi</w:t>
      </w:r>
      <w:r w:rsidRPr="009D4A69">
        <w:rPr>
          <w:sz w:val="20"/>
          <w:szCs w:val="20"/>
          <w:lang w:val="sr-Latn-ME"/>
        </w:rPr>
        <w:t xml:space="preserve"> </w:t>
      </w:r>
      <w:r w:rsidRPr="009D4A69">
        <w:rPr>
          <w:sz w:val="20"/>
          <w:szCs w:val="20"/>
        </w:rPr>
        <w:t>koja</w:t>
      </w:r>
      <w:r w:rsidRPr="009D4A69">
        <w:rPr>
          <w:sz w:val="20"/>
          <w:szCs w:val="20"/>
          <w:lang w:val="sr-Latn-ME"/>
        </w:rPr>
        <w:t xml:space="preserve"> </w:t>
      </w:r>
      <w:r w:rsidRPr="009D4A69">
        <w:rPr>
          <w:sz w:val="20"/>
          <w:szCs w:val="20"/>
        </w:rPr>
        <w:t>je</w:t>
      </w:r>
      <w:r w:rsidRPr="009D4A69">
        <w:rPr>
          <w:sz w:val="20"/>
          <w:szCs w:val="20"/>
          <w:lang w:val="sr-Latn-ME"/>
        </w:rPr>
        <w:t xml:space="preserve"> </w:t>
      </w:r>
      <w:r w:rsidRPr="009D4A69">
        <w:rPr>
          <w:sz w:val="20"/>
          <w:szCs w:val="20"/>
        </w:rPr>
        <w:t>primala</w:t>
      </w:r>
      <w:r w:rsidRPr="009D4A69">
        <w:rPr>
          <w:sz w:val="20"/>
          <w:szCs w:val="20"/>
          <w:lang w:val="sr-Latn-ME"/>
        </w:rPr>
        <w:t xml:space="preserve"> </w:t>
      </w:r>
      <w:r w:rsidRPr="009D4A69">
        <w:rPr>
          <w:sz w:val="20"/>
          <w:szCs w:val="20"/>
        </w:rPr>
        <w:t>AC</w:t>
      </w:r>
      <w:r w:rsidRPr="009D4A69">
        <w:rPr>
          <w:sz w:val="20"/>
          <w:szCs w:val="20"/>
          <w:lang w:val="sr-Latn-ME"/>
        </w:rPr>
        <w:t>→</w:t>
      </w:r>
      <w:r w:rsidRPr="009D4A69">
        <w:rPr>
          <w:sz w:val="20"/>
          <w:szCs w:val="20"/>
        </w:rPr>
        <w:t>PH</w:t>
      </w:r>
      <w:r w:rsidRPr="009D4A69">
        <w:rPr>
          <w:sz w:val="20"/>
          <w:szCs w:val="20"/>
          <w:lang w:val="sr-Latn-ME"/>
        </w:rPr>
        <w:t xml:space="preserve"> </w:t>
      </w:r>
      <w:r w:rsidRPr="009D4A69">
        <w:rPr>
          <w:sz w:val="20"/>
          <w:szCs w:val="20"/>
        </w:rPr>
        <w:t>hemoterapiju</w:t>
      </w:r>
    </w:p>
    <w:p w14:paraId="63741159" w14:textId="77777777" w:rsidR="00B05AA9" w:rsidRPr="009D4A69" w:rsidRDefault="00B05AA9" w:rsidP="00641EEB">
      <w:pPr>
        <w:jc w:val="both"/>
        <w:rPr>
          <w:sz w:val="20"/>
          <w:szCs w:val="20"/>
          <w:lang w:val="sr-Latn-ME"/>
        </w:rPr>
      </w:pPr>
      <w:r w:rsidRPr="009D4A69">
        <w:rPr>
          <w:sz w:val="20"/>
          <w:szCs w:val="20"/>
          <w:lang w:val="sr-Latn-ME"/>
        </w:rPr>
        <w:t xml:space="preserve">** </w:t>
      </w:r>
      <w:r w:rsidRPr="009D4A69">
        <w:rPr>
          <w:sz w:val="20"/>
          <w:szCs w:val="20"/>
        </w:rPr>
        <w:t>p</w:t>
      </w:r>
      <w:r w:rsidRPr="009D4A69">
        <w:rPr>
          <w:sz w:val="20"/>
          <w:szCs w:val="20"/>
          <w:lang w:val="sr-Latn-ME"/>
        </w:rPr>
        <w:noBreakHyphen/>
      </w:r>
      <w:r w:rsidRPr="009D4A69">
        <w:rPr>
          <w:sz w:val="20"/>
          <w:szCs w:val="20"/>
        </w:rPr>
        <w:t>vrijednost</w:t>
      </w:r>
      <w:r w:rsidRPr="009D4A69">
        <w:rPr>
          <w:sz w:val="20"/>
          <w:szCs w:val="20"/>
          <w:lang w:val="sr-Latn-ME"/>
        </w:rPr>
        <w:t xml:space="preserve"> </w:t>
      </w:r>
      <w:r w:rsidRPr="009D4A69">
        <w:rPr>
          <w:sz w:val="20"/>
          <w:szCs w:val="20"/>
        </w:rPr>
        <w:t>za</w:t>
      </w:r>
      <w:r w:rsidRPr="009D4A69">
        <w:rPr>
          <w:sz w:val="20"/>
          <w:szCs w:val="20"/>
          <w:lang w:val="sr-Latn-ME"/>
        </w:rPr>
        <w:t xml:space="preserve"> </w:t>
      </w:r>
      <w:r w:rsidRPr="009D4A69">
        <w:rPr>
          <w:sz w:val="20"/>
          <w:szCs w:val="20"/>
        </w:rPr>
        <w:t>ukupno</w:t>
      </w:r>
      <w:r w:rsidRPr="009D4A69">
        <w:rPr>
          <w:sz w:val="20"/>
          <w:szCs w:val="20"/>
          <w:lang w:val="sr-Latn-ME"/>
        </w:rPr>
        <w:t xml:space="preserve"> </w:t>
      </w:r>
      <w:r w:rsidRPr="009D4A69">
        <w:rPr>
          <w:sz w:val="20"/>
          <w:szCs w:val="20"/>
        </w:rPr>
        <w:t>pre</w:t>
      </w:r>
      <w:r w:rsidRPr="009D4A69">
        <w:rPr>
          <w:sz w:val="20"/>
          <w:szCs w:val="20"/>
          <w:lang w:val="sr-Latn-ME"/>
        </w:rPr>
        <w:t>ž</w:t>
      </w:r>
      <w:r w:rsidRPr="009D4A69">
        <w:rPr>
          <w:sz w:val="20"/>
          <w:szCs w:val="20"/>
        </w:rPr>
        <w:t>ivljenje</w:t>
      </w:r>
      <w:r w:rsidRPr="009D4A69">
        <w:rPr>
          <w:sz w:val="20"/>
          <w:szCs w:val="20"/>
          <w:lang w:val="sr-Latn-ME"/>
        </w:rPr>
        <w:t xml:space="preserve"> </w:t>
      </w:r>
      <w:r w:rsidRPr="009D4A69">
        <w:rPr>
          <w:sz w:val="20"/>
          <w:szCs w:val="20"/>
        </w:rPr>
        <w:t>nije</w:t>
      </w:r>
      <w:r w:rsidRPr="009D4A69">
        <w:rPr>
          <w:sz w:val="20"/>
          <w:szCs w:val="20"/>
          <w:lang w:val="sr-Latn-ME"/>
        </w:rPr>
        <w:t xml:space="preserve"> </w:t>
      </w:r>
      <w:r w:rsidRPr="009D4A69">
        <w:rPr>
          <w:sz w:val="20"/>
          <w:szCs w:val="20"/>
        </w:rPr>
        <w:t>nadma</w:t>
      </w:r>
      <w:r w:rsidRPr="009D4A69">
        <w:rPr>
          <w:sz w:val="20"/>
          <w:szCs w:val="20"/>
          <w:lang w:val="sr-Latn-ME"/>
        </w:rPr>
        <w:t>š</w:t>
      </w:r>
      <w:r w:rsidRPr="009D4A69">
        <w:rPr>
          <w:sz w:val="20"/>
          <w:szCs w:val="20"/>
        </w:rPr>
        <w:t>ila</w:t>
      </w:r>
      <w:r w:rsidRPr="009D4A69">
        <w:rPr>
          <w:sz w:val="20"/>
          <w:szCs w:val="20"/>
          <w:lang w:val="sr-Latn-ME"/>
        </w:rPr>
        <w:t xml:space="preserve"> </w:t>
      </w:r>
      <w:r w:rsidRPr="009D4A69">
        <w:rPr>
          <w:sz w:val="20"/>
          <w:szCs w:val="20"/>
        </w:rPr>
        <w:t>prethodno</w:t>
      </w:r>
      <w:r w:rsidRPr="009D4A69">
        <w:rPr>
          <w:sz w:val="20"/>
          <w:szCs w:val="20"/>
          <w:lang w:val="sr-Latn-ME"/>
        </w:rPr>
        <w:t xml:space="preserve"> </w:t>
      </w:r>
      <w:r w:rsidRPr="009D4A69">
        <w:rPr>
          <w:sz w:val="20"/>
          <w:szCs w:val="20"/>
        </w:rPr>
        <w:t>definisanu</w:t>
      </w:r>
      <w:r w:rsidRPr="009D4A69">
        <w:rPr>
          <w:sz w:val="20"/>
          <w:szCs w:val="20"/>
          <w:lang w:val="sr-Latn-ME"/>
        </w:rPr>
        <w:t xml:space="preserve"> </w:t>
      </w:r>
      <w:r w:rsidRPr="009D4A69">
        <w:rPr>
          <w:sz w:val="20"/>
          <w:szCs w:val="20"/>
        </w:rPr>
        <w:t>statisti</w:t>
      </w:r>
      <w:r w:rsidRPr="009D4A69">
        <w:rPr>
          <w:sz w:val="20"/>
          <w:szCs w:val="20"/>
          <w:lang w:val="sr-Latn-ME"/>
        </w:rPr>
        <w:t>č</w:t>
      </w:r>
      <w:r w:rsidRPr="009D4A69">
        <w:rPr>
          <w:sz w:val="20"/>
          <w:szCs w:val="20"/>
        </w:rPr>
        <w:t>ku</w:t>
      </w:r>
      <w:r w:rsidRPr="009D4A69">
        <w:rPr>
          <w:sz w:val="20"/>
          <w:szCs w:val="20"/>
          <w:lang w:val="sr-Latn-ME"/>
        </w:rPr>
        <w:t xml:space="preserve"> </w:t>
      </w:r>
      <w:r w:rsidRPr="009D4A69">
        <w:rPr>
          <w:sz w:val="20"/>
          <w:szCs w:val="20"/>
        </w:rPr>
        <w:t>grani</w:t>
      </w:r>
      <w:r w:rsidRPr="009D4A69">
        <w:rPr>
          <w:sz w:val="20"/>
          <w:szCs w:val="20"/>
          <w:lang w:val="sr-Latn-ME"/>
        </w:rPr>
        <w:t>č</w:t>
      </w:r>
      <w:r w:rsidRPr="009D4A69">
        <w:rPr>
          <w:sz w:val="20"/>
          <w:szCs w:val="20"/>
        </w:rPr>
        <w:t>nu</w:t>
      </w:r>
      <w:r w:rsidRPr="009D4A69">
        <w:rPr>
          <w:sz w:val="20"/>
          <w:szCs w:val="20"/>
          <w:lang w:val="sr-Latn-ME"/>
        </w:rPr>
        <w:t xml:space="preserve"> </w:t>
      </w:r>
      <w:r w:rsidRPr="009D4A69">
        <w:rPr>
          <w:sz w:val="20"/>
          <w:szCs w:val="20"/>
        </w:rPr>
        <w:t>vrijednost</w:t>
      </w:r>
      <w:r w:rsidRPr="009D4A69">
        <w:rPr>
          <w:sz w:val="20"/>
          <w:szCs w:val="20"/>
          <w:lang w:val="sr-Latn-ME"/>
        </w:rPr>
        <w:t xml:space="preserve"> </w:t>
      </w:r>
      <w:r w:rsidRPr="009D4A69">
        <w:rPr>
          <w:sz w:val="20"/>
          <w:szCs w:val="20"/>
        </w:rPr>
        <w:t>za</w:t>
      </w:r>
      <w:r w:rsidRPr="009D4A69">
        <w:rPr>
          <w:sz w:val="20"/>
          <w:szCs w:val="20"/>
          <w:lang w:val="sr-Latn-ME"/>
        </w:rPr>
        <w:t xml:space="preserve"> </w:t>
      </w:r>
      <w:r w:rsidRPr="009D4A69">
        <w:rPr>
          <w:sz w:val="20"/>
          <w:szCs w:val="20"/>
        </w:rPr>
        <w:t>pore</w:t>
      </w:r>
      <w:r w:rsidRPr="009D4A69">
        <w:rPr>
          <w:sz w:val="20"/>
          <w:szCs w:val="20"/>
          <w:lang w:val="sr-Latn-ME"/>
        </w:rPr>
        <w:t>đ</w:t>
      </w:r>
      <w:r w:rsidRPr="009D4A69">
        <w:rPr>
          <w:sz w:val="20"/>
          <w:szCs w:val="20"/>
        </w:rPr>
        <w:t>enje</w:t>
      </w:r>
      <w:r w:rsidRPr="009D4A69">
        <w:rPr>
          <w:sz w:val="20"/>
          <w:szCs w:val="20"/>
          <w:lang w:val="sr-Latn-ME"/>
        </w:rPr>
        <w:t xml:space="preserve"> </w:t>
      </w:r>
      <w:r w:rsidRPr="009D4A69">
        <w:rPr>
          <w:sz w:val="20"/>
          <w:szCs w:val="20"/>
        </w:rPr>
        <w:t>AC</w:t>
      </w:r>
      <w:r w:rsidRPr="009D4A69">
        <w:rPr>
          <w:sz w:val="20"/>
          <w:szCs w:val="20"/>
          <w:lang w:val="sr-Latn-ME"/>
        </w:rPr>
        <w:t>→</w:t>
      </w:r>
      <w:r w:rsidRPr="009D4A69">
        <w:rPr>
          <w:sz w:val="20"/>
          <w:szCs w:val="20"/>
        </w:rPr>
        <w:t>PH</w:t>
      </w:r>
      <w:r w:rsidRPr="009D4A69">
        <w:rPr>
          <w:sz w:val="20"/>
          <w:szCs w:val="20"/>
          <w:lang w:val="sr-Latn-ME"/>
        </w:rPr>
        <w:t xml:space="preserve"> </w:t>
      </w:r>
      <w:r w:rsidRPr="009D4A69">
        <w:rPr>
          <w:sz w:val="20"/>
          <w:szCs w:val="20"/>
        </w:rPr>
        <w:t>hemoterapije</w:t>
      </w:r>
      <w:r w:rsidRPr="009D4A69">
        <w:rPr>
          <w:sz w:val="20"/>
          <w:szCs w:val="20"/>
          <w:lang w:val="sr-Latn-ME"/>
        </w:rPr>
        <w:t xml:space="preserve"> </w:t>
      </w:r>
      <w:r w:rsidRPr="009D4A69">
        <w:rPr>
          <w:sz w:val="20"/>
          <w:szCs w:val="20"/>
        </w:rPr>
        <w:t>naspram</w:t>
      </w:r>
      <w:r w:rsidRPr="009D4A69">
        <w:rPr>
          <w:sz w:val="20"/>
          <w:szCs w:val="20"/>
          <w:lang w:val="sr-Latn-ME"/>
        </w:rPr>
        <w:t xml:space="preserve"> </w:t>
      </w:r>
      <w:r w:rsidRPr="009D4A69">
        <w:rPr>
          <w:sz w:val="20"/>
          <w:szCs w:val="20"/>
        </w:rPr>
        <w:t>AC</w:t>
      </w:r>
      <w:r w:rsidRPr="009D4A69">
        <w:rPr>
          <w:sz w:val="20"/>
          <w:szCs w:val="20"/>
          <w:lang w:val="sr-Latn-ME"/>
        </w:rPr>
        <w:t>→</w:t>
      </w:r>
      <w:r w:rsidRPr="009D4A69">
        <w:rPr>
          <w:sz w:val="20"/>
          <w:szCs w:val="20"/>
        </w:rPr>
        <w:t>P</w:t>
      </w:r>
      <w:r w:rsidRPr="009D4A69">
        <w:rPr>
          <w:sz w:val="20"/>
          <w:szCs w:val="20"/>
          <w:lang w:val="sr-Latn-ME"/>
        </w:rPr>
        <w:t xml:space="preserve"> </w:t>
      </w:r>
      <w:r w:rsidRPr="009D4A69">
        <w:rPr>
          <w:sz w:val="20"/>
          <w:szCs w:val="20"/>
        </w:rPr>
        <w:t>hemoterapije</w:t>
      </w:r>
    </w:p>
    <w:p w14:paraId="76CA7525" w14:textId="77777777" w:rsidR="00B05AA9" w:rsidRPr="00442616" w:rsidRDefault="00B05AA9" w:rsidP="00641EEB">
      <w:pPr>
        <w:jc w:val="both"/>
        <w:rPr>
          <w:sz w:val="22"/>
          <w:szCs w:val="22"/>
          <w:lang w:val="sr-Latn-ME"/>
        </w:rPr>
      </w:pPr>
    </w:p>
    <w:p w14:paraId="4FFD0945" w14:textId="333F67A7" w:rsidR="00B05AA9" w:rsidRPr="00442616" w:rsidRDefault="00B05AA9" w:rsidP="00641EEB">
      <w:pPr>
        <w:jc w:val="both"/>
        <w:rPr>
          <w:sz w:val="22"/>
          <w:szCs w:val="22"/>
          <w:lang w:val="sr-Latn-ME"/>
        </w:rPr>
      </w:pPr>
      <w:r>
        <w:rPr>
          <w:sz w:val="22"/>
          <w:szCs w:val="22"/>
        </w:rPr>
        <w:t>Za</w:t>
      </w:r>
      <w:r w:rsidRPr="00442616">
        <w:rPr>
          <w:sz w:val="22"/>
          <w:szCs w:val="22"/>
          <w:lang w:val="sr-Latn-ME"/>
        </w:rPr>
        <w:t xml:space="preserve"> </w:t>
      </w:r>
      <w:r>
        <w:rPr>
          <w:sz w:val="22"/>
          <w:szCs w:val="22"/>
        </w:rPr>
        <w:t>primarni</w:t>
      </w:r>
      <w:r w:rsidRPr="00442616">
        <w:rPr>
          <w:sz w:val="22"/>
          <w:szCs w:val="22"/>
          <w:lang w:val="sr-Latn-ME"/>
        </w:rPr>
        <w:t xml:space="preserve"> </w:t>
      </w:r>
      <w:r>
        <w:rPr>
          <w:sz w:val="22"/>
          <w:szCs w:val="22"/>
        </w:rPr>
        <w:t>cilj</w:t>
      </w:r>
      <w:r w:rsidRPr="00442616">
        <w:rPr>
          <w:sz w:val="22"/>
          <w:szCs w:val="22"/>
          <w:lang w:val="sr-Latn-ME"/>
        </w:rPr>
        <w:t xml:space="preserve"> </w:t>
      </w:r>
      <w:r>
        <w:rPr>
          <w:sz w:val="22"/>
          <w:szCs w:val="22"/>
        </w:rPr>
        <w:t>studije</w:t>
      </w:r>
      <w:r w:rsidRPr="00442616">
        <w:rPr>
          <w:sz w:val="22"/>
          <w:szCs w:val="22"/>
          <w:lang w:val="sr-Latn-ME"/>
        </w:rPr>
        <w:t xml:space="preserve">, </w:t>
      </w:r>
      <w:r>
        <w:rPr>
          <w:sz w:val="22"/>
          <w:szCs w:val="22"/>
        </w:rPr>
        <w:t>pre</w:t>
      </w:r>
      <w:r w:rsidRPr="00442616">
        <w:rPr>
          <w:sz w:val="22"/>
          <w:szCs w:val="22"/>
          <w:lang w:val="sr-Latn-ME"/>
        </w:rPr>
        <w:t>ž</w:t>
      </w:r>
      <w:r>
        <w:rPr>
          <w:sz w:val="22"/>
          <w:szCs w:val="22"/>
        </w:rPr>
        <w:t>ivljavanje</w:t>
      </w:r>
      <w:r w:rsidRPr="00442616">
        <w:rPr>
          <w:sz w:val="22"/>
          <w:szCs w:val="22"/>
          <w:lang w:val="sr-Latn-ME"/>
        </w:rPr>
        <w:t xml:space="preserve"> </w:t>
      </w:r>
      <w:r>
        <w:rPr>
          <w:sz w:val="22"/>
          <w:szCs w:val="22"/>
        </w:rPr>
        <w:t>bez</w:t>
      </w:r>
      <w:r w:rsidRPr="00442616">
        <w:rPr>
          <w:sz w:val="22"/>
          <w:szCs w:val="22"/>
          <w:lang w:val="sr-Latn-ME"/>
        </w:rPr>
        <w:t xml:space="preserve"> </w:t>
      </w:r>
      <w:r>
        <w:rPr>
          <w:sz w:val="22"/>
          <w:szCs w:val="22"/>
        </w:rPr>
        <w:t>bolesti</w:t>
      </w:r>
      <w:r w:rsidRPr="00442616">
        <w:rPr>
          <w:sz w:val="22"/>
          <w:szCs w:val="22"/>
          <w:lang w:val="sr-Latn-ME"/>
        </w:rPr>
        <w:t xml:space="preserve">, </w:t>
      </w:r>
      <w:r>
        <w:rPr>
          <w:sz w:val="22"/>
          <w:szCs w:val="22"/>
        </w:rPr>
        <w:t>dodavanje</w:t>
      </w:r>
      <w:r w:rsidRPr="00442616">
        <w:rPr>
          <w:sz w:val="22"/>
          <w:szCs w:val="22"/>
          <w:lang w:val="sr-Latn-ME"/>
        </w:rPr>
        <w:t xml:space="preserve"> </w:t>
      </w:r>
      <w:r>
        <w:rPr>
          <w:sz w:val="22"/>
          <w:szCs w:val="22"/>
        </w:rPr>
        <w:t>lijeka</w:t>
      </w:r>
      <w:r w:rsidRPr="00442616">
        <w:rPr>
          <w:sz w:val="22"/>
          <w:szCs w:val="22"/>
          <w:lang w:val="sr-Latn-ME"/>
        </w:rPr>
        <w:t xml:space="preserve"> </w:t>
      </w:r>
      <w:r>
        <w:rPr>
          <w:sz w:val="22"/>
          <w:szCs w:val="22"/>
        </w:rPr>
        <w:t>Herceptin</w:t>
      </w:r>
      <w:r w:rsidRPr="00442616">
        <w:rPr>
          <w:sz w:val="22"/>
          <w:szCs w:val="22"/>
          <w:lang w:val="sr-Latn-ME"/>
        </w:rPr>
        <w:t xml:space="preserve"> </w:t>
      </w:r>
      <w:r>
        <w:rPr>
          <w:sz w:val="22"/>
          <w:szCs w:val="22"/>
        </w:rPr>
        <w:t>hemoterapiji</w:t>
      </w:r>
      <w:r w:rsidRPr="00442616">
        <w:rPr>
          <w:sz w:val="22"/>
          <w:szCs w:val="22"/>
          <w:lang w:val="sr-Latn-ME"/>
        </w:rPr>
        <w:t xml:space="preserve"> </w:t>
      </w:r>
      <w:r>
        <w:rPr>
          <w:sz w:val="22"/>
          <w:szCs w:val="22"/>
        </w:rPr>
        <w:t>paklitakselom</w:t>
      </w:r>
      <w:r w:rsidRPr="00442616">
        <w:rPr>
          <w:sz w:val="22"/>
          <w:szCs w:val="22"/>
          <w:lang w:val="sr-Latn-ME"/>
        </w:rPr>
        <w:t xml:space="preserve"> </w:t>
      </w:r>
      <w:r>
        <w:rPr>
          <w:sz w:val="22"/>
          <w:szCs w:val="22"/>
        </w:rPr>
        <w:t>rezultiralo</w:t>
      </w:r>
      <w:r w:rsidRPr="00442616">
        <w:rPr>
          <w:sz w:val="22"/>
          <w:szCs w:val="22"/>
          <w:lang w:val="sr-Latn-ME"/>
        </w:rPr>
        <w:t xml:space="preserve"> </w:t>
      </w:r>
      <w:r>
        <w:rPr>
          <w:sz w:val="22"/>
          <w:szCs w:val="22"/>
        </w:rPr>
        <w:t>je</w:t>
      </w:r>
      <w:r w:rsidRPr="00442616">
        <w:rPr>
          <w:sz w:val="22"/>
          <w:szCs w:val="22"/>
          <w:lang w:val="sr-Latn-ME"/>
        </w:rPr>
        <w:t xml:space="preserve"> </w:t>
      </w:r>
      <w:r>
        <w:rPr>
          <w:sz w:val="22"/>
          <w:szCs w:val="22"/>
        </w:rPr>
        <w:t>smanjenjem</w:t>
      </w:r>
      <w:r w:rsidRPr="00442616">
        <w:rPr>
          <w:sz w:val="22"/>
          <w:szCs w:val="22"/>
          <w:lang w:val="sr-Latn-ME"/>
        </w:rPr>
        <w:t xml:space="preserve"> </w:t>
      </w:r>
      <w:r>
        <w:rPr>
          <w:sz w:val="22"/>
          <w:szCs w:val="22"/>
        </w:rPr>
        <w:t>rizika</w:t>
      </w:r>
      <w:r w:rsidRPr="00442616">
        <w:rPr>
          <w:sz w:val="22"/>
          <w:szCs w:val="22"/>
          <w:lang w:val="sr-Latn-ME"/>
        </w:rPr>
        <w:t xml:space="preserve"> </w:t>
      </w:r>
      <w:proofErr w:type="gramStart"/>
      <w:r>
        <w:rPr>
          <w:sz w:val="22"/>
          <w:szCs w:val="22"/>
        </w:rPr>
        <w:t>od</w:t>
      </w:r>
      <w:proofErr w:type="gramEnd"/>
      <w:r w:rsidRPr="00442616">
        <w:rPr>
          <w:sz w:val="22"/>
          <w:szCs w:val="22"/>
          <w:lang w:val="sr-Latn-ME"/>
        </w:rPr>
        <w:t xml:space="preserve"> </w:t>
      </w:r>
      <w:r>
        <w:rPr>
          <w:sz w:val="22"/>
          <w:szCs w:val="22"/>
        </w:rPr>
        <w:t>ponovne</w:t>
      </w:r>
      <w:r w:rsidRPr="00442616">
        <w:rPr>
          <w:sz w:val="22"/>
          <w:szCs w:val="22"/>
          <w:lang w:val="sr-Latn-ME"/>
        </w:rPr>
        <w:t xml:space="preserve"> </w:t>
      </w:r>
      <w:r>
        <w:rPr>
          <w:sz w:val="22"/>
          <w:szCs w:val="22"/>
        </w:rPr>
        <w:t>pojave</w:t>
      </w:r>
      <w:r w:rsidRPr="00442616">
        <w:rPr>
          <w:sz w:val="22"/>
          <w:szCs w:val="22"/>
          <w:lang w:val="sr-Latn-ME"/>
        </w:rPr>
        <w:t xml:space="preserve"> </w:t>
      </w:r>
      <w:r>
        <w:rPr>
          <w:sz w:val="22"/>
          <w:szCs w:val="22"/>
        </w:rPr>
        <w:t>bolesti</w:t>
      </w:r>
      <w:r w:rsidRPr="00442616">
        <w:rPr>
          <w:sz w:val="22"/>
          <w:szCs w:val="22"/>
          <w:lang w:val="sr-Latn-ME"/>
        </w:rPr>
        <w:t xml:space="preserve"> </w:t>
      </w:r>
      <w:r>
        <w:rPr>
          <w:sz w:val="22"/>
          <w:szCs w:val="22"/>
        </w:rPr>
        <w:t>za</w:t>
      </w:r>
      <w:r w:rsidRPr="00442616">
        <w:rPr>
          <w:sz w:val="22"/>
          <w:szCs w:val="22"/>
          <w:lang w:val="sr-Latn-ME"/>
        </w:rPr>
        <w:t xml:space="preserve"> 52%. </w:t>
      </w:r>
      <w:r>
        <w:rPr>
          <w:sz w:val="22"/>
          <w:szCs w:val="22"/>
        </w:rPr>
        <w:t>Odnos</w:t>
      </w:r>
      <w:r w:rsidRPr="00442616">
        <w:rPr>
          <w:sz w:val="22"/>
          <w:szCs w:val="22"/>
          <w:lang w:val="sr-Latn-ME"/>
        </w:rPr>
        <w:t xml:space="preserve"> </w:t>
      </w:r>
      <w:r>
        <w:rPr>
          <w:sz w:val="22"/>
          <w:szCs w:val="22"/>
        </w:rPr>
        <w:t>hazarda</w:t>
      </w:r>
      <w:r w:rsidRPr="00442616">
        <w:rPr>
          <w:sz w:val="22"/>
          <w:szCs w:val="22"/>
          <w:lang w:val="sr-Latn-ME"/>
        </w:rPr>
        <w:t xml:space="preserve"> </w:t>
      </w:r>
      <w:r>
        <w:rPr>
          <w:sz w:val="22"/>
          <w:szCs w:val="22"/>
        </w:rPr>
        <w:t>apsolutno</w:t>
      </w:r>
      <w:r w:rsidRPr="00442616">
        <w:rPr>
          <w:sz w:val="22"/>
          <w:szCs w:val="22"/>
          <w:lang w:val="sr-Latn-ME"/>
        </w:rPr>
        <w:t xml:space="preserve"> </w:t>
      </w:r>
      <w:r>
        <w:rPr>
          <w:sz w:val="22"/>
          <w:szCs w:val="22"/>
        </w:rPr>
        <w:t>je</w:t>
      </w:r>
      <w:r w:rsidRPr="00442616">
        <w:rPr>
          <w:sz w:val="22"/>
          <w:szCs w:val="22"/>
          <w:lang w:val="sr-Latn-ME"/>
        </w:rPr>
        <w:t xml:space="preserve"> </w:t>
      </w:r>
      <w:r>
        <w:rPr>
          <w:sz w:val="22"/>
          <w:szCs w:val="22"/>
        </w:rPr>
        <w:t>povoljan</w:t>
      </w:r>
      <w:r w:rsidRPr="00442616">
        <w:rPr>
          <w:sz w:val="22"/>
          <w:szCs w:val="22"/>
          <w:lang w:val="sr-Latn-ME"/>
        </w:rPr>
        <w:t xml:space="preserve"> </w:t>
      </w:r>
      <w:r>
        <w:rPr>
          <w:sz w:val="22"/>
          <w:szCs w:val="22"/>
        </w:rPr>
        <w:t>u</w:t>
      </w:r>
      <w:r w:rsidRPr="00442616">
        <w:rPr>
          <w:sz w:val="22"/>
          <w:szCs w:val="22"/>
          <w:lang w:val="sr-Latn-ME"/>
        </w:rPr>
        <w:t xml:space="preserve"> </w:t>
      </w:r>
      <w:r>
        <w:rPr>
          <w:sz w:val="22"/>
          <w:szCs w:val="22"/>
        </w:rPr>
        <w:t>smislu</w:t>
      </w:r>
      <w:r w:rsidRPr="00442616">
        <w:rPr>
          <w:sz w:val="22"/>
          <w:szCs w:val="22"/>
          <w:lang w:val="sr-Latn-ME"/>
        </w:rPr>
        <w:t xml:space="preserve"> </w:t>
      </w:r>
      <w:r>
        <w:rPr>
          <w:sz w:val="22"/>
          <w:szCs w:val="22"/>
        </w:rPr>
        <w:t>trogodi</w:t>
      </w:r>
      <w:r w:rsidRPr="00442616">
        <w:rPr>
          <w:sz w:val="22"/>
          <w:szCs w:val="22"/>
          <w:lang w:val="sr-Latn-ME"/>
        </w:rPr>
        <w:t>š</w:t>
      </w:r>
      <w:r>
        <w:rPr>
          <w:sz w:val="22"/>
          <w:szCs w:val="22"/>
        </w:rPr>
        <w:t>njeg</w:t>
      </w:r>
      <w:r w:rsidRPr="00442616">
        <w:rPr>
          <w:sz w:val="22"/>
          <w:szCs w:val="22"/>
          <w:lang w:val="sr-Latn-ME"/>
        </w:rPr>
        <w:t xml:space="preserve"> </w:t>
      </w:r>
      <w:r>
        <w:rPr>
          <w:sz w:val="22"/>
          <w:szCs w:val="22"/>
        </w:rPr>
        <w:t>pre</w:t>
      </w:r>
      <w:r w:rsidRPr="00442616">
        <w:rPr>
          <w:sz w:val="22"/>
          <w:szCs w:val="22"/>
          <w:lang w:val="sr-Latn-ME"/>
        </w:rPr>
        <w:t>ž</w:t>
      </w:r>
      <w:r>
        <w:rPr>
          <w:sz w:val="22"/>
          <w:szCs w:val="22"/>
        </w:rPr>
        <w:t>ivljavanja</w:t>
      </w:r>
      <w:r w:rsidRPr="00442616">
        <w:rPr>
          <w:sz w:val="22"/>
          <w:szCs w:val="22"/>
          <w:lang w:val="sr-Latn-ME"/>
        </w:rPr>
        <w:t xml:space="preserve"> </w:t>
      </w:r>
      <w:r>
        <w:rPr>
          <w:sz w:val="22"/>
          <w:szCs w:val="22"/>
        </w:rPr>
        <w:t>bez</w:t>
      </w:r>
      <w:r w:rsidRPr="00442616">
        <w:rPr>
          <w:sz w:val="22"/>
          <w:szCs w:val="22"/>
          <w:lang w:val="sr-Latn-ME"/>
        </w:rPr>
        <w:t xml:space="preserve"> </w:t>
      </w:r>
      <w:r>
        <w:rPr>
          <w:sz w:val="22"/>
          <w:szCs w:val="22"/>
        </w:rPr>
        <w:t>bolesti</w:t>
      </w:r>
      <w:r w:rsidRPr="00442616">
        <w:rPr>
          <w:sz w:val="22"/>
          <w:szCs w:val="22"/>
          <w:lang w:val="sr-Latn-ME"/>
        </w:rPr>
        <w:t xml:space="preserve"> </w:t>
      </w:r>
      <w:proofErr w:type="gramStart"/>
      <w:r>
        <w:rPr>
          <w:sz w:val="22"/>
          <w:szCs w:val="22"/>
        </w:rPr>
        <w:t>sa</w:t>
      </w:r>
      <w:proofErr w:type="gramEnd"/>
      <w:r w:rsidRPr="00442616">
        <w:rPr>
          <w:sz w:val="22"/>
          <w:szCs w:val="22"/>
          <w:lang w:val="sr-Latn-ME"/>
        </w:rPr>
        <w:t xml:space="preserve"> </w:t>
      </w:r>
      <w:r>
        <w:rPr>
          <w:sz w:val="22"/>
          <w:szCs w:val="22"/>
        </w:rPr>
        <w:t>razlikom</w:t>
      </w:r>
      <w:r w:rsidRPr="00442616">
        <w:rPr>
          <w:sz w:val="22"/>
          <w:szCs w:val="22"/>
          <w:lang w:val="sr-Latn-ME"/>
        </w:rPr>
        <w:t xml:space="preserve"> </w:t>
      </w:r>
      <w:r>
        <w:rPr>
          <w:sz w:val="22"/>
          <w:szCs w:val="22"/>
        </w:rPr>
        <w:t>od</w:t>
      </w:r>
      <w:r w:rsidRPr="00442616">
        <w:rPr>
          <w:sz w:val="22"/>
          <w:szCs w:val="22"/>
          <w:lang w:val="sr-Latn-ME"/>
        </w:rPr>
        <w:t xml:space="preserve"> 11.8% (87.2% </w:t>
      </w:r>
      <w:r>
        <w:rPr>
          <w:sz w:val="22"/>
          <w:szCs w:val="22"/>
        </w:rPr>
        <w:t>naspram</w:t>
      </w:r>
      <w:r w:rsidRPr="00442616">
        <w:rPr>
          <w:sz w:val="22"/>
          <w:szCs w:val="22"/>
          <w:lang w:val="sr-Latn-ME"/>
        </w:rPr>
        <w:t xml:space="preserve"> 75.4%) </w:t>
      </w:r>
      <w:r>
        <w:rPr>
          <w:sz w:val="22"/>
          <w:szCs w:val="22"/>
        </w:rPr>
        <w:t>u</w:t>
      </w:r>
      <w:r w:rsidRPr="00442616">
        <w:rPr>
          <w:sz w:val="22"/>
          <w:szCs w:val="22"/>
          <w:lang w:val="sr-Latn-ME"/>
        </w:rPr>
        <w:t xml:space="preserve"> </w:t>
      </w:r>
      <w:r>
        <w:rPr>
          <w:sz w:val="22"/>
          <w:szCs w:val="22"/>
        </w:rPr>
        <w:t>korist</w:t>
      </w:r>
      <w:r w:rsidRPr="00442616">
        <w:rPr>
          <w:sz w:val="22"/>
          <w:szCs w:val="22"/>
          <w:lang w:val="sr-Latn-ME"/>
        </w:rPr>
        <w:t xml:space="preserve"> </w:t>
      </w:r>
      <w:r>
        <w:rPr>
          <w:sz w:val="22"/>
          <w:szCs w:val="22"/>
        </w:rPr>
        <w:t>grupe</w:t>
      </w:r>
      <w:r w:rsidRPr="00442616">
        <w:rPr>
          <w:sz w:val="22"/>
          <w:szCs w:val="22"/>
          <w:lang w:val="sr-Latn-ME"/>
        </w:rPr>
        <w:t xml:space="preserve"> </w:t>
      </w:r>
      <w:r>
        <w:rPr>
          <w:sz w:val="22"/>
          <w:szCs w:val="22"/>
        </w:rPr>
        <w:t>lije</w:t>
      </w:r>
      <w:r w:rsidRPr="00442616">
        <w:rPr>
          <w:sz w:val="22"/>
          <w:szCs w:val="22"/>
          <w:lang w:val="sr-Latn-ME"/>
        </w:rPr>
        <w:t>č</w:t>
      </w:r>
      <w:r>
        <w:rPr>
          <w:sz w:val="22"/>
          <w:szCs w:val="22"/>
        </w:rPr>
        <w:t>ene</w:t>
      </w:r>
      <w:r w:rsidRPr="00442616">
        <w:rPr>
          <w:sz w:val="22"/>
          <w:szCs w:val="22"/>
          <w:lang w:val="sr-Latn-ME"/>
        </w:rPr>
        <w:t xml:space="preserve"> </w:t>
      </w:r>
      <w:r>
        <w:rPr>
          <w:sz w:val="22"/>
          <w:szCs w:val="22"/>
        </w:rPr>
        <w:t>AC</w:t>
      </w:r>
      <w:r w:rsidRPr="00442616">
        <w:rPr>
          <w:sz w:val="22"/>
          <w:szCs w:val="22"/>
          <w:lang w:val="sr-Latn-ME"/>
        </w:rPr>
        <w:t>-</w:t>
      </w:r>
      <w:r>
        <w:rPr>
          <w:sz w:val="22"/>
          <w:szCs w:val="22"/>
        </w:rPr>
        <w:t>PH</w:t>
      </w:r>
      <w:r w:rsidRPr="00442616">
        <w:rPr>
          <w:sz w:val="22"/>
          <w:szCs w:val="22"/>
          <w:lang w:val="sr-Latn-ME"/>
        </w:rPr>
        <w:t xml:space="preserve"> </w:t>
      </w:r>
      <w:r>
        <w:rPr>
          <w:sz w:val="22"/>
          <w:szCs w:val="22"/>
        </w:rPr>
        <w:t>hemoterapijom</w:t>
      </w:r>
      <w:r w:rsidRPr="00442616">
        <w:rPr>
          <w:sz w:val="22"/>
          <w:szCs w:val="22"/>
          <w:lang w:val="sr-Latn-ME"/>
        </w:rPr>
        <w:t xml:space="preserve"> (</w:t>
      </w:r>
      <w:r w:rsidR="00F17B0F">
        <w:rPr>
          <w:sz w:val="22"/>
          <w:szCs w:val="22"/>
          <w:lang w:val="sr-Latn-ME"/>
        </w:rPr>
        <w:t xml:space="preserve">lijekom </w:t>
      </w:r>
      <w:r>
        <w:rPr>
          <w:sz w:val="22"/>
          <w:szCs w:val="22"/>
        </w:rPr>
        <w:t>Herceptin</w:t>
      </w:r>
      <w:r w:rsidRPr="00442616">
        <w:rPr>
          <w:sz w:val="22"/>
          <w:szCs w:val="22"/>
          <w:lang w:val="sr-Latn-ME"/>
        </w:rPr>
        <w:t>).</w:t>
      </w:r>
    </w:p>
    <w:p w14:paraId="39598D95" w14:textId="77777777" w:rsidR="00B05AA9" w:rsidRPr="00442616" w:rsidRDefault="00B05AA9" w:rsidP="00641EEB">
      <w:pPr>
        <w:jc w:val="both"/>
        <w:rPr>
          <w:sz w:val="22"/>
          <w:szCs w:val="22"/>
          <w:lang w:val="sr-Latn-ME"/>
        </w:rPr>
      </w:pPr>
    </w:p>
    <w:p w14:paraId="3B996E16" w14:textId="1C27C1A9" w:rsidR="00B05AA9" w:rsidRPr="00442616" w:rsidRDefault="00B05AA9" w:rsidP="00641EEB">
      <w:pPr>
        <w:jc w:val="both"/>
        <w:rPr>
          <w:sz w:val="22"/>
          <w:szCs w:val="22"/>
          <w:lang w:val="sr-Latn-ME"/>
        </w:rPr>
      </w:pPr>
      <w:r>
        <w:rPr>
          <w:sz w:val="22"/>
          <w:szCs w:val="22"/>
        </w:rPr>
        <w:t>U</w:t>
      </w:r>
      <w:r w:rsidRPr="00442616">
        <w:rPr>
          <w:sz w:val="22"/>
          <w:szCs w:val="22"/>
          <w:lang w:val="sr-Latn-ME"/>
        </w:rPr>
        <w:t xml:space="preserve"> </w:t>
      </w:r>
      <w:r>
        <w:rPr>
          <w:sz w:val="22"/>
          <w:szCs w:val="22"/>
        </w:rPr>
        <w:t>vrijeme</w:t>
      </w:r>
      <w:r w:rsidRPr="00442616">
        <w:rPr>
          <w:sz w:val="22"/>
          <w:szCs w:val="22"/>
          <w:lang w:val="sr-Latn-ME"/>
        </w:rPr>
        <w:t xml:space="preserve"> </w:t>
      </w:r>
      <w:r>
        <w:rPr>
          <w:sz w:val="22"/>
          <w:szCs w:val="22"/>
        </w:rPr>
        <w:t>a</w:t>
      </w:r>
      <w:r w:rsidRPr="00442616">
        <w:rPr>
          <w:sz w:val="22"/>
          <w:szCs w:val="22"/>
          <w:lang w:val="sr-Latn-ME"/>
        </w:rPr>
        <w:t>ž</w:t>
      </w:r>
      <w:r>
        <w:rPr>
          <w:sz w:val="22"/>
          <w:szCs w:val="22"/>
        </w:rPr>
        <w:t>uriranja</w:t>
      </w:r>
      <w:r w:rsidRPr="00442616">
        <w:rPr>
          <w:sz w:val="22"/>
          <w:szCs w:val="22"/>
          <w:lang w:val="sr-Latn-ME"/>
        </w:rPr>
        <w:t xml:space="preserve"> </w:t>
      </w:r>
      <w:r>
        <w:rPr>
          <w:sz w:val="22"/>
          <w:szCs w:val="22"/>
        </w:rPr>
        <w:t>bezbjednosnih</w:t>
      </w:r>
      <w:r w:rsidRPr="00442616">
        <w:rPr>
          <w:sz w:val="22"/>
          <w:szCs w:val="22"/>
          <w:lang w:val="sr-Latn-ME"/>
        </w:rPr>
        <w:t xml:space="preserve"> </w:t>
      </w:r>
      <w:r>
        <w:rPr>
          <w:sz w:val="22"/>
          <w:szCs w:val="22"/>
        </w:rPr>
        <w:t>podataka</w:t>
      </w:r>
      <w:r w:rsidRPr="00442616">
        <w:rPr>
          <w:sz w:val="22"/>
          <w:szCs w:val="22"/>
          <w:lang w:val="sr-Latn-ME"/>
        </w:rPr>
        <w:t xml:space="preserve"> </w:t>
      </w:r>
      <w:r>
        <w:rPr>
          <w:sz w:val="22"/>
          <w:szCs w:val="22"/>
        </w:rPr>
        <w:t>nakon</w:t>
      </w:r>
      <w:r w:rsidRPr="00442616">
        <w:rPr>
          <w:sz w:val="22"/>
          <w:szCs w:val="22"/>
          <w:lang w:val="sr-Latn-ME"/>
        </w:rPr>
        <w:t xml:space="preserve"> </w:t>
      </w:r>
      <w:r w:rsidR="007B5EC0">
        <w:rPr>
          <w:sz w:val="22"/>
          <w:szCs w:val="22"/>
        </w:rPr>
        <w:t>medijane</w:t>
      </w:r>
      <w:r w:rsidRPr="00442616">
        <w:rPr>
          <w:sz w:val="22"/>
          <w:szCs w:val="22"/>
          <w:lang w:val="sr-Latn-ME"/>
        </w:rPr>
        <w:t xml:space="preserve"> </w:t>
      </w:r>
      <w:r>
        <w:rPr>
          <w:sz w:val="22"/>
          <w:szCs w:val="22"/>
        </w:rPr>
        <w:t>pra</w:t>
      </w:r>
      <w:r w:rsidRPr="00442616">
        <w:rPr>
          <w:sz w:val="22"/>
          <w:szCs w:val="22"/>
          <w:lang w:val="sr-Latn-ME"/>
        </w:rPr>
        <w:t>ć</w:t>
      </w:r>
      <w:r>
        <w:rPr>
          <w:sz w:val="22"/>
          <w:szCs w:val="22"/>
        </w:rPr>
        <w:t>enja</w:t>
      </w:r>
      <w:r w:rsidRPr="00442616">
        <w:rPr>
          <w:sz w:val="22"/>
          <w:szCs w:val="22"/>
          <w:lang w:val="sr-Latn-ME"/>
        </w:rPr>
        <w:t xml:space="preserve"> </w:t>
      </w:r>
      <w:r>
        <w:rPr>
          <w:sz w:val="22"/>
          <w:szCs w:val="22"/>
        </w:rPr>
        <w:t>od</w:t>
      </w:r>
      <w:r w:rsidRPr="00442616">
        <w:rPr>
          <w:sz w:val="22"/>
          <w:szCs w:val="22"/>
          <w:lang w:val="sr-Latn-ME"/>
        </w:rPr>
        <w:t xml:space="preserve"> 3.5 -3</w:t>
      </w:r>
      <w:proofErr w:type="gramStart"/>
      <w:r w:rsidRPr="00442616">
        <w:rPr>
          <w:sz w:val="22"/>
          <w:szCs w:val="22"/>
          <w:lang w:val="sr-Latn-ME"/>
        </w:rPr>
        <w:t>,8</w:t>
      </w:r>
      <w:proofErr w:type="gramEnd"/>
      <w:r w:rsidRPr="00442616">
        <w:rPr>
          <w:sz w:val="22"/>
          <w:szCs w:val="22"/>
          <w:lang w:val="sr-Latn-ME"/>
        </w:rPr>
        <w:t xml:space="preserve"> </w:t>
      </w:r>
      <w:r>
        <w:rPr>
          <w:sz w:val="22"/>
          <w:szCs w:val="22"/>
        </w:rPr>
        <w:t>godina</w:t>
      </w:r>
      <w:r w:rsidRPr="00442616">
        <w:rPr>
          <w:sz w:val="22"/>
          <w:szCs w:val="22"/>
          <w:lang w:val="sr-Latn-ME"/>
        </w:rPr>
        <w:t xml:space="preserve">, </w:t>
      </w:r>
      <w:r>
        <w:rPr>
          <w:sz w:val="22"/>
          <w:szCs w:val="22"/>
        </w:rPr>
        <w:t>analiza</w:t>
      </w:r>
      <w:r w:rsidRPr="00442616">
        <w:rPr>
          <w:sz w:val="22"/>
          <w:szCs w:val="22"/>
          <w:lang w:val="sr-Latn-ME"/>
        </w:rPr>
        <w:t xml:space="preserve"> </w:t>
      </w:r>
      <w:r>
        <w:rPr>
          <w:sz w:val="22"/>
          <w:szCs w:val="22"/>
        </w:rPr>
        <w:t>pre</w:t>
      </w:r>
      <w:r w:rsidRPr="00442616">
        <w:rPr>
          <w:sz w:val="22"/>
          <w:szCs w:val="22"/>
          <w:lang w:val="sr-Latn-ME"/>
        </w:rPr>
        <w:t>ž</w:t>
      </w:r>
      <w:r>
        <w:rPr>
          <w:sz w:val="22"/>
          <w:szCs w:val="22"/>
        </w:rPr>
        <w:t>ivljavanja</w:t>
      </w:r>
      <w:r w:rsidRPr="00442616">
        <w:rPr>
          <w:sz w:val="22"/>
          <w:szCs w:val="22"/>
          <w:lang w:val="sr-Latn-ME"/>
        </w:rPr>
        <w:t xml:space="preserve"> </w:t>
      </w:r>
      <w:r>
        <w:rPr>
          <w:sz w:val="22"/>
          <w:szCs w:val="22"/>
        </w:rPr>
        <w:t>bez</w:t>
      </w:r>
      <w:r w:rsidRPr="00442616">
        <w:rPr>
          <w:sz w:val="22"/>
          <w:szCs w:val="22"/>
          <w:lang w:val="sr-Latn-ME"/>
        </w:rPr>
        <w:t xml:space="preserve"> </w:t>
      </w:r>
      <w:r>
        <w:rPr>
          <w:sz w:val="22"/>
          <w:szCs w:val="22"/>
        </w:rPr>
        <w:t>progresije</w:t>
      </w:r>
      <w:r w:rsidRPr="00442616">
        <w:rPr>
          <w:sz w:val="22"/>
          <w:szCs w:val="22"/>
          <w:lang w:val="sr-Latn-ME"/>
        </w:rPr>
        <w:t xml:space="preserve"> </w:t>
      </w:r>
      <w:r>
        <w:rPr>
          <w:sz w:val="22"/>
          <w:szCs w:val="22"/>
        </w:rPr>
        <w:t>bolesti</w:t>
      </w:r>
      <w:r w:rsidRPr="00442616">
        <w:rPr>
          <w:sz w:val="22"/>
          <w:szCs w:val="22"/>
          <w:lang w:val="sr-Latn-ME"/>
        </w:rPr>
        <w:t xml:space="preserve"> </w:t>
      </w:r>
      <w:r>
        <w:rPr>
          <w:sz w:val="22"/>
          <w:szCs w:val="22"/>
        </w:rPr>
        <w:t>ponovo</w:t>
      </w:r>
      <w:r w:rsidRPr="00442616">
        <w:rPr>
          <w:sz w:val="22"/>
          <w:szCs w:val="22"/>
          <w:lang w:val="sr-Latn-ME"/>
        </w:rPr>
        <w:t xml:space="preserve"> </w:t>
      </w:r>
      <w:r>
        <w:rPr>
          <w:sz w:val="22"/>
          <w:szCs w:val="22"/>
        </w:rPr>
        <w:t>je</w:t>
      </w:r>
      <w:r w:rsidRPr="00442616">
        <w:rPr>
          <w:sz w:val="22"/>
          <w:szCs w:val="22"/>
          <w:lang w:val="sr-Latn-ME"/>
        </w:rPr>
        <w:t xml:space="preserve"> </w:t>
      </w:r>
      <w:r>
        <w:rPr>
          <w:sz w:val="22"/>
          <w:szCs w:val="22"/>
        </w:rPr>
        <w:t>potvrdila</w:t>
      </w:r>
      <w:r w:rsidRPr="00442616">
        <w:rPr>
          <w:sz w:val="22"/>
          <w:szCs w:val="22"/>
          <w:lang w:val="sr-Latn-ME"/>
        </w:rPr>
        <w:t xml:space="preserve"> </w:t>
      </w:r>
      <w:r>
        <w:rPr>
          <w:sz w:val="22"/>
          <w:szCs w:val="22"/>
        </w:rPr>
        <w:t>zna</w:t>
      </w:r>
      <w:r w:rsidRPr="00442616">
        <w:rPr>
          <w:sz w:val="22"/>
          <w:szCs w:val="22"/>
          <w:lang w:val="sr-Latn-ME"/>
        </w:rPr>
        <w:t>č</w:t>
      </w:r>
      <w:r>
        <w:rPr>
          <w:sz w:val="22"/>
          <w:szCs w:val="22"/>
        </w:rPr>
        <w:t>ajnu</w:t>
      </w:r>
      <w:r w:rsidRPr="00442616">
        <w:rPr>
          <w:sz w:val="22"/>
          <w:szCs w:val="22"/>
          <w:lang w:val="sr-Latn-ME"/>
        </w:rPr>
        <w:t xml:space="preserve"> </w:t>
      </w:r>
      <w:r>
        <w:rPr>
          <w:sz w:val="22"/>
          <w:szCs w:val="22"/>
        </w:rPr>
        <w:t>korist</w:t>
      </w:r>
      <w:r w:rsidRPr="00442616">
        <w:rPr>
          <w:sz w:val="22"/>
          <w:szCs w:val="22"/>
          <w:lang w:val="sr-Latn-ME"/>
        </w:rPr>
        <w:t xml:space="preserve"> </w:t>
      </w:r>
      <w:r>
        <w:rPr>
          <w:sz w:val="22"/>
          <w:szCs w:val="22"/>
        </w:rPr>
        <w:t>prikazanu</w:t>
      </w:r>
      <w:r w:rsidRPr="00442616">
        <w:rPr>
          <w:sz w:val="22"/>
          <w:szCs w:val="22"/>
          <w:lang w:val="sr-Latn-ME"/>
        </w:rPr>
        <w:t xml:space="preserve"> </w:t>
      </w:r>
      <w:r>
        <w:rPr>
          <w:sz w:val="22"/>
          <w:szCs w:val="22"/>
        </w:rPr>
        <w:t>u</w:t>
      </w:r>
      <w:r w:rsidRPr="00442616">
        <w:rPr>
          <w:sz w:val="22"/>
          <w:szCs w:val="22"/>
          <w:lang w:val="sr-Latn-ME"/>
        </w:rPr>
        <w:t xml:space="preserve"> </w:t>
      </w:r>
      <w:r>
        <w:rPr>
          <w:sz w:val="22"/>
          <w:szCs w:val="22"/>
        </w:rPr>
        <w:t>kona</w:t>
      </w:r>
      <w:r w:rsidRPr="00442616">
        <w:rPr>
          <w:sz w:val="22"/>
          <w:szCs w:val="22"/>
          <w:lang w:val="sr-Latn-ME"/>
        </w:rPr>
        <w:t>č</w:t>
      </w:r>
      <w:r>
        <w:rPr>
          <w:sz w:val="22"/>
          <w:szCs w:val="22"/>
        </w:rPr>
        <w:t>noj</w:t>
      </w:r>
      <w:r w:rsidRPr="00442616">
        <w:rPr>
          <w:sz w:val="22"/>
          <w:szCs w:val="22"/>
          <w:lang w:val="sr-Latn-ME"/>
        </w:rPr>
        <w:t xml:space="preserve"> </w:t>
      </w:r>
      <w:r>
        <w:rPr>
          <w:sz w:val="22"/>
          <w:szCs w:val="22"/>
        </w:rPr>
        <w:t>analizi</w:t>
      </w:r>
      <w:r w:rsidRPr="00442616">
        <w:rPr>
          <w:sz w:val="22"/>
          <w:szCs w:val="22"/>
          <w:lang w:val="sr-Latn-ME"/>
        </w:rPr>
        <w:t xml:space="preserve"> </w:t>
      </w:r>
      <w:r>
        <w:rPr>
          <w:sz w:val="22"/>
          <w:szCs w:val="22"/>
        </w:rPr>
        <w:t>bez</w:t>
      </w:r>
      <w:r w:rsidRPr="00442616">
        <w:rPr>
          <w:sz w:val="22"/>
          <w:szCs w:val="22"/>
          <w:lang w:val="sr-Latn-ME"/>
        </w:rPr>
        <w:t xml:space="preserve"> </w:t>
      </w:r>
      <w:r>
        <w:rPr>
          <w:sz w:val="22"/>
          <w:szCs w:val="22"/>
        </w:rPr>
        <w:t>pre</w:t>
      </w:r>
      <w:r w:rsidRPr="00442616">
        <w:rPr>
          <w:sz w:val="22"/>
          <w:szCs w:val="22"/>
          <w:lang w:val="sr-Latn-ME"/>
        </w:rPr>
        <w:t>ž</w:t>
      </w:r>
      <w:r>
        <w:rPr>
          <w:sz w:val="22"/>
          <w:szCs w:val="22"/>
        </w:rPr>
        <w:t>ivljavanja</w:t>
      </w:r>
      <w:r w:rsidRPr="00442616">
        <w:rPr>
          <w:sz w:val="22"/>
          <w:szCs w:val="22"/>
          <w:lang w:val="sr-Latn-ME"/>
        </w:rPr>
        <w:t xml:space="preserve">. </w:t>
      </w:r>
      <w:r>
        <w:rPr>
          <w:sz w:val="22"/>
          <w:szCs w:val="22"/>
        </w:rPr>
        <w:t>Uprkos</w:t>
      </w:r>
      <w:r w:rsidRPr="00442616">
        <w:rPr>
          <w:sz w:val="22"/>
          <w:szCs w:val="22"/>
          <w:lang w:val="sr-Latn-ME"/>
        </w:rPr>
        <w:t xml:space="preserve"> </w:t>
      </w:r>
      <w:r>
        <w:rPr>
          <w:sz w:val="22"/>
          <w:szCs w:val="22"/>
        </w:rPr>
        <w:t>prelazu</w:t>
      </w:r>
      <w:r w:rsidRPr="00442616">
        <w:rPr>
          <w:sz w:val="22"/>
          <w:szCs w:val="22"/>
          <w:lang w:val="sr-Latn-ME"/>
        </w:rPr>
        <w:t xml:space="preserve"> </w:t>
      </w:r>
      <w:proofErr w:type="gramStart"/>
      <w:r>
        <w:rPr>
          <w:sz w:val="22"/>
          <w:szCs w:val="22"/>
        </w:rPr>
        <w:t>na</w:t>
      </w:r>
      <w:proofErr w:type="gramEnd"/>
      <w:r w:rsidRPr="00442616">
        <w:rPr>
          <w:sz w:val="22"/>
          <w:szCs w:val="22"/>
          <w:lang w:val="sr-Latn-ME"/>
        </w:rPr>
        <w:t xml:space="preserve"> </w:t>
      </w:r>
      <w:r>
        <w:rPr>
          <w:sz w:val="22"/>
          <w:szCs w:val="22"/>
        </w:rPr>
        <w:t>lije</w:t>
      </w:r>
      <w:r w:rsidRPr="00442616">
        <w:rPr>
          <w:sz w:val="22"/>
          <w:szCs w:val="22"/>
          <w:lang w:val="sr-Latn-ME"/>
        </w:rPr>
        <w:t>č</w:t>
      </w:r>
      <w:r>
        <w:rPr>
          <w:sz w:val="22"/>
          <w:szCs w:val="22"/>
        </w:rPr>
        <w:t>enje</w:t>
      </w:r>
      <w:r w:rsidRPr="00442616">
        <w:rPr>
          <w:sz w:val="22"/>
          <w:szCs w:val="22"/>
          <w:lang w:val="sr-Latn-ME"/>
        </w:rPr>
        <w:t xml:space="preserve"> </w:t>
      </w:r>
      <w:r>
        <w:rPr>
          <w:sz w:val="22"/>
          <w:szCs w:val="22"/>
        </w:rPr>
        <w:t>Herceptinom</w:t>
      </w:r>
      <w:r w:rsidRPr="00442616">
        <w:rPr>
          <w:sz w:val="22"/>
          <w:szCs w:val="22"/>
          <w:lang w:val="sr-Latn-ME"/>
        </w:rPr>
        <w:t xml:space="preserve"> </w:t>
      </w:r>
      <w:r>
        <w:rPr>
          <w:sz w:val="22"/>
          <w:szCs w:val="22"/>
        </w:rPr>
        <w:t>u</w:t>
      </w:r>
      <w:r w:rsidRPr="00442616">
        <w:rPr>
          <w:sz w:val="22"/>
          <w:szCs w:val="22"/>
          <w:lang w:val="sr-Latn-ME"/>
        </w:rPr>
        <w:t xml:space="preserve"> </w:t>
      </w:r>
      <w:r>
        <w:rPr>
          <w:sz w:val="22"/>
          <w:szCs w:val="22"/>
        </w:rPr>
        <w:t>kontrolnoj</w:t>
      </w:r>
      <w:r w:rsidRPr="00442616">
        <w:rPr>
          <w:sz w:val="22"/>
          <w:szCs w:val="22"/>
          <w:lang w:val="sr-Latn-ME"/>
        </w:rPr>
        <w:t xml:space="preserve"> </w:t>
      </w:r>
      <w:r>
        <w:rPr>
          <w:sz w:val="22"/>
          <w:szCs w:val="22"/>
        </w:rPr>
        <w:t>grupi</w:t>
      </w:r>
      <w:r w:rsidRPr="00442616">
        <w:rPr>
          <w:sz w:val="22"/>
          <w:szCs w:val="22"/>
          <w:lang w:val="sr-Latn-ME"/>
        </w:rPr>
        <w:t xml:space="preserve">, </w:t>
      </w:r>
      <w:r>
        <w:rPr>
          <w:sz w:val="22"/>
          <w:szCs w:val="22"/>
        </w:rPr>
        <w:t>dodavanje</w:t>
      </w:r>
      <w:r w:rsidRPr="00442616">
        <w:rPr>
          <w:sz w:val="22"/>
          <w:szCs w:val="22"/>
          <w:lang w:val="sr-Latn-ME"/>
        </w:rPr>
        <w:t xml:space="preserve"> </w:t>
      </w:r>
      <w:r w:rsidR="007B5EC0">
        <w:rPr>
          <w:sz w:val="22"/>
          <w:szCs w:val="22"/>
          <w:lang w:val="sr-Latn-ME"/>
        </w:rPr>
        <w:t xml:space="preserve">lijeka </w:t>
      </w:r>
      <w:r>
        <w:rPr>
          <w:sz w:val="22"/>
          <w:szCs w:val="22"/>
        </w:rPr>
        <w:t>Herceptin</w:t>
      </w:r>
      <w:r w:rsidRPr="00442616">
        <w:rPr>
          <w:sz w:val="22"/>
          <w:szCs w:val="22"/>
          <w:lang w:val="sr-Latn-ME"/>
        </w:rPr>
        <w:t xml:space="preserve"> </w:t>
      </w:r>
      <w:r>
        <w:rPr>
          <w:sz w:val="22"/>
          <w:szCs w:val="22"/>
        </w:rPr>
        <w:t>hemoterapiji</w:t>
      </w:r>
      <w:r w:rsidRPr="00442616">
        <w:rPr>
          <w:sz w:val="22"/>
          <w:szCs w:val="22"/>
          <w:lang w:val="sr-Latn-ME"/>
        </w:rPr>
        <w:t xml:space="preserve"> </w:t>
      </w:r>
      <w:r>
        <w:rPr>
          <w:sz w:val="22"/>
          <w:szCs w:val="22"/>
        </w:rPr>
        <w:t>paklitakselom</w:t>
      </w:r>
      <w:r w:rsidRPr="00442616">
        <w:rPr>
          <w:sz w:val="22"/>
          <w:szCs w:val="22"/>
          <w:lang w:val="sr-Latn-ME"/>
        </w:rPr>
        <w:t xml:space="preserve"> </w:t>
      </w:r>
      <w:r>
        <w:rPr>
          <w:sz w:val="22"/>
          <w:szCs w:val="22"/>
        </w:rPr>
        <w:t>rezultiralo</w:t>
      </w:r>
      <w:r w:rsidRPr="00442616">
        <w:rPr>
          <w:sz w:val="22"/>
          <w:szCs w:val="22"/>
          <w:lang w:val="sr-Latn-ME"/>
        </w:rPr>
        <w:t xml:space="preserve"> </w:t>
      </w:r>
      <w:r>
        <w:rPr>
          <w:sz w:val="22"/>
          <w:szCs w:val="22"/>
        </w:rPr>
        <w:t>je</w:t>
      </w:r>
      <w:r w:rsidRPr="00442616">
        <w:rPr>
          <w:sz w:val="22"/>
          <w:szCs w:val="22"/>
          <w:lang w:val="sr-Latn-ME"/>
        </w:rPr>
        <w:t xml:space="preserve"> </w:t>
      </w:r>
      <w:r>
        <w:rPr>
          <w:sz w:val="22"/>
          <w:szCs w:val="22"/>
        </w:rPr>
        <w:t>smanjenjem</w:t>
      </w:r>
      <w:r w:rsidRPr="00442616">
        <w:rPr>
          <w:sz w:val="22"/>
          <w:szCs w:val="22"/>
          <w:lang w:val="sr-Latn-ME"/>
        </w:rPr>
        <w:t xml:space="preserve"> </w:t>
      </w:r>
      <w:r>
        <w:rPr>
          <w:sz w:val="22"/>
          <w:szCs w:val="22"/>
        </w:rPr>
        <w:t>rizika</w:t>
      </w:r>
      <w:r w:rsidRPr="00442616">
        <w:rPr>
          <w:sz w:val="22"/>
          <w:szCs w:val="22"/>
          <w:lang w:val="sr-Latn-ME"/>
        </w:rPr>
        <w:t xml:space="preserve"> </w:t>
      </w:r>
      <w:r>
        <w:rPr>
          <w:sz w:val="22"/>
          <w:szCs w:val="22"/>
        </w:rPr>
        <w:t>od</w:t>
      </w:r>
      <w:r w:rsidRPr="00442616">
        <w:rPr>
          <w:sz w:val="22"/>
          <w:szCs w:val="22"/>
          <w:lang w:val="sr-Latn-ME"/>
        </w:rPr>
        <w:t xml:space="preserve"> </w:t>
      </w:r>
      <w:r>
        <w:rPr>
          <w:sz w:val="22"/>
          <w:szCs w:val="22"/>
        </w:rPr>
        <w:t>ponovne</w:t>
      </w:r>
      <w:r w:rsidRPr="00442616">
        <w:rPr>
          <w:sz w:val="22"/>
          <w:szCs w:val="22"/>
          <w:lang w:val="sr-Latn-ME"/>
        </w:rPr>
        <w:t xml:space="preserve"> </w:t>
      </w:r>
      <w:r>
        <w:rPr>
          <w:sz w:val="22"/>
          <w:szCs w:val="22"/>
        </w:rPr>
        <w:t>pojave</w:t>
      </w:r>
      <w:r w:rsidRPr="00442616">
        <w:rPr>
          <w:sz w:val="22"/>
          <w:szCs w:val="22"/>
          <w:lang w:val="sr-Latn-ME"/>
        </w:rPr>
        <w:t xml:space="preserve"> </w:t>
      </w:r>
      <w:r>
        <w:rPr>
          <w:sz w:val="22"/>
          <w:szCs w:val="22"/>
        </w:rPr>
        <w:t>bolesti</w:t>
      </w:r>
      <w:r w:rsidRPr="00442616">
        <w:rPr>
          <w:sz w:val="22"/>
          <w:szCs w:val="22"/>
          <w:lang w:val="sr-Latn-ME"/>
        </w:rPr>
        <w:t xml:space="preserve"> </w:t>
      </w:r>
      <w:r>
        <w:rPr>
          <w:sz w:val="22"/>
          <w:szCs w:val="22"/>
        </w:rPr>
        <w:t>za</w:t>
      </w:r>
      <w:r w:rsidRPr="00442616">
        <w:rPr>
          <w:sz w:val="22"/>
          <w:szCs w:val="22"/>
          <w:lang w:val="sr-Latn-ME"/>
        </w:rPr>
        <w:t xml:space="preserve"> </w:t>
      </w:r>
      <w:r w:rsidRPr="00442616">
        <w:rPr>
          <w:sz w:val="22"/>
          <w:szCs w:val="22"/>
          <w:lang w:val="sr-Latn-ME"/>
        </w:rPr>
        <w:lastRenderedPageBreak/>
        <w:t xml:space="preserve">52%. </w:t>
      </w:r>
      <w:r>
        <w:rPr>
          <w:sz w:val="22"/>
          <w:szCs w:val="22"/>
        </w:rPr>
        <w:t>Dodavanje</w:t>
      </w:r>
      <w:r w:rsidRPr="00442616">
        <w:rPr>
          <w:sz w:val="22"/>
          <w:szCs w:val="22"/>
          <w:lang w:val="sr-Latn-ME"/>
        </w:rPr>
        <w:t xml:space="preserve"> </w:t>
      </w:r>
      <w:r>
        <w:rPr>
          <w:sz w:val="22"/>
          <w:szCs w:val="22"/>
        </w:rPr>
        <w:t>lijeka</w:t>
      </w:r>
      <w:r w:rsidRPr="00442616">
        <w:rPr>
          <w:sz w:val="22"/>
          <w:szCs w:val="22"/>
          <w:lang w:val="sr-Latn-ME"/>
        </w:rPr>
        <w:t xml:space="preserve"> </w:t>
      </w:r>
      <w:r>
        <w:rPr>
          <w:sz w:val="22"/>
          <w:szCs w:val="22"/>
        </w:rPr>
        <w:t>Herceptin</w:t>
      </w:r>
      <w:r w:rsidRPr="00442616">
        <w:rPr>
          <w:sz w:val="22"/>
          <w:szCs w:val="22"/>
          <w:lang w:val="sr-Latn-ME"/>
        </w:rPr>
        <w:t xml:space="preserve"> </w:t>
      </w:r>
      <w:r>
        <w:rPr>
          <w:sz w:val="22"/>
          <w:szCs w:val="22"/>
        </w:rPr>
        <w:t>hemoterapiji</w:t>
      </w:r>
      <w:r w:rsidRPr="00442616">
        <w:rPr>
          <w:sz w:val="22"/>
          <w:szCs w:val="22"/>
          <w:lang w:val="sr-Latn-ME"/>
        </w:rPr>
        <w:t xml:space="preserve"> </w:t>
      </w:r>
      <w:r>
        <w:rPr>
          <w:sz w:val="22"/>
          <w:szCs w:val="22"/>
        </w:rPr>
        <w:t>paklitakselom</w:t>
      </w:r>
      <w:r w:rsidRPr="00442616">
        <w:rPr>
          <w:sz w:val="22"/>
          <w:szCs w:val="22"/>
          <w:lang w:val="sr-Latn-ME"/>
        </w:rPr>
        <w:t xml:space="preserve"> </w:t>
      </w:r>
      <w:r>
        <w:rPr>
          <w:sz w:val="22"/>
          <w:szCs w:val="22"/>
        </w:rPr>
        <w:t>rezultiralo</w:t>
      </w:r>
      <w:r w:rsidRPr="00442616">
        <w:rPr>
          <w:sz w:val="22"/>
          <w:szCs w:val="22"/>
          <w:lang w:val="sr-Latn-ME"/>
        </w:rPr>
        <w:t xml:space="preserve"> </w:t>
      </w:r>
      <w:r>
        <w:rPr>
          <w:sz w:val="22"/>
          <w:szCs w:val="22"/>
        </w:rPr>
        <w:t>je</w:t>
      </w:r>
      <w:r w:rsidRPr="00442616">
        <w:rPr>
          <w:sz w:val="22"/>
          <w:szCs w:val="22"/>
          <w:lang w:val="sr-Latn-ME"/>
        </w:rPr>
        <w:t xml:space="preserve"> </w:t>
      </w:r>
      <w:r>
        <w:rPr>
          <w:sz w:val="22"/>
          <w:szCs w:val="22"/>
        </w:rPr>
        <w:t>i</w:t>
      </w:r>
      <w:r w:rsidRPr="00442616">
        <w:rPr>
          <w:sz w:val="22"/>
          <w:szCs w:val="22"/>
          <w:lang w:val="sr-Latn-ME"/>
        </w:rPr>
        <w:t xml:space="preserve"> </w:t>
      </w:r>
      <w:r>
        <w:rPr>
          <w:sz w:val="22"/>
          <w:szCs w:val="22"/>
        </w:rPr>
        <w:t>smanjenjem</w:t>
      </w:r>
      <w:r w:rsidRPr="00442616">
        <w:rPr>
          <w:sz w:val="22"/>
          <w:szCs w:val="22"/>
          <w:lang w:val="sr-Latn-ME"/>
        </w:rPr>
        <w:t xml:space="preserve"> </w:t>
      </w:r>
      <w:r>
        <w:rPr>
          <w:sz w:val="22"/>
          <w:szCs w:val="22"/>
        </w:rPr>
        <w:t>rizika</w:t>
      </w:r>
      <w:r w:rsidRPr="00442616">
        <w:rPr>
          <w:sz w:val="22"/>
          <w:szCs w:val="22"/>
          <w:lang w:val="sr-Latn-ME"/>
        </w:rPr>
        <w:t xml:space="preserve"> </w:t>
      </w:r>
      <w:proofErr w:type="gramStart"/>
      <w:r>
        <w:rPr>
          <w:sz w:val="22"/>
          <w:szCs w:val="22"/>
        </w:rPr>
        <w:t>od</w:t>
      </w:r>
      <w:proofErr w:type="gramEnd"/>
      <w:r w:rsidRPr="00442616">
        <w:rPr>
          <w:sz w:val="22"/>
          <w:szCs w:val="22"/>
          <w:lang w:val="sr-Latn-ME"/>
        </w:rPr>
        <w:t xml:space="preserve"> </w:t>
      </w:r>
      <w:r>
        <w:rPr>
          <w:sz w:val="22"/>
          <w:szCs w:val="22"/>
        </w:rPr>
        <w:t>smrti</w:t>
      </w:r>
      <w:r w:rsidRPr="00442616">
        <w:rPr>
          <w:sz w:val="22"/>
          <w:szCs w:val="22"/>
          <w:lang w:val="sr-Latn-ME"/>
        </w:rPr>
        <w:t xml:space="preserve"> </w:t>
      </w:r>
      <w:r>
        <w:rPr>
          <w:sz w:val="22"/>
          <w:szCs w:val="22"/>
        </w:rPr>
        <w:t>za</w:t>
      </w:r>
      <w:r w:rsidRPr="00442616">
        <w:rPr>
          <w:sz w:val="22"/>
          <w:szCs w:val="22"/>
          <w:lang w:val="sr-Latn-ME"/>
        </w:rPr>
        <w:t xml:space="preserve"> 37%.</w:t>
      </w:r>
    </w:p>
    <w:p w14:paraId="08211D7C" w14:textId="77777777" w:rsidR="00B05AA9" w:rsidRPr="00442616" w:rsidRDefault="00B05AA9" w:rsidP="00641EEB">
      <w:pPr>
        <w:jc w:val="both"/>
        <w:rPr>
          <w:sz w:val="22"/>
          <w:szCs w:val="22"/>
          <w:lang w:val="sr-Latn-ME"/>
        </w:rPr>
      </w:pPr>
    </w:p>
    <w:p w14:paraId="7974C934" w14:textId="5D04208C" w:rsidR="00B05AA9" w:rsidRPr="00442616" w:rsidRDefault="00B05AA9" w:rsidP="00641EEB">
      <w:pPr>
        <w:jc w:val="both"/>
        <w:rPr>
          <w:sz w:val="22"/>
          <w:szCs w:val="22"/>
          <w:lang w:val="sr-Latn-ME"/>
        </w:rPr>
      </w:pPr>
      <w:r>
        <w:rPr>
          <w:sz w:val="22"/>
          <w:szCs w:val="22"/>
        </w:rPr>
        <w:t>Unaprijed</w:t>
      </w:r>
      <w:r w:rsidRPr="00442616">
        <w:rPr>
          <w:sz w:val="22"/>
          <w:szCs w:val="22"/>
          <w:lang w:val="sr-Latn-ME"/>
        </w:rPr>
        <w:t xml:space="preserve"> </w:t>
      </w:r>
      <w:r>
        <w:rPr>
          <w:sz w:val="22"/>
          <w:szCs w:val="22"/>
        </w:rPr>
        <w:t>planirana</w:t>
      </w:r>
      <w:r w:rsidRPr="00442616">
        <w:rPr>
          <w:sz w:val="22"/>
          <w:szCs w:val="22"/>
          <w:lang w:val="sr-Latn-ME"/>
        </w:rPr>
        <w:t xml:space="preserve"> </w:t>
      </w:r>
      <w:r>
        <w:rPr>
          <w:sz w:val="22"/>
          <w:szCs w:val="22"/>
        </w:rPr>
        <w:t>kona</w:t>
      </w:r>
      <w:r w:rsidRPr="00442616">
        <w:rPr>
          <w:sz w:val="22"/>
          <w:szCs w:val="22"/>
          <w:lang w:val="sr-Latn-ME"/>
        </w:rPr>
        <w:t>č</w:t>
      </w:r>
      <w:r>
        <w:rPr>
          <w:sz w:val="22"/>
          <w:szCs w:val="22"/>
        </w:rPr>
        <w:t>na</w:t>
      </w:r>
      <w:r w:rsidRPr="00442616">
        <w:rPr>
          <w:sz w:val="22"/>
          <w:szCs w:val="22"/>
          <w:lang w:val="sr-Latn-ME"/>
        </w:rPr>
        <w:t xml:space="preserve"> </w:t>
      </w:r>
      <w:r>
        <w:rPr>
          <w:sz w:val="22"/>
          <w:szCs w:val="22"/>
        </w:rPr>
        <w:t>analiza</w:t>
      </w:r>
      <w:r w:rsidRPr="00442616">
        <w:rPr>
          <w:sz w:val="22"/>
          <w:szCs w:val="22"/>
          <w:lang w:val="sr-Latn-ME"/>
        </w:rPr>
        <w:t xml:space="preserve"> </w:t>
      </w:r>
      <w:r>
        <w:rPr>
          <w:sz w:val="22"/>
          <w:szCs w:val="22"/>
        </w:rPr>
        <w:t>ukupnog</w:t>
      </w:r>
      <w:r w:rsidRPr="00442616">
        <w:rPr>
          <w:sz w:val="22"/>
          <w:szCs w:val="22"/>
          <w:lang w:val="sr-Latn-ME"/>
        </w:rPr>
        <w:t xml:space="preserve"> </w:t>
      </w:r>
      <w:r>
        <w:rPr>
          <w:sz w:val="22"/>
          <w:szCs w:val="22"/>
        </w:rPr>
        <w:t>pre</w:t>
      </w:r>
      <w:r w:rsidRPr="00442616">
        <w:rPr>
          <w:sz w:val="22"/>
          <w:szCs w:val="22"/>
          <w:lang w:val="sr-Latn-ME"/>
        </w:rPr>
        <w:t>ž</w:t>
      </w:r>
      <w:r>
        <w:rPr>
          <w:sz w:val="22"/>
          <w:szCs w:val="22"/>
        </w:rPr>
        <w:t>ivljavanja</w:t>
      </w:r>
      <w:r w:rsidRPr="00442616">
        <w:rPr>
          <w:sz w:val="22"/>
          <w:szCs w:val="22"/>
          <w:lang w:val="sr-Latn-ME"/>
        </w:rPr>
        <w:t xml:space="preserve"> </w:t>
      </w:r>
      <w:r>
        <w:rPr>
          <w:sz w:val="22"/>
          <w:szCs w:val="22"/>
        </w:rPr>
        <w:t>iz</w:t>
      </w:r>
      <w:r w:rsidRPr="00442616">
        <w:rPr>
          <w:sz w:val="22"/>
          <w:szCs w:val="22"/>
          <w:lang w:val="sr-Latn-ME"/>
        </w:rPr>
        <w:t xml:space="preserve"> </w:t>
      </w:r>
      <w:r>
        <w:rPr>
          <w:sz w:val="22"/>
          <w:szCs w:val="22"/>
        </w:rPr>
        <w:t>grupne</w:t>
      </w:r>
      <w:r w:rsidRPr="00442616">
        <w:rPr>
          <w:sz w:val="22"/>
          <w:szCs w:val="22"/>
          <w:lang w:val="sr-Latn-ME"/>
        </w:rPr>
        <w:t xml:space="preserve"> </w:t>
      </w:r>
      <w:r>
        <w:rPr>
          <w:sz w:val="22"/>
          <w:szCs w:val="22"/>
        </w:rPr>
        <w:t>analize</w:t>
      </w:r>
      <w:r w:rsidRPr="00442616">
        <w:rPr>
          <w:sz w:val="22"/>
          <w:szCs w:val="22"/>
          <w:lang w:val="sr-Latn-ME"/>
        </w:rPr>
        <w:t xml:space="preserve"> </w:t>
      </w:r>
      <w:r>
        <w:rPr>
          <w:sz w:val="22"/>
          <w:szCs w:val="22"/>
        </w:rPr>
        <w:t>Studija</w:t>
      </w:r>
      <w:r w:rsidRPr="00442616">
        <w:rPr>
          <w:sz w:val="22"/>
          <w:szCs w:val="22"/>
          <w:lang w:val="sr-Latn-ME"/>
        </w:rPr>
        <w:t xml:space="preserve"> </w:t>
      </w:r>
      <w:r>
        <w:rPr>
          <w:sz w:val="22"/>
          <w:szCs w:val="22"/>
        </w:rPr>
        <w:t>NSABP</w:t>
      </w:r>
      <w:r w:rsidRPr="00442616">
        <w:rPr>
          <w:sz w:val="22"/>
          <w:szCs w:val="22"/>
          <w:lang w:val="sr-Latn-ME"/>
        </w:rPr>
        <w:t xml:space="preserve"> </w:t>
      </w:r>
      <w:r>
        <w:rPr>
          <w:sz w:val="22"/>
          <w:szCs w:val="22"/>
        </w:rPr>
        <w:t>B</w:t>
      </w:r>
      <w:r w:rsidRPr="00442616">
        <w:rPr>
          <w:sz w:val="22"/>
          <w:szCs w:val="22"/>
          <w:lang w:val="sr-Latn-ME"/>
        </w:rPr>
        <w:t xml:space="preserve">-31 </w:t>
      </w:r>
      <w:r>
        <w:rPr>
          <w:sz w:val="22"/>
          <w:szCs w:val="22"/>
        </w:rPr>
        <w:t>i</w:t>
      </w:r>
      <w:r w:rsidRPr="00442616">
        <w:rPr>
          <w:sz w:val="22"/>
          <w:szCs w:val="22"/>
          <w:lang w:val="sr-Latn-ME"/>
        </w:rPr>
        <w:t xml:space="preserve"> </w:t>
      </w:r>
      <w:r>
        <w:rPr>
          <w:sz w:val="22"/>
          <w:szCs w:val="22"/>
        </w:rPr>
        <w:t>NCCTG</w:t>
      </w:r>
      <w:r w:rsidRPr="00442616">
        <w:rPr>
          <w:sz w:val="22"/>
          <w:szCs w:val="22"/>
          <w:lang w:val="sr-Latn-ME"/>
        </w:rPr>
        <w:t xml:space="preserve"> </w:t>
      </w:r>
      <w:r>
        <w:rPr>
          <w:sz w:val="22"/>
          <w:szCs w:val="22"/>
        </w:rPr>
        <w:t>N</w:t>
      </w:r>
      <w:r w:rsidRPr="00442616">
        <w:rPr>
          <w:sz w:val="22"/>
          <w:szCs w:val="22"/>
          <w:lang w:val="sr-Latn-ME"/>
        </w:rPr>
        <w:t xml:space="preserve">9831 </w:t>
      </w:r>
      <w:r>
        <w:rPr>
          <w:sz w:val="22"/>
          <w:szCs w:val="22"/>
        </w:rPr>
        <w:t>sprovedena</w:t>
      </w:r>
      <w:r w:rsidRPr="00442616">
        <w:rPr>
          <w:sz w:val="22"/>
          <w:szCs w:val="22"/>
          <w:lang w:val="sr-Latn-ME"/>
        </w:rPr>
        <w:t xml:space="preserve"> </w:t>
      </w:r>
      <w:r>
        <w:rPr>
          <w:sz w:val="22"/>
          <w:szCs w:val="22"/>
        </w:rPr>
        <w:t>je</w:t>
      </w:r>
      <w:r w:rsidRPr="00442616">
        <w:rPr>
          <w:sz w:val="22"/>
          <w:szCs w:val="22"/>
          <w:lang w:val="sr-Latn-ME"/>
        </w:rPr>
        <w:t xml:space="preserve"> </w:t>
      </w:r>
      <w:r>
        <w:rPr>
          <w:sz w:val="22"/>
          <w:szCs w:val="22"/>
        </w:rPr>
        <w:t>nakon</w:t>
      </w:r>
      <w:r w:rsidRPr="00442616">
        <w:rPr>
          <w:sz w:val="22"/>
          <w:szCs w:val="22"/>
          <w:lang w:val="sr-Latn-ME"/>
        </w:rPr>
        <w:t xml:space="preserve"> 707 </w:t>
      </w:r>
      <w:r>
        <w:rPr>
          <w:sz w:val="22"/>
          <w:szCs w:val="22"/>
        </w:rPr>
        <w:t>smrtnih</w:t>
      </w:r>
      <w:r w:rsidRPr="00442616">
        <w:rPr>
          <w:sz w:val="22"/>
          <w:szCs w:val="22"/>
          <w:lang w:val="sr-Latn-ME"/>
        </w:rPr>
        <w:t xml:space="preserve"> </w:t>
      </w:r>
      <w:r>
        <w:rPr>
          <w:sz w:val="22"/>
          <w:szCs w:val="22"/>
        </w:rPr>
        <w:t>slu</w:t>
      </w:r>
      <w:r w:rsidRPr="00442616">
        <w:rPr>
          <w:sz w:val="22"/>
          <w:szCs w:val="22"/>
          <w:lang w:val="sr-Latn-ME"/>
        </w:rPr>
        <w:t>č</w:t>
      </w:r>
      <w:r>
        <w:rPr>
          <w:sz w:val="22"/>
          <w:szCs w:val="22"/>
        </w:rPr>
        <w:t>ajeva</w:t>
      </w:r>
      <w:r w:rsidRPr="00442616">
        <w:rPr>
          <w:sz w:val="22"/>
          <w:szCs w:val="22"/>
          <w:lang w:val="sr-Latn-ME"/>
        </w:rPr>
        <w:t xml:space="preserve"> (</w:t>
      </w:r>
      <w:r>
        <w:rPr>
          <w:sz w:val="22"/>
          <w:szCs w:val="22"/>
        </w:rPr>
        <w:t>medijan</w:t>
      </w:r>
      <w:r w:rsidR="007B5EC0">
        <w:rPr>
          <w:sz w:val="22"/>
          <w:szCs w:val="22"/>
        </w:rPr>
        <w:t>a</w:t>
      </w:r>
      <w:r w:rsidRPr="00442616">
        <w:rPr>
          <w:sz w:val="22"/>
          <w:szCs w:val="22"/>
          <w:lang w:val="sr-Latn-ME"/>
        </w:rPr>
        <w:t xml:space="preserve"> </w:t>
      </w:r>
      <w:r>
        <w:rPr>
          <w:sz w:val="22"/>
          <w:szCs w:val="22"/>
        </w:rPr>
        <w:t>pra</w:t>
      </w:r>
      <w:r w:rsidRPr="00442616">
        <w:rPr>
          <w:sz w:val="22"/>
          <w:szCs w:val="22"/>
          <w:lang w:val="sr-Latn-ME"/>
        </w:rPr>
        <w:t>ć</w:t>
      </w:r>
      <w:r>
        <w:rPr>
          <w:sz w:val="22"/>
          <w:szCs w:val="22"/>
        </w:rPr>
        <w:t>enja</w:t>
      </w:r>
      <w:r w:rsidRPr="00442616">
        <w:rPr>
          <w:sz w:val="22"/>
          <w:szCs w:val="22"/>
          <w:lang w:val="sr-Latn-ME"/>
        </w:rPr>
        <w:t xml:space="preserve"> </w:t>
      </w:r>
      <w:r>
        <w:rPr>
          <w:sz w:val="22"/>
          <w:szCs w:val="22"/>
        </w:rPr>
        <w:t>od</w:t>
      </w:r>
      <w:r w:rsidRPr="00442616">
        <w:rPr>
          <w:sz w:val="22"/>
          <w:szCs w:val="22"/>
          <w:lang w:val="sr-Latn-ME"/>
        </w:rPr>
        <w:t xml:space="preserve"> 8</w:t>
      </w:r>
      <w:proofErr w:type="gramStart"/>
      <w:r w:rsidRPr="00442616">
        <w:rPr>
          <w:sz w:val="22"/>
          <w:szCs w:val="22"/>
          <w:lang w:val="sr-Latn-ME"/>
        </w:rPr>
        <w:t>,3</w:t>
      </w:r>
      <w:proofErr w:type="gramEnd"/>
      <w:r w:rsidRPr="00442616">
        <w:rPr>
          <w:sz w:val="22"/>
          <w:szCs w:val="22"/>
          <w:lang w:val="sr-Latn-ME"/>
        </w:rPr>
        <w:t xml:space="preserve"> </w:t>
      </w:r>
      <w:r>
        <w:rPr>
          <w:sz w:val="22"/>
          <w:szCs w:val="22"/>
        </w:rPr>
        <w:t>godine</w:t>
      </w:r>
      <w:r w:rsidRPr="00442616">
        <w:rPr>
          <w:sz w:val="22"/>
          <w:szCs w:val="22"/>
          <w:lang w:val="sr-Latn-ME"/>
        </w:rPr>
        <w:t xml:space="preserve"> </w:t>
      </w:r>
      <w:r>
        <w:rPr>
          <w:sz w:val="22"/>
          <w:szCs w:val="22"/>
        </w:rPr>
        <w:t>u</w:t>
      </w:r>
      <w:r w:rsidRPr="00442616">
        <w:rPr>
          <w:sz w:val="22"/>
          <w:szCs w:val="22"/>
          <w:lang w:val="sr-Latn-ME"/>
        </w:rPr>
        <w:t xml:space="preserve"> </w:t>
      </w:r>
      <w:r>
        <w:rPr>
          <w:sz w:val="22"/>
          <w:szCs w:val="22"/>
        </w:rPr>
        <w:t>grupi</w:t>
      </w:r>
      <w:r w:rsidRPr="00442616">
        <w:rPr>
          <w:sz w:val="22"/>
          <w:szCs w:val="22"/>
          <w:lang w:val="sr-Latn-ME"/>
        </w:rPr>
        <w:t xml:space="preserve"> </w:t>
      </w:r>
      <w:r>
        <w:rPr>
          <w:sz w:val="22"/>
          <w:szCs w:val="22"/>
        </w:rPr>
        <w:t>koja</w:t>
      </w:r>
      <w:r w:rsidRPr="00442616">
        <w:rPr>
          <w:sz w:val="22"/>
          <w:szCs w:val="22"/>
          <w:lang w:val="sr-Latn-ME"/>
        </w:rPr>
        <w:t xml:space="preserve"> </w:t>
      </w:r>
      <w:r>
        <w:rPr>
          <w:sz w:val="22"/>
          <w:szCs w:val="22"/>
        </w:rPr>
        <w:t>je</w:t>
      </w:r>
      <w:r w:rsidRPr="00442616">
        <w:rPr>
          <w:sz w:val="22"/>
          <w:szCs w:val="22"/>
          <w:lang w:val="sr-Latn-ME"/>
        </w:rPr>
        <w:t xml:space="preserve"> </w:t>
      </w:r>
      <w:r>
        <w:rPr>
          <w:sz w:val="22"/>
          <w:szCs w:val="22"/>
        </w:rPr>
        <w:t>primala</w:t>
      </w:r>
      <w:r w:rsidRPr="00442616">
        <w:rPr>
          <w:sz w:val="22"/>
          <w:szCs w:val="22"/>
          <w:lang w:val="sr-Latn-ME"/>
        </w:rPr>
        <w:t xml:space="preserve"> </w:t>
      </w:r>
      <w:r>
        <w:rPr>
          <w:sz w:val="22"/>
          <w:szCs w:val="22"/>
        </w:rPr>
        <w:t>AC</w:t>
      </w:r>
      <w:r w:rsidRPr="00442616">
        <w:rPr>
          <w:sz w:val="22"/>
          <w:szCs w:val="22"/>
          <w:lang w:val="sr-Latn-ME"/>
        </w:rPr>
        <w:t>→</w:t>
      </w:r>
      <w:r>
        <w:rPr>
          <w:sz w:val="22"/>
          <w:szCs w:val="22"/>
        </w:rPr>
        <w:t>PH</w:t>
      </w:r>
      <w:r w:rsidRPr="00442616">
        <w:rPr>
          <w:sz w:val="22"/>
          <w:szCs w:val="22"/>
          <w:lang w:val="sr-Latn-ME"/>
        </w:rPr>
        <w:t xml:space="preserve"> </w:t>
      </w:r>
      <w:r>
        <w:rPr>
          <w:sz w:val="22"/>
          <w:szCs w:val="22"/>
        </w:rPr>
        <w:t>hemoterapiju</w:t>
      </w:r>
      <w:r w:rsidRPr="00442616">
        <w:rPr>
          <w:sz w:val="22"/>
          <w:szCs w:val="22"/>
          <w:lang w:val="sr-Latn-ME"/>
        </w:rPr>
        <w:t xml:space="preserve">). </w:t>
      </w:r>
      <w:r>
        <w:rPr>
          <w:sz w:val="22"/>
          <w:szCs w:val="22"/>
        </w:rPr>
        <w:t>Lije</w:t>
      </w:r>
      <w:r w:rsidRPr="00442616">
        <w:rPr>
          <w:sz w:val="22"/>
          <w:szCs w:val="22"/>
          <w:lang w:val="sr-Latn-ME"/>
        </w:rPr>
        <w:t>č</w:t>
      </w:r>
      <w:r>
        <w:rPr>
          <w:sz w:val="22"/>
          <w:szCs w:val="22"/>
        </w:rPr>
        <w:t>enje</w:t>
      </w:r>
      <w:r w:rsidRPr="00442616">
        <w:rPr>
          <w:sz w:val="22"/>
          <w:szCs w:val="22"/>
          <w:lang w:val="sr-Latn-ME"/>
        </w:rPr>
        <w:t xml:space="preserve"> </w:t>
      </w:r>
      <w:r>
        <w:rPr>
          <w:sz w:val="22"/>
          <w:szCs w:val="22"/>
        </w:rPr>
        <w:t>AC</w:t>
      </w:r>
      <w:r w:rsidRPr="00442616">
        <w:rPr>
          <w:sz w:val="22"/>
          <w:szCs w:val="22"/>
          <w:lang w:val="sr-Latn-ME"/>
        </w:rPr>
        <w:t>→</w:t>
      </w:r>
      <w:r>
        <w:rPr>
          <w:sz w:val="22"/>
          <w:szCs w:val="22"/>
        </w:rPr>
        <w:t>PH</w:t>
      </w:r>
      <w:r w:rsidRPr="00442616">
        <w:rPr>
          <w:sz w:val="22"/>
          <w:szCs w:val="22"/>
          <w:lang w:val="sr-Latn-ME"/>
        </w:rPr>
        <w:t xml:space="preserve"> </w:t>
      </w:r>
      <w:r>
        <w:rPr>
          <w:sz w:val="22"/>
          <w:szCs w:val="22"/>
        </w:rPr>
        <w:t>hemoterapijom</w:t>
      </w:r>
      <w:r w:rsidRPr="00442616">
        <w:rPr>
          <w:sz w:val="22"/>
          <w:szCs w:val="22"/>
          <w:lang w:val="sr-Latn-ME"/>
        </w:rPr>
        <w:t xml:space="preserve"> </w:t>
      </w:r>
      <w:r>
        <w:rPr>
          <w:sz w:val="22"/>
          <w:szCs w:val="22"/>
        </w:rPr>
        <w:t>dovelo</w:t>
      </w:r>
      <w:r w:rsidRPr="00442616">
        <w:rPr>
          <w:sz w:val="22"/>
          <w:szCs w:val="22"/>
          <w:lang w:val="sr-Latn-ME"/>
        </w:rPr>
        <w:t xml:space="preserve"> </w:t>
      </w:r>
      <w:r>
        <w:rPr>
          <w:sz w:val="22"/>
          <w:szCs w:val="22"/>
        </w:rPr>
        <w:t>je</w:t>
      </w:r>
      <w:r w:rsidRPr="00442616">
        <w:rPr>
          <w:sz w:val="22"/>
          <w:szCs w:val="22"/>
          <w:lang w:val="sr-Latn-ME"/>
        </w:rPr>
        <w:t xml:space="preserve"> </w:t>
      </w:r>
      <w:r>
        <w:rPr>
          <w:sz w:val="22"/>
          <w:szCs w:val="22"/>
        </w:rPr>
        <w:t>do</w:t>
      </w:r>
      <w:r w:rsidRPr="00442616">
        <w:rPr>
          <w:sz w:val="22"/>
          <w:szCs w:val="22"/>
          <w:lang w:val="sr-Latn-ME"/>
        </w:rPr>
        <w:t xml:space="preserve"> </w:t>
      </w:r>
      <w:r>
        <w:rPr>
          <w:sz w:val="22"/>
          <w:szCs w:val="22"/>
        </w:rPr>
        <w:t>statisti</w:t>
      </w:r>
      <w:r w:rsidRPr="00442616">
        <w:rPr>
          <w:sz w:val="22"/>
          <w:szCs w:val="22"/>
          <w:lang w:val="sr-Latn-ME"/>
        </w:rPr>
        <w:t>č</w:t>
      </w:r>
      <w:r>
        <w:rPr>
          <w:sz w:val="22"/>
          <w:szCs w:val="22"/>
        </w:rPr>
        <w:t>ki</w:t>
      </w:r>
      <w:r w:rsidRPr="00442616">
        <w:rPr>
          <w:sz w:val="22"/>
          <w:szCs w:val="22"/>
          <w:lang w:val="sr-Latn-ME"/>
        </w:rPr>
        <w:t xml:space="preserve"> </w:t>
      </w:r>
      <w:r>
        <w:rPr>
          <w:sz w:val="22"/>
          <w:szCs w:val="22"/>
        </w:rPr>
        <w:t>zna</w:t>
      </w:r>
      <w:r w:rsidRPr="00442616">
        <w:rPr>
          <w:sz w:val="22"/>
          <w:szCs w:val="22"/>
          <w:lang w:val="sr-Latn-ME"/>
        </w:rPr>
        <w:t>č</w:t>
      </w:r>
      <w:r>
        <w:rPr>
          <w:sz w:val="22"/>
          <w:szCs w:val="22"/>
        </w:rPr>
        <w:t>ajnog</w:t>
      </w:r>
      <w:r w:rsidRPr="00442616">
        <w:rPr>
          <w:sz w:val="22"/>
          <w:szCs w:val="22"/>
          <w:lang w:val="sr-Latn-ME"/>
        </w:rPr>
        <w:t xml:space="preserve"> </w:t>
      </w:r>
      <w:r>
        <w:rPr>
          <w:sz w:val="22"/>
          <w:szCs w:val="22"/>
        </w:rPr>
        <w:t>pobolj</w:t>
      </w:r>
      <w:r w:rsidRPr="00442616">
        <w:rPr>
          <w:sz w:val="22"/>
          <w:szCs w:val="22"/>
          <w:lang w:val="sr-Latn-ME"/>
        </w:rPr>
        <w:t>š</w:t>
      </w:r>
      <w:r>
        <w:rPr>
          <w:sz w:val="22"/>
          <w:szCs w:val="22"/>
        </w:rPr>
        <w:t>anja</w:t>
      </w:r>
      <w:r w:rsidRPr="00442616">
        <w:rPr>
          <w:sz w:val="22"/>
          <w:szCs w:val="22"/>
          <w:lang w:val="sr-Latn-ME"/>
        </w:rPr>
        <w:t xml:space="preserve"> </w:t>
      </w:r>
      <w:r>
        <w:rPr>
          <w:sz w:val="22"/>
          <w:szCs w:val="22"/>
        </w:rPr>
        <w:t>ukupnog</w:t>
      </w:r>
      <w:r w:rsidRPr="00442616">
        <w:rPr>
          <w:sz w:val="22"/>
          <w:szCs w:val="22"/>
          <w:lang w:val="sr-Latn-ME"/>
        </w:rPr>
        <w:t xml:space="preserve"> </w:t>
      </w:r>
      <w:r>
        <w:rPr>
          <w:sz w:val="22"/>
          <w:szCs w:val="22"/>
        </w:rPr>
        <w:t>pre</w:t>
      </w:r>
      <w:r w:rsidRPr="00442616">
        <w:rPr>
          <w:sz w:val="22"/>
          <w:szCs w:val="22"/>
          <w:lang w:val="sr-Latn-ME"/>
        </w:rPr>
        <w:t>ž</w:t>
      </w:r>
      <w:r>
        <w:rPr>
          <w:sz w:val="22"/>
          <w:szCs w:val="22"/>
        </w:rPr>
        <w:t>ivljavanja</w:t>
      </w:r>
      <w:r w:rsidRPr="00442616">
        <w:rPr>
          <w:sz w:val="22"/>
          <w:szCs w:val="22"/>
          <w:lang w:val="sr-Latn-ME"/>
        </w:rPr>
        <w:t xml:space="preserve"> </w:t>
      </w:r>
      <w:r>
        <w:rPr>
          <w:sz w:val="22"/>
          <w:szCs w:val="22"/>
        </w:rPr>
        <w:t>u</w:t>
      </w:r>
      <w:r w:rsidRPr="00442616">
        <w:rPr>
          <w:sz w:val="22"/>
          <w:szCs w:val="22"/>
          <w:lang w:val="sr-Latn-ME"/>
        </w:rPr>
        <w:t xml:space="preserve"> </w:t>
      </w:r>
      <w:r>
        <w:rPr>
          <w:sz w:val="22"/>
          <w:szCs w:val="22"/>
        </w:rPr>
        <w:t>pore</w:t>
      </w:r>
      <w:r w:rsidRPr="00442616">
        <w:rPr>
          <w:sz w:val="22"/>
          <w:szCs w:val="22"/>
          <w:lang w:val="sr-Latn-ME"/>
        </w:rPr>
        <w:t>đ</w:t>
      </w:r>
      <w:r>
        <w:rPr>
          <w:sz w:val="22"/>
          <w:szCs w:val="22"/>
        </w:rPr>
        <w:t>enju</w:t>
      </w:r>
      <w:r w:rsidRPr="00442616">
        <w:rPr>
          <w:sz w:val="22"/>
          <w:szCs w:val="22"/>
          <w:lang w:val="sr-Latn-ME"/>
        </w:rPr>
        <w:t xml:space="preserve"> </w:t>
      </w:r>
      <w:r>
        <w:rPr>
          <w:sz w:val="22"/>
          <w:szCs w:val="22"/>
        </w:rPr>
        <w:t>sa</w:t>
      </w:r>
      <w:r w:rsidRPr="00442616">
        <w:rPr>
          <w:sz w:val="22"/>
          <w:szCs w:val="22"/>
          <w:lang w:val="sr-Latn-ME"/>
        </w:rPr>
        <w:t xml:space="preserve"> </w:t>
      </w:r>
      <w:r>
        <w:rPr>
          <w:sz w:val="22"/>
          <w:szCs w:val="22"/>
        </w:rPr>
        <w:t>lije</w:t>
      </w:r>
      <w:r w:rsidRPr="00442616">
        <w:rPr>
          <w:sz w:val="22"/>
          <w:szCs w:val="22"/>
          <w:lang w:val="sr-Latn-ME"/>
        </w:rPr>
        <w:t>č</w:t>
      </w:r>
      <w:r>
        <w:rPr>
          <w:sz w:val="22"/>
          <w:szCs w:val="22"/>
        </w:rPr>
        <w:t>enjem</w:t>
      </w:r>
      <w:r w:rsidRPr="00442616">
        <w:rPr>
          <w:sz w:val="22"/>
          <w:szCs w:val="22"/>
          <w:lang w:val="sr-Latn-ME"/>
        </w:rPr>
        <w:t xml:space="preserve"> </w:t>
      </w:r>
      <w:r>
        <w:rPr>
          <w:sz w:val="22"/>
          <w:szCs w:val="22"/>
        </w:rPr>
        <w:t>AC</w:t>
      </w:r>
      <w:r w:rsidRPr="00442616">
        <w:rPr>
          <w:sz w:val="22"/>
          <w:szCs w:val="22"/>
          <w:lang w:val="sr-Latn-ME"/>
        </w:rPr>
        <w:t>→</w:t>
      </w:r>
      <w:r>
        <w:rPr>
          <w:sz w:val="22"/>
          <w:szCs w:val="22"/>
        </w:rPr>
        <w:t>P</w:t>
      </w:r>
      <w:r w:rsidRPr="00442616">
        <w:rPr>
          <w:sz w:val="22"/>
          <w:szCs w:val="22"/>
          <w:lang w:val="sr-Latn-ME"/>
        </w:rPr>
        <w:t xml:space="preserve"> </w:t>
      </w:r>
      <w:r>
        <w:rPr>
          <w:sz w:val="22"/>
          <w:szCs w:val="22"/>
        </w:rPr>
        <w:t>hemoterapijom</w:t>
      </w:r>
      <w:r w:rsidRPr="00442616">
        <w:rPr>
          <w:sz w:val="22"/>
          <w:szCs w:val="22"/>
          <w:lang w:val="sr-Latn-ME"/>
        </w:rPr>
        <w:t xml:space="preserve"> (</w:t>
      </w:r>
      <w:r>
        <w:rPr>
          <w:sz w:val="22"/>
          <w:szCs w:val="22"/>
        </w:rPr>
        <w:t>stratifikovani</w:t>
      </w:r>
      <w:r w:rsidRPr="00442616">
        <w:rPr>
          <w:sz w:val="22"/>
          <w:szCs w:val="22"/>
          <w:lang w:val="sr-Latn-ME"/>
        </w:rPr>
        <w:t xml:space="preserve"> </w:t>
      </w:r>
      <w:r>
        <w:rPr>
          <w:sz w:val="22"/>
          <w:szCs w:val="22"/>
        </w:rPr>
        <w:t>odnos</w:t>
      </w:r>
      <w:r w:rsidRPr="00442616">
        <w:rPr>
          <w:sz w:val="22"/>
          <w:szCs w:val="22"/>
          <w:lang w:val="sr-Latn-ME"/>
        </w:rPr>
        <w:t xml:space="preserve"> </w:t>
      </w:r>
      <w:r>
        <w:rPr>
          <w:sz w:val="22"/>
          <w:szCs w:val="22"/>
        </w:rPr>
        <w:t>hazarda</w:t>
      </w:r>
      <w:r w:rsidRPr="00442616">
        <w:rPr>
          <w:sz w:val="22"/>
          <w:szCs w:val="22"/>
          <w:lang w:val="sr-Latn-ME"/>
        </w:rPr>
        <w:t xml:space="preserve"> =</w:t>
      </w:r>
      <w:r>
        <w:rPr>
          <w:sz w:val="22"/>
          <w:szCs w:val="22"/>
        </w:rPr>
        <w:t> </w:t>
      </w:r>
      <w:r w:rsidRPr="00442616">
        <w:rPr>
          <w:sz w:val="22"/>
          <w:szCs w:val="22"/>
          <w:lang w:val="sr-Latn-ME"/>
        </w:rPr>
        <w:t>0</w:t>
      </w:r>
      <w:proofErr w:type="gramStart"/>
      <w:r w:rsidRPr="00442616">
        <w:rPr>
          <w:sz w:val="22"/>
          <w:szCs w:val="22"/>
          <w:lang w:val="sr-Latn-ME"/>
        </w:rPr>
        <w:t>,64</w:t>
      </w:r>
      <w:proofErr w:type="gramEnd"/>
      <w:r w:rsidRPr="00442616">
        <w:rPr>
          <w:sz w:val="22"/>
          <w:szCs w:val="22"/>
          <w:lang w:val="sr-Latn-ME"/>
        </w:rPr>
        <w:t xml:space="preserve">; 95% </w:t>
      </w:r>
      <w:r>
        <w:rPr>
          <w:sz w:val="22"/>
          <w:szCs w:val="22"/>
        </w:rPr>
        <w:t>CI</w:t>
      </w:r>
      <w:r w:rsidRPr="00442616">
        <w:rPr>
          <w:sz w:val="22"/>
          <w:szCs w:val="22"/>
          <w:lang w:val="sr-Latn-ME"/>
        </w:rPr>
        <w:t xml:space="preserve"> [0,55; 0,74]; </w:t>
      </w:r>
      <w:r>
        <w:rPr>
          <w:sz w:val="22"/>
          <w:szCs w:val="22"/>
        </w:rPr>
        <w:t>log</w:t>
      </w:r>
      <w:r w:rsidRPr="00442616">
        <w:rPr>
          <w:sz w:val="22"/>
          <w:szCs w:val="22"/>
          <w:lang w:val="sr-Latn-ME"/>
        </w:rPr>
        <w:t>-</w:t>
      </w:r>
      <w:r>
        <w:rPr>
          <w:sz w:val="22"/>
          <w:szCs w:val="22"/>
        </w:rPr>
        <w:t>rang</w:t>
      </w:r>
      <w:r w:rsidRPr="00442616">
        <w:rPr>
          <w:sz w:val="22"/>
          <w:szCs w:val="22"/>
          <w:lang w:val="sr-Latn-ME"/>
        </w:rPr>
        <w:t xml:space="preserve"> </w:t>
      </w:r>
      <w:r>
        <w:rPr>
          <w:sz w:val="22"/>
          <w:szCs w:val="22"/>
        </w:rPr>
        <w:t>p</w:t>
      </w:r>
      <w:r w:rsidRPr="00442616">
        <w:rPr>
          <w:sz w:val="22"/>
          <w:szCs w:val="22"/>
          <w:lang w:val="sr-Latn-ME"/>
        </w:rPr>
        <w:t>-</w:t>
      </w:r>
      <w:r>
        <w:rPr>
          <w:sz w:val="22"/>
          <w:szCs w:val="22"/>
        </w:rPr>
        <w:t>vrijednost</w:t>
      </w:r>
      <w:r w:rsidRPr="00442616">
        <w:rPr>
          <w:sz w:val="22"/>
          <w:szCs w:val="22"/>
          <w:lang w:val="sr-Latn-ME"/>
        </w:rPr>
        <w:t xml:space="preserve"> &lt; 0,0001). </w:t>
      </w:r>
      <w:r>
        <w:rPr>
          <w:sz w:val="22"/>
          <w:szCs w:val="22"/>
        </w:rPr>
        <w:t>Procijenjena</w:t>
      </w:r>
      <w:r w:rsidRPr="00442616">
        <w:rPr>
          <w:sz w:val="22"/>
          <w:szCs w:val="22"/>
          <w:lang w:val="sr-Latn-ME"/>
        </w:rPr>
        <w:t xml:space="preserve"> </w:t>
      </w:r>
      <w:r>
        <w:rPr>
          <w:sz w:val="22"/>
          <w:szCs w:val="22"/>
        </w:rPr>
        <w:t>stopa</w:t>
      </w:r>
      <w:r w:rsidRPr="00442616">
        <w:rPr>
          <w:sz w:val="22"/>
          <w:szCs w:val="22"/>
          <w:lang w:val="sr-Latn-ME"/>
        </w:rPr>
        <w:t xml:space="preserve"> </w:t>
      </w:r>
      <w:r>
        <w:rPr>
          <w:sz w:val="22"/>
          <w:szCs w:val="22"/>
        </w:rPr>
        <w:t>pre</w:t>
      </w:r>
      <w:r w:rsidRPr="00442616">
        <w:rPr>
          <w:sz w:val="22"/>
          <w:szCs w:val="22"/>
          <w:lang w:val="sr-Latn-ME"/>
        </w:rPr>
        <w:t>ž</w:t>
      </w:r>
      <w:r>
        <w:rPr>
          <w:sz w:val="22"/>
          <w:szCs w:val="22"/>
        </w:rPr>
        <w:t>ivljavanja</w:t>
      </w:r>
      <w:r w:rsidRPr="00442616">
        <w:rPr>
          <w:sz w:val="22"/>
          <w:szCs w:val="22"/>
          <w:lang w:val="sr-Latn-ME"/>
        </w:rPr>
        <w:t xml:space="preserve"> </w:t>
      </w:r>
      <w:r>
        <w:rPr>
          <w:sz w:val="22"/>
          <w:szCs w:val="22"/>
        </w:rPr>
        <w:t>nakon</w:t>
      </w:r>
      <w:r w:rsidRPr="00442616">
        <w:rPr>
          <w:sz w:val="22"/>
          <w:szCs w:val="22"/>
          <w:lang w:val="sr-Latn-ME"/>
        </w:rPr>
        <w:t xml:space="preserve"> 8</w:t>
      </w:r>
      <w:r>
        <w:rPr>
          <w:sz w:val="22"/>
          <w:szCs w:val="22"/>
        </w:rPr>
        <w:t> godina</w:t>
      </w:r>
      <w:r w:rsidRPr="00442616">
        <w:rPr>
          <w:sz w:val="22"/>
          <w:szCs w:val="22"/>
          <w:lang w:val="sr-Latn-ME"/>
        </w:rPr>
        <w:t xml:space="preserve"> </w:t>
      </w:r>
      <w:r>
        <w:rPr>
          <w:sz w:val="22"/>
          <w:szCs w:val="22"/>
        </w:rPr>
        <w:t>iznosila</w:t>
      </w:r>
      <w:r w:rsidRPr="00442616">
        <w:rPr>
          <w:sz w:val="22"/>
          <w:szCs w:val="22"/>
          <w:lang w:val="sr-Latn-ME"/>
        </w:rPr>
        <w:t xml:space="preserve"> </w:t>
      </w:r>
      <w:r>
        <w:rPr>
          <w:sz w:val="22"/>
          <w:szCs w:val="22"/>
        </w:rPr>
        <w:t>je</w:t>
      </w:r>
      <w:r w:rsidRPr="00442616">
        <w:rPr>
          <w:sz w:val="22"/>
          <w:szCs w:val="22"/>
          <w:lang w:val="sr-Latn-ME"/>
        </w:rPr>
        <w:t xml:space="preserve"> 86,9% </w:t>
      </w:r>
      <w:r>
        <w:rPr>
          <w:sz w:val="22"/>
          <w:szCs w:val="22"/>
        </w:rPr>
        <w:t>u</w:t>
      </w:r>
      <w:r w:rsidRPr="00442616">
        <w:rPr>
          <w:sz w:val="22"/>
          <w:szCs w:val="22"/>
          <w:lang w:val="sr-Latn-ME"/>
        </w:rPr>
        <w:t xml:space="preserve"> </w:t>
      </w:r>
      <w:r>
        <w:rPr>
          <w:sz w:val="22"/>
          <w:szCs w:val="22"/>
        </w:rPr>
        <w:t>grupi</w:t>
      </w:r>
      <w:r w:rsidRPr="00442616">
        <w:rPr>
          <w:sz w:val="22"/>
          <w:szCs w:val="22"/>
          <w:lang w:val="sr-Latn-ME"/>
        </w:rPr>
        <w:t xml:space="preserve"> </w:t>
      </w:r>
      <w:r>
        <w:rPr>
          <w:sz w:val="22"/>
          <w:szCs w:val="22"/>
        </w:rPr>
        <w:t>lije</w:t>
      </w:r>
      <w:r w:rsidRPr="00442616">
        <w:rPr>
          <w:sz w:val="22"/>
          <w:szCs w:val="22"/>
          <w:lang w:val="sr-Latn-ME"/>
        </w:rPr>
        <w:t>č</w:t>
      </w:r>
      <w:r>
        <w:rPr>
          <w:sz w:val="22"/>
          <w:szCs w:val="22"/>
        </w:rPr>
        <w:t>enoj</w:t>
      </w:r>
      <w:r w:rsidRPr="00442616">
        <w:rPr>
          <w:sz w:val="22"/>
          <w:szCs w:val="22"/>
          <w:lang w:val="sr-Latn-ME"/>
        </w:rPr>
        <w:t xml:space="preserve"> </w:t>
      </w:r>
      <w:r>
        <w:rPr>
          <w:sz w:val="22"/>
          <w:szCs w:val="22"/>
        </w:rPr>
        <w:t>AC</w:t>
      </w:r>
      <w:r w:rsidRPr="00442616">
        <w:rPr>
          <w:sz w:val="22"/>
          <w:szCs w:val="22"/>
          <w:lang w:val="sr-Latn-ME"/>
        </w:rPr>
        <w:t>→</w:t>
      </w:r>
      <w:r>
        <w:rPr>
          <w:sz w:val="22"/>
          <w:szCs w:val="22"/>
        </w:rPr>
        <w:t>PH</w:t>
      </w:r>
      <w:r w:rsidRPr="00442616">
        <w:rPr>
          <w:sz w:val="22"/>
          <w:szCs w:val="22"/>
          <w:lang w:val="sr-Latn-ME"/>
        </w:rPr>
        <w:t xml:space="preserve"> </w:t>
      </w:r>
      <w:r>
        <w:rPr>
          <w:sz w:val="22"/>
          <w:szCs w:val="22"/>
        </w:rPr>
        <w:t>hemoterapijom</w:t>
      </w:r>
      <w:r w:rsidRPr="00442616">
        <w:rPr>
          <w:sz w:val="22"/>
          <w:szCs w:val="22"/>
          <w:lang w:val="sr-Latn-ME"/>
        </w:rPr>
        <w:t xml:space="preserve"> </w:t>
      </w:r>
      <w:r>
        <w:rPr>
          <w:sz w:val="22"/>
          <w:szCs w:val="22"/>
        </w:rPr>
        <w:t>te</w:t>
      </w:r>
      <w:r w:rsidRPr="00442616">
        <w:rPr>
          <w:sz w:val="22"/>
          <w:szCs w:val="22"/>
          <w:lang w:val="sr-Latn-ME"/>
        </w:rPr>
        <w:t xml:space="preserve"> 79,4% </w:t>
      </w:r>
      <w:r>
        <w:rPr>
          <w:sz w:val="22"/>
          <w:szCs w:val="22"/>
        </w:rPr>
        <w:t>u</w:t>
      </w:r>
      <w:r w:rsidRPr="00442616">
        <w:rPr>
          <w:sz w:val="22"/>
          <w:szCs w:val="22"/>
          <w:lang w:val="sr-Latn-ME"/>
        </w:rPr>
        <w:t xml:space="preserve"> </w:t>
      </w:r>
      <w:r>
        <w:rPr>
          <w:sz w:val="22"/>
          <w:szCs w:val="22"/>
        </w:rPr>
        <w:t>grupi</w:t>
      </w:r>
      <w:r w:rsidRPr="00442616">
        <w:rPr>
          <w:sz w:val="22"/>
          <w:szCs w:val="22"/>
          <w:lang w:val="sr-Latn-ME"/>
        </w:rPr>
        <w:t xml:space="preserve"> </w:t>
      </w:r>
      <w:r>
        <w:rPr>
          <w:sz w:val="22"/>
          <w:szCs w:val="22"/>
        </w:rPr>
        <w:t>koja</w:t>
      </w:r>
      <w:r w:rsidRPr="00442616">
        <w:rPr>
          <w:sz w:val="22"/>
          <w:szCs w:val="22"/>
          <w:lang w:val="sr-Latn-ME"/>
        </w:rPr>
        <w:t xml:space="preserve"> </w:t>
      </w:r>
      <w:r>
        <w:rPr>
          <w:sz w:val="22"/>
          <w:szCs w:val="22"/>
        </w:rPr>
        <w:t>je</w:t>
      </w:r>
      <w:r w:rsidRPr="00442616">
        <w:rPr>
          <w:sz w:val="22"/>
          <w:szCs w:val="22"/>
          <w:lang w:val="sr-Latn-ME"/>
        </w:rPr>
        <w:t xml:space="preserve"> </w:t>
      </w:r>
      <w:r>
        <w:rPr>
          <w:sz w:val="22"/>
          <w:szCs w:val="22"/>
        </w:rPr>
        <w:t>primala</w:t>
      </w:r>
      <w:r w:rsidRPr="00442616">
        <w:rPr>
          <w:sz w:val="22"/>
          <w:szCs w:val="22"/>
          <w:lang w:val="sr-Latn-ME"/>
        </w:rPr>
        <w:t xml:space="preserve"> </w:t>
      </w:r>
      <w:r>
        <w:rPr>
          <w:sz w:val="22"/>
          <w:szCs w:val="22"/>
        </w:rPr>
        <w:t>AC</w:t>
      </w:r>
      <w:r w:rsidRPr="00442616">
        <w:rPr>
          <w:sz w:val="22"/>
          <w:szCs w:val="22"/>
          <w:lang w:val="sr-Latn-ME"/>
        </w:rPr>
        <w:t>→</w:t>
      </w:r>
      <w:r>
        <w:rPr>
          <w:sz w:val="22"/>
          <w:szCs w:val="22"/>
        </w:rPr>
        <w:t>P</w:t>
      </w:r>
      <w:r w:rsidRPr="00442616">
        <w:rPr>
          <w:sz w:val="22"/>
          <w:szCs w:val="22"/>
          <w:lang w:val="sr-Latn-ME"/>
        </w:rPr>
        <w:t xml:space="preserve"> </w:t>
      </w:r>
      <w:r>
        <w:rPr>
          <w:sz w:val="22"/>
          <w:szCs w:val="22"/>
        </w:rPr>
        <w:t>hemoterapiju</w:t>
      </w:r>
      <w:r w:rsidRPr="00442616">
        <w:rPr>
          <w:sz w:val="22"/>
          <w:szCs w:val="22"/>
          <w:lang w:val="sr-Latn-ME"/>
        </w:rPr>
        <w:t>, š</w:t>
      </w:r>
      <w:r>
        <w:rPr>
          <w:sz w:val="22"/>
          <w:szCs w:val="22"/>
        </w:rPr>
        <w:t>to</w:t>
      </w:r>
      <w:r w:rsidRPr="00442616">
        <w:rPr>
          <w:sz w:val="22"/>
          <w:szCs w:val="22"/>
          <w:lang w:val="sr-Latn-ME"/>
        </w:rPr>
        <w:t xml:space="preserve"> </w:t>
      </w:r>
      <w:r>
        <w:rPr>
          <w:sz w:val="22"/>
          <w:szCs w:val="22"/>
        </w:rPr>
        <w:t>ukazuje</w:t>
      </w:r>
      <w:r w:rsidRPr="00442616">
        <w:rPr>
          <w:sz w:val="22"/>
          <w:szCs w:val="22"/>
          <w:lang w:val="sr-Latn-ME"/>
        </w:rPr>
        <w:t xml:space="preserve"> </w:t>
      </w:r>
      <w:r>
        <w:rPr>
          <w:sz w:val="22"/>
          <w:szCs w:val="22"/>
        </w:rPr>
        <w:t>na</w:t>
      </w:r>
      <w:r w:rsidRPr="00442616">
        <w:rPr>
          <w:sz w:val="22"/>
          <w:szCs w:val="22"/>
          <w:lang w:val="sr-Latn-ME"/>
        </w:rPr>
        <w:t xml:space="preserve"> </w:t>
      </w:r>
      <w:r>
        <w:rPr>
          <w:sz w:val="22"/>
          <w:szCs w:val="22"/>
        </w:rPr>
        <w:t>apsolutnu</w:t>
      </w:r>
      <w:r w:rsidRPr="00442616">
        <w:rPr>
          <w:sz w:val="22"/>
          <w:szCs w:val="22"/>
          <w:lang w:val="sr-Latn-ME"/>
        </w:rPr>
        <w:t xml:space="preserve"> </w:t>
      </w:r>
      <w:r>
        <w:rPr>
          <w:sz w:val="22"/>
          <w:szCs w:val="22"/>
        </w:rPr>
        <w:t>korist</w:t>
      </w:r>
      <w:r w:rsidRPr="00442616">
        <w:rPr>
          <w:sz w:val="22"/>
          <w:szCs w:val="22"/>
          <w:lang w:val="sr-Latn-ME"/>
        </w:rPr>
        <w:t xml:space="preserve"> </w:t>
      </w:r>
      <w:r>
        <w:rPr>
          <w:sz w:val="22"/>
          <w:szCs w:val="22"/>
        </w:rPr>
        <w:t>od</w:t>
      </w:r>
      <w:r w:rsidRPr="00442616">
        <w:rPr>
          <w:sz w:val="22"/>
          <w:szCs w:val="22"/>
          <w:lang w:val="sr-Latn-ME"/>
        </w:rPr>
        <w:t xml:space="preserve"> 7,4% (95%</w:t>
      </w:r>
      <w:r>
        <w:rPr>
          <w:sz w:val="22"/>
          <w:szCs w:val="22"/>
        </w:rPr>
        <w:t> CI</w:t>
      </w:r>
      <w:r w:rsidRPr="00442616">
        <w:rPr>
          <w:sz w:val="22"/>
          <w:szCs w:val="22"/>
          <w:lang w:val="sr-Latn-ME"/>
        </w:rPr>
        <w:t xml:space="preserve"> 4,9%; 10,0%).</w:t>
      </w:r>
    </w:p>
    <w:p w14:paraId="11AF134D" w14:textId="77777777" w:rsidR="00B05AA9" w:rsidRPr="00442616" w:rsidRDefault="00B05AA9" w:rsidP="00641EEB">
      <w:pPr>
        <w:jc w:val="both"/>
        <w:rPr>
          <w:sz w:val="22"/>
          <w:szCs w:val="22"/>
          <w:lang w:val="sr-Latn-ME"/>
        </w:rPr>
      </w:pPr>
      <w:r>
        <w:rPr>
          <w:sz w:val="22"/>
          <w:szCs w:val="22"/>
        </w:rPr>
        <w:t>Kona</w:t>
      </w:r>
      <w:r w:rsidRPr="00442616">
        <w:rPr>
          <w:sz w:val="22"/>
          <w:szCs w:val="22"/>
          <w:lang w:val="sr-Latn-ME"/>
        </w:rPr>
        <w:t>č</w:t>
      </w:r>
      <w:r>
        <w:rPr>
          <w:sz w:val="22"/>
          <w:szCs w:val="22"/>
        </w:rPr>
        <w:t>ni</w:t>
      </w:r>
      <w:r w:rsidRPr="00442616">
        <w:rPr>
          <w:sz w:val="22"/>
          <w:szCs w:val="22"/>
          <w:lang w:val="sr-Latn-ME"/>
        </w:rPr>
        <w:t xml:space="preserve"> </w:t>
      </w:r>
      <w:r>
        <w:rPr>
          <w:sz w:val="22"/>
          <w:szCs w:val="22"/>
        </w:rPr>
        <w:t>rezultati</w:t>
      </w:r>
      <w:r w:rsidRPr="00442616">
        <w:rPr>
          <w:sz w:val="22"/>
          <w:szCs w:val="22"/>
          <w:lang w:val="sr-Latn-ME"/>
        </w:rPr>
        <w:t xml:space="preserve"> </w:t>
      </w:r>
      <w:r>
        <w:rPr>
          <w:sz w:val="22"/>
          <w:szCs w:val="22"/>
        </w:rPr>
        <w:t>ukupnog</w:t>
      </w:r>
      <w:r w:rsidRPr="00442616">
        <w:rPr>
          <w:sz w:val="22"/>
          <w:szCs w:val="22"/>
          <w:lang w:val="sr-Latn-ME"/>
        </w:rPr>
        <w:t xml:space="preserve"> </w:t>
      </w:r>
      <w:r>
        <w:rPr>
          <w:sz w:val="22"/>
          <w:szCs w:val="22"/>
        </w:rPr>
        <w:t>pre</w:t>
      </w:r>
      <w:r w:rsidRPr="00442616">
        <w:rPr>
          <w:sz w:val="22"/>
          <w:szCs w:val="22"/>
          <w:lang w:val="sr-Latn-ME"/>
        </w:rPr>
        <w:t>ž</w:t>
      </w:r>
      <w:r>
        <w:rPr>
          <w:sz w:val="22"/>
          <w:szCs w:val="22"/>
        </w:rPr>
        <w:t>ivljavanja</w:t>
      </w:r>
      <w:r w:rsidRPr="00442616">
        <w:rPr>
          <w:sz w:val="22"/>
          <w:szCs w:val="22"/>
          <w:lang w:val="sr-Latn-ME"/>
        </w:rPr>
        <w:t xml:space="preserve"> </w:t>
      </w:r>
      <w:r>
        <w:rPr>
          <w:sz w:val="22"/>
          <w:szCs w:val="22"/>
        </w:rPr>
        <w:t>iz</w:t>
      </w:r>
      <w:r w:rsidRPr="00442616">
        <w:rPr>
          <w:sz w:val="22"/>
          <w:szCs w:val="22"/>
          <w:lang w:val="sr-Latn-ME"/>
        </w:rPr>
        <w:t xml:space="preserve"> </w:t>
      </w:r>
      <w:r>
        <w:rPr>
          <w:sz w:val="22"/>
          <w:szCs w:val="22"/>
        </w:rPr>
        <w:t>grupne</w:t>
      </w:r>
      <w:r w:rsidRPr="00442616">
        <w:rPr>
          <w:sz w:val="22"/>
          <w:szCs w:val="22"/>
          <w:lang w:val="sr-Latn-ME"/>
        </w:rPr>
        <w:t xml:space="preserve"> </w:t>
      </w:r>
      <w:r>
        <w:rPr>
          <w:sz w:val="22"/>
          <w:szCs w:val="22"/>
        </w:rPr>
        <w:t>analize</w:t>
      </w:r>
      <w:r w:rsidRPr="00442616">
        <w:rPr>
          <w:sz w:val="22"/>
          <w:szCs w:val="22"/>
          <w:lang w:val="sr-Latn-ME"/>
        </w:rPr>
        <w:t xml:space="preserve"> </w:t>
      </w:r>
      <w:r>
        <w:rPr>
          <w:sz w:val="22"/>
          <w:szCs w:val="22"/>
        </w:rPr>
        <w:t>Studija</w:t>
      </w:r>
      <w:r w:rsidRPr="00442616">
        <w:rPr>
          <w:sz w:val="22"/>
          <w:szCs w:val="22"/>
          <w:lang w:val="sr-Latn-ME"/>
        </w:rPr>
        <w:t xml:space="preserve"> </w:t>
      </w:r>
      <w:r>
        <w:rPr>
          <w:sz w:val="22"/>
          <w:szCs w:val="22"/>
        </w:rPr>
        <w:t>NSABP</w:t>
      </w:r>
      <w:r w:rsidRPr="00442616">
        <w:rPr>
          <w:sz w:val="22"/>
          <w:szCs w:val="22"/>
          <w:lang w:val="sr-Latn-ME"/>
        </w:rPr>
        <w:t xml:space="preserve"> </w:t>
      </w:r>
      <w:r>
        <w:rPr>
          <w:sz w:val="22"/>
          <w:szCs w:val="22"/>
        </w:rPr>
        <w:t>B</w:t>
      </w:r>
      <w:r w:rsidRPr="00442616">
        <w:rPr>
          <w:sz w:val="22"/>
          <w:szCs w:val="22"/>
          <w:lang w:val="sr-Latn-ME"/>
        </w:rPr>
        <w:t xml:space="preserve">-31 </w:t>
      </w:r>
      <w:r>
        <w:rPr>
          <w:sz w:val="22"/>
          <w:szCs w:val="22"/>
        </w:rPr>
        <w:t>i</w:t>
      </w:r>
      <w:r w:rsidRPr="00442616">
        <w:rPr>
          <w:sz w:val="22"/>
          <w:szCs w:val="22"/>
          <w:lang w:val="sr-Latn-ME"/>
        </w:rPr>
        <w:t xml:space="preserve"> </w:t>
      </w:r>
      <w:r>
        <w:rPr>
          <w:sz w:val="22"/>
          <w:szCs w:val="22"/>
        </w:rPr>
        <w:t>NCCTG</w:t>
      </w:r>
      <w:r w:rsidRPr="00442616">
        <w:rPr>
          <w:sz w:val="22"/>
          <w:szCs w:val="22"/>
          <w:lang w:val="sr-Latn-ME"/>
        </w:rPr>
        <w:t xml:space="preserve"> </w:t>
      </w:r>
      <w:r>
        <w:rPr>
          <w:sz w:val="22"/>
          <w:szCs w:val="22"/>
        </w:rPr>
        <w:t>N</w:t>
      </w:r>
      <w:r w:rsidRPr="00442616">
        <w:rPr>
          <w:sz w:val="22"/>
          <w:szCs w:val="22"/>
          <w:lang w:val="sr-Latn-ME"/>
        </w:rPr>
        <w:t xml:space="preserve">9831 </w:t>
      </w:r>
      <w:r>
        <w:rPr>
          <w:sz w:val="22"/>
          <w:szCs w:val="22"/>
        </w:rPr>
        <w:t>sa</w:t>
      </w:r>
      <w:r w:rsidRPr="00442616">
        <w:rPr>
          <w:sz w:val="22"/>
          <w:szCs w:val="22"/>
          <w:lang w:val="sr-Latn-ME"/>
        </w:rPr>
        <w:t>ž</w:t>
      </w:r>
      <w:r>
        <w:rPr>
          <w:sz w:val="22"/>
          <w:szCs w:val="22"/>
        </w:rPr>
        <w:t>eto</w:t>
      </w:r>
      <w:r w:rsidRPr="00442616">
        <w:rPr>
          <w:sz w:val="22"/>
          <w:szCs w:val="22"/>
          <w:lang w:val="sr-Latn-ME"/>
        </w:rPr>
        <w:t xml:space="preserve"> </w:t>
      </w:r>
      <w:r>
        <w:rPr>
          <w:sz w:val="22"/>
          <w:szCs w:val="22"/>
        </w:rPr>
        <w:t>su</w:t>
      </w:r>
      <w:r w:rsidRPr="00442616">
        <w:rPr>
          <w:sz w:val="22"/>
          <w:szCs w:val="22"/>
          <w:lang w:val="sr-Latn-ME"/>
        </w:rPr>
        <w:t xml:space="preserve"> </w:t>
      </w:r>
      <w:r>
        <w:rPr>
          <w:sz w:val="22"/>
          <w:szCs w:val="22"/>
        </w:rPr>
        <w:t>prikazani</w:t>
      </w:r>
      <w:r w:rsidRPr="00442616">
        <w:rPr>
          <w:sz w:val="22"/>
          <w:szCs w:val="22"/>
          <w:lang w:val="sr-Latn-ME"/>
        </w:rPr>
        <w:t xml:space="preserve"> </w:t>
      </w:r>
      <w:r>
        <w:rPr>
          <w:sz w:val="22"/>
          <w:szCs w:val="22"/>
        </w:rPr>
        <w:t>u</w:t>
      </w:r>
      <w:r w:rsidRPr="00442616">
        <w:rPr>
          <w:sz w:val="22"/>
          <w:szCs w:val="22"/>
          <w:lang w:val="sr-Latn-ME"/>
        </w:rPr>
        <w:t xml:space="preserve"> </w:t>
      </w:r>
      <w:r>
        <w:rPr>
          <w:sz w:val="22"/>
          <w:szCs w:val="22"/>
        </w:rPr>
        <w:t>Tabeli </w:t>
      </w:r>
      <w:r w:rsidRPr="00442616">
        <w:rPr>
          <w:sz w:val="22"/>
          <w:szCs w:val="22"/>
          <w:lang w:val="sr-Latn-ME"/>
        </w:rPr>
        <w:t xml:space="preserve">8 </w:t>
      </w:r>
      <w:r>
        <w:rPr>
          <w:sz w:val="22"/>
          <w:szCs w:val="22"/>
        </w:rPr>
        <w:t>u</w:t>
      </w:r>
      <w:r w:rsidRPr="00442616">
        <w:rPr>
          <w:sz w:val="22"/>
          <w:szCs w:val="22"/>
          <w:lang w:val="sr-Latn-ME"/>
        </w:rPr>
        <w:t xml:space="preserve"> </w:t>
      </w:r>
      <w:r>
        <w:rPr>
          <w:sz w:val="22"/>
          <w:szCs w:val="22"/>
        </w:rPr>
        <w:t>nastavku</w:t>
      </w:r>
      <w:r w:rsidRPr="00442616">
        <w:rPr>
          <w:sz w:val="22"/>
          <w:szCs w:val="22"/>
          <w:lang w:val="sr-Latn-ME"/>
        </w:rPr>
        <w:t>:</w:t>
      </w:r>
    </w:p>
    <w:p w14:paraId="04841C96" w14:textId="77777777" w:rsidR="00B05AA9" w:rsidRPr="00442616" w:rsidRDefault="00B05AA9" w:rsidP="00641EEB">
      <w:pPr>
        <w:keepNext/>
        <w:jc w:val="both"/>
        <w:outlineLvl w:val="6"/>
        <w:rPr>
          <w:sz w:val="22"/>
          <w:szCs w:val="22"/>
          <w:lang w:val="sr-Latn-ME"/>
        </w:rPr>
      </w:pPr>
    </w:p>
    <w:p w14:paraId="5B494F07" w14:textId="77777777" w:rsidR="00B05AA9" w:rsidRPr="00442616" w:rsidRDefault="00B05AA9" w:rsidP="00641EEB">
      <w:pPr>
        <w:keepNext/>
        <w:jc w:val="both"/>
        <w:outlineLvl w:val="6"/>
        <w:rPr>
          <w:sz w:val="22"/>
          <w:szCs w:val="22"/>
          <w:lang w:val="sr-Latn-ME"/>
        </w:rPr>
      </w:pPr>
      <w:r>
        <w:rPr>
          <w:sz w:val="22"/>
          <w:szCs w:val="22"/>
        </w:rPr>
        <w:t>Tabela</w:t>
      </w:r>
      <w:r w:rsidRPr="00442616">
        <w:rPr>
          <w:sz w:val="22"/>
          <w:szCs w:val="22"/>
          <w:lang w:val="sr-Latn-ME"/>
        </w:rPr>
        <w:t xml:space="preserve"> 8. </w:t>
      </w:r>
      <w:r>
        <w:rPr>
          <w:sz w:val="22"/>
          <w:szCs w:val="22"/>
        </w:rPr>
        <w:t>Kona</w:t>
      </w:r>
      <w:r w:rsidRPr="00442616">
        <w:rPr>
          <w:sz w:val="22"/>
          <w:szCs w:val="22"/>
          <w:lang w:val="sr-Latn-ME"/>
        </w:rPr>
        <w:t>č</w:t>
      </w:r>
      <w:r>
        <w:rPr>
          <w:sz w:val="22"/>
          <w:szCs w:val="22"/>
        </w:rPr>
        <w:t>na</w:t>
      </w:r>
      <w:r w:rsidRPr="00442616">
        <w:rPr>
          <w:sz w:val="22"/>
          <w:szCs w:val="22"/>
          <w:lang w:val="sr-Latn-ME"/>
        </w:rPr>
        <w:t xml:space="preserve"> </w:t>
      </w:r>
      <w:r>
        <w:rPr>
          <w:sz w:val="22"/>
          <w:szCs w:val="22"/>
        </w:rPr>
        <w:t>analiza</w:t>
      </w:r>
      <w:r w:rsidRPr="00442616">
        <w:rPr>
          <w:sz w:val="22"/>
          <w:szCs w:val="22"/>
          <w:lang w:val="sr-Latn-ME"/>
        </w:rPr>
        <w:t xml:space="preserve"> </w:t>
      </w:r>
      <w:r>
        <w:rPr>
          <w:sz w:val="22"/>
          <w:szCs w:val="22"/>
        </w:rPr>
        <w:t>ukupnog</w:t>
      </w:r>
      <w:r w:rsidRPr="00442616">
        <w:rPr>
          <w:sz w:val="22"/>
          <w:szCs w:val="22"/>
          <w:lang w:val="sr-Latn-ME"/>
        </w:rPr>
        <w:t xml:space="preserve"> </w:t>
      </w:r>
      <w:r>
        <w:rPr>
          <w:sz w:val="22"/>
          <w:szCs w:val="22"/>
        </w:rPr>
        <w:t>pre</w:t>
      </w:r>
      <w:r w:rsidRPr="00442616">
        <w:rPr>
          <w:sz w:val="22"/>
          <w:szCs w:val="22"/>
          <w:lang w:val="sr-Latn-ME"/>
        </w:rPr>
        <w:t>ž</w:t>
      </w:r>
      <w:r>
        <w:rPr>
          <w:sz w:val="22"/>
          <w:szCs w:val="22"/>
        </w:rPr>
        <w:t>ivljavanja</w:t>
      </w:r>
      <w:r w:rsidRPr="00442616">
        <w:rPr>
          <w:sz w:val="22"/>
          <w:szCs w:val="22"/>
          <w:lang w:val="sr-Latn-ME"/>
        </w:rPr>
        <w:t xml:space="preserve"> </w:t>
      </w:r>
      <w:r>
        <w:rPr>
          <w:sz w:val="22"/>
          <w:szCs w:val="22"/>
        </w:rPr>
        <w:t>iz</w:t>
      </w:r>
      <w:r w:rsidRPr="00442616">
        <w:rPr>
          <w:sz w:val="22"/>
          <w:szCs w:val="22"/>
          <w:lang w:val="sr-Latn-ME"/>
        </w:rPr>
        <w:t xml:space="preserve"> </w:t>
      </w:r>
      <w:r>
        <w:rPr>
          <w:sz w:val="22"/>
          <w:szCs w:val="22"/>
        </w:rPr>
        <w:t>grupne</w:t>
      </w:r>
      <w:r w:rsidRPr="00442616">
        <w:rPr>
          <w:sz w:val="22"/>
          <w:szCs w:val="22"/>
          <w:lang w:val="sr-Latn-ME"/>
        </w:rPr>
        <w:t xml:space="preserve"> </w:t>
      </w:r>
      <w:r>
        <w:rPr>
          <w:sz w:val="22"/>
          <w:szCs w:val="22"/>
        </w:rPr>
        <w:t>analize</w:t>
      </w:r>
      <w:r w:rsidRPr="00442616">
        <w:rPr>
          <w:sz w:val="22"/>
          <w:szCs w:val="22"/>
          <w:lang w:val="sr-Latn-ME"/>
        </w:rPr>
        <w:t xml:space="preserve"> </w:t>
      </w:r>
      <w:r>
        <w:rPr>
          <w:sz w:val="22"/>
          <w:szCs w:val="22"/>
        </w:rPr>
        <w:t>Studija</w:t>
      </w:r>
      <w:r w:rsidRPr="00442616">
        <w:rPr>
          <w:sz w:val="22"/>
          <w:szCs w:val="22"/>
          <w:lang w:val="sr-Latn-ME"/>
        </w:rPr>
        <w:t xml:space="preserve"> </w:t>
      </w:r>
      <w:r>
        <w:rPr>
          <w:sz w:val="22"/>
          <w:szCs w:val="22"/>
        </w:rPr>
        <w:t>NSABP</w:t>
      </w:r>
      <w:r w:rsidRPr="00442616">
        <w:rPr>
          <w:sz w:val="22"/>
          <w:szCs w:val="22"/>
          <w:lang w:val="sr-Latn-ME"/>
        </w:rPr>
        <w:t xml:space="preserve"> </w:t>
      </w:r>
      <w:r>
        <w:rPr>
          <w:sz w:val="22"/>
          <w:szCs w:val="22"/>
        </w:rPr>
        <w:t>B</w:t>
      </w:r>
      <w:r w:rsidRPr="00442616">
        <w:rPr>
          <w:sz w:val="22"/>
          <w:szCs w:val="22"/>
          <w:lang w:val="sr-Latn-ME"/>
        </w:rPr>
        <w:t xml:space="preserve">-31 </w:t>
      </w:r>
      <w:r>
        <w:rPr>
          <w:sz w:val="22"/>
          <w:szCs w:val="22"/>
        </w:rPr>
        <w:t>i</w:t>
      </w:r>
      <w:r w:rsidRPr="00442616">
        <w:rPr>
          <w:sz w:val="22"/>
          <w:szCs w:val="22"/>
          <w:lang w:val="sr-Latn-ME"/>
        </w:rPr>
        <w:t xml:space="preserve"> </w:t>
      </w:r>
      <w:r>
        <w:rPr>
          <w:sz w:val="22"/>
          <w:szCs w:val="22"/>
        </w:rPr>
        <w:t>NCCTG</w:t>
      </w:r>
      <w:r w:rsidRPr="00442616">
        <w:rPr>
          <w:sz w:val="22"/>
          <w:szCs w:val="22"/>
          <w:lang w:val="sr-Latn-ME"/>
        </w:rPr>
        <w:t xml:space="preserve"> </w:t>
      </w:r>
      <w:r>
        <w:rPr>
          <w:sz w:val="22"/>
          <w:szCs w:val="22"/>
        </w:rPr>
        <w:t>N</w:t>
      </w:r>
      <w:r w:rsidRPr="00442616">
        <w:rPr>
          <w:sz w:val="22"/>
          <w:szCs w:val="22"/>
          <w:lang w:val="sr-Latn-ME"/>
        </w:rPr>
        <w:t xml:space="preserve">9831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3000"/>
        <w:gridCol w:w="1383"/>
        <w:gridCol w:w="1552"/>
        <w:gridCol w:w="1537"/>
        <w:gridCol w:w="1603"/>
      </w:tblGrid>
      <w:tr w:rsidR="00B05AA9" w:rsidRPr="00E81BEF" w14:paraId="7535DBDF" w14:textId="77777777" w:rsidTr="00B05AA9">
        <w:tc>
          <w:tcPr>
            <w:tcW w:w="3045" w:type="dxa"/>
            <w:tcBorders>
              <w:top w:val="single" w:sz="4" w:space="0" w:color="auto"/>
              <w:left w:val="single" w:sz="4" w:space="0" w:color="auto"/>
              <w:bottom w:val="single" w:sz="4" w:space="0" w:color="auto"/>
              <w:right w:val="single" w:sz="4" w:space="0" w:color="auto"/>
            </w:tcBorders>
          </w:tcPr>
          <w:p w14:paraId="2669A3A6" w14:textId="77777777" w:rsidR="00B05AA9" w:rsidRDefault="00B05AA9" w:rsidP="00BA76B8">
            <w:pPr>
              <w:keepNext/>
              <w:rPr>
                <w:sz w:val="22"/>
                <w:szCs w:val="22"/>
              </w:rPr>
            </w:pPr>
            <w:r>
              <w:rPr>
                <w:sz w:val="22"/>
                <w:szCs w:val="22"/>
              </w:rPr>
              <w:t>Parametar</w:t>
            </w:r>
          </w:p>
          <w:p w14:paraId="3DB7E48E" w14:textId="77777777" w:rsidR="00B05AA9" w:rsidRDefault="00B05AA9" w:rsidP="00BA76B8">
            <w:pPr>
              <w:keepNext/>
              <w:rPr>
                <w:sz w:val="22"/>
                <w:szCs w:val="22"/>
              </w:rPr>
            </w:pPr>
          </w:p>
        </w:tc>
        <w:tc>
          <w:tcPr>
            <w:tcW w:w="1403" w:type="dxa"/>
            <w:tcBorders>
              <w:top w:val="single" w:sz="4" w:space="0" w:color="auto"/>
              <w:left w:val="single" w:sz="4" w:space="0" w:color="auto"/>
              <w:bottom w:val="single" w:sz="4" w:space="0" w:color="auto"/>
              <w:right w:val="single" w:sz="4" w:space="0" w:color="auto"/>
            </w:tcBorders>
            <w:hideMark/>
          </w:tcPr>
          <w:p w14:paraId="52C7FFD7" w14:textId="77777777" w:rsidR="00B05AA9" w:rsidRDefault="00B05AA9" w:rsidP="00BA76B8">
            <w:pPr>
              <w:keepNext/>
              <w:jc w:val="center"/>
              <w:rPr>
                <w:sz w:val="22"/>
                <w:szCs w:val="22"/>
              </w:rPr>
            </w:pPr>
            <w:r>
              <w:rPr>
                <w:sz w:val="22"/>
                <w:szCs w:val="22"/>
              </w:rPr>
              <w:t>AC→P</w:t>
            </w:r>
          </w:p>
          <w:p w14:paraId="5DAEB64B" w14:textId="77777777" w:rsidR="00B05AA9" w:rsidRDefault="00B05AA9" w:rsidP="00BA76B8">
            <w:pPr>
              <w:keepNext/>
              <w:jc w:val="center"/>
              <w:rPr>
                <w:sz w:val="22"/>
                <w:szCs w:val="22"/>
              </w:rPr>
            </w:pPr>
            <w:r>
              <w:rPr>
                <w:sz w:val="22"/>
                <w:szCs w:val="22"/>
              </w:rPr>
              <w:t>(N=2032)</w:t>
            </w:r>
          </w:p>
        </w:tc>
        <w:tc>
          <w:tcPr>
            <w:tcW w:w="1574" w:type="dxa"/>
            <w:tcBorders>
              <w:top w:val="single" w:sz="4" w:space="0" w:color="auto"/>
              <w:left w:val="single" w:sz="4" w:space="0" w:color="auto"/>
              <w:bottom w:val="single" w:sz="4" w:space="0" w:color="auto"/>
              <w:right w:val="single" w:sz="4" w:space="0" w:color="auto"/>
            </w:tcBorders>
            <w:hideMark/>
          </w:tcPr>
          <w:p w14:paraId="12943743" w14:textId="77777777" w:rsidR="00B05AA9" w:rsidRDefault="00B05AA9" w:rsidP="00BA76B8">
            <w:pPr>
              <w:keepNext/>
              <w:jc w:val="center"/>
              <w:rPr>
                <w:sz w:val="22"/>
                <w:szCs w:val="22"/>
              </w:rPr>
            </w:pPr>
            <w:r>
              <w:rPr>
                <w:sz w:val="22"/>
                <w:szCs w:val="22"/>
              </w:rPr>
              <w:t>AC→PH</w:t>
            </w:r>
          </w:p>
          <w:p w14:paraId="5B18BAEA" w14:textId="77777777" w:rsidR="00B05AA9" w:rsidRDefault="00B05AA9" w:rsidP="00BA76B8">
            <w:pPr>
              <w:keepNext/>
              <w:jc w:val="center"/>
              <w:rPr>
                <w:sz w:val="22"/>
                <w:szCs w:val="22"/>
              </w:rPr>
            </w:pPr>
            <w:r>
              <w:rPr>
                <w:sz w:val="22"/>
                <w:szCs w:val="22"/>
              </w:rPr>
              <w:t>(N=2031)</w:t>
            </w:r>
          </w:p>
        </w:tc>
        <w:tc>
          <w:tcPr>
            <w:tcW w:w="1559" w:type="dxa"/>
            <w:tcBorders>
              <w:top w:val="single" w:sz="4" w:space="0" w:color="auto"/>
              <w:left w:val="single" w:sz="4" w:space="0" w:color="auto"/>
              <w:bottom w:val="single" w:sz="4" w:space="0" w:color="auto"/>
              <w:right w:val="single" w:sz="4" w:space="0" w:color="auto"/>
            </w:tcBorders>
          </w:tcPr>
          <w:p w14:paraId="5EC777FA" w14:textId="77777777" w:rsidR="00B05AA9" w:rsidRDefault="00B05AA9" w:rsidP="00BA76B8">
            <w:pPr>
              <w:keepNext/>
              <w:jc w:val="center"/>
              <w:rPr>
                <w:sz w:val="22"/>
                <w:szCs w:val="22"/>
              </w:rPr>
            </w:pPr>
            <w:r>
              <w:rPr>
                <w:sz w:val="22"/>
                <w:szCs w:val="22"/>
              </w:rPr>
              <w:t>p-vrijednost naspram AC→P</w:t>
            </w:r>
          </w:p>
          <w:p w14:paraId="25528AE9" w14:textId="77777777" w:rsidR="00B05AA9" w:rsidRDefault="00B05AA9" w:rsidP="00BA76B8">
            <w:pPr>
              <w:keepNext/>
              <w:jc w:val="center"/>
              <w:rPr>
                <w:sz w:val="22"/>
                <w:szCs w:val="22"/>
              </w:rPr>
            </w:pPr>
          </w:p>
        </w:tc>
        <w:tc>
          <w:tcPr>
            <w:tcW w:w="1626" w:type="dxa"/>
            <w:tcBorders>
              <w:top w:val="single" w:sz="4" w:space="0" w:color="auto"/>
              <w:left w:val="single" w:sz="4" w:space="0" w:color="auto"/>
              <w:bottom w:val="single" w:sz="4" w:space="0" w:color="auto"/>
              <w:right w:val="single" w:sz="4" w:space="0" w:color="auto"/>
            </w:tcBorders>
            <w:hideMark/>
          </w:tcPr>
          <w:p w14:paraId="6AA7E55B" w14:textId="77777777" w:rsidR="00B05AA9" w:rsidRPr="00442616" w:rsidRDefault="00B05AA9" w:rsidP="00BA76B8">
            <w:pPr>
              <w:keepNext/>
              <w:jc w:val="center"/>
              <w:rPr>
                <w:sz w:val="22"/>
                <w:szCs w:val="22"/>
                <w:lang w:val="pt-BR"/>
              </w:rPr>
            </w:pPr>
            <w:r w:rsidRPr="00442616">
              <w:rPr>
                <w:sz w:val="22"/>
                <w:szCs w:val="22"/>
                <w:lang w:val="pt-BR"/>
              </w:rPr>
              <w:t>Odnos hazarda naspram AC→P</w:t>
            </w:r>
          </w:p>
          <w:p w14:paraId="4616D6A9" w14:textId="77777777" w:rsidR="00B05AA9" w:rsidRPr="00442616" w:rsidRDefault="00B05AA9" w:rsidP="00BA76B8">
            <w:pPr>
              <w:keepNext/>
              <w:jc w:val="center"/>
              <w:rPr>
                <w:sz w:val="22"/>
                <w:szCs w:val="22"/>
                <w:lang w:val="pt-BR"/>
              </w:rPr>
            </w:pPr>
            <w:r w:rsidRPr="00442616">
              <w:rPr>
                <w:sz w:val="22"/>
                <w:szCs w:val="22"/>
                <w:lang w:val="pt-BR"/>
              </w:rPr>
              <w:t>(95% CI)</w:t>
            </w:r>
          </w:p>
        </w:tc>
      </w:tr>
      <w:tr w:rsidR="00B05AA9" w14:paraId="4C9F68C4" w14:textId="77777777" w:rsidTr="00B05AA9">
        <w:tc>
          <w:tcPr>
            <w:tcW w:w="3045" w:type="dxa"/>
            <w:tcBorders>
              <w:top w:val="single" w:sz="4" w:space="0" w:color="auto"/>
              <w:left w:val="single" w:sz="4" w:space="0" w:color="auto"/>
              <w:bottom w:val="single" w:sz="4" w:space="0" w:color="auto"/>
              <w:right w:val="single" w:sz="4" w:space="0" w:color="auto"/>
            </w:tcBorders>
            <w:hideMark/>
          </w:tcPr>
          <w:p w14:paraId="2E40E8FB" w14:textId="77777777" w:rsidR="00B05AA9" w:rsidRPr="00442616" w:rsidRDefault="00B05AA9" w:rsidP="00BA76B8">
            <w:pPr>
              <w:keepNext/>
              <w:rPr>
                <w:sz w:val="22"/>
                <w:szCs w:val="22"/>
                <w:lang w:val="pt-BR"/>
              </w:rPr>
            </w:pPr>
            <w:r w:rsidRPr="00442616">
              <w:rPr>
                <w:sz w:val="22"/>
                <w:szCs w:val="22"/>
                <w:lang w:val="pt-BR"/>
              </w:rPr>
              <w:t>Smrt (događaj ukupnog preživljavanja):</w:t>
            </w:r>
          </w:p>
          <w:p w14:paraId="0B36BF7A" w14:textId="77777777" w:rsidR="00B05AA9" w:rsidRPr="00442616" w:rsidRDefault="00B05AA9" w:rsidP="00BA76B8">
            <w:pPr>
              <w:keepNext/>
              <w:rPr>
                <w:sz w:val="22"/>
                <w:szCs w:val="22"/>
                <w:lang w:val="pt-BR"/>
              </w:rPr>
            </w:pPr>
            <w:r w:rsidRPr="00442616">
              <w:rPr>
                <w:sz w:val="22"/>
                <w:szCs w:val="22"/>
                <w:lang w:val="pt-BR"/>
              </w:rPr>
              <w:t>broj pacijentkinja sa događajem (%)</w:t>
            </w:r>
          </w:p>
        </w:tc>
        <w:tc>
          <w:tcPr>
            <w:tcW w:w="1403" w:type="dxa"/>
            <w:tcBorders>
              <w:top w:val="single" w:sz="4" w:space="0" w:color="auto"/>
              <w:left w:val="single" w:sz="4" w:space="0" w:color="auto"/>
              <w:bottom w:val="single" w:sz="4" w:space="0" w:color="auto"/>
              <w:right w:val="single" w:sz="4" w:space="0" w:color="auto"/>
            </w:tcBorders>
          </w:tcPr>
          <w:p w14:paraId="4E5C5A13" w14:textId="77777777" w:rsidR="00B05AA9" w:rsidRPr="00442616" w:rsidRDefault="00B05AA9" w:rsidP="00BA76B8">
            <w:pPr>
              <w:keepNext/>
              <w:jc w:val="center"/>
              <w:rPr>
                <w:sz w:val="22"/>
                <w:szCs w:val="22"/>
                <w:lang w:val="pt-BR"/>
              </w:rPr>
            </w:pPr>
          </w:p>
          <w:p w14:paraId="47F871EE" w14:textId="77777777" w:rsidR="00B05AA9" w:rsidRDefault="00B05AA9" w:rsidP="00BA76B8">
            <w:pPr>
              <w:keepNext/>
              <w:jc w:val="center"/>
              <w:rPr>
                <w:sz w:val="22"/>
                <w:szCs w:val="22"/>
              </w:rPr>
            </w:pPr>
            <w:r>
              <w:rPr>
                <w:sz w:val="22"/>
                <w:szCs w:val="22"/>
              </w:rPr>
              <w:t>418 (20</w:t>
            </w:r>
            <w:proofErr w:type="gramStart"/>
            <w:r>
              <w:rPr>
                <w:sz w:val="22"/>
                <w:szCs w:val="22"/>
              </w:rPr>
              <w:t>,6</w:t>
            </w:r>
            <w:proofErr w:type="gramEnd"/>
            <w:r>
              <w:rPr>
                <w:sz w:val="22"/>
                <w:szCs w:val="22"/>
              </w:rPr>
              <w:t>%)</w:t>
            </w:r>
          </w:p>
        </w:tc>
        <w:tc>
          <w:tcPr>
            <w:tcW w:w="1574" w:type="dxa"/>
            <w:tcBorders>
              <w:top w:val="single" w:sz="4" w:space="0" w:color="auto"/>
              <w:left w:val="single" w:sz="4" w:space="0" w:color="auto"/>
              <w:bottom w:val="single" w:sz="4" w:space="0" w:color="auto"/>
              <w:right w:val="single" w:sz="4" w:space="0" w:color="auto"/>
            </w:tcBorders>
          </w:tcPr>
          <w:p w14:paraId="213787F0" w14:textId="77777777" w:rsidR="00B05AA9" w:rsidRDefault="00B05AA9" w:rsidP="00BA76B8">
            <w:pPr>
              <w:keepNext/>
              <w:jc w:val="center"/>
              <w:rPr>
                <w:sz w:val="22"/>
                <w:szCs w:val="22"/>
              </w:rPr>
            </w:pPr>
          </w:p>
          <w:p w14:paraId="6A66B8CF" w14:textId="77777777" w:rsidR="00B05AA9" w:rsidRDefault="00B05AA9" w:rsidP="00BA76B8">
            <w:pPr>
              <w:keepNext/>
              <w:jc w:val="center"/>
              <w:rPr>
                <w:sz w:val="22"/>
                <w:szCs w:val="22"/>
              </w:rPr>
            </w:pPr>
            <w:r>
              <w:rPr>
                <w:sz w:val="22"/>
                <w:szCs w:val="22"/>
              </w:rPr>
              <w:t>289 (14</w:t>
            </w:r>
            <w:proofErr w:type="gramStart"/>
            <w:r>
              <w:rPr>
                <w:sz w:val="22"/>
                <w:szCs w:val="22"/>
              </w:rPr>
              <w:t>,2</w:t>
            </w:r>
            <w:proofErr w:type="gramEnd"/>
            <w:r>
              <w:rPr>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01CCC701" w14:textId="77777777" w:rsidR="00B05AA9" w:rsidRDefault="00B05AA9" w:rsidP="00BA76B8">
            <w:pPr>
              <w:keepNext/>
              <w:jc w:val="center"/>
              <w:rPr>
                <w:sz w:val="22"/>
                <w:szCs w:val="22"/>
              </w:rPr>
            </w:pPr>
          </w:p>
          <w:p w14:paraId="27FB10C3" w14:textId="77777777" w:rsidR="00B05AA9" w:rsidRDefault="00B05AA9" w:rsidP="00BA76B8">
            <w:pPr>
              <w:keepNext/>
              <w:jc w:val="center"/>
              <w:rPr>
                <w:sz w:val="22"/>
                <w:szCs w:val="22"/>
              </w:rPr>
            </w:pPr>
            <w:r>
              <w:rPr>
                <w:sz w:val="22"/>
                <w:szCs w:val="22"/>
              </w:rPr>
              <w:t>&lt; 0,0001</w:t>
            </w:r>
          </w:p>
        </w:tc>
        <w:tc>
          <w:tcPr>
            <w:tcW w:w="1626" w:type="dxa"/>
            <w:tcBorders>
              <w:top w:val="single" w:sz="4" w:space="0" w:color="auto"/>
              <w:left w:val="single" w:sz="4" w:space="0" w:color="auto"/>
              <w:bottom w:val="single" w:sz="4" w:space="0" w:color="auto"/>
              <w:right w:val="single" w:sz="4" w:space="0" w:color="auto"/>
            </w:tcBorders>
          </w:tcPr>
          <w:p w14:paraId="65BEC070" w14:textId="77777777" w:rsidR="00B05AA9" w:rsidRDefault="00B05AA9" w:rsidP="00BA76B8">
            <w:pPr>
              <w:keepNext/>
              <w:jc w:val="center"/>
              <w:rPr>
                <w:sz w:val="22"/>
                <w:szCs w:val="22"/>
              </w:rPr>
            </w:pPr>
          </w:p>
          <w:p w14:paraId="61E970FC" w14:textId="77777777" w:rsidR="00B05AA9" w:rsidRDefault="00B05AA9" w:rsidP="00BA76B8">
            <w:pPr>
              <w:keepNext/>
              <w:jc w:val="center"/>
              <w:rPr>
                <w:sz w:val="22"/>
                <w:szCs w:val="22"/>
              </w:rPr>
            </w:pPr>
            <w:r>
              <w:rPr>
                <w:sz w:val="22"/>
                <w:szCs w:val="22"/>
              </w:rPr>
              <w:t>0,64</w:t>
            </w:r>
          </w:p>
          <w:p w14:paraId="53A06DC1" w14:textId="77777777" w:rsidR="00B05AA9" w:rsidRDefault="00B05AA9" w:rsidP="00BA76B8">
            <w:pPr>
              <w:keepNext/>
              <w:jc w:val="center"/>
              <w:rPr>
                <w:sz w:val="22"/>
                <w:szCs w:val="22"/>
              </w:rPr>
            </w:pPr>
            <w:r>
              <w:rPr>
                <w:sz w:val="22"/>
                <w:szCs w:val="22"/>
              </w:rPr>
              <w:t>(0,55; 0,74)</w:t>
            </w:r>
          </w:p>
        </w:tc>
      </w:tr>
    </w:tbl>
    <w:p w14:paraId="1A831760" w14:textId="77777777" w:rsidR="00B05AA9" w:rsidRDefault="00B05AA9" w:rsidP="00641EEB">
      <w:pPr>
        <w:jc w:val="both"/>
        <w:rPr>
          <w:sz w:val="22"/>
          <w:szCs w:val="22"/>
          <w:lang w:val="sr-Latn-ME"/>
        </w:rPr>
      </w:pPr>
      <w:r>
        <w:rPr>
          <w:sz w:val="22"/>
          <w:szCs w:val="22"/>
        </w:rPr>
        <w:t>A: doksorubicin; C: ciklofosfamid; P: paklitaksel; H: trastuzumab</w:t>
      </w:r>
    </w:p>
    <w:p w14:paraId="32246E21" w14:textId="77777777" w:rsidR="00B05AA9" w:rsidRDefault="00B05AA9" w:rsidP="00641EEB">
      <w:pPr>
        <w:jc w:val="both"/>
        <w:rPr>
          <w:sz w:val="22"/>
          <w:szCs w:val="22"/>
        </w:rPr>
      </w:pPr>
    </w:p>
    <w:p w14:paraId="3AA1C0EE" w14:textId="3C3D3DA5" w:rsidR="00B05AA9" w:rsidRDefault="00B05AA9" w:rsidP="00641EEB">
      <w:pPr>
        <w:jc w:val="both"/>
        <w:outlineLvl w:val="0"/>
        <w:rPr>
          <w:sz w:val="22"/>
          <w:szCs w:val="22"/>
        </w:rPr>
      </w:pPr>
      <w:r>
        <w:rPr>
          <w:sz w:val="22"/>
          <w:szCs w:val="22"/>
        </w:rPr>
        <w:t>Analiza preživljavanja bez bolesti je takođe sprovedena prilikom konačne analize ukupnog preživljavanja iz grupne analize studija NSABP B-31 i NCCTG N9831. Nadopunjeni rezultati analize preživljavanja bez bolesti (stratifikovani odnos hazarda = 0</w:t>
      </w:r>
      <w:proofErr w:type="gramStart"/>
      <w:r>
        <w:rPr>
          <w:sz w:val="22"/>
          <w:szCs w:val="22"/>
        </w:rPr>
        <w:t>,61</w:t>
      </w:r>
      <w:proofErr w:type="gramEnd"/>
      <w:r>
        <w:rPr>
          <w:sz w:val="22"/>
          <w:szCs w:val="22"/>
        </w:rPr>
        <w:t xml:space="preserve">; 95% CI [0,54; 0,69]) pokazuju sličnu korist za preživljavanje bez bolesti kao i konačna primarna analiza preživljavanja bez bolesti, uprkos prelazu 24,8% pacijenata iz grupe liječene AC→P hemoterapijom u grupu koja je primala </w:t>
      </w:r>
      <w:r w:rsidR="007B5EC0">
        <w:rPr>
          <w:sz w:val="22"/>
          <w:szCs w:val="22"/>
        </w:rPr>
        <w:t xml:space="preserve">lijek </w:t>
      </w:r>
      <w:r>
        <w:rPr>
          <w:sz w:val="22"/>
          <w:szCs w:val="22"/>
        </w:rPr>
        <w:t>Herceptin. Nakon 8 godina, procijenjena stopa preživljavanja bez bolesti iznosila je 77</w:t>
      </w:r>
      <w:proofErr w:type="gramStart"/>
      <w:r>
        <w:rPr>
          <w:sz w:val="22"/>
          <w:szCs w:val="22"/>
        </w:rPr>
        <w:t>,2</w:t>
      </w:r>
      <w:proofErr w:type="gramEnd"/>
      <w:r>
        <w:rPr>
          <w:sz w:val="22"/>
          <w:szCs w:val="22"/>
        </w:rPr>
        <w:t>% (95% CI: 75,4; 79,1) u grupi liječenoj AC→PH hemoterapijom, što ukazuje na apsolutnu korist od 11,8% u poređenju sa liječenjem AC→P hemoterapijom.</w:t>
      </w:r>
    </w:p>
    <w:p w14:paraId="6A73353D" w14:textId="77777777" w:rsidR="00B05AA9" w:rsidRDefault="00B05AA9" w:rsidP="00641EEB">
      <w:pPr>
        <w:jc w:val="both"/>
        <w:rPr>
          <w:sz w:val="22"/>
          <w:szCs w:val="22"/>
        </w:rPr>
      </w:pPr>
    </w:p>
    <w:p w14:paraId="60CE49A3" w14:textId="72B91915" w:rsidR="00B05AA9" w:rsidRDefault="00B05AA9" w:rsidP="00641EEB">
      <w:pPr>
        <w:jc w:val="both"/>
        <w:rPr>
          <w:sz w:val="22"/>
          <w:szCs w:val="22"/>
        </w:rPr>
      </w:pPr>
      <w:r>
        <w:rPr>
          <w:sz w:val="22"/>
          <w:szCs w:val="22"/>
        </w:rPr>
        <w:t>U studiji BCIRG 006</w:t>
      </w:r>
      <w:r w:rsidR="007B5EC0">
        <w:rPr>
          <w:sz w:val="22"/>
          <w:szCs w:val="22"/>
        </w:rPr>
        <w:t xml:space="preserve"> lijek </w:t>
      </w:r>
      <w:r>
        <w:rPr>
          <w:sz w:val="22"/>
          <w:szCs w:val="22"/>
        </w:rPr>
        <w:t xml:space="preserve">Herceptin je primjenjivan u kombinaciji </w:t>
      </w:r>
      <w:proofErr w:type="gramStart"/>
      <w:r>
        <w:rPr>
          <w:sz w:val="22"/>
          <w:szCs w:val="22"/>
        </w:rPr>
        <w:t>sa</w:t>
      </w:r>
      <w:proofErr w:type="gramEnd"/>
      <w:r>
        <w:rPr>
          <w:sz w:val="22"/>
          <w:szCs w:val="22"/>
        </w:rPr>
        <w:t xml:space="preserve"> docetakselom, nakon AC hemoterapije (AC-DH) ili u kombinaciji sa docetakselom i karboplatinom (DCarbH).</w:t>
      </w:r>
    </w:p>
    <w:p w14:paraId="68338E67" w14:textId="77777777" w:rsidR="009D4A69" w:rsidRDefault="009D4A69" w:rsidP="00641EEB">
      <w:pPr>
        <w:jc w:val="both"/>
        <w:rPr>
          <w:sz w:val="22"/>
          <w:szCs w:val="22"/>
        </w:rPr>
      </w:pPr>
    </w:p>
    <w:p w14:paraId="64EBE24E" w14:textId="13E268FE" w:rsidR="00B05AA9" w:rsidRDefault="00B05AA9" w:rsidP="00641EEB">
      <w:pPr>
        <w:jc w:val="both"/>
        <w:rPr>
          <w:sz w:val="22"/>
          <w:szCs w:val="22"/>
          <w:lang w:val="fr-FR"/>
        </w:rPr>
      </w:pPr>
      <w:r>
        <w:rPr>
          <w:sz w:val="22"/>
          <w:szCs w:val="22"/>
          <w:lang w:val="fr-FR"/>
        </w:rPr>
        <w:t>Docetaksel je primjenjivan na sljede</w:t>
      </w:r>
      <w:r w:rsidRPr="00442616">
        <w:rPr>
          <w:sz w:val="22"/>
          <w:szCs w:val="22"/>
          <w:lang w:val="fr-FR"/>
        </w:rPr>
        <w:t>ć</w:t>
      </w:r>
      <w:r>
        <w:rPr>
          <w:sz w:val="22"/>
          <w:szCs w:val="22"/>
          <w:lang w:val="fr-FR"/>
        </w:rPr>
        <w:t>i na</w:t>
      </w:r>
      <w:r w:rsidRPr="00442616">
        <w:rPr>
          <w:sz w:val="22"/>
          <w:szCs w:val="22"/>
          <w:lang w:val="fr-FR"/>
        </w:rPr>
        <w:t>č</w:t>
      </w:r>
      <w:r>
        <w:rPr>
          <w:sz w:val="22"/>
          <w:szCs w:val="22"/>
          <w:lang w:val="fr-FR"/>
        </w:rPr>
        <w:t>in</w:t>
      </w:r>
      <w:r w:rsidRPr="00442616">
        <w:rPr>
          <w:sz w:val="22"/>
          <w:szCs w:val="22"/>
          <w:lang w:val="fr-FR"/>
        </w:rPr>
        <w:t>:</w:t>
      </w:r>
    </w:p>
    <w:p w14:paraId="6FE2A3B9" w14:textId="77777777" w:rsidR="007B5EC0" w:rsidRPr="00442616" w:rsidRDefault="007B5EC0" w:rsidP="00641EEB">
      <w:pPr>
        <w:jc w:val="both"/>
        <w:rPr>
          <w:sz w:val="22"/>
          <w:szCs w:val="22"/>
          <w:lang w:val="fr-FR"/>
        </w:rPr>
      </w:pPr>
    </w:p>
    <w:p w14:paraId="4855C059" w14:textId="1472C733" w:rsidR="00B05AA9" w:rsidRPr="00442616" w:rsidRDefault="00B05AA9" w:rsidP="00641EEB">
      <w:pPr>
        <w:numPr>
          <w:ilvl w:val="0"/>
          <w:numId w:val="19"/>
        </w:numPr>
        <w:tabs>
          <w:tab w:val="left" w:pos="284"/>
        </w:tabs>
        <w:ind w:left="284" w:hanging="284"/>
        <w:jc w:val="both"/>
        <w:rPr>
          <w:sz w:val="22"/>
          <w:szCs w:val="22"/>
          <w:lang w:val="fr-FR"/>
        </w:rPr>
      </w:pPr>
      <w:proofErr w:type="gramStart"/>
      <w:r>
        <w:rPr>
          <w:sz w:val="22"/>
          <w:szCs w:val="22"/>
          <w:lang w:val="fr-FR"/>
        </w:rPr>
        <w:t>intravenski</w:t>
      </w:r>
      <w:proofErr w:type="gramEnd"/>
      <w:r>
        <w:rPr>
          <w:sz w:val="22"/>
          <w:szCs w:val="22"/>
          <w:lang w:val="fr-FR"/>
        </w:rPr>
        <w:t xml:space="preserve"> docetaksel</w:t>
      </w:r>
      <w:r w:rsidRPr="00442616">
        <w:rPr>
          <w:sz w:val="22"/>
          <w:szCs w:val="22"/>
          <w:lang w:val="fr-FR"/>
        </w:rPr>
        <w:t xml:space="preserve"> </w:t>
      </w:r>
      <w:r w:rsidR="007B5EC0">
        <w:rPr>
          <w:sz w:val="22"/>
          <w:szCs w:val="22"/>
          <w:lang w:val="fr-FR"/>
        </w:rPr>
        <w:t>–</w:t>
      </w:r>
      <w:r w:rsidRPr="00442616">
        <w:rPr>
          <w:sz w:val="22"/>
          <w:szCs w:val="22"/>
          <w:lang w:val="fr-FR"/>
        </w:rPr>
        <w:t xml:space="preserve"> 100</w:t>
      </w:r>
      <w:r w:rsidR="007B5EC0">
        <w:rPr>
          <w:sz w:val="22"/>
          <w:szCs w:val="22"/>
          <w:lang w:val="fr-FR"/>
        </w:rPr>
        <w:t xml:space="preserve"> </w:t>
      </w:r>
      <w:r>
        <w:rPr>
          <w:sz w:val="22"/>
          <w:szCs w:val="22"/>
          <w:lang w:val="fr-FR"/>
        </w:rPr>
        <w:t>mg</w:t>
      </w:r>
      <w:r w:rsidRPr="00442616">
        <w:rPr>
          <w:sz w:val="22"/>
          <w:szCs w:val="22"/>
          <w:lang w:val="fr-FR"/>
        </w:rPr>
        <w:t>/</w:t>
      </w:r>
      <w:r>
        <w:rPr>
          <w:sz w:val="22"/>
          <w:szCs w:val="22"/>
          <w:lang w:val="fr-FR"/>
        </w:rPr>
        <w:t>m</w:t>
      </w:r>
      <w:r w:rsidRPr="00442616">
        <w:rPr>
          <w:sz w:val="22"/>
          <w:szCs w:val="22"/>
          <w:vertAlign w:val="superscript"/>
          <w:lang w:val="fr-FR"/>
        </w:rPr>
        <w:t xml:space="preserve">2 </w:t>
      </w:r>
      <w:r>
        <w:rPr>
          <w:sz w:val="22"/>
          <w:szCs w:val="22"/>
          <w:lang w:val="fr-FR"/>
        </w:rPr>
        <w:t>kao intravenska infuzija tokom</w:t>
      </w:r>
      <w:r w:rsidRPr="00442616">
        <w:rPr>
          <w:sz w:val="22"/>
          <w:szCs w:val="22"/>
          <w:lang w:val="fr-FR"/>
        </w:rPr>
        <w:t xml:space="preserve"> 1 č</w:t>
      </w:r>
      <w:r>
        <w:rPr>
          <w:sz w:val="22"/>
          <w:szCs w:val="22"/>
          <w:lang w:val="fr-FR"/>
        </w:rPr>
        <w:t>asa</w:t>
      </w:r>
      <w:r w:rsidRPr="00442616">
        <w:rPr>
          <w:sz w:val="22"/>
          <w:szCs w:val="22"/>
          <w:lang w:val="fr-FR"/>
        </w:rPr>
        <w:t xml:space="preserve">, </w:t>
      </w:r>
      <w:r>
        <w:rPr>
          <w:sz w:val="22"/>
          <w:szCs w:val="22"/>
          <w:lang w:val="fr-FR"/>
        </w:rPr>
        <w:t>svake</w:t>
      </w:r>
      <w:r w:rsidRPr="00442616">
        <w:rPr>
          <w:sz w:val="22"/>
          <w:szCs w:val="22"/>
          <w:lang w:val="fr-FR"/>
        </w:rPr>
        <w:t xml:space="preserve"> 3 </w:t>
      </w:r>
      <w:r>
        <w:rPr>
          <w:sz w:val="22"/>
          <w:szCs w:val="22"/>
          <w:lang w:val="fr-FR"/>
        </w:rPr>
        <w:t>nedjelje tokom</w:t>
      </w:r>
      <w:r w:rsidRPr="00442616">
        <w:rPr>
          <w:sz w:val="22"/>
          <w:szCs w:val="22"/>
          <w:lang w:val="fr-FR"/>
        </w:rPr>
        <w:t xml:space="preserve"> 4 </w:t>
      </w:r>
      <w:r>
        <w:rPr>
          <w:sz w:val="22"/>
          <w:szCs w:val="22"/>
          <w:lang w:val="fr-FR"/>
        </w:rPr>
        <w:t>ciklusa</w:t>
      </w:r>
      <w:r w:rsidRPr="00442616">
        <w:rPr>
          <w:sz w:val="22"/>
          <w:szCs w:val="22"/>
          <w:lang w:val="fr-FR"/>
        </w:rPr>
        <w:t xml:space="preserve"> (2. </w:t>
      </w:r>
      <w:proofErr w:type="gramStart"/>
      <w:r>
        <w:rPr>
          <w:sz w:val="22"/>
          <w:szCs w:val="22"/>
          <w:lang w:val="fr-FR"/>
        </w:rPr>
        <w:t>dan</w:t>
      </w:r>
      <w:proofErr w:type="gramEnd"/>
      <w:r>
        <w:rPr>
          <w:sz w:val="22"/>
          <w:szCs w:val="22"/>
          <w:lang w:val="fr-FR"/>
        </w:rPr>
        <w:t xml:space="preserve"> prvog ciklusa docetaksela</w:t>
      </w:r>
      <w:r w:rsidRPr="00442616">
        <w:rPr>
          <w:sz w:val="22"/>
          <w:szCs w:val="22"/>
          <w:lang w:val="fr-FR"/>
        </w:rPr>
        <w:t xml:space="preserve">, </w:t>
      </w:r>
      <w:r>
        <w:rPr>
          <w:sz w:val="22"/>
          <w:szCs w:val="22"/>
          <w:lang w:val="fr-FR"/>
        </w:rPr>
        <w:t>nakon toga</w:t>
      </w:r>
      <w:r w:rsidRPr="00442616">
        <w:rPr>
          <w:sz w:val="22"/>
          <w:szCs w:val="22"/>
          <w:lang w:val="fr-FR"/>
        </w:rPr>
        <w:t xml:space="preserve"> 1.</w:t>
      </w:r>
      <w:r>
        <w:rPr>
          <w:sz w:val="22"/>
          <w:szCs w:val="22"/>
          <w:lang w:val="fr-FR"/>
        </w:rPr>
        <w:t>dan svakog sljede</w:t>
      </w:r>
      <w:r w:rsidRPr="00442616">
        <w:rPr>
          <w:sz w:val="22"/>
          <w:szCs w:val="22"/>
          <w:lang w:val="fr-FR"/>
        </w:rPr>
        <w:t>ć</w:t>
      </w:r>
      <w:r>
        <w:rPr>
          <w:sz w:val="22"/>
          <w:szCs w:val="22"/>
          <w:lang w:val="fr-FR"/>
        </w:rPr>
        <w:t>eg ciklusa</w:t>
      </w:r>
      <w:r w:rsidRPr="00442616">
        <w:rPr>
          <w:sz w:val="22"/>
          <w:szCs w:val="22"/>
          <w:lang w:val="fr-FR"/>
        </w:rPr>
        <w:t xml:space="preserve">) </w:t>
      </w:r>
    </w:p>
    <w:p w14:paraId="1CC0F365" w14:textId="77777777" w:rsidR="00B05AA9" w:rsidRDefault="00B05AA9" w:rsidP="00641EEB">
      <w:pPr>
        <w:tabs>
          <w:tab w:val="left" w:pos="284"/>
        </w:tabs>
        <w:ind w:left="360" w:hanging="76"/>
        <w:jc w:val="both"/>
        <w:rPr>
          <w:sz w:val="22"/>
          <w:szCs w:val="22"/>
        </w:rPr>
      </w:pPr>
      <w:proofErr w:type="gramStart"/>
      <w:r>
        <w:rPr>
          <w:sz w:val="22"/>
          <w:szCs w:val="22"/>
        </w:rPr>
        <w:t>ili</w:t>
      </w:r>
      <w:proofErr w:type="gramEnd"/>
    </w:p>
    <w:p w14:paraId="31463419" w14:textId="1250A45B" w:rsidR="00B05AA9" w:rsidRDefault="00B05AA9" w:rsidP="00641EEB">
      <w:pPr>
        <w:numPr>
          <w:ilvl w:val="0"/>
          <w:numId w:val="19"/>
        </w:numPr>
        <w:tabs>
          <w:tab w:val="left" w:pos="284"/>
        </w:tabs>
        <w:ind w:left="284" w:hanging="284"/>
        <w:jc w:val="both"/>
        <w:rPr>
          <w:sz w:val="22"/>
          <w:szCs w:val="22"/>
        </w:rPr>
      </w:pPr>
      <w:r w:rsidRPr="00442616">
        <w:rPr>
          <w:sz w:val="22"/>
          <w:szCs w:val="22"/>
        </w:rPr>
        <w:t>intravenski docetaksel</w:t>
      </w:r>
      <w:r>
        <w:rPr>
          <w:sz w:val="22"/>
          <w:szCs w:val="22"/>
        </w:rPr>
        <w:t xml:space="preserve"> </w:t>
      </w:r>
      <w:r w:rsidR="005F4A38">
        <w:rPr>
          <w:sz w:val="22"/>
          <w:szCs w:val="22"/>
        </w:rPr>
        <w:t>–</w:t>
      </w:r>
      <w:r>
        <w:rPr>
          <w:sz w:val="22"/>
          <w:szCs w:val="22"/>
        </w:rPr>
        <w:t xml:space="preserve"> 75</w:t>
      </w:r>
      <w:r w:rsidR="005F4A38">
        <w:rPr>
          <w:sz w:val="22"/>
          <w:szCs w:val="22"/>
        </w:rPr>
        <w:t xml:space="preserve"> </w:t>
      </w:r>
      <w:r w:rsidRPr="00442616">
        <w:rPr>
          <w:sz w:val="22"/>
          <w:szCs w:val="22"/>
        </w:rPr>
        <w:t>mg</w:t>
      </w:r>
      <w:r>
        <w:rPr>
          <w:sz w:val="22"/>
          <w:szCs w:val="22"/>
        </w:rPr>
        <w:t>/</w:t>
      </w:r>
      <w:r w:rsidRPr="00442616">
        <w:rPr>
          <w:sz w:val="22"/>
          <w:szCs w:val="22"/>
        </w:rPr>
        <w:t>m</w:t>
      </w:r>
      <w:r>
        <w:rPr>
          <w:sz w:val="22"/>
          <w:szCs w:val="22"/>
        </w:rPr>
        <w:t xml:space="preserve">2   </w:t>
      </w:r>
      <w:r w:rsidRPr="00442616">
        <w:rPr>
          <w:sz w:val="22"/>
          <w:szCs w:val="22"/>
        </w:rPr>
        <w:t>kao intravenska infuzija tokom</w:t>
      </w:r>
      <w:r>
        <w:rPr>
          <w:sz w:val="22"/>
          <w:szCs w:val="22"/>
        </w:rPr>
        <w:t xml:space="preserve"> 1 č</w:t>
      </w:r>
      <w:r w:rsidRPr="00442616">
        <w:rPr>
          <w:sz w:val="22"/>
          <w:szCs w:val="22"/>
        </w:rPr>
        <w:t>asa</w:t>
      </w:r>
      <w:r>
        <w:rPr>
          <w:sz w:val="22"/>
          <w:szCs w:val="22"/>
        </w:rPr>
        <w:t xml:space="preserve">, </w:t>
      </w:r>
      <w:r w:rsidRPr="00442616">
        <w:rPr>
          <w:sz w:val="22"/>
          <w:szCs w:val="22"/>
        </w:rPr>
        <w:t>jednom u</w:t>
      </w:r>
      <w:r>
        <w:rPr>
          <w:sz w:val="22"/>
          <w:szCs w:val="22"/>
        </w:rPr>
        <w:t xml:space="preserve"> 3 </w:t>
      </w:r>
      <w:r w:rsidRPr="00442616">
        <w:rPr>
          <w:sz w:val="22"/>
          <w:szCs w:val="22"/>
        </w:rPr>
        <w:t>nedjelje tokom</w:t>
      </w:r>
      <w:r>
        <w:rPr>
          <w:sz w:val="22"/>
          <w:szCs w:val="22"/>
        </w:rPr>
        <w:t xml:space="preserve"> 6 </w:t>
      </w:r>
      <w:r w:rsidRPr="00442616">
        <w:rPr>
          <w:sz w:val="22"/>
          <w:szCs w:val="22"/>
        </w:rPr>
        <w:t>ciklusa</w:t>
      </w:r>
      <w:r>
        <w:rPr>
          <w:sz w:val="22"/>
          <w:szCs w:val="22"/>
        </w:rPr>
        <w:t xml:space="preserve"> (2. </w:t>
      </w:r>
      <w:r w:rsidRPr="00442616">
        <w:rPr>
          <w:sz w:val="22"/>
          <w:szCs w:val="22"/>
        </w:rPr>
        <w:t>dan</w:t>
      </w:r>
      <w:r>
        <w:rPr>
          <w:sz w:val="22"/>
          <w:szCs w:val="22"/>
        </w:rPr>
        <w:t xml:space="preserve"> 1. </w:t>
      </w:r>
      <w:r w:rsidRPr="00442616">
        <w:rPr>
          <w:sz w:val="22"/>
          <w:szCs w:val="22"/>
        </w:rPr>
        <w:t>ciklusa a zatim</w:t>
      </w:r>
      <w:r>
        <w:rPr>
          <w:sz w:val="22"/>
          <w:szCs w:val="22"/>
        </w:rPr>
        <w:t xml:space="preserve"> 1. </w:t>
      </w:r>
      <w:r w:rsidRPr="00442616">
        <w:rPr>
          <w:sz w:val="22"/>
          <w:szCs w:val="22"/>
        </w:rPr>
        <w:t>dan svakog sljede</w:t>
      </w:r>
      <w:r>
        <w:rPr>
          <w:sz w:val="22"/>
          <w:szCs w:val="22"/>
        </w:rPr>
        <w:t>ć</w:t>
      </w:r>
      <w:r w:rsidRPr="00442616">
        <w:rPr>
          <w:sz w:val="22"/>
          <w:szCs w:val="22"/>
        </w:rPr>
        <w:t>eg ciklusa</w:t>
      </w:r>
      <w:r>
        <w:rPr>
          <w:sz w:val="22"/>
          <w:szCs w:val="22"/>
        </w:rPr>
        <w:t>)</w:t>
      </w:r>
    </w:p>
    <w:p w14:paraId="6D4964B7" w14:textId="77777777" w:rsidR="00B05AA9" w:rsidRDefault="00B05AA9" w:rsidP="00641EEB">
      <w:pPr>
        <w:ind w:left="360" w:hanging="76"/>
        <w:jc w:val="both"/>
        <w:rPr>
          <w:sz w:val="22"/>
          <w:szCs w:val="22"/>
        </w:rPr>
      </w:pPr>
      <w:proofErr w:type="gramStart"/>
      <w:r>
        <w:rPr>
          <w:sz w:val="22"/>
          <w:szCs w:val="22"/>
        </w:rPr>
        <w:t>nakon</w:t>
      </w:r>
      <w:proofErr w:type="gramEnd"/>
      <w:r>
        <w:rPr>
          <w:sz w:val="22"/>
          <w:szCs w:val="22"/>
        </w:rPr>
        <w:t xml:space="preserve"> čega je slijedio:</w:t>
      </w:r>
    </w:p>
    <w:p w14:paraId="33A9C52E" w14:textId="5123D842" w:rsidR="00B05AA9" w:rsidRDefault="00B05AA9" w:rsidP="00641EEB">
      <w:pPr>
        <w:numPr>
          <w:ilvl w:val="0"/>
          <w:numId w:val="19"/>
        </w:numPr>
        <w:tabs>
          <w:tab w:val="left" w:pos="284"/>
        </w:tabs>
        <w:ind w:left="284" w:hanging="284"/>
        <w:jc w:val="both"/>
        <w:rPr>
          <w:sz w:val="22"/>
          <w:szCs w:val="22"/>
        </w:rPr>
      </w:pPr>
      <w:r w:rsidRPr="00442616">
        <w:rPr>
          <w:sz w:val="22"/>
          <w:szCs w:val="22"/>
        </w:rPr>
        <w:t>karboplatin sa ciljnom AUC</w:t>
      </w:r>
      <w:r>
        <w:rPr>
          <w:sz w:val="22"/>
          <w:szCs w:val="22"/>
        </w:rPr>
        <w:t xml:space="preserve"> 6</w:t>
      </w:r>
      <w:r w:rsidR="005F4A38">
        <w:rPr>
          <w:sz w:val="22"/>
          <w:szCs w:val="22"/>
        </w:rPr>
        <w:t xml:space="preserve"> </w:t>
      </w:r>
      <w:r w:rsidRPr="00442616">
        <w:rPr>
          <w:sz w:val="22"/>
          <w:szCs w:val="22"/>
        </w:rPr>
        <w:t>mg</w:t>
      </w:r>
      <w:r>
        <w:rPr>
          <w:sz w:val="22"/>
          <w:szCs w:val="22"/>
        </w:rPr>
        <w:t>/</w:t>
      </w:r>
      <w:r w:rsidRPr="00442616">
        <w:rPr>
          <w:sz w:val="22"/>
          <w:szCs w:val="22"/>
        </w:rPr>
        <w:t>ml</w:t>
      </w:r>
      <w:r>
        <w:rPr>
          <w:sz w:val="22"/>
          <w:szCs w:val="22"/>
        </w:rPr>
        <w:t>/</w:t>
      </w:r>
      <w:r w:rsidRPr="00442616">
        <w:rPr>
          <w:sz w:val="22"/>
          <w:szCs w:val="22"/>
        </w:rPr>
        <w:t>min primijenjen kao intravenska infuzija tokom</w:t>
      </w:r>
      <w:r>
        <w:rPr>
          <w:sz w:val="22"/>
          <w:szCs w:val="22"/>
        </w:rPr>
        <w:t xml:space="preserve"> 30-60 </w:t>
      </w:r>
      <w:r w:rsidRPr="00442616">
        <w:rPr>
          <w:sz w:val="22"/>
          <w:szCs w:val="22"/>
        </w:rPr>
        <w:t>minuta</w:t>
      </w:r>
      <w:r>
        <w:rPr>
          <w:sz w:val="22"/>
          <w:szCs w:val="22"/>
        </w:rPr>
        <w:t xml:space="preserve">, </w:t>
      </w:r>
      <w:r w:rsidRPr="00442616">
        <w:rPr>
          <w:sz w:val="22"/>
          <w:szCs w:val="22"/>
        </w:rPr>
        <w:t>svake</w:t>
      </w:r>
      <w:r>
        <w:rPr>
          <w:sz w:val="22"/>
          <w:szCs w:val="22"/>
        </w:rPr>
        <w:t xml:space="preserve"> 3 </w:t>
      </w:r>
      <w:r w:rsidRPr="00442616">
        <w:rPr>
          <w:sz w:val="22"/>
          <w:szCs w:val="22"/>
        </w:rPr>
        <w:t>nedjelje</w:t>
      </w:r>
      <w:r>
        <w:rPr>
          <w:sz w:val="22"/>
          <w:szCs w:val="22"/>
        </w:rPr>
        <w:t xml:space="preserve">, </w:t>
      </w:r>
      <w:r w:rsidRPr="00442616">
        <w:rPr>
          <w:sz w:val="22"/>
          <w:szCs w:val="22"/>
        </w:rPr>
        <w:t>ukupno</w:t>
      </w:r>
      <w:r>
        <w:rPr>
          <w:sz w:val="22"/>
          <w:szCs w:val="22"/>
        </w:rPr>
        <w:t xml:space="preserve"> 6 </w:t>
      </w:r>
      <w:r w:rsidRPr="00442616">
        <w:rPr>
          <w:sz w:val="22"/>
          <w:szCs w:val="22"/>
        </w:rPr>
        <w:t>ciklusa</w:t>
      </w:r>
      <w:r>
        <w:rPr>
          <w:sz w:val="22"/>
          <w:szCs w:val="22"/>
        </w:rPr>
        <w:t>.</w:t>
      </w:r>
    </w:p>
    <w:p w14:paraId="12FE4391" w14:textId="77777777" w:rsidR="00B05AA9" w:rsidRDefault="00B05AA9" w:rsidP="00641EEB">
      <w:pPr>
        <w:jc w:val="both"/>
        <w:rPr>
          <w:sz w:val="22"/>
          <w:szCs w:val="22"/>
        </w:rPr>
      </w:pPr>
    </w:p>
    <w:p w14:paraId="3F72BA96" w14:textId="0516AF49" w:rsidR="00B05AA9" w:rsidRDefault="007B5EC0" w:rsidP="00641EEB">
      <w:pPr>
        <w:jc w:val="both"/>
        <w:rPr>
          <w:sz w:val="22"/>
          <w:szCs w:val="22"/>
        </w:rPr>
      </w:pPr>
      <w:r>
        <w:rPr>
          <w:sz w:val="22"/>
          <w:szCs w:val="22"/>
        </w:rPr>
        <w:t xml:space="preserve">Lijek </w:t>
      </w:r>
      <w:r w:rsidR="00B05AA9">
        <w:rPr>
          <w:sz w:val="22"/>
          <w:szCs w:val="22"/>
        </w:rPr>
        <w:t xml:space="preserve">Herceptin je primjenjivan nedjeljno </w:t>
      </w:r>
      <w:proofErr w:type="gramStart"/>
      <w:r w:rsidR="00B05AA9">
        <w:rPr>
          <w:sz w:val="22"/>
          <w:szCs w:val="22"/>
        </w:rPr>
        <w:t>sa</w:t>
      </w:r>
      <w:proofErr w:type="gramEnd"/>
      <w:r w:rsidR="00B05AA9">
        <w:rPr>
          <w:sz w:val="22"/>
          <w:szCs w:val="22"/>
        </w:rPr>
        <w:t xml:space="preserve"> hemoterapijom i svake 3 nedjelje nakon toga, ukupno 52 nedjelje.</w:t>
      </w:r>
    </w:p>
    <w:p w14:paraId="2F6CED13" w14:textId="77777777" w:rsidR="00B05AA9" w:rsidRDefault="00B05AA9" w:rsidP="00641EEB">
      <w:pPr>
        <w:jc w:val="both"/>
        <w:rPr>
          <w:sz w:val="22"/>
          <w:szCs w:val="22"/>
        </w:rPr>
      </w:pPr>
    </w:p>
    <w:p w14:paraId="00CFD0EA" w14:textId="5249D645" w:rsidR="00B05AA9" w:rsidRPr="00442616" w:rsidRDefault="00B05AA9" w:rsidP="00641EEB">
      <w:pPr>
        <w:jc w:val="both"/>
        <w:rPr>
          <w:sz w:val="22"/>
          <w:szCs w:val="22"/>
          <w:lang w:val="it-IT"/>
        </w:rPr>
      </w:pPr>
      <w:r w:rsidRPr="00442616">
        <w:rPr>
          <w:sz w:val="22"/>
          <w:szCs w:val="22"/>
          <w:lang w:val="it-IT"/>
        </w:rPr>
        <w:t xml:space="preserve">Rezultati efikasnosti iz studije BCIRG 006 prikazani su u Tabelama 8 </w:t>
      </w:r>
      <w:r w:rsidR="00E81BEF">
        <w:rPr>
          <w:sz w:val="22"/>
          <w:szCs w:val="22"/>
          <w:lang w:val="it-IT"/>
        </w:rPr>
        <w:t>i</w:t>
      </w:r>
      <w:r w:rsidRPr="00442616">
        <w:rPr>
          <w:sz w:val="22"/>
          <w:szCs w:val="22"/>
          <w:lang w:val="it-IT"/>
        </w:rPr>
        <w:t xml:space="preserve"> 9. </w:t>
      </w:r>
      <w:r w:rsidR="007B5EC0">
        <w:rPr>
          <w:sz w:val="22"/>
          <w:szCs w:val="22"/>
          <w:lang w:val="it-IT"/>
        </w:rPr>
        <w:t>Medijana</w:t>
      </w:r>
      <w:r w:rsidRPr="00442616">
        <w:rPr>
          <w:sz w:val="22"/>
          <w:szCs w:val="22"/>
          <w:lang w:val="it-IT"/>
        </w:rPr>
        <w:t xml:space="preserve"> praćenja je iznosil</w:t>
      </w:r>
      <w:r w:rsidR="007B5EC0">
        <w:rPr>
          <w:sz w:val="22"/>
          <w:szCs w:val="22"/>
          <w:lang w:val="it-IT"/>
        </w:rPr>
        <w:t>a</w:t>
      </w:r>
      <w:r w:rsidRPr="00442616">
        <w:rPr>
          <w:sz w:val="22"/>
          <w:szCs w:val="22"/>
          <w:lang w:val="it-IT"/>
        </w:rPr>
        <w:t xml:space="preserve"> 2.9 godina u AC-D grupi i 3.0 godina u grupama AC-DH i DCarbH.</w:t>
      </w:r>
    </w:p>
    <w:p w14:paraId="3F8E60C6" w14:textId="77777777" w:rsidR="00B05AA9" w:rsidRPr="00442616" w:rsidRDefault="00B05AA9" w:rsidP="00641EEB">
      <w:pPr>
        <w:jc w:val="both"/>
        <w:rPr>
          <w:sz w:val="22"/>
          <w:szCs w:val="22"/>
          <w:lang w:val="it-IT"/>
        </w:rPr>
      </w:pPr>
    </w:p>
    <w:p w14:paraId="54235582" w14:textId="709896F9" w:rsidR="00B05AA9" w:rsidRPr="00442616" w:rsidRDefault="00B05AA9" w:rsidP="00641EEB">
      <w:pPr>
        <w:jc w:val="both"/>
        <w:rPr>
          <w:sz w:val="22"/>
          <w:szCs w:val="22"/>
          <w:lang w:val="it-IT"/>
        </w:rPr>
      </w:pPr>
      <w:r w:rsidRPr="00442616">
        <w:rPr>
          <w:sz w:val="22"/>
          <w:szCs w:val="22"/>
          <w:lang w:val="it-IT"/>
        </w:rPr>
        <w:t>Tabela</w:t>
      </w:r>
      <w:r w:rsidR="007B5EC0">
        <w:rPr>
          <w:sz w:val="22"/>
          <w:szCs w:val="22"/>
          <w:lang w:val="it-IT"/>
        </w:rPr>
        <w:t xml:space="preserve"> </w:t>
      </w:r>
      <w:r w:rsidRPr="00442616">
        <w:rPr>
          <w:sz w:val="22"/>
          <w:szCs w:val="22"/>
          <w:lang w:val="it-IT"/>
        </w:rPr>
        <w:t>9. Pregled analize efikasnosti u studiji BCIRG 006; AC-D u odnosu na AC-DH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800"/>
        <w:gridCol w:w="1710"/>
        <w:gridCol w:w="2142"/>
      </w:tblGrid>
      <w:tr w:rsidR="00B05AA9" w14:paraId="31170E32" w14:textId="77777777" w:rsidTr="00BA76B8">
        <w:tc>
          <w:tcPr>
            <w:tcW w:w="3415" w:type="dxa"/>
            <w:tcBorders>
              <w:top w:val="single" w:sz="4" w:space="0" w:color="auto"/>
              <w:left w:val="single" w:sz="4" w:space="0" w:color="auto"/>
              <w:bottom w:val="single" w:sz="4" w:space="0" w:color="auto"/>
              <w:right w:val="single" w:sz="4" w:space="0" w:color="auto"/>
            </w:tcBorders>
          </w:tcPr>
          <w:p w14:paraId="6A944FC4" w14:textId="77777777" w:rsidR="00B05AA9" w:rsidRPr="00442616" w:rsidRDefault="00B05AA9" w:rsidP="00BA76B8">
            <w:pPr>
              <w:jc w:val="center"/>
              <w:rPr>
                <w:sz w:val="22"/>
                <w:szCs w:val="22"/>
                <w:lang w:val="it-IT"/>
              </w:rPr>
            </w:pPr>
          </w:p>
          <w:p w14:paraId="56C4EF7D" w14:textId="5122E0F2" w:rsidR="00B05AA9" w:rsidRDefault="00B05AA9" w:rsidP="00BA76B8">
            <w:pPr>
              <w:jc w:val="center"/>
              <w:rPr>
                <w:sz w:val="22"/>
                <w:szCs w:val="22"/>
              </w:rPr>
            </w:pPr>
            <w:r>
              <w:rPr>
                <w:sz w:val="22"/>
                <w:szCs w:val="22"/>
              </w:rPr>
              <w:t>Parametar</w:t>
            </w:r>
          </w:p>
          <w:p w14:paraId="5C246DB8" w14:textId="77777777" w:rsidR="00B05AA9" w:rsidRDefault="00B05AA9" w:rsidP="00BA76B8">
            <w:pPr>
              <w:jc w:val="center"/>
              <w:rPr>
                <w:sz w:val="22"/>
                <w:szCs w:val="22"/>
              </w:rPr>
            </w:pPr>
          </w:p>
          <w:p w14:paraId="7C92077A" w14:textId="77777777" w:rsidR="00B05AA9" w:rsidRDefault="00B05AA9" w:rsidP="00BA76B8">
            <w:pPr>
              <w:tabs>
                <w:tab w:val="left" w:pos="284"/>
              </w:tabs>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14:paraId="0935D925" w14:textId="77777777" w:rsidR="00B05AA9" w:rsidRDefault="00B05AA9" w:rsidP="00641EEB">
            <w:pPr>
              <w:jc w:val="center"/>
              <w:rPr>
                <w:sz w:val="22"/>
                <w:szCs w:val="22"/>
              </w:rPr>
            </w:pPr>
            <w:r>
              <w:rPr>
                <w:sz w:val="22"/>
                <w:szCs w:val="22"/>
              </w:rPr>
              <w:t>AC-D</w:t>
            </w:r>
          </w:p>
          <w:p w14:paraId="71D823CD" w14:textId="77777777" w:rsidR="00B05AA9" w:rsidRDefault="00B05AA9" w:rsidP="00641EEB">
            <w:pPr>
              <w:tabs>
                <w:tab w:val="left" w:pos="284"/>
              </w:tabs>
              <w:jc w:val="center"/>
              <w:rPr>
                <w:sz w:val="22"/>
                <w:szCs w:val="22"/>
              </w:rPr>
            </w:pPr>
            <w:r>
              <w:rPr>
                <w:sz w:val="22"/>
                <w:szCs w:val="22"/>
              </w:rPr>
              <w:t>(n=1073)</w:t>
            </w:r>
          </w:p>
        </w:tc>
        <w:tc>
          <w:tcPr>
            <w:tcW w:w="1710" w:type="dxa"/>
            <w:tcBorders>
              <w:top w:val="single" w:sz="4" w:space="0" w:color="auto"/>
              <w:left w:val="single" w:sz="4" w:space="0" w:color="auto"/>
              <w:bottom w:val="single" w:sz="4" w:space="0" w:color="auto"/>
              <w:right w:val="single" w:sz="4" w:space="0" w:color="auto"/>
            </w:tcBorders>
            <w:hideMark/>
          </w:tcPr>
          <w:p w14:paraId="0BE254A1" w14:textId="77777777" w:rsidR="00B05AA9" w:rsidRDefault="00B05AA9" w:rsidP="00641EEB">
            <w:pPr>
              <w:jc w:val="center"/>
              <w:rPr>
                <w:sz w:val="22"/>
                <w:szCs w:val="22"/>
              </w:rPr>
            </w:pPr>
            <w:r>
              <w:rPr>
                <w:sz w:val="22"/>
                <w:szCs w:val="22"/>
              </w:rPr>
              <w:t>AC-DH</w:t>
            </w:r>
          </w:p>
          <w:p w14:paraId="04D5605C" w14:textId="77777777" w:rsidR="00B05AA9" w:rsidRDefault="00B05AA9" w:rsidP="00641EEB">
            <w:pPr>
              <w:tabs>
                <w:tab w:val="left" w:pos="284"/>
              </w:tabs>
              <w:jc w:val="center"/>
              <w:rPr>
                <w:sz w:val="22"/>
                <w:szCs w:val="22"/>
              </w:rPr>
            </w:pPr>
            <w:r>
              <w:rPr>
                <w:sz w:val="22"/>
                <w:szCs w:val="22"/>
              </w:rPr>
              <w:t>(n=1074)</w:t>
            </w:r>
          </w:p>
        </w:tc>
        <w:tc>
          <w:tcPr>
            <w:tcW w:w="2142" w:type="dxa"/>
            <w:tcBorders>
              <w:top w:val="single" w:sz="4" w:space="0" w:color="auto"/>
              <w:left w:val="single" w:sz="4" w:space="0" w:color="auto"/>
              <w:bottom w:val="single" w:sz="4" w:space="0" w:color="auto"/>
              <w:right w:val="single" w:sz="4" w:space="0" w:color="auto"/>
            </w:tcBorders>
            <w:hideMark/>
          </w:tcPr>
          <w:p w14:paraId="08DE61EC" w14:textId="77777777" w:rsidR="00B05AA9" w:rsidRDefault="00B05AA9" w:rsidP="00641EEB">
            <w:pPr>
              <w:jc w:val="center"/>
              <w:rPr>
                <w:sz w:val="22"/>
                <w:szCs w:val="22"/>
                <w:lang w:val="pt-BR"/>
              </w:rPr>
            </w:pPr>
            <w:r>
              <w:rPr>
                <w:sz w:val="22"/>
                <w:szCs w:val="22"/>
                <w:lang w:val="pt-BR"/>
              </w:rPr>
              <w:t>Odnos hazarda naspram</w:t>
            </w:r>
          </w:p>
          <w:p w14:paraId="565F4C90" w14:textId="77777777" w:rsidR="00B05AA9" w:rsidRDefault="00B05AA9" w:rsidP="00641EEB">
            <w:pPr>
              <w:jc w:val="center"/>
              <w:rPr>
                <w:sz w:val="22"/>
                <w:szCs w:val="22"/>
                <w:lang w:val="pt-BR"/>
              </w:rPr>
            </w:pPr>
            <w:r>
              <w:rPr>
                <w:sz w:val="22"/>
                <w:szCs w:val="22"/>
                <w:lang w:val="pt-BR"/>
              </w:rPr>
              <w:t>AC-D</w:t>
            </w:r>
          </w:p>
          <w:p w14:paraId="21090223" w14:textId="77777777" w:rsidR="00B05AA9" w:rsidRDefault="00B05AA9" w:rsidP="00641EEB">
            <w:pPr>
              <w:jc w:val="center"/>
              <w:rPr>
                <w:sz w:val="22"/>
                <w:szCs w:val="22"/>
                <w:lang w:val="pt-BR"/>
              </w:rPr>
            </w:pPr>
            <w:r>
              <w:rPr>
                <w:sz w:val="22"/>
                <w:szCs w:val="22"/>
                <w:lang w:val="pt-BR"/>
              </w:rPr>
              <w:t>(95% CI)</w:t>
            </w:r>
          </w:p>
          <w:p w14:paraId="71A3B9AD" w14:textId="77777777" w:rsidR="00B05AA9" w:rsidRDefault="00B05AA9" w:rsidP="00641EEB">
            <w:pPr>
              <w:tabs>
                <w:tab w:val="left" w:pos="284"/>
              </w:tabs>
              <w:jc w:val="center"/>
              <w:rPr>
                <w:sz w:val="22"/>
                <w:szCs w:val="22"/>
                <w:lang w:val="sr-Latn-ME"/>
              </w:rPr>
            </w:pPr>
            <w:r>
              <w:rPr>
                <w:sz w:val="22"/>
                <w:szCs w:val="22"/>
              </w:rPr>
              <w:t>p vrijednost</w:t>
            </w:r>
          </w:p>
        </w:tc>
      </w:tr>
      <w:tr w:rsidR="00B05AA9" w14:paraId="66476773" w14:textId="77777777" w:rsidTr="00BA76B8">
        <w:tc>
          <w:tcPr>
            <w:tcW w:w="3415" w:type="dxa"/>
            <w:tcBorders>
              <w:top w:val="single" w:sz="4" w:space="0" w:color="auto"/>
              <w:left w:val="single" w:sz="4" w:space="0" w:color="auto"/>
              <w:bottom w:val="single" w:sz="4" w:space="0" w:color="auto"/>
              <w:right w:val="single" w:sz="4" w:space="0" w:color="auto"/>
            </w:tcBorders>
          </w:tcPr>
          <w:p w14:paraId="5C8860D0" w14:textId="77777777" w:rsidR="00B05AA9" w:rsidRDefault="00B05AA9" w:rsidP="00BA76B8">
            <w:pPr>
              <w:rPr>
                <w:sz w:val="22"/>
                <w:szCs w:val="22"/>
              </w:rPr>
            </w:pPr>
          </w:p>
          <w:p w14:paraId="76F704CB" w14:textId="77777777" w:rsidR="00B05AA9" w:rsidRDefault="00B05AA9" w:rsidP="00BA76B8">
            <w:pPr>
              <w:rPr>
                <w:sz w:val="22"/>
                <w:szCs w:val="22"/>
              </w:rPr>
            </w:pPr>
            <w:r w:rsidRPr="00442616">
              <w:rPr>
                <w:sz w:val="22"/>
                <w:szCs w:val="22"/>
              </w:rPr>
              <w:t>Pre</w:t>
            </w:r>
            <w:r>
              <w:rPr>
                <w:sz w:val="22"/>
                <w:szCs w:val="22"/>
              </w:rPr>
              <w:t>ž</w:t>
            </w:r>
            <w:r w:rsidRPr="00442616">
              <w:rPr>
                <w:sz w:val="22"/>
                <w:szCs w:val="22"/>
              </w:rPr>
              <w:t>ivljavanje bez bolesti</w:t>
            </w:r>
          </w:p>
          <w:p w14:paraId="7D7FDBE6" w14:textId="77777777" w:rsidR="00B05AA9" w:rsidRDefault="00B05AA9" w:rsidP="00BA76B8">
            <w:pPr>
              <w:rPr>
                <w:sz w:val="22"/>
                <w:szCs w:val="22"/>
              </w:rPr>
            </w:pPr>
            <w:r w:rsidRPr="00442616">
              <w:rPr>
                <w:sz w:val="22"/>
                <w:szCs w:val="22"/>
              </w:rPr>
              <w:t>Broj pacijenata sa doga</w:t>
            </w:r>
            <w:r>
              <w:rPr>
                <w:sz w:val="22"/>
                <w:szCs w:val="22"/>
              </w:rPr>
              <w:t>đ</w:t>
            </w:r>
            <w:r w:rsidRPr="00442616">
              <w:rPr>
                <w:sz w:val="22"/>
                <w:szCs w:val="22"/>
              </w:rPr>
              <w:t>ajem</w:t>
            </w:r>
            <w:r>
              <w:rPr>
                <w:sz w:val="22"/>
                <w:szCs w:val="22"/>
              </w:rPr>
              <w:t xml:space="preserve"> (%)</w:t>
            </w:r>
          </w:p>
          <w:p w14:paraId="2D240602" w14:textId="77777777" w:rsidR="00B05AA9" w:rsidRDefault="00B05AA9" w:rsidP="00BA76B8">
            <w:pPr>
              <w:tabs>
                <w:tab w:val="left" w:pos="284"/>
              </w:tabs>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A075384" w14:textId="77777777" w:rsidR="00B05AA9" w:rsidRDefault="00B05AA9" w:rsidP="00641EEB">
            <w:pPr>
              <w:jc w:val="center"/>
              <w:rPr>
                <w:sz w:val="22"/>
                <w:szCs w:val="22"/>
              </w:rPr>
            </w:pPr>
          </w:p>
          <w:p w14:paraId="661BD228" w14:textId="77777777" w:rsidR="00B05AA9" w:rsidRDefault="00B05AA9" w:rsidP="00641EEB">
            <w:pPr>
              <w:tabs>
                <w:tab w:val="left" w:pos="284"/>
              </w:tabs>
              <w:jc w:val="center"/>
              <w:rPr>
                <w:sz w:val="22"/>
                <w:szCs w:val="22"/>
              </w:rPr>
            </w:pPr>
            <w:r>
              <w:rPr>
                <w:sz w:val="22"/>
                <w:szCs w:val="22"/>
              </w:rPr>
              <w:t>195</w:t>
            </w:r>
          </w:p>
        </w:tc>
        <w:tc>
          <w:tcPr>
            <w:tcW w:w="1710" w:type="dxa"/>
            <w:tcBorders>
              <w:top w:val="single" w:sz="4" w:space="0" w:color="auto"/>
              <w:left w:val="single" w:sz="4" w:space="0" w:color="auto"/>
              <w:bottom w:val="single" w:sz="4" w:space="0" w:color="auto"/>
              <w:right w:val="single" w:sz="4" w:space="0" w:color="auto"/>
            </w:tcBorders>
          </w:tcPr>
          <w:p w14:paraId="545A3540" w14:textId="77777777" w:rsidR="00B05AA9" w:rsidRDefault="00B05AA9" w:rsidP="00641EEB">
            <w:pPr>
              <w:jc w:val="center"/>
              <w:rPr>
                <w:sz w:val="22"/>
                <w:szCs w:val="22"/>
              </w:rPr>
            </w:pPr>
          </w:p>
          <w:p w14:paraId="23B9C798" w14:textId="77777777" w:rsidR="00B05AA9" w:rsidRDefault="00B05AA9" w:rsidP="00641EEB">
            <w:pPr>
              <w:tabs>
                <w:tab w:val="left" w:pos="284"/>
              </w:tabs>
              <w:jc w:val="center"/>
              <w:rPr>
                <w:sz w:val="22"/>
                <w:szCs w:val="22"/>
              </w:rPr>
            </w:pPr>
            <w:r>
              <w:rPr>
                <w:sz w:val="22"/>
                <w:szCs w:val="22"/>
              </w:rPr>
              <w:t>134</w:t>
            </w:r>
          </w:p>
        </w:tc>
        <w:tc>
          <w:tcPr>
            <w:tcW w:w="2142" w:type="dxa"/>
            <w:tcBorders>
              <w:top w:val="single" w:sz="4" w:space="0" w:color="auto"/>
              <w:left w:val="single" w:sz="4" w:space="0" w:color="auto"/>
              <w:bottom w:val="single" w:sz="4" w:space="0" w:color="auto"/>
              <w:right w:val="single" w:sz="4" w:space="0" w:color="auto"/>
            </w:tcBorders>
          </w:tcPr>
          <w:p w14:paraId="292AE8EA" w14:textId="77777777" w:rsidR="00B05AA9" w:rsidRDefault="00B05AA9" w:rsidP="00641EEB">
            <w:pPr>
              <w:jc w:val="center"/>
              <w:rPr>
                <w:sz w:val="22"/>
                <w:szCs w:val="22"/>
              </w:rPr>
            </w:pPr>
          </w:p>
          <w:p w14:paraId="6E36128D" w14:textId="77777777" w:rsidR="00B05AA9" w:rsidRDefault="00B05AA9" w:rsidP="00641EEB">
            <w:pPr>
              <w:jc w:val="center"/>
              <w:rPr>
                <w:sz w:val="22"/>
                <w:szCs w:val="22"/>
              </w:rPr>
            </w:pPr>
            <w:r>
              <w:rPr>
                <w:sz w:val="22"/>
                <w:szCs w:val="22"/>
              </w:rPr>
              <w:t>0,61 (0,49, 0,77)</w:t>
            </w:r>
          </w:p>
          <w:p w14:paraId="2B72983F" w14:textId="77777777" w:rsidR="00B05AA9" w:rsidRDefault="00B05AA9" w:rsidP="00641EEB">
            <w:pPr>
              <w:tabs>
                <w:tab w:val="left" w:pos="284"/>
              </w:tabs>
              <w:jc w:val="center"/>
              <w:rPr>
                <w:sz w:val="22"/>
                <w:szCs w:val="22"/>
              </w:rPr>
            </w:pPr>
            <w:r>
              <w:rPr>
                <w:sz w:val="22"/>
                <w:szCs w:val="22"/>
              </w:rPr>
              <w:t>p&lt;0.0001</w:t>
            </w:r>
          </w:p>
        </w:tc>
      </w:tr>
      <w:tr w:rsidR="00B05AA9" w14:paraId="69D70ED2" w14:textId="77777777" w:rsidTr="00BA76B8">
        <w:tc>
          <w:tcPr>
            <w:tcW w:w="3415" w:type="dxa"/>
            <w:tcBorders>
              <w:top w:val="single" w:sz="4" w:space="0" w:color="auto"/>
              <w:left w:val="single" w:sz="4" w:space="0" w:color="auto"/>
              <w:bottom w:val="single" w:sz="4" w:space="0" w:color="auto"/>
              <w:right w:val="single" w:sz="4" w:space="0" w:color="auto"/>
            </w:tcBorders>
          </w:tcPr>
          <w:p w14:paraId="5C589A51" w14:textId="77777777" w:rsidR="00B05AA9" w:rsidRDefault="00B05AA9" w:rsidP="00BA76B8">
            <w:pPr>
              <w:rPr>
                <w:sz w:val="22"/>
                <w:szCs w:val="22"/>
              </w:rPr>
            </w:pPr>
          </w:p>
          <w:p w14:paraId="4E24F2B6" w14:textId="77777777" w:rsidR="00B05AA9" w:rsidRDefault="00B05AA9" w:rsidP="00BA76B8">
            <w:pPr>
              <w:rPr>
                <w:sz w:val="22"/>
                <w:szCs w:val="22"/>
              </w:rPr>
            </w:pPr>
            <w:r>
              <w:rPr>
                <w:sz w:val="22"/>
                <w:szCs w:val="22"/>
              </w:rPr>
              <w:t>Pojava udaljenih metastaza</w:t>
            </w:r>
          </w:p>
          <w:p w14:paraId="7A800F6C" w14:textId="77777777" w:rsidR="00B05AA9" w:rsidRDefault="00B05AA9" w:rsidP="00BA76B8">
            <w:pPr>
              <w:rPr>
                <w:sz w:val="22"/>
                <w:szCs w:val="22"/>
              </w:rPr>
            </w:pPr>
            <w:r>
              <w:rPr>
                <w:sz w:val="22"/>
                <w:szCs w:val="22"/>
              </w:rPr>
              <w:t>Broj pacijenata sa događajem (%)</w:t>
            </w:r>
          </w:p>
          <w:p w14:paraId="1DDCA43D" w14:textId="77777777" w:rsidR="00B05AA9" w:rsidRDefault="00B05AA9" w:rsidP="00BA76B8">
            <w:pPr>
              <w:tabs>
                <w:tab w:val="left" w:pos="284"/>
              </w:tabs>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4957155" w14:textId="77777777" w:rsidR="00B05AA9" w:rsidRDefault="00B05AA9" w:rsidP="00641EEB">
            <w:pPr>
              <w:jc w:val="center"/>
              <w:rPr>
                <w:sz w:val="22"/>
                <w:szCs w:val="22"/>
              </w:rPr>
            </w:pPr>
          </w:p>
          <w:p w14:paraId="6429940E" w14:textId="77777777" w:rsidR="00B05AA9" w:rsidRDefault="00B05AA9" w:rsidP="00641EEB">
            <w:pPr>
              <w:tabs>
                <w:tab w:val="left" w:pos="284"/>
              </w:tabs>
              <w:jc w:val="center"/>
              <w:rPr>
                <w:sz w:val="22"/>
                <w:szCs w:val="22"/>
              </w:rPr>
            </w:pPr>
            <w:r>
              <w:rPr>
                <w:sz w:val="22"/>
                <w:szCs w:val="22"/>
              </w:rPr>
              <w:t>144</w:t>
            </w:r>
          </w:p>
        </w:tc>
        <w:tc>
          <w:tcPr>
            <w:tcW w:w="1710" w:type="dxa"/>
            <w:tcBorders>
              <w:top w:val="single" w:sz="4" w:space="0" w:color="auto"/>
              <w:left w:val="single" w:sz="4" w:space="0" w:color="auto"/>
              <w:bottom w:val="single" w:sz="4" w:space="0" w:color="auto"/>
              <w:right w:val="single" w:sz="4" w:space="0" w:color="auto"/>
            </w:tcBorders>
          </w:tcPr>
          <w:p w14:paraId="2A21D68C" w14:textId="77777777" w:rsidR="00B05AA9" w:rsidRDefault="00B05AA9" w:rsidP="00641EEB">
            <w:pPr>
              <w:jc w:val="center"/>
              <w:rPr>
                <w:sz w:val="22"/>
                <w:szCs w:val="22"/>
              </w:rPr>
            </w:pPr>
          </w:p>
          <w:p w14:paraId="6F307D31" w14:textId="77777777" w:rsidR="00B05AA9" w:rsidRDefault="00B05AA9" w:rsidP="00641EEB">
            <w:pPr>
              <w:tabs>
                <w:tab w:val="left" w:pos="284"/>
              </w:tabs>
              <w:jc w:val="center"/>
              <w:rPr>
                <w:sz w:val="22"/>
                <w:szCs w:val="22"/>
              </w:rPr>
            </w:pPr>
            <w:r>
              <w:rPr>
                <w:sz w:val="22"/>
                <w:szCs w:val="22"/>
              </w:rPr>
              <w:t>95</w:t>
            </w:r>
          </w:p>
        </w:tc>
        <w:tc>
          <w:tcPr>
            <w:tcW w:w="2142" w:type="dxa"/>
            <w:tcBorders>
              <w:top w:val="single" w:sz="4" w:space="0" w:color="auto"/>
              <w:left w:val="single" w:sz="4" w:space="0" w:color="auto"/>
              <w:bottom w:val="single" w:sz="4" w:space="0" w:color="auto"/>
              <w:right w:val="single" w:sz="4" w:space="0" w:color="auto"/>
            </w:tcBorders>
          </w:tcPr>
          <w:p w14:paraId="323FB3D1" w14:textId="77777777" w:rsidR="00B05AA9" w:rsidRDefault="00B05AA9" w:rsidP="00641EEB">
            <w:pPr>
              <w:jc w:val="center"/>
              <w:rPr>
                <w:sz w:val="22"/>
                <w:szCs w:val="22"/>
              </w:rPr>
            </w:pPr>
          </w:p>
          <w:p w14:paraId="50E22BDF" w14:textId="77777777" w:rsidR="00B05AA9" w:rsidRDefault="00B05AA9" w:rsidP="00641EEB">
            <w:pPr>
              <w:jc w:val="center"/>
              <w:rPr>
                <w:sz w:val="22"/>
                <w:szCs w:val="22"/>
              </w:rPr>
            </w:pPr>
            <w:r>
              <w:rPr>
                <w:sz w:val="22"/>
                <w:szCs w:val="22"/>
              </w:rPr>
              <w:t>0.59 (0.46, 0.77)</w:t>
            </w:r>
          </w:p>
          <w:p w14:paraId="0FB9E6C7" w14:textId="77777777" w:rsidR="00B05AA9" w:rsidRDefault="00B05AA9" w:rsidP="00641EEB">
            <w:pPr>
              <w:tabs>
                <w:tab w:val="left" w:pos="284"/>
              </w:tabs>
              <w:jc w:val="center"/>
              <w:rPr>
                <w:sz w:val="22"/>
                <w:szCs w:val="22"/>
              </w:rPr>
            </w:pPr>
            <w:r>
              <w:rPr>
                <w:sz w:val="22"/>
                <w:szCs w:val="22"/>
              </w:rPr>
              <w:t>p&lt;0.0001</w:t>
            </w:r>
          </w:p>
        </w:tc>
      </w:tr>
      <w:tr w:rsidR="00B05AA9" w14:paraId="5F6D3A5B" w14:textId="77777777" w:rsidTr="00BA76B8">
        <w:tc>
          <w:tcPr>
            <w:tcW w:w="3415" w:type="dxa"/>
            <w:tcBorders>
              <w:top w:val="single" w:sz="4" w:space="0" w:color="auto"/>
              <w:left w:val="single" w:sz="4" w:space="0" w:color="auto"/>
              <w:bottom w:val="single" w:sz="4" w:space="0" w:color="auto"/>
              <w:right w:val="single" w:sz="4" w:space="0" w:color="auto"/>
            </w:tcBorders>
          </w:tcPr>
          <w:p w14:paraId="7A6086C5" w14:textId="77777777" w:rsidR="00B05AA9" w:rsidRDefault="00B05AA9" w:rsidP="00BA76B8">
            <w:pPr>
              <w:rPr>
                <w:sz w:val="22"/>
                <w:szCs w:val="22"/>
              </w:rPr>
            </w:pPr>
          </w:p>
          <w:p w14:paraId="641F36C4" w14:textId="77777777" w:rsidR="00B05AA9" w:rsidRDefault="00B05AA9" w:rsidP="00BA76B8">
            <w:pPr>
              <w:rPr>
                <w:sz w:val="22"/>
                <w:szCs w:val="22"/>
              </w:rPr>
            </w:pPr>
            <w:r>
              <w:rPr>
                <w:sz w:val="22"/>
                <w:szCs w:val="22"/>
              </w:rPr>
              <w:t>Smrt (događaj ukupnog preživljavanja)</w:t>
            </w:r>
          </w:p>
          <w:p w14:paraId="1C84D925" w14:textId="77777777" w:rsidR="00B05AA9" w:rsidRDefault="00B05AA9" w:rsidP="00BA76B8">
            <w:pPr>
              <w:rPr>
                <w:sz w:val="22"/>
                <w:szCs w:val="22"/>
              </w:rPr>
            </w:pPr>
            <w:r>
              <w:rPr>
                <w:sz w:val="22"/>
                <w:szCs w:val="22"/>
              </w:rPr>
              <w:t>Broj pacijenata sa događajem (%)</w:t>
            </w:r>
          </w:p>
          <w:p w14:paraId="2F8B0F0C" w14:textId="77777777" w:rsidR="00B05AA9" w:rsidRDefault="00B05AA9" w:rsidP="00BA76B8">
            <w:pPr>
              <w:tabs>
                <w:tab w:val="left" w:pos="284"/>
              </w:tabs>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4CD1874" w14:textId="77777777" w:rsidR="00B05AA9" w:rsidRDefault="00B05AA9" w:rsidP="00641EEB">
            <w:pPr>
              <w:jc w:val="center"/>
              <w:rPr>
                <w:sz w:val="22"/>
                <w:szCs w:val="22"/>
              </w:rPr>
            </w:pPr>
          </w:p>
          <w:p w14:paraId="4B2FCC7E" w14:textId="77777777" w:rsidR="00B05AA9" w:rsidRDefault="00B05AA9" w:rsidP="00641EEB">
            <w:pPr>
              <w:tabs>
                <w:tab w:val="left" w:pos="284"/>
              </w:tabs>
              <w:jc w:val="center"/>
              <w:rPr>
                <w:sz w:val="22"/>
                <w:szCs w:val="22"/>
              </w:rPr>
            </w:pPr>
            <w:r>
              <w:rPr>
                <w:sz w:val="22"/>
                <w:szCs w:val="22"/>
              </w:rPr>
              <w:t>80</w:t>
            </w:r>
          </w:p>
        </w:tc>
        <w:tc>
          <w:tcPr>
            <w:tcW w:w="1710" w:type="dxa"/>
            <w:tcBorders>
              <w:top w:val="single" w:sz="4" w:space="0" w:color="auto"/>
              <w:left w:val="single" w:sz="4" w:space="0" w:color="auto"/>
              <w:bottom w:val="single" w:sz="4" w:space="0" w:color="auto"/>
              <w:right w:val="single" w:sz="4" w:space="0" w:color="auto"/>
            </w:tcBorders>
          </w:tcPr>
          <w:p w14:paraId="03C4DA04" w14:textId="77777777" w:rsidR="00B05AA9" w:rsidRDefault="00B05AA9" w:rsidP="00641EEB">
            <w:pPr>
              <w:jc w:val="center"/>
              <w:rPr>
                <w:sz w:val="22"/>
                <w:szCs w:val="22"/>
              </w:rPr>
            </w:pPr>
          </w:p>
          <w:p w14:paraId="31EC6F92" w14:textId="77777777" w:rsidR="00B05AA9" w:rsidRDefault="00B05AA9" w:rsidP="00641EEB">
            <w:pPr>
              <w:tabs>
                <w:tab w:val="left" w:pos="284"/>
              </w:tabs>
              <w:jc w:val="center"/>
              <w:rPr>
                <w:sz w:val="22"/>
                <w:szCs w:val="22"/>
              </w:rPr>
            </w:pPr>
            <w:r>
              <w:rPr>
                <w:sz w:val="22"/>
                <w:szCs w:val="22"/>
              </w:rPr>
              <w:t>49</w:t>
            </w:r>
          </w:p>
        </w:tc>
        <w:tc>
          <w:tcPr>
            <w:tcW w:w="2142" w:type="dxa"/>
            <w:tcBorders>
              <w:top w:val="single" w:sz="4" w:space="0" w:color="auto"/>
              <w:left w:val="single" w:sz="4" w:space="0" w:color="auto"/>
              <w:bottom w:val="single" w:sz="4" w:space="0" w:color="auto"/>
              <w:right w:val="single" w:sz="4" w:space="0" w:color="auto"/>
            </w:tcBorders>
          </w:tcPr>
          <w:p w14:paraId="5680FCA5" w14:textId="77777777" w:rsidR="00B05AA9" w:rsidRDefault="00B05AA9" w:rsidP="00641EEB">
            <w:pPr>
              <w:jc w:val="center"/>
              <w:rPr>
                <w:sz w:val="22"/>
                <w:szCs w:val="22"/>
              </w:rPr>
            </w:pPr>
          </w:p>
          <w:p w14:paraId="2D692028" w14:textId="77777777" w:rsidR="00B05AA9" w:rsidRDefault="00B05AA9" w:rsidP="00641EEB">
            <w:pPr>
              <w:jc w:val="center"/>
              <w:rPr>
                <w:sz w:val="22"/>
                <w:szCs w:val="22"/>
              </w:rPr>
            </w:pPr>
            <w:r>
              <w:rPr>
                <w:sz w:val="22"/>
                <w:szCs w:val="22"/>
              </w:rPr>
              <w:t>0.58 (0.40, 0.83)</w:t>
            </w:r>
          </w:p>
          <w:p w14:paraId="35036CAF" w14:textId="77777777" w:rsidR="00B05AA9" w:rsidRDefault="00B05AA9" w:rsidP="00641EEB">
            <w:pPr>
              <w:tabs>
                <w:tab w:val="left" w:pos="284"/>
              </w:tabs>
              <w:jc w:val="center"/>
              <w:rPr>
                <w:sz w:val="22"/>
                <w:szCs w:val="22"/>
              </w:rPr>
            </w:pPr>
            <w:r>
              <w:rPr>
                <w:sz w:val="22"/>
                <w:szCs w:val="22"/>
              </w:rPr>
              <w:t>p=0.0024</w:t>
            </w:r>
          </w:p>
        </w:tc>
      </w:tr>
    </w:tbl>
    <w:p w14:paraId="7C64AB84" w14:textId="2CA23006" w:rsidR="00B05AA9" w:rsidRPr="009D4A69" w:rsidRDefault="009D4A69" w:rsidP="00641EEB">
      <w:pPr>
        <w:jc w:val="both"/>
        <w:rPr>
          <w:sz w:val="20"/>
          <w:szCs w:val="20"/>
          <w:lang w:val="sr-Latn-ME"/>
        </w:rPr>
      </w:pPr>
      <w:r>
        <w:rPr>
          <w:sz w:val="20"/>
          <w:szCs w:val="20"/>
        </w:rPr>
        <w:t>AC</w:t>
      </w:r>
      <w:r>
        <w:rPr>
          <w:sz w:val="20"/>
        </w:rPr>
        <w:t>-</w:t>
      </w:r>
      <w:r w:rsidR="00B05AA9" w:rsidRPr="009D4A69">
        <w:rPr>
          <w:sz w:val="20"/>
          <w:szCs w:val="20"/>
        </w:rPr>
        <w:t>D</w:t>
      </w:r>
      <w:r>
        <w:rPr>
          <w:sz w:val="20"/>
          <w:szCs w:val="20"/>
        </w:rPr>
        <w:t xml:space="preserve"> = </w:t>
      </w:r>
      <w:r w:rsidR="00B05AA9" w:rsidRPr="009D4A69">
        <w:rPr>
          <w:sz w:val="20"/>
          <w:szCs w:val="20"/>
        </w:rPr>
        <w:t>doksorubicin plus ciklofosfamid nakon čega slijedi docetaksel; AC</w:t>
      </w:r>
      <w:r>
        <w:rPr>
          <w:sz w:val="20"/>
        </w:rPr>
        <w:t>-</w:t>
      </w:r>
      <w:r w:rsidR="00B05AA9" w:rsidRPr="009D4A69">
        <w:rPr>
          <w:sz w:val="20"/>
          <w:szCs w:val="20"/>
        </w:rPr>
        <w:t xml:space="preserve">DH </w:t>
      </w:r>
      <w:r>
        <w:rPr>
          <w:sz w:val="20"/>
          <w:szCs w:val="20"/>
        </w:rPr>
        <w:t xml:space="preserve">= </w:t>
      </w:r>
      <w:r w:rsidR="00B05AA9" w:rsidRPr="009D4A69">
        <w:rPr>
          <w:sz w:val="20"/>
          <w:szCs w:val="20"/>
        </w:rPr>
        <w:t>doksorubicin plus ciklofosfamid nakon čega slijede docetaksel i trastuzumab; CI</w:t>
      </w:r>
      <w:r>
        <w:rPr>
          <w:sz w:val="20"/>
          <w:szCs w:val="20"/>
        </w:rPr>
        <w:t xml:space="preserve"> = </w:t>
      </w:r>
      <w:r w:rsidR="00B05AA9" w:rsidRPr="009D4A69">
        <w:rPr>
          <w:sz w:val="20"/>
          <w:szCs w:val="20"/>
        </w:rPr>
        <w:t>interval pouzdanosti</w:t>
      </w:r>
    </w:p>
    <w:p w14:paraId="3D14EDD3" w14:textId="77777777" w:rsidR="00B05AA9" w:rsidRDefault="00B05AA9" w:rsidP="00641EEB">
      <w:pPr>
        <w:jc w:val="both"/>
        <w:rPr>
          <w:sz w:val="22"/>
          <w:szCs w:val="22"/>
        </w:rPr>
      </w:pPr>
    </w:p>
    <w:p w14:paraId="66F48FB1" w14:textId="75ADEE27" w:rsidR="00B05AA9" w:rsidRDefault="00B05AA9" w:rsidP="00641EEB">
      <w:pPr>
        <w:jc w:val="both"/>
        <w:rPr>
          <w:sz w:val="22"/>
          <w:szCs w:val="22"/>
        </w:rPr>
      </w:pPr>
      <w:r>
        <w:rPr>
          <w:sz w:val="22"/>
          <w:szCs w:val="22"/>
        </w:rPr>
        <w:t xml:space="preserve">Tabela10. Pregled analize efikasnosti u studiji BCIRG 006; AC-D u odnosu </w:t>
      </w:r>
      <w:proofErr w:type="gramStart"/>
      <w:r>
        <w:rPr>
          <w:sz w:val="22"/>
          <w:szCs w:val="22"/>
        </w:rPr>
        <w:t>na</w:t>
      </w:r>
      <w:proofErr w:type="gramEnd"/>
      <w:r>
        <w:rPr>
          <w:sz w:val="22"/>
          <w:szCs w:val="22"/>
        </w:rPr>
        <w:t xml:space="preserve"> DcarbH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800"/>
        <w:gridCol w:w="1710"/>
        <w:gridCol w:w="2142"/>
      </w:tblGrid>
      <w:tr w:rsidR="00B05AA9" w:rsidRPr="00E81BEF" w14:paraId="41A8E107" w14:textId="77777777" w:rsidTr="00BA76B8">
        <w:tc>
          <w:tcPr>
            <w:tcW w:w="3415" w:type="dxa"/>
            <w:tcBorders>
              <w:top w:val="single" w:sz="4" w:space="0" w:color="auto"/>
              <w:left w:val="single" w:sz="4" w:space="0" w:color="auto"/>
              <w:bottom w:val="single" w:sz="4" w:space="0" w:color="auto"/>
              <w:right w:val="single" w:sz="4" w:space="0" w:color="auto"/>
            </w:tcBorders>
          </w:tcPr>
          <w:p w14:paraId="4F39638C" w14:textId="77777777" w:rsidR="00B05AA9" w:rsidRDefault="00B05AA9" w:rsidP="00BA76B8">
            <w:pPr>
              <w:jc w:val="center"/>
              <w:rPr>
                <w:sz w:val="22"/>
                <w:szCs w:val="22"/>
              </w:rPr>
            </w:pPr>
          </w:p>
          <w:p w14:paraId="67ACE16D" w14:textId="603C26FE" w:rsidR="00B05AA9" w:rsidRDefault="00B05AA9" w:rsidP="00BA76B8">
            <w:pPr>
              <w:jc w:val="center"/>
              <w:rPr>
                <w:sz w:val="22"/>
                <w:szCs w:val="22"/>
              </w:rPr>
            </w:pPr>
            <w:r>
              <w:rPr>
                <w:sz w:val="22"/>
                <w:szCs w:val="22"/>
              </w:rPr>
              <w:t>Parametar</w:t>
            </w:r>
          </w:p>
          <w:p w14:paraId="6E50FE31" w14:textId="77777777" w:rsidR="00B05AA9" w:rsidRDefault="00B05AA9" w:rsidP="00BA76B8">
            <w:pPr>
              <w:jc w:val="center"/>
              <w:rPr>
                <w:sz w:val="22"/>
                <w:szCs w:val="22"/>
              </w:rPr>
            </w:pPr>
          </w:p>
          <w:p w14:paraId="343497B6" w14:textId="77777777" w:rsidR="00B05AA9" w:rsidRDefault="00B05AA9" w:rsidP="00BA76B8">
            <w:pPr>
              <w:tabs>
                <w:tab w:val="left" w:pos="284"/>
              </w:tabs>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14:paraId="60ACE8F9" w14:textId="77777777" w:rsidR="00B05AA9" w:rsidRDefault="00B05AA9" w:rsidP="00641EEB">
            <w:pPr>
              <w:jc w:val="center"/>
              <w:rPr>
                <w:sz w:val="22"/>
                <w:szCs w:val="22"/>
              </w:rPr>
            </w:pPr>
            <w:r>
              <w:rPr>
                <w:sz w:val="22"/>
                <w:szCs w:val="22"/>
              </w:rPr>
              <w:t>AC-D</w:t>
            </w:r>
          </w:p>
          <w:p w14:paraId="647279B6" w14:textId="77777777" w:rsidR="00B05AA9" w:rsidRDefault="00B05AA9" w:rsidP="00641EEB">
            <w:pPr>
              <w:tabs>
                <w:tab w:val="left" w:pos="284"/>
              </w:tabs>
              <w:jc w:val="center"/>
              <w:rPr>
                <w:sz w:val="22"/>
                <w:szCs w:val="22"/>
              </w:rPr>
            </w:pPr>
            <w:r>
              <w:rPr>
                <w:sz w:val="22"/>
                <w:szCs w:val="22"/>
              </w:rPr>
              <w:t>(n=1073)</w:t>
            </w:r>
          </w:p>
        </w:tc>
        <w:tc>
          <w:tcPr>
            <w:tcW w:w="1710" w:type="dxa"/>
            <w:tcBorders>
              <w:top w:val="single" w:sz="4" w:space="0" w:color="auto"/>
              <w:left w:val="single" w:sz="4" w:space="0" w:color="auto"/>
              <w:bottom w:val="single" w:sz="4" w:space="0" w:color="auto"/>
              <w:right w:val="single" w:sz="4" w:space="0" w:color="auto"/>
            </w:tcBorders>
            <w:hideMark/>
          </w:tcPr>
          <w:p w14:paraId="16B4327B" w14:textId="77777777" w:rsidR="00B05AA9" w:rsidRDefault="00B05AA9" w:rsidP="00641EEB">
            <w:pPr>
              <w:jc w:val="center"/>
              <w:rPr>
                <w:sz w:val="22"/>
                <w:szCs w:val="22"/>
              </w:rPr>
            </w:pPr>
            <w:r>
              <w:rPr>
                <w:sz w:val="22"/>
                <w:szCs w:val="22"/>
              </w:rPr>
              <w:t>DCarbH</w:t>
            </w:r>
          </w:p>
          <w:p w14:paraId="1A0159B9" w14:textId="77777777" w:rsidR="00B05AA9" w:rsidRDefault="00B05AA9" w:rsidP="00641EEB">
            <w:pPr>
              <w:tabs>
                <w:tab w:val="left" w:pos="284"/>
              </w:tabs>
              <w:jc w:val="center"/>
              <w:rPr>
                <w:sz w:val="22"/>
                <w:szCs w:val="22"/>
              </w:rPr>
            </w:pPr>
            <w:r>
              <w:rPr>
                <w:sz w:val="22"/>
                <w:szCs w:val="22"/>
              </w:rPr>
              <w:t>(n=1074)</w:t>
            </w:r>
          </w:p>
        </w:tc>
        <w:tc>
          <w:tcPr>
            <w:tcW w:w="2142" w:type="dxa"/>
            <w:tcBorders>
              <w:top w:val="single" w:sz="4" w:space="0" w:color="auto"/>
              <w:left w:val="single" w:sz="4" w:space="0" w:color="auto"/>
              <w:bottom w:val="single" w:sz="4" w:space="0" w:color="auto"/>
              <w:right w:val="single" w:sz="4" w:space="0" w:color="auto"/>
            </w:tcBorders>
          </w:tcPr>
          <w:p w14:paraId="40DBDB29" w14:textId="77777777" w:rsidR="00B05AA9" w:rsidRDefault="00B05AA9" w:rsidP="00641EEB">
            <w:pPr>
              <w:jc w:val="center"/>
              <w:rPr>
                <w:sz w:val="22"/>
                <w:szCs w:val="22"/>
                <w:lang w:val="pt-BR"/>
              </w:rPr>
            </w:pPr>
            <w:r>
              <w:rPr>
                <w:sz w:val="22"/>
                <w:szCs w:val="22"/>
                <w:lang w:val="pt-BR"/>
              </w:rPr>
              <w:t>Odnos hazarda naspram</w:t>
            </w:r>
          </w:p>
          <w:p w14:paraId="4D737C46" w14:textId="77777777" w:rsidR="00B05AA9" w:rsidRDefault="00B05AA9" w:rsidP="00641EEB">
            <w:pPr>
              <w:jc w:val="center"/>
              <w:rPr>
                <w:sz w:val="22"/>
                <w:szCs w:val="22"/>
                <w:lang w:val="pt-BR"/>
              </w:rPr>
            </w:pPr>
            <w:r>
              <w:rPr>
                <w:sz w:val="22"/>
                <w:szCs w:val="22"/>
                <w:lang w:val="pt-BR"/>
              </w:rPr>
              <w:t>AC-D</w:t>
            </w:r>
          </w:p>
          <w:p w14:paraId="6273751A" w14:textId="77777777" w:rsidR="00B05AA9" w:rsidRDefault="00B05AA9" w:rsidP="00641EEB">
            <w:pPr>
              <w:jc w:val="center"/>
              <w:rPr>
                <w:sz w:val="22"/>
                <w:szCs w:val="22"/>
                <w:lang w:val="pt-BR"/>
              </w:rPr>
            </w:pPr>
            <w:r>
              <w:rPr>
                <w:sz w:val="22"/>
                <w:szCs w:val="22"/>
                <w:lang w:val="pt-BR"/>
              </w:rPr>
              <w:t>(95% CI)</w:t>
            </w:r>
          </w:p>
          <w:p w14:paraId="026040F6" w14:textId="77777777" w:rsidR="00B05AA9" w:rsidRDefault="00B05AA9" w:rsidP="00641EEB">
            <w:pPr>
              <w:tabs>
                <w:tab w:val="left" w:pos="284"/>
              </w:tabs>
              <w:jc w:val="center"/>
              <w:rPr>
                <w:sz w:val="22"/>
                <w:szCs w:val="22"/>
                <w:lang w:val="pt-BR"/>
              </w:rPr>
            </w:pPr>
          </w:p>
        </w:tc>
      </w:tr>
      <w:tr w:rsidR="00B05AA9" w14:paraId="2994800B" w14:textId="77777777" w:rsidTr="00BA76B8">
        <w:tc>
          <w:tcPr>
            <w:tcW w:w="3415" w:type="dxa"/>
            <w:tcBorders>
              <w:top w:val="single" w:sz="4" w:space="0" w:color="auto"/>
              <w:left w:val="single" w:sz="4" w:space="0" w:color="auto"/>
              <w:bottom w:val="single" w:sz="4" w:space="0" w:color="auto"/>
              <w:right w:val="single" w:sz="4" w:space="0" w:color="auto"/>
            </w:tcBorders>
          </w:tcPr>
          <w:p w14:paraId="06CDA436" w14:textId="77777777" w:rsidR="00B05AA9" w:rsidRDefault="00B05AA9" w:rsidP="00BA76B8">
            <w:pPr>
              <w:rPr>
                <w:sz w:val="22"/>
                <w:szCs w:val="22"/>
                <w:lang w:val="sr-Latn-ME"/>
              </w:rPr>
            </w:pPr>
          </w:p>
          <w:p w14:paraId="1A216DDB" w14:textId="77777777" w:rsidR="00B05AA9" w:rsidRPr="00442616" w:rsidRDefault="00B05AA9" w:rsidP="00BA76B8">
            <w:pPr>
              <w:rPr>
                <w:sz w:val="22"/>
                <w:szCs w:val="22"/>
                <w:lang w:val="sr-Latn-ME"/>
              </w:rPr>
            </w:pPr>
            <w:r>
              <w:rPr>
                <w:sz w:val="22"/>
                <w:szCs w:val="22"/>
                <w:lang w:val="fr-FR"/>
              </w:rPr>
              <w:t>Pre</w:t>
            </w:r>
            <w:r w:rsidRPr="00442616">
              <w:rPr>
                <w:sz w:val="22"/>
                <w:szCs w:val="22"/>
                <w:lang w:val="sr-Latn-ME"/>
              </w:rPr>
              <w:t>ž</w:t>
            </w:r>
            <w:r>
              <w:rPr>
                <w:sz w:val="22"/>
                <w:szCs w:val="22"/>
                <w:lang w:val="fr-FR"/>
              </w:rPr>
              <w:t>ivljavanje</w:t>
            </w:r>
            <w:r w:rsidRPr="00442616">
              <w:rPr>
                <w:sz w:val="22"/>
                <w:szCs w:val="22"/>
                <w:lang w:val="sr-Latn-ME"/>
              </w:rPr>
              <w:t xml:space="preserve"> </w:t>
            </w:r>
            <w:r>
              <w:rPr>
                <w:sz w:val="22"/>
                <w:szCs w:val="22"/>
                <w:lang w:val="fr-FR"/>
              </w:rPr>
              <w:t>bez</w:t>
            </w:r>
            <w:r w:rsidRPr="00442616">
              <w:rPr>
                <w:sz w:val="22"/>
                <w:szCs w:val="22"/>
                <w:lang w:val="sr-Latn-ME"/>
              </w:rPr>
              <w:t xml:space="preserve"> </w:t>
            </w:r>
            <w:r>
              <w:rPr>
                <w:sz w:val="22"/>
                <w:szCs w:val="22"/>
                <w:lang w:val="fr-FR"/>
              </w:rPr>
              <w:t>bolesti</w:t>
            </w:r>
          </w:p>
          <w:p w14:paraId="0F8033EB" w14:textId="77777777" w:rsidR="00B05AA9" w:rsidRPr="00442616" w:rsidRDefault="00B05AA9" w:rsidP="00BA76B8">
            <w:pPr>
              <w:rPr>
                <w:sz w:val="22"/>
                <w:szCs w:val="22"/>
                <w:lang w:val="sr-Latn-ME"/>
              </w:rPr>
            </w:pPr>
            <w:r>
              <w:rPr>
                <w:sz w:val="22"/>
                <w:szCs w:val="22"/>
                <w:lang w:val="fr-FR"/>
              </w:rPr>
              <w:t>Broj</w:t>
            </w:r>
            <w:r w:rsidRPr="00442616">
              <w:rPr>
                <w:sz w:val="22"/>
                <w:szCs w:val="22"/>
                <w:lang w:val="sr-Latn-ME"/>
              </w:rPr>
              <w:t xml:space="preserve"> </w:t>
            </w:r>
            <w:r>
              <w:rPr>
                <w:sz w:val="22"/>
                <w:szCs w:val="22"/>
                <w:lang w:val="fr-FR"/>
              </w:rPr>
              <w:t>pacijenata</w:t>
            </w:r>
            <w:r w:rsidRPr="00442616">
              <w:rPr>
                <w:sz w:val="22"/>
                <w:szCs w:val="22"/>
                <w:lang w:val="sr-Latn-ME"/>
              </w:rPr>
              <w:t xml:space="preserve"> </w:t>
            </w:r>
            <w:r>
              <w:rPr>
                <w:sz w:val="22"/>
                <w:szCs w:val="22"/>
                <w:lang w:val="fr-FR"/>
              </w:rPr>
              <w:t>sa</w:t>
            </w:r>
            <w:r w:rsidRPr="00442616">
              <w:rPr>
                <w:sz w:val="22"/>
                <w:szCs w:val="22"/>
                <w:lang w:val="sr-Latn-ME"/>
              </w:rPr>
              <w:t xml:space="preserve"> </w:t>
            </w:r>
            <w:r>
              <w:rPr>
                <w:sz w:val="22"/>
                <w:szCs w:val="22"/>
                <w:lang w:val="fr-FR"/>
              </w:rPr>
              <w:t>doga</w:t>
            </w:r>
            <w:r w:rsidRPr="00442616">
              <w:rPr>
                <w:sz w:val="22"/>
                <w:szCs w:val="22"/>
                <w:lang w:val="sr-Latn-ME"/>
              </w:rPr>
              <w:t>đ</w:t>
            </w:r>
            <w:r>
              <w:rPr>
                <w:sz w:val="22"/>
                <w:szCs w:val="22"/>
                <w:lang w:val="fr-FR"/>
              </w:rPr>
              <w:t>ajem</w:t>
            </w:r>
            <w:r w:rsidRPr="00442616">
              <w:rPr>
                <w:sz w:val="22"/>
                <w:szCs w:val="22"/>
                <w:lang w:val="sr-Latn-ME"/>
              </w:rPr>
              <w:t xml:space="preserve"> (%)</w:t>
            </w:r>
          </w:p>
          <w:p w14:paraId="44546B2E" w14:textId="77777777" w:rsidR="00B05AA9" w:rsidRPr="00442616" w:rsidRDefault="00B05AA9" w:rsidP="00BA76B8">
            <w:pPr>
              <w:tabs>
                <w:tab w:val="left" w:pos="284"/>
              </w:tabs>
              <w:rPr>
                <w:sz w:val="22"/>
                <w:szCs w:val="22"/>
                <w:lang w:val="sr-Latn-ME"/>
              </w:rPr>
            </w:pPr>
          </w:p>
        </w:tc>
        <w:tc>
          <w:tcPr>
            <w:tcW w:w="1800" w:type="dxa"/>
            <w:tcBorders>
              <w:top w:val="single" w:sz="4" w:space="0" w:color="auto"/>
              <w:left w:val="single" w:sz="4" w:space="0" w:color="auto"/>
              <w:bottom w:val="single" w:sz="4" w:space="0" w:color="auto"/>
              <w:right w:val="single" w:sz="4" w:space="0" w:color="auto"/>
            </w:tcBorders>
          </w:tcPr>
          <w:p w14:paraId="75A08F03" w14:textId="77777777" w:rsidR="00B05AA9" w:rsidRPr="00442616" w:rsidRDefault="00B05AA9" w:rsidP="00641EEB">
            <w:pPr>
              <w:jc w:val="center"/>
              <w:rPr>
                <w:sz w:val="22"/>
                <w:szCs w:val="22"/>
                <w:lang w:val="sr-Latn-ME"/>
              </w:rPr>
            </w:pPr>
          </w:p>
          <w:p w14:paraId="2B9B54FC" w14:textId="77777777" w:rsidR="00B05AA9" w:rsidRDefault="00B05AA9" w:rsidP="00641EEB">
            <w:pPr>
              <w:tabs>
                <w:tab w:val="left" w:pos="284"/>
              </w:tabs>
              <w:jc w:val="center"/>
              <w:rPr>
                <w:sz w:val="22"/>
                <w:szCs w:val="22"/>
              </w:rPr>
            </w:pPr>
            <w:r>
              <w:rPr>
                <w:sz w:val="22"/>
                <w:szCs w:val="22"/>
              </w:rPr>
              <w:t>195</w:t>
            </w:r>
          </w:p>
        </w:tc>
        <w:tc>
          <w:tcPr>
            <w:tcW w:w="1710" w:type="dxa"/>
            <w:tcBorders>
              <w:top w:val="single" w:sz="4" w:space="0" w:color="auto"/>
              <w:left w:val="single" w:sz="4" w:space="0" w:color="auto"/>
              <w:bottom w:val="single" w:sz="4" w:space="0" w:color="auto"/>
              <w:right w:val="single" w:sz="4" w:space="0" w:color="auto"/>
            </w:tcBorders>
          </w:tcPr>
          <w:p w14:paraId="01181ACC" w14:textId="77777777" w:rsidR="00B05AA9" w:rsidRDefault="00B05AA9" w:rsidP="00641EEB">
            <w:pPr>
              <w:jc w:val="center"/>
              <w:rPr>
                <w:sz w:val="22"/>
                <w:szCs w:val="22"/>
              </w:rPr>
            </w:pPr>
          </w:p>
          <w:p w14:paraId="14C8B005" w14:textId="77777777" w:rsidR="00B05AA9" w:rsidRDefault="00B05AA9" w:rsidP="00641EEB">
            <w:pPr>
              <w:tabs>
                <w:tab w:val="left" w:pos="284"/>
              </w:tabs>
              <w:jc w:val="center"/>
              <w:rPr>
                <w:sz w:val="22"/>
                <w:szCs w:val="22"/>
              </w:rPr>
            </w:pPr>
            <w:r>
              <w:rPr>
                <w:sz w:val="22"/>
                <w:szCs w:val="22"/>
              </w:rPr>
              <w:t>145</w:t>
            </w:r>
          </w:p>
        </w:tc>
        <w:tc>
          <w:tcPr>
            <w:tcW w:w="2142" w:type="dxa"/>
            <w:tcBorders>
              <w:top w:val="single" w:sz="4" w:space="0" w:color="auto"/>
              <w:left w:val="single" w:sz="4" w:space="0" w:color="auto"/>
              <w:bottom w:val="single" w:sz="4" w:space="0" w:color="auto"/>
              <w:right w:val="single" w:sz="4" w:space="0" w:color="auto"/>
            </w:tcBorders>
          </w:tcPr>
          <w:p w14:paraId="72157439" w14:textId="77777777" w:rsidR="00B05AA9" w:rsidRDefault="00B05AA9" w:rsidP="00641EEB">
            <w:pPr>
              <w:jc w:val="center"/>
              <w:rPr>
                <w:sz w:val="22"/>
                <w:szCs w:val="22"/>
              </w:rPr>
            </w:pPr>
          </w:p>
          <w:p w14:paraId="3C18B431" w14:textId="77777777" w:rsidR="00B05AA9" w:rsidRDefault="00B05AA9" w:rsidP="00641EEB">
            <w:pPr>
              <w:jc w:val="center"/>
              <w:rPr>
                <w:sz w:val="22"/>
                <w:szCs w:val="22"/>
              </w:rPr>
            </w:pPr>
            <w:r>
              <w:rPr>
                <w:sz w:val="22"/>
                <w:szCs w:val="22"/>
              </w:rPr>
              <w:t>0,67 (0,54, 0,83)</w:t>
            </w:r>
          </w:p>
          <w:p w14:paraId="1AC5993D" w14:textId="77777777" w:rsidR="00B05AA9" w:rsidRDefault="00B05AA9" w:rsidP="00641EEB">
            <w:pPr>
              <w:tabs>
                <w:tab w:val="left" w:pos="284"/>
              </w:tabs>
              <w:jc w:val="center"/>
              <w:rPr>
                <w:sz w:val="22"/>
                <w:szCs w:val="22"/>
              </w:rPr>
            </w:pPr>
            <w:r>
              <w:rPr>
                <w:sz w:val="22"/>
                <w:szCs w:val="22"/>
              </w:rPr>
              <w:t>p=0.0003</w:t>
            </w:r>
          </w:p>
        </w:tc>
      </w:tr>
      <w:tr w:rsidR="00B05AA9" w14:paraId="50DB8871" w14:textId="77777777" w:rsidTr="00BA76B8">
        <w:tc>
          <w:tcPr>
            <w:tcW w:w="3415" w:type="dxa"/>
            <w:tcBorders>
              <w:top w:val="single" w:sz="4" w:space="0" w:color="auto"/>
              <w:left w:val="single" w:sz="4" w:space="0" w:color="auto"/>
              <w:bottom w:val="single" w:sz="4" w:space="0" w:color="auto"/>
              <w:right w:val="single" w:sz="4" w:space="0" w:color="auto"/>
            </w:tcBorders>
          </w:tcPr>
          <w:p w14:paraId="4100F964" w14:textId="77777777" w:rsidR="00B05AA9" w:rsidRDefault="00B05AA9" w:rsidP="00BA76B8">
            <w:pPr>
              <w:rPr>
                <w:sz w:val="22"/>
                <w:szCs w:val="22"/>
              </w:rPr>
            </w:pPr>
          </w:p>
          <w:p w14:paraId="5D6C5189" w14:textId="77777777" w:rsidR="00B05AA9" w:rsidRDefault="00B05AA9" w:rsidP="00BA76B8">
            <w:pPr>
              <w:rPr>
                <w:sz w:val="22"/>
                <w:szCs w:val="22"/>
              </w:rPr>
            </w:pPr>
            <w:r>
              <w:rPr>
                <w:sz w:val="22"/>
                <w:szCs w:val="22"/>
              </w:rPr>
              <w:t>Pojava udaljenih metastaza</w:t>
            </w:r>
          </w:p>
          <w:p w14:paraId="1F80D74D" w14:textId="77777777" w:rsidR="00B05AA9" w:rsidRDefault="00B05AA9" w:rsidP="00BA76B8">
            <w:pPr>
              <w:rPr>
                <w:sz w:val="22"/>
                <w:szCs w:val="22"/>
              </w:rPr>
            </w:pPr>
            <w:r>
              <w:rPr>
                <w:sz w:val="22"/>
                <w:szCs w:val="22"/>
              </w:rPr>
              <w:t>Broj pacijenata sa događajem (%)</w:t>
            </w:r>
          </w:p>
          <w:p w14:paraId="2CD07958" w14:textId="77777777" w:rsidR="00B05AA9" w:rsidRDefault="00B05AA9" w:rsidP="00BA76B8">
            <w:pPr>
              <w:tabs>
                <w:tab w:val="left" w:pos="284"/>
              </w:tabs>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4CBECAD" w14:textId="77777777" w:rsidR="00B05AA9" w:rsidRDefault="00B05AA9" w:rsidP="00641EEB">
            <w:pPr>
              <w:jc w:val="center"/>
              <w:rPr>
                <w:sz w:val="22"/>
                <w:szCs w:val="22"/>
              </w:rPr>
            </w:pPr>
          </w:p>
          <w:p w14:paraId="2E437C2B" w14:textId="77777777" w:rsidR="00B05AA9" w:rsidRDefault="00B05AA9" w:rsidP="00641EEB">
            <w:pPr>
              <w:tabs>
                <w:tab w:val="left" w:pos="284"/>
              </w:tabs>
              <w:jc w:val="center"/>
              <w:rPr>
                <w:sz w:val="22"/>
                <w:szCs w:val="22"/>
              </w:rPr>
            </w:pPr>
            <w:r>
              <w:rPr>
                <w:sz w:val="22"/>
                <w:szCs w:val="22"/>
              </w:rPr>
              <w:t>144</w:t>
            </w:r>
          </w:p>
        </w:tc>
        <w:tc>
          <w:tcPr>
            <w:tcW w:w="1710" w:type="dxa"/>
            <w:tcBorders>
              <w:top w:val="single" w:sz="4" w:space="0" w:color="auto"/>
              <w:left w:val="single" w:sz="4" w:space="0" w:color="auto"/>
              <w:bottom w:val="single" w:sz="4" w:space="0" w:color="auto"/>
              <w:right w:val="single" w:sz="4" w:space="0" w:color="auto"/>
            </w:tcBorders>
          </w:tcPr>
          <w:p w14:paraId="6DFF56DC" w14:textId="77777777" w:rsidR="00B05AA9" w:rsidRDefault="00B05AA9" w:rsidP="00641EEB">
            <w:pPr>
              <w:jc w:val="center"/>
              <w:rPr>
                <w:sz w:val="22"/>
                <w:szCs w:val="22"/>
              </w:rPr>
            </w:pPr>
          </w:p>
          <w:p w14:paraId="77B41C92" w14:textId="77777777" w:rsidR="00B05AA9" w:rsidRDefault="00B05AA9" w:rsidP="00641EEB">
            <w:pPr>
              <w:tabs>
                <w:tab w:val="left" w:pos="284"/>
              </w:tabs>
              <w:jc w:val="center"/>
              <w:rPr>
                <w:sz w:val="22"/>
                <w:szCs w:val="22"/>
              </w:rPr>
            </w:pPr>
            <w:r>
              <w:rPr>
                <w:sz w:val="22"/>
                <w:szCs w:val="22"/>
              </w:rPr>
              <w:t>103</w:t>
            </w:r>
          </w:p>
        </w:tc>
        <w:tc>
          <w:tcPr>
            <w:tcW w:w="2142" w:type="dxa"/>
            <w:tcBorders>
              <w:top w:val="single" w:sz="4" w:space="0" w:color="auto"/>
              <w:left w:val="single" w:sz="4" w:space="0" w:color="auto"/>
              <w:bottom w:val="single" w:sz="4" w:space="0" w:color="auto"/>
              <w:right w:val="single" w:sz="4" w:space="0" w:color="auto"/>
            </w:tcBorders>
          </w:tcPr>
          <w:p w14:paraId="53B9078C" w14:textId="77777777" w:rsidR="00B05AA9" w:rsidRDefault="00B05AA9" w:rsidP="00641EEB">
            <w:pPr>
              <w:jc w:val="center"/>
              <w:rPr>
                <w:sz w:val="22"/>
                <w:szCs w:val="22"/>
              </w:rPr>
            </w:pPr>
          </w:p>
          <w:p w14:paraId="7C635F18" w14:textId="77777777" w:rsidR="00B05AA9" w:rsidRDefault="00B05AA9" w:rsidP="00641EEB">
            <w:pPr>
              <w:jc w:val="center"/>
              <w:rPr>
                <w:sz w:val="22"/>
                <w:szCs w:val="22"/>
              </w:rPr>
            </w:pPr>
            <w:r>
              <w:rPr>
                <w:sz w:val="22"/>
                <w:szCs w:val="22"/>
              </w:rPr>
              <w:t>0.65 (0.50, 0.84)</w:t>
            </w:r>
          </w:p>
          <w:p w14:paraId="0B4428BD" w14:textId="77777777" w:rsidR="00B05AA9" w:rsidRDefault="00B05AA9" w:rsidP="00641EEB">
            <w:pPr>
              <w:tabs>
                <w:tab w:val="left" w:pos="284"/>
              </w:tabs>
              <w:jc w:val="center"/>
              <w:rPr>
                <w:sz w:val="22"/>
                <w:szCs w:val="22"/>
              </w:rPr>
            </w:pPr>
            <w:r>
              <w:rPr>
                <w:sz w:val="22"/>
                <w:szCs w:val="22"/>
              </w:rPr>
              <w:t>p=0.0008</w:t>
            </w:r>
          </w:p>
        </w:tc>
      </w:tr>
      <w:tr w:rsidR="00B05AA9" w14:paraId="6A85213E" w14:textId="77777777" w:rsidTr="00BA76B8">
        <w:tc>
          <w:tcPr>
            <w:tcW w:w="3415" w:type="dxa"/>
            <w:tcBorders>
              <w:top w:val="single" w:sz="4" w:space="0" w:color="auto"/>
              <w:left w:val="single" w:sz="4" w:space="0" w:color="auto"/>
              <w:bottom w:val="single" w:sz="4" w:space="0" w:color="auto"/>
              <w:right w:val="single" w:sz="4" w:space="0" w:color="auto"/>
            </w:tcBorders>
          </w:tcPr>
          <w:p w14:paraId="685C8DA9" w14:textId="0DC3F9CC" w:rsidR="00B05AA9" w:rsidRDefault="00B05AA9" w:rsidP="00BA76B8">
            <w:pPr>
              <w:rPr>
                <w:sz w:val="22"/>
                <w:szCs w:val="22"/>
              </w:rPr>
            </w:pPr>
            <w:r>
              <w:rPr>
                <w:sz w:val="22"/>
                <w:szCs w:val="22"/>
              </w:rPr>
              <w:t>Smrt (događaj ukupnog preživljavanja)</w:t>
            </w:r>
          </w:p>
          <w:p w14:paraId="41B38AE0" w14:textId="77777777" w:rsidR="00B05AA9" w:rsidRDefault="00B05AA9" w:rsidP="00BA76B8">
            <w:pPr>
              <w:rPr>
                <w:sz w:val="22"/>
                <w:szCs w:val="22"/>
              </w:rPr>
            </w:pPr>
            <w:r>
              <w:rPr>
                <w:sz w:val="22"/>
                <w:szCs w:val="22"/>
              </w:rPr>
              <w:t>Broj pacijenata sa događajem (%)</w:t>
            </w:r>
          </w:p>
          <w:p w14:paraId="1FE37E3B" w14:textId="77777777" w:rsidR="00B05AA9" w:rsidRDefault="00B05AA9" w:rsidP="00BA76B8">
            <w:pPr>
              <w:tabs>
                <w:tab w:val="left" w:pos="284"/>
              </w:tabs>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56E6284" w14:textId="77777777" w:rsidR="00B05AA9" w:rsidRDefault="00B05AA9" w:rsidP="00641EEB">
            <w:pPr>
              <w:jc w:val="center"/>
              <w:rPr>
                <w:sz w:val="22"/>
                <w:szCs w:val="22"/>
              </w:rPr>
            </w:pPr>
          </w:p>
          <w:p w14:paraId="26C64DED" w14:textId="77777777" w:rsidR="00B05AA9" w:rsidRDefault="00B05AA9" w:rsidP="00641EEB">
            <w:pPr>
              <w:tabs>
                <w:tab w:val="left" w:pos="284"/>
              </w:tabs>
              <w:jc w:val="center"/>
              <w:rPr>
                <w:sz w:val="22"/>
                <w:szCs w:val="22"/>
              </w:rPr>
            </w:pPr>
            <w:r>
              <w:rPr>
                <w:sz w:val="22"/>
                <w:szCs w:val="22"/>
              </w:rPr>
              <w:t>80</w:t>
            </w:r>
          </w:p>
        </w:tc>
        <w:tc>
          <w:tcPr>
            <w:tcW w:w="1710" w:type="dxa"/>
            <w:tcBorders>
              <w:top w:val="single" w:sz="4" w:space="0" w:color="auto"/>
              <w:left w:val="single" w:sz="4" w:space="0" w:color="auto"/>
              <w:bottom w:val="single" w:sz="4" w:space="0" w:color="auto"/>
              <w:right w:val="single" w:sz="4" w:space="0" w:color="auto"/>
            </w:tcBorders>
          </w:tcPr>
          <w:p w14:paraId="20A84D33" w14:textId="77777777" w:rsidR="00B05AA9" w:rsidRDefault="00B05AA9" w:rsidP="00641EEB">
            <w:pPr>
              <w:jc w:val="center"/>
              <w:rPr>
                <w:sz w:val="22"/>
                <w:szCs w:val="22"/>
              </w:rPr>
            </w:pPr>
          </w:p>
          <w:p w14:paraId="73A657AB" w14:textId="77777777" w:rsidR="00B05AA9" w:rsidRDefault="00B05AA9" w:rsidP="00641EEB">
            <w:pPr>
              <w:tabs>
                <w:tab w:val="left" w:pos="284"/>
              </w:tabs>
              <w:jc w:val="center"/>
              <w:rPr>
                <w:sz w:val="22"/>
                <w:szCs w:val="22"/>
              </w:rPr>
            </w:pPr>
            <w:r>
              <w:rPr>
                <w:sz w:val="22"/>
                <w:szCs w:val="22"/>
              </w:rPr>
              <w:t>56</w:t>
            </w:r>
          </w:p>
        </w:tc>
        <w:tc>
          <w:tcPr>
            <w:tcW w:w="2142" w:type="dxa"/>
            <w:tcBorders>
              <w:top w:val="single" w:sz="4" w:space="0" w:color="auto"/>
              <w:left w:val="single" w:sz="4" w:space="0" w:color="auto"/>
              <w:bottom w:val="single" w:sz="4" w:space="0" w:color="auto"/>
              <w:right w:val="single" w:sz="4" w:space="0" w:color="auto"/>
            </w:tcBorders>
          </w:tcPr>
          <w:p w14:paraId="4F7E3986" w14:textId="77777777" w:rsidR="00B05AA9" w:rsidRDefault="00B05AA9" w:rsidP="00641EEB">
            <w:pPr>
              <w:jc w:val="center"/>
              <w:rPr>
                <w:sz w:val="22"/>
                <w:szCs w:val="22"/>
              </w:rPr>
            </w:pPr>
          </w:p>
          <w:p w14:paraId="3871B401" w14:textId="77777777" w:rsidR="00B05AA9" w:rsidRDefault="00B05AA9" w:rsidP="00641EEB">
            <w:pPr>
              <w:jc w:val="center"/>
              <w:rPr>
                <w:sz w:val="22"/>
                <w:szCs w:val="22"/>
              </w:rPr>
            </w:pPr>
            <w:r>
              <w:rPr>
                <w:sz w:val="22"/>
                <w:szCs w:val="22"/>
              </w:rPr>
              <w:t>0.66 (0.47, 0.93)</w:t>
            </w:r>
          </w:p>
          <w:p w14:paraId="7D135A88" w14:textId="77777777" w:rsidR="00B05AA9" w:rsidRDefault="00B05AA9" w:rsidP="00641EEB">
            <w:pPr>
              <w:tabs>
                <w:tab w:val="left" w:pos="284"/>
              </w:tabs>
              <w:jc w:val="center"/>
              <w:rPr>
                <w:sz w:val="22"/>
                <w:szCs w:val="22"/>
              </w:rPr>
            </w:pPr>
            <w:r>
              <w:rPr>
                <w:sz w:val="22"/>
                <w:szCs w:val="22"/>
              </w:rPr>
              <w:t>p=0.0182</w:t>
            </w:r>
          </w:p>
        </w:tc>
      </w:tr>
    </w:tbl>
    <w:p w14:paraId="105941E2" w14:textId="4CA34ADC" w:rsidR="00B05AA9" w:rsidRPr="009D4A69" w:rsidRDefault="00B05AA9" w:rsidP="00641EEB">
      <w:pPr>
        <w:jc w:val="both"/>
        <w:rPr>
          <w:sz w:val="20"/>
          <w:szCs w:val="20"/>
          <w:lang w:val="sr-Latn-ME"/>
        </w:rPr>
      </w:pPr>
      <w:r w:rsidRPr="009D4A69">
        <w:rPr>
          <w:sz w:val="20"/>
          <w:szCs w:val="20"/>
        </w:rPr>
        <w:t>AC-D</w:t>
      </w:r>
      <w:r w:rsidR="009D4A69">
        <w:rPr>
          <w:sz w:val="20"/>
          <w:szCs w:val="20"/>
        </w:rPr>
        <w:t xml:space="preserve"> =</w:t>
      </w:r>
      <w:r w:rsidRPr="009D4A69">
        <w:rPr>
          <w:sz w:val="20"/>
          <w:szCs w:val="20"/>
        </w:rPr>
        <w:t xml:space="preserve"> doksorubicin plus ciklofosfamid nakon </w:t>
      </w:r>
      <w:r w:rsidR="009D4A69">
        <w:rPr>
          <w:sz w:val="20"/>
          <w:szCs w:val="20"/>
        </w:rPr>
        <w:t xml:space="preserve">čega slijedi docetaksel; DCarbH = </w:t>
      </w:r>
      <w:r w:rsidRPr="009D4A69">
        <w:rPr>
          <w:sz w:val="20"/>
          <w:szCs w:val="20"/>
        </w:rPr>
        <w:t>docetaksel</w:t>
      </w:r>
      <w:r w:rsidR="009D4A69">
        <w:rPr>
          <w:sz w:val="20"/>
          <w:szCs w:val="20"/>
        </w:rPr>
        <w:t xml:space="preserve">, karboplatin i trastuzumab; CI = </w:t>
      </w:r>
      <w:r w:rsidRPr="009D4A69">
        <w:rPr>
          <w:sz w:val="20"/>
          <w:szCs w:val="20"/>
        </w:rPr>
        <w:t>interval pouzdanosti</w:t>
      </w:r>
    </w:p>
    <w:p w14:paraId="4B414654" w14:textId="77777777" w:rsidR="00B05AA9" w:rsidRDefault="00B05AA9" w:rsidP="00641EEB">
      <w:pPr>
        <w:jc w:val="both"/>
        <w:rPr>
          <w:sz w:val="22"/>
          <w:szCs w:val="22"/>
        </w:rPr>
      </w:pPr>
    </w:p>
    <w:p w14:paraId="2233EC71" w14:textId="77777777" w:rsidR="00B05AA9" w:rsidRDefault="00B05AA9" w:rsidP="00641EEB">
      <w:pPr>
        <w:jc w:val="both"/>
        <w:rPr>
          <w:sz w:val="22"/>
          <w:szCs w:val="22"/>
        </w:rPr>
      </w:pPr>
      <w:r>
        <w:rPr>
          <w:sz w:val="22"/>
          <w:szCs w:val="22"/>
        </w:rPr>
        <w:t>Za primarni cilj studije BCIRG 006, preživljavanje bez bolesti, koeficijent rizika apsolutno je povoljan u smislu trogodišnjeg preživljavanja bez bolesti sa razlikom od 5.8% (86.7% u odnosu na 80.9%) u korist grupe AC-DH (Herceptin) i 4.6% (85.5% naspram 80.9%) u korist DCarbH grupe (Herceptin) u odnosu na AC-D grupu.</w:t>
      </w:r>
    </w:p>
    <w:p w14:paraId="3D02826B" w14:textId="77777777" w:rsidR="00B05AA9" w:rsidRDefault="00B05AA9" w:rsidP="00641EEB">
      <w:pPr>
        <w:jc w:val="both"/>
        <w:rPr>
          <w:sz w:val="22"/>
          <w:szCs w:val="22"/>
        </w:rPr>
      </w:pPr>
    </w:p>
    <w:p w14:paraId="245214C5" w14:textId="728D9F59" w:rsidR="00B05AA9" w:rsidRDefault="00B05AA9" w:rsidP="00641EEB">
      <w:pPr>
        <w:jc w:val="both"/>
        <w:rPr>
          <w:sz w:val="22"/>
          <w:szCs w:val="22"/>
        </w:rPr>
      </w:pPr>
      <w:r>
        <w:rPr>
          <w:sz w:val="22"/>
          <w:szCs w:val="22"/>
        </w:rPr>
        <w:t>U studiji BCIRG 006 je 213/1075 pacijenata u grupi DCarbH (TCH), 221/1074 pacijenata u grupi AC-DH (AC-TH) i 217/1073 pacijenata u grupi AC-D (AC-T) imalo Karnofski status ≤</w:t>
      </w:r>
      <w:r w:rsidR="00316D73">
        <w:rPr>
          <w:sz w:val="22"/>
          <w:szCs w:val="22"/>
        </w:rPr>
        <w:t xml:space="preserve"> </w:t>
      </w:r>
      <w:r>
        <w:rPr>
          <w:sz w:val="22"/>
          <w:szCs w:val="22"/>
        </w:rPr>
        <w:t xml:space="preserve">90 (bilo 80 </w:t>
      </w:r>
      <w:proofErr w:type="gramStart"/>
      <w:r>
        <w:rPr>
          <w:sz w:val="22"/>
          <w:szCs w:val="22"/>
        </w:rPr>
        <w:t>ili</w:t>
      </w:r>
      <w:proofErr w:type="gramEnd"/>
      <w:r>
        <w:rPr>
          <w:sz w:val="22"/>
          <w:szCs w:val="22"/>
        </w:rPr>
        <w:t xml:space="preserve"> 90). Nije primijećena prednost u pogledu preživljavanja bez bolesti u toj podgrupi pacijenata (koeficijent rizika =1.16, 95% CI (0.73; 1.83) za grupu DCarbH (TCH), u odnosu </w:t>
      </w:r>
      <w:proofErr w:type="gramStart"/>
      <w:r>
        <w:rPr>
          <w:sz w:val="22"/>
          <w:szCs w:val="22"/>
        </w:rPr>
        <w:t>na</w:t>
      </w:r>
      <w:proofErr w:type="gramEnd"/>
      <w:r>
        <w:rPr>
          <w:sz w:val="22"/>
          <w:szCs w:val="22"/>
        </w:rPr>
        <w:t xml:space="preserve"> AC-D (AC.T); koeficijent rizika od 0.97; 95% CI (0.60; 1.55) za AC-TH u odnosu na AC-D.</w:t>
      </w:r>
    </w:p>
    <w:p w14:paraId="7BF3917F" w14:textId="77777777" w:rsidR="00B05AA9" w:rsidRDefault="00B05AA9" w:rsidP="00641EEB">
      <w:pPr>
        <w:jc w:val="both"/>
        <w:rPr>
          <w:sz w:val="22"/>
          <w:szCs w:val="22"/>
        </w:rPr>
      </w:pPr>
    </w:p>
    <w:p w14:paraId="4A219D5D" w14:textId="11C62F13" w:rsidR="00B05AA9" w:rsidRDefault="00B05AA9" w:rsidP="00641EEB">
      <w:pPr>
        <w:jc w:val="both"/>
        <w:rPr>
          <w:sz w:val="22"/>
          <w:szCs w:val="22"/>
        </w:rPr>
      </w:pPr>
      <w:r>
        <w:rPr>
          <w:sz w:val="22"/>
          <w:szCs w:val="22"/>
        </w:rPr>
        <w:t xml:space="preserve">Dodatno je sprovedena </w:t>
      </w:r>
      <w:r>
        <w:rPr>
          <w:i/>
          <w:sz w:val="22"/>
          <w:szCs w:val="22"/>
        </w:rPr>
        <w:t>post hoc</w:t>
      </w:r>
      <w:r>
        <w:rPr>
          <w:sz w:val="22"/>
          <w:szCs w:val="22"/>
        </w:rPr>
        <w:t xml:space="preserve"> eksplorativna analiza podataka dobijenih iz zajedničke analize kliničkih ispitivanja NSABP B-31/NCCTG N9831 i BCIRG006, koja uključuje preživljavanje bez bolesti i simptomatske srčane događaje. Rezultati su prikazani u Tabeli 11:</w:t>
      </w:r>
    </w:p>
    <w:p w14:paraId="7B08A429" w14:textId="77777777" w:rsidR="009D4A69" w:rsidRDefault="009D4A69" w:rsidP="00641EEB">
      <w:pPr>
        <w:jc w:val="both"/>
        <w:rPr>
          <w:sz w:val="22"/>
          <w:szCs w:val="22"/>
        </w:rPr>
      </w:pPr>
    </w:p>
    <w:p w14:paraId="069EC5BE" w14:textId="2C964D3F" w:rsidR="00B05AA9" w:rsidRDefault="00B05AA9" w:rsidP="00641EEB">
      <w:pPr>
        <w:keepNext/>
        <w:jc w:val="both"/>
        <w:rPr>
          <w:sz w:val="22"/>
          <w:szCs w:val="22"/>
        </w:rPr>
      </w:pPr>
      <w:r>
        <w:rPr>
          <w:sz w:val="22"/>
          <w:szCs w:val="22"/>
        </w:rPr>
        <w:lastRenderedPageBreak/>
        <w:t>Tabela 11. Rezultati post-hoc eksplorativne analize podataka dobijenih iz grupne analize kliničkih studija NSABP B-31/NCCTG N9831 i BCIRG006, koja uključuje događaje preživljavanje bez simptoma bolesti i simptomatske srčane događaje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995"/>
        <w:gridCol w:w="1995"/>
        <w:gridCol w:w="1662"/>
      </w:tblGrid>
      <w:tr w:rsidR="00B05AA9" w14:paraId="2D1920DA" w14:textId="77777777" w:rsidTr="00BA76B8">
        <w:tc>
          <w:tcPr>
            <w:tcW w:w="3415" w:type="dxa"/>
            <w:tcBorders>
              <w:top w:val="single" w:sz="4" w:space="0" w:color="auto"/>
              <w:left w:val="single" w:sz="4" w:space="0" w:color="auto"/>
              <w:bottom w:val="single" w:sz="4" w:space="0" w:color="auto"/>
              <w:right w:val="single" w:sz="4" w:space="0" w:color="auto"/>
            </w:tcBorders>
          </w:tcPr>
          <w:p w14:paraId="1414AC0B" w14:textId="77777777" w:rsidR="00B05AA9" w:rsidRDefault="00B05AA9" w:rsidP="00641EEB">
            <w:pPr>
              <w:jc w:val="both"/>
              <w:rPr>
                <w:sz w:val="22"/>
                <w:szCs w:val="22"/>
              </w:rPr>
            </w:pPr>
          </w:p>
          <w:p w14:paraId="7818E74D" w14:textId="77777777" w:rsidR="00B05AA9" w:rsidRDefault="00B05AA9" w:rsidP="00641EEB">
            <w:pPr>
              <w:tabs>
                <w:tab w:val="left" w:pos="284"/>
              </w:tabs>
              <w:jc w:val="both"/>
              <w:rPr>
                <w:sz w:val="22"/>
                <w:szCs w:val="22"/>
              </w:rPr>
            </w:pPr>
          </w:p>
        </w:tc>
        <w:tc>
          <w:tcPr>
            <w:tcW w:w="1995" w:type="dxa"/>
            <w:tcBorders>
              <w:top w:val="single" w:sz="4" w:space="0" w:color="auto"/>
              <w:left w:val="single" w:sz="4" w:space="0" w:color="auto"/>
              <w:bottom w:val="single" w:sz="4" w:space="0" w:color="auto"/>
              <w:right w:val="single" w:sz="4" w:space="0" w:color="auto"/>
            </w:tcBorders>
            <w:hideMark/>
          </w:tcPr>
          <w:p w14:paraId="6E6E75D9" w14:textId="77777777" w:rsidR="00B05AA9" w:rsidRPr="00442616" w:rsidRDefault="00B05AA9" w:rsidP="00641EEB">
            <w:pPr>
              <w:jc w:val="center"/>
              <w:rPr>
                <w:sz w:val="22"/>
                <w:szCs w:val="22"/>
                <w:lang w:val="pt-BR"/>
              </w:rPr>
            </w:pPr>
            <w:r w:rsidRPr="00442616">
              <w:rPr>
                <w:sz w:val="22"/>
                <w:szCs w:val="22"/>
                <w:lang w:val="pt-BR"/>
              </w:rPr>
              <w:t>AC-PH</w:t>
            </w:r>
          </w:p>
          <w:p w14:paraId="1EABEFDC" w14:textId="77777777" w:rsidR="00B05AA9" w:rsidRPr="00442616" w:rsidRDefault="00B05AA9" w:rsidP="00641EEB">
            <w:pPr>
              <w:jc w:val="center"/>
              <w:rPr>
                <w:sz w:val="22"/>
                <w:szCs w:val="22"/>
                <w:lang w:val="pt-BR"/>
              </w:rPr>
            </w:pPr>
            <w:r w:rsidRPr="00442616">
              <w:rPr>
                <w:sz w:val="22"/>
                <w:szCs w:val="22"/>
                <w:lang w:val="pt-BR"/>
              </w:rPr>
              <w:t>u odnosu na AC-P</w:t>
            </w:r>
          </w:p>
          <w:p w14:paraId="451D7F4C" w14:textId="77777777" w:rsidR="00B05AA9" w:rsidRPr="00442616" w:rsidRDefault="00B05AA9" w:rsidP="00641EEB">
            <w:pPr>
              <w:tabs>
                <w:tab w:val="left" w:pos="284"/>
              </w:tabs>
              <w:jc w:val="center"/>
              <w:rPr>
                <w:sz w:val="22"/>
                <w:szCs w:val="22"/>
                <w:lang w:val="pt-BR"/>
              </w:rPr>
            </w:pPr>
            <w:r w:rsidRPr="00442616">
              <w:rPr>
                <w:sz w:val="22"/>
                <w:szCs w:val="22"/>
                <w:lang w:val="pt-BR"/>
              </w:rPr>
              <w:t>(NSABP B-31 i NCCTG N9831)</w:t>
            </w:r>
          </w:p>
        </w:tc>
        <w:tc>
          <w:tcPr>
            <w:tcW w:w="1995" w:type="dxa"/>
            <w:tcBorders>
              <w:top w:val="single" w:sz="4" w:space="0" w:color="auto"/>
              <w:left w:val="single" w:sz="4" w:space="0" w:color="auto"/>
              <w:bottom w:val="single" w:sz="4" w:space="0" w:color="auto"/>
              <w:right w:val="single" w:sz="4" w:space="0" w:color="auto"/>
            </w:tcBorders>
            <w:hideMark/>
          </w:tcPr>
          <w:p w14:paraId="17A95F2D" w14:textId="77777777" w:rsidR="00B05AA9" w:rsidRDefault="00B05AA9" w:rsidP="00641EEB">
            <w:pPr>
              <w:jc w:val="center"/>
              <w:rPr>
                <w:sz w:val="22"/>
                <w:szCs w:val="22"/>
              </w:rPr>
            </w:pPr>
            <w:r>
              <w:rPr>
                <w:sz w:val="22"/>
                <w:szCs w:val="22"/>
              </w:rPr>
              <w:t>AC-DH</w:t>
            </w:r>
          </w:p>
          <w:p w14:paraId="57B50FA6" w14:textId="77777777" w:rsidR="00B05AA9" w:rsidRDefault="00B05AA9" w:rsidP="00641EEB">
            <w:pPr>
              <w:jc w:val="both"/>
              <w:rPr>
                <w:sz w:val="22"/>
                <w:szCs w:val="22"/>
              </w:rPr>
            </w:pPr>
            <w:r>
              <w:rPr>
                <w:sz w:val="22"/>
                <w:szCs w:val="22"/>
              </w:rPr>
              <w:t>(u odnosu na AC-D)</w:t>
            </w:r>
          </w:p>
          <w:p w14:paraId="58262606" w14:textId="77777777" w:rsidR="00B05AA9" w:rsidRDefault="00B05AA9" w:rsidP="00641EEB">
            <w:pPr>
              <w:tabs>
                <w:tab w:val="left" w:pos="284"/>
              </w:tabs>
              <w:jc w:val="center"/>
              <w:rPr>
                <w:sz w:val="22"/>
                <w:szCs w:val="22"/>
              </w:rPr>
            </w:pPr>
            <w:r>
              <w:rPr>
                <w:sz w:val="22"/>
                <w:szCs w:val="22"/>
              </w:rPr>
              <w:t>(BCIRG 006)</w:t>
            </w:r>
          </w:p>
        </w:tc>
        <w:tc>
          <w:tcPr>
            <w:tcW w:w="1662" w:type="dxa"/>
            <w:tcBorders>
              <w:top w:val="single" w:sz="4" w:space="0" w:color="auto"/>
              <w:left w:val="single" w:sz="4" w:space="0" w:color="auto"/>
              <w:bottom w:val="single" w:sz="4" w:space="0" w:color="auto"/>
              <w:right w:val="single" w:sz="4" w:space="0" w:color="auto"/>
            </w:tcBorders>
            <w:hideMark/>
          </w:tcPr>
          <w:p w14:paraId="4A8DA266" w14:textId="77777777" w:rsidR="00B05AA9" w:rsidRDefault="00B05AA9" w:rsidP="00641EEB">
            <w:pPr>
              <w:jc w:val="center"/>
              <w:rPr>
                <w:sz w:val="22"/>
                <w:szCs w:val="22"/>
              </w:rPr>
            </w:pPr>
            <w:r>
              <w:rPr>
                <w:sz w:val="22"/>
                <w:szCs w:val="22"/>
              </w:rPr>
              <w:t>DCarbH</w:t>
            </w:r>
          </w:p>
          <w:p w14:paraId="369C0450" w14:textId="36631632" w:rsidR="00B05AA9" w:rsidRDefault="00B05AA9" w:rsidP="00641EEB">
            <w:pPr>
              <w:rPr>
                <w:sz w:val="22"/>
                <w:szCs w:val="22"/>
              </w:rPr>
            </w:pPr>
            <w:r>
              <w:rPr>
                <w:sz w:val="22"/>
                <w:szCs w:val="22"/>
              </w:rPr>
              <w:t>(u odnosu na AC-</w:t>
            </w:r>
            <w:r w:rsidR="00E05379">
              <w:rPr>
                <w:sz w:val="22"/>
                <w:szCs w:val="22"/>
              </w:rPr>
              <w:t>D</w:t>
            </w:r>
            <w:r>
              <w:rPr>
                <w:sz w:val="22"/>
                <w:szCs w:val="22"/>
              </w:rPr>
              <w:t>)</w:t>
            </w:r>
          </w:p>
          <w:p w14:paraId="1A5E4210" w14:textId="77777777" w:rsidR="00B05AA9" w:rsidRDefault="00B05AA9" w:rsidP="00641EEB">
            <w:pPr>
              <w:tabs>
                <w:tab w:val="left" w:pos="284"/>
              </w:tabs>
              <w:jc w:val="center"/>
              <w:rPr>
                <w:sz w:val="22"/>
                <w:szCs w:val="22"/>
              </w:rPr>
            </w:pPr>
            <w:r>
              <w:rPr>
                <w:sz w:val="22"/>
                <w:szCs w:val="22"/>
              </w:rPr>
              <w:t>(BCIRG 006)</w:t>
            </w:r>
          </w:p>
        </w:tc>
      </w:tr>
      <w:tr w:rsidR="00B05AA9" w14:paraId="7D5D7A2C" w14:textId="77777777" w:rsidTr="00BA76B8">
        <w:tc>
          <w:tcPr>
            <w:tcW w:w="3415" w:type="dxa"/>
            <w:tcBorders>
              <w:top w:val="single" w:sz="4" w:space="0" w:color="auto"/>
              <w:left w:val="single" w:sz="4" w:space="0" w:color="auto"/>
              <w:bottom w:val="single" w:sz="4" w:space="0" w:color="auto"/>
              <w:right w:val="single" w:sz="4" w:space="0" w:color="auto"/>
            </w:tcBorders>
          </w:tcPr>
          <w:p w14:paraId="380E1826" w14:textId="77777777" w:rsidR="00B05AA9" w:rsidRDefault="00B05AA9" w:rsidP="00BA76B8">
            <w:pPr>
              <w:rPr>
                <w:sz w:val="22"/>
                <w:szCs w:val="22"/>
              </w:rPr>
            </w:pPr>
          </w:p>
          <w:p w14:paraId="0FC13230" w14:textId="77777777" w:rsidR="00B05AA9" w:rsidRDefault="00B05AA9" w:rsidP="00BA76B8">
            <w:pPr>
              <w:rPr>
                <w:sz w:val="22"/>
                <w:szCs w:val="22"/>
              </w:rPr>
            </w:pPr>
            <w:r>
              <w:rPr>
                <w:sz w:val="22"/>
                <w:szCs w:val="22"/>
              </w:rPr>
              <w:t>Primarna analiza efikasnosti</w:t>
            </w:r>
          </w:p>
          <w:p w14:paraId="01AF20C0" w14:textId="77777777" w:rsidR="00B05AA9" w:rsidRDefault="00B05AA9" w:rsidP="00BA76B8">
            <w:pPr>
              <w:rPr>
                <w:sz w:val="22"/>
                <w:szCs w:val="22"/>
              </w:rPr>
            </w:pPr>
            <w:r w:rsidRPr="00442616">
              <w:rPr>
                <w:sz w:val="22"/>
                <w:szCs w:val="22"/>
              </w:rPr>
              <w:t>Odnos hazarda</w:t>
            </w:r>
          </w:p>
          <w:p w14:paraId="368819E7" w14:textId="77777777" w:rsidR="00B05AA9" w:rsidRDefault="00B05AA9" w:rsidP="00BA76B8">
            <w:pPr>
              <w:rPr>
                <w:sz w:val="22"/>
                <w:szCs w:val="22"/>
              </w:rPr>
            </w:pPr>
            <w:r>
              <w:rPr>
                <w:sz w:val="22"/>
                <w:szCs w:val="22"/>
              </w:rPr>
              <w:t xml:space="preserve"> za preživljavanje bez bolesti </w:t>
            </w:r>
          </w:p>
          <w:p w14:paraId="1E567695" w14:textId="77777777" w:rsidR="00B05AA9" w:rsidRDefault="00B05AA9" w:rsidP="00BA76B8">
            <w:pPr>
              <w:rPr>
                <w:sz w:val="22"/>
                <w:szCs w:val="22"/>
              </w:rPr>
            </w:pPr>
            <w:r>
              <w:rPr>
                <w:sz w:val="22"/>
                <w:szCs w:val="22"/>
              </w:rPr>
              <w:t>(95%CI)</w:t>
            </w:r>
          </w:p>
          <w:p w14:paraId="760FFD6E" w14:textId="77777777" w:rsidR="00B05AA9" w:rsidRDefault="00B05AA9" w:rsidP="00BA76B8">
            <w:pPr>
              <w:tabs>
                <w:tab w:val="left" w:pos="284"/>
              </w:tabs>
              <w:rPr>
                <w:sz w:val="22"/>
                <w:szCs w:val="22"/>
              </w:rPr>
            </w:pPr>
            <w:r>
              <w:rPr>
                <w:sz w:val="22"/>
                <w:szCs w:val="22"/>
              </w:rPr>
              <w:t>p-vrijednost</w:t>
            </w:r>
          </w:p>
        </w:tc>
        <w:tc>
          <w:tcPr>
            <w:tcW w:w="1995" w:type="dxa"/>
            <w:tcBorders>
              <w:top w:val="single" w:sz="4" w:space="0" w:color="auto"/>
              <w:left w:val="single" w:sz="4" w:space="0" w:color="auto"/>
              <w:bottom w:val="single" w:sz="4" w:space="0" w:color="auto"/>
              <w:right w:val="single" w:sz="4" w:space="0" w:color="auto"/>
            </w:tcBorders>
          </w:tcPr>
          <w:p w14:paraId="5E7A53DA" w14:textId="77777777" w:rsidR="00B05AA9" w:rsidRDefault="00B05AA9" w:rsidP="00641EEB">
            <w:pPr>
              <w:jc w:val="center"/>
              <w:rPr>
                <w:sz w:val="22"/>
                <w:szCs w:val="22"/>
              </w:rPr>
            </w:pPr>
          </w:p>
          <w:p w14:paraId="15EFCBCF" w14:textId="77777777" w:rsidR="00B05AA9" w:rsidRDefault="00B05AA9" w:rsidP="00641EEB">
            <w:pPr>
              <w:jc w:val="center"/>
              <w:rPr>
                <w:sz w:val="22"/>
                <w:szCs w:val="22"/>
              </w:rPr>
            </w:pPr>
            <w:r>
              <w:rPr>
                <w:sz w:val="22"/>
                <w:szCs w:val="22"/>
              </w:rPr>
              <w:t>0.48</w:t>
            </w:r>
          </w:p>
          <w:p w14:paraId="2B6A701C" w14:textId="77777777" w:rsidR="00B05AA9" w:rsidRDefault="00B05AA9" w:rsidP="00641EEB">
            <w:pPr>
              <w:jc w:val="center"/>
              <w:rPr>
                <w:sz w:val="22"/>
                <w:szCs w:val="22"/>
              </w:rPr>
            </w:pPr>
            <w:r>
              <w:rPr>
                <w:sz w:val="22"/>
                <w:szCs w:val="22"/>
              </w:rPr>
              <w:t>(0.39, 0.59)</w:t>
            </w:r>
          </w:p>
          <w:p w14:paraId="2D5BA695" w14:textId="77777777" w:rsidR="00B05AA9" w:rsidRDefault="00B05AA9" w:rsidP="00641EEB">
            <w:pPr>
              <w:tabs>
                <w:tab w:val="left" w:pos="284"/>
              </w:tabs>
              <w:jc w:val="center"/>
              <w:rPr>
                <w:sz w:val="22"/>
                <w:szCs w:val="22"/>
              </w:rPr>
            </w:pPr>
            <w:r>
              <w:rPr>
                <w:sz w:val="22"/>
                <w:szCs w:val="22"/>
              </w:rPr>
              <w:t>p&lt;0.0001</w:t>
            </w:r>
          </w:p>
        </w:tc>
        <w:tc>
          <w:tcPr>
            <w:tcW w:w="1995" w:type="dxa"/>
            <w:tcBorders>
              <w:top w:val="single" w:sz="4" w:space="0" w:color="auto"/>
              <w:left w:val="single" w:sz="4" w:space="0" w:color="auto"/>
              <w:bottom w:val="single" w:sz="4" w:space="0" w:color="auto"/>
              <w:right w:val="single" w:sz="4" w:space="0" w:color="auto"/>
            </w:tcBorders>
          </w:tcPr>
          <w:p w14:paraId="301275C0" w14:textId="77777777" w:rsidR="00B05AA9" w:rsidRDefault="00B05AA9" w:rsidP="00641EEB">
            <w:pPr>
              <w:jc w:val="center"/>
              <w:rPr>
                <w:sz w:val="22"/>
                <w:szCs w:val="22"/>
              </w:rPr>
            </w:pPr>
          </w:p>
          <w:p w14:paraId="4F3C1580" w14:textId="77777777" w:rsidR="00B05AA9" w:rsidRDefault="00B05AA9" w:rsidP="00641EEB">
            <w:pPr>
              <w:jc w:val="center"/>
              <w:rPr>
                <w:sz w:val="22"/>
                <w:szCs w:val="22"/>
              </w:rPr>
            </w:pPr>
            <w:r>
              <w:rPr>
                <w:sz w:val="22"/>
                <w:szCs w:val="22"/>
              </w:rPr>
              <w:t>0.61</w:t>
            </w:r>
          </w:p>
          <w:p w14:paraId="4F11A5AB" w14:textId="77777777" w:rsidR="00B05AA9" w:rsidRDefault="00B05AA9" w:rsidP="00641EEB">
            <w:pPr>
              <w:jc w:val="center"/>
              <w:rPr>
                <w:sz w:val="22"/>
                <w:szCs w:val="22"/>
              </w:rPr>
            </w:pPr>
            <w:r>
              <w:rPr>
                <w:sz w:val="22"/>
                <w:szCs w:val="22"/>
              </w:rPr>
              <w:t>(0.49, 0.77)</w:t>
            </w:r>
          </w:p>
          <w:p w14:paraId="730D669D" w14:textId="77777777" w:rsidR="00B05AA9" w:rsidRDefault="00B05AA9" w:rsidP="00641EEB">
            <w:pPr>
              <w:tabs>
                <w:tab w:val="left" w:pos="284"/>
              </w:tabs>
              <w:jc w:val="center"/>
              <w:rPr>
                <w:sz w:val="22"/>
                <w:szCs w:val="22"/>
              </w:rPr>
            </w:pPr>
            <w:r>
              <w:rPr>
                <w:sz w:val="22"/>
                <w:szCs w:val="22"/>
              </w:rPr>
              <w:t>p&lt;0.0001</w:t>
            </w:r>
          </w:p>
        </w:tc>
        <w:tc>
          <w:tcPr>
            <w:tcW w:w="1662" w:type="dxa"/>
            <w:tcBorders>
              <w:top w:val="single" w:sz="4" w:space="0" w:color="auto"/>
              <w:left w:val="single" w:sz="4" w:space="0" w:color="auto"/>
              <w:bottom w:val="single" w:sz="4" w:space="0" w:color="auto"/>
              <w:right w:val="single" w:sz="4" w:space="0" w:color="auto"/>
            </w:tcBorders>
          </w:tcPr>
          <w:p w14:paraId="6426788A" w14:textId="77777777" w:rsidR="00B05AA9" w:rsidRDefault="00B05AA9" w:rsidP="00641EEB">
            <w:pPr>
              <w:jc w:val="center"/>
              <w:rPr>
                <w:sz w:val="22"/>
                <w:szCs w:val="22"/>
              </w:rPr>
            </w:pPr>
          </w:p>
          <w:p w14:paraId="32EB285D" w14:textId="00D72405" w:rsidR="00B05AA9" w:rsidRDefault="00B05AA9" w:rsidP="00641EEB">
            <w:pPr>
              <w:jc w:val="center"/>
              <w:rPr>
                <w:sz w:val="22"/>
                <w:szCs w:val="22"/>
              </w:rPr>
            </w:pPr>
            <w:r>
              <w:rPr>
                <w:sz w:val="22"/>
                <w:szCs w:val="22"/>
              </w:rPr>
              <w:t>0,67</w:t>
            </w:r>
          </w:p>
          <w:p w14:paraId="027856A6" w14:textId="77777777" w:rsidR="00B05AA9" w:rsidRDefault="00B05AA9" w:rsidP="00641EEB">
            <w:pPr>
              <w:jc w:val="center"/>
              <w:rPr>
                <w:sz w:val="22"/>
                <w:szCs w:val="22"/>
              </w:rPr>
            </w:pPr>
            <w:r>
              <w:rPr>
                <w:sz w:val="22"/>
                <w:szCs w:val="22"/>
              </w:rPr>
              <w:t>(0,54, 0,83)</w:t>
            </w:r>
          </w:p>
          <w:p w14:paraId="5DA0D021" w14:textId="77777777" w:rsidR="00B05AA9" w:rsidRDefault="00B05AA9" w:rsidP="00641EEB">
            <w:pPr>
              <w:tabs>
                <w:tab w:val="left" w:pos="284"/>
              </w:tabs>
              <w:jc w:val="center"/>
              <w:rPr>
                <w:sz w:val="22"/>
                <w:szCs w:val="22"/>
              </w:rPr>
            </w:pPr>
            <w:r>
              <w:rPr>
                <w:sz w:val="22"/>
                <w:szCs w:val="22"/>
              </w:rPr>
              <w:t>p=0.0003</w:t>
            </w:r>
          </w:p>
        </w:tc>
      </w:tr>
      <w:tr w:rsidR="00B05AA9" w14:paraId="4134B4D5" w14:textId="77777777" w:rsidTr="00BA76B8">
        <w:tc>
          <w:tcPr>
            <w:tcW w:w="3415" w:type="dxa"/>
            <w:tcBorders>
              <w:top w:val="single" w:sz="4" w:space="0" w:color="auto"/>
              <w:left w:val="single" w:sz="4" w:space="0" w:color="auto"/>
              <w:bottom w:val="single" w:sz="4" w:space="0" w:color="auto"/>
              <w:right w:val="single" w:sz="4" w:space="0" w:color="auto"/>
            </w:tcBorders>
            <w:hideMark/>
          </w:tcPr>
          <w:p w14:paraId="0624E851" w14:textId="77777777" w:rsidR="00B05AA9" w:rsidRDefault="00B05AA9" w:rsidP="00BA76B8">
            <w:pPr>
              <w:rPr>
                <w:sz w:val="22"/>
                <w:szCs w:val="22"/>
              </w:rPr>
            </w:pPr>
            <w:r>
              <w:rPr>
                <w:sz w:val="22"/>
                <w:szCs w:val="22"/>
              </w:rPr>
              <w:t>Analiza efikasnosti tokom dugoročnog praćenja**</w:t>
            </w:r>
          </w:p>
          <w:p w14:paraId="50F1287E" w14:textId="77777777" w:rsidR="00B05AA9" w:rsidRDefault="00B05AA9" w:rsidP="00BA76B8">
            <w:pPr>
              <w:rPr>
                <w:sz w:val="22"/>
                <w:szCs w:val="22"/>
              </w:rPr>
            </w:pPr>
            <w:r>
              <w:rPr>
                <w:sz w:val="22"/>
                <w:szCs w:val="22"/>
              </w:rPr>
              <w:t>Odnosi hazarda za preživljavanje bez bolesti</w:t>
            </w:r>
          </w:p>
          <w:p w14:paraId="4EAB4509" w14:textId="77777777" w:rsidR="00B05AA9" w:rsidRDefault="00B05AA9" w:rsidP="00BA76B8">
            <w:pPr>
              <w:rPr>
                <w:sz w:val="22"/>
                <w:szCs w:val="22"/>
              </w:rPr>
            </w:pPr>
            <w:r>
              <w:rPr>
                <w:sz w:val="22"/>
                <w:szCs w:val="22"/>
              </w:rPr>
              <w:t>(95% CI)</w:t>
            </w:r>
          </w:p>
          <w:p w14:paraId="1B844D41" w14:textId="77777777" w:rsidR="00B05AA9" w:rsidRDefault="00B05AA9" w:rsidP="00BA76B8">
            <w:pPr>
              <w:rPr>
                <w:sz w:val="22"/>
                <w:szCs w:val="22"/>
              </w:rPr>
            </w:pPr>
            <w:r>
              <w:rPr>
                <w:sz w:val="22"/>
                <w:szCs w:val="22"/>
              </w:rPr>
              <w:t>p vrijednost</w:t>
            </w:r>
          </w:p>
        </w:tc>
        <w:tc>
          <w:tcPr>
            <w:tcW w:w="1995" w:type="dxa"/>
            <w:tcBorders>
              <w:top w:val="single" w:sz="4" w:space="0" w:color="auto"/>
              <w:left w:val="single" w:sz="4" w:space="0" w:color="auto"/>
              <w:bottom w:val="single" w:sz="4" w:space="0" w:color="auto"/>
              <w:right w:val="single" w:sz="4" w:space="0" w:color="auto"/>
            </w:tcBorders>
          </w:tcPr>
          <w:p w14:paraId="3D946811" w14:textId="77777777" w:rsidR="00B05AA9" w:rsidRDefault="00B05AA9" w:rsidP="00641EEB">
            <w:pPr>
              <w:jc w:val="center"/>
              <w:rPr>
                <w:sz w:val="22"/>
                <w:szCs w:val="22"/>
              </w:rPr>
            </w:pPr>
          </w:p>
          <w:p w14:paraId="01692986" w14:textId="77777777" w:rsidR="00B05AA9" w:rsidRDefault="00B05AA9" w:rsidP="00641EEB">
            <w:pPr>
              <w:jc w:val="center"/>
              <w:rPr>
                <w:sz w:val="22"/>
                <w:szCs w:val="22"/>
              </w:rPr>
            </w:pPr>
            <w:r>
              <w:rPr>
                <w:sz w:val="22"/>
                <w:szCs w:val="22"/>
              </w:rPr>
              <w:t>0,61</w:t>
            </w:r>
          </w:p>
          <w:p w14:paraId="3A6AA8E3" w14:textId="77777777" w:rsidR="00B05AA9" w:rsidRDefault="00B05AA9" w:rsidP="00641EEB">
            <w:pPr>
              <w:jc w:val="center"/>
              <w:rPr>
                <w:sz w:val="22"/>
                <w:szCs w:val="22"/>
              </w:rPr>
            </w:pPr>
            <w:r>
              <w:rPr>
                <w:sz w:val="22"/>
                <w:szCs w:val="22"/>
              </w:rPr>
              <w:t>(0,54; 0,69)</w:t>
            </w:r>
          </w:p>
          <w:p w14:paraId="28DDD094" w14:textId="77777777" w:rsidR="00B05AA9" w:rsidRDefault="00B05AA9" w:rsidP="00641EEB">
            <w:pPr>
              <w:jc w:val="center"/>
              <w:rPr>
                <w:sz w:val="22"/>
                <w:szCs w:val="22"/>
              </w:rPr>
            </w:pPr>
            <w:r>
              <w:rPr>
                <w:sz w:val="22"/>
                <w:szCs w:val="22"/>
              </w:rPr>
              <w:t>p&lt;0,0001</w:t>
            </w:r>
          </w:p>
        </w:tc>
        <w:tc>
          <w:tcPr>
            <w:tcW w:w="1995" w:type="dxa"/>
            <w:tcBorders>
              <w:top w:val="single" w:sz="4" w:space="0" w:color="auto"/>
              <w:left w:val="single" w:sz="4" w:space="0" w:color="auto"/>
              <w:bottom w:val="single" w:sz="4" w:space="0" w:color="auto"/>
              <w:right w:val="single" w:sz="4" w:space="0" w:color="auto"/>
            </w:tcBorders>
          </w:tcPr>
          <w:p w14:paraId="609780FA" w14:textId="77777777" w:rsidR="00B05AA9" w:rsidRDefault="00B05AA9" w:rsidP="00641EEB">
            <w:pPr>
              <w:jc w:val="center"/>
              <w:rPr>
                <w:sz w:val="22"/>
                <w:szCs w:val="22"/>
              </w:rPr>
            </w:pPr>
          </w:p>
          <w:p w14:paraId="2F3BCE0A" w14:textId="77777777" w:rsidR="00B05AA9" w:rsidRDefault="00B05AA9" w:rsidP="00641EEB">
            <w:pPr>
              <w:jc w:val="center"/>
              <w:rPr>
                <w:sz w:val="22"/>
                <w:szCs w:val="22"/>
              </w:rPr>
            </w:pPr>
            <w:r>
              <w:rPr>
                <w:sz w:val="22"/>
                <w:szCs w:val="22"/>
              </w:rPr>
              <w:t>0,72</w:t>
            </w:r>
          </w:p>
          <w:p w14:paraId="245C1998" w14:textId="77777777" w:rsidR="00B05AA9" w:rsidRDefault="00B05AA9" w:rsidP="00641EEB">
            <w:pPr>
              <w:jc w:val="center"/>
              <w:rPr>
                <w:sz w:val="22"/>
                <w:szCs w:val="22"/>
              </w:rPr>
            </w:pPr>
            <w:r>
              <w:rPr>
                <w:sz w:val="22"/>
                <w:szCs w:val="22"/>
              </w:rPr>
              <w:t>(0,61; 0,85)</w:t>
            </w:r>
          </w:p>
          <w:p w14:paraId="7C4EAC63" w14:textId="77777777" w:rsidR="00B05AA9" w:rsidRDefault="00B05AA9" w:rsidP="00641EEB">
            <w:pPr>
              <w:jc w:val="center"/>
              <w:rPr>
                <w:sz w:val="22"/>
                <w:szCs w:val="22"/>
              </w:rPr>
            </w:pPr>
            <w:r>
              <w:rPr>
                <w:sz w:val="22"/>
                <w:szCs w:val="22"/>
              </w:rPr>
              <w:t>p&lt;0,0001</w:t>
            </w:r>
          </w:p>
          <w:p w14:paraId="71385FCD" w14:textId="77777777" w:rsidR="00B05AA9" w:rsidRDefault="00B05AA9" w:rsidP="00641EEB">
            <w:pPr>
              <w:jc w:val="center"/>
              <w:rPr>
                <w:sz w:val="22"/>
                <w:szCs w:val="22"/>
              </w:rPr>
            </w:pPr>
          </w:p>
          <w:p w14:paraId="1AC035D5" w14:textId="77777777" w:rsidR="00B05AA9" w:rsidRDefault="00B05AA9" w:rsidP="00641EEB">
            <w:pPr>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tcPr>
          <w:p w14:paraId="5ADDF7AE" w14:textId="77777777" w:rsidR="00B05AA9" w:rsidRDefault="00B05AA9" w:rsidP="00641EEB">
            <w:pPr>
              <w:jc w:val="center"/>
              <w:rPr>
                <w:sz w:val="22"/>
                <w:szCs w:val="22"/>
              </w:rPr>
            </w:pPr>
          </w:p>
          <w:p w14:paraId="1073BD1C" w14:textId="77777777" w:rsidR="00B05AA9" w:rsidRDefault="00B05AA9" w:rsidP="00641EEB">
            <w:pPr>
              <w:jc w:val="center"/>
              <w:rPr>
                <w:sz w:val="22"/>
                <w:szCs w:val="22"/>
              </w:rPr>
            </w:pPr>
            <w:r>
              <w:rPr>
                <w:sz w:val="22"/>
                <w:szCs w:val="22"/>
              </w:rPr>
              <w:t>0,77</w:t>
            </w:r>
          </w:p>
          <w:p w14:paraId="432A880E" w14:textId="77777777" w:rsidR="00B05AA9" w:rsidRDefault="00B05AA9" w:rsidP="00641EEB">
            <w:pPr>
              <w:jc w:val="center"/>
              <w:rPr>
                <w:sz w:val="22"/>
                <w:szCs w:val="22"/>
              </w:rPr>
            </w:pPr>
            <w:r>
              <w:rPr>
                <w:sz w:val="22"/>
                <w:szCs w:val="22"/>
              </w:rPr>
              <w:t>(0,65; 0,90)</w:t>
            </w:r>
          </w:p>
          <w:p w14:paraId="51B2535B" w14:textId="77777777" w:rsidR="00B05AA9" w:rsidRDefault="00B05AA9" w:rsidP="00641EEB">
            <w:pPr>
              <w:jc w:val="center"/>
              <w:rPr>
                <w:sz w:val="22"/>
                <w:szCs w:val="22"/>
              </w:rPr>
            </w:pPr>
            <w:r>
              <w:rPr>
                <w:sz w:val="22"/>
                <w:szCs w:val="22"/>
              </w:rPr>
              <w:t>p=0,0011</w:t>
            </w:r>
          </w:p>
        </w:tc>
      </w:tr>
      <w:tr w:rsidR="00B05AA9" w14:paraId="4FB0B088" w14:textId="77777777" w:rsidTr="00BA76B8">
        <w:tc>
          <w:tcPr>
            <w:tcW w:w="3415" w:type="dxa"/>
            <w:tcBorders>
              <w:top w:val="single" w:sz="4" w:space="0" w:color="auto"/>
              <w:left w:val="single" w:sz="4" w:space="0" w:color="auto"/>
              <w:bottom w:val="single" w:sz="4" w:space="0" w:color="auto"/>
              <w:right w:val="single" w:sz="4" w:space="0" w:color="auto"/>
            </w:tcBorders>
          </w:tcPr>
          <w:p w14:paraId="1E0A2300" w14:textId="77777777" w:rsidR="00B05AA9" w:rsidRDefault="00B05AA9" w:rsidP="00BA76B8">
            <w:pPr>
              <w:rPr>
                <w:sz w:val="22"/>
                <w:szCs w:val="22"/>
              </w:rPr>
            </w:pPr>
          </w:p>
          <w:p w14:paraId="05ED85C1" w14:textId="77777777" w:rsidR="00B05AA9" w:rsidRDefault="00B05AA9" w:rsidP="00BA76B8">
            <w:pPr>
              <w:rPr>
                <w:sz w:val="22"/>
                <w:szCs w:val="22"/>
              </w:rPr>
            </w:pPr>
            <w:r>
              <w:rPr>
                <w:i/>
                <w:sz w:val="22"/>
                <w:szCs w:val="22"/>
              </w:rPr>
              <w:t xml:space="preserve">Post hoc </w:t>
            </w:r>
            <w:r>
              <w:rPr>
                <w:sz w:val="22"/>
                <w:szCs w:val="22"/>
              </w:rPr>
              <w:t xml:space="preserve">eksplorativna analiza sa </w:t>
            </w:r>
          </w:p>
          <w:p w14:paraId="0430ECEC" w14:textId="77777777" w:rsidR="00B05AA9" w:rsidRDefault="00B05AA9" w:rsidP="00BA76B8">
            <w:pPr>
              <w:rPr>
                <w:sz w:val="22"/>
                <w:szCs w:val="22"/>
              </w:rPr>
            </w:pPr>
            <w:r>
              <w:rPr>
                <w:sz w:val="22"/>
                <w:szCs w:val="22"/>
              </w:rPr>
              <w:t xml:space="preserve"> preživljavanjem bez bolesti i simptomatskim srčanim dogadjajima </w:t>
            </w:r>
          </w:p>
          <w:p w14:paraId="63FDC8DD" w14:textId="77777777" w:rsidR="00B05AA9" w:rsidRPr="00442616" w:rsidRDefault="00B05AA9" w:rsidP="00BA76B8">
            <w:pPr>
              <w:rPr>
                <w:sz w:val="22"/>
                <w:szCs w:val="22"/>
                <w:lang w:val="it-IT"/>
              </w:rPr>
            </w:pPr>
            <w:r w:rsidRPr="00442616">
              <w:rPr>
                <w:sz w:val="22"/>
                <w:szCs w:val="22"/>
                <w:lang w:val="it-IT"/>
              </w:rPr>
              <w:t>Dugoročno praćenje**</w:t>
            </w:r>
          </w:p>
          <w:p w14:paraId="1A0FA9CB" w14:textId="77777777" w:rsidR="00B05AA9" w:rsidRPr="00442616" w:rsidRDefault="00B05AA9" w:rsidP="00BA76B8">
            <w:pPr>
              <w:rPr>
                <w:sz w:val="22"/>
                <w:szCs w:val="22"/>
                <w:lang w:val="it-IT"/>
              </w:rPr>
            </w:pPr>
            <w:r w:rsidRPr="00442616">
              <w:rPr>
                <w:sz w:val="22"/>
                <w:szCs w:val="22"/>
                <w:lang w:val="it-IT"/>
              </w:rPr>
              <w:t>Odnosi hazarda</w:t>
            </w:r>
          </w:p>
          <w:p w14:paraId="65F18C9D" w14:textId="77777777" w:rsidR="00B05AA9" w:rsidRPr="00442616" w:rsidRDefault="00B05AA9" w:rsidP="00BA76B8">
            <w:pPr>
              <w:tabs>
                <w:tab w:val="left" w:pos="284"/>
              </w:tabs>
              <w:rPr>
                <w:sz w:val="22"/>
                <w:szCs w:val="22"/>
                <w:lang w:val="it-IT"/>
              </w:rPr>
            </w:pPr>
            <w:r w:rsidRPr="00442616">
              <w:rPr>
                <w:sz w:val="22"/>
                <w:szCs w:val="22"/>
                <w:lang w:val="it-IT"/>
              </w:rPr>
              <w:t>(95%CI)</w:t>
            </w:r>
          </w:p>
        </w:tc>
        <w:tc>
          <w:tcPr>
            <w:tcW w:w="1995" w:type="dxa"/>
            <w:tcBorders>
              <w:top w:val="single" w:sz="4" w:space="0" w:color="auto"/>
              <w:left w:val="single" w:sz="4" w:space="0" w:color="auto"/>
              <w:bottom w:val="single" w:sz="4" w:space="0" w:color="auto"/>
              <w:right w:val="single" w:sz="4" w:space="0" w:color="auto"/>
            </w:tcBorders>
          </w:tcPr>
          <w:p w14:paraId="7EAC41E4" w14:textId="77777777" w:rsidR="00B05AA9" w:rsidRPr="00442616" w:rsidRDefault="00B05AA9" w:rsidP="00641EEB">
            <w:pPr>
              <w:jc w:val="center"/>
              <w:rPr>
                <w:sz w:val="22"/>
                <w:szCs w:val="22"/>
                <w:lang w:val="it-IT"/>
              </w:rPr>
            </w:pPr>
          </w:p>
          <w:p w14:paraId="3168C662" w14:textId="77777777" w:rsidR="00B05AA9" w:rsidRDefault="00B05AA9" w:rsidP="00641EEB">
            <w:pPr>
              <w:jc w:val="center"/>
              <w:rPr>
                <w:sz w:val="22"/>
                <w:szCs w:val="22"/>
              </w:rPr>
            </w:pPr>
            <w:r>
              <w:rPr>
                <w:sz w:val="22"/>
                <w:szCs w:val="22"/>
              </w:rPr>
              <w:t>0.67</w:t>
            </w:r>
          </w:p>
          <w:p w14:paraId="1B8F6F80" w14:textId="77777777" w:rsidR="00B05AA9" w:rsidRDefault="00B05AA9" w:rsidP="00641EEB">
            <w:pPr>
              <w:jc w:val="center"/>
              <w:rPr>
                <w:sz w:val="22"/>
                <w:szCs w:val="22"/>
              </w:rPr>
            </w:pPr>
            <w:r>
              <w:rPr>
                <w:sz w:val="22"/>
                <w:szCs w:val="22"/>
              </w:rPr>
              <w:t>(0.60 0.75)</w:t>
            </w:r>
          </w:p>
          <w:p w14:paraId="68B5496E" w14:textId="77777777" w:rsidR="00B05AA9" w:rsidRDefault="00B05AA9" w:rsidP="00641EEB">
            <w:pPr>
              <w:tabs>
                <w:tab w:val="left" w:pos="284"/>
              </w:tabs>
              <w:jc w:val="center"/>
              <w:rPr>
                <w:sz w:val="22"/>
                <w:szCs w:val="22"/>
              </w:rPr>
            </w:pPr>
          </w:p>
        </w:tc>
        <w:tc>
          <w:tcPr>
            <w:tcW w:w="1995" w:type="dxa"/>
            <w:tcBorders>
              <w:top w:val="single" w:sz="4" w:space="0" w:color="auto"/>
              <w:left w:val="single" w:sz="4" w:space="0" w:color="auto"/>
              <w:bottom w:val="single" w:sz="4" w:space="0" w:color="auto"/>
              <w:right w:val="single" w:sz="4" w:space="0" w:color="auto"/>
            </w:tcBorders>
          </w:tcPr>
          <w:p w14:paraId="0DCEE931" w14:textId="77777777" w:rsidR="00B05AA9" w:rsidRDefault="00B05AA9" w:rsidP="00641EEB">
            <w:pPr>
              <w:jc w:val="center"/>
              <w:rPr>
                <w:sz w:val="22"/>
                <w:szCs w:val="22"/>
              </w:rPr>
            </w:pPr>
          </w:p>
          <w:p w14:paraId="55D4A350" w14:textId="77777777" w:rsidR="00B05AA9" w:rsidRDefault="00B05AA9" w:rsidP="00641EEB">
            <w:pPr>
              <w:jc w:val="center"/>
              <w:rPr>
                <w:sz w:val="22"/>
                <w:szCs w:val="22"/>
              </w:rPr>
            </w:pPr>
            <w:r>
              <w:rPr>
                <w:sz w:val="22"/>
                <w:szCs w:val="22"/>
              </w:rPr>
              <w:t>0.77</w:t>
            </w:r>
          </w:p>
          <w:p w14:paraId="598A1BD6" w14:textId="77777777" w:rsidR="00B05AA9" w:rsidRDefault="00B05AA9" w:rsidP="00641EEB">
            <w:pPr>
              <w:jc w:val="center"/>
              <w:rPr>
                <w:sz w:val="22"/>
                <w:szCs w:val="22"/>
              </w:rPr>
            </w:pPr>
            <w:r>
              <w:rPr>
                <w:sz w:val="22"/>
                <w:szCs w:val="22"/>
              </w:rPr>
              <w:t>(0.66, 0.90)</w:t>
            </w:r>
          </w:p>
          <w:p w14:paraId="225AD08A" w14:textId="77777777" w:rsidR="00B05AA9" w:rsidRDefault="00B05AA9" w:rsidP="00641EEB">
            <w:pPr>
              <w:tabs>
                <w:tab w:val="left" w:pos="284"/>
              </w:tabs>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tcPr>
          <w:p w14:paraId="10FEF1E9" w14:textId="77777777" w:rsidR="00B05AA9" w:rsidRDefault="00B05AA9" w:rsidP="00641EEB">
            <w:pPr>
              <w:jc w:val="center"/>
              <w:rPr>
                <w:sz w:val="22"/>
                <w:szCs w:val="22"/>
              </w:rPr>
            </w:pPr>
          </w:p>
          <w:p w14:paraId="1F933ED4" w14:textId="588D74EF" w:rsidR="00B05AA9" w:rsidRDefault="00B05AA9" w:rsidP="00641EEB">
            <w:pPr>
              <w:jc w:val="center"/>
              <w:rPr>
                <w:sz w:val="22"/>
                <w:szCs w:val="22"/>
              </w:rPr>
            </w:pPr>
            <w:r>
              <w:rPr>
                <w:sz w:val="22"/>
                <w:szCs w:val="22"/>
              </w:rPr>
              <w:t>0.77</w:t>
            </w:r>
          </w:p>
          <w:p w14:paraId="6EDE13EB" w14:textId="77777777" w:rsidR="00B05AA9" w:rsidRDefault="00B05AA9" w:rsidP="00641EEB">
            <w:pPr>
              <w:jc w:val="center"/>
              <w:rPr>
                <w:sz w:val="22"/>
                <w:szCs w:val="22"/>
              </w:rPr>
            </w:pPr>
            <w:r>
              <w:rPr>
                <w:sz w:val="22"/>
                <w:szCs w:val="22"/>
              </w:rPr>
              <w:t>(0.66, 0.90)</w:t>
            </w:r>
          </w:p>
          <w:p w14:paraId="58AF1475" w14:textId="77777777" w:rsidR="00B05AA9" w:rsidRDefault="00B05AA9" w:rsidP="00641EEB">
            <w:pPr>
              <w:tabs>
                <w:tab w:val="left" w:pos="284"/>
              </w:tabs>
              <w:jc w:val="center"/>
              <w:rPr>
                <w:sz w:val="22"/>
                <w:szCs w:val="22"/>
              </w:rPr>
            </w:pPr>
          </w:p>
        </w:tc>
      </w:tr>
    </w:tbl>
    <w:p w14:paraId="48713E0D" w14:textId="77777777" w:rsidR="00B05AA9" w:rsidRPr="009D4A69" w:rsidRDefault="00B05AA9" w:rsidP="00641EEB">
      <w:pPr>
        <w:jc w:val="both"/>
        <w:rPr>
          <w:sz w:val="20"/>
          <w:szCs w:val="20"/>
          <w:lang w:val="sr-Latn-ME"/>
        </w:rPr>
      </w:pPr>
      <w:r w:rsidRPr="009D4A69">
        <w:rPr>
          <w:sz w:val="20"/>
          <w:szCs w:val="20"/>
        </w:rPr>
        <w:t>A-doksorubicin, C-ciklofosfamid, P-paklitaksel, D-docetaksel, Carb-karboplatin, H-trastuzumab, CI-interval pouzdanosti</w:t>
      </w:r>
    </w:p>
    <w:p w14:paraId="3B666119" w14:textId="77777777" w:rsidR="00B05AA9" w:rsidRPr="009D4A69" w:rsidRDefault="00B05AA9" w:rsidP="00641EEB">
      <w:pPr>
        <w:jc w:val="both"/>
        <w:rPr>
          <w:sz w:val="20"/>
          <w:szCs w:val="20"/>
          <w:lang w:val="sr-Latn-ME"/>
        </w:rPr>
      </w:pPr>
      <w:r w:rsidRPr="009D4A69">
        <w:rPr>
          <w:sz w:val="20"/>
          <w:szCs w:val="20"/>
          <w:lang w:val="sr-Latn-ME"/>
        </w:rPr>
        <w:t xml:space="preserve">* </w:t>
      </w:r>
      <w:r w:rsidRPr="009D4A69">
        <w:rPr>
          <w:sz w:val="20"/>
          <w:szCs w:val="20"/>
        </w:rPr>
        <w:t>U</w:t>
      </w:r>
      <w:r w:rsidRPr="009D4A69">
        <w:rPr>
          <w:sz w:val="20"/>
          <w:szCs w:val="20"/>
          <w:lang w:val="sr-Latn-ME"/>
        </w:rPr>
        <w:t xml:space="preserve"> </w:t>
      </w:r>
      <w:r w:rsidRPr="009D4A69">
        <w:rPr>
          <w:sz w:val="20"/>
          <w:szCs w:val="20"/>
        </w:rPr>
        <w:t>trenutku</w:t>
      </w:r>
      <w:r w:rsidRPr="009D4A69">
        <w:rPr>
          <w:sz w:val="20"/>
          <w:szCs w:val="20"/>
          <w:lang w:val="sr-Latn-ME"/>
        </w:rPr>
        <w:t xml:space="preserve"> </w:t>
      </w:r>
      <w:r w:rsidRPr="009D4A69">
        <w:rPr>
          <w:sz w:val="20"/>
          <w:szCs w:val="20"/>
        </w:rPr>
        <w:t>kona</w:t>
      </w:r>
      <w:r w:rsidRPr="009D4A69">
        <w:rPr>
          <w:sz w:val="20"/>
          <w:szCs w:val="20"/>
          <w:lang w:val="sr-Latn-ME"/>
        </w:rPr>
        <w:t>č</w:t>
      </w:r>
      <w:r w:rsidRPr="009D4A69">
        <w:rPr>
          <w:sz w:val="20"/>
          <w:szCs w:val="20"/>
        </w:rPr>
        <w:t>ne</w:t>
      </w:r>
      <w:r w:rsidRPr="009D4A69">
        <w:rPr>
          <w:sz w:val="20"/>
          <w:szCs w:val="20"/>
          <w:lang w:val="sr-Latn-ME"/>
        </w:rPr>
        <w:t xml:space="preserve"> </w:t>
      </w:r>
      <w:r w:rsidRPr="009D4A69">
        <w:rPr>
          <w:sz w:val="20"/>
          <w:szCs w:val="20"/>
        </w:rPr>
        <w:t>analize</w:t>
      </w:r>
      <w:r w:rsidRPr="009D4A69">
        <w:rPr>
          <w:sz w:val="20"/>
          <w:szCs w:val="20"/>
          <w:lang w:val="sr-Latn-ME"/>
        </w:rPr>
        <w:t xml:space="preserve"> </w:t>
      </w:r>
      <w:r w:rsidRPr="009D4A69">
        <w:rPr>
          <w:sz w:val="20"/>
          <w:szCs w:val="20"/>
        </w:rPr>
        <w:t>pre</w:t>
      </w:r>
      <w:r w:rsidRPr="009D4A69">
        <w:rPr>
          <w:sz w:val="20"/>
          <w:szCs w:val="20"/>
          <w:lang w:val="sr-Latn-ME"/>
        </w:rPr>
        <w:t>ž</w:t>
      </w:r>
      <w:r w:rsidRPr="009D4A69">
        <w:rPr>
          <w:sz w:val="20"/>
          <w:szCs w:val="20"/>
        </w:rPr>
        <w:t>ivljavanja</w:t>
      </w:r>
      <w:r w:rsidRPr="009D4A69">
        <w:rPr>
          <w:sz w:val="20"/>
          <w:szCs w:val="20"/>
          <w:lang w:val="sr-Latn-ME"/>
        </w:rPr>
        <w:t xml:space="preserve"> </w:t>
      </w:r>
      <w:r w:rsidRPr="009D4A69">
        <w:rPr>
          <w:sz w:val="20"/>
          <w:szCs w:val="20"/>
        </w:rPr>
        <w:t>bez</w:t>
      </w:r>
      <w:r w:rsidRPr="009D4A69">
        <w:rPr>
          <w:sz w:val="20"/>
          <w:szCs w:val="20"/>
          <w:lang w:val="sr-Latn-ME"/>
        </w:rPr>
        <w:t xml:space="preserve"> </w:t>
      </w:r>
      <w:r w:rsidRPr="009D4A69">
        <w:rPr>
          <w:sz w:val="20"/>
          <w:szCs w:val="20"/>
        </w:rPr>
        <w:t>bolesti</w:t>
      </w:r>
      <w:r w:rsidRPr="009D4A69">
        <w:rPr>
          <w:sz w:val="20"/>
          <w:szCs w:val="20"/>
          <w:lang w:val="sr-Latn-ME"/>
        </w:rPr>
        <w:t xml:space="preserve">. </w:t>
      </w:r>
      <w:r w:rsidRPr="009D4A69">
        <w:rPr>
          <w:sz w:val="20"/>
          <w:szCs w:val="20"/>
        </w:rPr>
        <w:t>Medijana</w:t>
      </w:r>
      <w:r w:rsidRPr="009D4A69">
        <w:rPr>
          <w:sz w:val="20"/>
          <w:szCs w:val="20"/>
          <w:lang w:val="sr-Latn-ME"/>
        </w:rPr>
        <w:t xml:space="preserve"> </w:t>
      </w:r>
      <w:r w:rsidRPr="009D4A69">
        <w:rPr>
          <w:sz w:val="20"/>
          <w:szCs w:val="20"/>
        </w:rPr>
        <w:t>trajanja</w:t>
      </w:r>
      <w:r w:rsidRPr="009D4A69">
        <w:rPr>
          <w:sz w:val="20"/>
          <w:szCs w:val="20"/>
          <w:lang w:val="sr-Latn-ME"/>
        </w:rPr>
        <w:t xml:space="preserve"> </w:t>
      </w:r>
      <w:r w:rsidRPr="009D4A69">
        <w:rPr>
          <w:sz w:val="20"/>
          <w:szCs w:val="20"/>
        </w:rPr>
        <w:t>pra</w:t>
      </w:r>
      <w:r w:rsidRPr="009D4A69">
        <w:rPr>
          <w:sz w:val="20"/>
          <w:szCs w:val="20"/>
          <w:lang w:val="sr-Latn-ME"/>
        </w:rPr>
        <w:t>ć</w:t>
      </w:r>
      <w:r w:rsidRPr="009D4A69">
        <w:rPr>
          <w:sz w:val="20"/>
          <w:szCs w:val="20"/>
        </w:rPr>
        <w:t>enja</w:t>
      </w:r>
      <w:r w:rsidRPr="009D4A69">
        <w:rPr>
          <w:sz w:val="20"/>
          <w:szCs w:val="20"/>
          <w:lang w:val="sr-Latn-ME"/>
        </w:rPr>
        <w:t xml:space="preserve"> </w:t>
      </w:r>
      <w:r w:rsidRPr="009D4A69">
        <w:rPr>
          <w:sz w:val="20"/>
          <w:szCs w:val="20"/>
        </w:rPr>
        <w:t>iznosila</w:t>
      </w:r>
      <w:r w:rsidRPr="009D4A69">
        <w:rPr>
          <w:sz w:val="20"/>
          <w:szCs w:val="20"/>
          <w:lang w:val="sr-Latn-ME"/>
        </w:rPr>
        <w:t xml:space="preserve"> </w:t>
      </w:r>
      <w:r w:rsidRPr="009D4A69">
        <w:rPr>
          <w:sz w:val="20"/>
          <w:szCs w:val="20"/>
        </w:rPr>
        <w:t>je</w:t>
      </w:r>
      <w:r w:rsidRPr="009D4A69">
        <w:rPr>
          <w:sz w:val="20"/>
          <w:szCs w:val="20"/>
          <w:lang w:val="sr-Latn-ME"/>
        </w:rPr>
        <w:t xml:space="preserve"> 1</w:t>
      </w:r>
      <w:proofErr w:type="gramStart"/>
      <w:r w:rsidRPr="009D4A69">
        <w:rPr>
          <w:sz w:val="20"/>
          <w:szCs w:val="20"/>
          <w:lang w:val="sr-Latn-ME"/>
        </w:rPr>
        <w:t>,8</w:t>
      </w:r>
      <w:proofErr w:type="gramEnd"/>
      <w:r w:rsidRPr="009D4A69">
        <w:rPr>
          <w:sz w:val="20"/>
          <w:szCs w:val="20"/>
          <w:lang w:val="sr-Latn-ME"/>
        </w:rPr>
        <w:t xml:space="preserve"> </w:t>
      </w:r>
      <w:r w:rsidRPr="009D4A69">
        <w:rPr>
          <w:sz w:val="20"/>
          <w:szCs w:val="20"/>
        </w:rPr>
        <w:t>godina</w:t>
      </w:r>
      <w:r w:rsidRPr="009D4A69">
        <w:rPr>
          <w:sz w:val="20"/>
          <w:szCs w:val="20"/>
          <w:lang w:val="sr-Latn-ME"/>
        </w:rPr>
        <w:t xml:space="preserve"> </w:t>
      </w:r>
      <w:r w:rsidRPr="009D4A69">
        <w:rPr>
          <w:sz w:val="20"/>
          <w:szCs w:val="20"/>
        </w:rPr>
        <w:t>u</w:t>
      </w:r>
      <w:r w:rsidRPr="009D4A69">
        <w:rPr>
          <w:sz w:val="20"/>
          <w:szCs w:val="20"/>
          <w:lang w:val="sr-Latn-ME"/>
        </w:rPr>
        <w:t xml:space="preserve"> </w:t>
      </w:r>
      <w:r w:rsidRPr="009D4A69">
        <w:rPr>
          <w:sz w:val="20"/>
          <w:szCs w:val="20"/>
        </w:rPr>
        <w:t>grupi</w:t>
      </w:r>
      <w:r w:rsidRPr="009D4A69">
        <w:rPr>
          <w:sz w:val="20"/>
          <w:szCs w:val="20"/>
          <w:lang w:val="sr-Latn-ME"/>
        </w:rPr>
        <w:t xml:space="preserve"> </w:t>
      </w:r>
      <w:r w:rsidRPr="009D4A69">
        <w:rPr>
          <w:sz w:val="20"/>
          <w:szCs w:val="20"/>
        </w:rPr>
        <w:t>koja</w:t>
      </w:r>
      <w:r w:rsidRPr="009D4A69">
        <w:rPr>
          <w:sz w:val="20"/>
          <w:szCs w:val="20"/>
          <w:lang w:val="sr-Latn-ME"/>
        </w:rPr>
        <w:t xml:space="preserve"> </w:t>
      </w:r>
      <w:r w:rsidRPr="009D4A69">
        <w:rPr>
          <w:sz w:val="20"/>
          <w:szCs w:val="20"/>
        </w:rPr>
        <w:t>je</w:t>
      </w:r>
      <w:r w:rsidRPr="009D4A69">
        <w:rPr>
          <w:sz w:val="20"/>
          <w:szCs w:val="20"/>
          <w:lang w:val="sr-Latn-ME"/>
        </w:rPr>
        <w:t xml:space="preserve"> </w:t>
      </w:r>
      <w:r w:rsidRPr="009D4A69">
        <w:rPr>
          <w:sz w:val="20"/>
          <w:szCs w:val="20"/>
        </w:rPr>
        <w:t>primala</w:t>
      </w:r>
      <w:r w:rsidRPr="009D4A69">
        <w:rPr>
          <w:sz w:val="20"/>
          <w:szCs w:val="20"/>
          <w:lang w:val="sr-Latn-ME"/>
        </w:rPr>
        <w:t xml:space="preserve"> </w:t>
      </w:r>
      <w:r w:rsidRPr="009D4A69">
        <w:rPr>
          <w:sz w:val="20"/>
          <w:szCs w:val="20"/>
        </w:rPr>
        <w:t>AC</w:t>
      </w:r>
      <w:r w:rsidRPr="009D4A69">
        <w:rPr>
          <w:sz w:val="20"/>
          <w:szCs w:val="20"/>
          <w:lang w:val="sr-Latn-ME"/>
        </w:rPr>
        <w:t>→</w:t>
      </w:r>
      <w:r w:rsidRPr="009D4A69">
        <w:rPr>
          <w:sz w:val="20"/>
          <w:szCs w:val="20"/>
        </w:rPr>
        <w:t>P</w:t>
      </w:r>
      <w:r w:rsidRPr="009D4A69">
        <w:rPr>
          <w:sz w:val="20"/>
          <w:szCs w:val="20"/>
          <w:lang w:val="sr-Latn-ME"/>
        </w:rPr>
        <w:t xml:space="preserve"> </w:t>
      </w:r>
      <w:r w:rsidRPr="009D4A69">
        <w:rPr>
          <w:sz w:val="20"/>
          <w:szCs w:val="20"/>
        </w:rPr>
        <w:t>hemoterapiju</w:t>
      </w:r>
      <w:r w:rsidRPr="009D4A69">
        <w:rPr>
          <w:sz w:val="20"/>
          <w:szCs w:val="20"/>
          <w:lang w:val="sr-Latn-ME"/>
        </w:rPr>
        <w:t xml:space="preserve"> </w:t>
      </w:r>
      <w:r w:rsidRPr="009D4A69">
        <w:rPr>
          <w:sz w:val="20"/>
          <w:szCs w:val="20"/>
        </w:rPr>
        <w:t>i</w:t>
      </w:r>
      <w:r w:rsidRPr="009D4A69">
        <w:rPr>
          <w:sz w:val="20"/>
          <w:szCs w:val="20"/>
          <w:lang w:val="sr-Latn-ME"/>
        </w:rPr>
        <w:t xml:space="preserve"> 2,0 </w:t>
      </w:r>
      <w:r w:rsidRPr="009D4A69">
        <w:rPr>
          <w:sz w:val="20"/>
          <w:szCs w:val="20"/>
        </w:rPr>
        <w:t>godine</w:t>
      </w:r>
      <w:r w:rsidRPr="009D4A69">
        <w:rPr>
          <w:sz w:val="20"/>
          <w:szCs w:val="20"/>
          <w:lang w:val="sr-Latn-ME"/>
        </w:rPr>
        <w:t xml:space="preserve"> </w:t>
      </w:r>
      <w:r w:rsidRPr="009D4A69">
        <w:rPr>
          <w:sz w:val="20"/>
          <w:szCs w:val="20"/>
        </w:rPr>
        <w:t>u</w:t>
      </w:r>
      <w:r w:rsidRPr="009D4A69">
        <w:rPr>
          <w:sz w:val="20"/>
          <w:szCs w:val="20"/>
          <w:lang w:val="sr-Latn-ME"/>
        </w:rPr>
        <w:t xml:space="preserve"> </w:t>
      </w:r>
      <w:r w:rsidRPr="009D4A69">
        <w:rPr>
          <w:sz w:val="20"/>
          <w:szCs w:val="20"/>
        </w:rPr>
        <w:t>grupi</w:t>
      </w:r>
      <w:r w:rsidRPr="009D4A69">
        <w:rPr>
          <w:sz w:val="20"/>
          <w:szCs w:val="20"/>
          <w:lang w:val="sr-Latn-ME"/>
        </w:rPr>
        <w:t xml:space="preserve"> </w:t>
      </w:r>
      <w:r w:rsidRPr="009D4A69">
        <w:rPr>
          <w:sz w:val="20"/>
          <w:szCs w:val="20"/>
        </w:rPr>
        <w:t>koja</w:t>
      </w:r>
      <w:r w:rsidRPr="009D4A69">
        <w:rPr>
          <w:sz w:val="20"/>
          <w:szCs w:val="20"/>
          <w:lang w:val="sr-Latn-ME"/>
        </w:rPr>
        <w:t xml:space="preserve"> </w:t>
      </w:r>
      <w:r w:rsidRPr="009D4A69">
        <w:rPr>
          <w:sz w:val="20"/>
          <w:szCs w:val="20"/>
        </w:rPr>
        <w:t>je</w:t>
      </w:r>
      <w:r w:rsidRPr="009D4A69">
        <w:rPr>
          <w:sz w:val="20"/>
          <w:szCs w:val="20"/>
          <w:lang w:val="sr-Latn-ME"/>
        </w:rPr>
        <w:t xml:space="preserve"> </w:t>
      </w:r>
      <w:r w:rsidRPr="009D4A69">
        <w:rPr>
          <w:sz w:val="20"/>
          <w:szCs w:val="20"/>
        </w:rPr>
        <w:t>primala</w:t>
      </w:r>
      <w:r w:rsidRPr="009D4A69">
        <w:rPr>
          <w:sz w:val="20"/>
          <w:szCs w:val="20"/>
          <w:lang w:val="sr-Latn-ME"/>
        </w:rPr>
        <w:t xml:space="preserve"> </w:t>
      </w:r>
      <w:r w:rsidRPr="009D4A69">
        <w:rPr>
          <w:sz w:val="20"/>
          <w:szCs w:val="20"/>
        </w:rPr>
        <w:t>AC</w:t>
      </w:r>
      <w:r w:rsidRPr="009D4A69">
        <w:rPr>
          <w:sz w:val="20"/>
          <w:szCs w:val="20"/>
          <w:lang w:val="sr-Latn-ME"/>
        </w:rPr>
        <w:t>→</w:t>
      </w:r>
      <w:r w:rsidRPr="009D4A69">
        <w:rPr>
          <w:sz w:val="20"/>
          <w:szCs w:val="20"/>
        </w:rPr>
        <w:t>PH</w:t>
      </w:r>
      <w:r w:rsidRPr="009D4A69">
        <w:rPr>
          <w:sz w:val="20"/>
          <w:szCs w:val="20"/>
          <w:lang w:val="sr-Latn-ME"/>
        </w:rPr>
        <w:t xml:space="preserve"> </w:t>
      </w:r>
      <w:r w:rsidRPr="009D4A69">
        <w:rPr>
          <w:sz w:val="20"/>
          <w:szCs w:val="20"/>
        </w:rPr>
        <w:t>hemoterapiju</w:t>
      </w:r>
    </w:p>
    <w:p w14:paraId="61A7D6E5" w14:textId="1D1E4620" w:rsidR="00B05AA9" w:rsidRPr="009D4A69" w:rsidRDefault="00B05AA9" w:rsidP="00641EEB">
      <w:pPr>
        <w:jc w:val="both"/>
        <w:rPr>
          <w:sz w:val="20"/>
          <w:szCs w:val="20"/>
          <w:lang w:val="sr-Latn-ME"/>
        </w:rPr>
      </w:pPr>
      <w:r w:rsidRPr="009D4A69">
        <w:rPr>
          <w:sz w:val="20"/>
          <w:szCs w:val="20"/>
          <w:lang w:val="sr-Latn-ME"/>
        </w:rPr>
        <w:t xml:space="preserve">** </w:t>
      </w:r>
      <w:r w:rsidRPr="009D4A69">
        <w:rPr>
          <w:sz w:val="20"/>
          <w:szCs w:val="20"/>
        </w:rPr>
        <w:t>Medijana</w:t>
      </w:r>
      <w:r w:rsidRPr="009D4A69">
        <w:rPr>
          <w:sz w:val="20"/>
          <w:szCs w:val="20"/>
          <w:lang w:val="sr-Latn-ME"/>
        </w:rPr>
        <w:t xml:space="preserve"> </w:t>
      </w:r>
      <w:r w:rsidRPr="009D4A69">
        <w:rPr>
          <w:sz w:val="20"/>
          <w:szCs w:val="20"/>
        </w:rPr>
        <w:t>trajanja</w:t>
      </w:r>
      <w:r w:rsidRPr="009D4A69">
        <w:rPr>
          <w:sz w:val="20"/>
          <w:szCs w:val="20"/>
          <w:lang w:val="sr-Latn-ME"/>
        </w:rPr>
        <w:t xml:space="preserve"> </w:t>
      </w:r>
      <w:r w:rsidRPr="009D4A69">
        <w:rPr>
          <w:sz w:val="20"/>
          <w:szCs w:val="20"/>
        </w:rPr>
        <w:t>dugoro</w:t>
      </w:r>
      <w:r w:rsidRPr="009D4A69">
        <w:rPr>
          <w:sz w:val="20"/>
          <w:szCs w:val="20"/>
          <w:lang w:val="sr-Latn-ME"/>
        </w:rPr>
        <w:t>č</w:t>
      </w:r>
      <w:r w:rsidRPr="009D4A69">
        <w:rPr>
          <w:sz w:val="20"/>
          <w:szCs w:val="20"/>
        </w:rPr>
        <w:t>nog</w:t>
      </w:r>
      <w:r w:rsidRPr="009D4A69">
        <w:rPr>
          <w:sz w:val="20"/>
          <w:szCs w:val="20"/>
          <w:lang w:val="sr-Latn-ME"/>
        </w:rPr>
        <w:t xml:space="preserve"> </w:t>
      </w:r>
      <w:r w:rsidRPr="009D4A69">
        <w:rPr>
          <w:sz w:val="20"/>
          <w:szCs w:val="20"/>
        </w:rPr>
        <w:t>pra</w:t>
      </w:r>
      <w:r w:rsidRPr="009D4A69">
        <w:rPr>
          <w:sz w:val="20"/>
          <w:szCs w:val="20"/>
          <w:lang w:val="sr-Latn-ME"/>
        </w:rPr>
        <w:t>ć</w:t>
      </w:r>
      <w:r w:rsidRPr="009D4A69">
        <w:rPr>
          <w:sz w:val="20"/>
          <w:szCs w:val="20"/>
        </w:rPr>
        <w:t>enja</w:t>
      </w:r>
      <w:r w:rsidRPr="009D4A69">
        <w:rPr>
          <w:sz w:val="20"/>
          <w:szCs w:val="20"/>
          <w:lang w:val="sr-Latn-ME"/>
        </w:rPr>
        <w:t xml:space="preserve"> </w:t>
      </w:r>
      <w:r w:rsidRPr="009D4A69">
        <w:rPr>
          <w:sz w:val="20"/>
          <w:szCs w:val="20"/>
        </w:rPr>
        <w:t>za</w:t>
      </w:r>
      <w:r w:rsidRPr="009D4A69">
        <w:rPr>
          <w:sz w:val="20"/>
          <w:szCs w:val="20"/>
          <w:lang w:val="sr-Latn-ME"/>
        </w:rPr>
        <w:t xml:space="preserve"> </w:t>
      </w:r>
      <w:r w:rsidRPr="009D4A69">
        <w:rPr>
          <w:sz w:val="20"/>
          <w:szCs w:val="20"/>
        </w:rPr>
        <w:t>klini</w:t>
      </w:r>
      <w:r w:rsidRPr="009D4A69">
        <w:rPr>
          <w:sz w:val="20"/>
          <w:szCs w:val="20"/>
          <w:lang w:val="sr-Latn-ME"/>
        </w:rPr>
        <w:t>č</w:t>
      </w:r>
      <w:r w:rsidRPr="009D4A69">
        <w:rPr>
          <w:sz w:val="20"/>
          <w:szCs w:val="20"/>
        </w:rPr>
        <w:t>ka</w:t>
      </w:r>
      <w:r w:rsidRPr="009D4A69">
        <w:rPr>
          <w:sz w:val="20"/>
          <w:szCs w:val="20"/>
          <w:lang w:val="sr-Latn-ME"/>
        </w:rPr>
        <w:t xml:space="preserve"> </w:t>
      </w:r>
      <w:r w:rsidRPr="009D4A69">
        <w:rPr>
          <w:sz w:val="20"/>
          <w:szCs w:val="20"/>
        </w:rPr>
        <w:t>ispitivanja</w:t>
      </w:r>
      <w:r w:rsidRPr="009D4A69">
        <w:rPr>
          <w:sz w:val="20"/>
          <w:szCs w:val="20"/>
          <w:lang w:val="sr-Latn-ME"/>
        </w:rPr>
        <w:t xml:space="preserve"> </w:t>
      </w:r>
      <w:r w:rsidRPr="009D4A69">
        <w:rPr>
          <w:sz w:val="20"/>
          <w:szCs w:val="20"/>
        </w:rPr>
        <w:t>obuhva</w:t>
      </w:r>
      <w:r w:rsidRPr="009D4A69">
        <w:rPr>
          <w:sz w:val="20"/>
          <w:szCs w:val="20"/>
          <w:lang w:val="sr-Latn-ME"/>
        </w:rPr>
        <w:t>ć</w:t>
      </w:r>
      <w:r w:rsidRPr="009D4A69">
        <w:rPr>
          <w:sz w:val="20"/>
          <w:szCs w:val="20"/>
        </w:rPr>
        <w:t>ena</w:t>
      </w:r>
      <w:r w:rsidRPr="009D4A69">
        <w:rPr>
          <w:sz w:val="20"/>
          <w:szCs w:val="20"/>
          <w:lang w:val="sr-Latn-ME"/>
        </w:rPr>
        <w:t xml:space="preserve"> </w:t>
      </w:r>
      <w:r w:rsidRPr="009D4A69">
        <w:rPr>
          <w:sz w:val="20"/>
          <w:szCs w:val="20"/>
        </w:rPr>
        <w:t>zajedni</w:t>
      </w:r>
      <w:r w:rsidRPr="009D4A69">
        <w:rPr>
          <w:sz w:val="20"/>
          <w:szCs w:val="20"/>
          <w:lang w:val="sr-Latn-ME"/>
        </w:rPr>
        <w:t>č</w:t>
      </w:r>
      <w:r w:rsidRPr="009D4A69">
        <w:rPr>
          <w:sz w:val="20"/>
          <w:szCs w:val="20"/>
        </w:rPr>
        <w:t>kom</w:t>
      </w:r>
      <w:r w:rsidRPr="009D4A69">
        <w:rPr>
          <w:sz w:val="20"/>
          <w:szCs w:val="20"/>
          <w:lang w:val="sr-Latn-ME"/>
        </w:rPr>
        <w:t xml:space="preserve"> </w:t>
      </w:r>
      <w:r w:rsidRPr="009D4A69">
        <w:rPr>
          <w:sz w:val="20"/>
          <w:szCs w:val="20"/>
        </w:rPr>
        <w:t>analizom</w:t>
      </w:r>
      <w:r w:rsidRPr="009D4A69">
        <w:rPr>
          <w:sz w:val="20"/>
          <w:szCs w:val="20"/>
          <w:lang w:val="sr-Latn-ME"/>
        </w:rPr>
        <w:t xml:space="preserve"> </w:t>
      </w:r>
      <w:r w:rsidRPr="009D4A69">
        <w:rPr>
          <w:sz w:val="20"/>
          <w:szCs w:val="20"/>
        </w:rPr>
        <w:t>iznosila</w:t>
      </w:r>
      <w:r w:rsidRPr="009D4A69">
        <w:rPr>
          <w:sz w:val="20"/>
          <w:szCs w:val="20"/>
          <w:lang w:val="sr-Latn-ME"/>
        </w:rPr>
        <w:t xml:space="preserve"> </w:t>
      </w:r>
      <w:r w:rsidRPr="009D4A69">
        <w:rPr>
          <w:sz w:val="20"/>
          <w:szCs w:val="20"/>
        </w:rPr>
        <w:t>je</w:t>
      </w:r>
      <w:r w:rsidRPr="009D4A69">
        <w:rPr>
          <w:sz w:val="20"/>
          <w:szCs w:val="20"/>
          <w:lang w:val="sr-Latn-ME"/>
        </w:rPr>
        <w:t xml:space="preserve"> 8,3 </w:t>
      </w:r>
      <w:r w:rsidRPr="009D4A69">
        <w:rPr>
          <w:sz w:val="20"/>
          <w:szCs w:val="20"/>
        </w:rPr>
        <w:t>godine</w:t>
      </w:r>
      <w:r w:rsidRPr="009D4A69">
        <w:rPr>
          <w:sz w:val="20"/>
          <w:szCs w:val="20"/>
          <w:lang w:val="sr-Latn-ME"/>
        </w:rPr>
        <w:t xml:space="preserve"> (</w:t>
      </w:r>
      <w:r w:rsidRPr="009D4A69">
        <w:rPr>
          <w:sz w:val="20"/>
          <w:szCs w:val="20"/>
        </w:rPr>
        <w:t>raspon</w:t>
      </w:r>
      <w:r w:rsidRPr="009D4A69">
        <w:rPr>
          <w:sz w:val="20"/>
          <w:szCs w:val="20"/>
          <w:lang w:val="sr-Latn-ME"/>
        </w:rPr>
        <w:t xml:space="preserve">: 0,1 </w:t>
      </w:r>
      <w:r w:rsidRPr="009D4A69">
        <w:rPr>
          <w:sz w:val="20"/>
          <w:szCs w:val="20"/>
        </w:rPr>
        <w:t>do</w:t>
      </w:r>
      <w:r w:rsidRPr="009D4A69">
        <w:rPr>
          <w:sz w:val="20"/>
          <w:szCs w:val="20"/>
          <w:lang w:val="sr-Latn-ME"/>
        </w:rPr>
        <w:t xml:space="preserve"> 12,1) </w:t>
      </w:r>
      <w:r w:rsidRPr="009D4A69">
        <w:rPr>
          <w:sz w:val="20"/>
          <w:szCs w:val="20"/>
        </w:rPr>
        <w:t>u</w:t>
      </w:r>
      <w:r w:rsidRPr="009D4A69">
        <w:rPr>
          <w:sz w:val="20"/>
          <w:szCs w:val="20"/>
          <w:lang w:val="sr-Latn-ME"/>
        </w:rPr>
        <w:t xml:space="preserve"> </w:t>
      </w:r>
      <w:r w:rsidRPr="009D4A69">
        <w:rPr>
          <w:sz w:val="20"/>
          <w:szCs w:val="20"/>
        </w:rPr>
        <w:t>grupi</w:t>
      </w:r>
      <w:r w:rsidRPr="009D4A69">
        <w:rPr>
          <w:sz w:val="20"/>
          <w:szCs w:val="20"/>
          <w:lang w:val="sr-Latn-ME"/>
        </w:rPr>
        <w:t xml:space="preserve"> </w:t>
      </w:r>
      <w:r w:rsidRPr="009D4A69">
        <w:rPr>
          <w:sz w:val="20"/>
          <w:szCs w:val="20"/>
        </w:rPr>
        <w:t>koja</w:t>
      </w:r>
      <w:r w:rsidRPr="009D4A69">
        <w:rPr>
          <w:sz w:val="20"/>
          <w:szCs w:val="20"/>
          <w:lang w:val="sr-Latn-ME"/>
        </w:rPr>
        <w:t xml:space="preserve"> </w:t>
      </w:r>
      <w:r w:rsidRPr="009D4A69">
        <w:rPr>
          <w:sz w:val="20"/>
          <w:szCs w:val="20"/>
        </w:rPr>
        <w:t>je</w:t>
      </w:r>
      <w:r w:rsidRPr="009D4A69">
        <w:rPr>
          <w:sz w:val="20"/>
          <w:szCs w:val="20"/>
          <w:lang w:val="sr-Latn-ME"/>
        </w:rPr>
        <w:t xml:space="preserve"> </w:t>
      </w:r>
      <w:r w:rsidRPr="009D4A69">
        <w:rPr>
          <w:sz w:val="20"/>
          <w:szCs w:val="20"/>
        </w:rPr>
        <w:t>primala</w:t>
      </w:r>
      <w:r w:rsidRPr="009D4A69">
        <w:rPr>
          <w:sz w:val="20"/>
          <w:szCs w:val="20"/>
          <w:lang w:val="sr-Latn-ME"/>
        </w:rPr>
        <w:t xml:space="preserve"> </w:t>
      </w:r>
      <w:r w:rsidRPr="009D4A69">
        <w:rPr>
          <w:sz w:val="20"/>
          <w:szCs w:val="20"/>
        </w:rPr>
        <w:t>AC</w:t>
      </w:r>
      <w:r w:rsidRPr="009D4A69">
        <w:rPr>
          <w:sz w:val="20"/>
          <w:szCs w:val="20"/>
          <w:lang w:val="sr-Latn-ME"/>
        </w:rPr>
        <w:t>→</w:t>
      </w:r>
      <w:r w:rsidRPr="009D4A69">
        <w:rPr>
          <w:sz w:val="20"/>
          <w:szCs w:val="20"/>
        </w:rPr>
        <w:t>PH</w:t>
      </w:r>
      <w:r w:rsidRPr="009D4A69">
        <w:rPr>
          <w:sz w:val="20"/>
          <w:szCs w:val="20"/>
          <w:lang w:val="sr-Latn-ME"/>
        </w:rPr>
        <w:t xml:space="preserve"> </w:t>
      </w:r>
      <w:r w:rsidRPr="009D4A69">
        <w:rPr>
          <w:sz w:val="20"/>
          <w:szCs w:val="20"/>
        </w:rPr>
        <w:t>hemoterapiju</w:t>
      </w:r>
      <w:r w:rsidRPr="009D4A69">
        <w:rPr>
          <w:sz w:val="20"/>
          <w:szCs w:val="20"/>
          <w:lang w:val="sr-Latn-ME"/>
        </w:rPr>
        <w:t xml:space="preserve"> </w:t>
      </w:r>
      <w:r w:rsidRPr="009D4A69">
        <w:rPr>
          <w:sz w:val="20"/>
          <w:szCs w:val="20"/>
        </w:rPr>
        <w:t>te</w:t>
      </w:r>
      <w:r w:rsidRPr="009D4A69">
        <w:rPr>
          <w:sz w:val="20"/>
          <w:szCs w:val="20"/>
          <w:lang w:val="sr-Latn-ME"/>
        </w:rPr>
        <w:t xml:space="preserve"> 7,9 </w:t>
      </w:r>
      <w:r w:rsidRPr="009D4A69">
        <w:rPr>
          <w:sz w:val="20"/>
          <w:szCs w:val="20"/>
        </w:rPr>
        <w:t>godina</w:t>
      </w:r>
      <w:r w:rsidRPr="009D4A69">
        <w:rPr>
          <w:sz w:val="20"/>
          <w:szCs w:val="20"/>
          <w:lang w:val="sr-Latn-ME"/>
        </w:rPr>
        <w:t xml:space="preserve"> (</w:t>
      </w:r>
      <w:r w:rsidRPr="009D4A69">
        <w:rPr>
          <w:sz w:val="20"/>
          <w:szCs w:val="20"/>
        </w:rPr>
        <w:t>raspon</w:t>
      </w:r>
      <w:r w:rsidRPr="009D4A69">
        <w:rPr>
          <w:sz w:val="20"/>
          <w:szCs w:val="20"/>
          <w:lang w:val="sr-Latn-ME"/>
        </w:rPr>
        <w:t xml:space="preserve">: 0,0 </w:t>
      </w:r>
      <w:r w:rsidRPr="009D4A69">
        <w:rPr>
          <w:sz w:val="20"/>
          <w:szCs w:val="20"/>
        </w:rPr>
        <w:t>do</w:t>
      </w:r>
      <w:r w:rsidRPr="009D4A69">
        <w:rPr>
          <w:sz w:val="20"/>
          <w:szCs w:val="20"/>
          <w:lang w:val="sr-Latn-ME"/>
        </w:rPr>
        <w:t xml:space="preserve"> 12,2) </w:t>
      </w:r>
      <w:r w:rsidRPr="009D4A69">
        <w:rPr>
          <w:sz w:val="20"/>
          <w:szCs w:val="20"/>
        </w:rPr>
        <w:t>u</w:t>
      </w:r>
      <w:r w:rsidRPr="009D4A69">
        <w:rPr>
          <w:sz w:val="20"/>
          <w:szCs w:val="20"/>
          <w:lang w:val="sr-Latn-ME"/>
        </w:rPr>
        <w:t xml:space="preserve"> </w:t>
      </w:r>
      <w:r w:rsidRPr="009D4A69">
        <w:rPr>
          <w:sz w:val="20"/>
          <w:szCs w:val="20"/>
        </w:rPr>
        <w:t>grupi</w:t>
      </w:r>
      <w:r w:rsidRPr="009D4A69">
        <w:rPr>
          <w:sz w:val="20"/>
          <w:szCs w:val="20"/>
          <w:lang w:val="sr-Latn-ME"/>
        </w:rPr>
        <w:t xml:space="preserve"> </w:t>
      </w:r>
      <w:r w:rsidRPr="009D4A69">
        <w:rPr>
          <w:sz w:val="20"/>
          <w:szCs w:val="20"/>
        </w:rPr>
        <w:t>koja</w:t>
      </w:r>
      <w:r w:rsidRPr="009D4A69">
        <w:rPr>
          <w:sz w:val="20"/>
          <w:szCs w:val="20"/>
          <w:lang w:val="sr-Latn-ME"/>
        </w:rPr>
        <w:t xml:space="preserve"> </w:t>
      </w:r>
      <w:r w:rsidRPr="009D4A69">
        <w:rPr>
          <w:sz w:val="20"/>
          <w:szCs w:val="20"/>
        </w:rPr>
        <w:t>je</w:t>
      </w:r>
      <w:r w:rsidRPr="009D4A69">
        <w:rPr>
          <w:sz w:val="20"/>
          <w:szCs w:val="20"/>
          <w:lang w:val="sr-Latn-ME"/>
        </w:rPr>
        <w:t xml:space="preserve"> </w:t>
      </w:r>
      <w:r w:rsidRPr="009D4A69">
        <w:rPr>
          <w:sz w:val="20"/>
          <w:szCs w:val="20"/>
        </w:rPr>
        <w:t>primala</w:t>
      </w:r>
      <w:r w:rsidRPr="009D4A69">
        <w:rPr>
          <w:sz w:val="20"/>
          <w:szCs w:val="20"/>
          <w:lang w:val="sr-Latn-ME"/>
        </w:rPr>
        <w:t xml:space="preserve"> </w:t>
      </w:r>
      <w:r w:rsidRPr="009D4A69">
        <w:rPr>
          <w:sz w:val="20"/>
          <w:szCs w:val="20"/>
        </w:rPr>
        <w:t>AC</w:t>
      </w:r>
      <w:r w:rsidRPr="009D4A69">
        <w:rPr>
          <w:sz w:val="20"/>
          <w:szCs w:val="20"/>
          <w:lang w:val="sr-Latn-ME"/>
        </w:rPr>
        <w:t>→</w:t>
      </w:r>
      <w:r w:rsidRPr="009D4A69">
        <w:rPr>
          <w:sz w:val="20"/>
          <w:szCs w:val="20"/>
        </w:rPr>
        <w:t>P</w:t>
      </w:r>
      <w:r w:rsidRPr="009D4A69">
        <w:rPr>
          <w:sz w:val="20"/>
          <w:szCs w:val="20"/>
          <w:lang w:val="sr-Latn-ME"/>
        </w:rPr>
        <w:t xml:space="preserve"> </w:t>
      </w:r>
      <w:r w:rsidRPr="009D4A69">
        <w:rPr>
          <w:sz w:val="20"/>
          <w:szCs w:val="20"/>
        </w:rPr>
        <w:t>hemoterapiju</w:t>
      </w:r>
      <w:r w:rsidRPr="009D4A69">
        <w:rPr>
          <w:sz w:val="20"/>
          <w:szCs w:val="20"/>
          <w:lang w:val="sr-Latn-ME"/>
        </w:rPr>
        <w:t xml:space="preserve">; </w:t>
      </w:r>
      <w:r w:rsidRPr="009D4A69">
        <w:rPr>
          <w:sz w:val="20"/>
          <w:szCs w:val="20"/>
        </w:rPr>
        <w:t>medijana</w:t>
      </w:r>
      <w:r w:rsidRPr="009D4A69">
        <w:rPr>
          <w:sz w:val="20"/>
          <w:szCs w:val="20"/>
          <w:lang w:val="sr-Latn-ME"/>
        </w:rPr>
        <w:t xml:space="preserve"> </w:t>
      </w:r>
      <w:r w:rsidRPr="009D4A69">
        <w:rPr>
          <w:sz w:val="20"/>
          <w:szCs w:val="20"/>
        </w:rPr>
        <w:t>trajanja</w:t>
      </w:r>
      <w:r w:rsidRPr="009D4A69">
        <w:rPr>
          <w:sz w:val="20"/>
          <w:szCs w:val="20"/>
          <w:lang w:val="sr-Latn-ME"/>
        </w:rPr>
        <w:t xml:space="preserve"> </w:t>
      </w:r>
      <w:r w:rsidRPr="009D4A69">
        <w:rPr>
          <w:sz w:val="20"/>
          <w:szCs w:val="20"/>
        </w:rPr>
        <w:t>dugoro</w:t>
      </w:r>
      <w:r w:rsidRPr="009D4A69">
        <w:rPr>
          <w:sz w:val="20"/>
          <w:szCs w:val="20"/>
          <w:lang w:val="sr-Latn-ME"/>
        </w:rPr>
        <w:t>č</w:t>
      </w:r>
      <w:r w:rsidRPr="009D4A69">
        <w:rPr>
          <w:sz w:val="20"/>
          <w:szCs w:val="20"/>
        </w:rPr>
        <w:t>nog</w:t>
      </w:r>
      <w:r w:rsidRPr="009D4A69">
        <w:rPr>
          <w:sz w:val="20"/>
          <w:szCs w:val="20"/>
          <w:lang w:val="sr-Latn-ME"/>
        </w:rPr>
        <w:t xml:space="preserve"> </w:t>
      </w:r>
      <w:r w:rsidRPr="009D4A69">
        <w:rPr>
          <w:sz w:val="20"/>
          <w:szCs w:val="20"/>
        </w:rPr>
        <w:t>pra</w:t>
      </w:r>
      <w:r w:rsidRPr="009D4A69">
        <w:rPr>
          <w:sz w:val="20"/>
          <w:szCs w:val="20"/>
          <w:lang w:val="sr-Latn-ME"/>
        </w:rPr>
        <w:t>ć</w:t>
      </w:r>
      <w:r w:rsidRPr="009D4A69">
        <w:rPr>
          <w:sz w:val="20"/>
          <w:szCs w:val="20"/>
        </w:rPr>
        <w:t>enja</w:t>
      </w:r>
      <w:r w:rsidRPr="009D4A69">
        <w:rPr>
          <w:sz w:val="20"/>
          <w:szCs w:val="20"/>
          <w:lang w:val="sr-Latn-ME"/>
        </w:rPr>
        <w:t xml:space="preserve"> </w:t>
      </w:r>
      <w:r w:rsidRPr="009D4A69">
        <w:rPr>
          <w:sz w:val="20"/>
          <w:szCs w:val="20"/>
        </w:rPr>
        <w:t>za</w:t>
      </w:r>
      <w:r w:rsidRPr="009D4A69">
        <w:rPr>
          <w:sz w:val="20"/>
          <w:szCs w:val="20"/>
          <w:lang w:val="sr-Latn-ME"/>
        </w:rPr>
        <w:t xml:space="preserve"> </w:t>
      </w:r>
      <w:r w:rsidRPr="009D4A69">
        <w:rPr>
          <w:sz w:val="20"/>
          <w:szCs w:val="20"/>
        </w:rPr>
        <w:t>ispitivanje</w:t>
      </w:r>
      <w:r w:rsidRPr="009D4A69">
        <w:rPr>
          <w:sz w:val="20"/>
          <w:szCs w:val="20"/>
          <w:lang w:val="sr-Latn-ME"/>
        </w:rPr>
        <w:t xml:space="preserve"> </w:t>
      </w:r>
      <w:r w:rsidRPr="009D4A69">
        <w:rPr>
          <w:sz w:val="20"/>
          <w:szCs w:val="20"/>
        </w:rPr>
        <w:t>BCIRG</w:t>
      </w:r>
      <w:r w:rsidRPr="009D4A69">
        <w:rPr>
          <w:sz w:val="20"/>
          <w:szCs w:val="20"/>
          <w:lang w:val="sr-Latn-ME"/>
        </w:rPr>
        <w:t xml:space="preserve"> 006 </w:t>
      </w:r>
      <w:r w:rsidRPr="009D4A69">
        <w:rPr>
          <w:sz w:val="20"/>
          <w:szCs w:val="20"/>
        </w:rPr>
        <w:t>iznosila</w:t>
      </w:r>
      <w:r w:rsidRPr="009D4A69">
        <w:rPr>
          <w:sz w:val="20"/>
          <w:szCs w:val="20"/>
          <w:lang w:val="sr-Latn-ME"/>
        </w:rPr>
        <w:t xml:space="preserve"> </w:t>
      </w:r>
      <w:r w:rsidRPr="009D4A69">
        <w:rPr>
          <w:sz w:val="20"/>
          <w:szCs w:val="20"/>
        </w:rPr>
        <w:t>je</w:t>
      </w:r>
      <w:r w:rsidRPr="009D4A69">
        <w:rPr>
          <w:sz w:val="20"/>
          <w:szCs w:val="20"/>
          <w:lang w:val="sr-Latn-ME"/>
        </w:rPr>
        <w:t xml:space="preserve"> 10,3 </w:t>
      </w:r>
      <w:r w:rsidRPr="009D4A69">
        <w:rPr>
          <w:sz w:val="20"/>
          <w:szCs w:val="20"/>
        </w:rPr>
        <w:t>godine</w:t>
      </w:r>
      <w:r w:rsidRPr="009D4A69">
        <w:rPr>
          <w:sz w:val="20"/>
          <w:szCs w:val="20"/>
          <w:lang w:val="sr-Latn-ME"/>
        </w:rPr>
        <w:t xml:space="preserve"> </w:t>
      </w:r>
      <w:r w:rsidRPr="009D4A69">
        <w:rPr>
          <w:sz w:val="20"/>
          <w:szCs w:val="20"/>
        </w:rPr>
        <w:t>i</w:t>
      </w:r>
      <w:r w:rsidRPr="009D4A69">
        <w:rPr>
          <w:sz w:val="20"/>
          <w:szCs w:val="20"/>
          <w:lang w:val="sr-Latn-ME"/>
        </w:rPr>
        <w:t xml:space="preserve"> </w:t>
      </w:r>
      <w:r w:rsidRPr="009D4A69">
        <w:rPr>
          <w:sz w:val="20"/>
          <w:szCs w:val="20"/>
        </w:rPr>
        <w:t>u</w:t>
      </w:r>
      <w:r w:rsidRPr="009D4A69">
        <w:rPr>
          <w:sz w:val="20"/>
          <w:szCs w:val="20"/>
          <w:lang w:val="sr-Latn-ME"/>
        </w:rPr>
        <w:t xml:space="preserve"> </w:t>
      </w:r>
      <w:r w:rsidRPr="009D4A69">
        <w:rPr>
          <w:sz w:val="20"/>
          <w:szCs w:val="20"/>
        </w:rPr>
        <w:t>grupi</w:t>
      </w:r>
      <w:r w:rsidRPr="009D4A69">
        <w:rPr>
          <w:sz w:val="20"/>
          <w:szCs w:val="20"/>
          <w:lang w:val="sr-Latn-ME"/>
        </w:rPr>
        <w:t xml:space="preserve"> </w:t>
      </w:r>
      <w:r w:rsidRPr="009D4A69">
        <w:rPr>
          <w:sz w:val="20"/>
          <w:szCs w:val="20"/>
        </w:rPr>
        <w:t>koja</w:t>
      </w:r>
      <w:r w:rsidRPr="009D4A69">
        <w:rPr>
          <w:sz w:val="20"/>
          <w:szCs w:val="20"/>
          <w:lang w:val="sr-Latn-ME"/>
        </w:rPr>
        <w:t xml:space="preserve"> </w:t>
      </w:r>
      <w:r w:rsidRPr="009D4A69">
        <w:rPr>
          <w:sz w:val="20"/>
          <w:szCs w:val="20"/>
        </w:rPr>
        <w:t>je</w:t>
      </w:r>
      <w:r w:rsidRPr="009D4A69">
        <w:rPr>
          <w:sz w:val="20"/>
          <w:szCs w:val="20"/>
          <w:lang w:val="sr-Latn-ME"/>
        </w:rPr>
        <w:t xml:space="preserve"> </w:t>
      </w:r>
      <w:r w:rsidRPr="009D4A69">
        <w:rPr>
          <w:sz w:val="20"/>
          <w:szCs w:val="20"/>
        </w:rPr>
        <w:t>primala</w:t>
      </w:r>
      <w:r w:rsidRPr="009D4A69">
        <w:rPr>
          <w:sz w:val="20"/>
          <w:szCs w:val="20"/>
          <w:lang w:val="sr-Latn-ME"/>
        </w:rPr>
        <w:t xml:space="preserve"> </w:t>
      </w:r>
      <w:r w:rsidRPr="009D4A69">
        <w:rPr>
          <w:sz w:val="20"/>
          <w:szCs w:val="20"/>
        </w:rPr>
        <w:t>AC</w:t>
      </w:r>
      <w:r w:rsidRPr="009D4A69">
        <w:rPr>
          <w:sz w:val="20"/>
          <w:szCs w:val="20"/>
          <w:lang w:val="sr-Latn-ME"/>
        </w:rPr>
        <w:t>→</w:t>
      </w:r>
      <w:r w:rsidRPr="009D4A69">
        <w:rPr>
          <w:sz w:val="20"/>
          <w:szCs w:val="20"/>
        </w:rPr>
        <w:t>D</w:t>
      </w:r>
      <w:r w:rsidRPr="009D4A69">
        <w:rPr>
          <w:sz w:val="20"/>
          <w:szCs w:val="20"/>
          <w:lang w:val="sr-Latn-ME"/>
        </w:rPr>
        <w:t xml:space="preserve"> (</w:t>
      </w:r>
      <w:r w:rsidRPr="009D4A69">
        <w:rPr>
          <w:sz w:val="20"/>
          <w:szCs w:val="20"/>
        </w:rPr>
        <w:t>raspon</w:t>
      </w:r>
      <w:r w:rsidRPr="009D4A69">
        <w:rPr>
          <w:sz w:val="20"/>
          <w:szCs w:val="20"/>
          <w:lang w:val="sr-Latn-ME"/>
        </w:rPr>
        <w:t xml:space="preserve">: 0,0 </w:t>
      </w:r>
      <w:r w:rsidRPr="009D4A69">
        <w:rPr>
          <w:sz w:val="20"/>
          <w:szCs w:val="20"/>
        </w:rPr>
        <w:t>do</w:t>
      </w:r>
      <w:r w:rsidRPr="009D4A69">
        <w:rPr>
          <w:sz w:val="20"/>
          <w:szCs w:val="20"/>
          <w:lang w:val="sr-Latn-ME"/>
        </w:rPr>
        <w:t xml:space="preserve"> 12,6) </w:t>
      </w:r>
      <w:r w:rsidRPr="009D4A69">
        <w:rPr>
          <w:sz w:val="20"/>
          <w:szCs w:val="20"/>
        </w:rPr>
        <w:t>i</w:t>
      </w:r>
      <w:r w:rsidRPr="009D4A69">
        <w:rPr>
          <w:sz w:val="20"/>
          <w:szCs w:val="20"/>
          <w:lang w:val="sr-Latn-ME"/>
        </w:rPr>
        <w:t xml:space="preserve"> </w:t>
      </w:r>
      <w:r w:rsidRPr="009D4A69">
        <w:rPr>
          <w:sz w:val="20"/>
          <w:szCs w:val="20"/>
        </w:rPr>
        <w:t>u</w:t>
      </w:r>
      <w:r w:rsidRPr="009D4A69">
        <w:rPr>
          <w:sz w:val="20"/>
          <w:szCs w:val="20"/>
          <w:lang w:val="sr-Latn-ME"/>
        </w:rPr>
        <w:t xml:space="preserve"> </w:t>
      </w:r>
      <w:r w:rsidRPr="009D4A69">
        <w:rPr>
          <w:sz w:val="20"/>
          <w:szCs w:val="20"/>
        </w:rPr>
        <w:t>onoj</w:t>
      </w:r>
      <w:r w:rsidRPr="009D4A69">
        <w:rPr>
          <w:sz w:val="20"/>
          <w:szCs w:val="20"/>
          <w:lang w:val="sr-Latn-ME"/>
        </w:rPr>
        <w:t xml:space="preserve"> </w:t>
      </w:r>
      <w:r w:rsidRPr="009D4A69">
        <w:rPr>
          <w:sz w:val="20"/>
          <w:szCs w:val="20"/>
        </w:rPr>
        <w:t>koja</w:t>
      </w:r>
      <w:r w:rsidRPr="009D4A69">
        <w:rPr>
          <w:sz w:val="20"/>
          <w:szCs w:val="20"/>
          <w:lang w:val="sr-Latn-ME"/>
        </w:rPr>
        <w:t xml:space="preserve"> </w:t>
      </w:r>
      <w:r w:rsidRPr="009D4A69">
        <w:rPr>
          <w:sz w:val="20"/>
          <w:szCs w:val="20"/>
        </w:rPr>
        <w:t>je</w:t>
      </w:r>
      <w:r w:rsidRPr="009D4A69">
        <w:rPr>
          <w:sz w:val="20"/>
          <w:szCs w:val="20"/>
          <w:lang w:val="sr-Latn-ME"/>
        </w:rPr>
        <w:t xml:space="preserve"> </w:t>
      </w:r>
      <w:r w:rsidRPr="009D4A69">
        <w:rPr>
          <w:sz w:val="20"/>
          <w:szCs w:val="20"/>
        </w:rPr>
        <w:t>primala</w:t>
      </w:r>
      <w:r w:rsidRPr="009D4A69">
        <w:rPr>
          <w:sz w:val="20"/>
          <w:szCs w:val="20"/>
          <w:lang w:val="sr-Latn-ME"/>
        </w:rPr>
        <w:t xml:space="preserve"> </w:t>
      </w:r>
      <w:r w:rsidRPr="009D4A69">
        <w:rPr>
          <w:sz w:val="20"/>
          <w:szCs w:val="20"/>
        </w:rPr>
        <w:t>DCarbH</w:t>
      </w:r>
      <w:r w:rsidRPr="009D4A69">
        <w:rPr>
          <w:sz w:val="20"/>
          <w:szCs w:val="20"/>
          <w:lang w:val="sr-Latn-ME"/>
        </w:rPr>
        <w:t xml:space="preserve"> </w:t>
      </w:r>
      <w:r w:rsidRPr="009D4A69">
        <w:rPr>
          <w:sz w:val="20"/>
          <w:szCs w:val="20"/>
        </w:rPr>
        <w:t>hemoterapiju</w:t>
      </w:r>
      <w:r w:rsidRPr="009D4A69">
        <w:rPr>
          <w:sz w:val="20"/>
          <w:szCs w:val="20"/>
          <w:lang w:val="sr-Latn-ME"/>
        </w:rPr>
        <w:t xml:space="preserve"> (</w:t>
      </w:r>
      <w:r w:rsidRPr="009D4A69">
        <w:rPr>
          <w:sz w:val="20"/>
          <w:szCs w:val="20"/>
        </w:rPr>
        <w:t>raspon</w:t>
      </w:r>
      <w:r w:rsidRPr="009D4A69">
        <w:rPr>
          <w:sz w:val="20"/>
          <w:szCs w:val="20"/>
          <w:lang w:val="sr-Latn-ME"/>
        </w:rPr>
        <w:t xml:space="preserve">: 0,0 </w:t>
      </w:r>
      <w:r w:rsidRPr="009D4A69">
        <w:rPr>
          <w:sz w:val="20"/>
          <w:szCs w:val="20"/>
        </w:rPr>
        <w:t>do</w:t>
      </w:r>
      <w:r w:rsidRPr="009D4A69">
        <w:rPr>
          <w:sz w:val="20"/>
          <w:szCs w:val="20"/>
          <w:lang w:val="sr-Latn-ME"/>
        </w:rPr>
        <w:t xml:space="preserve"> 13,1), </w:t>
      </w:r>
      <w:r w:rsidRPr="009D4A69">
        <w:rPr>
          <w:sz w:val="20"/>
          <w:szCs w:val="20"/>
        </w:rPr>
        <w:t>dok</w:t>
      </w:r>
      <w:r w:rsidRPr="009D4A69">
        <w:rPr>
          <w:sz w:val="20"/>
          <w:szCs w:val="20"/>
          <w:lang w:val="sr-Latn-ME"/>
        </w:rPr>
        <w:t xml:space="preserve"> </w:t>
      </w:r>
      <w:r w:rsidRPr="009D4A69">
        <w:rPr>
          <w:sz w:val="20"/>
          <w:szCs w:val="20"/>
        </w:rPr>
        <w:t>je</w:t>
      </w:r>
      <w:r w:rsidRPr="009D4A69">
        <w:rPr>
          <w:sz w:val="20"/>
          <w:szCs w:val="20"/>
          <w:lang w:val="sr-Latn-ME"/>
        </w:rPr>
        <w:t xml:space="preserve"> </w:t>
      </w:r>
      <w:r w:rsidRPr="009D4A69">
        <w:rPr>
          <w:sz w:val="20"/>
          <w:szCs w:val="20"/>
        </w:rPr>
        <w:t>u</w:t>
      </w:r>
      <w:r w:rsidRPr="009D4A69">
        <w:rPr>
          <w:sz w:val="20"/>
          <w:szCs w:val="20"/>
          <w:lang w:val="sr-Latn-ME"/>
        </w:rPr>
        <w:t xml:space="preserve"> </w:t>
      </w:r>
      <w:r w:rsidRPr="009D4A69">
        <w:rPr>
          <w:sz w:val="20"/>
          <w:szCs w:val="20"/>
        </w:rPr>
        <w:t>grupi</w:t>
      </w:r>
      <w:r w:rsidRPr="009D4A69">
        <w:rPr>
          <w:sz w:val="20"/>
          <w:szCs w:val="20"/>
          <w:lang w:val="sr-Latn-ME"/>
        </w:rPr>
        <w:t xml:space="preserve"> </w:t>
      </w:r>
      <w:r w:rsidRPr="009D4A69">
        <w:rPr>
          <w:sz w:val="20"/>
          <w:szCs w:val="20"/>
        </w:rPr>
        <w:t>koja</w:t>
      </w:r>
      <w:r w:rsidRPr="009D4A69">
        <w:rPr>
          <w:sz w:val="20"/>
          <w:szCs w:val="20"/>
          <w:lang w:val="sr-Latn-ME"/>
        </w:rPr>
        <w:t xml:space="preserve"> </w:t>
      </w:r>
      <w:r w:rsidRPr="009D4A69">
        <w:rPr>
          <w:sz w:val="20"/>
          <w:szCs w:val="20"/>
        </w:rPr>
        <w:t>je</w:t>
      </w:r>
      <w:r w:rsidRPr="009D4A69">
        <w:rPr>
          <w:sz w:val="20"/>
          <w:szCs w:val="20"/>
          <w:lang w:val="sr-Latn-ME"/>
        </w:rPr>
        <w:t xml:space="preserve"> </w:t>
      </w:r>
      <w:r w:rsidRPr="009D4A69">
        <w:rPr>
          <w:sz w:val="20"/>
          <w:szCs w:val="20"/>
        </w:rPr>
        <w:t>primala</w:t>
      </w:r>
      <w:r w:rsidRPr="009D4A69">
        <w:rPr>
          <w:sz w:val="20"/>
          <w:szCs w:val="20"/>
          <w:lang w:val="sr-Latn-ME"/>
        </w:rPr>
        <w:t xml:space="preserve"> </w:t>
      </w:r>
      <w:r w:rsidRPr="009D4A69">
        <w:rPr>
          <w:sz w:val="20"/>
          <w:szCs w:val="20"/>
        </w:rPr>
        <w:t>AC</w:t>
      </w:r>
      <w:r w:rsidRPr="009D4A69">
        <w:rPr>
          <w:sz w:val="20"/>
          <w:szCs w:val="20"/>
          <w:lang w:val="sr-Latn-ME"/>
        </w:rPr>
        <w:t>→</w:t>
      </w:r>
      <w:r w:rsidRPr="009D4A69">
        <w:rPr>
          <w:sz w:val="20"/>
          <w:szCs w:val="20"/>
        </w:rPr>
        <w:t>DH</w:t>
      </w:r>
      <w:r w:rsidRPr="009D4A69">
        <w:rPr>
          <w:sz w:val="20"/>
          <w:szCs w:val="20"/>
          <w:lang w:val="sr-Latn-ME"/>
        </w:rPr>
        <w:t xml:space="preserve"> </w:t>
      </w:r>
      <w:r w:rsidRPr="009D4A69">
        <w:rPr>
          <w:sz w:val="20"/>
          <w:szCs w:val="20"/>
        </w:rPr>
        <w:t>hemoterapiju</w:t>
      </w:r>
      <w:r w:rsidRPr="009D4A69">
        <w:rPr>
          <w:sz w:val="20"/>
          <w:szCs w:val="20"/>
          <w:lang w:val="sr-Latn-ME"/>
        </w:rPr>
        <w:t xml:space="preserve"> </w:t>
      </w:r>
      <w:r w:rsidRPr="009D4A69">
        <w:rPr>
          <w:sz w:val="20"/>
          <w:szCs w:val="20"/>
        </w:rPr>
        <w:t>iznosila</w:t>
      </w:r>
      <w:r w:rsidRPr="009D4A69">
        <w:rPr>
          <w:sz w:val="20"/>
          <w:szCs w:val="20"/>
          <w:lang w:val="sr-Latn-ME"/>
        </w:rPr>
        <w:t xml:space="preserve"> 10,4 </w:t>
      </w:r>
      <w:r w:rsidRPr="009D4A69">
        <w:rPr>
          <w:sz w:val="20"/>
          <w:szCs w:val="20"/>
        </w:rPr>
        <w:t>godine</w:t>
      </w:r>
      <w:r w:rsidRPr="009D4A69">
        <w:rPr>
          <w:sz w:val="20"/>
          <w:szCs w:val="20"/>
          <w:lang w:val="sr-Latn-ME"/>
        </w:rPr>
        <w:t xml:space="preserve"> (</w:t>
      </w:r>
      <w:r w:rsidRPr="009D4A69">
        <w:rPr>
          <w:sz w:val="20"/>
          <w:szCs w:val="20"/>
        </w:rPr>
        <w:t>raspon</w:t>
      </w:r>
      <w:r w:rsidRPr="009D4A69">
        <w:rPr>
          <w:sz w:val="20"/>
          <w:szCs w:val="20"/>
          <w:lang w:val="sr-Latn-ME"/>
        </w:rPr>
        <w:t xml:space="preserve">: 0,0 </w:t>
      </w:r>
      <w:r w:rsidRPr="009D4A69">
        <w:rPr>
          <w:sz w:val="20"/>
          <w:szCs w:val="20"/>
        </w:rPr>
        <w:t>do</w:t>
      </w:r>
      <w:r w:rsidRPr="009D4A69">
        <w:rPr>
          <w:sz w:val="20"/>
          <w:szCs w:val="20"/>
          <w:lang w:val="sr-Latn-ME"/>
        </w:rPr>
        <w:t xml:space="preserve"> 12,7)</w:t>
      </w:r>
    </w:p>
    <w:p w14:paraId="7EEBEEB9" w14:textId="77777777" w:rsidR="00B05AA9" w:rsidRPr="00442616" w:rsidRDefault="00B05AA9" w:rsidP="00641EEB">
      <w:pPr>
        <w:jc w:val="both"/>
        <w:rPr>
          <w:sz w:val="22"/>
          <w:szCs w:val="22"/>
          <w:lang w:val="sr-Latn-ME"/>
        </w:rPr>
      </w:pPr>
    </w:p>
    <w:p w14:paraId="3C321FC0" w14:textId="54E80175" w:rsidR="00B05AA9" w:rsidRDefault="00B05AA9" w:rsidP="00641EEB">
      <w:pPr>
        <w:jc w:val="both"/>
        <w:rPr>
          <w:i/>
          <w:sz w:val="22"/>
          <w:szCs w:val="22"/>
          <w:u w:val="single"/>
          <w:lang w:val="sr-Latn-ME"/>
        </w:rPr>
      </w:pPr>
      <w:r>
        <w:rPr>
          <w:i/>
          <w:sz w:val="22"/>
          <w:szCs w:val="22"/>
          <w:u w:val="single"/>
        </w:rPr>
        <w:t>Rani</w:t>
      </w:r>
      <w:r w:rsidRPr="00442616">
        <w:rPr>
          <w:i/>
          <w:sz w:val="22"/>
          <w:szCs w:val="22"/>
          <w:u w:val="single"/>
          <w:lang w:val="sr-Latn-ME"/>
        </w:rPr>
        <w:t xml:space="preserve"> </w:t>
      </w:r>
      <w:proofErr w:type="gramStart"/>
      <w:r>
        <w:rPr>
          <w:i/>
          <w:sz w:val="22"/>
          <w:szCs w:val="22"/>
          <w:u w:val="single"/>
        </w:rPr>
        <w:t>karcinom</w:t>
      </w:r>
      <w:proofErr w:type="gramEnd"/>
      <w:r w:rsidRPr="00442616">
        <w:rPr>
          <w:i/>
          <w:sz w:val="22"/>
          <w:szCs w:val="22"/>
          <w:u w:val="single"/>
          <w:lang w:val="sr-Latn-ME"/>
        </w:rPr>
        <w:t xml:space="preserve"> </w:t>
      </w:r>
      <w:r>
        <w:rPr>
          <w:i/>
          <w:sz w:val="22"/>
          <w:szCs w:val="22"/>
          <w:u w:val="single"/>
        </w:rPr>
        <w:t>dojke</w:t>
      </w:r>
      <w:r w:rsidRPr="00442616">
        <w:rPr>
          <w:i/>
          <w:sz w:val="22"/>
          <w:szCs w:val="22"/>
          <w:u w:val="single"/>
          <w:lang w:val="sr-Latn-ME"/>
        </w:rPr>
        <w:t xml:space="preserve"> (</w:t>
      </w:r>
      <w:r>
        <w:rPr>
          <w:i/>
          <w:sz w:val="22"/>
          <w:szCs w:val="22"/>
          <w:u w:val="single"/>
        </w:rPr>
        <w:t>neoadjuvantni</w:t>
      </w:r>
      <w:r w:rsidRPr="00442616">
        <w:rPr>
          <w:i/>
          <w:sz w:val="22"/>
          <w:szCs w:val="22"/>
          <w:u w:val="single"/>
          <w:lang w:val="sr-Latn-ME"/>
        </w:rPr>
        <w:t xml:space="preserve"> – </w:t>
      </w:r>
      <w:r>
        <w:rPr>
          <w:i/>
          <w:sz w:val="22"/>
          <w:szCs w:val="22"/>
          <w:u w:val="single"/>
        </w:rPr>
        <w:t>adjuvantni</w:t>
      </w:r>
      <w:r w:rsidRPr="00442616">
        <w:rPr>
          <w:i/>
          <w:sz w:val="22"/>
          <w:szCs w:val="22"/>
          <w:u w:val="single"/>
          <w:lang w:val="sr-Latn-ME"/>
        </w:rPr>
        <w:t xml:space="preserve"> </w:t>
      </w:r>
      <w:r>
        <w:rPr>
          <w:i/>
          <w:sz w:val="22"/>
          <w:szCs w:val="22"/>
          <w:u w:val="single"/>
        </w:rPr>
        <w:t>tretman</w:t>
      </w:r>
      <w:r w:rsidRPr="00442616">
        <w:rPr>
          <w:i/>
          <w:sz w:val="22"/>
          <w:szCs w:val="22"/>
          <w:u w:val="single"/>
          <w:lang w:val="sr-Latn-ME"/>
        </w:rPr>
        <w:t>)</w:t>
      </w:r>
    </w:p>
    <w:p w14:paraId="638CBC0B" w14:textId="77777777" w:rsidR="00E05379" w:rsidRPr="00442616" w:rsidRDefault="00E05379" w:rsidP="00641EEB">
      <w:pPr>
        <w:jc w:val="both"/>
        <w:rPr>
          <w:i/>
          <w:sz w:val="22"/>
          <w:szCs w:val="22"/>
          <w:u w:val="single"/>
          <w:lang w:val="sr-Latn-ME"/>
        </w:rPr>
      </w:pPr>
    </w:p>
    <w:p w14:paraId="69F8DBFE" w14:textId="77777777" w:rsidR="00B05AA9" w:rsidRPr="00442616" w:rsidRDefault="00B05AA9" w:rsidP="00641EEB">
      <w:pPr>
        <w:jc w:val="both"/>
        <w:rPr>
          <w:sz w:val="22"/>
          <w:szCs w:val="22"/>
          <w:lang w:val="sr-Latn-ME"/>
        </w:rPr>
      </w:pPr>
      <w:r>
        <w:rPr>
          <w:sz w:val="22"/>
          <w:szCs w:val="22"/>
        </w:rPr>
        <w:t>Do</w:t>
      </w:r>
      <w:r w:rsidRPr="00442616">
        <w:rPr>
          <w:sz w:val="22"/>
          <w:szCs w:val="22"/>
          <w:lang w:val="sr-Latn-ME"/>
        </w:rPr>
        <w:t xml:space="preserve"> </w:t>
      </w:r>
      <w:r>
        <w:rPr>
          <w:sz w:val="22"/>
          <w:szCs w:val="22"/>
        </w:rPr>
        <w:t>sada</w:t>
      </w:r>
      <w:r w:rsidRPr="00442616">
        <w:rPr>
          <w:sz w:val="22"/>
          <w:szCs w:val="22"/>
          <w:lang w:val="sr-Latn-ME"/>
        </w:rPr>
        <w:t xml:space="preserve"> </w:t>
      </w:r>
      <w:r>
        <w:rPr>
          <w:sz w:val="22"/>
          <w:szCs w:val="22"/>
        </w:rPr>
        <w:t>nijesu</w:t>
      </w:r>
      <w:r w:rsidRPr="00442616">
        <w:rPr>
          <w:sz w:val="22"/>
          <w:szCs w:val="22"/>
          <w:lang w:val="sr-Latn-ME"/>
        </w:rPr>
        <w:t xml:space="preserve"> </w:t>
      </w:r>
      <w:r>
        <w:rPr>
          <w:sz w:val="22"/>
          <w:szCs w:val="22"/>
        </w:rPr>
        <w:t>bili</w:t>
      </w:r>
      <w:r w:rsidRPr="00442616">
        <w:rPr>
          <w:sz w:val="22"/>
          <w:szCs w:val="22"/>
          <w:lang w:val="sr-Latn-ME"/>
        </w:rPr>
        <w:t xml:space="preserve"> </w:t>
      </w:r>
      <w:r>
        <w:rPr>
          <w:sz w:val="22"/>
          <w:szCs w:val="22"/>
        </w:rPr>
        <w:t>dostupni</w:t>
      </w:r>
      <w:r w:rsidRPr="00442616">
        <w:rPr>
          <w:sz w:val="22"/>
          <w:szCs w:val="22"/>
          <w:lang w:val="sr-Latn-ME"/>
        </w:rPr>
        <w:t xml:space="preserve"> </w:t>
      </w:r>
      <w:r>
        <w:rPr>
          <w:sz w:val="22"/>
          <w:szCs w:val="22"/>
        </w:rPr>
        <w:t>podaci</w:t>
      </w:r>
      <w:r w:rsidRPr="00442616">
        <w:rPr>
          <w:sz w:val="22"/>
          <w:szCs w:val="22"/>
          <w:lang w:val="sr-Latn-ME"/>
        </w:rPr>
        <w:t xml:space="preserve"> </w:t>
      </w:r>
      <w:r>
        <w:rPr>
          <w:sz w:val="22"/>
          <w:szCs w:val="22"/>
        </w:rPr>
        <w:t>kojima</w:t>
      </w:r>
      <w:r w:rsidRPr="00442616">
        <w:rPr>
          <w:sz w:val="22"/>
          <w:szCs w:val="22"/>
          <w:lang w:val="sr-Latn-ME"/>
        </w:rPr>
        <w:t xml:space="preserve"> </w:t>
      </w:r>
      <w:r>
        <w:rPr>
          <w:sz w:val="22"/>
          <w:szCs w:val="22"/>
        </w:rPr>
        <w:t>bi</w:t>
      </w:r>
      <w:r w:rsidRPr="00442616">
        <w:rPr>
          <w:sz w:val="22"/>
          <w:szCs w:val="22"/>
          <w:lang w:val="sr-Latn-ME"/>
        </w:rPr>
        <w:t xml:space="preserve"> </w:t>
      </w:r>
      <w:r>
        <w:rPr>
          <w:sz w:val="22"/>
          <w:szCs w:val="22"/>
        </w:rPr>
        <w:t>se</w:t>
      </w:r>
      <w:r w:rsidRPr="00442616">
        <w:rPr>
          <w:sz w:val="22"/>
          <w:szCs w:val="22"/>
          <w:lang w:val="sr-Latn-ME"/>
        </w:rPr>
        <w:t xml:space="preserve"> </w:t>
      </w:r>
      <w:r>
        <w:rPr>
          <w:sz w:val="22"/>
          <w:szCs w:val="22"/>
        </w:rPr>
        <w:t>uporedila</w:t>
      </w:r>
      <w:r w:rsidRPr="00442616">
        <w:rPr>
          <w:sz w:val="22"/>
          <w:szCs w:val="22"/>
          <w:lang w:val="sr-Latn-ME"/>
        </w:rPr>
        <w:t xml:space="preserve"> </w:t>
      </w:r>
      <w:r>
        <w:rPr>
          <w:sz w:val="22"/>
          <w:szCs w:val="22"/>
        </w:rPr>
        <w:t>efikasnost</w:t>
      </w:r>
      <w:r w:rsidRPr="00442616">
        <w:rPr>
          <w:sz w:val="22"/>
          <w:szCs w:val="22"/>
          <w:lang w:val="sr-Latn-ME"/>
        </w:rPr>
        <w:t xml:space="preserve"> </w:t>
      </w:r>
      <w:r>
        <w:rPr>
          <w:sz w:val="22"/>
          <w:szCs w:val="22"/>
        </w:rPr>
        <w:t>lijeka</w:t>
      </w:r>
      <w:r w:rsidRPr="00442616">
        <w:rPr>
          <w:sz w:val="22"/>
          <w:szCs w:val="22"/>
          <w:lang w:val="sr-Latn-ME"/>
        </w:rPr>
        <w:t xml:space="preserve"> </w:t>
      </w:r>
      <w:r>
        <w:rPr>
          <w:sz w:val="22"/>
          <w:szCs w:val="22"/>
        </w:rPr>
        <w:t>Herceptin</w:t>
      </w:r>
      <w:r w:rsidRPr="00442616">
        <w:rPr>
          <w:sz w:val="22"/>
          <w:szCs w:val="22"/>
          <w:lang w:val="sr-Latn-ME"/>
        </w:rPr>
        <w:t xml:space="preserve"> </w:t>
      </w:r>
      <w:r>
        <w:rPr>
          <w:sz w:val="22"/>
          <w:szCs w:val="22"/>
        </w:rPr>
        <w:t>primijenjenog</w:t>
      </w:r>
      <w:r w:rsidRPr="00442616">
        <w:rPr>
          <w:sz w:val="22"/>
          <w:szCs w:val="22"/>
          <w:lang w:val="sr-Latn-ME"/>
        </w:rPr>
        <w:t xml:space="preserve"> </w:t>
      </w:r>
      <w:proofErr w:type="gramStart"/>
      <w:r>
        <w:rPr>
          <w:sz w:val="22"/>
          <w:szCs w:val="22"/>
        </w:rPr>
        <w:t>sa</w:t>
      </w:r>
      <w:proofErr w:type="gramEnd"/>
      <w:r w:rsidRPr="00442616">
        <w:rPr>
          <w:sz w:val="22"/>
          <w:szCs w:val="22"/>
          <w:lang w:val="sr-Latn-ME"/>
        </w:rPr>
        <w:t xml:space="preserve"> </w:t>
      </w:r>
      <w:r>
        <w:rPr>
          <w:sz w:val="22"/>
          <w:szCs w:val="22"/>
        </w:rPr>
        <w:t>hemoterapijom</w:t>
      </w:r>
      <w:r w:rsidRPr="00442616">
        <w:rPr>
          <w:sz w:val="22"/>
          <w:szCs w:val="22"/>
          <w:lang w:val="sr-Latn-ME"/>
        </w:rPr>
        <w:t xml:space="preserve"> </w:t>
      </w:r>
      <w:r>
        <w:rPr>
          <w:sz w:val="22"/>
          <w:szCs w:val="22"/>
        </w:rPr>
        <w:t>u</w:t>
      </w:r>
      <w:r w:rsidRPr="00442616">
        <w:rPr>
          <w:sz w:val="22"/>
          <w:szCs w:val="22"/>
          <w:lang w:val="sr-Latn-ME"/>
        </w:rPr>
        <w:t xml:space="preserve"> </w:t>
      </w:r>
      <w:r>
        <w:rPr>
          <w:sz w:val="22"/>
          <w:szCs w:val="22"/>
        </w:rPr>
        <w:t>adjuvantnoj</w:t>
      </w:r>
      <w:r w:rsidRPr="00442616">
        <w:rPr>
          <w:sz w:val="22"/>
          <w:szCs w:val="22"/>
          <w:lang w:val="sr-Latn-ME"/>
        </w:rPr>
        <w:t xml:space="preserve"> </w:t>
      </w:r>
      <w:r>
        <w:rPr>
          <w:sz w:val="22"/>
          <w:szCs w:val="22"/>
        </w:rPr>
        <w:t>primjeni</w:t>
      </w:r>
      <w:r w:rsidRPr="00442616">
        <w:rPr>
          <w:sz w:val="22"/>
          <w:szCs w:val="22"/>
          <w:lang w:val="sr-Latn-ME"/>
        </w:rPr>
        <w:t xml:space="preserve"> </w:t>
      </w:r>
      <w:r>
        <w:rPr>
          <w:sz w:val="22"/>
          <w:szCs w:val="22"/>
        </w:rPr>
        <w:t>sa</w:t>
      </w:r>
      <w:r w:rsidRPr="00442616">
        <w:rPr>
          <w:sz w:val="22"/>
          <w:szCs w:val="22"/>
          <w:lang w:val="sr-Latn-ME"/>
        </w:rPr>
        <w:t xml:space="preserve"> </w:t>
      </w:r>
      <w:r>
        <w:rPr>
          <w:sz w:val="22"/>
          <w:szCs w:val="22"/>
        </w:rPr>
        <w:t>onima</w:t>
      </w:r>
      <w:r w:rsidRPr="00442616">
        <w:rPr>
          <w:sz w:val="22"/>
          <w:szCs w:val="22"/>
          <w:lang w:val="sr-Latn-ME"/>
        </w:rPr>
        <w:t xml:space="preserve"> </w:t>
      </w:r>
      <w:r>
        <w:rPr>
          <w:sz w:val="22"/>
          <w:szCs w:val="22"/>
        </w:rPr>
        <w:t>koji</w:t>
      </w:r>
      <w:r w:rsidRPr="00442616">
        <w:rPr>
          <w:sz w:val="22"/>
          <w:szCs w:val="22"/>
          <w:lang w:val="sr-Latn-ME"/>
        </w:rPr>
        <w:t xml:space="preserve"> </w:t>
      </w:r>
      <w:r>
        <w:rPr>
          <w:sz w:val="22"/>
          <w:szCs w:val="22"/>
        </w:rPr>
        <w:t>su</w:t>
      </w:r>
      <w:r w:rsidRPr="00442616">
        <w:rPr>
          <w:sz w:val="22"/>
          <w:szCs w:val="22"/>
          <w:lang w:val="sr-Latn-ME"/>
        </w:rPr>
        <w:t xml:space="preserve"> </w:t>
      </w:r>
      <w:r>
        <w:rPr>
          <w:sz w:val="22"/>
          <w:szCs w:val="22"/>
        </w:rPr>
        <w:t>dobijeni</w:t>
      </w:r>
      <w:r w:rsidRPr="00442616">
        <w:rPr>
          <w:sz w:val="22"/>
          <w:szCs w:val="22"/>
          <w:lang w:val="sr-Latn-ME"/>
        </w:rPr>
        <w:t xml:space="preserve"> </w:t>
      </w:r>
      <w:r>
        <w:rPr>
          <w:sz w:val="22"/>
          <w:szCs w:val="22"/>
        </w:rPr>
        <w:t>u</w:t>
      </w:r>
      <w:r w:rsidRPr="00442616">
        <w:rPr>
          <w:sz w:val="22"/>
          <w:szCs w:val="22"/>
          <w:lang w:val="sr-Latn-ME"/>
        </w:rPr>
        <w:t xml:space="preserve"> </w:t>
      </w:r>
      <w:r>
        <w:rPr>
          <w:sz w:val="22"/>
          <w:szCs w:val="22"/>
        </w:rPr>
        <w:t>neoadjuvantnoj</w:t>
      </w:r>
      <w:r w:rsidRPr="00442616">
        <w:rPr>
          <w:sz w:val="22"/>
          <w:szCs w:val="22"/>
          <w:lang w:val="sr-Latn-ME"/>
        </w:rPr>
        <w:t>/</w:t>
      </w:r>
      <w:r>
        <w:rPr>
          <w:sz w:val="22"/>
          <w:szCs w:val="22"/>
        </w:rPr>
        <w:t>adjuvantnoj</w:t>
      </w:r>
      <w:r w:rsidRPr="00442616">
        <w:rPr>
          <w:sz w:val="22"/>
          <w:szCs w:val="22"/>
          <w:lang w:val="sr-Latn-ME"/>
        </w:rPr>
        <w:t xml:space="preserve"> </w:t>
      </w:r>
      <w:r>
        <w:rPr>
          <w:sz w:val="22"/>
          <w:szCs w:val="22"/>
        </w:rPr>
        <w:t>primjeni</w:t>
      </w:r>
      <w:r w:rsidRPr="00442616">
        <w:rPr>
          <w:sz w:val="22"/>
          <w:szCs w:val="22"/>
          <w:lang w:val="sr-Latn-ME"/>
        </w:rPr>
        <w:t>.</w:t>
      </w:r>
    </w:p>
    <w:p w14:paraId="0B1C97E9" w14:textId="77777777" w:rsidR="00B05AA9" w:rsidRPr="00442616" w:rsidRDefault="00B05AA9" w:rsidP="00641EEB">
      <w:pPr>
        <w:jc w:val="both"/>
        <w:rPr>
          <w:sz w:val="22"/>
          <w:szCs w:val="22"/>
          <w:lang w:val="sr-Latn-ME"/>
        </w:rPr>
      </w:pPr>
    </w:p>
    <w:p w14:paraId="62FC8A0D" w14:textId="2D75041B" w:rsidR="00B05AA9" w:rsidRPr="00442616" w:rsidRDefault="00B05AA9" w:rsidP="00641EEB">
      <w:pPr>
        <w:jc w:val="both"/>
        <w:rPr>
          <w:sz w:val="22"/>
          <w:szCs w:val="22"/>
          <w:lang w:val="sr-Latn-ME"/>
        </w:rPr>
      </w:pPr>
      <w:r>
        <w:rPr>
          <w:sz w:val="22"/>
          <w:szCs w:val="22"/>
        </w:rPr>
        <w:t>U</w:t>
      </w:r>
      <w:r w:rsidRPr="00442616">
        <w:rPr>
          <w:sz w:val="22"/>
          <w:szCs w:val="22"/>
          <w:lang w:val="sr-Latn-ME"/>
        </w:rPr>
        <w:t xml:space="preserve"> </w:t>
      </w:r>
      <w:r>
        <w:rPr>
          <w:sz w:val="22"/>
          <w:szCs w:val="22"/>
        </w:rPr>
        <w:t>neoadjuvantnoj</w:t>
      </w:r>
      <w:r w:rsidRPr="00442616">
        <w:rPr>
          <w:sz w:val="22"/>
          <w:szCs w:val="22"/>
          <w:lang w:val="sr-Latn-ME"/>
        </w:rPr>
        <w:t>/</w:t>
      </w:r>
      <w:r>
        <w:rPr>
          <w:sz w:val="22"/>
          <w:szCs w:val="22"/>
        </w:rPr>
        <w:t>adjuvantnoj</w:t>
      </w:r>
      <w:r w:rsidRPr="00442616">
        <w:rPr>
          <w:sz w:val="22"/>
          <w:szCs w:val="22"/>
          <w:lang w:val="sr-Latn-ME"/>
        </w:rPr>
        <w:t xml:space="preserve"> </w:t>
      </w:r>
      <w:r>
        <w:rPr>
          <w:sz w:val="22"/>
          <w:szCs w:val="22"/>
        </w:rPr>
        <w:t>primjeni</w:t>
      </w:r>
      <w:r w:rsidRPr="00442616">
        <w:rPr>
          <w:sz w:val="22"/>
          <w:szCs w:val="22"/>
          <w:lang w:val="sr-Latn-ME"/>
        </w:rPr>
        <w:t xml:space="preserve">, </w:t>
      </w:r>
      <w:r>
        <w:rPr>
          <w:sz w:val="22"/>
          <w:szCs w:val="22"/>
        </w:rPr>
        <w:t>studija</w:t>
      </w:r>
      <w:r w:rsidRPr="00442616">
        <w:rPr>
          <w:sz w:val="22"/>
          <w:szCs w:val="22"/>
          <w:lang w:val="sr-Latn-ME"/>
        </w:rPr>
        <w:t xml:space="preserve"> </w:t>
      </w:r>
      <w:r>
        <w:rPr>
          <w:sz w:val="22"/>
          <w:szCs w:val="22"/>
        </w:rPr>
        <w:t>MO</w:t>
      </w:r>
      <w:r w:rsidRPr="00442616">
        <w:rPr>
          <w:sz w:val="22"/>
          <w:szCs w:val="22"/>
          <w:lang w:val="sr-Latn-ME"/>
        </w:rPr>
        <w:t xml:space="preserve">16432, </w:t>
      </w:r>
      <w:r>
        <w:rPr>
          <w:sz w:val="22"/>
          <w:szCs w:val="22"/>
        </w:rPr>
        <w:t>multicentri</w:t>
      </w:r>
      <w:r w:rsidRPr="00442616">
        <w:rPr>
          <w:sz w:val="22"/>
          <w:szCs w:val="22"/>
          <w:lang w:val="sr-Latn-ME"/>
        </w:rPr>
        <w:t>č</w:t>
      </w:r>
      <w:r>
        <w:rPr>
          <w:sz w:val="22"/>
          <w:szCs w:val="22"/>
        </w:rPr>
        <w:t>na</w:t>
      </w:r>
      <w:r w:rsidRPr="00442616">
        <w:rPr>
          <w:sz w:val="22"/>
          <w:szCs w:val="22"/>
          <w:lang w:val="sr-Latn-ME"/>
        </w:rPr>
        <w:t xml:space="preserve">, </w:t>
      </w:r>
      <w:r>
        <w:rPr>
          <w:sz w:val="22"/>
          <w:szCs w:val="22"/>
        </w:rPr>
        <w:t>randomizovana</w:t>
      </w:r>
      <w:r w:rsidRPr="00442616">
        <w:rPr>
          <w:sz w:val="22"/>
          <w:szCs w:val="22"/>
          <w:lang w:val="sr-Latn-ME"/>
        </w:rPr>
        <w:t xml:space="preserve"> </w:t>
      </w:r>
      <w:r>
        <w:rPr>
          <w:sz w:val="22"/>
          <w:szCs w:val="22"/>
        </w:rPr>
        <w:t>studija</w:t>
      </w:r>
      <w:r w:rsidRPr="00442616">
        <w:rPr>
          <w:sz w:val="22"/>
          <w:szCs w:val="22"/>
          <w:lang w:val="sr-Latn-ME"/>
        </w:rPr>
        <w:t xml:space="preserve"> </w:t>
      </w:r>
      <w:r>
        <w:rPr>
          <w:sz w:val="22"/>
          <w:szCs w:val="22"/>
        </w:rPr>
        <w:t>koja</w:t>
      </w:r>
      <w:r w:rsidRPr="00442616">
        <w:rPr>
          <w:sz w:val="22"/>
          <w:szCs w:val="22"/>
          <w:lang w:val="sr-Latn-ME"/>
        </w:rPr>
        <w:t xml:space="preserve"> </w:t>
      </w:r>
      <w:r>
        <w:rPr>
          <w:sz w:val="22"/>
          <w:szCs w:val="22"/>
        </w:rPr>
        <w:t>je</w:t>
      </w:r>
      <w:r w:rsidRPr="00442616">
        <w:rPr>
          <w:sz w:val="22"/>
          <w:szCs w:val="22"/>
          <w:lang w:val="sr-Latn-ME"/>
        </w:rPr>
        <w:t xml:space="preserve"> </w:t>
      </w:r>
      <w:r>
        <w:rPr>
          <w:sz w:val="22"/>
          <w:szCs w:val="22"/>
        </w:rPr>
        <w:t>dizajnirana</w:t>
      </w:r>
      <w:r w:rsidRPr="00442616">
        <w:rPr>
          <w:sz w:val="22"/>
          <w:szCs w:val="22"/>
          <w:lang w:val="sr-Latn-ME"/>
        </w:rPr>
        <w:t xml:space="preserve"> </w:t>
      </w:r>
      <w:r>
        <w:rPr>
          <w:sz w:val="22"/>
          <w:szCs w:val="22"/>
        </w:rPr>
        <w:t>da</w:t>
      </w:r>
      <w:r w:rsidRPr="00442616">
        <w:rPr>
          <w:sz w:val="22"/>
          <w:szCs w:val="22"/>
          <w:lang w:val="sr-Latn-ME"/>
        </w:rPr>
        <w:t xml:space="preserve"> </w:t>
      </w:r>
      <w:r>
        <w:rPr>
          <w:sz w:val="22"/>
          <w:szCs w:val="22"/>
        </w:rPr>
        <w:t>ispita</w:t>
      </w:r>
      <w:r w:rsidRPr="00442616">
        <w:rPr>
          <w:sz w:val="22"/>
          <w:szCs w:val="22"/>
          <w:lang w:val="sr-Latn-ME"/>
        </w:rPr>
        <w:t xml:space="preserve"> </w:t>
      </w:r>
      <w:r>
        <w:rPr>
          <w:sz w:val="22"/>
          <w:szCs w:val="22"/>
        </w:rPr>
        <w:t>klini</w:t>
      </w:r>
      <w:r w:rsidRPr="00442616">
        <w:rPr>
          <w:sz w:val="22"/>
          <w:szCs w:val="22"/>
          <w:lang w:val="sr-Latn-ME"/>
        </w:rPr>
        <w:t>č</w:t>
      </w:r>
      <w:r>
        <w:rPr>
          <w:sz w:val="22"/>
          <w:szCs w:val="22"/>
        </w:rPr>
        <w:t>ku</w:t>
      </w:r>
      <w:r w:rsidRPr="00442616">
        <w:rPr>
          <w:sz w:val="22"/>
          <w:szCs w:val="22"/>
          <w:lang w:val="sr-Latn-ME"/>
        </w:rPr>
        <w:t xml:space="preserve"> </w:t>
      </w:r>
      <w:r>
        <w:rPr>
          <w:sz w:val="22"/>
          <w:szCs w:val="22"/>
        </w:rPr>
        <w:t>efikasnost</w:t>
      </w:r>
      <w:r w:rsidRPr="00442616">
        <w:rPr>
          <w:sz w:val="22"/>
          <w:szCs w:val="22"/>
          <w:lang w:val="sr-Latn-ME"/>
        </w:rPr>
        <w:t xml:space="preserve"> </w:t>
      </w:r>
      <w:r>
        <w:rPr>
          <w:sz w:val="22"/>
          <w:szCs w:val="22"/>
        </w:rPr>
        <w:t>istovremene</w:t>
      </w:r>
      <w:r w:rsidRPr="00442616">
        <w:rPr>
          <w:sz w:val="22"/>
          <w:szCs w:val="22"/>
          <w:lang w:val="sr-Latn-ME"/>
        </w:rPr>
        <w:t xml:space="preserve"> </w:t>
      </w:r>
      <w:r>
        <w:rPr>
          <w:sz w:val="22"/>
          <w:szCs w:val="22"/>
        </w:rPr>
        <w:t>primjene</w:t>
      </w:r>
      <w:r w:rsidRPr="00442616">
        <w:rPr>
          <w:sz w:val="22"/>
          <w:szCs w:val="22"/>
          <w:lang w:val="sr-Latn-ME"/>
        </w:rPr>
        <w:t xml:space="preserve"> </w:t>
      </w:r>
      <w:r>
        <w:rPr>
          <w:sz w:val="22"/>
          <w:szCs w:val="22"/>
        </w:rPr>
        <w:t>lijeka</w:t>
      </w:r>
      <w:r w:rsidRPr="00442616">
        <w:rPr>
          <w:sz w:val="22"/>
          <w:szCs w:val="22"/>
          <w:lang w:val="sr-Latn-ME"/>
        </w:rPr>
        <w:t xml:space="preserve"> </w:t>
      </w:r>
      <w:r>
        <w:rPr>
          <w:sz w:val="22"/>
          <w:szCs w:val="22"/>
        </w:rPr>
        <w:t>Herceptin</w:t>
      </w:r>
      <w:r w:rsidRPr="00442616">
        <w:rPr>
          <w:sz w:val="22"/>
          <w:szCs w:val="22"/>
          <w:lang w:val="sr-Latn-ME"/>
        </w:rPr>
        <w:t xml:space="preserve"> </w:t>
      </w:r>
      <w:proofErr w:type="gramStart"/>
      <w:r>
        <w:rPr>
          <w:sz w:val="22"/>
          <w:szCs w:val="22"/>
        </w:rPr>
        <w:t>sa</w:t>
      </w:r>
      <w:proofErr w:type="gramEnd"/>
      <w:r w:rsidRPr="00442616">
        <w:rPr>
          <w:sz w:val="22"/>
          <w:szCs w:val="22"/>
          <w:lang w:val="sr-Latn-ME"/>
        </w:rPr>
        <w:t xml:space="preserve"> </w:t>
      </w:r>
      <w:r>
        <w:rPr>
          <w:sz w:val="22"/>
          <w:szCs w:val="22"/>
        </w:rPr>
        <w:t>neoadjuvantnom</w:t>
      </w:r>
      <w:r w:rsidRPr="00442616">
        <w:rPr>
          <w:sz w:val="22"/>
          <w:szCs w:val="22"/>
          <w:lang w:val="sr-Latn-ME"/>
        </w:rPr>
        <w:t xml:space="preserve"> </w:t>
      </w:r>
      <w:r>
        <w:rPr>
          <w:sz w:val="22"/>
          <w:szCs w:val="22"/>
        </w:rPr>
        <w:t>hemoterapijom</w:t>
      </w:r>
      <w:r w:rsidRPr="00442616">
        <w:rPr>
          <w:sz w:val="22"/>
          <w:szCs w:val="22"/>
          <w:lang w:val="sr-Latn-ME"/>
        </w:rPr>
        <w:t xml:space="preserve"> </w:t>
      </w:r>
      <w:r>
        <w:rPr>
          <w:sz w:val="22"/>
          <w:szCs w:val="22"/>
        </w:rPr>
        <w:t>uklju</w:t>
      </w:r>
      <w:r w:rsidRPr="00442616">
        <w:rPr>
          <w:sz w:val="22"/>
          <w:szCs w:val="22"/>
          <w:lang w:val="sr-Latn-ME"/>
        </w:rPr>
        <w:t>č</w:t>
      </w:r>
      <w:r>
        <w:rPr>
          <w:sz w:val="22"/>
          <w:szCs w:val="22"/>
        </w:rPr>
        <w:t>uju</w:t>
      </w:r>
      <w:r w:rsidRPr="00442616">
        <w:rPr>
          <w:sz w:val="22"/>
          <w:szCs w:val="22"/>
          <w:lang w:val="sr-Latn-ME"/>
        </w:rPr>
        <w:t>ć</w:t>
      </w:r>
      <w:r>
        <w:rPr>
          <w:sz w:val="22"/>
          <w:szCs w:val="22"/>
        </w:rPr>
        <w:t>i</w:t>
      </w:r>
      <w:r w:rsidRPr="00442616">
        <w:rPr>
          <w:sz w:val="22"/>
          <w:szCs w:val="22"/>
          <w:lang w:val="sr-Latn-ME"/>
        </w:rPr>
        <w:t xml:space="preserve"> </w:t>
      </w:r>
      <w:r>
        <w:rPr>
          <w:sz w:val="22"/>
          <w:szCs w:val="22"/>
        </w:rPr>
        <w:t>i</w:t>
      </w:r>
      <w:r w:rsidRPr="00442616">
        <w:rPr>
          <w:sz w:val="22"/>
          <w:szCs w:val="22"/>
          <w:lang w:val="sr-Latn-ME"/>
        </w:rPr>
        <w:t xml:space="preserve"> </w:t>
      </w:r>
      <w:r>
        <w:rPr>
          <w:sz w:val="22"/>
          <w:szCs w:val="22"/>
        </w:rPr>
        <w:t>antraciklin</w:t>
      </w:r>
      <w:r w:rsidRPr="00442616">
        <w:rPr>
          <w:sz w:val="22"/>
          <w:szCs w:val="22"/>
          <w:lang w:val="sr-Latn-ME"/>
        </w:rPr>
        <w:t xml:space="preserve"> </w:t>
      </w:r>
      <w:r>
        <w:rPr>
          <w:sz w:val="22"/>
          <w:szCs w:val="22"/>
        </w:rPr>
        <w:t>i</w:t>
      </w:r>
      <w:r w:rsidRPr="00442616">
        <w:rPr>
          <w:sz w:val="22"/>
          <w:szCs w:val="22"/>
          <w:lang w:val="sr-Latn-ME"/>
        </w:rPr>
        <w:t xml:space="preserve"> </w:t>
      </w:r>
      <w:r>
        <w:rPr>
          <w:sz w:val="22"/>
          <w:szCs w:val="22"/>
        </w:rPr>
        <w:t>taksan</w:t>
      </w:r>
      <w:r w:rsidRPr="00442616">
        <w:rPr>
          <w:sz w:val="22"/>
          <w:szCs w:val="22"/>
          <w:lang w:val="sr-Latn-ME"/>
        </w:rPr>
        <w:t xml:space="preserve">, </w:t>
      </w:r>
      <w:r>
        <w:rPr>
          <w:sz w:val="22"/>
          <w:szCs w:val="22"/>
        </w:rPr>
        <w:t>nakon</w:t>
      </w:r>
      <w:r w:rsidRPr="00442616">
        <w:rPr>
          <w:sz w:val="22"/>
          <w:szCs w:val="22"/>
          <w:lang w:val="sr-Latn-ME"/>
        </w:rPr>
        <w:t xml:space="preserve"> </w:t>
      </w:r>
      <w:r>
        <w:rPr>
          <w:sz w:val="22"/>
          <w:szCs w:val="22"/>
        </w:rPr>
        <w:t>adjuvantne</w:t>
      </w:r>
      <w:r w:rsidRPr="00442616">
        <w:rPr>
          <w:sz w:val="22"/>
          <w:szCs w:val="22"/>
          <w:lang w:val="sr-Latn-ME"/>
        </w:rPr>
        <w:t xml:space="preserve"> </w:t>
      </w:r>
      <w:r>
        <w:rPr>
          <w:sz w:val="22"/>
          <w:szCs w:val="22"/>
        </w:rPr>
        <w:t>primjene</w:t>
      </w:r>
      <w:r w:rsidRPr="00442616">
        <w:rPr>
          <w:sz w:val="22"/>
          <w:szCs w:val="22"/>
          <w:lang w:val="sr-Latn-ME"/>
        </w:rPr>
        <w:t xml:space="preserve"> </w:t>
      </w:r>
      <w:r>
        <w:rPr>
          <w:sz w:val="22"/>
          <w:szCs w:val="22"/>
        </w:rPr>
        <w:t>lijeka</w:t>
      </w:r>
      <w:r w:rsidRPr="00442616">
        <w:rPr>
          <w:sz w:val="22"/>
          <w:szCs w:val="22"/>
          <w:lang w:val="sr-Latn-ME"/>
        </w:rPr>
        <w:t xml:space="preserve"> </w:t>
      </w:r>
      <w:r>
        <w:rPr>
          <w:sz w:val="22"/>
          <w:szCs w:val="22"/>
        </w:rPr>
        <w:t>Herceptin</w:t>
      </w:r>
      <w:r w:rsidRPr="00442616">
        <w:rPr>
          <w:sz w:val="22"/>
          <w:szCs w:val="22"/>
          <w:lang w:val="sr-Latn-ME"/>
        </w:rPr>
        <w:t xml:space="preserve">, </w:t>
      </w:r>
      <w:r>
        <w:rPr>
          <w:sz w:val="22"/>
          <w:szCs w:val="22"/>
        </w:rPr>
        <w:t>sa</w:t>
      </w:r>
      <w:r w:rsidRPr="00442616">
        <w:rPr>
          <w:sz w:val="22"/>
          <w:szCs w:val="22"/>
          <w:lang w:val="sr-Latn-ME"/>
        </w:rPr>
        <w:t xml:space="preserve"> </w:t>
      </w:r>
      <w:r>
        <w:rPr>
          <w:sz w:val="22"/>
          <w:szCs w:val="22"/>
        </w:rPr>
        <w:t>ukupnim</w:t>
      </w:r>
      <w:r w:rsidRPr="00442616">
        <w:rPr>
          <w:sz w:val="22"/>
          <w:szCs w:val="22"/>
          <w:lang w:val="sr-Latn-ME"/>
        </w:rPr>
        <w:t xml:space="preserve"> </w:t>
      </w:r>
      <w:r>
        <w:rPr>
          <w:sz w:val="22"/>
          <w:szCs w:val="22"/>
        </w:rPr>
        <w:t>trajanjem</w:t>
      </w:r>
      <w:r w:rsidRPr="00442616">
        <w:rPr>
          <w:sz w:val="22"/>
          <w:szCs w:val="22"/>
          <w:lang w:val="sr-Latn-ME"/>
        </w:rPr>
        <w:t xml:space="preserve"> </w:t>
      </w:r>
      <w:r>
        <w:rPr>
          <w:sz w:val="22"/>
          <w:szCs w:val="22"/>
        </w:rPr>
        <w:t>tretmana</w:t>
      </w:r>
      <w:r w:rsidRPr="00442616">
        <w:rPr>
          <w:sz w:val="22"/>
          <w:szCs w:val="22"/>
          <w:lang w:val="sr-Latn-ME"/>
        </w:rPr>
        <w:t xml:space="preserve"> </w:t>
      </w:r>
      <w:r>
        <w:rPr>
          <w:sz w:val="22"/>
          <w:szCs w:val="22"/>
        </w:rPr>
        <w:t>do</w:t>
      </w:r>
      <w:r w:rsidRPr="00442616">
        <w:rPr>
          <w:sz w:val="22"/>
          <w:szCs w:val="22"/>
          <w:lang w:val="sr-Latn-ME"/>
        </w:rPr>
        <w:t xml:space="preserve"> 1 </w:t>
      </w:r>
      <w:r>
        <w:rPr>
          <w:sz w:val="22"/>
          <w:szCs w:val="22"/>
        </w:rPr>
        <w:t>godine</w:t>
      </w:r>
      <w:r w:rsidRPr="00442616">
        <w:rPr>
          <w:sz w:val="22"/>
          <w:szCs w:val="22"/>
          <w:lang w:val="sr-Latn-ME"/>
        </w:rPr>
        <w:t xml:space="preserve">. </w:t>
      </w:r>
      <w:r>
        <w:rPr>
          <w:sz w:val="22"/>
          <w:szCs w:val="22"/>
        </w:rPr>
        <w:t>U</w:t>
      </w:r>
      <w:r w:rsidRPr="00442616">
        <w:rPr>
          <w:sz w:val="22"/>
          <w:szCs w:val="22"/>
          <w:lang w:val="sr-Latn-ME"/>
        </w:rPr>
        <w:t xml:space="preserve"> </w:t>
      </w:r>
      <w:r>
        <w:rPr>
          <w:sz w:val="22"/>
          <w:szCs w:val="22"/>
        </w:rPr>
        <w:t>studiju</w:t>
      </w:r>
      <w:r w:rsidRPr="00442616">
        <w:rPr>
          <w:sz w:val="22"/>
          <w:szCs w:val="22"/>
          <w:lang w:val="sr-Latn-ME"/>
        </w:rPr>
        <w:t xml:space="preserve"> </w:t>
      </w:r>
      <w:r>
        <w:rPr>
          <w:sz w:val="22"/>
          <w:szCs w:val="22"/>
        </w:rPr>
        <w:t>su</w:t>
      </w:r>
      <w:r w:rsidRPr="00442616">
        <w:rPr>
          <w:sz w:val="22"/>
          <w:szCs w:val="22"/>
          <w:lang w:val="sr-Latn-ME"/>
        </w:rPr>
        <w:t xml:space="preserve"> </w:t>
      </w:r>
      <w:r>
        <w:rPr>
          <w:sz w:val="22"/>
          <w:szCs w:val="22"/>
        </w:rPr>
        <w:t>uklju</w:t>
      </w:r>
      <w:r w:rsidRPr="00442616">
        <w:rPr>
          <w:sz w:val="22"/>
          <w:szCs w:val="22"/>
          <w:lang w:val="sr-Latn-ME"/>
        </w:rPr>
        <w:t>č</w:t>
      </w:r>
      <w:r>
        <w:rPr>
          <w:sz w:val="22"/>
          <w:szCs w:val="22"/>
        </w:rPr>
        <w:t>eni</w:t>
      </w:r>
      <w:r w:rsidRPr="00442616">
        <w:rPr>
          <w:sz w:val="22"/>
          <w:szCs w:val="22"/>
          <w:lang w:val="sr-Latn-ME"/>
        </w:rPr>
        <w:t xml:space="preserve"> </w:t>
      </w:r>
      <w:r>
        <w:rPr>
          <w:sz w:val="22"/>
          <w:szCs w:val="22"/>
        </w:rPr>
        <w:t>pacijenti</w:t>
      </w:r>
      <w:r w:rsidRPr="00442616">
        <w:rPr>
          <w:sz w:val="22"/>
          <w:szCs w:val="22"/>
          <w:lang w:val="sr-Latn-ME"/>
        </w:rPr>
        <w:t xml:space="preserve"> </w:t>
      </w:r>
      <w:proofErr w:type="gramStart"/>
      <w:r>
        <w:rPr>
          <w:sz w:val="22"/>
          <w:szCs w:val="22"/>
        </w:rPr>
        <w:t>sa</w:t>
      </w:r>
      <w:proofErr w:type="gramEnd"/>
      <w:r w:rsidRPr="00442616">
        <w:rPr>
          <w:sz w:val="22"/>
          <w:szCs w:val="22"/>
          <w:lang w:val="sr-Latn-ME"/>
        </w:rPr>
        <w:t xml:space="preserve"> </w:t>
      </w:r>
      <w:r>
        <w:rPr>
          <w:sz w:val="22"/>
          <w:szCs w:val="22"/>
        </w:rPr>
        <w:t>novo</w:t>
      </w:r>
      <w:r w:rsidRPr="00442616">
        <w:rPr>
          <w:sz w:val="22"/>
          <w:szCs w:val="22"/>
          <w:lang w:val="sr-Latn-ME"/>
        </w:rPr>
        <w:t>-</w:t>
      </w:r>
      <w:r>
        <w:rPr>
          <w:sz w:val="22"/>
          <w:szCs w:val="22"/>
        </w:rPr>
        <w:t>dijagnostikovanim</w:t>
      </w:r>
      <w:r w:rsidRPr="00442616">
        <w:rPr>
          <w:sz w:val="22"/>
          <w:szCs w:val="22"/>
          <w:lang w:val="sr-Latn-ME"/>
        </w:rPr>
        <w:t xml:space="preserve"> </w:t>
      </w:r>
      <w:r>
        <w:rPr>
          <w:sz w:val="22"/>
          <w:szCs w:val="22"/>
        </w:rPr>
        <w:t>lokalno</w:t>
      </w:r>
      <w:r w:rsidRPr="00442616">
        <w:rPr>
          <w:sz w:val="22"/>
          <w:szCs w:val="22"/>
          <w:lang w:val="sr-Latn-ME"/>
        </w:rPr>
        <w:t xml:space="preserve"> </w:t>
      </w:r>
      <w:r>
        <w:rPr>
          <w:sz w:val="22"/>
          <w:szCs w:val="22"/>
        </w:rPr>
        <w:t>uznapredovalim</w:t>
      </w:r>
      <w:r w:rsidRPr="00442616">
        <w:rPr>
          <w:sz w:val="22"/>
          <w:szCs w:val="22"/>
          <w:lang w:val="sr-Latn-ME"/>
        </w:rPr>
        <w:t xml:space="preserve"> (</w:t>
      </w:r>
      <w:r>
        <w:rPr>
          <w:sz w:val="22"/>
          <w:szCs w:val="22"/>
        </w:rPr>
        <w:t>stadijum</w:t>
      </w:r>
      <w:r w:rsidRPr="00442616">
        <w:rPr>
          <w:sz w:val="22"/>
          <w:szCs w:val="22"/>
          <w:lang w:val="sr-Latn-ME"/>
        </w:rPr>
        <w:t xml:space="preserve"> </w:t>
      </w:r>
      <w:r>
        <w:rPr>
          <w:sz w:val="22"/>
          <w:szCs w:val="22"/>
        </w:rPr>
        <w:t>III</w:t>
      </w:r>
      <w:r w:rsidRPr="00442616">
        <w:rPr>
          <w:sz w:val="22"/>
          <w:szCs w:val="22"/>
          <w:lang w:val="sr-Latn-ME"/>
        </w:rPr>
        <w:t xml:space="preserve">) </w:t>
      </w:r>
      <w:r>
        <w:rPr>
          <w:sz w:val="22"/>
          <w:szCs w:val="22"/>
        </w:rPr>
        <w:t>ili</w:t>
      </w:r>
      <w:r w:rsidRPr="00442616">
        <w:rPr>
          <w:sz w:val="22"/>
          <w:szCs w:val="22"/>
          <w:lang w:val="sr-Latn-ME"/>
        </w:rPr>
        <w:t xml:space="preserve"> </w:t>
      </w:r>
      <w:r>
        <w:rPr>
          <w:sz w:val="22"/>
          <w:szCs w:val="22"/>
        </w:rPr>
        <w:t>inflamatornim</w:t>
      </w:r>
      <w:r w:rsidRPr="00442616">
        <w:rPr>
          <w:sz w:val="22"/>
          <w:szCs w:val="22"/>
          <w:lang w:val="sr-Latn-ME"/>
        </w:rPr>
        <w:t xml:space="preserve"> </w:t>
      </w:r>
      <w:r>
        <w:rPr>
          <w:sz w:val="22"/>
          <w:szCs w:val="22"/>
        </w:rPr>
        <w:t>ranim</w:t>
      </w:r>
      <w:r w:rsidRPr="00442616">
        <w:rPr>
          <w:sz w:val="22"/>
          <w:szCs w:val="22"/>
          <w:lang w:val="sr-Latn-ME"/>
        </w:rPr>
        <w:t xml:space="preserve"> </w:t>
      </w:r>
      <w:r>
        <w:rPr>
          <w:sz w:val="22"/>
          <w:szCs w:val="22"/>
        </w:rPr>
        <w:t>karcinomom</w:t>
      </w:r>
      <w:r w:rsidRPr="00442616">
        <w:rPr>
          <w:sz w:val="22"/>
          <w:szCs w:val="22"/>
          <w:lang w:val="sr-Latn-ME"/>
        </w:rPr>
        <w:t xml:space="preserve"> </w:t>
      </w:r>
      <w:r>
        <w:rPr>
          <w:sz w:val="22"/>
          <w:szCs w:val="22"/>
        </w:rPr>
        <w:t>dojke</w:t>
      </w:r>
      <w:r w:rsidRPr="00442616">
        <w:rPr>
          <w:sz w:val="22"/>
          <w:szCs w:val="22"/>
          <w:lang w:val="sr-Latn-ME"/>
        </w:rPr>
        <w:t xml:space="preserve">. </w:t>
      </w:r>
      <w:r>
        <w:rPr>
          <w:sz w:val="22"/>
          <w:szCs w:val="22"/>
        </w:rPr>
        <w:t>Pacijenti</w:t>
      </w:r>
      <w:r w:rsidRPr="00442616">
        <w:rPr>
          <w:sz w:val="22"/>
          <w:szCs w:val="22"/>
          <w:lang w:val="sr-Latn-ME"/>
        </w:rPr>
        <w:t xml:space="preserve"> </w:t>
      </w:r>
      <w:r>
        <w:rPr>
          <w:sz w:val="22"/>
          <w:szCs w:val="22"/>
        </w:rPr>
        <w:t>koji</w:t>
      </w:r>
      <w:r w:rsidRPr="00442616">
        <w:rPr>
          <w:sz w:val="22"/>
          <w:szCs w:val="22"/>
          <w:lang w:val="sr-Latn-ME"/>
        </w:rPr>
        <w:t xml:space="preserve"> </w:t>
      </w:r>
      <w:r>
        <w:rPr>
          <w:sz w:val="22"/>
          <w:szCs w:val="22"/>
        </w:rPr>
        <w:t>su</w:t>
      </w:r>
      <w:r w:rsidRPr="00442616">
        <w:rPr>
          <w:sz w:val="22"/>
          <w:szCs w:val="22"/>
          <w:lang w:val="sr-Latn-ME"/>
        </w:rPr>
        <w:t xml:space="preserve"> </w:t>
      </w:r>
      <w:r>
        <w:rPr>
          <w:sz w:val="22"/>
          <w:szCs w:val="22"/>
        </w:rPr>
        <w:t>imali</w:t>
      </w:r>
      <w:r w:rsidRPr="00442616">
        <w:rPr>
          <w:sz w:val="22"/>
          <w:szCs w:val="22"/>
          <w:lang w:val="sr-Latn-ME"/>
        </w:rPr>
        <w:t xml:space="preserve"> </w:t>
      </w:r>
      <w:r>
        <w:rPr>
          <w:sz w:val="22"/>
          <w:szCs w:val="22"/>
        </w:rPr>
        <w:t>HER</w:t>
      </w:r>
      <w:r w:rsidRPr="00442616">
        <w:rPr>
          <w:sz w:val="22"/>
          <w:szCs w:val="22"/>
          <w:lang w:val="sr-Latn-ME"/>
        </w:rPr>
        <w:t xml:space="preserve">2+ </w:t>
      </w:r>
      <w:r>
        <w:rPr>
          <w:sz w:val="22"/>
          <w:szCs w:val="22"/>
        </w:rPr>
        <w:t>tumore</w:t>
      </w:r>
      <w:r w:rsidRPr="00442616">
        <w:rPr>
          <w:sz w:val="22"/>
          <w:szCs w:val="22"/>
          <w:lang w:val="sr-Latn-ME"/>
        </w:rPr>
        <w:t xml:space="preserve">, </w:t>
      </w:r>
      <w:r>
        <w:rPr>
          <w:sz w:val="22"/>
          <w:szCs w:val="22"/>
        </w:rPr>
        <w:t>randomizovani</w:t>
      </w:r>
      <w:r w:rsidRPr="00442616">
        <w:rPr>
          <w:sz w:val="22"/>
          <w:szCs w:val="22"/>
          <w:lang w:val="sr-Latn-ME"/>
        </w:rPr>
        <w:t xml:space="preserve"> </w:t>
      </w:r>
      <w:r>
        <w:rPr>
          <w:sz w:val="22"/>
          <w:szCs w:val="22"/>
        </w:rPr>
        <w:t>su</w:t>
      </w:r>
      <w:r w:rsidRPr="00442616">
        <w:rPr>
          <w:sz w:val="22"/>
          <w:szCs w:val="22"/>
          <w:lang w:val="sr-Latn-ME"/>
        </w:rPr>
        <w:t xml:space="preserve"> </w:t>
      </w:r>
      <w:r>
        <w:rPr>
          <w:sz w:val="22"/>
          <w:szCs w:val="22"/>
        </w:rPr>
        <w:t>da</w:t>
      </w:r>
      <w:r w:rsidRPr="00442616">
        <w:rPr>
          <w:sz w:val="22"/>
          <w:szCs w:val="22"/>
          <w:lang w:val="sr-Latn-ME"/>
        </w:rPr>
        <w:t xml:space="preserve"> </w:t>
      </w:r>
      <w:r>
        <w:rPr>
          <w:sz w:val="22"/>
          <w:szCs w:val="22"/>
        </w:rPr>
        <w:t>primaju</w:t>
      </w:r>
      <w:r w:rsidRPr="00442616">
        <w:rPr>
          <w:sz w:val="22"/>
          <w:szCs w:val="22"/>
          <w:lang w:val="sr-Latn-ME"/>
        </w:rPr>
        <w:t xml:space="preserve"> </w:t>
      </w:r>
      <w:proofErr w:type="gramStart"/>
      <w:r>
        <w:rPr>
          <w:sz w:val="22"/>
          <w:szCs w:val="22"/>
        </w:rPr>
        <w:t>ili</w:t>
      </w:r>
      <w:proofErr w:type="gramEnd"/>
      <w:r w:rsidRPr="00442616">
        <w:rPr>
          <w:sz w:val="22"/>
          <w:szCs w:val="22"/>
          <w:lang w:val="sr-Latn-ME"/>
        </w:rPr>
        <w:t xml:space="preserve"> </w:t>
      </w:r>
      <w:r>
        <w:rPr>
          <w:sz w:val="22"/>
          <w:szCs w:val="22"/>
        </w:rPr>
        <w:t>neoadjuvantnu</w:t>
      </w:r>
      <w:r w:rsidRPr="00442616">
        <w:rPr>
          <w:sz w:val="22"/>
          <w:szCs w:val="22"/>
          <w:lang w:val="sr-Latn-ME"/>
        </w:rPr>
        <w:t xml:space="preserve"> </w:t>
      </w:r>
      <w:r>
        <w:rPr>
          <w:sz w:val="22"/>
          <w:szCs w:val="22"/>
        </w:rPr>
        <w:t>hemoterapiju</w:t>
      </w:r>
      <w:r w:rsidRPr="00442616">
        <w:rPr>
          <w:sz w:val="22"/>
          <w:szCs w:val="22"/>
          <w:lang w:val="sr-Latn-ME"/>
        </w:rPr>
        <w:t xml:space="preserve"> </w:t>
      </w:r>
      <w:r>
        <w:rPr>
          <w:sz w:val="22"/>
          <w:szCs w:val="22"/>
        </w:rPr>
        <w:t>istovremeno</w:t>
      </w:r>
      <w:r w:rsidRPr="00442616">
        <w:rPr>
          <w:sz w:val="22"/>
          <w:szCs w:val="22"/>
          <w:lang w:val="sr-Latn-ME"/>
        </w:rPr>
        <w:t xml:space="preserve"> </w:t>
      </w:r>
      <w:r>
        <w:rPr>
          <w:sz w:val="22"/>
          <w:szCs w:val="22"/>
        </w:rPr>
        <w:t>sa</w:t>
      </w:r>
      <w:r w:rsidRPr="00442616">
        <w:rPr>
          <w:sz w:val="22"/>
          <w:szCs w:val="22"/>
          <w:lang w:val="sr-Latn-ME"/>
        </w:rPr>
        <w:t xml:space="preserve"> </w:t>
      </w:r>
      <w:r>
        <w:rPr>
          <w:sz w:val="22"/>
          <w:szCs w:val="22"/>
        </w:rPr>
        <w:t>neoadjuvantnim</w:t>
      </w:r>
      <w:r w:rsidRPr="00442616">
        <w:rPr>
          <w:sz w:val="22"/>
          <w:szCs w:val="22"/>
          <w:lang w:val="sr-Latn-ME"/>
        </w:rPr>
        <w:t>/</w:t>
      </w:r>
      <w:r>
        <w:rPr>
          <w:sz w:val="22"/>
          <w:szCs w:val="22"/>
        </w:rPr>
        <w:t>adjuvantnim</w:t>
      </w:r>
      <w:r w:rsidRPr="00442616">
        <w:rPr>
          <w:sz w:val="22"/>
          <w:szCs w:val="22"/>
          <w:lang w:val="sr-Latn-ME"/>
        </w:rPr>
        <w:t xml:space="preserve"> </w:t>
      </w:r>
      <w:r>
        <w:rPr>
          <w:sz w:val="22"/>
          <w:szCs w:val="22"/>
        </w:rPr>
        <w:t>lijekom</w:t>
      </w:r>
      <w:r w:rsidRPr="00442616">
        <w:rPr>
          <w:sz w:val="22"/>
          <w:szCs w:val="22"/>
          <w:lang w:val="sr-Latn-ME"/>
        </w:rPr>
        <w:t xml:space="preserve"> </w:t>
      </w:r>
      <w:r>
        <w:rPr>
          <w:sz w:val="22"/>
          <w:szCs w:val="22"/>
        </w:rPr>
        <w:t>Herceptin</w:t>
      </w:r>
      <w:r w:rsidRPr="00442616">
        <w:rPr>
          <w:sz w:val="22"/>
          <w:szCs w:val="22"/>
          <w:lang w:val="sr-Latn-ME"/>
        </w:rPr>
        <w:t xml:space="preserve"> </w:t>
      </w:r>
      <w:r>
        <w:rPr>
          <w:sz w:val="22"/>
          <w:szCs w:val="22"/>
        </w:rPr>
        <w:t>ili</w:t>
      </w:r>
      <w:r w:rsidRPr="00442616">
        <w:rPr>
          <w:sz w:val="22"/>
          <w:szCs w:val="22"/>
          <w:lang w:val="sr-Latn-ME"/>
        </w:rPr>
        <w:t xml:space="preserve"> </w:t>
      </w:r>
      <w:r>
        <w:rPr>
          <w:sz w:val="22"/>
          <w:szCs w:val="22"/>
        </w:rPr>
        <w:t>samo</w:t>
      </w:r>
      <w:r w:rsidRPr="00442616">
        <w:rPr>
          <w:sz w:val="22"/>
          <w:szCs w:val="22"/>
          <w:lang w:val="sr-Latn-ME"/>
        </w:rPr>
        <w:t xml:space="preserve"> </w:t>
      </w:r>
      <w:r>
        <w:rPr>
          <w:sz w:val="22"/>
          <w:szCs w:val="22"/>
        </w:rPr>
        <w:t>neoadjuvantnu</w:t>
      </w:r>
      <w:r w:rsidRPr="00442616">
        <w:rPr>
          <w:sz w:val="22"/>
          <w:szCs w:val="22"/>
          <w:lang w:val="sr-Latn-ME"/>
        </w:rPr>
        <w:t xml:space="preserve"> </w:t>
      </w:r>
      <w:r>
        <w:rPr>
          <w:sz w:val="22"/>
          <w:szCs w:val="22"/>
        </w:rPr>
        <w:t>hemoterapiju</w:t>
      </w:r>
      <w:r w:rsidRPr="00442616">
        <w:rPr>
          <w:sz w:val="22"/>
          <w:szCs w:val="22"/>
          <w:lang w:val="sr-Latn-ME"/>
        </w:rPr>
        <w:t>.</w:t>
      </w:r>
    </w:p>
    <w:p w14:paraId="0D490EB6" w14:textId="77777777" w:rsidR="00B05AA9" w:rsidRPr="00442616" w:rsidRDefault="00B05AA9" w:rsidP="00641EEB">
      <w:pPr>
        <w:jc w:val="both"/>
        <w:rPr>
          <w:sz w:val="22"/>
          <w:szCs w:val="22"/>
          <w:lang w:val="sr-Latn-ME"/>
        </w:rPr>
      </w:pPr>
    </w:p>
    <w:p w14:paraId="46C60481" w14:textId="39508364" w:rsidR="00B05AA9" w:rsidRPr="00442616" w:rsidRDefault="00B05AA9" w:rsidP="00641EEB">
      <w:pPr>
        <w:jc w:val="both"/>
        <w:rPr>
          <w:sz w:val="22"/>
          <w:szCs w:val="22"/>
          <w:lang w:val="sr-Latn-ME"/>
        </w:rPr>
      </w:pPr>
      <w:r>
        <w:rPr>
          <w:sz w:val="22"/>
          <w:szCs w:val="22"/>
        </w:rPr>
        <w:t>U</w:t>
      </w:r>
      <w:r w:rsidRPr="00442616">
        <w:rPr>
          <w:sz w:val="22"/>
          <w:szCs w:val="22"/>
          <w:lang w:val="sr-Latn-ME"/>
        </w:rPr>
        <w:t xml:space="preserve"> </w:t>
      </w:r>
      <w:r>
        <w:rPr>
          <w:sz w:val="22"/>
          <w:szCs w:val="22"/>
        </w:rPr>
        <w:t>studiji</w:t>
      </w:r>
      <w:r w:rsidRPr="00442616">
        <w:rPr>
          <w:sz w:val="22"/>
          <w:szCs w:val="22"/>
          <w:lang w:val="sr-Latn-ME"/>
        </w:rPr>
        <w:t xml:space="preserve"> </w:t>
      </w:r>
      <w:r>
        <w:rPr>
          <w:sz w:val="22"/>
          <w:szCs w:val="22"/>
        </w:rPr>
        <w:t>MO</w:t>
      </w:r>
      <w:r w:rsidRPr="00442616">
        <w:rPr>
          <w:sz w:val="22"/>
          <w:szCs w:val="22"/>
          <w:lang w:val="sr-Latn-ME"/>
        </w:rPr>
        <w:t xml:space="preserve">16432, </w:t>
      </w:r>
      <w:r>
        <w:rPr>
          <w:sz w:val="22"/>
          <w:szCs w:val="22"/>
        </w:rPr>
        <w:t>Herceptin</w:t>
      </w:r>
      <w:r w:rsidRPr="00442616">
        <w:rPr>
          <w:sz w:val="22"/>
          <w:szCs w:val="22"/>
          <w:lang w:val="sr-Latn-ME"/>
        </w:rPr>
        <w:t xml:space="preserve"> (8</w:t>
      </w:r>
      <w:r w:rsidR="009C5F89">
        <w:rPr>
          <w:sz w:val="22"/>
          <w:szCs w:val="22"/>
          <w:lang w:val="sr-Latn-ME"/>
        </w:rPr>
        <w:t xml:space="preserve"> </w:t>
      </w:r>
      <w:r>
        <w:rPr>
          <w:sz w:val="22"/>
          <w:szCs w:val="22"/>
        </w:rPr>
        <w:t>mg</w:t>
      </w:r>
      <w:r w:rsidRPr="00442616">
        <w:rPr>
          <w:sz w:val="22"/>
          <w:szCs w:val="22"/>
          <w:lang w:val="sr-Latn-ME"/>
        </w:rPr>
        <w:t>/</w:t>
      </w:r>
      <w:r>
        <w:rPr>
          <w:sz w:val="22"/>
          <w:szCs w:val="22"/>
        </w:rPr>
        <w:t>kg</w:t>
      </w:r>
      <w:r w:rsidRPr="00442616">
        <w:rPr>
          <w:sz w:val="22"/>
          <w:szCs w:val="22"/>
          <w:lang w:val="sr-Latn-ME"/>
        </w:rPr>
        <w:t xml:space="preserve"> </w:t>
      </w:r>
      <w:r>
        <w:rPr>
          <w:sz w:val="22"/>
          <w:szCs w:val="22"/>
        </w:rPr>
        <w:t>po</w:t>
      </w:r>
      <w:r w:rsidRPr="00442616">
        <w:rPr>
          <w:sz w:val="22"/>
          <w:szCs w:val="22"/>
          <w:lang w:val="sr-Latn-ME"/>
        </w:rPr>
        <w:t>č</w:t>
      </w:r>
      <w:r>
        <w:rPr>
          <w:sz w:val="22"/>
          <w:szCs w:val="22"/>
        </w:rPr>
        <w:t>etna</w:t>
      </w:r>
      <w:r w:rsidRPr="00442616">
        <w:rPr>
          <w:sz w:val="22"/>
          <w:szCs w:val="22"/>
          <w:lang w:val="sr-Latn-ME"/>
        </w:rPr>
        <w:t xml:space="preserve"> </w:t>
      </w:r>
      <w:r>
        <w:rPr>
          <w:sz w:val="22"/>
          <w:szCs w:val="22"/>
        </w:rPr>
        <w:t>doza</w:t>
      </w:r>
      <w:r w:rsidRPr="00442616">
        <w:rPr>
          <w:sz w:val="22"/>
          <w:szCs w:val="22"/>
          <w:lang w:val="sr-Latn-ME"/>
        </w:rPr>
        <w:t xml:space="preserve">, </w:t>
      </w:r>
      <w:r>
        <w:rPr>
          <w:sz w:val="22"/>
          <w:szCs w:val="22"/>
        </w:rPr>
        <w:t>nakon</w:t>
      </w:r>
      <w:r w:rsidRPr="00442616">
        <w:rPr>
          <w:sz w:val="22"/>
          <w:szCs w:val="22"/>
          <w:lang w:val="sr-Latn-ME"/>
        </w:rPr>
        <w:t xml:space="preserve"> </w:t>
      </w:r>
      <w:r>
        <w:rPr>
          <w:sz w:val="22"/>
          <w:szCs w:val="22"/>
        </w:rPr>
        <w:t>toga</w:t>
      </w:r>
      <w:r w:rsidRPr="00442616">
        <w:rPr>
          <w:sz w:val="22"/>
          <w:szCs w:val="22"/>
          <w:lang w:val="sr-Latn-ME"/>
        </w:rPr>
        <w:t xml:space="preserve"> 6</w:t>
      </w:r>
      <w:r w:rsidR="009C5F89">
        <w:rPr>
          <w:sz w:val="22"/>
          <w:szCs w:val="22"/>
          <w:lang w:val="sr-Latn-ME"/>
        </w:rPr>
        <w:t xml:space="preserve"> </w:t>
      </w:r>
      <w:r>
        <w:rPr>
          <w:sz w:val="22"/>
          <w:szCs w:val="22"/>
        </w:rPr>
        <w:t>mg</w:t>
      </w:r>
      <w:r w:rsidRPr="00442616">
        <w:rPr>
          <w:sz w:val="22"/>
          <w:szCs w:val="22"/>
          <w:lang w:val="sr-Latn-ME"/>
        </w:rPr>
        <w:t>/</w:t>
      </w:r>
      <w:r>
        <w:rPr>
          <w:sz w:val="22"/>
          <w:szCs w:val="22"/>
        </w:rPr>
        <w:t>kg</w:t>
      </w:r>
      <w:r w:rsidRPr="00442616">
        <w:rPr>
          <w:sz w:val="22"/>
          <w:szCs w:val="22"/>
          <w:lang w:val="sr-Latn-ME"/>
        </w:rPr>
        <w:t xml:space="preserve"> </w:t>
      </w:r>
      <w:r>
        <w:rPr>
          <w:sz w:val="22"/>
          <w:szCs w:val="22"/>
        </w:rPr>
        <w:t>doza</w:t>
      </w:r>
      <w:r w:rsidRPr="00442616">
        <w:rPr>
          <w:sz w:val="22"/>
          <w:szCs w:val="22"/>
          <w:lang w:val="sr-Latn-ME"/>
        </w:rPr>
        <w:t xml:space="preserve"> </w:t>
      </w:r>
      <w:r>
        <w:rPr>
          <w:sz w:val="22"/>
          <w:szCs w:val="22"/>
        </w:rPr>
        <w:t>odr</w:t>
      </w:r>
      <w:r w:rsidRPr="00442616">
        <w:rPr>
          <w:sz w:val="22"/>
          <w:szCs w:val="22"/>
          <w:lang w:val="sr-Latn-ME"/>
        </w:rPr>
        <w:t>ž</w:t>
      </w:r>
      <w:r>
        <w:rPr>
          <w:sz w:val="22"/>
          <w:szCs w:val="22"/>
        </w:rPr>
        <w:t>avanja</w:t>
      </w:r>
      <w:r w:rsidRPr="00442616">
        <w:rPr>
          <w:sz w:val="22"/>
          <w:szCs w:val="22"/>
          <w:lang w:val="sr-Latn-ME"/>
        </w:rPr>
        <w:t xml:space="preserve"> </w:t>
      </w:r>
      <w:proofErr w:type="gramStart"/>
      <w:r>
        <w:rPr>
          <w:sz w:val="22"/>
          <w:szCs w:val="22"/>
        </w:rPr>
        <w:t>na</w:t>
      </w:r>
      <w:proofErr w:type="gramEnd"/>
      <w:r w:rsidRPr="00442616">
        <w:rPr>
          <w:sz w:val="22"/>
          <w:szCs w:val="22"/>
          <w:lang w:val="sr-Latn-ME"/>
        </w:rPr>
        <w:t xml:space="preserve"> </w:t>
      </w:r>
      <w:r>
        <w:rPr>
          <w:sz w:val="22"/>
          <w:szCs w:val="22"/>
        </w:rPr>
        <w:t>svake</w:t>
      </w:r>
      <w:r w:rsidRPr="00442616">
        <w:rPr>
          <w:sz w:val="22"/>
          <w:szCs w:val="22"/>
          <w:lang w:val="sr-Latn-ME"/>
        </w:rPr>
        <w:t xml:space="preserve"> </w:t>
      </w:r>
      <w:r>
        <w:rPr>
          <w:sz w:val="22"/>
          <w:szCs w:val="22"/>
        </w:rPr>
        <w:t>tri</w:t>
      </w:r>
      <w:r w:rsidRPr="00442616">
        <w:rPr>
          <w:sz w:val="22"/>
          <w:szCs w:val="22"/>
          <w:lang w:val="sr-Latn-ME"/>
        </w:rPr>
        <w:t xml:space="preserve"> </w:t>
      </w:r>
      <w:r>
        <w:rPr>
          <w:sz w:val="22"/>
          <w:szCs w:val="22"/>
        </w:rPr>
        <w:t>nedjelje</w:t>
      </w:r>
      <w:r w:rsidRPr="00442616">
        <w:rPr>
          <w:sz w:val="22"/>
          <w:szCs w:val="22"/>
          <w:lang w:val="sr-Latn-ME"/>
        </w:rPr>
        <w:t xml:space="preserve">) </w:t>
      </w:r>
      <w:r>
        <w:rPr>
          <w:sz w:val="22"/>
          <w:szCs w:val="22"/>
        </w:rPr>
        <w:t>je</w:t>
      </w:r>
      <w:r w:rsidRPr="00442616">
        <w:rPr>
          <w:sz w:val="22"/>
          <w:szCs w:val="22"/>
          <w:lang w:val="sr-Latn-ME"/>
        </w:rPr>
        <w:t xml:space="preserve"> </w:t>
      </w:r>
      <w:r>
        <w:rPr>
          <w:sz w:val="22"/>
          <w:szCs w:val="22"/>
        </w:rPr>
        <w:t>primijenjen</w:t>
      </w:r>
      <w:r w:rsidRPr="00442616">
        <w:rPr>
          <w:sz w:val="22"/>
          <w:szCs w:val="22"/>
          <w:lang w:val="sr-Latn-ME"/>
        </w:rPr>
        <w:t xml:space="preserve"> </w:t>
      </w:r>
      <w:r>
        <w:rPr>
          <w:sz w:val="22"/>
          <w:szCs w:val="22"/>
        </w:rPr>
        <w:t>istovremeno</w:t>
      </w:r>
      <w:r w:rsidRPr="00442616">
        <w:rPr>
          <w:sz w:val="22"/>
          <w:szCs w:val="22"/>
          <w:lang w:val="sr-Latn-ME"/>
        </w:rPr>
        <w:t xml:space="preserve"> </w:t>
      </w:r>
      <w:r>
        <w:rPr>
          <w:sz w:val="22"/>
          <w:szCs w:val="22"/>
        </w:rPr>
        <w:t>sa</w:t>
      </w:r>
      <w:r w:rsidRPr="00442616">
        <w:rPr>
          <w:sz w:val="22"/>
          <w:szCs w:val="22"/>
          <w:lang w:val="sr-Latn-ME"/>
        </w:rPr>
        <w:t xml:space="preserve"> 10 </w:t>
      </w:r>
      <w:r>
        <w:rPr>
          <w:sz w:val="22"/>
          <w:szCs w:val="22"/>
        </w:rPr>
        <w:t>ciklusa</w:t>
      </w:r>
      <w:r w:rsidRPr="00442616">
        <w:rPr>
          <w:sz w:val="22"/>
          <w:szCs w:val="22"/>
          <w:lang w:val="sr-Latn-ME"/>
        </w:rPr>
        <w:t xml:space="preserve"> </w:t>
      </w:r>
      <w:r>
        <w:rPr>
          <w:sz w:val="22"/>
          <w:szCs w:val="22"/>
        </w:rPr>
        <w:t>neoadjuvantne</w:t>
      </w:r>
      <w:r w:rsidRPr="00442616">
        <w:rPr>
          <w:sz w:val="22"/>
          <w:szCs w:val="22"/>
          <w:lang w:val="sr-Latn-ME"/>
        </w:rPr>
        <w:t xml:space="preserve"> </w:t>
      </w:r>
      <w:r>
        <w:rPr>
          <w:sz w:val="22"/>
          <w:szCs w:val="22"/>
        </w:rPr>
        <w:t>hemoterapije</w:t>
      </w:r>
      <w:r w:rsidRPr="00442616">
        <w:rPr>
          <w:sz w:val="22"/>
          <w:szCs w:val="22"/>
          <w:lang w:val="sr-Latn-ME"/>
        </w:rPr>
        <w:t xml:space="preserve"> </w:t>
      </w:r>
      <w:r>
        <w:rPr>
          <w:sz w:val="22"/>
          <w:szCs w:val="22"/>
        </w:rPr>
        <w:t>na</w:t>
      </w:r>
      <w:r w:rsidRPr="00442616">
        <w:rPr>
          <w:sz w:val="22"/>
          <w:szCs w:val="22"/>
          <w:lang w:val="sr-Latn-ME"/>
        </w:rPr>
        <w:t xml:space="preserve"> </w:t>
      </w:r>
      <w:r>
        <w:rPr>
          <w:sz w:val="22"/>
          <w:szCs w:val="22"/>
        </w:rPr>
        <w:t>sljede</w:t>
      </w:r>
      <w:r w:rsidRPr="00442616">
        <w:rPr>
          <w:sz w:val="22"/>
          <w:szCs w:val="22"/>
          <w:lang w:val="sr-Latn-ME"/>
        </w:rPr>
        <w:t>ć</w:t>
      </w:r>
      <w:r>
        <w:rPr>
          <w:sz w:val="22"/>
          <w:szCs w:val="22"/>
        </w:rPr>
        <w:t>i</w:t>
      </w:r>
      <w:r w:rsidRPr="00442616">
        <w:rPr>
          <w:sz w:val="22"/>
          <w:szCs w:val="22"/>
          <w:lang w:val="sr-Latn-ME"/>
        </w:rPr>
        <w:t xml:space="preserve"> </w:t>
      </w:r>
      <w:r>
        <w:rPr>
          <w:sz w:val="22"/>
          <w:szCs w:val="22"/>
        </w:rPr>
        <w:t>na</w:t>
      </w:r>
      <w:r w:rsidRPr="00442616">
        <w:rPr>
          <w:sz w:val="22"/>
          <w:szCs w:val="22"/>
          <w:lang w:val="sr-Latn-ME"/>
        </w:rPr>
        <w:t>č</w:t>
      </w:r>
      <w:r>
        <w:rPr>
          <w:sz w:val="22"/>
          <w:szCs w:val="22"/>
        </w:rPr>
        <w:t>in</w:t>
      </w:r>
      <w:r w:rsidRPr="00442616">
        <w:rPr>
          <w:sz w:val="22"/>
          <w:szCs w:val="22"/>
          <w:lang w:val="sr-Latn-ME"/>
        </w:rPr>
        <w:t>:</w:t>
      </w:r>
    </w:p>
    <w:p w14:paraId="35A79F08" w14:textId="77777777" w:rsidR="00B05AA9" w:rsidRPr="00442616" w:rsidRDefault="00B05AA9" w:rsidP="00641EEB">
      <w:pPr>
        <w:jc w:val="both"/>
        <w:rPr>
          <w:sz w:val="22"/>
          <w:szCs w:val="22"/>
          <w:lang w:val="sr-Latn-ME"/>
        </w:rPr>
      </w:pPr>
    </w:p>
    <w:p w14:paraId="7A8CCB65" w14:textId="785B512A" w:rsidR="00B05AA9" w:rsidRPr="00442616" w:rsidRDefault="00B05AA9" w:rsidP="00641EEB">
      <w:pPr>
        <w:numPr>
          <w:ilvl w:val="0"/>
          <w:numId w:val="20"/>
        </w:numPr>
        <w:tabs>
          <w:tab w:val="left" w:pos="284"/>
        </w:tabs>
        <w:ind w:left="284" w:hanging="284"/>
        <w:jc w:val="both"/>
        <w:rPr>
          <w:sz w:val="22"/>
          <w:szCs w:val="22"/>
          <w:lang w:val="sr-Latn-ME"/>
        </w:rPr>
      </w:pPr>
      <w:r>
        <w:rPr>
          <w:sz w:val="22"/>
          <w:szCs w:val="22"/>
        </w:rPr>
        <w:t>doksorubicin</w:t>
      </w:r>
      <w:r w:rsidRPr="00442616">
        <w:rPr>
          <w:sz w:val="22"/>
          <w:szCs w:val="22"/>
          <w:lang w:val="sr-Latn-ME"/>
        </w:rPr>
        <w:t xml:space="preserve"> 60</w:t>
      </w:r>
      <w:r w:rsidR="009C5F89">
        <w:rPr>
          <w:sz w:val="22"/>
          <w:szCs w:val="22"/>
          <w:lang w:val="sr-Latn-ME"/>
        </w:rPr>
        <w:t xml:space="preserve"> </w:t>
      </w:r>
      <w:r>
        <w:rPr>
          <w:sz w:val="22"/>
          <w:szCs w:val="22"/>
        </w:rPr>
        <w:t>mg</w:t>
      </w:r>
      <w:r w:rsidRPr="00442616">
        <w:rPr>
          <w:sz w:val="22"/>
          <w:szCs w:val="22"/>
          <w:lang w:val="sr-Latn-ME"/>
        </w:rPr>
        <w:t>/</w:t>
      </w:r>
      <w:r>
        <w:rPr>
          <w:sz w:val="22"/>
          <w:szCs w:val="22"/>
        </w:rPr>
        <w:t>m</w:t>
      </w:r>
      <w:r w:rsidRPr="00442616">
        <w:rPr>
          <w:sz w:val="22"/>
          <w:szCs w:val="22"/>
          <w:vertAlign w:val="superscript"/>
          <w:lang w:val="sr-Latn-ME"/>
        </w:rPr>
        <w:t xml:space="preserve">2 </w:t>
      </w:r>
      <w:r w:rsidRPr="00442616">
        <w:rPr>
          <w:sz w:val="22"/>
          <w:szCs w:val="22"/>
          <w:lang w:val="sr-Latn-ME"/>
        </w:rPr>
        <w:t xml:space="preserve"> </w:t>
      </w:r>
      <w:r>
        <w:rPr>
          <w:sz w:val="22"/>
          <w:szCs w:val="22"/>
        </w:rPr>
        <w:t>i</w:t>
      </w:r>
      <w:r w:rsidRPr="00442616">
        <w:rPr>
          <w:sz w:val="22"/>
          <w:szCs w:val="22"/>
          <w:lang w:val="sr-Latn-ME"/>
        </w:rPr>
        <w:t xml:space="preserve"> </w:t>
      </w:r>
      <w:r>
        <w:rPr>
          <w:sz w:val="22"/>
          <w:szCs w:val="22"/>
        </w:rPr>
        <w:t>paklitaksel</w:t>
      </w:r>
      <w:r w:rsidRPr="00442616">
        <w:rPr>
          <w:sz w:val="22"/>
          <w:szCs w:val="22"/>
          <w:lang w:val="sr-Latn-ME"/>
        </w:rPr>
        <w:t xml:space="preserve"> 150</w:t>
      </w:r>
      <w:r w:rsidR="009C5F89">
        <w:rPr>
          <w:sz w:val="22"/>
          <w:szCs w:val="22"/>
          <w:lang w:val="sr-Latn-ME"/>
        </w:rPr>
        <w:t xml:space="preserve"> </w:t>
      </w:r>
      <w:r>
        <w:rPr>
          <w:sz w:val="22"/>
          <w:szCs w:val="22"/>
        </w:rPr>
        <w:t>mg</w:t>
      </w:r>
      <w:r w:rsidRPr="00442616">
        <w:rPr>
          <w:sz w:val="22"/>
          <w:szCs w:val="22"/>
          <w:lang w:val="sr-Latn-ME"/>
        </w:rPr>
        <w:t>/</w:t>
      </w:r>
      <w:r>
        <w:rPr>
          <w:sz w:val="22"/>
          <w:szCs w:val="22"/>
        </w:rPr>
        <w:t>m</w:t>
      </w:r>
      <w:r w:rsidRPr="00442616">
        <w:rPr>
          <w:sz w:val="22"/>
          <w:szCs w:val="22"/>
          <w:vertAlign w:val="superscript"/>
          <w:lang w:val="sr-Latn-ME"/>
        </w:rPr>
        <w:t>2</w:t>
      </w:r>
      <w:r w:rsidRPr="00442616">
        <w:rPr>
          <w:sz w:val="22"/>
          <w:szCs w:val="22"/>
          <w:lang w:val="sr-Latn-ME"/>
        </w:rPr>
        <w:t xml:space="preserve"> </w:t>
      </w:r>
      <w:r>
        <w:rPr>
          <w:sz w:val="22"/>
          <w:szCs w:val="22"/>
        </w:rPr>
        <w:t>primijenjeni</w:t>
      </w:r>
      <w:r w:rsidRPr="00442616">
        <w:rPr>
          <w:sz w:val="22"/>
          <w:szCs w:val="22"/>
          <w:lang w:val="sr-Latn-ME"/>
        </w:rPr>
        <w:t xml:space="preserve"> </w:t>
      </w:r>
      <w:r>
        <w:rPr>
          <w:sz w:val="22"/>
          <w:szCs w:val="22"/>
        </w:rPr>
        <w:t>tronedjeljno</w:t>
      </w:r>
      <w:r w:rsidRPr="00442616">
        <w:rPr>
          <w:sz w:val="22"/>
          <w:szCs w:val="22"/>
          <w:lang w:val="sr-Latn-ME"/>
        </w:rPr>
        <w:t xml:space="preserve"> </w:t>
      </w:r>
      <w:r>
        <w:rPr>
          <w:sz w:val="22"/>
          <w:szCs w:val="22"/>
        </w:rPr>
        <w:t>tokom</w:t>
      </w:r>
      <w:r w:rsidRPr="00442616">
        <w:rPr>
          <w:sz w:val="22"/>
          <w:szCs w:val="22"/>
          <w:lang w:val="sr-Latn-ME"/>
        </w:rPr>
        <w:t xml:space="preserve"> 3 </w:t>
      </w:r>
      <w:r>
        <w:rPr>
          <w:sz w:val="22"/>
          <w:szCs w:val="22"/>
        </w:rPr>
        <w:t>ciklusa</w:t>
      </w:r>
      <w:r w:rsidRPr="00442616">
        <w:rPr>
          <w:sz w:val="22"/>
          <w:szCs w:val="22"/>
          <w:lang w:val="sr-Latn-ME"/>
        </w:rPr>
        <w:t>,</w:t>
      </w:r>
    </w:p>
    <w:p w14:paraId="0663EB90" w14:textId="77777777" w:rsidR="00B05AA9" w:rsidRDefault="00B05AA9" w:rsidP="00641EEB">
      <w:pPr>
        <w:ind w:left="284" w:hanging="284"/>
        <w:jc w:val="both"/>
        <w:rPr>
          <w:sz w:val="22"/>
          <w:szCs w:val="22"/>
        </w:rPr>
      </w:pPr>
      <w:proofErr w:type="gramStart"/>
      <w:r>
        <w:rPr>
          <w:sz w:val="22"/>
          <w:szCs w:val="22"/>
        </w:rPr>
        <w:t>nakon</w:t>
      </w:r>
      <w:proofErr w:type="gramEnd"/>
      <w:r>
        <w:rPr>
          <w:sz w:val="22"/>
          <w:szCs w:val="22"/>
        </w:rPr>
        <w:t xml:space="preserve"> čega je primijenjen</w:t>
      </w:r>
    </w:p>
    <w:p w14:paraId="4250AF2E" w14:textId="66F8B7FC" w:rsidR="00B05AA9" w:rsidRDefault="00B05AA9" w:rsidP="00641EEB">
      <w:pPr>
        <w:numPr>
          <w:ilvl w:val="0"/>
          <w:numId w:val="20"/>
        </w:numPr>
        <w:tabs>
          <w:tab w:val="left" w:pos="284"/>
        </w:tabs>
        <w:ind w:left="284" w:hanging="284"/>
        <w:jc w:val="both"/>
        <w:rPr>
          <w:sz w:val="22"/>
          <w:szCs w:val="22"/>
        </w:rPr>
      </w:pPr>
      <w:r>
        <w:rPr>
          <w:sz w:val="22"/>
          <w:szCs w:val="22"/>
        </w:rPr>
        <w:t>paklitaksel 175</w:t>
      </w:r>
      <w:r w:rsidR="005F4A38">
        <w:rPr>
          <w:sz w:val="22"/>
          <w:szCs w:val="22"/>
        </w:rPr>
        <w:t xml:space="preserve"> </w:t>
      </w:r>
      <w:r>
        <w:rPr>
          <w:sz w:val="22"/>
          <w:szCs w:val="22"/>
        </w:rPr>
        <w:t>mg/m</w:t>
      </w:r>
      <w:r>
        <w:rPr>
          <w:sz w:val="22"/>
          <w:szCs w:val="22"/>
          <w:vertAlign w:val="superscript"/>
        </w:rPr>
        <w:t>2</w:t>
      </w:r>
      <w:r>
        <w:rPr>
          <w:sz w:val="22"/>
          <w:szCs w:val="22"/>
        </w:rPr>
        <w:t xml:space="preserve"> tronedjeljno tokom 4 ciklusa</w:t>
      </w:r>
    </w:p>
    <w:p w14:paraId="2C5D5692" w14:textId="77777777" w:rsidR="00B05AA9" w:rsidRDefault="00B05AA9" w:rsidP="00641EEB">
      <w:pPr>
        <w:ind w:left="284" w:hanging="284"/>
        <w:jc w:val="both"/>
        <w:rPr>
          <w:sz w:val="22"/>
          <w:szCs w:val="22"/>
        </w:rPr>
      </w:pPr>
      <w:proofErr w:type="gramStart"/>
      <w:r>
        <w:rPr>
          <w:sz w:val="22"/>
          <w:szCs w:val="22"/>
        </w:rPr>
        <w:t>nakon</w:t>
      </w:r>
      <w:proofErr w:type="gramEnd"/>
      <w:r>
        <w:rPr>
          <w:sz w:val="22"/>
          <w:szCs w:val="22"/>
        </w:rPr>
        <w:t xml:space="preserve"> čega je primijenjen</w:t>
      </w:r>
    </w:p>
    <w:p w14:paraId="05EF6442" w14:textId="7D2B4869" w:rsidR="00B05AA9" w:rsidRPr="005F4A38" w:rsidRDefault="00B05AA9" w:rsidP="00BA76B8">
      <w:pPr>
        <w:numPr>
          <w:ilvl w:val="0"/>
          <w:numId w:val="20"/>
        </w:numPr>
        <w:tabs>
          <w:tab w:val="left" w:pos="284"/>
        </w:tabs>
        <w:ind w:left="284" w:hanging="284"/>
        <w:jc w:val="both"/>
        <w:rPr>
          <w:sz w:val="22"/>
          <w:szCs w:val="22"/>
        </w:rPr>
      </w:pPr>
      <w:r>
        <w:rPr>
          <w:sz w:val="22"/>
          <w:szCs w:val="22"/>
        </w:rPr>
        <w:lastRenderedPageBreak/>
        <w:t>CMF prvog i osmog dana, svake 4 nedjelje, tokom 3 ciklusa</w:t>
      </w:r>
      <w:r w:rsidR="005F4A38">
        <w:rPr>
          <w:sz w:val="22"/>
          <w:szCs w:val="22"/>
        </w:rPr>
        <w:t xml:space="preserve"> </w:t>
      </w:r>
      <w:r w:rsidRPr="005F4A38">
        <w:rPr>
          <w:sz w:val="22"/>
          <w:szCs w:val="22"/>
        </w:rPr>
        <w:t>a nakon operacije nastavljena je primjena</w:t>
      </w:r>
    </w:p>
    <w:p w14:paraId="0BC212A9" w14:textId="0085E4BA" w:rsidR="00B05AA9" w:rsidRDefault="00B05AA9" w:rsidP="00641EEB">
      <w:pPr>
        <w:numPr>
          <w:ilvl w:val="0"/>
          <w:numId w:val="20"/>
        </w:numPr>
        <w:tabs>
          <w:tab w:val="left" w:pos="284"/>
        </w:tabs>
        <w:ind w:left="284" w:hanging="284"/>
        <w:jc w:val="both"/>
        <w:rPr>
          <w:sz w:val="22"/>
          <w:szCs w:val="22"/>
        </w:rPr>
      </w:pPr>
      <w:r>
        <w:rPr>
          <w:sz w:val="22"/>
          <w:szCs w:val="22"/>
        </w:rPr>
        <w:t xml:space="preserve">Dodatnih ciklusa adjuvantnog </w:t>
      </w:r>
      <w:r w:rsidR="009C5F89">
        <w:rPr>
          <w:sz w:val="22"/>
          <w:szCs w:val="22"/>
        </w:rPr>
        <w:t xml:space="preserve">lijeka </w:t>
      </w:r>
      <w:r>
        <w:rPr>
          <w:sz w:val="22"/>
          <w:szCs w:val="22"/>
        </w:rPr>
        <w:t>Herceptin (ukupno 1 godina tretmana)</w:t>
      </w:r>
    </w:p>
    <w:p w14:paraId="373F1FD2" w14:textId="25954D31" w:rsidR="00B05AA9" w:rsidRDefault="00B05AA9" w:rsidP="00641EEB">
      <w:pPr>
        <w:tabs>
          <w:tab w:val="left" w:pos="284"/>
        </w:tabs>
        <w:jc w:val="both"/>
        <w:rPr>
          <w:sz w:val="22"/>
          <w:szCs w:val="22"/>
        </w:rPr>
      </w:pPr>
    </w:p>
    <w:p w14:paraId="530A486B" w14:textId="2BA45B5C" w:rsidR="00B05AA9" w:rsidRPr="00442616" w:rsidRDefault="00B05AA9" w:rsidP="00641EEB">
      <w:pPr>
        <w:jc w:val="both"/>
        <w:rPr>
          <w:sz w:val="22"/>
          <w:szCs w:val="22"/>
          <w:lang w:val="it-IT"/>
        </w:rPr>
      </w:pPr>
      <w:r w:rsidRPr="00442616">
        <w:rPr>
          <w:sz w:val="22"/>
          <w:szCs w:val="22"/>
          <w:lang w:val="it-IT"/>
        </w:rPr>
        <w:t xml:space="preserve">Rezultati efikasnosti iz studije MO16432 su sažeto prikazani u Tabeli 12. </w:t>
      </w:r>
      <w:r w:rsidR="005F4A38">
        <w:rPr>
          <w:sz w:val="22"/>
          <w:szCs w:val="22"/>
          <w:lang w:val="it-IT"/>
        </w:rPr>
        <w:t>Medijana</w:t>
      </w:r>
      <w:r w:rsidRPr="00442616">
        <w:rPr>
          <w:sz w:val="22"/>
          <w:szCs w:val="22"/>
          <w:lang w:val="it-IT"/>
        </w:rPr>
        <w:t xml:space="preserve"> praćenja pacijenata u grupi koja je primala </w:t>
      </w:r>
      <w:r w:rsidR="005F4A38">
        <w:rPr>
          <w:sz w:val="22"/>
          <w:szCs w:val="22"/>
          <w:lang w:val="it-IT"/>
        </w:rPr>
        <w:t xml:space="preserve">lijek </w:t>
      </w:r>
      <w:r w:rsidRPr="00442616">
        <w:rPr>
          <w:sz w:val="22"/>
          <w:szCs w:val="22"/>
          <w:lang w:val="it-IT"/>
        </w:rPr>
        <w:t>Herceptin iznosilo je 3.8 godina.</w:t>
      </w:r>
    </w:p>
    <w:p w14:paraId="4C890803" w14:textId="77777777" w:rsidR="00B05AA9" w:rsidRPr="00442616" w:rsidRDefault="00B05AA9" w:rsidP="00641EEB">
      <w:pPr>
        <w:jc w:val="both"/>
        <w:rPr>
          <w:sz w:val="22"/>
          <w:szCs w:val="22"/>
          <w:lang w:val="it-IT"/>
        </w:rPr>
      </w:pPr>
    </w:p>
    <w:p w14:paraId="40053E72" w14:textId="77777777" w:rsidR="00B05AA9" w:rsidRDefault="00B05AA9" w:rsidP="00641EEB">
      <w:pPr>
        <w:jc w:val="both"/>
        <w:rPr>
          <w:sz w:val="22"/>
          <w:szCs w:val="22"/>
          <w:u w:val="single"/>
          <w:lang w:val="hr-HR"/>
        </w:rPr>
      </w:pPr>
      <w:r>
        <w:rPr>
          <w:sz w:val="22"/>
          <w:szCs w:val="22"/>
          <w:u w:val="single"/>
          <w:lang w:val="hr-HR"/>
        </w:rPr>
        <w:t>Tabela 12. Rezultati efikasnosti iz Studije MO16432</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1907"/>
        <w:gridCol w:w="1908"/>
        <w:gridCol w:w="2159"/>
      </w:tblGrid>
      <w:tr w:rsidR="00B05AA9" w14:paraId="11CD123D" w14:textId="77777777" w:rsidTr="00BA76B8">
        <w:tc>
          <w:tcPr>
            <w:tcW w:w="3235" w:type="dxa"/>
            <w:tcBorders>
              <w:top w:val="single" w:sz="4" w:space="0" w:color="auto"/>
              <w:left w:val="single" w:sz="4" w:space="0" w:color="auto"/>
              <w:bottom w:val="single" w:sz="4" w:space="0" w:color="auto"/>
              <w:right w:val="single" w:sz="4" w:space="0" w:color="auto"/>
            </w:tcBorders>
          </w:tcPr>
          <w:p w14:paraId="24396FB6" w14:textId="77777777" w:rsidR="00B05AA9" w:rsidRDefault="00B05AA9" w:rsidP="00BA76B8">
            <w:pPr>
              <w:rPr>
                <w:sz w:val="22"/>
                <w:szCs w:val="22"/>
                <w:lang w:val="sr-Latn-ME"/>
              </w:rPr>
            </w:pPr>
          </w:p>
          <w:p w14:paraId="4A7F59DB" w14:textId="77777777" w:rsidR="00B05AA9" w:rsidRDefault="00B05AA9" w:rsidP="00BA76B8">
            <w:pPr>
              <w:rPr>
                <w:sz w:val="22"/>
                <w:szCs w:val="22"/>
              </w:rPr>
            </w:pPr>
            <w:r>
              <w:rPr>
                <w:sz w:val="22"/>
                <w:szCs w:val="22"/>
              </w:rPr>
              <w:t>Parametar</w:t>
            </w:r>
          </w:p>
          <w:p w14:paraId="12A6FE01" w14:textId="77777777" w:rsidR="00B05AA9" w:rsidRDefault="00B05AA9" w:rsidP="00BA76B8">
            <w:pPr>
              <w:tabs>
                <w:tab w:val="left" w:pos="284"/>
              </w:tabs>
              <w:rPr>
                <w:sz w:val="22"/>
                <w:szCs w:val="22"/>
              </w:rPr>
            </w:pPr>
          </w:p>
        </w:tc>
        <w:tc>
          <w:tcPr>
            <w:tcW w:w="1907" w:type="dxa"/>
            <w:tcBorders>
              <w:top w:val="single" w:sz="4" w:space="0" w:color="auto"/>
              <w:left w:val="single" w:sz="4" w:space="0" w:color="auto"/>
              <w:bottom w:val="single" w:sz="4" w:space="0" w:color="auto"/>
              <w:right w:val="single" w:sz="4" w:space="0" w:color="auto"/>
            </w:tcBorders>
            <w:hideMark/>
          </w:tcPr>
          <w:p w14:paraId="2B6B1EDE" w14:textId="77777777" w:rsidR="00B05AA9" w:rsidRDefault="00B05AA9" w:rsidP="00641EEB">
            <w:pPr>
              <w:jc w:val="center"/>
              <w:rPr>
                <w:sz w:val="22"/>
                <w:szCs w:val="22"/>
              </w:rPr>
            </w:pPr>
            <w:r>
              <w:rPr>
                <w:sz w:val="22"/>
                <w:szCs w:val="22"/>
              </w:rPr>
              <w:t>Hemoterapija + Herceptin</w:t>
            </w:r>
          </w:p>
          <w:p w14:paraId="478BEE75" w14:textId="77777777" w:rsidR="00B05AA9" w:rsidRDefault="00B05AA9" w:rsidP="00641EEB">
            <w:pPr>
              <w:tabs>
                <w:tab w:val="left" w:pos="284"/>
              </w:tabs>
              <w:jc w:val="center"/>
              <w:rPr>
                <w:sz w:val="22"/>
                <w:szCs w:val="22"/>
              </w:rPr>
            </w:pPr>
            <w:r>
              <w:rPr>
                <w:sz w:val="22"/>
                <w:szCs w:val="22"/>
              </w:rPr>
              <w:t>(n=115)</w:t>
            </w:r>
          </w:p>
        </w:tc>
        <w:tc>
          <w:tcPr>
            <w:tcW w:w="1908" w:type="dxa"/>
            <w:tcBorders>
              <w:top w:val="single" w:sz="4" w:space="0" w:color="auto"/>
              <w:left w:val="single" w:sz="4" w:space="0" w:color="auto"/>
              <w:bottom w:val="single" w:sz="4" w:space="0" w:color="auto"/>
              <w:right w:val="single" w:sz="4" w:space="0" w:color="auto"/>
            </w:tcBorders>
          </w:tcPr>
          <w:p w14:paraId="5E47E71A" w14:textId="77777777" w:rsidR="00B05AA9" w:rsidRDefault="00B05AA9" w:rsidP="00641EEB">
            <w:pPr>
              <w:jc w:val="center"/>
              <w:rPr>
                <w:sz w:val="22"/>
                <w:szCs w:val="22"/>
              </w:rPr>
            </w:pPr>
            <w:r>
              <w:rPr>
                <w:sz w:val="22"/>
                <w:szCs w:val="22"/>
              </w:rPr>
              <w:t>Hemoterapija</w:t>
            </w:r>
          </w:p>
          <w:p w14:paraId="0779C02B" w14:textId="77777777" w:rsidR="00B05AA9" w:rsidRDefault="00B05AA9" w:rsidP="00641EEB">
            <w:pPr>
              <w:jc w:val="center"/>
              <w:rPr>
                <w:sz w:val="22"/>
                <w:szCs w:val="22"/>
              </w:rPr>
            </w:pPr>
          </w:p>
          <w:p w14:paraId="64CDDE6D" w14:textId="77777777" w:rsidR="00B05AA9" w:rsidRDefault="00B05AA9" w:rsidP="00641EEB">
            <w:pPr>
              <w:tabs>
                <w:tab w:val="left" w:pos="284"/>
              </w:tabs>
              <w:jc w:val="center"/>
              <w:rPr>
                <w:sz w:val="22"/>
                <w:szCs w:val="22"/>
              </w:rPr>
            </w:pPr>
            <w:r>
              <w:rPr>
                <w:sz w:val="22"/>
                <w:szCs w:val="22"/>
              </w:rPr>
              <w:t>(n=116)</w:t>
            </w:r>
          </w:p>
        </w:tc>
        <w:tc>
          <w:tcPr>
            <w:tcW w:w="2159" w:type="dxa"/>
            <w:tcBorders>
              <w:top w:val="single" w:sz="4" w:space="0" w:color="auto"/>
              <w:left w:val="single" w:sz="4" w:space="0" w:color="auto"/>
              <w:bottom w:val="single" w:sz="4" w:space="0" w:color="auto"/>
              <w:right w:val="single" w:sz="4" w:space="0" w:color="auto"/>
            </w:tcBorders>
          </w:tcPr>
          <w:p w14:paraId="48DAED43" w14:textId="77777777" w:rsidR="00B05AA9" w:rsidRDefault="00B05AA9" w:rsidP="00641EEB">
            <w:pPr>
              <w:tabs>
                <w:tab w:val="left" w:pos="284"/>
              </w:tabs>
              <w:jc w:val="center"/>
              <w:rPr>
                <w:sz w:val="22"/>
                <w:szCs w:val="22"/>
              </w:rPr>
            </w:pPr>
          </w:p>
        </w:tc>
      </w:tr>
      <w:tr w:rsidR="00B05AA9" w14:paraId="2065BAD9" w14:textId="77777777" w:rsidTr="00BA76B8">
        <w:tc>
          <w:tcPr>
            <w:tcW w:w="3235" w:type="dxa"/>
            <w:tcBorders>
              <w:top w:val="single" w:sz="4" w:space="0" w:color="auto"/>
              <w:left w:val="single" w:sz="4" w:space="0" w:color="auto"/>
              <w:bottom w:val="single" w:sz="4" w:space="0" w:color="auto"/>
              <w:right w:val="single" w:sz="4" w:space="0" w:color="auto"/>
            </w:tcBorders>
          </w:tcPr>
          <w:p w14:paraId="03415B0C" w14:textId="77777777" w:rsidR="00B05AA9" w:rsidRDefault="00B05AA9" w:rsidP="00BA76B8">
            <w:pPr>
              <w:rPr>
                <w:sz w:val="22"/>
                <w:szCs w:val="22"/>
              </w:rPr>
            </w:pPr>
          </w:p>
          <w:p w14:paraId="7D4E8744" w14:textId="77777777" w:rsidR="00B05AA9" w:rsidRDefault="00B05AA9" w:rsidP="00BA76B8">
            <w:pPr>
              <w:rPr>
                <w:sz w:val="22"/>
                <w:szCs w:val="22"/>
              </w:rPr>
            </w:pPr>
            <w:r>
              <w:rPr>
                <w:sz w:val="22"/>
                <w:szCs w:val="22"/>
              </w:rPr>
              <w:t>Preživljavanje bez događaja</w:t>
            </w:r>
          </w:p>
          <w:p w14:paraId="48A8267A" w14:textId="77777777" w:rsidR="00B05AA9" w:rsidRDefault="00B05AA9" w:rsidP="00BA76B8">
            <w:pPr>
              <w:rPr>
                <w:sz w:val="22"/>
                <w:szCs w:val="22"/>
              </w:rPr>
            </w:pPr>
            <w:r>
              <w:rPr>
                <w:sz w:val="22"/>
                <w:szCs w:val="22"/>
              </w:rPr>
              <w:t>Broj pacijenata sa događajem</w:t>
            </w:r>
          </w:p>
          <w:p w14:paraId="75D900F1" w14:textId="77777777" w:rsidR="00B05AA9" w:rsidRDefault="00B05AA9" w:rsidP="00BA76B8">
            <w:pPr>
              <w:tabs>
                <w:tab w:val="left" w:pos="284"/>
              </w:tabs>
              <w:rPr>
                <w:sz w:val="22"/>
                <w:szCs w:val="22"/>
              </w:rPr>
            </w:pPr>
          </w:p>
        </w:tc>
        <w:tc>
          <w:tcPr>
            <w:tcW w:w="1907" w:type="dxa"/>
            <w:tcBorders>
              <w:top w:val="single" w:sz="4" w:space="0" w:color="auto"/>
              <w:left w:val="single" w:sz="4" w:space="0" w:color="auto"/>
              <w:bottom w:val="single" w:sz="4" w:space="0" w:color="auto"/>
              <w:right w:val="single" w:sz="4" w:space="0" w:color="auto"/>
            </w:tcBorders>
          </w:tcPr>
          <w:p w14:paraId="21060999" w14:textId="77777777" w:rsidR="00B05AA9" w:rsidRDefault="00B05AA9" w:rsidP="00641EEB">
            <w:pPr>
              <w:jc w:val="center"/>
              <w:rPr>
                <w:sz w:val="22"/>
                <w:szCs w:val="22"/>
              </w:rPr>
            </w:pPr>
          </w:p>
          <w:p w14:paraId="7FAB09B8" w14:textId="77777777" w:rsidR="00B05AA9" w:rsidRDefault="00B05AA9" w:rsidP="00641EEB">
            <w:pPr>
              <w:tabs>
                <w:tab w:val="left" w:pos="284"/>
              </w:tabs>
              <w:jc w:val="center"/>
              <w:rPr>
                <w:sz w:val="22"/>
                <w:szCs w:val="22"/>
              </w:rPr>
            </w:pPr>
            <w:r>
              <w:rPr>
                <w:sz w:val="22"/>
                <w:szCs w:val="22"/>
              </w:rPr>
              <w:t>46</w:t>
            </w:r>
          </w:p>
        </w:tc>
        <w:tc>
          <w:tcPr>
            <w:tcW w:w="1908" w:type="dxa"/>
            <w:tcBorders>
              <w:top w:val="single" w:sz="4" w:space="0" w:color="auto"/>
              <w:left w:val="single" w:sz="4" w:space="0" w:color="auto"/>
              <w:bottom w:val="single" w:sz="4" w:space="0" w:color="auto"/>
              <w:right w:val="single" w:sz="4" w:space="0" w:color="auto"/>
            </w:tcBorders>
          </w:tcPr>
          <w:p w14:paraId="5FA0E18F" w14:textId="77777777" w:rsidR="00B05AA9" w:rsidRDefault="00B05AA9" w:rsidP="00641EEB">
            <w:pPr>
              <w:jc w:val="center"/>
              <w:rPr>
                <w:sz w:val="22"/>
                <w:szCs w:val="22"/>
              </w:rPr>
            </w:pPr>
          </w:p>
          <w:p w14:paraId="39FA25C2" w14:textId="77777777" w:rsidR="00B05AA9" w:rsidRDefault="00B05AA9" w:rsidP="00641EEB">
            <w:pPr>
              <w:tabs>
                <w:tab w:val="left" w:pos="284"/>
              </w:tabs>
              <w:jc w:val="center"/>
              <w:rPr>
                <w:sz w:val="22"/>
                <w:szCs w:val="22"/>
              </w:rPr>
            </w:pPr>
            <w:r>
              <w:rPr>
                <w:sz w:val="22"/>
                <w:szCs w:val="22"/>
              </w:rPr>
              <w:t>59</w:t>
            </w:r>
          </w:p>
        </w:tc>
        <w:tc>
          <w:tcPr>
            <w:tcW w:w="2159" w:type="dxa"/>
            <w:tcBorders>
              <w:top w:val="single" w:sz="4" w:space="0" w:color="auto"/>
              <w:left w:val="single" w:sz="4" w:space="0" w:color="auto"/>
              <w:bottom w:val="single" w:sz="4" w:space="0" w:color="auto"/>
              <w:right w:val="single" w:sz="4" w:space="0" w:color="auto"/>
            </w:tcBorders>
            <w:hideMark/>
          </w:tcPr>
          <w:p w14:paraId="4C875227" w14:textId="77777777" w:rsidR="00B05AA9" w:rsidRDefault="00B05AA9" w:rsidP="00641EEB">
            <w:pPr>
              <w:jc w:val="center"/>
              <w:rPr>
                <w:sz w:val="22"/>
                <w:szCs w:val="22"/>
              </w:rPr>
            </w:pPr>
            <w:r>
              <w:rPr>
                <w:sz w:val="22"/>
                <w:szCs w:val="22"/>
              </w:rPr>
              <w:t>Odnos hazarda</w:t>
            </w:r>
          </w:p>
          <w:p w14:paraId="7E67715D" w14:textId="77777777" w:rsidR="00B05AA9" w:rsidRDefault="00B05AA9" w:rsidP="00641EEB">
            <w:pPr>
              <w:jc w:val="center"/>
              <w:rPr>
                <w:sz w:val="22"/>
                <w:szCs w:val="22"/>
              </w:rPr>
            </w:pPr>
            <w:r>
              <w:rPr>
                <w:sz w:val="22"/>
                <w:szCs w:val="22"/>
              </w:rPr>
              <w:t>(95%CI)</w:t>
            </w:r>
          </w:p>
          <w:p w14:paraId="6174FCC3" w14:textId="77777777" w:rsidR="00B05AA9" w:rsidRDefault="00B05AA9" w:rsidP="00641EEB">
            <w:pPr>
              <w:jc w:val="center"/>
              <w:rPr>
                <w:sz w:val="22"/>
                <w:szCs w:val="22"/>
              </w:rPr>
            </w:pPr>
            <w:r>
              <w:rPr>
                <w:sz w:val="22"/>
                <w:szCs w:val="22"/>
              </w:rPr>
              <w:t>0.65 (0.44, 0.96)</w:t>
            </w:r>
          </w:p>
          <w:p w14:paraId="6011A7F8" w14:textId="77777777" w:rsidR="00B05AA9" w:rsidRDefault="00B05AA9" w:rsidP="00641EEB">
            <w:pPr>
              <w:tabs>
                <w:tab w:val="left" w:pos="284"/>
              </w:tabs>
              <w:jc w:val="center"/>
              <w:rPr>
                <w:sz w:val="22"/>
                <w:szCs w:val="22"/>
              </w:rPr>
            </w:pPr>
            <w:r>
              <w:rPr>
                <w:sz w:val="22"/>
                <w:szCs w:val="22"/>
              </w:rPr>
              <w:t>p=0.0275</w:t>
            </w:r>
          </w:p>
        </w:tc>
      </w:tr>
      <w:tr w:rsidR="00B05AA9" w14:paraId="747C8A2A" w14:textId="77777777" w:rsidTr="00BA76B8">
        <w:tc>
          <w:tcPr>
            <w:tcW w:w="3235" w:type="dxa"/>
            <w:tcBorders>
              <w:top w:val="single" w:sz="4" w:space="0" w:color="auto"/>
              <w:left w:val="single" w:sz="4" w:space="0" w:color="auto"/>
              <w:bottom w:val="single" w:sz="4" w:space="0" w:color="auto"/>
              <w:right w:val="single" w:sz="4" w:space="0" w:color="auto"/>
            </w:tcBorders>
          </w:tcPr>
          <w:p w14:paraId="79BDE3EE" w14:textId="77777777" w:rsidR="00B05AA9" w:rsidRDefault="00B05AA9" w:rsidP="00BA76B8">
            <w:pPr>
              <w:rPr>
                <w:sz w:val="22"/>
                <w:szCs w:val="22"/>
              </w:rPr>
            </w:pPr>
          </w:p>
          <w:p w14:paraId="04DE1E25" w14:textId="77777777" w:rsidR="00B05AA9" w:rsidRDefault="00B05AA9" w:rsidP="00BA76B8">
            <w:pPr>
              <w:rPr>
                <w:sz w:val="22"/>
                <w:szCs w:val="22"/>
              </w:rPr>
            </w:pPr>
            <w:r>
              <w:rPr>
                <w:sz w:val="22"/>
                <w:szCs w:val="22"/>
              </w:rPr>
              <w:t>Ukupan patološki odgovor* (95%CI)</w:t>
            </w:r>
          </w:p>
          <w:p w14:paraId="58372E82" w14:textId="77777777" w:rsidR="00B05AA9" w:rsidRDefault="00B05AA9" w:rsidP="00BA76B8">
            <w:pPr>
              <w:tabs>
                <w:tab w:val="left" w:pos="284"/>
              </w:tabs>
              <w:rPr>
                <w:sz w:val="22"/>
                <w:szCs w:val="22"/>
              </w:rPr>
            </w:pPr>
          </w:p>
        </w:tc>
        <w:tc>
          <w:tcPr>
            <w:tcW w:w="1907" w:type="dxa"/>
            <w:tcBorders>
              <w:top w:val="single" w:sz="4" w:space="0" w:color="auto"/>
              <w:left w:val="single" w:sz="4" w:space="0" w:color="auto"/>
              <w:bottom w:val="single" w:sz="4" w:space="0" w:color="auto"/>
              <w:right w:val="single" w:sz="4" w:space="0" w:color="auto"/>
            </w:tcBorders>
          </w:tcPr>
          <w:p w14:paraId="58000C7D" w14:textId="77777777" w:rsidR="00B05AA9" w:rsidRDefault="00B05AA9" w:rsidP="00641EEB">
            <w:pPr>
              <w:jc w:val="center"/>
              <w:rPr>
                <w:sz w:val="22"/>
                <w:szCs w:val="22"/>
              </w:rPr>
            </w:pPr>
          </w:p>
          <w:p w14:paraId="14EBFA65" w14:textId="77777777" w:rsidR="00B05AA9" w:rsidRDefault="00B05AA9" w:rsidP="00641EEB">
            <w:pPr>
              <w:jc w:val="center"/>
              <w:rPr>
                <w:sz w:val="22"/>
                <w:szCs w:val="22"/>
              </w:rPr>
            </w:pPr>
            <w:r>
              <w:rPr>
                <w:sz w:val="22"/>
                <w:szCs w:val="22"/>
              </w:rPr>
              <w:t>40%</w:t>
            </w:r>
          </w:p>
          <w:p w14:paraId="3BF1A625" w14:textId="77777777" w:rsidR="00B05AA9" w:rsidRDefault="00B05AA9" w:rsidP="00641EEB">
            <w:pPr>
              <w:tabs>
                <w:tab w:val="left" w:pos="284"/>
              </w:tabs>
              <w:jc w:val="center"/>
              <w:rPr>
                <w:sz w:val="22"/>
                <w:szCs w:val="22"/>
              </w:rPr>
            </w:pPr>
            <w:r>
              <w:rPr>
                <w:sz w:val="22"/>
                <w:szCs w:val="22"/>
              </w:rPr>
              <w:t>(31.0, 49.6)</w:t>
            </w:r>
          </w:p>
        </w:tc>
        <w:tc>
          <w:tcPr>
            <w:tcW w:w="1908" w:type="dxa"/>
            <w:tcBorders>
              <w:top w:val="single" w:sz="4" w:space="0" w:color="auto"/>
              <w:left w:val="single" w:sz="4" w:space="0" w:color="auto"/>
              <w:bottom w:val="single" w:sz="4" w:space="0" w:color="auto"/>
              <w:right w:val="single" w:sz="4" w:space="0" w:color="auto"/>
            </w:tcBorders>
          </w:tcPr>
          <w:p w14:paraId="407FAEC9" w14:textId="77777777" w:rsidR="00B05AA9" w:rsidRDefault="00B05AA9" w:rsidP="00641EEB">
            <w:pPr>
              <w:jc w:val="center"/>
              <w:rPr>
                <w:sz w:val="22"/>
                <w:szCs w:val="22"/>
              </w:rPr>
            </w:pPr>
          </w:p>
          <w:p w14:paraId="7D612A96" w14:textId="77777777" w:rsidR="00B05AA9" w:rsidRDefault="00B05AA9" w:rsidP="00641EEB">
            <w:pPr>
              <w:jc w:val="center"/>
              <w:rPr>
                <w:sz w:val="22"/>
                <w:szCs w:val="22"/>
              </w:rPr>
            </w:pPr>
            <w:r>
              <w:rPr>
                <w:sz w:val="22"/>
                <w:szCs w:val="22"/>
              </w:rPr>
              <w:t>20.7%</w:t>
            </w:r>
          </w:p>
          <w:p w14:paraId="13ABA6F8" w14:textId="77777777" w:rsidR="00B05AA9" w:rsidRDefault="00B05AA9" w:rsidP="00641EEB">
            <w:pPr>
              <w:jc w:val="center"/>
              <w:rPr>
                <w:sz w:val="22"/>
                <w:szCs w:val="22"/>
              </w:rPr>
            </w:pPr>
            <w:r>
              <w:rPr>
                <w:sz w:val="22"/>
                <w:szCs w:val="22"/>
              </w:rPr>
              <w:t>(13.7, 29.2)</w:t>
            </w:r>
          </w:p>
          <w:p w14:paraId="3B312FEA" w14:textId="77777777" w:rsidR="00B05AA9" w:rsidRDefault="00B05AA9" w:rsidP="00641EEB">
            <w:pPr>
              <w:tabs>
                <w:tab w:val="left" w:pos="284"/>
              </w:tabs>
              <w:jc w:val="center"/>
              <w:rPr>
                <w:sz w:val="22"/>
                <w:szCs w:val="22"/>
              </w:rPr>
            </w:pPr>
          </w:p>
        </w:tc>
        <w:tc>
          <w:tcPr>
            <w:tcW w:w="2159" w:type="dxa"/>
            <w:tcBorders>
              <w:top w:val="single" w:sz="4" w:space="0" w:color="auto"/>
              <w:left w:val="single" w:sz="4" w:space="0" w:color="auto"/>
              <w:bottom w:val="single" w:sz="4" w:space="0" w:color="auto"/>
              <w:right w:val="single" w:sz="4" w:space="0" w:color="auto"/>
            </w:tcBorders>
            <w:hideMark/>
          </w:tcPr>
          <w:p w14:paraId="69080A35" w14:textId="77777777" w:rsidR="00B05AA9" w:rsidRDefault="00B05AA9" w:rsidP="00641EEB">
            <w:pPr>
              <w:tabs>
                <w:tab w:val="left" w:pos="284"/>
              </w:tabs>
              <w:jc w:val="center"/>
              <w:rPr>
                <w:sz w:val="22"/>
                <w:szCs w:val="22"/>
              </w:rPr>
            </w:pPr>
            <w:r>
              <w:rPr>
                <w:sz w:val="22"/>
                <w:szCs w:val="22"/>
              </w:rPr>
              <w:t>p=0.0014</w:t>
            </w:r>
          </w:p>
        </w:tc>
      </w:tr>
      <w:tr w:rsidR="00B05AA9" w14:paraId="46C2D7CC" w14:textId="77777777" w:rsidTr="00BA76B8">
        <w:tc>
          <w:tcPr>
            <w:tcW w:w="3235" w:type="dxa"/>
            <w:tcBorders>
              <w:top w:val="single" w:sz="4" w:space="0" w:color="auto"/>
              <w:left w:val="single" w:sz="4" w:space="0" w:color="auto"/>
              <w:bottom w:val="single" w:sz="4" w:space="0" w:color="auto"/>
              <w:right w:val="single" w:sz="4" w:space="0" w:color="auto"/>
            </w:tcBorders>
          </w:tcPr>
          <w:p w14:paraId="088EE4B3" w14:textId="77777777" w:rsidR="00E05379" w:rsidRDefault="00E05379" w:rsidP="00BA76B8">
            <w:pPr>
              <w:rPr>
                <w:sz w:val="22"/>
                <w:szCs w:val="22"/>
              </w:rPr>
            </w:pPr>
          </w:p>
          <w:p w14:paraId="27B16A72" w14:textId="32733397" w:rsidR="00B05AA9" w:rsidRDefault="00E05379" w:rsidP="00BA76B8">
            <w:pPr>
              <w:rPr>
                <w:sz w:val="22"/>
                <w:szCs w:val="22"/>
                <w:lang w:val="sr-Latn-RS"/>
              </w:rPr>
            </w:pPr>
            <w:r>
              <w:rPr>
                <w:sz w:val="22"/>
                <w:szCs w:val="22"/>
              </w:rPr>
              <w:t>Ukupno pre</w:t>
            </w:r>
            <w:r>
              <w:rPr>
                <w:sz w:val="22"/>
                <w:szCs w:val="22"/>
                <w:lang w:val="sr-Latn-RS"/>
              </w:rPr>
              <w:t>življavanje</w:t>
            </w:r>
          </w:p>
          <w:p w14:paraId="3A364195" w14:textId="77777777" w:rsidR="00E05379" w:rsidRPr="00E05379" w:rsidRDefault="00E05379" w:rsidP="00BA76B8">
            <w:pPr>
              <w:rPr>
                <w:sz w:val="22"/>
                <w:szCs w:val="22"/>
                <w:lang w:val="sr-Latn-RS"/>
              </w:rPr>
            </w:pPr>
          </w:p>
          <w:p w14:paraId="5C4D6B7B" w14:textId="77777777" w:rsidR="00B05AA9" w:rsidRDefault="00B05AA9" w:rsidP="00BA76B8">
            <w:pPr>
              <w:rPr>
                <w:sz w:val="22"/>
                <w:szCs w:val="22"/>
              </w:rPr>
            </w:pPr>
            <w:r>
              <w:rPr>
                <w:sz w:val="22"/>
                <w:szCs w:val="22"/>
              </w:rPr>
              <w:t>Broj pacijenata sa događajem</w:t>
            </w:r>
          </w:p>
          <w:p w14:paraId="2121463F" w14:textId="77777777" w:rsidR="00B05AA9" w:rsidRDefault="00B05AA9" w:rsidP="00BA76B8">
            <w:pPr>
              <w:tabs>
                <w:tab w:val="left" w:pos="284"/>
              </w:tabs>
              <w:rPr>
                <w:sz w:val="22"/>
                <w:szCs w:val="22"/>
              </w:rPr>
            </w:pPr>
          </w:p>
        </w:tc>
        <w:tc>
          <w:tcPr>
            <w:tcW w:w="1907" w:type="dxa"/>
            <w:tcBorders>
              <w:top w:val="single" w:sz="4" w:space="0" w:color="auto"/>
              <w:left w:val="single" w:sz="4" w:space="0" w:color="auto"/>
              <w:bottom w:val="single" w:sz="4" w:space="0" w:color="auto"/>
              <w:right w:val="single" w:sz="4" w:space="0" w:color="auto"/>
            </w:tcBorders>
          </w:tcPr>
          <w:p w14:paraId="14909C55" w14:textId="77777777" w:rsidR="00B05AA9" w:rsidRDefault="00B05AA9" w:rsidP="00641EEB">
            <w:pPr>
              <w:jc w:val="center"/>
              <w:rPr>
                <w:sz w:val="22"/>
                <w:szCs w:val="22"/>
              </w:rPr>
            </w:pPr>
          </w:p>
          <w:p w14:paraId="0ACA1A43" w14:textId="77777777" w:rsidR="00B05AA9" w:rsidRDefault="00B05AA9" w:rsidP="00641EEB">
            <w:pPr>
              <w:jc w:val="center"/>
              <w:rPr>
                <w:sz w:val="22"/>
                <w:szCs w:val="22"/>
              </w:rPr>
            </w:pPr>
          </w:p>
          <w:p w14:paraId="065E245B" w14:textId="77777777" w:rsidR="00B05AA9" w:rsidRDefault="00B05AA9" w:rsidP="00641EEB">
            <w:pPr>
              <w:tabs>
                <w:tab w:val="left" w:pos="284"/>
              </w:tabs>
              <w:jc w:val="center"/>
              <w:rPr>
                <w:sz w:val="22"/>
                <w:szCs w:val="22"/>
              </w:rPr>
            </w:pPr>
            <w:r>
              <w:rPr>
                <w:sz w:val="22"/>
                <w:szCs w:val="22"/>
              </w:rPr>
              <w:t>22</w:t>
            </w:r>
          </w:p>
        </w:tc>
        <w:tc>
          <w:tcPr>
            <w:tcW w:w="1908" w:type="dxa"/>
            <w:tcBorders>
              <w:top w:val="single" w:sz="4" w:space="0" w:color="auto"/>
              <w:left w:val="single" w:sz="4" w:space="0" w:color="auto"/>
              <w:bottom w:val="single" w:sz="4" w:space="0" w:color="auto"/>
              <w:right w:val="single" w:sz="4" w:space="0" w:color="auto"/>
            </w:tcBorders>
          </w:tcPr>
          <w:p w14:paraId="64A56A62" w14:textId="77777777" w:rsidR="00B05AA9" w:rsidRDefault="00B05AA9" w:rsidP="00641EEB">
            <w:pPr>
              <w:jc w:val="center"/>
              <w:rPr>
                <w:sz w:val="22"/>
                <w:szCs w:val="22"/>
              </w:rPr>
            </w:pPr>
          </w:p>
          <w:p w14:paraId="38EF1BB3" w14:textId="77777777" w:rsidR="00B05AA9" w:rsidRDefault="00B05AA9" w:rsidP="00641EEB">
            <w:pPr>
              <w:jc w:val="center"/>
              <w:rPr>
                <w:sz w:val="22"/>
                <w:szCs w:val="22"/>
              </w:rPr>
            </w:pPr>
          </w:p>
          <w:p w14:paraId="480683A9" w14:textId="77777777" w:rsidR="00B05AA9" w:rsidRDefault="00B05AA9" w:rsidP="00641EEB">
            <w:pPr>
              <w:tabs>
                <w:tab w:val="left" w:pos="284"/>
              </w:tabs>
              <w:jc w:val="center"/>
              <w:rPr>
                <w:sz w:val="22"/>
                <w:szCs w:val="22"/>
              </w:rPr>
            </w:pPr>
            <w:r>
              <w:rPr>
                <w:sz w:val="22"/>
                <w:szCs w:val="22"/>
              </w:rPr>
              <w:t>33</w:t>
            </w:r>
          </w:p>
        </w:tc>
        <w:tc>
          <w:tcPr>
            <w:tcW w:w="2159" w:type="dxa"/>
            <w:tcBorders>
              <w:top w:val="single" w:sz="4" w:space="0" w:color="auto"/>
              <w:left w:val="single" w:sz="4" w:space="0" w:color="auto"/>
              <w:bottom w:val="single" w:sz="4" w:space="0" w:color="auto"/>
              <w:right w:val="single" w:sz="4" w:space="0" w:color="auto"/>
            </w:tcBorders>
            <w:hideMark/>
          </w:tcPr>
          <w:p w14:paraId="70C52B7F" w14:textId="77777777" w:rsidR="00E05379" w:rsidRDefault="00E05379" w:rsidP="00641EEB">
            <w:pPr>
              <w:jc w:val="center"/>
              <w:rPr>
                <w:sz w:val="22"/>
                <w:szCs w:val="22"/>
              </w:rPr>
            </w:pPr>
          </w:p>
          <w:p w14:paraId="3CF5B7DF" w14:textId="347467F7" w:rsidR="00B05AA9" w:rsidRDefault="00B05AA9" w:rsidP="00641EEB">
            <w:pPr>
              <w:jc w:val="center"/>
              <w:rPr>
                <w:sz w:val="22"/>
                <w:szCs w:val="22"/>
              </w:rPr>
            </w:pPr>
            <w:r>
              <w:rPr>
                <w:sz w:val="22"/>
                <w:szCs w:val="22"/>
              </w:rPr>
              <w:t>Odnos hazarda</w:t>
            </w:r>
          </w:p>
          <w:p w14:paraId="399BB8CF" w14:textId="77777777" w:rsidR="00B05AA9" w:rsidRDefault="00B05AA9" w:rsidP="00641EEB">
            <w:pPr>
              <w:jc w:val="center"/>
              <w:rPr>
                <w:sz w:val="22"/>
                <w:szCs w:val="22"/>
              </w:rPr>
            </w:pPr>
            <w:r>
              <w:rPr>
                <w:sz w:val="22"/>
                <w:szCs w:val="22"/>
              </w:rPr>
              <w:t>(95%CI)</w:t>
            </w:r>
          </w:p>
          <w:p w14:paraId="260DAC07" w14:textId="77777777" w:rsidR="00B05AA9" w:rsidRDefault="00B05AA9" w:rsidP="00641EEB">
            <w:pPr>
              <w:jc w:val="center"/>
              <w:rPr>
                <w:sz w:val="22"/>
                <w:szCs w:val="22"/>
              </w:rPr>
            </w:pPr>
            <w:r>
              <w:rPr>
                <w:sz w:val="22"/>
                <w:szCs w:val="22"/>
              </w:rPr>
              <w:t>0.59 (0.35, 1.02)</w:t>
            </w:r>
          </w:p>
          <w:p w14:paraId="758D3F50" w14:textId="77777777" w:rsidR="00B05AA9" w:rsidRDefault="00B05AA9" w:rsidP="00641EEB">
            <w:pPr>
              <w:tabs>
                <w:tab w:val="left" w:pos="284"/>
              </w:tabs>
              <w:jc w:val="center"/>
              <w:rPr>
                <w:sz w:val="22"/>
                <w:szCs w:val="22"/>
              </w:rPr>
            </w:pPr>
            <w:r>
              <w:rPr>
                <w:sz w:val="22"/>
                <w:szCs w:val="22"/>
              </w:rPr>
              <w:t>p=0.0555</w:t>
            </w:r>
          </w:p>
        </w:tc>
      </w:tr>
    </w:tbl>
    <w:p w14:paraId="3E15D85C" w14:textId="77777777" w:rsidR="00B05AA9" w:rsidRPr="009D4A69" w:rsidRDefault="00B05AA9" w:rsidP="00641EEB">
      <w:pPr>
        <w:jc w:val="both"/>
        <w:rPr>
          <w:sz w:val="20"/>
          <w:szCs w:val="20"/>
          <w:lang w:val="sr-Latn-ME"/>
        </w:rPr>
      </w:pPr>
      <w:r w:rsidRPr="009D4A69">
        <w:rPr>
          <w:sz w:val="20"/>
          <w:szCs w:val="20"/>
          <w:lang w:val="sr-Latn-ME"/>
        </w:rPr>
        <w:t xml:space="preserve"> *</w:t>
      </w:r>
      <w:r w:rsidRPr="009D4A69">
        <w:rPr>
          <w:sz w:val="20"/>
          <w:szCs w:val="20"/>
        </w:rPr>
        <w:t>definisan</w:t>
      </w:r>
      <w:r w:rsidRPr="009D4A69">
        <w:rPr>
          <w:sz w:val="20"/>
          <w:szCs w:val="20"/>
          <w:lang w:val="sr-Latn-ME"/>
        </w:rPr>
        <w:t xml:space="preserve"> </w:t>
      </w:r>
      <w:r w:rsidRPr="009D4A69">
        <w:rPr>
          <w:sz w:val="20"/>
          <w:szCs w:val="20"/>
        </w:rPr>
        <w:t>kao</w:t>
      </w:r>
      <w:r w:rsidRPr="009D4A69">
        <w:rPr>
          <w:sz w:val="20"/>
          <w:szCs w:val="20"/>
          <w:lang w:val="sr-Latn-ME"/>
        </w:rPr>
        <w:t xml:space="preserve"> </w:t>
      </w:r>
      <w:r w:rsidRPr="009D4A69">
        <w:rPr>
          <w:sz w:val="20"/>
          <w:szCs w:val="20"/>
        </w:rPr>
        <w:t>odsustvo</w:t>
      </w:r>
      <w:r w:rsidRPr="009D4A69">
        <w:rPr>
          <w:sz w:val="20"/>
          <w:szCs w:val="20"/>
          <w:lang w:val="sr-Latn-ME"/>
        </w:rPr>
        <w:t xml:space="preserve"> </w:t>
      </w:r>
      <w:r w:rsidRPr="009D4A69">
        <w:rPr>
          <w:sz w:val="20"/>
          <w:szCs w:val="20"/>
        </w:rPr>
        <w:t>bilo</w:t>
      </w:r>
      <w:r w:rsidRPr="009D4A69">
        <w:rPr>
          <w:sz w:val="20"/>
          <w:szCs w:val="20"/>
          <w:lang w:val="sr-Latn-ME"/>
        </w:rPr>
        <w:t xml:space="preserve"> </w:t>
      </w:r>
      <w:r w:rsidRPr="009D4A69">
        <w:rPr>
          <w:sz w:val="20"/>
          <w:szCs w:val="20"/>
        </w:rPr>
        <w:t>kog</w:t>
      </w:r>
      <w:r w:rsidRPr="009D4A69">
        <w:rPr>
          <w:sz w:val="20"/>
          <w:szCs w:val="20"/>
          <w:lang w:val="sr-Latn-ME"/>
        </w:rPr>
        <w:t xml:space="preserve"> </w:t>
      </w:r>
      <w:r w:rsidRPr="009D4A69">
        <w:rPr>
          <w:sz w:val="20"/>
          <w:szCs w:val="20"/>
        </w:rPr>
        <w:t>invazivnog</w:t>
      </w:r>
      <w:r w:rsidRPr="009D4A69">
        <w:rPr>
          <w:sz w:val="20"/>
          <w:szCs w:val="20"/>
          <w:lang w:val="sr-Latn-ME"/>
        </w:rPr>
        <w:t xml:space="preserve"> </w:t>
      </w:r>
      <w:r w:rsidRPr="009D4A69">
        <w:rPr>
          <w:sz w:val="20"/>
          <w:szCs w:val="20"/>
        </w:rPr>
        <w:t>kancera</w:t>
      </w:r>
      <w:r w:rsidRPr="009D4A69">
        <w:rPr>
          <w:sz w:val="20"/>
          <w:szCs w:val="20"/>
          <w:lang w:val="sr-Latn-ME"/>
        </w:rPr>
        <w:t xml:space="preserve"> </w:t>
      </w:r>
      <w:r w:rsidRPr="009D4A69">
        <w:rPr>
          <w:sz w:val="20"/>
          <w:szCs w:val="20"/>
        </w:rPr>
        <w:t>kako</w:t>
      </w:r>
      <w:r w:rsidRPr="009D4A69">
        <w:rPr>
          <w:sz w:val="20"/>
          <w:szCs w:val="20"/>
          <w:lang w:val="sr-Latn-ME"/>
        </w:rPr>
        <w:t xml:space="preserve"> </w:t>
      </w:r>
      <w:r w:rsidRPr="009D4A69">
        <w:rPr>
          <w:sz w:val="20"/>
          <w:szCs w:val="20"/>
        </w:rPr>
        <w:t>u</w:t>
      </w:r>
      <w:r w:rsidRPr="009D4A69">
        <w:rPr>
          <w:sz w:val="20"/>
          <w:szCs w:val="20"/>
          <w:lang w:val="sr-Latn-ME"/>
        </w:rPr>
        <w:t xml:space="preserve"> </w:t>
      </w:r>
      <w:r w:rsidRPr="009D4A69">
        <w:rPr>
          <w:sz w:val="20"/>
          <w:szCs w:val="20"/>
        </w:rPr>
        <w:t>dojkama</w:t>
      </w:r>
      <w:r w:rsidRPr="009D4A69">
        <w:rPr>
          <w:sz w:val="20"/>
          <w:szCs w:val="20"/>
          <w:lang w:val="sr-Latn-ME"/>
        </w:rPr>
        <w:t xml:space="preserve"> </w:t>
      </w:r>
      <w:r w:rsidRPr="009D4A69">
        <w:rPr>
          <w:sz w:val="20"/>
          <w:szCs w:val="20"/>
        </w:rPr>
        <w:t>tako</w:t>
      </w:r>
      <w:r w:rsidRPr="009D4A69">
        <w:rPr>
          <w:sz w:val="20"/>
          <w:szCs w:val="20"/>
          <w:lang w:val="sr-Latn-ME"/>
        </w:rPr>
        <w:t xml:space="preserve"> </w:t>
      </w:r>
      <w:r w:rsidRPr="009D4A69">
        <w:rPr>
          <w:sz w:val="20"/>
          <w:szCs w:val="20"/>
        </w:rPr>
        <w:t>i</w:t>
      </w:r>
      <w:r w:rsidRPr="009D4A69">
        <w:rPr>
          <w:sz w:val="20"/>
          <w:szCs w:val="20"/>
          <w:lang w:val="sr-Latn-ME"/>
        </w:rPr>
        <w:t xml:space="preserve"> </w:t>
      </w:r>
      <w:r w:rsidRPr="009D4A69">
        <w:rPr>
          <w:sz w:val="20"/>
          <w:szCs w:val="20"/>
        </w:rPr>
        <w:t>u</w:t>
      </w:r>
      <w:r w:rsidRPr="009D4A69">
        <w:rPr>
          <w:sz w:val="20"/>
          <w:szCs w:val="20"/>
          <w:lang w:val="sr-Latn-ME"/>
        </w:rPr>
        <w:t xml:space="preserve"> </w:t>
      </w:r>
      <w:r w:rsidRPr="009D4A69">
        <w:rPr>
          <w:sz w:val="20"/>
          <w:szCs w:val="20"/>
        </w:rPr>
        <w:t>aksilarnim</w:t>
      </w:r>
      <w:r w:rsidRPr="009D4A69">
        <w:rPr>
          <w:sz w:val="20"/>
          <w:szCs w:val="20"/>
          <w:lang w:val="sr-Latn-ME"/>
        </w:rPr>
        <w:t xml:space="preserve"> č</w:t>
      </w:r>
      <w:r w:rsidRPr="009D4A69">
        <w:rPr>
          <w:sz w:val="20"/>
          <w:szCs w:val="20"/>
        </w:rPr>
        <w:t>vorovima</w:t>
      </w:r>
    </w:p>
    <w:p w14:paraId="671A29CC" w14:textId="77777777" w:rsidR="00B05AA9" w:rsidRPr="00442616" w:rsidRDefault="00B05AA9" w:rsidP="00641EEB">
      <w:pPr>
        <w:jc w:val="both"/>
        <w:rPr>
          <w:sz w:val="22"/>
          <w:szCs w:val="22"/>
          <w:lang w:val="sr-Latn-ME"/>
        </w:rPr>
      </w:pPr>
    </w:p>
    <w:p w14:paraId="71C251EB" w14:textId="07624E10" w:rsidR="00B05AA9" w:rsidRPr="00442616" w:rsidRDefault="00B05AA9" w:rsidP="00641EEB">
      <w:pPr>
        <w:jc w:val="both"/>
        <w:rPr>
          <w:sz w:val="22"/>
          <w:szCs w:val="22"/>
          <w:lang w:val="sr-Latn-ME"/>
        </w:rPr>
      </w:pPr>
      <w:r>
        <w:rPr>
          <w:sz w:val="22"/>
          <w:szCs w:val="22"/>
        </w:rPr>
        <w:t>Apsolutni</w:t>
      </w:r>
      <w:r w:rsidRPr="00442616">
        <w:rPr>
          <w:sz w:val="22"/>
          <w:szCs w:val="22"/>
          <w:lang w:val="sr-Latn-ME"/>
        </w:rPr>
        <w:t xml:space="preserve"> </w:t>
      </w:r>
      <w:r>
        <w:rPr>
          <w:sz w:val="22"/>
          <w:szCs w:val="22"/>
        </w:rPr>
        <w:t>benefit</w:t>
      </w:r>
      <w:r w:rsidRPr="00442616">
        <w:rPr>
          <w:sz w:val="22"/>
          <w:szCs w:val="22"/>
          <w:lang w:val="sr-Latn-ME"/>
        </w:rPr>
        <w:t xml:space="preserve"> </w:t>
      </w:r>
      <w:proofErr w:type="gramStart"/>
      <w:r>
        <w:rPr>
          <w:sz w:val="22"/>
          <w:szCs w:val="22"/>
        </w:rPr>
        <w:t>od</w:t>
      </w:r>
      <w:proofErr w:type="gramEnd"/>
      <w:r w:rsidRPr="00442616">
        <w:rPr>
          <w:sz w:val="22"/>
          <w:szCs w:val="22"/>
          <w:lang w:val="sr-Latn-ME"/>
        </w:rPr>
        <w:t xml:space="preserve"> 13% </w:t>
      </w:r>
      <w:r>
        <w:rPr>
          <w:sz w:val="22"/>
          <w:szCs w:val="22"/>
        </w:rPr>
        <w:t>u</w:t>
      </w:r>
      <w:r w:rsidRPr="00442616">
        <w:rPr>
          <w:sz w:val="22"/>
          <w:szCs w:val="22"/>
          <w:lang w:val="sr-Latn-ME"/>
        </w:rPr>
        <w:t xml:space="preserve"> </w:t>
      </w:r>
      <w:r>
        <w:rPr>
          <w:sz w:val="22"/>
          <w:szCs w:val="22"/>
        </w:rPr>
        <w:t>korist</w:t>
      </w:r>
      <w:r w:rsidRPr="00442616">
        <w:rPr>
          <w:sz w:val="22"/>
          <w:szCs w:val="22"/>
          <w:lang w:val="sr-Latn-ME"/>
        </w:rPr>
        <w:t xml:space="preserve"> </w:t>
      </w:r>
      <w:r>
        <w:rPr>
          <w:sz w:val="22"/>
          <w:szCs w:val="22"/>
        </w:rPr>
        <w:t>grupe</w:t>
      </w:r>
      <w:r w:rsidRPr="00442616">
        <w:rPr>
          <w:sz w:val="22"/>
          <w:szCs w:val="22"/>
          <w:lang w:val="sr-Latn-ME"/>
        </w:rPr>
        <w:t xml:space="preserve"> </w:t>
      </w:r>
      <w:r>
        <w:rPr>
          <w:sz w:val="22"/>
          <w:szCs w:val="22"/>
        </w:rPr>
        <w:t>koja</w:t>
      </w:r>
      <w:r w:rsidRPr="00442616">
        <w:rPr>
          <w:sz w:val="22"/>
          <w:szCs w:val="22"/>
          <w:lang w:val="sr-Latn-ME"/>
        </w:rPr>
        <w:t xml:space="preserve"> </w:t>
      </w:r>
      <w:r>
        <w:rPr>
          <w:sz w:val="22"/>
          <w:szCs w:val="22"/>
        </w:rPr>
        <w:t>je</w:t>
      </w:r>
      <w:r w:rsidRPr="00442616">
        <w:rPr>
          <w:sz w:val="22"/>
          <w:szCs w:val="22"/>
          <w:lang w:val="sr-Latn-ME"/>
        </w:rPr>
        <w:t xml:space="preserve"> </w:t>
      </w:r>
      <w:r>
        <w:rPr>
          <w:sz w:val="22"/>
          <w:szCs w:val="22"/>
        </w:rPr>
        <w:t>primala</w:t>
      </w:r>
      <w:r w:rsidRPr="00442616">
        <w:rPr>
          <w:sz w:val="22"/>
          <w:szCs w:val="22"/>
          <w:lang w:val="sr-Latn-ME"/>
        </w:rPr>
        <w:t xml:space="preserve"> </w:t>
      </w:r>
      <w:r w:rsidR="009C5F89">
        <w:rPr>
          <w:sz w:val="22"/>
          <w:szCs w:val="22"/>
          <w:lang w:val="sr-Latn-ME"/>
        </w:rPr>
        <w:t xml:space="preserve">lijek </w:t>
      </w:r>
      <w:r>
        <w:rPr>
          <w:sz w:val="22"/>
          <w:szCs w:val="22"/>
        </w:rPr>
        <w:t>Herceptin</w:t>
      </w:r>
      <w:r w:rsidRPr="00442616">
        <w:rPr>
          <w:sz w:val="22"/>
          <w:szCs w:val="22"/>
          <w:lang w:val="sr-Latn-ME"/>
        </w:rPr>
        <w:t xml:space="preserve"> </w:t>
      </w:r>
      <w:r>
        <w:rPr>
          <w:sz w:val="22"/>
          <w:szCs w:val="22"/>
        </w:rPr>
        <w:t>bila</w:t>
      </w:r>
      <w:r w:rsidRPr="00442616">
        <w:rPr>
          <w:sz w:val="22"/>
          <w:szCs w:val="22"/>
          <w:lang w:val="sr-Latn-ME"/>
        </w:rPr>
        <w:t xml:space="preserve"> </w:t>
      </w:r>
      <w:r>
        <w:rPr>
          <w:sz w:val="22"/>
          <w:szCs w:val="22"/>
        </w:rPr>
        <w:t>je</w:t>
      </w:r>
      <w:r w:rsidRPr="00442616">
        <w:rPr>
          <w:sz w:val="22"/>
          <w:szCs w:val="22"/>
          <w:lang w:val="sr-Latn-ME"/>
        </w:rPr>
        <w:t xml:space="preserve"> </w:t>
      </w:r>
      <w:r>
        <w:rPr>
          <w:sz w:val="22"/>
          <w:szCs w:val="22"/>
        </w:rPr>
        <w:t>procijenjena</w:t>
      </w:r>
      <w:r w:rsidRPr="00442616">
        <w:rPr>
          <w:sz w:val="22"/>
          <w:szCs w:val="22"/>
          <w:lang w:val="sr-Latn-ME"/>
        </w:rPr>
        <w:t xml:space="preserve"> </w:t>
      </w:r>
      <w:r>
        <w:rPr>
          <w:sz w:val="22"/>
          <w:szCs w:val="22"/>
        </w:rPr>
        <w:t>i</w:t>
      </w:r>
      <w:r w:rsidRPr="00442616">
        <w:rPr>
          <w:sz w:val="22"/>
          <w:szCs w:val="22"/>
          <w:lang w:val="sr-Latn-ME"/>
        </w:rPr>
        <w:t xml:space="preserve"> </w:t>
      </w:r>
      <w:r>
        <w:rPr>
          <w:sz w:val="22"/>
          <w:szCs w:val="22"/>
        </w:rPr>
        <w:t>u</w:t>
      </w:r>
      <w:r w:rsidRPr="00442616">
        <w:rPr>
          <w:sz w:val="22"/>
          <w:szCs w:val="22"/>
          <w:lang w:val="sr-Latn-ME"/>
        </w:rPr>
        <w:t xml:space="preserve"> </w:t>
      </w:r>
      <w:r>
        <w:rPr>
          <w:sz w:val="22"/>
          <w:szCs w:val="22"/>
        </w:rPr>
        <w:t>smislu</w:t>
      </w:r>
      <w:r w:rsidRPr="00442616">
        <w:rPr>
          <w:sz w:val="22"/>
          <w:szCs w:val="22"/>
          <w:lang w:val="sr-Latn-ME"/>
        </w:rPr>
        <w:t xml:space="preserve"> </w:t>
      </w:r>
      <w:r>
        <w:rPr>
          <w:sz w:val="22"/>
          <w:szCs w:val="22"/>
        </w:rPr>
        <w:t>trogodi</w:t>
      </w:r>
      <w:r w:rsidRPr="00442616">
        <w:rPr>
          <w:sz w:val="22"/>
          <w:szCs w:val="22"/>
          <w:lang w:val="sr-Latn-ME"/>
        </w:rPr>
        <w:t>š</w:t>
      </w:r>
      <w:r>
        <w:rPr>
          <w:sz w:val="22"/>
          <w:szCs w:val="22"/>
        </w:rPr>
        <w:t>njeg</w:t>
      </w:r>
      <w:r w:rsidRPr="00442616">
        <w:rPr>
          <w:sz w:val="22"/>
          <w:szCs w:val="22"/>
          <w:lang w:val="sr-Latn-ME"/>
        </w:rPr>
        <w:t xml:space="preserve"> </w:t>
      </w:r>
      <w:r>
        <w:rPr>
          <w:sz w:val="22"/>
          <w:szCs w:val="22"/>
        </w:rPr>
        <w:t>pre</w:t>
      </w:r>
      <w:r w:rsidRPr="00442616">
        <w:rPr>
          <w:sz w:val="22"/>
          <w:szCs w:val="22"/>
          <w:lang w:val="sr-Latn-ME"/>
        </w:rPr>
        <w:t>ž</w:t>
      </w:r>
      <w:r>
        <w:rPr>
          <w:sz w:val="22"/>
          <w:szCs w:val="22"/>
        </w:rPr>
        <w:t>ivljavanja</w:t>
      </w:r>
      <w:r w:rsidRPr="00442616">
        <w:rPr>
          <w:sz w:val="22"/>
          <w:szCs w:val="22"/>
          <w:lang w:val="sr-Latn-ME"/>
        </w:rPr>
        <w:t xml:space="preserve"> </w:t>
      </w:r>
      <w:r>
        <w:rPr>
          <w:sz w:val="22"/>
          <w:szCs w:val="22"/>
        </w:rPr>
        <w:t>bez</w:t>
      </w:r>
      <w:r w:rsidRPr="00442616">
        <w:rPr>
          <w:sz w:val="22"/>
          <w:szCs w:val="22"/>
          <w:lang w:val="sr-Latn-ME"/>
        </w:rPr>
        <w:t xml:space="preserve"> </w:t>
      </w:r>
      <w:r>
        <w:rPr>
          <w:sz w:val="22"/>
          <w:szCs w:val="22"/>
        </w:rPr>
        <w:t>bolesti</w:t>
      </w:r>
      <w:r w:rsidRPr="00442616">
        <w:rPr>
          <w:sz w:val="22"/>
          <w:szCs w:val="22"/>
          <w:lang w:val="sr-Latn-ME"/>
        </w:rPr>
        <w:t xml:space="preserve"> (65% </w:t>
      </w:r>
      <w:r>
        <w:rPr>
          <w:sz w:val="22"/>
          <w:szCs w:val="22"/>
        </w:rPr>
        <w:t>naspram</w:t>
      </w:r>
      <w:r w:rsidRPr="00442616">
        <w:rPr>
          <w:sz w:val="22"/>
          <w:szCs w:val="22"/>
          <w:lang w:val="sr-Latn-ME"/>
        </w:rPr>
        <w:t xml:space="preserve"> 52%)</w:t>
      </w:r>
    </w:p>
    <w:p w14:paraId="6BBF0DCA" w14:textId="7671009E" w:rsidR="00B05AA9" w:rsidRPr="00442616" w:rsidRDefault="00B05AA9" w:rsidP="00641EEB">
      <w:pPr>
        <w:tabs>
          <w:tab w:val="left" w:pos="284"/>
        </w:tabs>
        <w:jc w:val="both"/>
        <w:rPr>
          <w:sz w:val="22"/>
          <w:szCs w:val="22"/>
          <w:lang w:val="sr-Latn-ME"/>
        </w:rPr>
      </w:pPr>
    </w:p>
    <w:p w14:paraId="554BAFFF" w14:textId="77777777" w:rsidR="00B05AA9" w:rsidRPr="009D4A69" w:rsidRDefault="00B05AA9" w:rsidP="00641EEB">
      <w:pPr>
        <w:jc w:val="both"/>
        <w:rPr>
          <w:i/>
          <w:sz w:val="22"/>
          <w:szCs w:val="22"/>
          <w:u w:val="single"/>
          <w:lang w:val="sr-Latn-ME"/>
        </w:rPr>
      </w:pPr>
      <w:r w:rsidRPr="009D4A69">
        <w:rPr>
          <w:i/>
          <w:sz w:val="22"/>
          <w:szCs w:val="22"/>
          <w:u w:val="single"/>
        </w:rPr>
        <w:t>Metastatski</w:t>
      </w:r>
      <w:r w:rsidRPr="009D4A69">
        <w:rPr>
          <w:i/>
          <w:sz w:val="22"/>
          <w:szCs w:val="22"/>
          <w:u w:val="single"/>
          <w:lang w:val="sr-Latn-ME"/>
        </w:rPr>
        <w:t xml:space="preserve"> </w:t>
      </w:r>
      <w:r w:rsidRPr="009D4A69">
        <w:rPr>
          <w:i/>
          <w:sz w:val="22"/>
          <w:szCs w:val="22"/>
          <w:u w:val="single"/>
        </w:rPr>
        <w:t>karcinom</w:t>
      </w:r>
      <w:r w:rsidRPr="009D4A69">
        <w:rPr>
          <w:i/>
          <w:sz w:val="22"/>
          <w:szCs w:val="22"/>
          <w:u w:val="single"/>
          <w:lang w:val="sr-Latn-ME"/>
        </w:rPr>
        <w:t xml:space="preserve"> ž</w:t>
      </w:r>
      <w:r w:rsidRPr="009D4A69">
        <w:rPr>
          <w:i/>
          <w:sz w:val="22"/>
          <w:szCs w:val="22"/>
          <w:u w:val="single"/>
        </w:rPr>
        <w:t>eluca</w:t>
      </w:r>
    </w:p>
    <w:p w14:paraId="53ABAFC3" w14:textId="77777777" w:rsidR="00B05AA9" w:rsidRPr="00442616" w:rsidRDefault="00B05AA9" w:rsidP="00641EEB">
      <w:pPr>
        <w:jc w:val="both"/>
        <w:rPr>
          <w:b/>
          <w:sz w:val="22"/>
          <w:szCs w:val="22"/>
          <w:u w:val="single"/>
          <w:lang w:val="sr-Latn-ME"/>
        </w:rPr>
      </w:pPr>
    </w:p>
    <w:p w14:paraId="7C82BBC8" w14:textId="6508D5DA" w:rsidR="00B05AA9" w:rsidRPr="00442616" w:rsidRDefault="009C5F89" w:rsidP="00641EEB">
      <w:pPr>
        <w:jc w:val="both"/>
        <w:rPr>
          <w:sz w:val="22"/>
          <w:szCs w:val="22"/>
          <w:lang w:val="sr-Latn-ME"/>
        </w:rPr>
      </w:pPr>
      <w:r>
        <w:rPr>
          <w:sz w:val="22"/>
          <w:szCs w:val="22"/>
        </w:rPr>
        <w:t xml:space="preserve">Lijek </w:t>
      </w:r>
      <w:r w:rsidR="00B05AA9">
        <w:rPr>
          <w:sz w:val="22"/>
          <w:szCs w:val="22"/>
        </w:rPr>
        <w:t>Herceptin</w:t>
      </w:r>
      <w:r w:rsidR="00B05AA9" w:rsidRPr="00442616">
        <w:rPr>
          <w:sz w:val="22"/>
          <w:szCs w:val="22"/>
          <w:lang w:val="sr-Latn-ME"/>
        </w:rPr>
        <w:t xml:space="preserve"> </w:t>
      </w:r>
      <w:r w:rsidR="00B05AA9">
        <w:rPr>
          <w:sz w:val="22"/>
          <w:szCs w:val="22"/>
        </w:rPr>
        <w:t>je</w:t>
      </w:r>
      <w:r w:rsidR="00B05AA9" w:rsidRPr="00442616">
        <w:rPr>
          <w:sz w:val="22"/>
          <w:szCs w:val="22"/>
          <w:lang w:val="sr-Latn-ME"/>
        </w:rPr>
        <w:t xml:space="preserve"> </w:t>
      </w:r>
      <w:r w:rsidR="00B05AA9">
        <w:rPr>
          <w:sz w:val="22"/>
          <w:szCs w:val="22"/>
        </w:rPr>
        <w:t>ispitivan</w:t>
      </w:r>
      <w:r w:rsidR="00B05AA9" w:rsidRPr="00442616">
        <w:rPr>
          <w:sz w:val="22"/>
          <w:szCs w:val="22"/>
          <w:lang w:val="sr-Latn-ME"/>
        </w:rPr>
        <w:t xml:space="preserve"> </w:t>
      </w:r>
      <w:r w:rsidR="00B05AA9">
        <w:rPr>
          <w:sz w:val="22"/>
          <w:szCs w:val="22"/>
        </w:rPr>
        <w:t>u</w:t>
      </w:r>
      <w:r w:rsidR="00B05AA9" w:rsidRPr="00442616">
        <w:rPr>
          <w:sz w:val="22"/>
          <w:szCs w:val="22"/>
          <w:lang w:val="sr-Latn-ME"/>
        </w:rPr>
        <w:t xml:space="preserve"> </w:t>
      </w:r>
      <w:r w:rsidR="00B05AA9">
        <w:rPr>
          <w:sz w:val="22"/>
          <w:szCs w:val="22"/>
        </w:rPr>
        <w:t>jednoj</w:t>
      </w:r>
      <w:r w:rsidR="00B05AA9" w:rsidRPr="00442616">
        <w:rPr>
          <w:sz w:val="22"/>
          <w:szCs w:val="22"/>
          <w:lang w:val="sr-Latn-ME"/>
        </w:rPr>
        <w:t xml:space="preserve"> </w:t>
      </w:r>
      <w:r w:rsidR="00B05AA9">
        <w:rPr>
          <w:sz w:val="22"/>
          <w:szCs w:val="22"/>
        </w:rPr>
        <w:t>randomizovanoj</w:t>
      </w:r>
      <w:r w:rsidR="00B05AA9" w:rsidRPr="00442616">
        <w:rPr>
          <w:sz w:val="22"/>
          <w:szCs w:val="22"/>
          <w:lang w:val="sr-Latn-ME"/>
        </w:rPr>
        <w:t xml:space="preserve">, </w:t>
      </w:r>
      <w:r w:rsidR="00B05AA9">
        <w:rPr>
          <w:sz w:val="22"/>
          <w:szCs w:val="22"/>
        </w:rPr>
        <w:t>otvorenoj</w:t>
      </w:r>
      <w:r w:rsidR="00B05AA9" w:rsidRPr="00442616">
        <w:rPr>
          <w:sz w:val="22"/>
          <w:szCs w:val="22"/>
          <w:lang w:val="sr-Latn-ME"/>
        </w:rPr>
        <w:t xml:space="preserve"> </w:t>
      </w:r>
      <w:r w:rsidR="00B05AA9">
        <w:rPr>
          <w:sz w:val="22"/>
          <w:szCs w:val="22"/>
        </w:rPr>
        <w:t>klini</w:t>
      </w:r>
      <w:r w:rsidR="00B05AA9" w:rsidRPr="00442616">
        <w:rPr>
          <w:sz w:val="22"/>
          <w:szCs w:val="22"/>
          <w:lang w:val="sr-Latn-ME"/>
        </w:rPr>
        <w:t>č</w:t>
      </w:r>
      <w:r w:rsidR="00B05AA9">
        <w:rPr>
          <w:sz w:val="22"/>
          <w:szCs w:val="22"/>
        </w:rPr>
        <w:t>koj</w:t>
      </w:r>
      <w:r w:rsidR="00B05AA9" w:rsidRPr="00442616">
        <w:rPr>
          <w:sz w:val="22"/>
          <w:szCs w:val="22"/>
          <w:lang w:val="sr-Latn-ME"/>
        </w:rPr>
        <w:t xml:space="preserve"> </w:t>
      </w:r>
      <w:r w:rsidR="00B05AA9">
        <w:rPr>
          <w:sz w:val="22"/>
          <w:szCs w:val="22"/>
        </w:rPr>
        <w:t>studiji</w:t>
      </w:r>
      <w:r w:rsidR="00B05AA9" w:rsidRPr="00442616">
        <w:rPr>
          <w:sz w:val="22"/>
          <w:szCs w:val="22"/>
          <w:lang w:val="sr-Latn-ME"/>
        </w:rPr>
        <w:t xml:space="preserve"> </w:t>
      </w:r>
      <w:r w:rsidR="00B05AA9">
        <w:rPr>
          <w:sz w:val="22"/>
          <w:szCs w:val="22"/>
        </w:rPr>
        <w:t>tre</w:t>
      </w:r>
      <w:r w:rsidR="00B05AA9" w:rsidRPr="00442616">
        <w:rPr>
          <w:sz w:val="22"/>
          <w:szCs w:val="22"/>
          <w:lang w:val="sr-Latn-ME"/>
        </w:rPr>
        <w:t>ć</w:t>
      </w:r>
      <w:r w:rsidR="00B05AA9">
        <w:rPr>
          <w:sz w:val="22"/>
          <w:szCs w:val="22"/>
        </w:rPr>
        <w:t>e</w:t>
      </w:r>
      <w:r w:rsidR="00B05AA9" w:rsidRPr="00442616">
        <w:rPr>
          <w:sz w:val="22"/>
          <w:szCs w:val="22"/>
          <w:lang w:val="sr-Latn-ME"/>
        </w:rPr>
        <w:t xml:space="preserve"> </w:t>
      </w:r>
      <w:r w:rsidR="00B05AA9">
        <w:rPr>
          <w:sz w:val="22"/>
          <w:szCs w:val="22"/>
        </w:rPr>
        <w:t>faze</w:t>
      </w:r>
      <w:r w:rsidR="00B05AA9" w:rsidRPr="00442616">
        <w:rPr>
          <w:sz w:val="22"/>
          <w:szCs w:val="22"/>
          <w:lang w:val="sr-Latn-ME"/>
        </w:rPr>
        <w:t xml:space="preserve">, </w:t>
      </w:r>
      <w:r w:rsidR="00B05AA9">
        <w:rPr>
          <w:sz w:val="22"/>
          <w:szCs w:val="22"/>
        </w:rPr>
        <w:t>ToGA</w:t>
      </w:r>
      <w:r w:rsidR="00B05AA9" w:rsidRPr="00442616">
        <w:rPr>
          <w:sz w:val="22"/>
          <w:szCs w:val="22"/>
          <w:lang w:val="sr-Latn-ME"/>
        </w:rPr>
        <w:t xml:space="preserve"> (</w:t>
      </w:r>
      <w:r w:rsidR="00B05AA9">
        <w:rPr>
          <w:sz w:val="22"/>
          <w:szCs w:val="22"/>
        </w:rPr>
        <w:t>BO</w:t>
      </w:r>
      <w:r w:rsidR="00B05AA9" w:rsidRPr="00442616">
        <w:rPr>
          <w:sz w:val="22"/>
          <w:szCs w:val="22"/>
          <w:lang w:val="sr-Latn-ME"/>
        </w:rPr>
        <w:t xml:space="preserve">18255), </w:t>
      </w:r>
      <w:r w:rsidR="00B05AA9">
        <w:rPr>
          <w:sz w:val="22"/>
          <w:szCs w:val="22"/>
        </w:rPr>
        <w:t>u</w:t>
      </w:r>
      <w:r w:rsidR="00B05AA9" w:rsidRPr="00442616">
        <w:rPr>
          <w:sz w:val="22"/>
          <w:szCs w:val="22"/>
          <w:lang w:val="sr-Latn-ME"/>
        </w:rPr>
        <w:t xml:space="preserve"> </w:t>
      </w:r>
      <w:r w:rsidR="00B05AA9">
        <w:rPr>
          <w:sz w:val="22"/>
          <w:szCs w:val="22"/>
        </w:rPr>
        <w:t>kombinaciji</w:t>
      </w:r>
      <w:r w:rsidR="00B05AA9" w:rsidRPr="00442616">
        <w:rPr>
          <w:sz w:val="22"/>
          <w:szCs w:val="22"/>
          <w:lang w:val="sr-Latn-ME"/>
        </w:rPr>
        <w:t xml:space="preserve"> </w:t>
      </w:r>
      <w:proofErr w:type="gramStart"/>
      <w:r w:rsidR="00B05AA9">
        <w:rPr>
          <w:sz w:val="22"/>
          <w:szCs w:val="22"/>
        </w:rPr>
        <w:t>sa</w:t>
      </w:r>
      <w:proofErr w:type="gramEnd"/>
      <w:r w:rsidR="00B05AA9" w:rsidRPr="00442616">
        <w:rPr>
          <w:sz w:val="22"/>
          <w:szCs w:val="22"/>
          <w:lang w:val="sr-Latn-ME"/>
        </w:rPr>
        <w:t xml:space="preserve"> </w:t>
      </w:r>
      <w:r w:rsidR="00B05AA9">
        <w:rPr>
          <w:sz w:val="22"/>
          <w:szCs w:val="22"/>
        </w:rPr>
        <w:t>hemoterapijom</w:t>
      </w:r>
      <w:r w:rsidR="00B05AA9" w:rsidRPr="00442616">
        <w:rPr>
          <w:sz w:val="22"/>
          <w:szCs w:val="22"/>
          <w:lang w:val="sr-Latn-ME"/>
        </w:rPr>
        <w:t xml:space="preserve"> </w:t>
      </w:r>
      <w:r w:rsidR="00B05AA9">
        <w:rPr>
          <w:sz w:val="22"/>
          <w:szCs w:val="22"/>
        </w:rPr>
        <w:t>naspram</w:t>
      </w:r>
      <w:r w:rsidR="00B05AA9" w:rsidRPr="00442616">
        <w:rPr>
          <w:sz w:val="22"/>
          <w:szCs w:val="22"/>
          <w:lang w:val="sr-Latn-ME"/>
        </w:rPr>
        <w:t xml:space="preserve"> </w:t>
      </w:r>
      <w:r w:rsidR="00B05AA9">
        <w:rPr>
          <w:sz w:val="22"/>
          <w:szCs w:val="22"/>
        </w:rPr>
        <w:t>hemoterapije</w:t>
      </w:r>
      <w:r w:rsidR="00B05AA9" w:rsidRPr="00442616">
        <w:rPr>
          <w:sz w:val="22"/>
          <w:szCs w:val="22"/>
          <w:lang w:val="sr-Latn-ME"/>
        </w:rPr>
        <w:t xml:space="preserve"> </w:t>
      </w:r>
      <w:r w:rsidR="00B05AA9">
        <w:rPr>
          <w:sz w:val="22"/>
          <w:szCs w:val="22"/>
        </w:rPr>
        <w:t>bez</w:t>
      </w:r>
      <w:r w:rsidR="00B05AA9" w:rsidRPr="00442616">
        <w:rPr>
          <w:sz w:val="22"/>
          <w:szCs w:val="22"/>
          <w:lang w:val="sr-Latn-ME"/>
        </w:rPr>
        <w:t xml:space="preserve"> </w:t>
      </w:r>
      <w:r>
        <w:rPr>
          <w:sz w:val="22"/>
          <w:szCs w:val="22"/>
          <w:lang w:val="sr-Latn-ME"/>
        </w:rPr>
        <w:t xml:space="preserve">lijeka </w:t>
      </w:r>
      <w:r w:rsidR="00B05AA9">
        <w:rPr>
          <w:sz w:val="22"/>
          <w:szCs w:val="22"/>
        </w:rPr>
        <w:t>Herceptin</w:t>
      </w:r>
      <w:r w:rsidR="00B05AA9" w:rsidRPr="00442616">
        <w:rPr>
          <w:sz w:val="22"/>
          <w:szCs w:val="22"/>
          <w:lang w:val="sr-Latn-ME"/>
        </w:rPr>
        <w:t>.</w:t>
      </w:r>
    </w:p>
    <w:p w14:paraId="3E6ACFBB" w14:textId="77777777" w:rsidR="00B05AA9" w:rsidRPr="00442616" w:rsidRDefault="00B05AA9" w:rsidP="00641EEB">
      <w:pPr>
        <w:jc w:val="both"/>
        <w:rPr>
          <w:sz w:val="22"/>
          <w:szCs w:val="22"/>
          <w:lang w:val="sr-Latn-ME"/>
        </w:rPr>
      </w:pPr>
    </w:p>
    <w:p w14:paraId="22B01E50" w14:textId="77777777" w:rsidR="00B05AA9" w:rsidRDefault="00B05AA9" w:rsidP="00641EEB">
      <w:pPr>
        <w:jc w:val="both"/>
        <w:rPr>
          <w:sz w:val="22"/>
          <w:szCs w:val="22"/>
          <w:lang w:val="es-ES_tradnl"/>
        </w:rPr>
      </w:pPr>
      <w:r>
        <w:rPr>
          <w:sz w:val="22"/>
          <w:szCs w:val="22"/>
          <w:lang w:val="es-ES_tradnl"/>
        </w:rPr>
        <w:t>Hemoterapija se primjenjivala kako slijedi:</w:t>
      </w:r>
    </w:p>
    <w:p w14:paraId="5987B3AF" w14:textId="77777777" w:rsidR="00B05AA9" w:rsidRDefault="00B05AA9" w:rsidP="00641EEB">
      <w:pPr>
        <w:jc w:val="both"/>
        <w:rPr>
          <w:b/>
          <w:sz w:val="22"/>
          <w:szCs w:val="22"/>
          <w:lang w:val="es-ES_tradnl"/>
        </w:rPr>
      </w:pPr>
    </w:p>
    <w:p w14:paraId="46052B7F" w14:textId="6978B1C7" w:rsidR="00B05AA9" w:rsidRDefault="00B05AA9" w:rsidP="00641EEB">
      <w:pPr>
        <w:numPr>
          <w:ilvl w:val="0"/>
          <w:numId w:val="21"/>
        </w:numPr>
        <w:tabs>
          <w:tab w:val="left" w:pos="284"/>
        </w:tabs>
        <w:jc w:val="both"/>
        <w:rPr>
          <w:sz w:val="22"/>
          <w:szCs w:val="22"/>
          <w:lang w:val="es-ES_tradnl"/>
        </w:rPr>
      </w:pPr>
      <w:r>
        <w:rPr>
          <w:sz w:val="22"/>
          <w:szCs w:val="22"/>
          <w:lang w:val="es-ES_tradnl"/>
        </w:rPr>
        <w:t>kapecitabin - 1000 mg/m</w:t>
      </w:r>
      <w:r>
        <w:rPr>
          <w:sz w:val="22"/>
          <w:szCs w:val="22"/>
          <w:vertAlign w:val="superscript"/>
          <w:lang w:val="es-ES_tradnl"/>
        </w:rPr>
        <w:t>2</w:t>
      </w:r>
      <w:r>
        <w:rPr>
          <w:sz w:val="22"/>
          <w:szCs w:val="22"/>
          <w:lang w:val="es-ES_tradnl"/>
        </w:rPr>
        <w:t xml:space="preserve"> oralno dva puta dnevno tokom 14 dana svake 3 nedjelje u 6 ciklusa (</w:t>
      </w:r>
      <w:r w:rsidR="009C5F89">
        <w:rPr>
          <w:sz w:val="22"/>
          <w:szCs w:val="22"/>
          <w:lang w:val="es-ES_tradnl"/>
        </w:rPr>
        <w:t xml:space="preserve">od </w:t>
      </w:r>
      <w:r>
        <w:rPr>
          <w:sz w:val="22"/>
          <w:szCs w:val="22"/>
          <w:lang w:val="es-ES_tradnl"/>
        </w:rPr>
        <w:t>uveče, 1</w:t>
      </w:r>
      <w:r w:rsidR="009C5F89">
        <w:rPr>
          <w:sz w:val="22"/>
          <w:szCs w:val="22"/>
          <w:lang w:val="es-ES_tradnl"/>
        </w:rPr>
        <w:t>. dana</w:t>
      </w:r>
      <w:r>
        <w:rPr>
          <w:sz w:val="22"/>
          <w:szCs w:val="22"/>
          <w:lang w:val="es-ES_tradnl"/>
        </w:rPr>
        <w:t xml:space="preserve"> do ujutr</w:t>
      </w:r>
      <w:r w:rsidR="009C5F89">
        <w:rPr>
          <w:sz w:val="22"/>
          <w:szCs w:val="22"/>
          <w:lang w:val="es-ES_tradnl"/>
        </w:rPr>
        <w:t>a</w:t>
      </w:r>
      <w:r>
        <w:rPr>
          <w:sz w:val="22"/>
          <w:szCs w:val="22"/>
          <w:lang w:val="es-ES_tradnl"/>
        </w:rPr>
        <w:t xml:space="preserve"> 15</w:t>
      </w:r>
      <w:r w:rsidR="009C5F89">
        <w:rPr>
          <w:sz w:val="22"/>
          <w:szCs w:val="22"/>
          <w:lang w:val="es-ES_tradnl"/>
        </w:rPr>
        <w:t>. dana</w:t>
      </w:r>
      <w:r>
        <w:rPr>
          <w:sz w:val="22"/>
          <w:szCs w:val="22"/>
          <w:lang w:val="es-ES_tradnl"/>
        </w:rPr>
        <w:t xml:space="preserve"> svakog ciklusa) </w:t>
      </w:r>
    </w:p>
    <w:p w14:paraId="4F6288B1" w14:textId="77777777" w:rsidR="00B05AA9" w:rsidRDefault="00B05AA9" w:rsidP="00641EEB">
      <w:pPr>
        <w:jc w:val="both"/>
        <w:rPr>
          <w:sz w:val="22"/>
          <w:szCs w:val="22"/>
          <w:lang w:val="sr-Latn-ME"/>
        </w:rPr>
      </w:pPr>
      <w:proofErr w:type="gramStart"/>
      <w:r>
        <w:rPr>
          <w:sz w:val="22"/>
          <w:szCs w:val="22"/>
        </w:rPr>
        <w:t>ili</w:t>
      </w:r>
      <w:proofErr w:type="gramEnd"/>
    </w:p>
    <w:p w14:paraId="1222DB2D" w14:textId="771603AB" w:rsidR="00B05AA9" w:rsidRDefault="00B05AA9" w:rsidP="00641EEB">
      <w:pPr>
        <w:numPr>
          <w:ilvl w:val="0"/>
          <w:numId w:val="21"/>
        </w:numPr>
        <w:tabs>
          <w:tab w:val="left" w:pos="284"/>
        </w:tabs>
        <w:jc w:val="both"/>
        <w:rPr>
          <w:sz w:val="22"/>
          <w:szCs w:val="22"/>
          <w:lang w:val="sr-Latn-ME"/>
        </w:rPr>
      </w:pPr>
      <w:r>
        <w:rPr>
          <w:sz w:val="22"/>
          <w:szCs w:val="22"/>
        </w:rPr>
        <w:t>intravenski</w:t>
      </w:r>
      <w:r w:rsidRPr="00442616">
        <w:rPr>
          <w:sz w:val="22"/>
          <w:szCs w:val="22"/>
          <w:lang w:val="sr-Latn-ME"/>
        </w:rPr>
        <w:t xml:space="preserve"> 5-</w:t>
      </w:r>
      <w:r>
        <w:rPr>
          <w:sz w:val="22"/>
          <w:szCs w:val="22"/>
        </w:rPr>
        <w:t>fluorouracil</w:t>
      </w:r>
      <w:r w:rsidRPr="00442616">
        <w:rPr>
          <w:sz w:val="22"/>
          <w:szCs w:val="22"/>
          <w:lang w:val="sr-Latn-ME"/>
        </w:rPr>
        <w:t xml:space="preserve"> - 800</w:t>
      </w:r>
      <w:r>
        <w:rPr>
          <w:sz w:val="22"/>
          <w:szCs w:val="22"/>
        </w:rPr>
        <w:t> mg</w:t>
      </w:r>
      <w:r w:rsidRPr="00442616">
        <w:rPr>
          <w:sz w:val="22"/>
          <w:szCs w:val="22"/>
          <w:lang w:val="sr-Latn-ME"/>
        </w:rPr>
        <w:t>/</w:t>
      </w:r>
      <w:r>
        <w:rPr>
          <w:sz w:val="22"/>
          <w:szCs w:val="22"/>
        </w:rPr>
        <w:t>m</w:t>
      </w:r>
      <w:r w:rsidRPr="00442616">
        <w:rPr>
          <w:sz w:val="22"/>
          <w:szCs w:val="22"/>
          <w:vertAlign w:val="superscript"/>
          <w:lang w:val="sr-Latn-ME"/>
        </w:rPr>
        <w:t>2</w:t>
      </w:r>
      <w:r w:rsidRPr="00442616">
        <w:rPr>
          <w:sz w:val="22"/>
          <w:szCs w:val="22"/>
          <w:lang w:val="sr-Latn-ME"/>
        </w:rPr>
        <w:t>/</w:t>
      </w:r>
      <w:r>
        <w:rPr>
          <w:sz w:val="22"/>
          <w:szCs w:val="22"/>
        </w:rPr>
        <w:t>dan</w:t>
      </w:r>
      <w:r w:rsidRPr="00442616">
        <w:rPr>
          <w:sz w:val="22"/>
          <w:szCs w:val="22"/>
          <w:lang w:val="sr-Latn-ME"/>
        </w:rPr>
        <w:t xml:space="preserve"> </w:t>
      </w:r>
      <w:r>
        <w:rPr>
          <w:sz w:val="22"/>
          <w:szCs w:val="22"/>
        </w:rPr>
        <w:t>kao</w:t>
      </w:r>
      <w:r w:rsidRPr="00442616">
        <w:rPr>
          <w:sz w:val="22"/>
          <w:szCs w:val="22"/>
          <w:lang w:val="sr-Latn-ME"/>
        </w:rPr>
        <w:t xml:space="preserve"> </w:t>
      </w:r>
      <w:r>
        <w:rPr>
          <w:sz w:val="22"/>
          <w:szCs w:val="22"/>
        </w:rPr>
        <w:t>kontinuirana</w:t>
      </w:r>
      <w:r w:rsidRPr="00442616">
        <w:rPr>
          <w:sz w:val="22"/>
          <w:szCs w:val="22"/>
          <w:lang w:val="sr-Latn-ME"/>
        </w:rPr>
        <w:t xml:space="preserve"> </w:t>
      </w:r>
      <w:r>
        <w:rPr>
          <w:sz w:val="22"/>
          <w:szCs w:val="22"/>
        </w:rPr>
        <w:t>intravenska</w:t>
      </w:r>
      <w:r w:rsidRPr="00442616">
        <w:rPr>
          <w:sz w:val="22"/>
          <w:szCs w:val="22"/>
          <w:lang w:val="sr-Latn-ME"/>
        </w:rPr>
        <w:t xml:space="preserve"> </w:t>
      </w:r>
      <w:r>
        <w:rPr>
          <w:sz w:val="22"/>
          <w:szCs w:val="22"/>
        </w:rPr>
        <w:t>infuzija</w:t>
      </w:r>
      <w:r w:rsidRPr="00442616">
        <w:rPr>
          <w:sz w:val="22"/>
          <w:szCs w:val="22"/>
          <w:lang w:val="sr-Latn-ME"/>
        </w:rPr>
        <w:t xml:space="preserve"> </w:t>
      </w:r>
      <w:r>
        <w:rPr>
          <w:sz w:val="22"/>
          <w:szCs w:val="22"/>
        </w:rPr>
        <w:t>tokom</w:t>
      </w:r>
      <w:r w:rsidRPr="00442616">
        <w:rPr>
          <w:sz w:val="22"/>
          <w:szCs w:val="22"/>
          <w:lang w:val="sr-Latn-ME"/>
        </w:rPr>
        <w:t xml:space="preserve"> 5 </w:t>
      </w:r>
      <w:r>
        <w:rPr>
          <w:sz w:val="22"/>
          <w:szCs w:val="22"/>
        </w:rPr>
        <w:t>dana</w:t>
      </w:r>
      <w:r w:rsidRPr="00442616">
        <w:rPr>
          <w:sz w:val="22"/>
          <w:szCs w:val="22"/>
          <w:lang w:val="sr-Latn-ME"/>
        </w:rPr>
        <w:t xml:space="preserve">, </w:t>
      </w:r>
      <w:r>
        <w:rPr>
          <w:sz w:val="22"/>
          <w:szCs w:val="22"/>
        </w:rPr>
        <w:t>primjenjivana</w:t>
      </w:r>
      <w:r w:rsidRPr="00442616">
        <w:rPr>
          <w:sz w:val="22"/>
          <w:szCs w:val="22"/>
          <w:lang w:val="sr-Latn-ME"/>
        </w:rPr>
        <w:t xml:space="preserve"> </w:t>
      </w:r>
      <w:r>
        <w:rPr>
          <w:sz w:val="22"/>
          <w:szCs w:val="22"/>
        </w:rPr>
        <w:t>svake</w:t>
      </w:r>
      <w:r w:rsidRPr="00442616">
        <w:rPr>
          <w:sz w:val="22"/>
          <w:szCs w:val="22"/>
          <w:lang w:val="sr-Latn-ME"/>
        </w:rPr>
        <w:t xml:space="preserve"> 3 </w:t>
      </w:r>
      <w:r>
        <w:rPr>
          <w:sz w:val="22"/>
          <w:szCs w:val="22"/>
        </w:rPr>
        <w:t>nedjelje</w:t>
      </w:r>
      <w:r w:rsidRPr="00442616">
        <w:rPr>
          <w:sz w:val="22"/>
          <w:szCs w:val="22"/>
          <w:lang w:val="sr-Latn-ME"/>
        </w:rPr>
        <w:t xml:space="preserve"> </w:t>
      </w:r>
      <w:r>
        <w:rPr>
          <w:sz w:val="22"/>
          <w:szCs w:val="22"/>
        </w:rPr>
        <w:t>u</w:t>
      </w:r>
      <w:r w:rsidRPr="00442616">
        <w:rPr>
          <w:sz w:val="22"/>
          <w:szCs w:val="22"/>
          <w:lang w:val="sr-Latn-ME"/>
        </w:rPr>
        <w:t xml:space="preserve"> 6 </w:t>
      </w:r>
      <w:r>
        <w:rPr>
          <w:sz w:val="22"/>
          <w:szCs w:val="22"/>
        </w:rPr>
        <w:t>ciklisa</w:t>
      </w:r>
      <w:r w:rsidRPr="00442616">
        <w:rPr>
          <w:sz w:val="22"/>
          <w:szCs w:val="22"/>
          <w:lang w:val="sr-Latn-ME"/>
        </w:rPr>
        <w:t xml:space="preserve"> (</w:t>
      </w:r>
      <w:r w:rsidR="009C5F89">
        <w:rPr>
          <w:sz w:val="22"/>
          <w:szCs w:val="22"/>
        </w:rPr>
        <w:t>od</w:t>
      </w:r>
      <w:r w:rsidR="009C5F89" w:rsidRPr="00442616">
        <w:rPr>
          <w:sz w:val="22"/>
          <w:szCs w:val="22"/>
          <w:lang w:val="sr-Latn-ME"/>
        </w:rPr>
        <w:t xml:space="preserve"> </w:t>
      </w:r>
      <w:r w:rsidRPr="00442616">
        <w:rPr>
          <w:sz w:val="22"/>
          <w:szCs w:val="22"/>
          <w:lang w:val="sr-Latn-ME"/>
        </w:rPr>
        <w:t>1</w:t>
      </w:r>
      <w:r w:rsidR="009C5F89">
        <w:rPr>
          <w:sz w:val="22"/>
          <w:szCs w:val="22"/>
          <w:lang w:val="sr-Latn-ME"/>
        </w:rPr>
        <w:t>.</w:t>
      </w:r>
      <w:r w:rsidRPr="00442616">
        <w:rPr>
          <w:sz w:val="22"/>
          <w:szCs w:val="22"/>
          <w:lang w:val="sr-Latn-ME"/>
        </w:rPr>
        <w:t xml:space="preserve"> </w:t>
      </w:r>
      <w:r>
        <w:rPr>
          <w:sz w:val="22"/>
          <w:szCs w:val="22"/>
        </w:rPr>
        <w:t>do</w:t>
      </w:r>
      <w:r w:rsidRPr="00442616">
        <w:rPr>
          <w:sz w:val="22"/>
          <w:szCs w:val="22"/>
          <w:lang w:val="sr-Latn-ME"/>
        </w:rPr>
        <w:t xml:space="preserve"> 5</w:t>
      </w:r>
      <w:r w:rsidR="009C5F89">
        <w:rPr>
          <w:sz w:val="22"/>
          <w:szCs w:val="22"/>
          <w:lang w:val="sr-Latn-ME"/>
        </w:rPr>
        <w:t>. dana</w:t>
      </w:r>
      <w:r w:rsidRPr="00442616">
        <w:rPr>
          <w:sz w:val="22"/>
          <w:szCs w:val="22"/>
          <w:lang w:val="sr-Latn-ME"/>
        </w:rPr>
        <w:t xml:space="preserve"> </w:t>
      </w:r>
      <w:r>
        <w:rPr>
          <w:sz w:val="22"/>
          <w:szCs w:val="22"/>
        </w:rPr>
        <w:t>svakog</w:t>
      </w:r>
      <w:r w:rsidRPr="00442616">
        <w:rPr>
          <w:sz w:val="22"/>
          <w:szCs w:val="22"/>
          <w:lang w:val="sr-Latn-ME"/>
        </w:rPr>
        <w:t xml:space="preserve"> </w:t>
      </w:r>
      <w:r>
        <w:rPr>
          <w:sz w:val="22"/>
          <w:szCs w:val="22"/>
        </w:rPr>
        <w:t>ciklusa</w:t>
      </w:r>
      <w:r w:rsidRPr="00442616">
        <w:rPr>
          <w:sz w:val="22"/>
          <w:szCs w:val="22"/>
          <w:lang w:val="sr-Latn-ME"/>
        </w:rPr>
        <w:t xml:space="preserve">) </w:t>
      </w:r>
    </w:p>
    <w:p w14:paraId="3BF73CC3" w14:textId="77777777" w:rsidR="00E05379" w:rsidRPr="00442616" w:rsidRDefault="00E05379" w:rsidP="00BA76B8">
      <w:pPr>
        <w:tabs>
          <w:tab w:val="left" w:pos="284"/>
        </w:tabs>
        <w:ind w:left="956"/>
        <w:jc w:val="both"/>
        <w:rPr>
          <w:sz w:val="22"/>
          <w:szCs w:val="22"/>
          <w:lang w:val="sr-Latn-ME"/>
        </w:rPr>
      </w:pPr>
    </w:p>
    <w:p w14:paraId="5E3EFDE6" w14:textId="77777777" w:rsidR="00B05AA9" w:rsidRDefault="00B05AA9" w:rsidP="00641EEB">
      <w:pPr>
        <w:jc w:val="both"/>
        <w:rPr>
          <w:sz w:val="22"/>
          <w:szCs w:val="22"/>
          <w:lang w:val="fr-FR"/>
        </w:rPr>
      </w:pPr>
      <w:r>
        <w:rPr>
          <w:sz w:val="22"/>
          <w:szCs w:val="22"/>
          <w:lang w:val="fr-FR"/>
        </w:rPr>
        <w:t>Obje opcije su primjenjivane sa:</w:t>
      </w:r>
    </w:p>
    <w:p w14:paraId="319F555E" w14:textId="31F35661" w:rsidR="00B05AA9" w:rsidRDefault="00B05AA9" w:rsidP="00641EEB">
      <w:pPr>
        <w:numPr>
          <w:ilvl w:val="0"/>
          <w:numId w:val="21"/>
        </w:numPr>
        <w:tabs>
          <w:tab w:val="left" w:pos="284"/>
        </w:tabs>
        <w:jc w:val="both"/>
        <w:rPr>
          <w:sz w:val="22"/>
          <w:szCs w:val="22"/>
          <w:lang w:val="fr-FR"/>
        </w:rPr>
      </w:pPr>
      <w:proofErr w:type="gramStart"/>
      <w:r>
        <w:rPr>
          <w:sz w:val="22"/>
          <w:szCs w:val="22"/>
          <w:lang w:val="fr-FR"/>
        </w:rPr>
        <w:t>cisplatinom</w:t>
      </w:r>
      <w:proofErr w:type="gramEnd"/>
      <w:r>
        <w:rPr>
          <w:sz w:val="22"/>
          <w:szCs w:val="22"/>
          <w:lang w:val="fr-FR"/>
        </w:rPr>
        <w:t xml:space="preserve"> - 80 mg/m</w:t>
      </w:r>
      <w:r w:rsidRPr="00BA76B8">
        <w:rPr>
          <w:sz w:val="22"/>
          <w:szCs w:val="22"/>
          <w:vertAlign w:val="superscript"/>
          <w:lang w:val="fr-FR"/>
        </w:rPr>
        <w:t>2</w:t>
      </w:r>
      <w:r>
        <w:rPr>
          <w:sz w:val="22"/>
          <w:szCs w:val="22"/>
          <w:lang w:val="fr-FR"/>
        </w:rPr>
        <w:t xml:space="preserve"> svake 3 nedjelje u 6 ciklusa</w:t>
      </w:r>
      <w:r w:rsidR="009C5F89">
        <w:rPr>
          <w:sz w:val="22"/>
          <w:szCs w:val="22"/>
          <w:lang w:val="fr-FR"/>
        </w:rPr>
        <w:t>,</w:t>
      </w:r>
      <w:r>
        <w:rPr>
          <w:sz w:val="22"/>
          <w:szCs w:val="22"/>
          <w:lang w:val="fr-FR"/>
        </w:rPr>
        <w:t xml:space="preserve"> 1</w:t>
      </w:r>
      <w:r w:rsidR="009C5F89">
        <w:rPr>
          <w:sz w:val="22"/>
          <w:szCs w:val="22"/>
          <w:lang w:val="fr-FR"/>
        </w:rPr>
        <w:t>. dan</w:t>
      </w:r>
      <w:r>
        <w:rPr>
          <w:sz w:val="22"/>
          <w:szCs w:val="22"/>
          <w:lang w:val="fr-FR"/>
        </w:rPr>
        <w:t xml:space="preserve"> svakog ciklusa.</w:t>
      </w:r>
    </w:p>
    <w:p w14:paraId="489AD7CE" w14:textId="77777777" w:rsidR="00B05AA9" w:rsidRDefault="00B05AA9" w:rsidP="00641EEB">
      <w:pPr>
        <w:jc w:val="both"/>
        <w:rPr>
          <w:sz w:val="22"/>
          <w:szCs w:val="22"/>
          <w:lang w:val="fr-FR"/>
        </w:rPr>
      </w:pPr>
    </w:p>
    <w:p w14:paraId="7755DFCF" w14:textId="77777777" w:rsidR="00B05AA9" w:rsidRDefault="00B05AA9" w:rsidP="00641EEB">
      <w:pPr>
        <w:jc w:val="both"/>
        <w:rPr>
          <w:sz w:val="22"/>
          <w:szCs w:val="22"/>
          <w:lang w:val="fr-FR"/>
        </w:rPr>
      </w:pPr>
      <w:r>
        <w:rPr>
          <w:sz w:val="22"/>
          <w:szCs w:val="22"/>
          <w:lang w:val="fr-FR"/>
        </w:rPr>
        <w:t xml:space="preserve">Rezultati efikasnosti iz studije BO18225 su sumirani u Tabeli 13: </w:t>
      </w:r>
    </w:p>
    <w:p w14:paraId="6831A881" w14:textId="25DEAC35" w:rsidR="00B05AA9" w:rsidRPr="00442616" w:rsidRDefault="00B05AA9" w:rsidP="00641EEB">
      <w:pPr>
        <w:tabs>
          <w:tab w:val="left" w:pos="284"/>
        </w:tabs>
        <w:jc w:val="both"/>
        <w:rPr>
          <w:sz w:val="22"/>
          <w:szCs w:val="22"/>
          <w:lang w:val="fr-FR"/>
        </w:rPr>
      </w:pPr>
    </w:p>
    <w:p w14:paraId="03E619A6" w14:textId="77777777" w:rsidR="00B05AA9" w:rsidRDefault="00B05AA9" w:rsidP="00641EEB">
      <w:pPr>
        <w:keepNext/>
        <w:jc w:val="both"/>
        <w:rPr>
          <w:sz w:val="22"/>
          <w:szCs w:val="22"/>
          <w:u w:val="single"/>
          <w:lang w:val="hr-HR"/>
        </w:rPr>
      </w:pPr>
      <w:r>
        <w:rPr>
          <w:sz w:val="22"/>
          <w:szCs w:val="22"/>
          <w:u w:val="single"/>
          <w:lang w:val="hr-HR"/>
        </w:rPr>
        <w:t>Tabela 13 Rezultati efikasnosti iz Studije BO18225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134"/>
        <w:gridCol w:w="1134"/>
        <w:gridCol w:w="1801"/>
        <w:gridCol w:w="1227"/>
      </w:tblGrid>
      <w:tr w:rsidR="00B05AA9" w14:paraId="486D721E" w14:textId="77777777" w:rsidTr="00B05AA9">
        <w:tc>
          <w:tcPr>
            <w:tcW w:w="3227" w:type="dxa"/>
            <w:tcBorders>
              <w:top w:val="single" w:sz="4" w:space="0" w:color="auto"/>
              <w:left w:val="single" w:sz="4" w:space="0" w:color="auto"/>
              <w:bottom w:val="single" w:sz="4" w:space="0" w:color="auto"/>
              <w:right w:val="single" w:sz="4" w:space="0" w:color="auto"/>
            </w:tcBorders>
            <w:hideMark/>
          </w:tcPr>
          <w:p w14:paraId="2D729DC4" w14:textId="77777777" w:rsidR="00B05AA9" w:rsidRPr="00BA76B8" w:rsidRDefault="00B05AA9" w:rsidP="00BA76B8">
            <w:pPr>
              <w:tabs>
                <w:tab w:val="left" w:pos="284"/>
              </w:tabs>
              <w:rPr>
                <w:b/>
                <w:sz w:val="22"/>
                <w:szCs w:val="22"/>
                <w:lang w:val="sr-Latn-ME"/>
              </w:rPr>
            </w:pPr>
            <w:r w:rsidRPr="00BA76B8">
              <w:rPr>
                <w:b/>
                <w:sz w:val="22"/>
                <w:szCs w:val="22"/>
              </w:rPr>
              <w:t>Parametar</w:t>
            </w:r>
          </w:p>
        </w:tc>
        <w:tc>
          <w:tcPr>
            <w:tcW w:w="1134" w:type="dxa"/>
            <w:tcBorders>
              <w:top w:val="single" w:sz="4" w:space="0" w:color="auto"/>
              <w:left w:val="single" w:sz="4" w:space="0" w:color="auto"/>
              <w:bottom w:val="single" w:sz="4" w:space="0" w:color="auto"/>
              <w:right w:val="single" w:sz="4" w:space="0" w:color="auto"/>
            </w:tcBorders>
            <w:hideMark/>
          </w:tcPr>
          <w:p w14:paraId="211B4557" w14:textId="77777777" w:rsidR="00B05AA9" w:rsidRPr="00BA76B8" w:rsidRDefault="00B05AA9" w:rsidP="00641EEB">
            <w:pPr>
              <w:jc w:val="center"/>
              <w:rPr>
                <w:b/>
                <w:sz w:val="22"/>
                <w:szCs w:val="22"/>
              </w:rPr>
            </w:pPr>
            <w:r w:rsidRPr="00BA76B8">
              <w:rPr>
                <w:b/>
                <w:sz w:val="22"/>
                <w:szCs w:val="22"/>
              </w:rPr>
              <w:t>FP</w:t>
            </w:r>
          </w:p>
          <w:p w14:paraId="2E3FEBFB" w14:textId="77777777" w:rsidR="00B05AA9" w:rsidRPr="00BA76B8" w:rsidRDefault="00B05AA9" w:rsidP="00641EEB">
            <w:pPr>
              <w:tabs>
                <w:tab w:val="left" w:pos="284"/>
              </w:tabs>
              <w:jc w:val="center"/>
              <w:rPr>
                <w:b/>
                <w:sz w:val="22"/>
                <w:szCs w:val="22"/>
              </w:rPr>
            </w:pPr>
            <w:r w:rsidRPr="00BA76B8">
              <w:rPr>
                <w:b/>
                <w:sz w:val="22"/>
                <w:szCs w:val="22"/>
              </w:rPr>
              <w:t>N = 290</w:t>
            </w:r>
          </w:p>
        </w:tc>
        <w:tc>
          <w:tcPr>
            <w:tcW w:w="1134" w:type="dxa"/>
            <w:tcBorders>
              <w:top w:val="single" w:sz="4" w:space="0" w:color="auto"/>
              <w:left w:val="single" w:sz="4" w:space="0" w:color="auto"/>
              <w:bottom w:val="single" w:sz="4" w:space="0" w:color="auto"/>
              <w:right w:val="single" w:sz="4" w:space="0" w:color="auto"/>
            </w:tcBorders>
            <w:hideMark/>
          </w:tcPr>
          <w:p w14:paraId="654CB9B3" w14:textId="77777777" w:rsidR="00B05AA9" w:rsidRPr="00BA76B8" w:rsidRDefault="00B05AA9" w:rsidP="00641EEB">
            <w:pPr>
              <w:jc w:val="center"/>
              <w:rPr>
                <w:b/>
                <w:sz w:val="22"/>
                <w:szCs w:val="22"/>
              </w:rPr>
            </w:pPr>
            <w:r w:rsidRPr="00BA76B8">
              <w:rPr>
                <w:b/>
                <w:sz w:val="22"/>
                <w:szCs w:val="22"/>
              </w:rPr>
              <w:t>FP +H</w:t>
            </w:r>
          </w:p>
          <w:p w14:paraId="4B7CE6BD" w14:textId="77777777" w:rsidR="00B05AA9" w:rsidRPr="00BA76B8" w:rsidRDefault="00B05AA9" w:rsidP="00641EEB">
            <w:pPr>
              <w:tabs>
                <w:tab w:val="left" w:pos="284"/>
              </w:tabs>
              <w:jc w:val="center"/>
              <w:rPr>
                <w:b/>
                <w:sz w:val="22"/>
                <w:szCs w:val="22"/>
              </w:rPr>
            </w:pPr>
            <w:r w:rsidRPr="00BA76B8">
              <w:rPr>
                <w:b/>
                <w:sz w:val="22"/>
                <w:szCs w:val="22"/>
              </w:rPr>
              <w:t>N = 294</w:t>
            </w:r>
          </w:p>
        </w:tc>
        <w:tc>
          <w:tcPr>
            <w:tcW w:w="1801" w:type="dxa"/>
            <w:tcBorders>
              <w:top w:val="single" w:sz="4" w:space="0" w:color="auto"/>
              <w:left w:val="single" w:sz="4" w:space="0" w:color="auto"/>
              <w:bottom w:val="single" w:sz="4" w:space="0" w:color="auto"/>
              <w:right w:val="single" w:sz="4" w:space="0" w:color="auto"/>
            </w:tcBorders>
            <w:hideMark/>
          </w:tcPr>
          <w:p w14:paraId="11ACAAEB" w14:textId="77777777" w:rsidR="00B05AA9" w:rsidRPr="00BA76B8" w:rsidRDefault="00B05AA9" w:rsidP="00641EEB">
            <w:pPr>
              <w:tabs>
                <w:tab w:val="left" w:pos="284"/>
              </w:tabs>
              <w:jc w:val="center"/>
              <w:rPr>
                <w:b/>
                <w:sz w:val="22"/>
                <w:szCs w:val="22"/>
              </w:rPr>
            </w:pPr>
            <w:r w:rsidRPr="00BA76B8">
              <w:rPr>
                <w:b/>
                <w:sz w:val="22"/>
                <w:szCs w:val="22"/>
              </w:rPr>
              <w:t>HR (95% CI)</w:t>
            </w:r>
          </w:p>
        </w:tc>
        <w:tc>
          <w:tcPr>
            <w:tcW w:w="1227" w:type="dxa"/>
            <w:tcBorders>
              <w:top w:val="single" w:sz="4" w:space="0" w:color="auto"/>
              <w:left w:val="single" w:sz="4" w:space="0" w:color="auto"/>
              <w:bottom w:val="single" w:sz="4" w:space="0" w:color="auto"/>
              <w:right w:val="single" w:sz="4" w:space="0" w:color="auto"/>
            </w:tcBorders>
            <w:hideMark/>
          </w:tcPr>
          <w:p w14:paraId="2825AD13" w14:textId="77777777" w:rsidR="00B05AA9" w:rsidRPr="00BA76B8" w:rsidRDefault="00B05AA9" w:rsidP="00641EEB">
            <w:pPr>
              <w:tabs>
                <w:tab w:val="left" w:pos="284"/>
              </w:tabs>
              <w:jc w:val="center"/>
              <w:rPr>
                <w:b/>
                <w:sz w:val="22"/>
                <w:szCs w:val="22"/>
              </w:rPr>
            </w:pPr>
            <w:r w:rsidRPr="00BA76B8">
              <w:rPr>
                <w:b/>
                <w:sz w:val="22"/>
                <w:szCs w:val="22"/>
              </w:rPr>
              <w:t>p-value</w:t>
            </w:r>
          </w:p>
        </w:tc>
      </w:tr>
      <w:tr w:rsidR="00B05AA9" w14:paraId="540D6FFA" w14:textId="77777777" w:rsidTr="00B05AA9">
        <w:tc>
          <w:tcPr>
            <w:tcW w:w="3227" w:type="dxa"/>
            <w:tcBorders>
              <w:top w:val="single" w:sz="4" w:space="0" w:color="auto"/>
              <w:left w:val="single" w:sz="4" w:space="0" w:color="auto"/>
              <w:bottom w:val="single" w:sz="4" w:space="0" w:color="auto"/>
              <w:right w:val="single" w:sz="4" w:space="0" w:color="auto"/>
            </w:tcBorders>
            <w:hideMark/>
          </w:tcPr>
          <w:p w14:paraId="29BFB5ED" w14:textId="5F459C35" w:rsidR="00B05AA9" w:rsidRDefault="00B05AA9" w:rsidP="00BA76B8">
            <w:pPr>
              <w:tabs>
                <w:tab w:val="left" w:pos="284"/>
              </w:tabs>
              <w:rPr>
                <w:sz w:val="22"/>
                <w:szCs w:val="22"/>
                <w:lang w:val="es-ES_tradnl"/>
              </w:rPr>
            </w:pPr>
            <w:r>
              <w:rPr>
                <w:sz w:val="22"/>
                <w:szCs w:val="22"/>
                <w:lang w:val="es-ES_tradnl"/>
              </w:rPr>
              <w:t xml:space="preserve">Ukupno preživljavanje, </w:t>
            </w:r>
            <w:r w:rsidR="00EB202E">
              <w:rPr>
                <w:sz w:val="22"/>
                <w:szCs w:val="22"/>
                <w:lang w:val="es-ES_tradnl"/>
              </w:rPr>
              <w:t>m</w:t>
            </w:r>
            <w:r>
              <w:rPr>
                <w:sz w:val="22"/>
                <w:szCs w:val="22"/>
                <w:lang w:val="es-ES_tradnl"/>
              </w:rPr>
              <w:t>edijana u mjesecima</w:t>
            </w:r>
          </w:p>
        </w:tc>
        <w:tc>
          <w:tcPr>
            <w:tcW w:w="1134" w:type="dxa"/>
            <w:tcBorders>
              <w:top w:val="single" w:sz="4" w:space="0" w:color="auto"/>
              <w:left w:val="single" w:sz="4" w:space="0" w:color="auto"/>
              <w:bottom w:val="single" w:sz="4" w:space="0" w:color="auto"/>
              <w:right w:val="single" w:sz="4" w:space="0" w:color="auto"/>
            </w:tcBorders>
            <w:hideMark/>
          </w:tcPr>
          <w:p w14:paraId="3AB31473" w14:textId="77777777" w:rsidR="00B05AA9" w:rsidRDefault="00B05AA9" w:rsidP="00641EEB">
            <w:pPr>
              <w:tabs>
                <w:tab w:val="left" w:pos="284"/>
              </w:tabs>
              <w:jc w:val="center"/>
              <w:rPr>
                <w:sz w:val="22"/>
                <w:szCs w:val="22"/>
                <w:lang w:val="es-ES_tradnl"/>
              </w:rPr>
            </w:pPr>
            <w:r>
              <w:rPr>
                <w:sz w:val="22"/>
                <w:szCs w:val="22"/>
                <w:lang w:val="es-ES_tradnl"/>
              </w:rPr>
              <w:t>11.1</w:t>
            </w:r>
          </w:p>
        </w:tc>
        <w:tc>
          <w:tcPr>
            <w:tcW w:w="1134" w:type="dxa"/>
            <w:tcBorders>
              <w:top w:val="single" w:sz="4" w:space="0" w:color="auto"/>
              <w:left w:val="single" w:sz="4" w:space="0" w:color="auto"/>
              <w:bottom w:val="single" w:sz="4" w:space="0" w:color="auto"/>
              <w:right w:val="single" w:sz="4" w:space="0" w:color="auto"/>
            </w:tcBorders>
            <w:hideMark/>
          </w:tcPr>
          <w:p w14:paraId="032440F8" w14:textId="77777777" w:rsidR="00B05AA9" w:rsidRDefault="00B05AA9" w:rsidP="00641EEB">
            <w:pPr>
              <w:tabs>
                <w:tab w:val="left" w:pos="284"/>
              </w:tabs>
              <w:jc w:val="center"/>
              <w:rPr>
                <w:sz w:val="22"/>
                <w:szCs w:val="22"/>
                <w:lang w:val="es-ES_tradnl"/>
              </w:rPr>
            </w:pPr>
            <w:r>
              <w:rPr>
                <w:sz w:val="22"/>
                <w:szCs w:val="22"/>
                <w:lang w:val="es-ES_tradnl"/>
              </w:rPr>
              <w:t>13.8</w:t>
            </w:r>
          </w:p>
        </w:tc>
        <w:tc>
          <w:tcPr>
            <w:tcW w:w="1801" w:type="dxa"/>
            <w:tcBorders>
              <w:top w:val="single" w:sz="4" w:space="0" w:color="auto"/>
              <w:left w:val="single" w:sz="4" w:space="0" w:color="auto"/>
              <w:bottom w:val="single" w:sz="4" w:space="0" w:color="auto"/>
              <w:right w:val="single" w:sz="4" w:space="0" w:color="auto"/>
            </w:tcBorders>
            <w:hideMark/>
          </w:tcPr>
          <w:p w14:paraId="20DD1E9F" w14:textId="77777777" w:rsidR="00B05AA9" w:rsidRDefault="00B05AA9" w:rsidP="00641EEB">
            <w:pPr>
              <w:tabs>
                <w:tab w:val="left" w:pos="284"/>
              </w:tabs>
              <w:jc w:val="center"/>
              <w:rPr>
                <w:sz w:val="22"/>
                <w:szCs w:val="22"/>
                <w:lang w:val="es-ES_tradnl"/>
              </w:rPr>
            </w:pPr>
            <w:r>
              <w:rPr>
                <w:sz w:val="22"/>
                <w:szCs w:val="22"/>
                <w:lang w:val="es-ES_tradnl"/>
              </w:rPr>
              <w:t>0.74 (0.60-0.91)</w:t>
            </w:r>
          </w:p>
        </w:tc>
        <w:tc>
          <w:tcPr>
            <w:tcW w:w="1227" w:type="dxa"/>
            <w:tcBorders>
              <w:top w:val="single" w:sz="4" w:space="0" w:color="auto"/>
              <w:left w:val="single" w:sz="4" w:space="0" w:color="auto"/>
              <w:bottom w:val="single" w:sz="4" w:space="0" w:color="auto"/>
              <w:right w:val="single" w:sz="4" w:space="0" w:color="auto"/>
            </w:tcBorders>
            <w:hideMark/>
          </w:tcPr>
          <w:p w14:paraId="5DEC79E7" w14:textId="77777777" w:rsidR="00B05AA9" w:rsidRDefault="00B05AA9" w:rsidP="00641EEB">
            <w:pPr>
              <w:tabs>
                <w:tab w:val="left" w:pos="284"/>
              </w:tabs>
              <w:jc w:val="center"/>
              <w:rPr>
                <w:sz w:val="22"/>
                <w:szCs w:val="22"/>
                <w:lang w:val="es-ES_tradnl"/>
              </w:rPr>
            </w:pPr>
            <w:r>
              <w:rPr>
                <w:sz w:val="22"/>
                <w:szCs w:val="22"/>
                <w:lang w:val="es-ES_tradnl"/>
              </w:rPr>
              <w:t>0.0046</w:t>
            </w:r>
          </w:p>
        </w:tc>
      </w:tr>
      <w:tr w:rsidR="00B05AA9" w14:paraId="0EC68DE9" w14:textId="77777777" w:rsidTr="00B05AA9">
        <w:tc>
          <w:tcPr>
            <w:tcW w:w="3227" w:type="dxa"/>
            <w:tcBorders>
              <w:top w:val="single" w:sz="4" w:space="0" w:color="auto"/>
              <w:left w:val="single" w:sz="4" w:space="0" w:color="auto"/>
              <w:bottom w:val="single" w:sz="4" w:space="0" w:color="auto"/>
              <w:right w:val="single" w:sz="4" w:space="0" w:color="auto"/>
            </w:tcBorders>
            <w:hideMark/>
          </w:tcPr>
          <w:p w14:paraId="228DBA97" w14:textId="0C867659" w:rsidR="00B05AA9" w:rsidRDefault="00B05AA9" w:rsidP="00BA76B8">
            <w:pPr>
              <w:tabs>
                <w:tab w:val="left" w:pos="284"/>
              </w:tabs>
              <w:rPr>
                <w:sz w:val="22"/>
                <w:szCs w:val="22"/>
                <w:lang w:val="es-ES_tradnl"/>
              </w:rPr>
            </w:pPr>
            <w:r>
              <w:rPr>
                <w:sz w:val="22"/>
                <w:szCs w:val="22"/>
                <w:lang w:val="es-ES_tradnl"/>
              </w:rPr>
              <w:t xml:space="preserve">Preživljavanje bez progresije bolesti, </w:t>
            </w:r>
            <w:r w:rsidR="00EB202E">
              <w:rPr>
                <w:sz w:val="22"/>
                <w:szCs w:val="22"/>
                <w:lang w:val="es-ES_tradnl"/>
              </w:rPr>
              <w:t>m</w:t>
            </w:r>
            <w:r>
              <w:rPr>
                <w:sz w:val="22"/>
                <w:szCs w:val="22"/>
                <w:lang w:val="es-ES_tradnl"/>
              </w:rPr>
              <w:t>edijana u mjesecima</w:t>
            </w:r>
          </w:p>
        </w:tc>
        <w:tc>
          <w:tcPr>
            <w:tcW w:w="1134" w:type="dxa"/>
            <w:tcBorders>
              <w:top w:val="single" w:sz="4" w:space="0" w:color="auto"/>
              <w:left w:val="single" w:sz="4" w:space="0" w:color="auto"/>
              <w:bottom w:val="single" w:sz="4" w:space="0" w:color="auto"/>
              <w:right w:val="single" w:sz="4" w:space="0" w:color="auto"/>
            </w:tcBorders>
            <w:hideMark/>
          </w:tcPr>
          <w:p w14:paraId="323BF47E" w14:textId="77777777" w:rsidR="00B05AA9" w:rsidRDefault="00B05AA9" w:rsidP="00641EEB">
            <w:pPr>
              <w:tabs>
                <w:tab w:val="left" w:pos="284"/>
              </w:tabs>
              <w:jc w:val="center"/>
              <w:rPr>
                <w:sz w:val="22"/>
                <w:szCs w:val="22"/>
                <w:lang w:val="es-ES_tradnl"/>
              </w:rPr>
            </w:pPr>
            <w:r>
              <w:rPr>
                <w:sz w:val="22"/>
                <w:szCs w:val="22"/>
                <w:lang w:val="es-ES_tradnl"/>
              </w:rPr>
              <w:t>5.5</w:t>
            </w:r>
          </w:p>
        </w:tc>
        <w:tc>
          <w:tcPr>
            <w:tcW w:w="1134" w:type="dxa"/>
            <w:tcBorders>
              <w:top w:val="single" w:sz="4" w:space="0" w:color="auto"/>
              <w:left w:val="single" w:sz="4" w:space="0" w:color="auto"/>
              <w:bottom w:val="single" w:sz="4" w:space="0" w:color="auto"/>
              <w:right w:val="single" w:sz="4" w:space="0" w:color="auto"/>
            </w:tcBorders>
            <w:hideMark/>
          </w:tcPr>
          <w:p w14:paraId="411F641C" w14:textId="77777777" w:rsidR="00B05AA9" w:rsidRDefault="00B05AA9" w:rsidP="00641EEB">
            <w:pPr>
              <w:tabs>
                <w:tab w:val="left" w:pos="284"/>
              </w:tabs>
              <w:jc w:val="center"/>
              <w:rPr>
                <w:sz w:val="22"/>
                <w:szCs w:val="22"/>
                <w:lang w:val="es-ES_tradnl"/>
              </w:rPr>
            </w:pPr>
            <w:r>
              <w:rPr>
                <w:sz w:val="22"/>
                <w:szCs w:val="22"/>
                <w:lang w:val="es-ES_tradnl"/>
              </w:rPr>
              <w:t>6.7</w:t>
            </w:r>
          </w:p>
        </w:tc>
        <w:tc>
          <w:tcPr>
            <w:tcW w:w="1801" w:type="dxa"/>
            <w:tcBorders>
              <w:top w:val="single" w:sz="4" w:space="0" w:color="auto"/>
              <w:left w:val="single" w:sz="4" w:space="0" w:color="auto"/>
              <w:bottom w:val="single" w:sz="4" w:space="0" w:color="auto"/>
              <w:right w:val="single" w:sz="4" w:space="0" w:color="auto"/>
            </w:tcBorders>
            <w:hideMark/>
          </w:tcPr>
          <w:p w14:paraId="6C5053F2" w14:textId="77777777" w:rsidR="00B05AA9" w:rsidRDefault="00B05AA9" w:rsidP="00641EEB">
            <w:pPr>
              <w:tabs>
                <w:tab w:val="left" w:pos="284"/>
              </w:tabs>
              <w:jc w:val="center"/>
              <w:rPr>
                <w:sz w:val="22"/>
                <w:szCs w:val="22"/>
                <w:lang w:val="es-ES_tradnl"/>
              </w:rPr>
            </w:pPr>
            <w:r>
              <w:rPr>
                <w:sz w:val="22"/>
                <w:szCs w:val="22"/>
                <w:lang w:val="es-ES_tradnl"/>
              </w:rPr>
              <w:t>0.71 (0.59-0.85)</w:t>
            </w:r>
          </w:p>
        </w:tc>
        <w:tc>
          <w:tcPr>
            <w:tcW w:w="1227" w:type="dxa"/>
            <w:tcBorders>
              <w:top w:val="single" w:sz="4" w:space="0" w:color="auto"/>
              <w:left w:val="single" w:sz="4" w:space="0" w:color="auto"/>
              <w:bottom w:val="single" w:sz="4" w:space="0" w:color="auto"/>
              <w:right w:val="single" w:sz="4" w:space="0" w:color="auto"/>
            </w:tcBorders>
            <w:hideMark/>
          </w:tcPr>
          <w:p w14:paraId="60B15995" w14:textId="77777777" w:rsidR="00B05AA9" w:rsidRDefault="00B05AA9" w:rsidP="00641EEB">
            <w:pPr>
              <w:tabs>
                <w:tab w:val="left" w:pos="284"/>
              </w:tabs>
              <w:jc w:val="center"/>
              <w:rPr>
                <w:sz w:val="22"/>
                <w:szCs w:val="22"/>
                <w:lang w:val="es-ES_tradnl"/>
              </w:rPr>
            </w:pPr>
            <w:r>
              <w:rPr>
                <w:sz w:val="22"/>
                <w:szCs w:val="22"/>
                <w:lang w:val="es-ES_tradnl"/>
              </w:rPr>
              <w:t>0.0002</w:t>
            </w:r>
          </w:p>
        </w:tc>
      </w:tr>
      <w:tr w:rsidR="00B05AA9" w14:paraId="35DFA342" w14:textId="77777777" w:rsidTr="00B05AA9">
        <w:tc>
          <w:tcPr>
            <w:tcW w:w="3227" w:type="dxa"/>
            <w:tcBorders>
              <w:top w:val="single" w:sz="4" w:space="0" w:color="auto"/>
              <w:left w:val="single" w:sz="4" w:space="0" w:color="auto"/>
              <w:bottom w:val="single" w:sz="4" w:space="0" w:color="auto"/>
              <w:right w:val="single" w:sz="4" w:space="0" w:color="auto"/>
            </w:tcBorders>
            <w:hideMark/>
          </w:tcPr>
          <w:p w14:paraId="723EE2E2" w14:textId="1D76E6B0" w:rsidR="00B05AA9" w:rsidRDefault="00B05AA9" w:rsidP="00BA76B8">
            <w:pPr>
              <w:tabs>
                <w:tab w:val="left" w:pos="284"/>
              </w:tabs>
              <w:rPr>
                <w:sz w:val="22"/>
                <w:szCs w:val="22"/>
                <w:lang w:val="es-ES_tradnl"/>
              </w:rPr>
            </w:pPr>
            <w:r>
              <w:rPr>
                <w:sz w:val="22"/>
                <w:szCs w:val="22"/>
                <w:lang w:val="es-ES_tradnl"/>
              </w:rPr>
              <w:t xml:space="preserve">Vrijeme do progresije bolesti, </w:t>
            </w:r>
            <w:r w:rsidR="00EB202E">
              <w:rPr>
                <w:sz w:val="22"/>
                <w:szCs w:val="22"/>
                <w:lang w:val="es-ES_tradnl"/>
              </w:rPr>
              <w:t>m</w:t>
            </w:r>
            <w:r>
              <w:rPr>
                <w:sz w:val="22"/>
                <w:szCs w:val="22"/>
                <w:lang w:val="es-ES_tradnl"/>
              </w:rPr>
              <w:t>edijana u mjesecima</w:t>
            </w:r>
          </w:p>
        </w:tc>
        <w:tc>
          <w:tcPr>
            <w:tcW w:w="1134" w:type="dxa"/>
            <w:tcBorders>
              <w:top w:val="single" w:sz="4" w:space="0" w:color="auto"/>
              <w:left w:val="single" w:sz="4" w:space="0" w:color="auto"/>
              <w:bottom w:val="single" w:sz="4" w:space="0" w:color="auto"/>
              <w:right w:val="single" w:sz="4" w:space="0" w:color="auto"/>
            </w:tcBorders>
            <w:hideMark/>
          </w:tcPr>
          <w:p w14:paraId="7192DDA0" w14:textId="77777777" w:rsidR="00B05AA9" w:rsidRDefault="00B05AA9" w:rsidP="00641EEB">
            <w:pPr>
              <w:tabs>
                <w:tab w:val="left" w:pos="284"/>
              </w:tabs>
              <w:jc w:val="center"/>
              <w:rPr>
                <w:sz w:val="22"/>
                <w:szCs w:val="22"/>
                <w:lang w:val="es-ES_tradnl"/>
              </w:rPr>
            </w:pPr>
            <w:r>
              <w:rPr>
                <w:sz w:val="22"/>
                <w:szCs w:val="22"/>
                <w:lang w:val="es-ES_tradnl"/>
              </w:rPr>
              <w:t>5.6</w:t>
            </w:r>
          </w:p>
        </w:tc>
        <w:tc>
          <w:tcPr>
            <w:tcW w:w="1134" w:type="dxa"/>
            <w:tcBorders>
              <w:top w:val="single" w:sz="4" w:space="0" w:color="auto"/>
              <w:left w:val="single" w:sz="4" w:space="0" w:color="auto"/>
              <w:bottom w:val="single" w:sz="4" w:space="0" w:color="auto"/>
              <w:right w:val="single" w:sz="4" w:space="0" w:color="auto"/>
            </w:tcBorders>
            <w:hideMark/>
          </w:tcPr>
          <w:p w14:paraId="2A4D4820" w14:textId="77777777" w:rsidR="00B05AA9" w:rsidRDefault="00B05AA9" w:rsidP="00641EEB">
            <w:pPr>
              <w:tabs>
                <w:tab w:val="left" w:pos="284"/>
              </w:tabs>
              <w:jc w:val="center"/>
              <w:rPr>
                <w:sz w:val="22"/>
                <w:szCs w:val="22"/>
                <w:lang w:val="es-ES_tradnl"/>
              </w:rPr>
            </w:pPr>
            <w:r>
              <w:rPr>
                <w:sz w:val="22"/>
                <w:szCs w:val="22"/>
                <w:lang w:val="es-ES_tradnl"/>
              </w:rPr>
              <w:t>7.1</w:t>
            </w:r>
          </w:p>
        </w:tc>
        <w:tc>
          <w:tcPr>
            <w:tcW w:w="1801" w:type="dxa"/>
            <w:tcBorders>
              <w:top w:val="single" w:sz="4" w:space="0" w:color="auto"/>
              <w:left w:val="single" w:sz="4" w:space="0" w:color="auto"/>
              <w:bottom w:val="single" w:sz="4" w:space="0" w:color="auto"/>
              <w:right w:val="single" w:sz="4" w:space="0" w:color="auto"/>
            </w:tcBorders>
            <w:hideMark/>
          </w:tcPr>
          <w:p w14:paraId="71D4B6FC" w14:textId="77777777" w:rsidR="00B05AA9" w:rsidRDefault="00B05AA9" w:rsidP="00641EEB">
            <w:pPr>
              <w:tabs>
                <w:tab w:val="left" w:pos="284"/>
              </w:tabs>
              <w:jc w:val="center"/>
              <w:rPr>
                <w:sz w:val="22"/>
                <w:szCs w:val="22"/>
                <w:lang w:val="es-ES_tradnl"/>
              </w:rPr>
            </w:pPr>
            <w:r>
              <w:rPr>
                <w:sz w:val="22"/>
                <w:szCs w:val="22"/>
                <w:lang w:val="es-ES_tradnl"/>
              </w:rPr>
              <w:t>0.70 (0.58-0.85)</w:t>
            </w:r>
          </w:p>
        </w:tc>
        <w:tc>
          <w:tcPr>
            <w:tcW w:w="1227" w:type="dxa"/>
            <w:tcBorders>
              <w:top w:val="single" w:sz="4" w:space="0" w:color="auto"/>
              <w:left w:val="single" w:sz="4" w:space="0" w:color="auto"/>
              <w:bottom w:val="single" w:sz="4" w:space="0" w:color="auto"/>
              <w:right w:val="single" w:sz="4" w:space="0" w:color="auto"/>
            </w:tcBorders>
            <w:hideMark/>
          </w:tcPr>
          <w:p w14:paraId="087CC6B4" w14:textId="77777777" w:rsidR="00B05AA9" w:rsidRDefault="00B05AA9" w:rsidP="00641EEB">
            <w:pPr>
              <w:tabs>
                <w:tab w:val="left" w:pos="284"/>
              </w:tabs>
              <w:jc w:val="center"/>
              <w:rPr>
                <w:sz w:val="22"/>
                <w:szCs w:val="22"/>
                <w:lang w:val="es-ES_tradnl"/>
              </w:rPr>
            </w:pPr>
            <w:r>
              <w:rPr>
                <w:sz w:val="22"/>
                <w:szCs w:val="22"/>
                <w:lang w:val="es-ES_tradnl"/>
              </w:rPr>
              <w:t>0.0003</w:t>
            </w:r>
          </w:p>
        </w:tc>
      </w:tr>
      <w:tr w:rsidR="00B05AA9" w14:paraId="52E79939" w14:textId="77777777" w:rsidTr="00B05AA9">
        <w:tc>
          <w:tcPr>
            <w:tcW w:w="3227" w:type="dxa"/>
            <w:tcBorders>
              <w:top w:val="single" w:sz="4" w:space="0" w:color="auto"/>
              <w:left w:val="single" w:sz="4" w:space="0" w:color="auto"/>
              <w:bottom w:val="single" w:sz="4" w:space="0" w:color="auto"/>
              <w:right w:val="single" w:sz="4" w:space="0" w:color="auto"/>
            </w:tcBorders>
            <w:hideMark/>
          </w:tcPr>
          <w:p w14:paraId="5F86F9D6" w14:textId="77777777" w:rsidR="00B05AA9" w:rsidRDefault="00B05AA9" w:rsidP="00BA76B8">
            <w:pPr>
              <w:tabs>
                <w:tab w:val="left" w:pos="284"/>
              </w:tabs>
              <w:rPr>
                <w:sz w:val="22"/>
                <w:szCs w:val="22"/>
                <w:lang w:val="es-ES_tradnl"/>
              </w:rPr>
            </w:pPr>
            <w:r>
              <w:rPr>
                <w:sz w:val="22"/>
                <w:szCs w:val="22"/>
                <w:lang w:val="es-ES_tradnl"/>
              </w:rPr>
              <w:t>Stopa ukupnog odgovora, %</w:t>
            </w:r>
          </w:p>
        </w:tc>
        <w:tc>
          <w:tcPr>
            <w:tcW w:w="1134" w:type="dxa"/>
            <w:tcBorders>
              <w:top w:val="single" w:sz="4" w:space="0" w:color="auto"/>
              <w:left w:val="single" w:sz="4" w:space="0" w:color="auto"/>
              <w:bottom w:val="single" w:sz="4" w:space="0" w:color="auto"/>
              <w:right w:val="single" w:sz="4" w:space="0" w:color="auto"/>
            </w:tcBorders>
            <w:hideMark/>
          </w:tcPr>
          <w:p w14:paraId="582B5EEE" w14:textId="77777777" w:rsidR="00B05AA9" w:rsidRDefault="00B05AA9" w:rsidP="00641EEB">
            <w:pPr>
              <w:tabs>
                <w:tab w:val="left" w:pos="284"/>
              </w:tabs>
              <w:jc w:val="center"/>
              <w:rPr>
                <w:sz w:val="22"/>
                <w:szCs w:val="22"/>
                <w:lang w:val="es-ES_tradnl"/>
              </w:rPr>
            </w:pPr>
            <w:r>
              <w:rPr>
                <w:sz w:val="22"/>
                <w:szCs w:val="22"/>
                <w:lang w:val="es-ES_tradnl"/>
              </w:rPr>
              <w:t>34.5%</w:t>
            </w:r>
          </w:p>
        </w:tc>
        <w:tc>
          <w:tcPr>
            <w:tcW w:w="1134" w:type="dxa"/>
            <w:tcBorders>
              <w:top w:val="single" w:sz="4" w:space="0" w:color="auto"/>
              <w:left w:val="single" w:sz="4" w:space="0" w:color="auto"/>
              <w:bottom w:val="single" w:sz="4" w:space="0" w:color="auto"/>
              <w:right w:val="single" w:sz="4" w:space="0" w:color="auto"/>
            </w:tcBorders>
            <w:hideMark/>
          </w:tcPr>
          <w:p w14:paraId="12E5C8A6" w14:textId="77777777" w:rsidR="00B05AA9" w:rsidRDefault="00B05AA9" w:rsidP="00641EEB">
            <w:pPr>
              <w:tabs>
                <w:tab w:val="left" w:pos="284"/>
              </w:tabs>
              <w:jc w:val="center"/>
              <w:rPr>
                <w:sz w:val="22"/>
                <w:szCs w:val="22"/>
                <w:lang w:val="es-ES_tradnl"/>
              </w:rPr>
            </w:pPr>
            <w:r>
              <w:rPr>
                <w:sz w:val="22"/>
                <w:szCs w:val="22"/>
                <w:lang w:val="es-ES_tradnl"/>
              </w:rPr>
              <w:t>47.3%</w:t>
            </w:r>
          </w:p>
        </w:tc>
        <w:tc>
          <w:tcPr>
            <w:tcW w:w="1801" w:type="dxa"/>
            <w:tcBorders>
              <w:top w:val="single" w:sz="4" w:space="0" w:color="auto"/>
              <w:left w:val="single" w:sz="4" w:space="0" w:color="auto"/>
              <w:bottom w:val="single" w:sz="4" w:space="0" w:color="auto"/>
              <w:right w:val="single" w:sz="4" w:space="0" w:color="auto"/>
            </w:tcBorders>
            <w:hideMark/>
          </w:tcPr>
          <w:p w14:paraId="144F4945" w14:textId="77777777" w:rsidR="00B05AA9" w:rsidRDefault="00B05AA9" w:rsidP="00641EEB">
            <w:pPr>
              <w:tabs>
                <w:tab w:val="left" w:pos="284"/>
              </w:tabs>
              <w:jc w:val="center"/>
              <w:rPr>
                <w:sz w:val="22"/>
                <w:szCs w:val="22"/>
                <w:lang w:val="es-ES_tradnl"/>
              </w:rPr>
            </w:pPr>
            <w:r>
              <w:rPr>
                <w:sz w:val="22"/>
                <w:szCs w:val="22"/>
                <w:lang w:val="es-ES_tradnl"/>
              </w:rPr>
              <w:t>1.70</w:t>
            </w:r>
            <w:r>
              <w:rPr>
                <w:sz w:val="22"/>
                <w:szCs w:val="22"/>
                <w:vertAlign w:val="superscript"/>
                <w:lang w:val="es-ES_tradnl"/>
              </w:rPr>
              <w:t>a</w:t>
            </w:r>
            <w:r>
              <w:rPr>
                <w:sz w:val="22"/>
                <w:szCs w:val="22"/>
                <w:lang w:val="es-ES_tradnl"/>
              </w:rPr>
              <w:t xml:space="preserve"> (1.22, 2.38)</w:t>
            </w:r>
          </w:p>
        </w:tc>
        <w:tc>
          <w:tcPr>
            <w:tcW w:w="1227" w:type="dxa"/>
            <w:tcBorders>
              <w:top w:val="single" w:sz="4" w:space="0" w:color="auto"/>
              <w:left w:val="single" w:sz="4" w:space="0" w:color="auto"/>
              <w:bottom w:val="single" w:sz="4" w:space="0" w:color="auto"/>
              <w:right w:val="single" w:sz="4" w:space="0" w:color="auto"/>
            </w:tcBorders>
            <w:hideMark/>
          </w:tcPr>
          <w:p w14:paraId="40BAA20D" w14:textId="77777777" w:rsidR="00B05AA9" w:rsidRDefault="00B05AA9" w:rsidP="00641EEB">
            <w:pPr>
              <w:tabs>
                <w:tab w:val="left" w:pos="284"/>
              </w:tabs>
              <w:jc w:val="center"/>
              <w:rPr>
                <w:sz w:val="22"/>
                <w:szCs w:val="22"/>
                <w:lang w:val="es-ES_tradnl"/>
              </w:rPr>
            </w:pPr>
            <w:r>
              <w:rPr>
                <w:sz w:val="22"/>
                <w:szCs w:val="22"/>
                <w:lang w:val="es-ES_tradnl"/>
              </w:rPr>
              <w:t>0.0017</w:t>
            </w:r>
          </w:p>
        </w:tc>
      </w:tr>
      <w:tr w:rsidR="00B05AA9" w14:paraId="3029B0D1" w14:textId="77777777" w:rsidTr="00B05AA9">
        <w:tc>
          <w:tcPr>
            <w:tcW w:w="3227" w:type="dxa"/>
            <w:tcBorders>
              <w:top w:val="single" w:sz="4" w:space="0" w:color="auto"/>
              <w:left w:val="single" w:sz="4" w:space="0" w:color="auto"/>
              <w:bottom w:val="single" w:sz="4" w:space="0" w:color="auto"/>
              <w:right w:val="single" w:sz="4" w:space="0" w:color="auto"/>
            </w:tcBorders>
            <w:hideMark/>
          </w:tcPr>
          <w:p w14:paraId="19EE0B02" w14:textId="757CA3CF" w:rsidR="00B05AA9" w:rsidRDefault="00B05AA9" w:rsidP="00BA76B8">
            <w:pPr>
              <w:tabs>
                <w:tab w:val="left" w:pos="284"/>
              </w:tabs>
              <w:rPr>
                <w:sz w:val="22"/>
                <w:szCs w:val="22"/>
                <w:lang w:val="es-ES_tradnl"/>
              </w:rPr>
            </w:pPr>
            <w:r>
              <w:rPr>
                <w:sz w:val="22"/>
                <w:szCs w:val="22"/>
                <w:lang w:val="es-ES_tradnl"/>
              </w:rPr>
              <w:lastRenderedPageBreak/>
              <w:t xml:space="preserve">Trajanje odgovora, </w:t>
            </w:r>
            <w:r w:rsidR="00EB202E">
              <w:rPr>
                <w:sz w:val="22"/>
                <w:szCs w:val="22"/>
                <w:lang w:val="es-ES_tradnl"/>
              </w:rPr>
              <w:t>m</w:t>
            </w:r>
            <w:r>
              <w:rPr>
                <w:sz w:val="22"/>
                <w:szCs w:val="22"/>
                <w:lang w:val="es-ES_tradnl"/>
              </w:rPr>
              <w:t>edijana u mjesecima</w:t>
            </w:r>
          </w:p>
        </w:tc>
        <w:tc>
          <w:tcPr>
            <w:tcW w:w="1134" w:type="dxa"/>
            <w:tcBorders>
              <w:top w:val="single" w:sz="4" w:space="0" w:color="auto"/>
              <w:left w:val="single" w:sz="4" w:space="0" w:color="auto"/>
              <w:bottom w:val="single" w:sz="4" w:space="0" w:color="auto"/>
              <w:right w:val="single" w:sz="4" w:space="0" w:color="auto"/>
            </w:tcBorders>
            <w:hideMark/>
          </w:tcPr>
          <w:p w14:paraId="5C290366" w14:textId="77777777" w:rsidR="00B05AA9" w:rsidRDefault="00B05AA9" w:rsidP="00641EEB">
            <w:pPr>
              <w:tabs>
                <w:tab w:val="left" w:pos="284"/>
              </w:tabs>
              <w:jc w:val="center"/>
              <w:rPr>
                <w:sz w:val="22"/>
                <w:szCs w:val="22"/>
                <w:lang w:val="es-ES_tradnl"/>
              </w:rPr>
            </w:pPr>
            <w:r>
              <w:rPr>
                <w:sz w:val="22"/>
                <w:szCs w:val="22"/>
                <w:lang w:val="es-ES_tradnl"/>
              </w:rPr>
              <w:t>4.8</w:t>
            </w:r>
          </w:p>
        </w:tc>
        <w:tc>
          <w:tcPr>
            <w:tcW w:w="1134" w:type="dxa"/>
            <w:tcBorders>
              <w:top w:val="single" w:sz="4" w:space="0" w:color="auto"/>
              <w:left w:val="single" w:sz="4" w:space="0" w:color="auto"/>
              <w:bottom w:val="single" w:sz="4" w:space="0" w:color="auto"/>
              <w:right w:val="single" w:sz="4" w:space="0" w:color="auto"/>
            </w:tcBorders>
            <w:hideMark/>
          </w:tcPr>
          <w:p w14:paraId="2C743852" w14:textId="77777777" w:rsidR="00B05AA9" w:rsidRDefault="00B05AA9" w:rsidP="00641EEB">
            <w:pPr>
              <w:tabs>
                <w:tab w:val="left" w:pos="284"/>
              </w:tabs>
              <w:jc w:val="center"/>
              <w:rPr>
                <w:sz w:val="22"/>
                <w:szCs w:val="22"/>
                <w:lang w:val="es-ES_tradnl"/>
              </w:rPr>
            </w:pPr>
            <w:r>
              <w:rPr>
                <w:sz w:val="22"/>
                <w:szCs w:val="22"/>
                <w:lang w:val="es-ES_tradnl"/>
              </w:rPr>
              <w:t>6.9</w:t>
            </w:r>
          </w:p>
        </w:tc>
        <w:tc>
          <w:tcPr>
            <w:tcW w:w="1801" w:type="dxa"/>
            <w:tcBorders>
              <w:top w:val="single" w:sz="4" w:space="0" w:color="auto"/>
              <w:left w:val="single" w:sz="4" w:space="0" w:color="auto"/>
              <w:bottom w:val="single" w:sz="4" w:space="0" w:color="auto"/>
              <w:right w:val="single" w:sz="4" w:space="0" w:color="auto"/>
            </w:tcBorders>
            <w:hideMark/>
          </w:tcPr>
          <w:p w14:paraId="01A17A95" w14:textId="77777777" w:rsidR="00B05AA9" w:rsidRDefault="00B05AA9" w:rsidP="00641EEB">
            <w:pPr>
              <w:tabs>
                <w:tab w:val="left" w:pos="284"/>
              </w:tabs>
              <w:jc w:val="center"/>
              <w:rPr>
                <w:sz w:val="22"/>
                <w:szCs w:val="22"/>
                <w:lang w:val="es-ES_tradnl"/>
              </w:rPr>
            </w:pPr>
            <w:r>
              <w:rPr>
                <w:sz w:val="22"/>
                <w:szCs w:val="22"/>
                <w:lang w:val="es-ES_tradnl"/>
              </w:rPr>
              <w:t>0.54 (0.40-0.73)</w:t>
            </w:r>
          </w:p>
        </w:tc>
        <w:tc>
          <w:tcPr>
            <w:tcW w:w="1227" w:type="dxa"/>
            <w:tcBorders>
              <w:top w:val="single" w:sz="4" w:space="0" w:color="auto"/>
              <w:left w:val="single" w:sz="4" w:space="0" w:color="auto"/>
              <w:bottom w:val="single" w:sz="4" w:space="0" w:color="auto"/>
              <w:right w:val="single" w:sz="4" w:space="0" w:color="auto"/>
            </w:tcBorders>
            <w:hideMark/>
          </w:tcPr>
          <w:p w14:paraId="2AE862F9" w14:textId="77777777" w:rsidR="00B05AA9" w:rsidRDefault="00B05AA9" w:rsidP="00641EEB">
            <w:pPr>
              <w:tabs>
                <w:tab w:val="left" w:pos="284"/>
              </w:tabs>
              <w:jc w:val="center"/>
              <w:rPr>
                <w:sz w:val="22"/>
                <w:szCs w:val="22"/>
                <w:lang w:val="es-ES_tradnl"/>
              </w:rPr>
            </w:pPr>
            <w:r>
              <w:rPr>
                <w:sz w:val="22"/>
                <w:szCs w:val="22"/>
                <w:lang w:val="es-ES_tradnl"/>
              </w:rPr>
              <w:t>&lt; 0.0001</w:t>
            </w:r>
          </w:p>
        </w:tc>
      </w:tr>
    </w:tbl>
    <w:p w14:paraId="4A711668" w14:textId="77777777" w:rsidR="00B05AA9" w:rsidRPr="009D4A69" w:rsidRDefault="00B05AA9" w:rsidP="00641EEB">
      <w:pPr>
        <w:jc w:val="both"/>
        <w:rPr>
          <w:sz w:val="20"/>
          <w:szCs w:val="20"/>
          <w:lang w:val="es-ES_tradnl"/>
        </w:rPr>
      </w:pPr>
      <w:r w:rsidRPr="009D4A69">
        <w:rPr>
          <w:sz w:val="20"/>
          <w:szCs w:val="20"/>
          <w:lang w:val="es-ES_tradnl"/>
        </w:rPr>
        <w:t>FP + H: Fluoropirimidin/</w:t>
      </w:r>
      <w:proofErr w:type="gramStart"/>
      <w:r w:rsidRPr="009D4A69">
        <w:rPr>
          <w:sz w:val="20"/>
          <w:szCs w:val="20"/>
          <w:lang w:val="es-ES_tradnl"/>
        </w:rPr>
        <w:t>cisplatin  +</w:t>
      </w:r>
      <w:proofErr w:type="gramEnd"/>
      <w:r w:rsidRPr="009D4A69">
        <w:rPr>
          <w:sz w:val="20"/>
          <w:szCs w:val="20"/>
          <w:lang w:val="es-ES_tradnl"/>
        </w:rPr>
        <w:t xml:space="preserve"> Herceptin </w:t>
      </w:r>
    </w:p>
    <w:p w14:paraId="6F75791F" w14:textId="77777777" w:rsidR="00B05AA9" w:rsidRPr="009D4A69" w:rsidRDefault="00B05AA9" w:rsidP="00641EEB">
      <w:pPr>
        <w:jc w:val="both"/>
        <w:rPr>
          <w:sz w:val="20"/>
          <w:szCs w:val="20"/>
          <w:lang w:val="sr-Latn-ME"/>
        </w:rPr>
      </w:pPr>
      <w:r w:rsidRPr="009D4A69">
        <w:rPr>
          <w:sz w:val="20"/>
          <w:szCs w:val="20"/>
        </w:rPr>
        <w:t xml:space="preserve">FP: Fluoropirimidin/cisplatin </w:t>
      </w:r>
    </w:p>
    <w:p w14:paraId="08B47AA0" w14:textId="77777777" w:rsidR="00B05AA9" w:rsidRPr="009D4A69" w:rsidRDefault="00B05AA9" w:rsidP="00641EEB">
      <w:pPr>
        <w:jc w:val="both"/>
        <w:rPr>
          <w:sz w:val="20"/>
          <w:szCs w:val="20"/>
        </w:rPr>
      </w:pPr>
      <w:proofErr w:type="gramStart"/>
      <w:r w:rsidRPr="00BA76B8">
        <w:rPr>
          <w:sz w:val="20"/>
          <w:szCs w:val="20"/>
          <w:vertAlign w:val="superscript"/>
        </w:rPr>
        <w:t>a</w:t>
      </w:r>
      <w:proofErr w:type="gramEnd"/>
      <w:r w:rsidRPr="009D4A69">
        <w:rPr>
          <w:sz w:val="20"/>
          <w:szCs w:val="20"/>
        </w:rPr>
        <w:t xml:space="preserve"> Odds ratio </w:t>
      </w:r>
    </w:p>
    <w:p w14:paraId="0ED0F005" w14:textId="77777777" w:rsidR="00B05AA9" w:rsidRDefault="00B05AA9" w:rsidP="00641EEB">
      <w:pPr>
        <w:jc w:val="both"/>
        <w:rPr>
          <w:sz w:val="22"/>
          <w:szCs w:val="22"/>
        </w:rPr>
      </w:pPr>
    </w:p>
    <w:p w14:paraId="0094A385" w14:textId="49A52D0A" w:rsidR="00B05AA9" w:rsidRDefault="00B05AA9" w:rsidP="00641EEB">
      <w:pPr>
        <w:jc w:val="both"/>
        <w:rPr>
          <w:sz w:val="22"/>
          <w:szCs w:val="22"/>
        </w:rPr>
      </w:pPr>
      <w:r>
        <w:rPr>
          <w:sz w:val="22"/>
          <w:szCs w:val="22"/>
        </w:rPr>
        <w:t xml:space="preserve">U studiju su uključeni prethodno neliječeni pacijenti </w:t>
      </w:r>
      <w:proofErr w:type="gramStart"/>
      <w:r>
        <w:rPr>
          <w:sz w:val="22"/>
          <w:szCs w:val="22"/>
        </w:rPr>
        <w:t>sa</w:t>
      </w:r>
      <w:proofErr w:type="gramEnd"/>
      <w:r>
        <w:rPr>
          <w:sz w:val="22"/>
          <w:szCs w:val="22"/>
        </w:rPr>
        <w:t xml:space="preserve"> HER2 pozitivnim inoperabilnim lokalno uznapredovalim ili rekurentnim i/ili metastatskim adenokarcinomom želuca ili gastro-ezofagealnog spoja koji nije bio podesan za kurativnu terapiju. Primarni cilj je bio ukupno preživljavanje, koje je bilo definisano kao vrijeme proteklo </w:t>
      </w:r>
      <w:proofErr w:type="gramStart"/>
      <w:r>
        <w:rPr>
          <w:sz w:val="22"/>
          <w:szCs w:val="22"/>
        </w:rPr>
        <w:t>od</w:t>
      </w:r>
      <w:proofErr w:type="gramEnd"/>
      <w:r>
        <w:rPr>
          <w:sz w:val="22"/>
          <w:szCs w:val="22"/>
        </w:rPr>
        <w:t xml:space="preserve"> datuma randomizacije do datuma smrti bilo kog uzroka. U vrijeme analize, ukupno 349 randomizovanih pacijenata je umrlo: 182 pacijenta (62.8 %) u kontrolnoj grupi i 167 pacijenata (56.8 %) u intervencijskoj grupi. Većina smrtnih ishoda je uslijedila zbog događaja koji su bili povezani </w:t>
      </w:r>
      <w:proofErr w:type="gramStart"/>
      <w:r>
        <w:rPr>
          <w:sz w:val="22"/>
          <w:szCs w:val="22"/>
        </w:rPr>
        <w:t>sa</w:t>
      </w:r>
      <w:proofErr w:type="gramEnd"/>
      <w:r>
        <w:rPr>
          <w:sz w:val="22"/>
          <w:szCs w:val="22"/>
        </w:rPr>
        <w:t xml:space="preserve"> postojećim kancerom.</w:t>
      </w:r>
    </w:p>
    <w:p w14:paraId="6151E587" w14:textId="77777777" w:rsidR="00B05AA9" w:rsidRDefault="00B05AA9" w:rsidP="00641EEB">
      <w:pPr>
        <w:jc w:val="both"/>
        <w:rPr>
          <w:sz w:val="22"/>
          <w:szCs w:val="22"/>
        </w:rPr>
      </w:pPr>
    </w:p>
    <w:p w14:paraId="3E0827CA" w14:textId="6BA4F8E6" w:rsidR="00B05AA9" w:rsidRDefault="00B05AA9" w:rsidP="00641EEB">
      <w:pPr>
        <w:jc w:val="both"/>
        <w:rPr>
          <w:sz w:val="22"/>
          <w:szCs w:val="22"/>
        </w:rPr>
      </w:pPr>
      <w:r>
        <w:rPr>
          <w:sz w:val="22"/>
          <w:szCs w:val="22"/>
        </w:rPr>
        <w:t>Post</w:t>
      </w:r>
      <w:r>
        <w:rPr>
          <w:sz w:val="22"/>
          <w:szCs w:val="22"/>
        </w:rPr>
        <w:noBreakHyphen/>
        <w:t xml:space="preserve">hoc analiza podgrupa je ukazala </w:t>
      </w:r>
      <w:proofErr w:type="gramStart"/>
      <w:r>
        <w:rPr>
          <w:sz w:val="22"/>
          <w:szCs w:val="22"/>
        </w:rPr>
        <w:t>na</w:t>
      </w:r>
      <w:proofErr w:type="gramEnd"/>
      <w:r>
        <w:rPr>
          <w:sz w:val="22"/>
          <w:szCs w:val="22"/>
        </w:rPr>
        <w:t xml:space="preserve"> to da su pozitivni efekti terapije limitirani na ciljane tumore sa većim nivoom HER2 proteina (IHC 2+/FISH+ ili IHC 3+). Medijana ukupnog preživljavanja u grupi pacijenta </w:t>
      </w:r>
      <w:proofErr w:type="gramStart"/>
      <w:r>
        <w:rPr>
          <w:sz w:val="22"/>
          <w:szCs w:val="22"/>
        </w:rPr>
        <w:t>sa</w:t>
      </w:r>
      <w:proofErr w:type="gramEnd"/>
      <w:r>
        <w:rPr>
          <w:sz w:val="22"/>
          <w:szCs w:val="22"/>
        </w:rPr>
        <w:t xml:space="preserve"> visokom ekspresijom HER2 je bila 11.8 (FP) mjeseci naspram 16 (FP + H) mjeseci, HR 0.65 (95 % CI 0.51-0.83), a medijana preživljavanja bez progresije bolesti je bila 5.5 (FP) mjeseci naspram 7.6 (FP + H) mjeseci, HR 0.64 (95 % CI 0.51-0.79). Kada je u pitanju ukupno preživljavanje HR je bio 0.75 (95% CI 0.51</w:t>
      </w:r>
      <w:r>
        <w:rPr>
          <w:sz w:val="22"/>
          <w:szCs w:val="22"/>
        </w:rPr>
        <w:noBreakHyphen/>
        <w:t xml:space="preserve">1.11) u grupi </w:t>
      </w:r>
      <w:proofErr w:type="gramStart"/>
      <w:r>
        <w:rPr>
          <w:sz w:val="22"/>
          <w:szCs w:val="22"/>
        </w:rPr>
        <w:t>sa</w:t>
      </w:r>
      <w:proofErr w:type="gramEnd"/>
      <w:r>
        <w:rPr>
          <w:sz w:val="22"/>
          <w:szCs w:val="22"/>
        </w:rPr>
        <w:t xml:space="preserve"> IHC 2+/FISH+, a u grupi sa IHC 3+/FISH+ HR je bio 0.58 (95% CI 0.41</w:t>
      </w:r>
      <w:r>
        <w:rPr>
          <w:sz w:val="22"/>
          <w:szCs w:val="22"/>
        </w:rPr>
        <w:noBreakHyphen/>
        <w:t>0.81).</w:t>
      </w:r>
    </w:p>
    <w:p w14:paraId="59EB3996" w14:textId="77777777" w:rsidR="00B05AA9" w:rsidRDefault="00B05AA9" w:rsidP="00641EEB">
      <w:pPr>
        <w:jc w:val="both"/>
        <w:rPr>
          <w:sz w:val="22"/>
          <w:szCs w:val="22"/>
        </w:rPr>
      </w:pPr>
    </w:p>
    <w:p w14:paraId="300D1B17" w14:textId="298AC3AE" w:rsidR="00B05AA9" w:rsidRDefault="00B05AA9" w:rsidP="00641EEB">
      <w:pPr>
        <w:jc w:val="both"/>
        <w:rPr>
          <w:sz w:val="22"/>
          <w:szCs w:val="22"/>
        </w:rPr>
      </w:pPr>
      <w:r>
        <w:rPr>
          <w:sz w:val="22"/>
          <w:szCs w:val="22"/>
        </w:rPr>
        <w:t xml:space="preserve">U eksplorativnoj analizi podgrupa u okviru TOGA (BO18255) studije nije bilo očigledne koristi kad je u pitanju ukupno preživljavanje kada je </w:t>
      </w:r>
      <w:r w:rsidR="00932E89">
        <w:rPr>
          <w:sz w:val="22"/>
          <w:szCs w:val="22"/>
        </w:rPr>
        <w:t xml:space="preserve">lijek </w:t>
      </w:r>
      <w:r>
        <w:rPr>
          <w:sz w:val="22"/>
          <w:szCs w:val="22"/>
        </w:rPr>
        <w:t xml:space="preserve">Herceprin dodat pacijentima </w:t>
      </w:r>
      <w:proofErr w:type="gramStart"/>
      <w:r>
        <w:rPr>
          <w:sz w:val="22"/>
          <w:szCs w:val="22"/>
        </w:rPr>
        <w:t>sa</w:t>
      </w:r>
      <w:proofErr w:type="gramEnd"/>
      <w:r>
        <w:rPr>
          <w:sz w:val="22"/>
          <w:szCs w:val="22"/>
        </w:rPr>
        <w:t xml:space="preserve"> polaznim ECOG PS 2 [HR 0.96 (95% CI 0.51-1.79)], ne mjerljivom [HR 1.78 (95% CI 0.87-3.66)] i lokalno uznapredovalom bolešću [HR 1.20 (95% CI 0.29-4.97)]. </w:t>
      </w:r>
    </w:p>
    <w:p w14:paraId="6A813E79" w14:textId="78EFF597" w:rsidR="00B05AA9" w:rsidRDefault="00B05AA9" w:rsidP="00641EEB">
      <w:pPr>
        <w:tabs>
          <w:tab w:val="left" w:pos="284"/>
        </w:tabs>
        <w:jc w:val="both"/>
        <w:rPr>
          <w:sz w:val="22"/>
          <w:szCs w:val="22"/>
        </w:rPr>
      </w:pPr>
    </w:p>
    <w:p w14:paraId="6FC8BFC1" w14:textId="77777777" w:rsidR="00B05AA9" w:rsidRDefault="00B05AA9" w:rsidP="00641EEB">
      <w:pPr>
        <w:jc w:val="both"/>
        <w:rPr>
          <w:sz w:val="22"/>
          <w:szCs w:val="22"/>
          <w:u w:val="single"/>
          <w:lang w:val="pl-PL"/>
        </w:rPr>
      </w:pPr>
      <w:r>
        <w:rPr>
          <w:sz w:val="22"/>
          <w:szCs w:val="22"/>
          <w:u w:val="single"/>
          <w:lang w:val="pl-PL"/>
        </w:rPr>
        <w:t>Pedijatrijska populacija</w:t>
      </w:r>
    </w:p>
    <w:p w14:paraId="0371523E" w14:textId="77777777" w:rsidR="00B05AA9" w:rsidRDefault="00B05AA9" w:rsidP="00641EEB">
      <w:pPr>
        <w:pStyle w:val="Header"/>
        <w:tabs>
          <w:tab w:val="left" w:pos="284"/>
        </w:tabs>
        <w:jc w:val="both"/>
        <w:rPr>
          <w:sz w:val="22"/>
          <w:szCs w:val="22"/>
          <w:lang w:val="pl-PL"/>
        </w:rPr>
      </w:pPr>
    </w:p>
    <w:p w14:paraId="2D6CC335" w14:textId="77777777" w:rsidR="00B05AA9" w:rsidRDefault="00B05AA9" w:rsidP="00641EEB">
      <w:pPr>
        <w:pStyle w:val="Header"/>
        <w:tabs>
          <w:tab w:val="left" w:pos="284"/>
        </w:tabs>
        <w:jc w:val="both"/>
        <w:rPr>
          <w:sz w:val="22"/>
          <w:szCs w:val="22"/>
          <w:lang w:val="pl-PL"/>
        </w:rPr>
      </w:pPr>
      <w:r>
        <w:rPr>
          <w:sz w:val="22"/>
          <w:szCs w:val="22"/>
          <w:lang w:val="pl-PL"/>
        </w:rPr>
        <w:t>Evropska agencija za lijekove je odustala od zahtjeva dostavljanja rezultata ispitivanja lijekom Herceptin u svim podgrupama pedijatrijske populacije kod karcinoma dojke i želuca ( vidjeti dio 4.2 za informacije o primjeni u pedijatrijskoj populaciji).</w:t>
      </w:r>
    </w:p>
    <w:p w14:paraId="13E5813A" w14:textId="77777777" w:rsidR="00932E89" w:rsidRDefault="00932E89" w:rsidP="00641EEB">
      <w:pPr>
        <w:tabs>
          <w:tab w:val="left" w:pos="540"/>
          <w:tab w:val="left" w:pos="569"/>
        </w:tabs>
        <w:rPr>
          <w:b/>
          <w:bCs/>
          <w:sz w:val="22"/>
          <w:szCs w:val="22"/>
        </w:rPr>
      </w:pPr>
    </w:p>
    <w:p w14:paraId="1880DDFC" w14:textId="794CD71E" w:rsidR="0072020E" w:rsidRDefault="0072020E" w:rsidP="00641EEB">
      <w:pPr>
        <w:tabs>
          <w:tab w:val="left" w:pos="540"/>
          <w:tab w:val="left" w:pos="569"/>
        </w:tabs>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14:paraId="60234544" w14:textId="22734C3C" w:rsidR="00B05AA9" w:rsidRDefault="00B05AA9" w:rsidP="00641EEB">
      <w:pPr>
        <w:tabs>
          <w:tab w:val="left" w:pos="540"/>
          <w:tab w:val="left" w:pos="569"/>
        </w:tabs>
        <w:rPr>
          <w:b/>
          <w:bCs/>
          <w:sz w:val="22"/>
          <w:szCs w:val="22"/>
        </w:rPr>
      </w:pPr>
    </w:p>
    <w:p w14:paraId="16E50EF2" w14:textId="0301AE59" w:rsidR="00B05AA9" w:rsidRDefault="00B05AA9" w:rsidP="00641EEB">
      <w:pPr>
        <w:jc w:val="both"/>
        <w:rPr>
          <w:sz w:val="22"/>
          <w:szCs w:val="22"/>
        </w:rPr>
      </w:pPr>
      <w:r w:rsidRPr="00B05AA9">
        <w:rPr>
          <w:sz w:val="22"/>
          <w:szCs w:val="22"/>
        </w:rPr>
        <w:t>Farmakokinetika trastuzumaba ocjenjivala se u analizi populacijskog farmakokineti</w:t>
      </w:r>
      <w:r>
        <w:rPr>
          <w:sz w:val="22"/>
          <w:szCs w:val="22"/>
        </w:rPr>
        <w:t>č</w:t>
      </w:r>
      <w:r w:rsidRPr="00B05AA9">
        <w:rPr>
          <w:sz w:val="22"/>
          <w:szCs w:val="22"/>
        </w:rPr>
        <w:t>kog modela</w:t>
      </w:r>
      <w:r>
        <w:rPr>
          <w:sz w:val="22"/>
          <w:szCs w:val="22"/>
        </w:rPr>
        <w:t xml:space="preserve">, </w:t>
      </w:r>
      <w:r w:rsidRPr="00B05AA9">
        <w:rPr>
          <w:sz w:val="22"/>
          <w:szCs w:val="22"/>
        </w:rPr>
        <w:t>u kojoj su se koristili objedinjeni podaci prikupljeni kod</w:t>
      </w:r>
      <w:r>
        <w:rPr>
          <w:sz w:val="22"/>
          <w:szCs w:val="22"/>
        </w:rPr>
        <w:t xml:space="preserve"> 1582</w:t>
      </w:r>
      <w:r w:rsidRPr="00B05AA9">
        <w:rPr>
          <w:sz w:val="22"/>
          <w:szCs w:val="22"/>
        </w:rPr>
        <w:t> ispitanika</w:t>
      </w:r>
      <w:r>
        <w:rPr>
          <w:sz w:val="22"/>
          <w:szCs w:val="22"/>
        </w:rPr>
        <w:t xml:space="preserve">, </w:t>
      </w:r>
      <w:r w:rsidRPr="00B05AA9">
        <w:rPr>
          <w:sz w:val="22"/>
          <w:szCs w:val="22"/>
        </w:rPr>
        <w:t>uklju</w:t>
      </w:r>
      <w:r>
        <w:rPr>
          <w:sz w:val="22"/>
          <w:szCs w:val="22"/>
        </w:rPr>
        <w:t>č</w:t>
      </w:r>
      <w:r w:rsidRPr="00B05AA9">
        <w:rPr>
          <w:sz w:val="22"/>
          <w:szCs w:val="22"/>
        </w:rPr>
        <w:t>uju</w:t>
      </w:r>
      <w:r>
        <w:rPr>
          <w:sz w:val="22"/>
          <w:szCs w:val="22"/>
        </w:rPr>
        <w:t>ć</w:t>
      </w:r>
      <w:r w:rsidRPr="00B05AA9">
        <w:rPr>
          <w:sz w:val="22"/>
          <w:szCs w:val="22"/>
        </w:rPr>
        <w:t>i pacijente sa HER</w:t>
      </w:r>
      <w:r>
        <w:rPr>
          <w:sz w:val="22"/>
          <w:szCs w:val="22"/>
        </w:rPr>
        <w:t xml:space="preserve">2 </w:t>
      </w:r>
      <w:r w:rsidRPr="00B05AA9">
        <w:rPr>
          <w:sz w:val="22"/>
          <w:szCs w:val="22"/>
        </w:rPr>
        <w:t>pozitivnim metastatskim rakom dojke</w:t>
      </w:r>
      <w:r>
        <w:rPr>
          <w:sz w:val="22"/>
          <w:szCs w:val="22"/>
        </w:rPr>
        <w:t xml:space="preserve">, </w:t>
      </w:r>
      <w:r w:rsidRPr="00B05AA9">
        <w:rPr>
          <w:sz w:val="22"/>
          <w:szCs w:val="22"/>
        </w:rPr>
        <w:t>ranim rakom dojke</w:t>
      </w:r>
      <w:r>
        <w:rPr>
          <w:sz w:val="22"/>
          <w:szCs w:val="22"/>
        </w:rPr>
        <w:t xml:space="preserve">, </w:t>
      </w:r>
      <w:r w:rsidRPr="00B05AA9">
        <w:rPr>
          <w:sz w:val="22"/>
          <w:szCs w:val="22"/>
        </w:rPr>
        <w:t>uznapredovalim rakom</w:t>
      </w:r>
      <w:r>
        <w:rPr>
          <w:sz w:val="22"/>
          <w:szCs w:val="22"/>
        </w:rPr>
        <w:t xml:space="preserve"> ž</w:t>
      </w:r>
      <w:r w:rsidRPr="00B05AA9">
        <w:rPr>
          <w:sz w:val="22"/>
          <w:szCs w:val="22"/>
        </w:rPr>
        <w:t>eluca ili drugim vrstama tumora te zdrave dobrovoljce koji su primali intravensku formulaciju lijeka Herceptin u</w:t>
      </w:r>
      <w:r>
        <w:rPr>
          <w:sz w:val="22"/>
          <w:szCs w:val="22"/>
        </w:rPr>
        <w:t xml:space="preserve"> 18</w:t>
      </w:r>
      <w:r w:rsidRPr="00B05AA9">
        <w:rPr>
          <w:sz w:val="22"/>
          <w:szCs w:val="22"/>
        </w:rPr>
        <w:t> ispitivanja faze I</w:t>
      </w:r>
      <w:r>
        <w:rPr>
          <w:sz w:val="22"/>
          <w:szCs w:val="22"/>
        </w:rPr>
        <w:t xml:space="preserve">, </w:t>
      </w:r>
      <w:r w:rsidRPr="00B05AA9">
        <w:rPr>
          <w:sz w:val="22"/>
          <w:szCs w:val="22"/>
        </w:rPr>
        <w:t>II i III</w:t>
      </w:r>
      <w:r>
        <w:rPr>
          <w:sz w:val="22"/>
          <w:szCs w:val="22"/>
        </w:rPr>
        <w:t xml:space="preserve">. </w:t>
      </w:r>
      <w:r w:rsidRPr="00B05AA9">
        <w:rPr>
          <w:sz w:val="22"/>
          <w:szCs w:val="22"/>
        </w:rPr>
        <w:t xml:space="preserve">Model </w:t>
      </w:r>
      <w:proofErr w:type="gramStart"/>
      <w:r w:rsidRPr="00B05AA9">
        <w:rPr>
          <w:sz w:val="22"/>
          <w:szCs w:val="22"/>
        </w:rPr>
        <w:t>sa</w:t>
      </w:r>
      <w:proofErr w:type="gramEnd"/>
      <w:r w:rsidRPr="00B05AA9">
        <w:rPr>
          <w:sz w:val="22"/>
          <w:szCs w:val="22"/>
        </w:rPr>
        <w:t xml:space="preserve"> dva dijela te paralelnom linearnom i nelinearnom eliminacijom iz sredi</w:t>
      </w:r>
      <w:r>
        <w:rPr>
          <w:sz w:val="22"/>
          <w:szCs w:val="22"/>
        </w:rPr>
        <w:t>š</w:t>
      </w:r>
      <w:r w:rsidRPr="00B05AA9">
        <w:rPr>
          <w:sz w:val="22"/>
          <w:szCs w:val="22"/>
        </w:rPr>
        <w:t>njeg dijela opisivao je profil koncentracije trastuzumaba kroz vrijeme</w:t>
      </w:r>
      <w:r>
        <w:rPr>
          <w:sz w:val="22"/>
          <w:szCs w:val="22"/>
        </w:rPr>
        <w:t xml:space="preserve">. </w:t>
      </w:r>
      <w:r w:rsidRPr="00B05AA9">
        <w:rPr>
          <w:sz w:val="22"/>
          <w:szCs w:val="22"/>
        </w:rPr>
        <w:t>Zbog nelinearne eliminacije</w:t>
      </w:r>
      <w:r>
        <w:rPr>
          <w:sz w:val="22"/>
          <w:szCs w:val="22"/>
        </w:rPr>
        <w:t xml:space="preserve">, </w:t>
      </w:r>
      <w:r w:rsidRPr="00B05AA9">
        <w:rPr>
          <w:sz w:val="22"/>
          <w:szCs w:val="22"/>
        </w:rPr>
        <w:t>ukupan se klirens pove</w:t>
      </w:r>
      <w:r>
        <w:rPr>
          <w:sz w:val="22"/>
          <w:szCs w:val="22"/>
        </w:rPr>
        <w:t>ć</w:t>
      </w:r>
      <w:r w:rsidRPr="00B05AA9">
        <w:rPr>
          <w:sz w:val="22"/>
          <w:szCs w:val="22"/>
        </w:rPr>
        <w:t xml:space="preserve">avao </w:t>
      </w:r>
      <w:proofErr w:type="gramStart"/>
      <w:r w:rsidRPr="00B05AA9">
        <w:rPr>
          <w:sz w:val="22"/>
          <w:szCs w:val="22"/>
        </w:rPr>
        <w:t>sa</w:t>
      </w:r>
      <w:proofErr w:type="gramEnd"/>
      <w:r w:rsidRPr="00B05AA9">
        <w:rPr>
          <w:sz w:val="22"/>
          <w:szCs w:val="22"/>
        </w:rPr>
        <w:t xml:space="preserve"> smanjenjem koncentracije</w:t>
      </w:r>
      <w:r>
        <w:rPr>
          <w:sz w:val="22"/>
          <w:szCs w:val="22"/>
        </w:rPr>
        <w:t xml:space="preserve">. </w:t>
      </w:r>
      <w:r w:rsidRPr="00B05AA9">
        <w:rPr>
          <w:sz w:val="22"/>
          <w:szCs w:val="22"/>
        </w:rPr>
        <w:t>Zbog toga se ne mo</w:t>
      </w:r>
      <w:r>
        <w:rPr>
          <w:sz w:val="22"/>
          <w:szCs w:val="22"/>
        </w:rPr>
        <w:t>ž</w:t>
      </w:r>
      <w:r w:rsidRPr="00B05AA9">
        <w:rPr>
          <w:sz w:val="22"/>
          <w:szCs w:val="22"/>
        </w:rPr>
        <w:t>e izdvojiti konstantna vrijednost poluvremena trastuzumaba</w:t>
      </w:r>
      <w:r>
        <w:rPr>
          <w:sz w:val="22"/>
          <w:szCs w:val="22"/>
        </w:rPr>
        <w:t xml:space="preserve">. </w:t>
      </w:r>
      <w:r w:rsidRPr="00B05AA9">
        <w:rPr>
          <w:sz w:val="22"/>
          <w:szCs w:val="22"/>
        </w:rPr>
        <w:t>Poluvrijeme</w:t>
      </w:r>
      <w:r w:rsidR="0051053D">
        <w:rPr>
          <w:sz w:val="22"/>
          <w:szCs w:val="22"/>
        </w:rPr>
        <w:t xml:space="preserve"> eliminacije</w:t>
      </w:r>
      <w:r>
        <w:rPr>
          <w:sz w:val="22"/>
          <w:szCs w:val="22"/>
        </w:rPr>
        <w:t xml:space="preserve"> (</w:t>
      </w:r>
      <w:r w:rsidRPr="00B05AA9">
        <w:rPr>
          <w:sz w:val="22"/>
          <w:szCs w:val="22"/>
        </w:rPr>
        <w:t>t</w:t>
      </w:r>
      <w:r>
        <w:rPr>
          <w:sz w:val="22"/>
          <w:szCs w:val="22"/>
        </w:rPr>
        <w:t xml:space="preserve">1/2) </w:t>
      </w:r>
      <w:r w:rsidRPr="00B05AA9">
        <w:rPr>
          <w:sz w:val="22"/>
          <w:szCs w:val="22"/>
        </w:rPr>
        <w:t xml:space="preserve">se smanjuje sa padom koncentracija u roku </w:t>
      </w:r>
      <w:proofErr w:type="gramStart"/>
      <w:r w:rsidRPr="00B05AA9">
        <w:rPr>
          <w:sz w:val="22"/>
          <w:szCs w:val="22"/>
        </w:rPr>
        <w:t>od</w:t>
      </w:r>
      <w:r>
        <w:rPr>
          <w:sz w:val="22"/>
          <w:szCs w:val="22"/>
        </w:rPr>
        <w:t xml:space="preserve">  </w:t>
      </w:r>
      <w:r w:rsidRPr="00B05AA9">
        <w:rPr>
          <w:sz w:val="22"/>
          <w:szCs w:val="22"/>
        </w:rPr>
        <w:t>jednog</w:t>
      </w:r>
      <w:proofErr w:type="gramEnd"/>
      <w:r w:rsidRPr="00B05AA9">
        <w:rPr>
          <w:sz w:val="22"/>
          <w:szCs w:val="22"/>
        </w:rPr>
        <w:t xml:space="preserve"> intervala doziranja</w:t>
      </w:r>
      <w:r>
        <w:rPr>
          <w:sz w:val="22"/>
          <w:szCs w:val="22"/>
        </w:rPr>
        <w:t xml:space="preserve"> (</w:t>
      </w:r>
      <w:r w:rsidRPr="00B05AA9">
        <w:rPr>
          <w:sz w:val="22"/>
          <w:szCs w:val="22"/>
        </w:rPr>
        <w:t>vidjeti Tabelu </w:t>
      </w:r>
      <w:r>
        <w:rPr>
          <w:sz w:val="22"/>
          <w:szCs w:val="22"/>
        </w:rPr>
        <w:t xml:space="preserve">16). </w:t>
      </w:r>
      <w:r w:rsidRPr="00B05AA9">
        <w:rPr>
          <w:sz w:val="22"/>
          <w:szCs w:val="22"/>
        </w:rPr>
        <w:t xml:space="preserve">Pacijenti </w:t>
      </w:r>
      <w:proofErr w:type="gramStart"/>
      <w:r w:rsidRPr="00B05AA9">
        <w:rPr>
          <w:sz w:val="22"/>
          <w:szCs w:val="22"/>
        </w:rPr>
        <w:t>sa</w:t>
      </w:r>
      <w:proofErr w:type="gramEnd"/>
      <w:r w:rsidRPr="00B05AA9">
        <w:rPr>
          <w:sz w:val="22"/>
          <w:szCs w:val="22"/>
        </w:rPr>
        <w:t xml:space="preserve"> metastatskim rakom dojke i ranim rakom dojke imali su sli</w:t>
      </w:r>
      <w:r>
        <w:rPr>
          <w:sz w:val="22"/>
          <w:szCs w:val="22"/>
        </w:rPr>
        <w:t>č</w:t>
      </w:r>
      <w:r w:rsidRPr="00B05AA9">
        <w:rPr>
          <w:sz w:val="22"/>
          <w:szCs w:val="22"/>
        </w:rPr>
        <w:t>ne farmakokineti</w:t>
      </w:r>
      <w:r>
        <w:rPr>
          <w:sz w:val="22"/>
          <w:szCs w:val="22"/>
        </w:rPr>
        <w:t>č</w:t>
      </w:r>
      <w:r w:rsidRPr="00B05AA9">
        <w:rPr>
          <w:sz w:val="22"/>
          <w:szCs w:val="22"/>
        </w:rPr>
        <w:t>ke parametre</w:t>
      </w:r>
      <w:r>
        <w:rPr>
          <w:sz w:val="22"/>
          <w:szCs w:val="22"/>
        </w:rPr>
        <w:t xml:space="preserve"> (</w:t>
      </w:r>
      <w:r w:rsidRPr="00B05AA9">
        <w:rPr>
          <w:sz w:val="22"/>
          <w:szCs w:val="22"/>
        </w:rPr>
        <w:t>npr</w:t>
      </w:r>
      <w:r>
        <w:rPr>
          <w:sz w:val="22"/>
          <w:szCs w:val="22"/>
        </w:rPr>
        <w:t xml:space="preserve">. </w:t>
      </w:r>
      <w:r w:rsidRPr="00B05AA9">
        <w:rPr>
          <w:sz w:val="22"/>
          <w:szCs w:val="22"/>
        </w:rPr>
        <w:t>klirens</w:t>
      </w:r>
      <w:r>
        <w:rPr>
          <w:sz w:val="22"/>
          <w:szCs w:val="22"/>
        </w:rPr>
        <w:t xml:space="preserve">, </w:t>
      </w:r>
      <w:r w:rsidRPr="00B05AA9">
        <w:rPr>
          <w:sz w:val="22"/>
          <w:szCs w:val="22"/>
        </w:rPr>
        <w:t>volumen sredi</w:t>
      </w:r>
      <w:r>
        <w:rPr>
          <w:sz w:val="22"/>
          <w:szCs w:val="22"/>
        </w:rPr>
        <w:t>š</w:t>
      </w:r>
      <w:r w:rsidRPr="00B05AA9">
        <w:rPr>
          <w:sz w:val="22"/>
          <w:szCs w:val="22"/>
        </w:rPr>
        <w:t>njeg dijela</w:t>
      </w:r>
      <w:r>
        <w:rPr>
          <w:sz w:val="22"/>
          <w:szCs w:val="22"/>
        </w:rPr>
        <w:t xml:space="preserve"> [</w:t>
      </w:r>
      <w:r w:rsidRPr="00B05AA9">
        <w:rPr>
          <w:sz w:val="22"/>
          <w:szCs w:val="22"/>
        </w:rPr>
        <w:t>Vc</w:t>
      </w:r>
      <w:r>
        <w:rPr>
          <w:sz w:val="22"/>
          <w:szCs w:val="22"/>
        </w:rPr>
        <w:t xml:space="preserve">]) </w:t>
      </w:r>
      <w:r w:rsidRPr="00B05AA9">
        <w:rPr>
          <w:sz w:val="22"/>
          <w:szCs w:val="22"/>
        </w:rPr>
        <w:t>i nivoe izlo</w:t>
      </w:r>
      <w:r>
        <w:rPr>
          <w:sz w:val="22"/>
          <w:szCs w:val="22"/>
        </w:rPr>
        <w:t>ž</w:t>
      </w:r>
      <w:r w:rsidRPr="00B05AA9">
        <w:rPr>
          <w:sz w:val="22"/>
          <w:szCs w:val="22"/>
        </w:rPr>
        <w:t>enosti u stanju dinami</w:t>
      </w:r>
      <w:r>
        <w:rPr>
          <w:sz w:val="22"/>
          <w:szCs w:val="22"/>
        </w:rPr>
        <w:t>č</w:t>
      </w:r>
      <w:r w:rsidRPr="00B05AA9">
        <w:rPr>
          <w:sz w:val="22"/>
          <w:szCs w:val="22"/>
        </w:rPr>
        <w:t>ke ravnote</w:t>
      </w:r>
      <w:r>
        <w:rPr>
          <w:sz w:val="22"/>
          <w:szCs w:val="22"/>
        </w:rPr>
        <w:t>ž</w:t>
      </w:r>
      <w:r w:rsidRPr="00B05AA9">
        <w:rPr>
          <w:sz w:val="22"/>
          <w:szCs w:val="22"/>
        </w:rPr>
        <w:t>e</w:t>
      </w:r>
      <w:r>
        <w:rPr>
          <w:sz w:val="22"/>
          <w:szCs w:val="22"/>
        </w:rPr>
        <w:t xml:space="preserve"> (</w:t>
      </w:r>
      <w:r w:rsidRPr="00B05AA9">
        <w:rPr>
          <w:sz w:val="22"/>
          <w:szCs w:val="22"/>
        </w:rPr>
        <w:t>Cmin</w:t>
      </w:r>
      <w:r>
        <w:rPr>
          <w:sz w:val="22"/>
          <w:szCs w:val="22"/>
        </w:rPr>
        <w:t xml:space="preserve">, </w:t>
      </w:r>
      <w:r w:rsidRPr="00B05AA9">
        <w:rPr>
          <w:sz w:val="22"/>
          <w:szCs w:val="22"/>
        </w:rPr>
        <w:t>Cmax i AUC</w:t>
      </w:r>
      <w:r>
        <w:rPr>
          <w:sz w:val="22"/>
          <w:szCs w:val="22"/>
        </w:rPr>
        <w:t xml:space="preserve">) </w:t>
      </w:r>
      <w:r w:rsidRPr="00B05AA9">
        <w:rPr>
          <w:sz w:val="22"/>
          <w:szCs w:val="22"/>
        </w:rPr>
        <w:t>predvi</w:t>
      </w:r>
      <w:r>
        <w:rPr>
          <w:sz w:val="22"/>
          <w:szCs w:val="22"/>
        </w:rPr>
        <w:t>đ</w:t>
      </w:r>
      <w:r w:rsidRPr="00B05AA9">
        <w:rPr>
          <w:sz w:val="22"/>
          <w:szCs w:val="22"/>
        </w:rPr>
        <w:t>ene za tu populaciju</w:t>
      </w:r>
      <w:r>
        <w:rPr>
          <w:sz w:val="22"/>
          <w:szCs w:val="22"/>
        </w:rPr>
        <w:t xml:space="preserve">. </w:t>
      </w:r>
      <w:r w:rsidRPr="00B05AA9">
        <w:rPr>
          <w:sz w:val="22"/>
          <w:szCs w:val="22"/>
        </w:rPr>
        <w:t>Linearni klirens iznosio je</w:t>
      </w:r>
      <w:r>
        <w:rPr>
          <w:sz w:val="22"/>
          <w:szCs w:val="22"/>
        </w:rPr>
        <w:t xml:space="preserve"> 0,136</w:t>
      </w:r>
      <w:r w:rsidRPr="00B05AA9">
        <w:rPr>
          <w:sz w:val="22"/>
          <w:szCs w:val="22"/>
        </w:rPr>
        <w:t> l</w:t>
      </w:r>
      <w:r>
        <w:rPr>
          <w:sz w:val="22"/>
          <w:szCs w:val="22"/>
        </w:rPr>
        <w:t>/</w:t>
      </w:r>
      <w:r w:rsidRPr="00B05AA9">
        <w:rPr>
          <w:sz w:val="22"/>
          <w:szCs w:val="22"/>
        </w:rPr>
        <w:t>dan za metastatski rak dojke</w:t>
      </w:r>
      <w:r>
        <w:rPr>
          <w:sz w:val="22"/>
          <w:szCs w:val="22"/>
        </w:rPr>
        <w:t>, 0,112</w:t>
      </w:r>
      <w:r w:rsidRPr="00B05AA9">
        <w:rPr>
          <w:sz w:val="22"/>
          <w:szCs w:val="22"/>
        </w:rPr>
        <w:t> l</w:t>
      </w:r>
      <w:r>
        <w:rPr>
          <w:sz w:val="22"/>
          <w:szCs w:val="22"/>
        </w:rPr>
        <w:t>/</w:t>
      </w:r>
      <w:r w:rsidRPr="00B05AA9">
        <w:rPr>
          <w:sz w:val="22"/>
          <w:szCs w:val="22"/>
        </w:rPr>
        <w:t>dan za rani rak dojke i</w:t>
      </w:r>
      <w:r>
        <w:rPr>
          <w:sz w:val="22"/>
          <w:szCs w:val="22"/>
        </w:rPr>
        <w:t xml:space="preserve"> 0,176</w:t>
      </w:r>
      <w:r w:rsidRPr="00B05AA9">
        <w:rPr>
          <w:sz w:val="22"/>
          <w:szCs w:val="22"/>
        </w:rPr>
        <w:t> l</w:t>
      </w:r>
      <w:r>
        <w:rPr>
          <w:sz w:val="22"/>
          <w:szCs w:val="22"/>
        </w:rPr>
        <w:t>/</w:t>
      </w:r>
      <w:r w:rsidRPr="00B05AA9">
        <w:rPr>
          <w:sz w:val="22"/>
          <w:szCs w:val="22"/>
        </w:rPr>
        <w:t>dan za uznapredovali rak</w:t>
      </w:r>
      <w:r>
        <w:rPr>
          <w:sz w:val="22"/>
          <w:szCs w:val="22"/>
        </w:rPr>
        <w:t xml:space="preserve"> ž</w:t>
      </w:r>
      <w:r w:rsidRPr="00B05AA9">
        <w:rPr>
          <w:sz w:val="22"/>
          <w:szCs w:val="22"/>
        </w:rPr>
        <w:t>eluca</w:t>
      </w:r>
      <w:r>
        <w:rPr>
          <w:sz w:val="22"/>
          <w:szCs w:val="22"/>
        </w:rPr>
        <w:t xml:space="preserve">. </w:t>
      </w:r>
      <w:r w:rsidRPr="00B05AA9">
        <w:rPr>
          <w:sz w:val="22"/>
          <w:szCs w:val="22"/>
        </w:rPr>
        <w:t>Vrijednosti parametara nelinearne eliminacije bile su</w:t>
      </w:r>
      <w:r>
        <w:rPr>
          <w:sz w:val="22"/>
          <w:szCs w:val="22"/>
        </w:rPr>
        <w:t xml:space="preserve"> 8</w:t>
      </w:r>
      <w:proofErr w:type="gramStart"/>
      <w:r>
        <w:rPr>
          <w:sz w:val="22"/>
          <w:szCs w:val="22"/>
        </w:rPr>
        <w:t>,81</w:t>
      </w:r>
      <w:proofErr w:type="gramEnd"/>
      <w:r w:rsidRPr="00B05AA9">
        <w:rPr>
          <w:sz w:val="22"/>
          <w:szCs w:val="22"/>
        </w:rPr>
        <w:t> mg</w:t>
      </w:r>
      <w:r>
        <w:rPr>
          <w:sz w:val="22"/>
          <w:szCs w:val="22"/>
        </w:rPr>
        <w:t>/</w:t>
      </w:r>
      <w:r w:rsidRPr="00B05AA9">
        <w:rPr>
          <w:sz w:val="22"/>
          <w:szCs w:val="22"/>
        </w:rPr>
        <w:t xml:space="preserve">dan za maksimalnu brzinu eliminacije </w:t>
      </w:r>
      <w:r>
        <w:rPr>
          <w:sz w:val="22"/>
          <w:szCs w:val="22"/>
        </w:rPr>
        <w:t>(</w:t>
      </w:r>
      <w:r w:rsidRPr="00B05AA9">
        <w:rPr>
          <w:sz w:val="22"/>
          <w:szCs w:val="22"/>
        </w:rPr>
        <w:t>Vmax</w:t>
      </w:r>
      <w:r>
        <w:rPr>
          <w:sz w:val="22"/>
          <w:szCs w:val="22"/>
        </w:rPr>
        <w:t xml:space="preserve">) </w:t>
      </w:r>
      <w:r w:rsidRPr="00B05AA9">
        <w:rPr>
          <w:sz w:val="22"/>
          <w:szCs w:val="22"/>
        </w:rPr>
        <w:t>i</w:t>
      </w:r>
      <w:r>
        <w:rPr>
          <w:sz w:val="22"/>
          <w:szCs w:val="22"/>
        </w:rPr>
        <w:t xml:space="preserve"> 8,92</w:t>
      </w:r>
      <w:r w:rsidRPr="00B05AA9">
        <w:rPr>
          <w:sz w:val="22"/>
          <w:szCs w:val="22"/>
        </w:rPr>
        <w:t> </w:t>
      </w:r>
      <w:r>
        <w:rPr>
          <w:sz w:val="22"/>
          <w:szCs w:val="22"/>
        </w:rPr>
        <w:t>µ</w:t>
      </w:r>
      <w:r w:rsidRPr="00B05AA9">
        <w:rPr>
          <w:sz w:val="22"/>
          <w:szCs w:val="22"/>
        </w:rPr>
        <w:t>g</w:t>
      </w:r>
      <w:r>
        <w:rPr>
          <w:sz w:val="22"/>
          <w:szCs w:val="22"/>
        </w:rPr>
        <w:t>/</w:t>
      </w:r>
      <w:r w:rsidRPr="00B05AA9">
        <w:rPr>
          <w:sz w:val="22"/>
          <w:szCs w:val="22"/>
        </w:rPr>
        <w:t>ml za Michaelis</w:t>
      </w:r>
      <w:r>
        <w:rPr>
          <w:sz w:val="22"/>
          <w:szCs w:val="22"/>
        </w:rPr>
        <w:noBreakHyphen/>
      </w:r>
      <w:r w:rsidRPr="00B05AA9">
        <w:rPr>
          <w:sz w:val="22"/>
          <w:szCs w:val="22"/>
        </w:rPr>
        <w:t>Mentenovu konstantu</w:t>
      </w:r>
      <w:r>
        <w:rPr>
          <w:sz w:val="22"/>
          <w:szCs w:val="22"/>
        </w:rPr>
        <w:t xml:space="preserve"> (</w:t>
      </w:r>
      <w:r w:rsidRPr="00B05AA9">
        <w:rPr>
          <w:sz w:val="22"/>
          <w:szCs w:val="22"/>
        </w:rPr>
        <w:t>Km</w:t>
      </w:r>
      <w:r>
        <w:rPr>
          <w:sz w:val="22"/>
          <w:szCs w:val="22"/>
        </w:rPr>
        <w:t xml:space="preserve">) </w:t>
      </w:r>
      <w:r w:rsidRPr="00B05AA9">
        <w:rPr>
          <w:sz w:val="22"/>
          <w:szCs w:val="22"/>
        </w:rPr>
        <w:t>kod pacijenata sa metastatskim rakom dojke</w:t>
      </w:r>
      <w:r>
        <w:rPr>
          <w:sz w:val="22"/>
          <w:szCs w:val="22"/>
        </w:rPr>
        <w:t xml:space="preserve">, </w:t>
      </w:r>
      <w:r w:rsidRPr="00B05AA9">
        <w:rPr>
          <w:sz w:val="22"/>
          <w:szCs w:val="22"/>
        </w:rPr>
        <w:t>ranim rakom dojke i uznapredovalim rakom</w:t>
      </w:r>
      <w:r>
        <w:rPr>
          <w:sz w:val="22"/>
          <w:szCs w:val="22"/>
        </w:rPr>
        <w:t xml:space="preserve"> ž</w:t>
      </w:r>
      <w:r w:rsidRPr="00B05AA9">
        <w:rPr>
          <w:sz w:val="22"/>
          <w:szCs w:val="22"/>
        </w:rPr>
        <w:t>eluca</w:t>
      </w:r>
      <w:r>
        <w:rPr>
          <w:sz w:val="22"/>
          <w:szCs w:val="22"/>
        </w:rPr>
        <w:t xml:space="preserve">. </w:t>
      </w:r>
      <w:r w:rsidRPr="00B05AA9">
        <w:rPr>
          <w:sz w:val="22"/>
          <w:szCs w:val="22"/>
        </w:rPr>
        <w:t>Volumen sredi</w:t>
      </w:r>
      <w:r>
        <w:rPr>
          <w:sz w:val="22"/>
          <w:szCs w:val="22"/>
        </w:rPr>
        <w:t>š</w:t>
      </w:r>
      <w:r w:rsidRPr="00B05AA9">
        <w:rPr>
          <w:sz w:val="22"/>
          <w:szCs w:val="22"/>
        </w:rPr>
        <w:t>njeg dijela iznosio je</w:t>
      </w:r>
      <w:r>
        <w:rPr>
          <w:sz w:val="22"/>
          <w:szCs w:val="22"/>
        </w:rPr>
        <w:t xml:space="preserve"> 2</w:t>
      </w:r>
      <w:proofErr w:type="gramStart"/>
      <w:r>
        <w:rPr>
          <w:sz w:val="22"/>
          <w:szCs w:val="22"/>
        </w:rPr>
        <w:t>,62</w:t>
      </w:r>
      <w:proofErr w:type="gramEnd"/>
      <w:r w:rsidRPr="00B05AA9">
        <w:rPr>
          <w:sz w:val="22"/>
          <w:szCs w:val="22"/>
        </w:rPr>
        <w:t> l kod pacijenata sa metastatskim rakom dojke i ranim rakom dojke te</w:t>
      </w:r>
      <w:r>
        <w:rPr>
          <w:sz w:val="22"/>
          <w:szCs w:val="22"/>
        </w:rPr>
        <w:t xml:space="preserve"> 3,63</w:t>
      </w:r>
      <w:r w:rsidRPr="00B05AA9">
        <w:rPr>
          <w:sz w:val="22"/>
          <w:szCs w:val="22"/>
        </w:rPr>
        <w:t> l kod pacijenata sa uznapredovalim rakom</w:t>
      </w:r>
      <w:r>
        <w:rPr>
          <w:sz w:val="22"/>
          <w:szCs w:val="22"/>
        </w:rPr>
        <w:t xml:space="preserve"> ž</w:t>
      </w:r>
      <w:r w:rsidRPr="00B05AA9">
        <w:rPr>
          <w:sz w:val="22"/>
          <w:szCs w:val="22"/>
        </w:rPr>
        <w:t>eluca</w:t>
      </w:r>
      <w:r>
        <w:rPr>
          <w:sz w:val="22"/>
          <w:szCs w:val="22"/>
        </w:rPr>
        <w:t xml:space="preserve">. </w:t>
      </w:r>
      <w:r w:rsidRPr="00B05AA9">
        <w:rPr>
          <w:sz w:val="22"/>
          <w:szCs w:val="22"/>
        </w:rPr>
        <w:t>U kona</w:t>
      </w:r>
      <w:r>
        <w:rPr>
          <w:sz w:val="22"/>
          <w:szCs w:val="22"/>
        </w:rPr>
        <w:t>č</w:t>
      </w:r>
      <w:r w:rsidRPr="00B05AA9">
        <w:rPr>
          <w:sz w:val="22"/>
          <w:szCs w:val="22"/>
        </w:rPr>
        <w:t>nom populacijskom farmakokineti</w:t>
      </w:r>
      <w:r>
        <w:rPr>
          <w:sz w:val="22"/>
          <w:szCs w:val="22"/>
        </w:rPr>
        <w:t>č</w:t>
      </w:r>
      <w:r w:rsidRPr="00B05AA9">
        <w:rPr>
          <w:sz w:val="22"/>
          <w:szCs w:val="22"/>
        </w:rPr>
        <w:t>kom modelu</w:t>
      </w:r>
      <w:r>
        <w:rPr>
          <w:sz w:val="22"/>
          <w:szCs w:val="22"/>
        </w:rPr>
        <w:t xml:space="preserve">, </w:t>
      </w:r>
      <w:r w:rsidRPr="00B05AA9">
        <w:rPr>
          <w:sz w:val="22"/>
          <w:szCs w:val="22"/>
        </w:rPr>
        <w:t>kao statisti</w:t>
      </w:r>
      <w:r>
        <w:rPr>
          <w:sz w:val="22"/>
          <w:szCs w:val="22"/>
        </w:rPr>
        <w:t>č</w:t>
      </w:r>
      <w:r w:rsidRPr="00B05AA9">
        <w:rPr>
          <w:sz w:val="22"/>
          <w:szCs w:val="22"/>
        </w:rPr>
        <w:t>ki zna</w:t>
      </w:r>
      <w:r>
        <w:rPr>
          <w:sz w:val="22"/>
          <w:szCs w:val="22"/>
        </w:rPr>
        <w:t>č</w:t>
      </w:r>
      <w:r w:rsidRPr="00B05AA9">
        <w:rPr>
          <w:sz w:val="22"/>
          <w:szCs w:val="22"/>
        </w:rPr>
        <w:t>ajne kovarijante koje uti</w:t>
      </w:r>
      <w:r>
        <w:rPr>
          <w:sz w:val="22"/>
          <w:szCs w:val="22"/>
        </w:rPr>
        <w:t>č</w:t>
      </w:r>
      <w:r w:rsidRPr="00B05AA9">
        <w:rPr>
          <w:sz w:val="22"/>
          <w:szCs w:val="22"/>
        </w:rPr>
        <w:t xml:space="preserve">u </w:t>
      </w:r>
      <w:proofErr w:type="gramStart"/>
      <w:r w:rsidRPr="00B05AA9">
        <w:rPr>
          <w:sz w:val="22"/>
          <w:szCs w:val="22"/>
        </w:rPr>
        <w:t>na</w:t>
      </w:r>
      <w:proofErr w:type="gramEnd"/>
      <w:r w:rsidRPr="00B05AA9">
        <w:rPr>
          <w:sz w:val="22"/>
          <w:szCs w:val="22"/>
        </w:rPr>
        <w:t xml:space="preserve"> izlo</w:t>
      </w:r>
      <w:r>
        <w:rPr>
          <w:sz w:val="22"/>
          <w:szCs w:val="22"/>
        </w:rPr>
        <w:t>ž</w:t>
      </w:r>
      <w:r w:rsidRPr="00B05AA9">
        <w:rPr>
          <w:sz w:val="22"/>
          <w:szCs w:val="22"/>
        </w:rPr>
        <w:t>enost trastuzumabu su</w:t>
      </w:r>
      <w:r>
        <w:rPr>
          <w:sz w:val="22"/>
          <w:szCs w:val="22"/>
        </w:rPr>
        <w:t xml:space="preserve">, </w:t>
      </w:r>
      <w:r w:rsidRPr="00B05AA9">
        <w:rPr>
          <w:sz w:val="22"/>
          <w:szCs w:val="22"/>
        </w:rPr>
        <w:t>uz primarnu vrstu tumora</w:t>
      </w:r>
      <w:r>
        <w:rPr>
          <w:sz w:val="22"/>
          <w:szCs w:val="22"/>
        </w:rPr>
        <w:t xml:space="preserve">, </w:t>
      </w:r>
      <w:r w:rsidRPr="00B05AA9">
        <w:rPr>
          <w:sz w:val="22"/>
          <w:szCs w:val="22"/>
        </w:rPr>
        <w:t>identifi</w:t>
      </w:r>
      <w:r w:rsidR="0051053D">
        <w:rPr>
          <w:sz w:val="22"/>
          <w:szCs w:val="22"/>
        </w:rPr>
        <w:t>kovane</w:t>
      </w:r>
      <w:r w:rsidRPr="00B05AA9">
        <w:rPr>
          <w:sz w:val="22"/>
          <w:szCs w:val="22"/>
        </w:rPr>
        <w:t xml:space="preserve"> i tjelesna </w:t>
      </w:r>
      <w:r w:rsidR="0051053D">
        <w:rPr>
          <w:sz w:val="22"/>
          <w:szCs w:val="22"/>
        </w:rPr>
        <w:t>masa</w:t>
      </w:r>
      <w:r w:rsidR="0051053D" w:rsidRPr="00B05AA9">
        <w:rPr>
          <w:sz w:val="22"/>
          <w:szCs w:val="22"/>
        </w:rPr>
        <w:t xml:space="preserve"> </w:t>
      </w:r>
      <w:r w:rsidRPr="00B05AA9">
        <w:rPr>
          <w:sz w:val="22"/>
          <w:szCs w:val="22"/>
        </w:rPr>
        <w:t>te nivo aspartat aminotransferaze i albumina u serumu</w:t>
      </w:r>
      <w:r>
        <w:rPr>
          <w:sz w:val="22"/>
          <w:szCs w:val="22"/>
        </w:rPr>
        <w:t xml:space="preserve">. </w:t>
      </w:r>
      <w:r w:rsidRPr="00B05AA9">
        <w:rPr>
          <w:sz w:val="22"/>
          <w:szCs w:val="22"/>
        </w:rPr>
        <w:t>Me</w:t>
      </w:r>
      <w:r>
        <w:rPr>
          <w:sz w:val="22"/>
          <w:szCs w:val="22"/>
        </w:rPr>
        <w:t>đ</w:t>
      </w:r>
      <w:r w:rsidRPr="00B05AA9">
        <w:rPr>
          <w:sz w:val="22"/>
          <w:szCs w:val="22"/>
        </w:rPr>
        <w:t>utim</w:t>
      </w:r>
      <w:r>
        <w:rPr>
          <w:sz w:val="22"/>
          <w:szCs w:val="22"/>
        </w:rPr>
        <w:t xml:space="preserve">, </w:t>
      </w:r>
      <w:r w:rsidRPr="00B05AA9">
        <w:rPr>
          <w:sz w:val="22"/>
          <w:szCs w:val="22"/>
        </w:rPr>
        <w:t>veli</w:t>
      </w:r>
      <w:r>
        <w:rPr>
          <w:sz w:val="22"/>
          <w:szCs w:val="22"/>
        </w:rPr>
        <w:t>č</w:t>
      </w:r>
      <w:r w:rsidRPr="00B05AA9">
        <w:rPr>
          <w:sz w:val="22"/>
          <w:szCs w:val="22"/>
        </w:rPr>
        <w:t xml:space="preserve">ina dejstva tih kovarijanti </w:t>
      </w:r>
      <w:proofErr w:type="gramStart"/>
      <w:r w:rsidRPr="00B05AA9">
        <w:rPr>
          <w:sz w:val="22"/>
          <w:szCs w:val="22"/>
        </w:rPr>
        <w:t>na</w:t>
      </w:r>
      <w:proofErr w:type="gramEnd"/>
      <w:r w:rsidRPr="00B05AA9">
        <w:rPr>
          <w:sz w:val="22"/>
          <w:szCs w:val="22"/>
        </w:rPr>
        <w:t xml:space="preserve"> izlo</w:t>
      </w:r>
      <w:r>
        <w:rPr>
          <w:sz w:val="22"/>
          <w:szCs w:val="22"/>
        </w:rPr>
        <w:t>ž</w:t>
      </w:r>
      <w:r w:rsidRPr="00B05AA9">
        <w:rPr>
          <w:sz w:val="22"/>
          <w:szCs w:val="22"/>
        </w:rPr>
        <w:t>enost trastuzumabu upu</w:t>
      </w:r>
      <w:r>
        <w:rPr>
          <w:sz w:val="22"/>
          <w:szCs w:val="22"/>
        </w:rPr>
        <w:t>ć</w:t>
      </w:r>
      <w:r w:rsidRPr="00B05AA9">
        <w:rPr>
          <w:sz w:val="22"/>
          <w:szCs w:val="22"/>
        </w:rPr>
        <w:t>uje na to da nije vjerojatno da bi te kovarijante klini</w:t>
      </w:r>
      <w:r>
        <w:rPr>
          <w:sz w:val="22"/>
          <w:szCs w:val="22"/>
        </w:rPr>
        <w:t>č</w:t>
      </w:r>
      <w:r w:rsidRPr="00B05AA9">
        <w:rPr>
          <w:sz w:val="22"/>
          <w:szCs w:val="22"/>
        </w:rPr>
        <w:t>ki zna</w:t>
      </w:r>
      <w:r>
        <w:rPr>
          <w:sz w:val="22"/>
          <w:szCs w:val="22"/>
        </w:rPr>
        <w:t>č</w:t>
      </w:r>
      <w:r w:rsidRPr="00B05AA9">
        <w:rPr>
          <w:sz w:val="22"/>
          <w:szCs w:val="22"/>
        </w:rPr>
        <w:t>ajno uticale na koncentracije trastuzumaba</w:t>
      </w:r>
      <w:r>
        <w:rPr>
          <w:sz w:val="22"/>
          <w:szCs w:val="22"/>
        </w:rPr>
        <w:t>.</w:t>
      </w:r>
    </w:p>
    <w:p w14:paraId="6C7B1DF2" w14:textId="77777777" w:rsidR="00B05AA9" w:rsidRDefault="00B05AA9" w:rsidP="00641EEB">
      <w:pPr>
        <w:jc w:val="both"/>
        <w:rPr>
          <w:sz w:val="22"/>
          <w:szCs w:val="22"/>
        </w:rPr>
      </w:pPr>
    </w:p>
    <w:p w14:paraId="4A38CA6B" w14:textId="3D17D5DD" w:rsidR="00B05AA9" w:rsidRDefault="00B05AA9" w:rsidP="00641EEB">
      <w:pPr>
        <w:jc w:val="both"/>
        <w:rPr>
          <w:sz w:val="22"/>
          <w:szCs w:val="22"/>
        </w:rPr>
      </w:pPr>
      <w:r w:rsidRPr="00B05AA9">
        <w:rPr>
          <w:sz w:val="22"/>
          <w:szCs w:val="22"/>
        </w:rPr>
        <w:lastRenderedPageBreak/>
        <w:t>Vrijednosti farmakokineti</w:t>
      </w:r>
      <w:r>
        <w:rPr>
          <w:sz w:val="22"/>
          <w:szCs w:val="22"/>
        </w:rPr>
        <w:t>č</w:t>
      </w:r>
      <w:r w:rsidRPr="00B05AA9">
        <w:rPr>
          <w:sz w:val="22"/>
          <w:szCs w:val="22"/>
        </w:rPr>
        <w:t>ke izlo</w:t>
      </w:r>
      <w:r>
        <w:rPr>
          <w:sz w:val="22"/>
          <w:szCs w:val="22"/>
        </w:rPr>
        <w:t>ž</w:t>
      </w:r>
      <w:r w:rsidRPr="00B05AA9">
        <w:rPr>
          <w:sz w:val="22"/>
          <w:szCs w:val="22"/>
        </w:rPr>
        <w:t>enosti predvi</w:t>
      </w:r>
      <w:r>
        <w:rPr>
          <w:sz w:val="22"/>
          <w:szCs w:val="22"/>
        </w:rPr>
        <w:t>đ</w:t>
      </w:r>
      <w:r w:rsidRPr="00B05AA9">
        <w:rPr>
          <w:sz w:val="22"/>
          <w:szCs w:val="22"/>
        </w:rPr>
        <w:t>ene za populaciju</w:t>
      </w:r>
      <w:r>
        <w:rPr>
          <w:sz w:val="22"/>
          <w:szCs w:val="22"/>
        </w:rPr>
        <w:t xml:space="preserve"> (</w:t>
      </w:r>
      <w:r w:rsidRPr="00B05AA9">
        <w:rPr>
          <w:sz w:val="22"/>
          <w:szCs w:val="22"/>
        </w:rPr>
        <w:t>medijan i</w:t>
      </w:r>
      <w:r>
        <w:rPr>
          <w:sz w:val="22"/>
          <w:szCs w:val="22"/>
        </w:rPr>
        <w:t xml:space="preserve"> 5. </w:t>
      </w:r>
      <w:r w:rsidRPr="00B05AA9">
        <w:rPr>
          <w:sz w:val="22"/>
          <w:szCs w:val="22"/>
        </w:rPr>
        <w:t>do</w:t>
      </w:r>
      <w:r>
        <w:rPr>
          <w:sz w:val="22"/>
          <w:szCs w:val="22"/>
        </w:rPr>
        <w:t xml:space="preserve"> 95.</w:t>
      </w:r>
      <w:r w:rsidRPr="00B05AA9">
        <w:rPr>
          <w:sz w:val="22"/>
          <w:szCs w:val="22"/>
        </w:rPr>
        <w:t> percentil</w:t>
      </w:r>
      <w:r>
        <w:rPr>
          <w:sz w:val="22"/>
          <w:szCs w:val="22"/>
        </w:rPr>
        <w:t xml:space="preserve">) </w:t>
      </w:r>
      <w:r w:rsidRPr="00B05AA9">
        <w:rPr>
          <w:sz w:val="22"/>
          <w:szCs w:val="22"/>
        </w:rPr>
        <w:t>i vrijednosti farmakokineti</w:t>
      </w:r>
      <w:r>
        <w:rPr>
          <w:sz w:val="22"/>
          <w:szCs w:val="22"/>
        </w:rPr>
        <w:t>č</w:t>
      </w:r>
      <w:r w:rsidRPr="00B05AA9">
        <w:rPr>
          <w:sz w:val="22"/>
          <w:szCs w:val="22"/>
        </w:rPr>
        <w:t>kih parametara pri klini</w:t>
      </w:r>
      <w:r>
        <w:rPr>
          <w:sz w:val="22"/>
          <w:szCs w:val="22"/>
        </w:rPr>
        <w:t>č</w:t>
      </w:r>
      <w:r w:rsidRPr="00B05AA9">
        <w:rPr>
          <w:sz w:val="22"/>
          <w:szCs w:val="22"/>
        </w:rPr>
        <w:t>ki zna</w:t>
      </w:r>
      <w:r>
        <w:rPr>
          <w:sz w:val="22"/>
          <w:szCs w:val="22"/>
        </w:rPr>
        <w:t>č</w:t>
      </w:r>
      <w:r w:rsidRPr="00B05AA9">
        <w:rPr>
          <w:sz w:val="22"/>
          <w:szCs w:val="22"/>
        </w:rPr>
        <w:t>ajnim koncentracijama</w:t>
      </w:r>
      <w:r>
        <w:rPr>
          <w:sz w:val="22"/>
          <w:szCs w:val="22"/>
        </w:rPr>
        <w:t xml:space="preserve"> (</w:t>
      </w:r>
      <w:r w:rsidRPr="00B05AA9">
        <w:rPr>
          <w:sz w:val="22"/>
          <w:szCs w:val="22"/>
        </w:rPr>
        <w:t>Cmax i Cmin</w:t>
      </w:r>
      <w:r>
        <w:rPr>
          <w:sz w:val="22"/>
          <w:szCs w:val="22"/>
        </w:rPr>
        <w:t xml:space="preserve">) </w:t>
      </w:r>
      <w:r w:rsidRPr="00B05AA9">
        <w:rPr>
          <w:sz w:val="22"/>
          <w:szCs w:val="22"/>
        </w:rPr>
        <w:t>za pacijente sa metastatskim rakom dojke</w:t>
      </w:r>
      <w:r>
        <w:rPr>
          <w:sz w:val="22"/>
          <w:szCs w:val="22"/>
        </w:rPr>
        <w:t xml:space="preserve">, </w:t>
      </w:r>
      <w:r w:rsidRPr="00B05AA9">
        <w:rPr>
          <w:sz w:val="22"/>
          <w:szCs w:val="22"/>
        </w:rPr>
        <w:t>ranim rakom dojke i uznapredovalim rakom</w:t>
      </w:r>
      <w:r>
        <w:rPr>
          <w:sz w:val="22"/>
          <w:szCs w:val="22"/>
        </w:rPr>
        <w:t xml:space="preserve"> ž</w:t>
      </w:r>
      <w:r w:rsidRPr="00B05AA9">
        <w:rPr>
          <w:sz w:val="22"/>
          <w:szCs w:val="22"/>
        </w:rPr>
        <w:t>eluca koji se lije</w:t>
      </w:r>
      <w:r>
        <w:rPr>
          <w:sz w:val="22"/>
          <w:szCs w:val="22"/>
        </w:rPr>
        <w:t>č</w:t>
      </w:r>
      <w:r w:rsidRPr="00B05AA9">
        <w:rPr>
          <w:sz w:val="22"/>
          <w:szCs w:val="22"/>
        </w:rPr>
        <w:t>e odobrenim re</w:t>
      </w:r>
      <w:r>
        <w:rPr>
          <w:sz w:val="22"/>
          <w:szCs w:val="22"/>
        </w:rPr>
        <w:t>ž</w:t>
      </w:r>
      <w:r w:rsidRPr="00B05AA9">
        <w:rPr>
          <w:sz w:val="22"/>
          <w:szCs w:val="22"/>
        </w:rPr>
        <w:t>imima doziranja jed</w:t>
      </w:r>
      <w:r w:rsidR="0051053D">
        <w:rPr>
          <w:sz w:val="22"/>
          <w:szCs w:val="22"/>
        </w:rPr>
        <w:t>nom</w:t>
      </w:r>
      <w:r w:rsidRPr="00B05AA9">
        <w:rPr>
          <w:sz w:val="22"/>
          <w:szCs w:val="22"/>
        </w:rPr>
        <w:t xml:space="preserve"> nedjeljno i jed</w:t>
      </w:r>
      <w:r w:rsidR="0051053D">
        <w:rPr>
          <w:sz w:val="22"/>
          <w:szCs w:val="22"/>
        </w:rPr>
        <w:t>nom</w:t>
      </w:r>
      <w:r w:rsidRPr="00B05AA9">
        <w:rPr>
          <w:sz w:val="22"/>
          <w:szCs w:val="22"/>
        </w:rPr>
        <w:t xml:space="preserve"> svake</w:t>
      </w:r>
      <w:r>
        <w:rPr>
          <w:sz w:val="22"/>
          <w:szCs w:val="22"/>
        </w:rPr>
        <w:t xml:space="preserve"> 3</w:t>
      </w:r>
      <w:r w:rsidRPr="00B05AA9">
        <w:rPr>
          <w:sz w:val="22"/>
          <w:szCs w:val="22"/>
        </w:rPr>
        <w:t> nedjelje prikazane su u nastavku</w:t>
      </w:r>
      <w:r>
        <w:rPr>
          <w:sz w:val="22"/>
          <w:szCs w:val="22"/>
        </w:rPr>
        <w:t xml:space="preserve">, </w:t>
      </w:r>
      <w:r w:rsidRPr="00B05AA9">
        <w:rPr>
          <w:sz w:val="22"/>
          <w:szCs w:val="22"/>
        </w:rPr>
        <w:t>u Tabeli </w:t>
      </w:r>
      <w:r>
        <w:rPr>
          <w:sz w:val="22"/>
          <w:szCs w:val="22"/>
        </w:rPr>
        <w:t>14 (1.</w:t>
      </w:r>
      <w:r w:rsidRPr="00B05AA9">
        <w:rPr>
          <w:sz w:val="22"/>
          <w:szCs w:val="22"/>
        </w:rPr>
        <w:t> ciklus</w:t>
      </w:r>
      <w:r>
        <w:rPr>
          <w:sz w:val="22"/>
          <w:szCs w:val="22"/>
        </w:rPr>
        <w:t xml:space="preserve">), </w:t>
      </w:r>
      <w:r w:rsidRPr="00B05AA9">
        <w:rPr>
          <w:sz w:val="22"/>
          <w:szCs w:val="22"/>
        </w:rPr>
        <w:t>Tabeli </w:t>
      </w:r>
      <w:r>
        <w:rPr>
          <w:sz w:val="22"/>
          <w:szCs w:val="22"/>
        </w:rPr>
        <w:t>15 (</w:t>
      </w:r>
      <w:r w:rsidRPr="00B05AA9">
        <w:rPr>
          <w:sz w:val="22"/>
          <w:szCs w:val="22"/>
        </w:rPr>
        <w:t>stanje dinami</w:t>
      </w:r>
      <w:r>
        <w:rPr>
          <w:sz w:val="22"/>
          <w:szCs w:val="22"/>
        </w:rPr>
        <w:t>č</w:t>
      </w:r>
      <w:r w:rsidRPr="00B05AA9">
        <w:rPr>
          <w:sz w:val="22"/>
          <w:szCs w:val="22"/>
        </w:rPr>
        <w:t>ke ravnote</w:t>
      </w:r>
      <w:r>
        <w:rPr>
          <w:sz w:val="22"/>
          <w:szCs w:val="22"/>
        </w:rPr>
        <w:t>ž</w:t>
      </w:r>
      <w:r w:rsidRPr="00B05AA9">
        <w:rPr>
          <w:sz w:val="22"/>
          <w:szCs w:val="22"/>
        </w:rPr>
        <w:t>e</w:t>
      </w:r>
      <w:r>
        <w:rPr>
          <w:sz w:val="22"/>
          <w:szCs w:val="22"/>
        </w:rPr>
        <w:t xml:space="preserve">) </w:t>
      </w:r>
      <w:r w:rsidRPr="00B05AA9">
        <w:rPr>
          <w:sz w:val="22"/>
          <w:szCs w:val="22"/>
        </w:rPr>
        <w:t>i Tabeli </w:t>
      </w:r>
      <w:r>
        <w:rPr>
          <w:sz w:val="22"/>
          <w:szCs w:val="22"/>
        </w:rPr>
        <w:t>16 (</w:t>
      </w:r>
      <w:r w:rsidRPr="00B05AA9">
        <w:rPr>
          <w:sz w:val="22"/>
          <w:szCs w:val="22"/>
        </w:rPr>
        <w:t>farmakokineti</w:t>
      </w:r>
      <w:r>
        <w:rPr>
          <w:sz w:val="22"/>
          <w:szCs w:val="22"/>
        </w:rPr>
        <w:t>č</w:t>
      </w:r>
      <w:r w:rsidRPr="00B05AA9">
        <w:rPr>
          <w:sz w:val="22"/>
          <w:szCs w:val="22"/>
        </w:rPr>
        <w:t>ki parametri</w:t>
      </w:r>
      <w:r>
        <w:rPr>
          <w:sz w:val="22"/>
          <w:szCs w:val="22"/>
        </w:rPr>
        <w:t>).</w:t>
      </w:r>
    </w:p>
    <w:p w14:paraId="7FBA4E4C" w14:textId="77777777" w:rsidR="00B05AA9" w:rsidRDefault="00B05AA9" w:rsidP="00641EEB">
      <w:pPr>
        <w:jc w:val="both"/>
        <w:rPr>
          <w:sz w:val="22"/>
          <w:szCs w:val="22"/>
        </w:rPr>
      </w:pPr>
    </w:p>
    <w:p w14:paraId="295ABB3D" w14:textId="396538E4" w:rsidR="00B05AA9" w:rsidRDefault="00B05AA9" w:rsidP="00641EEB">
      <w:pPr>
        <w:jc w:val="both"/>
        <w:rPr>
          <w:sz w:val="22"/>
          <w:szCs w:val="22"/>
        </w:rPr>
      </w:pPr>
      <w:r w:rsidRPr="00B05AA9">
        <w:rPr>
          <w:sz w:val="22"/>
          <w:szCs w:val="22"/>
        </w:rPr>
        <w:t>Tabela </w:t>
      </w:r>
      <w:r>
        <w:rPr>
          <w:sz w:val="22"/>
          <w:szCs w:val="22"/>
        </w:rPr>
        <w:t xml:space="preserve">14 </w:t>
      </w:r>
      <w:r w:rsidRPr="00B05AA9">
        <w:rPr>
          <w:sz w:val="22"/>
          <w:szCs w:val="22"/>
        </w:rPr>
        <w:t>Vrijednosti farmakokineti</w:t>
      </w:r>
      <w:r>
        <w:rPr>
          <w:sz w:val="22"/>
          <w:szCs w:val="22"/>
        </w:rPr>
        <w:t>č</w:t>
      </w:r>
      <w:r w:rsidRPr="00B05AA9">
        <w:rPr>
          <w:sz w:val="22"/>
          <w:szCs w:val="22"/>
        </w:rPr>
        <w:t>ke izlo</w:t>
      </w:r>
      <w:r>
        <w:rPr>
          <w:sz w:val="22"/>
          <w:szCs w:val="22"/>
        </w:rPr>
        <w:t>ž</w:t>
      </w:r>
      <w:r w:rsidRPr="00B05AA9">
        <w:rPr>
          <w:sz w:val="22"/>
          <w:szCs w:val="22"/>
        </w:rPr>
        <w:t>enosti predvi</w:t>
      </w:r>
      <w:r>
        <w:rPr>
          <w:sz w:val="22"/>
          <w:szCs w:val="22"/>
        </w:rPr>
        <w:t>đ</w:t>
      </w:r>
      <w:r w:rsidRPr="00B05AA9">
        <w:rPr>
          <w:sz w:val="22"/>
          <w:szCs w:val="22"/>
        </w:rPr>
        <w:t>ene za populaciju u</w:t>
      </w:r>
      <w:r>
        <w:rPr>
          <w:sz w:val="22"/>
          <w:szCs w:val="22"/>
        </w:rPr>
        <w:t xml:space="preserve"> 1.</w:t>
      </w:r>
      <w:r w:rsidRPr="00B05AA9">
        <w:rPr>
          <w:sz w:val="22"/>
          <w:szCs w:val="22"/>
        </w:rPr>
        <w:t> </w:t>
      </w:r>
      <w:proofErr w:type="gramStart"/>
      <w:r w:rsidRPr="00B05AA9">
        <w:rPr>
          <w:sz w:val="22"/>
          <w:szCs w:val="22"/>
        </w:rPr>
        <w:t>ciklusu</w:t>
      </w:r>
      <w:proofErr w:type="gramEnd"/>
      <w:r>
        <w:rPr>
          <w:sz w:val="22"/>
          <w:szCs w:val="22"/>
        </w:rPr>
        <w:t xml:space="preserve"> (</w:t>
      </w:r>
      <w:r w:rsidRPr="00B05AA9">
        <w:rPr>
          <w:sz w:val="22"/>
          <w:szCs w:val="22"/>
        </w:rPr>
        <w:t>medijan</w:t>
      </w:r>
      <w:r w:rsidR="0051053D">
        <w:rPr>
          <w:sz w:val="22"/>
          <w:szCs w:val="22"/>
        </w:rPr>
        <w:t>a</w:t>
      </w:r>
      <w:r w:rsidRPr="00B05AA9">
        <w:rPr>
          <w:sz w:val="22"/>
          <w:szCs w:val="22"/>
        </w:rPr>
        <w:t xml:space="preserve"> i</w:t>
      </w:r>
      <w:r>
        <w:rPr>
          <w:sz w:val="22"/>
          <w:szCs w:val="22"/>
        </w:rPr>
        <w:t xml:space="preserve"> 5.</w:t>
      </w:r>
      <w:r w:rsidRPr="00B05AA9">
        <w:rPr>
          <w:sz w:val="22"/>
          <w:szCs w:val="22"/>
        </w:rPr>
        <w:t> do </w:t>
      </w:r>
      <w:r>
        <w:rPr>
          <w:sz w:val="22"/>
          <w:szCs w:val="22"/>
        </w:rPr>
        <w:t>95.</w:t>
      </w:r>
      <w:r w:rsidRPr="00B05AA9">
        <w:rPr>
          <w:sz w:val="22"/>
          <w:szCs w:val="22"/>
        </w:rPr>
        <w:t> percentil</w:t>
      </w:r>
      <w:r>
        <w:rPr>
          <w:sz w:val="22"/>
          <w:szCs w:val="22"/>
        </w:rPr>
        <w:t xml:space="preserve">) </w:t>
      </w:r>
      <w:r w:rsidRPr="00B05AA9">
        <w:rPr>
          <w:sz w:val="22"/>
          <w:szCs w:val="22"/>
        </w:rPr>
        <w:t>uz re</w:t>
      </w:r>
      <w:r>
        <w:rPr>
          <w:sz w:val="22"/>
          <w:szCs w:val="22"/>
        </w:rPr>
        <w:t>ž</w:t>
      </w:r>
      <w:r w:rsidRPr="00B05AA9">
        <w:rPr>
          <w:sz w:val="22"/>
          <w:szCs w:val="22"/>
        </w:rPr>
        <w:t>ime doziranja intravenske formulacije lijeka Herceptin kod pacijenata sa metastatskim rakom dojke</w:t>
      </w:r>
      <w:r>
        <w:rPr>
          <w:sz w:val="22"/>
          <w:szCs w:val="22"/>
        </w:rPr>
        <w:t xml:space="preserve">, </w:t>
      </w:r>
      <w:r w:rsidRPr="00B05AA9">
        <w:rPr>
          <w:sz w:val="22"/>
          <w:szCs w:val="22"/>
        </w:rPr>
        <w:t>ranim rakom dojke i uznapredovalim rakom</w:t>
      </w:r>
      <w:r>
        <w:rPr>
          <w:sz w:val="22"/>
          <w:szCs w:val="22"/>
        </w:rPr>
        <w:t xml:space="preserve">  ž</w:t>
      </w:r>
      <w:r w:rsidRPr="00B05AA9">
        <w:rPr>
          <w:sz w:val="22"/>
          <w:szCs w:val="22"/>
        </w:rPr>
        <w:t>eluca</w:t>
      </w:r>
      <w:r>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851"/>
        <w:gridCol w:w="1082"/>
        <w:gridCol w:w="1434"/>
        <w:gridCol w:w="1545"/>
        <w:gridCol w:w="1766"/>
      </w:tblGrid>
      <w:tr w:rsidR="00B05AA9" w:rsidRPr="00E81BEF" w14:paraId="25412538" w14:textId="77777777" w:rsidTr="00B05AA9">
        <w:trPr>
          <w:trHeight w:val="117"/>
        </w:trPr>
        <w:tc>
          <w:tcPr>
            <w:tcW w:w="770" w:type="pct"/>
            <w:tcBorders>
              <w:top w:val="single" w:sz="4" w:space="0" w:color="auto"/>
              <w:left w:val="single" w:sz="4" w:space="0" w:color="auto"/>
              <w:bottom w:val="single" w:sz="4" w:space="0" w:color="auto"/>
              <w:right w:val="single" w:sz="4" w:space="0" w:color="auto"/>
            </w:tcBorders>
            <w:vAlign w:val="center"/>
            <w:hideMark/>
          </w:tcPr>
          <w:p w14:paraId="18CDCFEE" w14:textId="77777777" w:rsidR="00B05AA9" w:rsidRDefault="00B05AA9" w:rsidP="00641EEB">
            <w:pPr>
              <w:pStyle w:val="ParagraphFPI"/>
              <w:keepNext/>
              <w:tabs>
                <w:tab w:val="left" w:pos="240"/>
              </w:tabs>
              <w:jc w:val="center"/>
              <w:rPr>
                <w:sz w:val="22"/>
                <w:szCs w:val="22"/>
                <w:lang w:val="hr-HR" w:eastAsia="ja-JP"/>
              </w:rPr>
            </w:pPr>
            <w:r>
              <w:rPr>
                <w:sz w:val="22"/>
                <w:szCs w:val="22"/>
                <w:lang w:val="hr-HR" w:eastAsia="ja-JP"/>
              </w:rPr>
              <w:t>Režim</w:t>
            </w:r>
          </w:p>
        </w:tc>
        <w:tc>
          <w:tcPr>
            <w:tcW w:w="1020" w:type="pct"/>
            <w:tcBorders>
              <w:top w:val="single" w:sz="4" w:space="0" w:color="auto"/>
              <w:left w:val="single" w:sz="4" w:space="0" w:color="auto"/>
              <w:bottom w:val="single" w:sz="4" w:space="0" w:color="auto"/>
              <w:right w:val="single" w:sz="4" w:space="0" w:color="auto"/>
            </w:tcBorders>
            <w:vAlign w:val="center"/>
            <w:hideMark/>
          </w:tcPr>
          <w:p w14:paraId="2AAE9CDA" w14:textId="77777777" w:rsidR="00B05AA9" w:rsidRDefault="00B05AA9" w:rsidP="00641EEB">
            <w:pPr>
              <w:pStyle w:val="ParagraphFPI"/>
              <w:keepNext/>
              <w:tabs>
                <w:tab w:val="left" w:pos="240"/>
              </w:tabs>
              <w:jc w:val="center"/>
              <w:rPr>
                <w:sz w:val="22"/>
                <w:szCs w:val="22"/>
                <w:lang w:val="hr-HR" w:eastAsia="ja-JP"/>
              </w:rPr>
            </w:pPr>
            <w:r>
              <w:rPr>
                <w:sz w:val="22"/>
                <w:szCs w:val="22"/>
                <w:lang w:val="hr-HR" w:eastAsia="ja-JP"/>
              </w:rPr>
              <w:t xml:space="preserve">Vrsta primarnog tumora </w:t>
            </w:r>
          </w:p>
        </w:tc>
        <w:tc>
          <w:tcPr>
            <w:tcW w:w="596" w:type="pct"/>
            <w:tcBorders>
              <w:top w:val="single" w:sz="4" w:space="0" w:color="auto"/>
              <w:left w:val="single" w:sz="4" w:space="0" w:color="auto"/>
              <w:bottom w:val="single" w:sz="4" w:space="0" w:color="auto"/>
              <w:right w:val="single" w:sz="4" w:space="0" w:color="auto"/>
            </w:tcBorders>
            <w:vAlign w:val="center"/>
            <w:hideMark/>
          </w:tcPr>
          <w:p w14:paraId="07C4244D" w14:textId="77777777" w:rsidR="00B05AA9" w:rsidRDefault="00B05AA9" w:rsidP="00641EEB">
            <w:pPr>
              <w:pStyle w:val="ParagraphFPI"/>
              <w:keepNext/>
              <w:tabs>
                <w:tab w:val="left" w:pos="240"/>
              </w:tabs>
              <w:jc w:val="center"/>
              <w:rPr>
                <w:sz w:val="22"/>
                <w:szCs w:val="22"/>
                <w:lang w:val="hr-HR" w:eastAsia="ja-JP"/>
              </w:rPr>
            </w:pPr>
            <w:r>
              <w:rPr>
                <w:sz w:val="22"/>
                <w:szCs w:val="22"/>
                <w:lang w:val="hr-HR" w:eastAsia="ja-JP"/>
              </w:rPr>
              <w:t>N</w:t>
            </w:r>
          </w:p>
        </w:tc>
        <w:tc>
          <w:tcPr>
            <w:tcW w:w="790" w:type="pct"/>
            <w:tcBorders>
              <w:top w:val="single" w:sz="4" w:space="0" w:color="auto"/>
              <w:left w:val="single" w:sz="4" w:space="0" w:color="auto"/>
              <w:bottom w:val="single" w:sz="4" w:space="0" w:color="auto"/>
              <w:right w:val="single" w:sz="4" w:space="0" w:color="auto"/>
            </w:tcBorders>
            <w:vAlign w:val="center"/>
            <w:hideMark/>
          </w:tcPr>
          <w:p w14:paraId="0AB14DEE" w14:textId="77777777" w:rsidR="00B05AA9" w:rsidRDefault="00B05AA9" w:rsidP="00641EEB">
            <w:pPr>
              <w:pStyle w:val="ParagraphFPI"/>
              <w:keepNext/>
              <w:tabs>
                <w:tab w:val="left" w:pos="240"/>
              </w:tabs>
              <w:jc w:val="center"/>
              <w:rPr>
                <w:sz w:val="22"/>
                <w:szCs w:val="22"/>
                <w:lang w:val="hr-HR" w:eastAsia="ja-JP"/>
              </w:rPr>
            </w:pPr>
            <w:r>
              <w:rPr>
                <w:sz w:val="22"/>
                <w:szCs w:val="22"/>
                <w:lang w:val="hr-HR" w:eastAsia="ja-JP"/>
              </w:rPr>
              <w:t>C</w:t>
            </w:r>
            <w:r>
              <w:rPr>
                <w:sz w:val="22"/>
                <w:szCs w:val="22"/>
                <w:vertAlign w:val="subscript"/>
                <w:lang w:val="hr-HR" w:eastAsia="ja-JP"/>
              </w:rPr>
              <w:t>min</w:t>
            </w:r>
          </w:p>
          <w:p w14:paraId="4F076087" w14:textId="77777777" w:rsidR="00B05AA9" w:rsidRDefault="00B05AA9" w:rsidP="00641EEB">
            <w:pPr>
              <w:pStyle w:val="ParagraphFPI"/>
              <w:keepNext/>
              <w:tabs>
                <w:tab w:val="left" w:pos="240"/>
              </w:tabs>
              <w:jc w:val="center"/>
              <w:rPr>
                <w:sz w:val="22"/>
                <w:szCs w:val="22"/>
                <w:lang w:val="hr-HR" w:eastAsia="ja-JP"/>
              </w:rPr>
            </w:pPr>
            <w:r>
              <w:rPr>
                <w:sz w:val="22"/>
                <w:szCs w:val="22"/>
                <w:lang w:val="hr-HR" w:eastAsia="ja-JP"/>
              </w:rPr>
              <w:t>(µg/ml)</w:t>
            </w:r>
          </w:p>
        </w:tc>
        <w:tc>
          <w:tcPr>
            <w:tcW w:w="851" w:type="pct"/>
            <w:tcBorders>
              <w:top w:val="single" w:sz="4" w:space="0" w:color="auto"/>
              <w:left w:val="single" w:sz="4" w:space="0" w:color="auto"/>
              <w:bottom w:val="single" w:sz="4" w:space="0" w:color="auto"/>
              <w:right w:val="single" w:sz="4" w:space="0" w:color="auto"/>
            </w:tcBorders>
            <w:vAlign w:val="center"/>
            <w:hideMark/>
          </w:tcPr>
          <w:p w14:paraId="690EF64E" w14:textId="77777777" w:rsidR="00B05AA9" w:rsidRDefault="00B05AA9" w:rsidP="00641EEB">
            <w:pPr>
              <w:pStyle w:val="ParagraphFPI"/>
              <w:keepNext/>
              <w:tabs>
                <w:tab w:val="left" w:pos="240"/>
              </w:tabs>
              <w:jc w:val="center"/>
              <w:rPr>
                <w:sz w:val="22"/>
                <w:szCs w:val="22"/>
                <w:lang w:val="hr-HR" w:eastAsia="ja-JP"/>
              </w:rPr>
            </w:pPr>
            <w:r>
              <w:rPr>
                <w:sz w:val="22"/>
                <w:szCs w:val="22"/>
                <w:lang w:val="hr-HR" w:eastAsia="ja-JP"/>
              </w:rPr>
              <w:t>C</w:t>
            </w:r>
            <w:r>
              <w:rPr>
                <w:sz w:val="22"/>
                <w:szCs w:val="22"/>
                <w:vertAlign w:val="subscript"/>
                <w:lang w:val="hr-HR" w:eastAsia="ja-JP"/>
              </w:rPr>
              <w:t>max</w:t>
            </w:r>
          </w:p>
          <w:p w14:paraId="7E0BF150" w14:textId="77777777" w:rsidR="00B05AA9" w:rsidRDefault="00B05AA9" w:rsidP="00641EEB">
            <w:pPr>
              <w:pStyle w:val="ParagraphFPI"/>
              <w:keepNext/>
              <w:tabs>
                <w:tab w:val="left" w:pos="240"/>
              </w:tabs>
              <w:jc w:val="center"/>
              <w:rPr>
                <w:sz w:val="22"/>
                <w:szCs w:val="22"/>
                <w:lang w:val="hr-HR" w:eastAsia="ja-JP"/>
              </w:rPr>
            </w:pPr>
            <w:r>
              <w:rPr>
                <w:sz w:val="22"/>
                <w:szCs w:val="22"/>
                <w:lang w:val="hr-HR" w:eastAsia="ja-JP"/>
              </w:rPr>
              <w:t>(µg/ml)</w:t>
            </w:r>
          </w:p>
        </w:tc>
        <w:tc>
          <w:tcPr>
            <w:tcW w:w="973" w:type="pct"/>
            <w:tcBorders>
              <w:top w:val="single" w:sz="4" w:space="0" w:color="auto"/>
              <w:left w:val="single" w:sz="4" w:space="0" w:color="auto"/>
              <w:bottom w:val="single" w:sz="4" w:space="0" w:color="auto"/>
              <w:right w:val="single" w:sz="4" w:space="0" w:color="auto"/>
            </w:tcBorders>
            <w:vAlign w:val="center"/>
            <w:hideMark/>
          </w:tcPr>
          <w:p w14:paraId="2B35883E" w14:textId="77777777" w:rsidR="00B05AA9" w:rsidRDefault="00B05AA9" w:rsidP="00641EEB">
            <w:pPr>
              <w:pStyle w:val="ParagraphFPI"/>
              <w:keepNext/>
              <w:tabs>
                <w:tab w:val="left" w:pos="240"/>
              </w:tabs>
              <w:jc w:val="center"/>
              <w:rPr>
                <w:sz w:val="22"/>
                <w:szCs w:val="22"/>
                <w:lang w:val="hr-HR" w:eastAsia="ja-JP"/>
              </w:rPr>
            </w:pPr>
            <w:r>
              <w:rPr>
                <w:sz w:val="22"/>
                <w:szCs w:val="22"/>
                <w:lang w:val="hr-HR" w:eastAsia="ja-JP"/>
              </w:rPr>
              <w:t>AUC</w:t>
            </w:r>
            <w:r>
              <w:rPr>
                <w:sz w:val="22"/>
                <w:szCs w:val="22"/>
                <w:vertAlign w:val="subscript"/>
                <w:lang w:val="hr-HR" w:eastAsia="ja-JP"/>
              </w:rPr>
              <w:t>0-21dan</w:t>
            </w:r>
          </w:p>
          <w:p w14:paraId="3FB887DE" w14:textId="77777777" w:rsidR="00B05AA9" w:rsidRDefault="00B05AA9" w:rsidP="00641EEB">
            <w:pPr>
              <w:pStyle w:val="ParagraphFPI"/>
              <w:keepNext/>
              <w:tabs>
                <w:tab w:val="left" w:pos="240"/>
              </w:tabs>
              <w:jc w:val="center"/>
              <w:rPr>
                <w:sz w:val="22"/>
                <w:szCs w:val="22"/>
                <w:lang w:val="hr-HR" w:eastAsia="ja-JP"/>
              </w:rPr>
            </w:pPr>
            <w:r>
              <w:rPr>
                <w:sz w:val="22"/>
                <w:szCs w:val="22"/>
                <w:lang w:val="hr-HR" w:eastAsia="ja-JP"/>
              </w:rPr>
              <w:t>(µg.dan/ml)</w:t>
            </w:r>
          </w:p>
        </w:tc>
      </w:tr>
      <w:tr w:rsidR="00B05AA9" w14:paraId="111B86EB" w14:textId="77777777" w:rsidTr="00B05AA9">
        <w:trPr>
          <w:trHeight w:val="730"/>
        </w:trPr>
        <w:tc>
          <w:tcPr>
            <w:tcW w:w="770" w:type="pct"/>
            <w:vMerge w:val="restart"/>
            <w:tcBorders>
              <w:top w:val="single" w:sz="4" w:space="0" w:color="auto"/>
              <w:left w:val="single" w:sz="4" w:space="0" w:color="auto"/>
              <w:bottom w:val="single" w:sz="4" w:space="0" w:color="auto"/>
              <w:right w:val="single" w:sz="4" w:space="0" w:color="auto"/>
            </w:tcBorders>
            <w:vAlign w:val="center"/>
            <w:hideMark/>
          </w:tcPr>
          <w:p w14:paraId="4F3D9974" w14:textId="56746303" w:rsidR="00B05AA9" w:rsidRDefault="00B05AA9" w:rsidP="00641EEB">
            <w:pPr>
              <w:pStyle w:val="ParagraphFPI"/>
              <w:keepNext/>
              <w:tabs>
                <w:tab w:val="left" w:pos="240"/>
              </w:tabs>
              <w:jc w:val="center"/>
              <w:rPr>
                <w:sz w:val="22"/>
                <w:szCs w:val="22"/>
                <w:lang w:val="hr-HR" w:eastAsia="ja-JP"/>
              </w:rPr>
            </w:pPr>
            <w:r>
              <w:rPr>
                <w:sz w:val="22"/>
                <w:szCs w:val="22"/>
                <w:lang w:val="hr-HR" w:eastAsia="ja-JP"/>
              </w:rPr>
              <w:t>8 mg/kg +</w:t>
            </w:r>
            <w:r>
              <w:rPr>
                <w:sz w:val="22"/>
                <w:szCs w:val="22"/>
                <w:lang w:val="hr-HR" w:eastAsia="ja-JP"/>
              </w:rPr>
              <w:br/>
              <w:t xml:space="preserve">6 mg/kg </w:t>
            </w:r>
            <w:r w:rsidR="0051053D">
              <w:rPr>
                <w:sz w:val="22"/>
                <w:szCs w:val="22"/>
                <w:lang w:val="hr-HR" w:eastAsia="ja-JP"/>
              </w:rPr>
              <w:t xml:space="preserve">jednom </w:t>
            </w:r>
            <w:r>
              <w:rPr>
                <w:sz w:val="22"/>
                <w:szCs w:val="22"/>
                <w:lang w:val="hr-HR" w:eastAsia="ja-JP"/>
              </w:rPr>
              <w:t xml:space="preserve">svake 3 nedjelje </w:t>
            </w:r>
          </w:p>
        </w:tc>
        <w:tc>
          <w:tcPr>
            <w:tcW w:w="1020" w:type="pct"/>
            <w:tcBorders>
              <w:top w:val="single" w:sz="4" w:space="0" w:color="auto"/>
              <w:left w:val="single" w:sz="4" w:space="0" w:color="auto"/>
              <w:bottom w:val="single" w:sz="4" w:space="0" w:color="auto"/>
              <w:right w:val="single" w:sz="4" w:space="0" w:color="auto"/>
            </w:tcBorders>
            <w:vAlign w:val="center"/>
            <w:hideMark/>
          </w:tcPr>
          <w:p w14:paraId="0934D541" w14:textId="77777777" w:rsidR="00B05AA9" w:rsidRDefault="00B05AA9" w:rsidP="00641EEB">
            <w:pPr>
              <w:keepNext/>
              <w:jc w:val="center"/>
              <w:rPr>
                <w:sz w:val="22"/>
                <w:szCs w:val="22"/>
                <w:lang w:val="hr-HR"/>
              </w:rPr>
            </w:pPr>
            <w:r>
              <w:rPr>
                <w:sz w:val="22"/>
                <w:szCs w:val="22"/>
                <w:lang w:val="hr-HR"/>
              </w:rPr>
              <w:t xml:space="preserve">metastatski rak dojke </w:t>
            </w:r>
          </w:p>
        </w:tc>
        <w:tc>
          <w:tcPr>
            <w:tcW w:w="596" w:type="pct"/>
            <w:tcBorders>
              <w:top w:val="single" w:sz="4" w:space="0" w:color="auto"/>
              <w:left w:val="single" w:sz="4" w:space="0" w:color="auto"/>
              <w:bottom w:val="single" w:sz="4" w:space="0" w:color="auto"/>
              <w:right w:val="single" w:sz="4" w:space="0" w:color="auto"/>
            </w:tcBorders>
            <w:vAlign w:val="center"/>
            <w:hideMark/>
          </w:tcPr>
          <w:p w14:paraId="4AE5D77C" w14:textId="77777777" w:rsidR="00B05AA9" w:rsidRDefault="00B05AA9" w:rsidP="00641EEB">
            <w:pPr>
              <w:keepNext/>
              <w:jc w:val="center"/>
              <w:rPr>
                <w:sz w:val="22"/>
                <w:szCs w:val="22"/>
                <w:lang w:val="hr-HR"/>
              </w:rPr>
            </w:pPr>
            <w:r>
              <w:rPr>
                <w:sz w:val="22"/>
                <w:szCs w:val="22"/>
                <w:lang w:val="hr-HR"/>
              </w:rPr>
              <w:t>805</w:t>
            </w:r>
          </w:p>
        </w:tc>
        <w:tc>
          <w:tcPr>
            <w:tcW w:w="790" w:type="pct"/>
            <w:tcBorders>
              <w:top w:val="single" w:sz="4" w:space="0" w:color="auto"/>
              <w:left w:val="single" w:sz="4" w:space="0" w:color="auto"/>
              <w:bottom w:val="single" w:sz="4" w:space="0" w:color="auto"/>
              <w:right w:val="single" w:sz="4" w:space="0" w:color="auto"/>
            </w:tcBorders>
            <w:vAlign w:val="center"/>
            <w:hideMark/>
          </w:tcPr>
          <w:p w14:paraId="6E8884B7" w14:textId="77777777" w:rsidR="00B05AA9" w:rsidRDefault="00B05AA9" w:rsidP="00641EEB">
            <w:pPr>
              <w:keepNext/>
              <w:jc w:val="center"/>
              <w:rPr>
                <w:sz w:val="22"/>
                <w:szCs w:val="22"/>
                <w:lang w:val="hr-HR"/>
              </w:rPr>
            </w:pPr>
            <w:r>
              <w:rPr>
                <w:sz w:val="22"/>
                <w:szCs w:val="22"/>
                <w:lang w:val="hr-HR"/>
              </w:rPr>
              <w:t xml:space="preserve">28,7 </w:t>
            </w:r>
            <w:r>
              <w:rPr>
                <w:sz w:val="22"/>
                <w:szCs w:val="22"/>
                <w:lang w:val="hr-HR"/>
              </w:rPr>
              <w:br/>
              <w:t>(2,9 – 46,3)</w:t>
            </w:r>
          </w:p>
        </w:tc>
        <w:tc>
          <w:tcPr>
            <w:tcW w:w="851" w:type="pct"/>
            <w:tcBorders>
              <w:top w:val="single" w:sz="4" w:space="0" w:color="auto"/>
              <w:left w:val="single" w:sz="4" w:space="0" w:color="auto"/>
              <w:bottom w:val="single" w:sz="4" w:space="0" w:color="auto"/>
              <w:right w:val="single" w:sz="4" w:space="0" w:color="auto"/>
            </w:tcBorders>
            <w:vAlign w:val="center"/>
            <w:hideMark/>
          </w:tcPr>
          <w:p w14:paraId="06584410" w14:textId="77777777" w:rsidR="00B05AA9" w:rsidRDefault="00B05AA9" w:rsidP="00641EEB">
            <w:pPr>
              <w:keepNext/>
              <w:jc w:val="center"/>
              <w:rPr>
                <w:sz w:val="22"/>
                <w:szCs w:val="22"/>
                <w:lang w:val="hr-HR"/>
              </w:rPr>
            </w:pPr>
            <w:r>
              <w:rPr>
                <w:sz w:val="22"/>
                <w:szCs w:val="22"/>
                <w:lang w:val="hr-HR"/>
              </w:rPr>
              <w:t xml:space="preserve">182 </w:t>
            </w:r>
            <w:r>
              <w:rPr>
                <w:sz w:val="22"/>
                <w:szCs w:val="22"/>
                <w:lang w:val="hr-HR"/>
              </w:rPr>
              <w:br/>
              <w:t>(134 - 280)</w:t>
            </w:r>
          </w:p>
        </w:tc>
        <w:tc>
          <w:tcPr>
            <w:tcW w:w="973" w:type="pct"/>
            <w:tcBorders>
              <w:top w:val="single" w:sz="4" w:space="0" w:color="auto"/>
              <w:left w:val="single" w:sz="4" w:space="0" w:color="auto"/>
              <w:bottom w:val="single" w:sz="4" w:space="0" w:color="auto"/>
              <w:right w:val="single" w:sz="4" w:space="0" w:color="auto"/>
            </w:tcBorders>
            <w:vAlign w:val="center"/>
            <w:hideMark/>
          </w:tcPr>
          <w:p w14:paraId="0337DCBA" w14:textId="77777777" w:rsidR="00B05AA9" w:rsidRDefault="00B05AA9" w:rsidP="00641EEB">
            <w:pPr>
              <w:keepNext/>
              <w:jc w:val="center"/>
              <w:rPr>
                <w:sz w:val="22"/>
                <w:szCs w:val="22"/>
                <w:lang w:val="hr-HR"/>
              </w:rPr>
            </w:pPr>
            <w:r>
              <w:rPr>
                <w:sz w:val="22"/>
                <w:szCs w:val="22"/>
                <w:lang w:val="hr-HR"/>
              </w:rPr>
              <w:t>1376</w:t>
            </w:r>
            <w:r>
              <w:rPr>
                <w:sz w:val="22"/>
                <w:szCs w:val="22"/>
                <w:lang w:val="hr-HR"/>
              </w:rPr>
              <w:br/>
              <w:t>(728 - 1998)</w:t>
            </w:r>
          </w:p>
        </w:tc>
      </w:tr>
      <w:tr w:rsidR="00B05AA9" w14:paraId="4B7676AB" w14:textId="77777777" w:rsidTr="00B05AA9">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39374" w14:textId="77777777" w:rsidR="00B05AA9" w:rsidRDefault="00B05AA9" w:rsidP="00641EEB">
            <w:pPr>
              <w:rPr>
                <w:sz w:val="22"/>
                <w:szCs w:val="22"/>
                <w:lang w:val="hr-HR" w:eastAsia="ja-JP"/>
              </w:rPr>
            </w:pPr>
          </w:p>
        </w:tc>
        <w:tc>
          <w:tcPr>
            <w:tcW w:w="1020" w:type="pct"/>
            <w:tcBorders>
              <w:top w:val="single" w:sz="4" w:space="0" w:color="auto"/>
              <w:left w:val="single" w:sz="4" w:space="0" w:color="auto"/>
              <w:bottom w:val="single" w:sz="4" w:space="0" w:color="auto"/>
              <w:right w:val="single" w:sz="4" w:space="0" w:color="auto"/>
            </w:tcBorders>
            <w:vAlign w:val="center"/>
            <w:hideMark/>
          </w:tcPr>
          <w:p w14:paraId="520CAED1" w14:textId="77777777" w:rsidR="00B05AA9" w:rsidRDefault="00B05AA9" w:rsidP="00641EEB">
            <w:pPr>
              <w:jc w:val="center"/>
              <w:rPr>
                <w:sz w:val="22"/>
                <w:szCs w:val="22"/>
                <w:lang w:val="hr-HR"/>
              </w:rPr>
            </w:pPr>
            <w:r>
              <w:rPr>
                <w:sz w:val="22"/>
                <w:szCs w:val="22"/>
                <w:lang w:val="hr-HR"/>
              </w:rPr>
              <w:t xml:space="preserve">rani rak dojke </w:t>
            </w:r>
          </w:p>
        </w:tc>
        <w:tc>
          <w:tcPr>
            <w:tcW w:w="596" w:type="pct"/>
            <w:tcBorders>
              <w:top w:val="single" w:sz="4" w:space="0" w:color="auto"/>
              <w:left w:val="single" w:sz="4" w:space="0" w:color="auto"/>
              <w:bottom w:val="single" w:sz="4" w:space="0" w:color="auto"/>
              <w:right w:val="single" w:sz="4" w:space="0" w:color="auto"/>
            </w:tcBorders>
            <w:vAlign w:val="center"/>
            <w:hideMark/>
          </w:tcPr>
          <w:p w14:paraId="4B9B746C" w14:textId="77777777" w:rsidR="00B05AA9" w:rsidRDefault="00B05AA9" w:rsidP="00641EEB">
            <w:pPr>
              <w:jc w:val="center"/>
              <w:rPr>
                <w:sz w:val="22"/>
                <w:szCs w:val="22"/>
                <w:lang w:val="hr-HR"/>
              </w:rPr>
            </w:pPr>
            <w:r>
              <w:rPr>
                <w:sz w:val="22"/>
                <w:szCs w:val="22"/>
                <w:lang w:val="hr-HR"/>
              </w:rPr>
              <w:t>390</w:t>
            </w:r>
          </w:p>
        </w:tc>
        <w:tc>
          <w:tcPr>
            <w:tcW w:w="790" w:type="pct"/>
            <w:tcBorders>
              <w:top w:val="single" w:sz="4" w:space="0" w:color="auto"/>
              <w:left w:val="single" w:sz="4" w:space="0" w:color="auto"/>
              <w:bottom w:val="single" w:sz="4" w:space="0" w:color="auto"/>
              <w:right w:val="single" w:sz="4" w:space="0" w:color="auto"/>
            </w:tcBorders>
            <w:vAlign w:val="center"/>
            <w:hideMark/>
          </w:tcPr>
          <w:p w14:paraId="25CE2DAD" w14:textId="77777777" w:rsidR="00B05AA9" w:rsidRDefault="00B05AA9" w:rsidP="00641EEB">
            <w:pPr>
              <w:jc w:val="center"/>
              <w:rPr>
                <w:sz w:val="22"/>
                <w:szCs w:val="22"/>
                <w:lang w:val="hr-HR"/>
              </w:rPr>
            </w:pPr>
            <w:r>
              <w:rPr>
                <w:sz w:val="22"/>
                <w:szCs w:val="22"/>
                <w:lang w:val="hr-HR"/>
              </w:rPr>
              <w:t xml:space="preserve">30,9 </w:t>
            </w:r>
            <w:r>
              <w:rPr>
                <w:sz w:val="22"/>
                <w:szCs w:val="22"/>
                <w:lang w:val="hr-HR"/>
              </w:rPr>
              <w:br/>
              <w:t>(18,7 – 45,5)</w:t>
            </w:r>
          </w:p>
        </w:tc>
        <w:tc>
          <w:tcPr>
            <w:tcW w:w="851" w:type="pct"/>
            <w:tcBorders>
              <w:top w:val="single" w:sz="4" w:space="0" w:color="auto"/>
              <w:left w:val="single" w:sz="4" w:space="0" w:color="auto"/>
              <w:bottom w:val="single" w:sz="4" w:space="0" w:color="auto"/>
              <w:right w:val="single" w:sz="4" w:space="0" w:color="auto"/>
            </w:tcBorders>
            <w:vAlign w:val="center"/>
            <w:hideMark/>
          </w:tcPr>
          <w:p w14:paraId="71BB0289" w14:textId="77777777" w:rsidR="00B05AA9" w:rsidRDefault="00B05AA9" w:rsidP="00641EEB">
            <w:pPr>
              <w:jc w:val="center"/>
              <w:rPr>
                <w:sz w:val="22"/>
                <w:szCs w:val="22"/>
                <w:lang w:val="hr-HR"/>
              </w:rPr>
            </w:pPr>
            <w:r>
              <w:rPr>
                <w:sz w:val="22"/>
                <w:szCs w:val="22"/>
                <w:lang w:val="hr-HR"/>
              </w:rPr>
              <w:t xml:space="preserve">176 </w:t>
            </w:r>
            <w:r>
              <w:rPr>
                <w:sz w:val="22"/>
                <w:szCs w:val="22"/>
                <w:lang w:val="hr-HR"/>
              </w:rPr>
              <w:br/>
              <w:t>(127 - 227)</w:t>
            </w:r>
          </w:p>
        </w:tc>
        <w:tc>
          <w:tcPr>
            <w:tcW w:w="973" w:type="pct"/>
            <w:tcBorders>
              <w:top w:val="single" w:sz="4" w:space="0" w:color="auto"/>
              <w:left w:val="single" w:sz="4" w:space="0" w:color="auto"/>
              <w:bottom w:val="single" w:sz="4" w:space="0" w:color="auto"/>
              <w:right w:val="single" w:sz="4" w:space="0" w:color="auto"/>
            </w:tcBorders>
            <w:vAlign w:val="center"/>
            <w:hideMark/>
          </w:tcPr>
          <w:p w14:paraId="2E5D46EB" w14:textId="77777777" w:rsidR="00B05AA9" w:rsidRDefault="00B05AA9" w:rsidP="00641EEB">
            <w:pPr>
              <w:jc w:val="center"/>
              <w:rPr>
                <w:sz w:val="22"/>
                <w:szCs w:val="22"/>
                <w:lang w:val="hr-HR"/>
              </w:rPr>
            </w:pPr>
            <w:r>
              <w:rPr>
                <w:sz w:val="22"/>
                <w:szCs w:val="22"/>
                <w:lang w:val="hr-HR"/>
              </w:rPr>
              <w:t>1390</w:t>
            </w:r>
            <w:r>
              <w:rPr>
                <w:sz w:val="22"/>
                <w:szCs w:val="22"/>
                <w:lang w:val="hr-HR"/>
              </w:rPr>
              <w:br/>
              <w:t>(1039 - 1895)</w:t>
            </w:r>
          </w:p>
        </w:tc>
      </w:tr>
      <w:tr w:rsidR="00B05AA9" w14:paraId="7687E601" w14:textId="77777777" w:rsidTr="00B05AA9">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35B09" w14:textId="77777777" w:rsidR="00B05AA9" w:rsidRDefault="00B05AA9" w:rsidP="00641EEB">
            <w:pPr>
              <w:rPr>
                <w:sz w:val="22"/>
                <w:szCs w:val="22"/>
                <w:lang w:val="hr-HR" w:eastAsia="ja-JP"/>
              </w:rPr>
            </w:pPr>
          </w:p>
        </w:tc>
        <w:tc>
          <w:tcPr>
            <w:tcW w:w="1020" w:type="pct"/>
            <w:tcBorders>
              <w:top w:val="single" w:sz="4" w:space="0" w:color="auto"/>
              <w:left w:val="single" w:sz="4" w:space="0" w:color="auto"/>
              <w:bottom w:val="single" w:sz="4" w:space="0" w:color="auto"/>
              <w:right w:val="single" w:sz="4" w:space="0" w:color="auto"/>
            </w:tcBorders>
            <w:vAlign w:val="center"/>
            <w:hideMark/>
          </w:tcPr>
          <w:p w14:paraId="6DB824BC" w14:textId="77777777" w:rsidR="00B05AA9" w:rsidRDefault="00B05AA9" w:rsidP="00641EEB">
            <w:pPr>
              <w:jc w:val="center"/>
              <w:rPr>
                <w:sz w:val="22"/>
                <w:szCs w:val="22"/>
                <w:lang w:val="hr-HR"/>
              </w:rPr>
            </w:pPr>
            <w:r>
              <w:rPr>
                <w:sz w:val="22"/>
                <w:szCs w:val="22"/>
                <w:lang w:val="hr-HR"/>
              </w:rPr>
              <w:t xml:space="preserve">uznapredovali rak želuca </w:t>
            </w:r>
          </w:p>
        </w:tc>
        <w:tc>
          <w:tcPr>
            <w:tcW w:w="596" w:type="pct"/>
            <w:tcBorders>
              <w:top w:val="single" w:sz="4" w:space="0" w:color="auto"/>
              <w:left w:val="single" w:sz="4" w:space="0" w:color="auto"/>
              <w:bottom w:val="single" w:sz="4" w:space="0" w:color="auto"/>
              <w:right w:val="single" w:sz="4" w:space="0" w:color="auto"/>
            </w:tcBorders>
            <w:vAlign w:val="center"/>
            <w:hideMark/>
          </w:tcPr>
          <w:p w14:paraId="4C66308A" w14:textId="77777777" w:rsidR="00B05AA9" w:rsidRDefault="00B05AA9" w:rsidP="00641EEB">
            <w:pPr>
              <w:jc w:val="center"/>
              <w:rPr>
                <w:sz w:val="22"/>
                <w:szCs w:val="22"/>
                <w:lang w:val="hr-HR"/>
              </w:rPr>
            </w:pPr>
            <w:r>
              <w:rPr>
                <w:sz w:val="22"/>
                <w:szCs w:val="22"/>
                <w:lang w:val="hr-HR"/>
              </w:rPr>
              <w:t>274</w:t>
            </w:r>
          </w:p>
        </w:tc>
        <w:tc>
          <w:tcPr>
            <w:tcW w:w="790" w:type="pct"/>
            <w:tcBorders>
              <w:top w:val="single" w:sz="4" w:space="0" w:color="auto"/>
              <w:left w:val="single" w:sz="4" w:space="0" w:color="auto"/>
              <w:bottom w:val="single" w:sz="4" w:space="0" w:color="auto"/>
              <w:right w:val="single" w:sz="4" w:space="0" w:color="auto"/>
            </w:tcBorders>
            <w:vAlign w:val="center"/>
            <w:hideMark/>
          </w:tcPr>
          <w:p w14:paraId="0760FBDF" w14:textId="77777777" w:rsidR="00B05AA9" w:rsidRDefault="00B05AA9" w:rsidP="00641EEB">
            <w:pPr>
              <w:jc w:val="center"/>
              <w:rPr>
                <w:sz w:val="22"/>
                <w:szCs w:val="22"/>
                <w:lang w:val="hr-HR"/>
              </w:rPr>
            </w:pPr>
            <w:r>
              <w:rPr>
                <w:sz w:val="22"/>
                <w:szCs w:val="22"/>
                <w:lang w:val="hr-HR"/>
              </w:rPr>
              <w:t>23,1</w:t>
            </w:r>
            <w:r>
              <w:rPr>
                <w:sz w:val="22"/>
                <w:szCs w:val="22"/>
                <w:lang w:val="hr-HR"/>
              </w:rPr>
              <w:br/>
              <w:t>(6,1 – 50,3)</w:t>
            </w:r>
          </w:p>
        </w:tc>
        <w:tc>
          <w:tcPr>
            <w:tcW w:w="851" w:type="pct"/>
            <w:tcBorders>
              <w:top w:val="single" w:sz="4" w:space="0" w:color="auto"/>
              <w:left w:val="single" w:sz="4" w:space="0" w:color="auto"/>
              <w:bottom w:val="single" w:sz="4" w:space="0" w:color="auto"/>
              <w:right w:val="single" w:sz="4" w:space="0" w:color="auto"/>
            </w:tcBorders>
            <w:vAlign w:val="center"/>
            <w:hideMark/>
          </w:tcPr>
          <w:p w14:paraId="2EAB5668" w14:textId="77777777" w:rsidR="00B05AA9" w:rsidRDefault="00B05AA9" w:rsidP="00641EEB">
            <w:pPr>
              <w:jc w:val="center"/>
              <w:rPr>
                <w:sz w:val="22"/>
                <w:szCs w:val="22"/>
                <w:lang w:val="hr-HR"/>
              </w:rPr>
            </w:pPr>
            <w:r>
              <w:rPr>
                <w:sz w:val="22"/>
                <w:szCs w:val="22"/>
                <w:lang w:val="hr-HR"/>
              </w:rPr>
              <w:t>132</w:t>
            </w:r>
            <w:r>
              <w:rPr>
                <w:sz w:val="22"/>
                <w:szCs w:val="22"/>
                <w:lang w:val="hr-HR"/>
              </w:rPr>
              <w:br/>
              <w:t>(84,2 – 225)</w:t>
            </w:r>
          </w:p>
        </w:tc>
        <w:tc>
          <w:tcPr>
            <w:tcW w:w="973" w:type="pct"/>
            <w:tcBorders>
              <w:top w:val="single" w:sz="4" w:space="0" w:color="auto"/>
              <w:left w:val="single" w:sz="4" w:space="0" w:color="auto"/>
              <w:bottom w:val="single" w:sz="4" w:space="0" w:color="auto"/>
              <w:right w:val="single" w:sz="4" w:space="0" w:color="auto"/>
            </w:tcBorders>
            <w:vAlign w:val="center"/>
            <w:hideMark/>
          </w:tcPr>
          <w:p w14:paraId="7E1E96B0" w14:textId="77777777" w:rsidR="00B05AA9" w:rsidRDefault="00B05AA9" w:rsidP="00641EEB">
            <w:pPr>
              <w:jc w:val="center"/>
              <w:rPr>
                <w:sz w:val="22"/>
                <w:szCs w:val="22"/>
                <w:lang w:val="hr-HR"/>
              </w:rPr>
            </w:pPr>
            <w:r>
              <w:rPr>
                <w:sz w:val="22"/>
                <w:szCs w:val="22"/>
                <w:lang w:val="hr-HR"/>
              </w:rPr>
              <w:t>1109</w:t>
            </w:r>
            <w:r>
              <w:rPr>
                <w:sz w:val="22"/>
                <w:szCs w:val="22"/>
                <w:lang w:val="hr-HR"/>
              </w:rPr>
              <w:br/>
              <w:t>(588 – 1938)</w:t>
            </w:r>
          </w:p>
        </w:tc>
      </w:tr>
      <w:tr w:rsidR="00B05AA9" w14:paraId="56BFFBF4" w14:textId="77777777" w:rsidTr="00B05AA9">
        <w:trPr>
          <w:trHeight w:val="177"/>
        </w:trPr>
        <w:tc>
          <w:tcPr>
            <w:tcW w:w="770" w:type="pct"/>
            <w:vMerge w:val="restart"/>
            <w:tcBorders>
              <w:top w:val="single" w:sz="4" w:space="0" w:color="auto"/>
              <w:left w:val="single" w:sz="4" w:space="0" w:color="auto"/>
              <w:bottom w:val="single" w:sz="4" w:space="0" w:color="auto"/>
              <w:right w:val="single" w:sz="4" w:space="0" w:color="auto"/>
            </w:tcBorders>
            <w:vAlign w:val="center"/>
            <w:hideMark/>
          </w:tcPr>
          <w:p w14:paraId="568FAF2B" w14:textId="4A07613A" w:rsidR="00B05AA9" w:rsidRDefault="00B05AA9" w:rsidP="00641EEB">
            <w:pPr>
              <w:pStyle w:val="ParagraphFPI"/>
              <w:keepNext/>
              <w:tabs>
                <w:tab w:val="left" w:pos="240"/>
              </w:tabs>
              <w:jc w:val="center"/>
              <w:outlineLvl w:val="3"/>
              <w:rPr>
                <w:sz w:val="22"/>
                <w:szCs w:val="22"/>
                <w:lang w:val="hr-HR" w:eastAsia="ja-JP"/>
              </w:rPr>
            </w:pPr>
            <w:r>
              <w:rPr>
                <w:sz w:val="22"/>
                <w:szCs w:val="22"/>
                <w:lang w:val="hr-HR" w:eastAsia="ja-JP"/>
              </w:rPr>
              <w:t>4 mg/kg +</w:t>
            </w:r>
            <w:r>
              <w:rPr>
                <w:sz w:val="22"/>
                <w:szCs w:val="22"/>
                <w:lang w:val="hr-HR" w:eastAsia="ja-JP"/>
              </w:rPr>
              <w:br/>
              <w:t>2 mg/kg jed</w:t>
            </w:r>
            <w:r w:rsidR="0051053D">
              <w:rPr>
                <w:sz w:val="22"/>
                <w:szCs w:val="22"/>
                <w:lang w:val="hr-HR" w:eastAsia="ja-JP"/>
              </w:rPr>
              <w:t>nom</w:t>
            </w:r>
            <w:r>
              <w:rPr>
                <w:sz w:val="22"/>
                <w:szCs w:val="22"/>
                <w:lang w:val="hr-HR" w:eastAsia="ja-JP"/>
              </w:rPr>
              <w:t xml:space="preserve"> nedjeljno</w:t>
            </w:r>
          </w:p>
        </w:tc>
        <w:tc>
          <w:tcPr>
            <w:tcW w:w="1020" w:type="pct"/>
            <w:tcBorders>
              <w:top w:val="single" w:sz="4" w:space="0" w:color="auto"/>
              <w:left w:val="single" w:sz="4" w:space="0" w:color="auto"/>
              <w:bottom w:val="single" w:sz="4" w:space="0" w:color="auto"/>
              <w:right w:val="single" w:sz="4" w:space="0" w:color="auto"/>
            </w:tcBorders>
            <w:vAlign w:val="center"/>
            <w:hideMark/>
          </w:tcPr>
          <w:p w14:paraId="613FF9BB" w14:textId="77777777" w:rsidR="00B05AA9" w:rsidRDefault="00B05AA9" w:rsidP="00641EEB">
            <w:pPr>
              <w:jc w:val="center"/>
              <w:rPr>
                <w:sz w:val="22"/>
                <w:szCs w:val="22"/>
                <w:lang w:val="hr-HR"/>
              </w:rPr>
            </w:pPr>
            <w:r>
              <w:rPr>
                <w:sz w:val="22"/>
                <w:szCs w:val="22"/>
                <w:lang w:val="hr-HR"/>
              </w:rPr>
              <w:t xml:space="preserve">metastatski rak dojke </w:t>
            </w:r>
          </w:p>
        </w:tc>
        <w:tc>
          <w:tcPr>
            <w:tcW w:w="596" w:type="pct"/>
            <w:tcBorders>
              <w:top w:val="single" w:sz="4" w:space="0" w:color="auto"/>
              <w:left w:val="single" w:sz="4" w:space="0" w:color="auto"/>
              <w:bottom w:val="single" w:sz="4" w:space="0" w:color="auto"/>
              <w:right w:val="single" w:sz="4" w:space="0" w:color="auto"/>
            </w:tcBorders>
            <w:vAlign w:val="center"/>
            <w:hideMark/>
          </w:tcPr>
          <w:p w14:paraId="6E5C7776" w14:textId="77777777" w:rsidR="00B05AA9" w:rsidRDefault="00B05AA9" w:rsidP="00641EEB">
            <w:pPr>
              <w:jc w:val="center"/>
              <w:rPr>
                <w:sz w:val="22"/>
                <w:szCs w:val="22"/>
                <w:lang w:val="hr-HR"/>
              </w:rPr>
            </w:pPr>
            <w:r>
              <w:rPr>
                <w:sz w:val="22"/>
                <w:szCs w:val="22"/>
                <w:lang w:val="hr-HR"/>
              </w:rPr>
              <w:t>805</w:t>
            </w:r>
          </w:p>
        </w:tc>
        <w:tc>
          <w:tcPr>
            <w:tcW w:w="790" w:type="pct"/>
            <w:tcBorders>
              <w:top w:val="single" w:sz="4" w:space="0" w:color="auto"/>
              <w:left w:val="single" w:sz="4" w:space="0" w:color="auto"/>
              <w:bottom w:val="single" w:sz="4" w:space="0" w:color="auto"/>
              <w:right w:val="single" w:sz="4" w:space="0" w:color="auto"/>
            </w:tcBorders>
            <w:vAlign w:val="center"/>
            <w:hideMark/>
          </w:tcPr>
          <w:p w14:paraId="6C5FE5B9" w14:textId="77777777" w:rsidR="00B05AA9" w:rsidRDefault="00B05AA9" w:rsidP="00641EEB">
            <w:pPr>
              <w:jc w:val="center"/>
              <w:rPr>
                <w:sz w:val="22"/>
                <w:szCs w:val="22"/>
                <w:lang w:val="hr-HR"/>
              </w:rPr>
            </w:pPr>
            <w:r>
              <w:rPr>
                <w:sz w:val="22"/>
                <w:szCs w:val="22"/>
                <w:lang w:val="hr-HR"/>
              </w:rPr>
              <w:t xml:space="preserve">37,4 </w:t>
            </w:r>
            <w:r>
              <w:rPr>
                <w:sz w:val="22"/>
                <w:szCs w:val="22"/>
                <w:lang w:val="hr-HR"/>
              </w:rPr>
              <w:br/>
              <w:t>(8,7 – 58,9)</w:t>
            </w:r>
          </w:p>
        </w:tc>
        <w:tc>
          <w:tcPr>
            <w:tcW w:w="851" w:type="pct"/>
            <w:tcBorders>
              <w:top w:val="single" w:sz="4" w:space="0" w:color="auto"/>
              <w:left w:val="single" w:sz="4" w:space="0" w:color="auto"/>
              <w:bottom w:val="single" w:sz="4" w:space="0" w:color="auto"/>
              <w:right w:val="single" w:sz="4" w:space="0" w:color="auto"/>
            </w:tcBorders>
            <w:vAlign w:val="center"/>
            <w:hideMark/>
          </w:tcPr>
          <w:p w14:paraId="35FCCDCA" w14:textId="77777777" w:rsidR="00B05AA9" w:rsidRDefault="00B05AA9" w:rsidP="00641EEB">
            <w:pPr>
              <w:jc w:val="center"/>
              <w:rPr>
                <w:sz w:val="22"/>
                <w:szCs w:val="22"/>
                <w:lang w:val="hr-HR"/>
              </w:rPr>
            </w:pPr>
            <w:r>
              <w:rPr>
                <w:sz w:val="22"/>
                <w:szCs w:val="22"/>
                <w:lang w:val="hr-HR"/>
              </w:rPr>
              <w:t xml:space="preserve">76,5 </w:t>
            </w:r>
            <w:r>
              <w:rPr>
                <w:sz w:val="22"/>
                <w:szCs w:val="22"/>
                <w:lang w:val="hr-HR"/>
              </w:rPr>
              <w:br/>
              <w:t>(49,4 - 114)</w:t>
            </w:r>
          </w:p>
        </w:tc>
        <w:tc>
          <w:tcPr>
            <w:tcW w:w="973" w:type="pct"/>
            <w:tcBorders>
              <w:top w:val="single" w:sz="4" w:space="0" w:color="auto"/>
              <w:left w:val="single" w:sz="4" w:space="0" w:color="auto"/>
              <w:bottom w:val="single" w:sz="4" w:space="0" w:color="auto"/>
              <w:right w:val="single" w:sz="4" w:space="0" w:color="auto"/>
            </w:tcBorders>
            <w:vAlign w:val="center"/>
            <w:hideMark/>
          </w:tcPr>
          <w:p w14:paraId="3E6F814B" w14:textId="77777777" w:rsidR="00B05AA9" w:rsidRDefault="00B05AA9" w:rsidP="00641EEB">
            <w:pPr>
              <w:jc w:val="center"/>
              <w:rPr>
                <w:sz w:val="22"/>
                <w:szCs w:val="22"/>
                <w:lang w:val="hr-HR"/>
              </w:rPr>
            </w:pPr>
            <w:r>
              <w:rPr>
                <w:sz w:val="22"/>
                <w:szCs w:val="22"/>
                <w:lang w:val="hr-HR"/>
              </w:rPr>
              <w:t xml:space="preserve">1073 </w:t>
            </w:r>
            <w:r>
              <w:rPr>
                <w:sz w:val="22"/>
                <w:szCs w:val="22"/>
                <w:lang w:val="hr-HR"/>
              </w:rPr>
              <w:br/>
              <w:t>(597 – 1584)</w:t>
            </w:r>
          </w:p>
        </w:tc>
      </w:tr>
      <w:tr w:rsidR="00B05AA9" w14:paraId="11BC3A58" w14:textId="77777777" w:rsidTr="00B05AA9">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19416" w14:textId="77777777" w:rsidR="00B05AA9" w:rsidRDefault="00B05AA9" w:rsidP="00641EEB">
            <w:pPr>
              <w:rPr>
                <w:sz w:val="22"/>
                <w:szCs w:val="22"/>
                <w:lang w:val="hr-HR" w:eastAsia="ja-JP"/>
              </w:rPr>
            </w:pPr>
          </w:p>
        </w:tc>
        <w:tc>
          <w:tcPr>
            <w:tcW w:w="1020" w:type="pct"/>
            <w:tcBorders>
              <w:top w:val="single" w:sz="4" w:space="0" w:color="auto"/>
              <w:left w:val="single" w:sz="4" w:space="0" w:color="auto"/>
              <w:bottom w:val="single" w:sz="4" w:space="0" w:color="auto"/>
              <w:right w:val="single" w:sz="4" w:space="0" w:color="auto"/>
            </w:tcBorders>
            <w:vAlign w:val="center"/>
            <w:hideMark/>
          </w:tcPr>
          <w:p w14:paraId="6F0ADEAA" w14:textId="77777777" w:rsidR="00B05AA9" w:rsidRDefault="00B05AA9" w:rsidP="00641EEB">
            <w:pPr>
              <w:jc w:val="center"/>
              <w:rPr>
                <w:sz w:val="22"/>
                <w:szCs w:val="22"/>
                <w:lang w:val="hr-HR"/>
              </w:rPr>
            </w:pPr>
            <w:r>
              <w:rPr>
                <w:sz w:val="22"/>
                <w:szCs w:val="22"/>
                <w:lang w:val="hr-HR"/>
              </w:rPr>
              <w:t xml:space="preserve">rani rak dojke </w:t>
            </w:r>
          </w:p>
        </w:tc>
        <w:tc>
          <w:tcPr>
            <w:tcW w:w="596" w:type="pct"/>
            <w:tcBorders>
              <w:top w:val="single" w:sz="4" w:space="0" w:color="auto"/>
              <w:left w:val="single" w:sz="4" w:space="0" w:color="auto"/>
              <w:bottom w:val="single" w:sz="4" w:space="0" w:color="auto"/>
              <w:right w:val="single" w:sz="4" w:space="0" w:color="auto"/>
            </w:tcBorders>
            <w:vAlign w:val="center"/>
            <w:hideMark/>
          </w:tcPr>
          <w:p w14:paraId="0F0D1553" w14:textId="77777777" w:rsidR="00B05AA9" w:rsidRDefault="00B05AA9" w:rsidP="00641EEB">
            <w:pPr>
              <w:jc w:val="center"/>
              <w:rPr>
                <w:sz w:val="22"/>
                <w:szCs w:val="22"/>
                <w:lang w:val="hr-HR"/>
              </w:rPr>
            </w:pPr>
            <w:r>
              <w:rPr>
                <w:sz w:val="22"/>
                <w:szCs w:val="22"/>
                <w:lang w:val="hr-HR"/>
              </w:rPr>
              <w:t>390</w:t>
            </w:r>
          </w:p>
        </w:tc>
        <w:tc>
          <w:tcPr>
            <w:tcW w:w="790" w:type="pct"/>
            <w:tcBorders>
              <w:top w:val="single" w:sz="4" w:space="0" w:color="auto"/>
              <w:left w:val="single" w:sz="4" w:space="0" w:color="auto"/>
              <w:bottom w:val="single" w:sz="4" w:space="0" w:color="auto"/>
              <w:right w:val="single" w:sz="4" w:space="0" w:color="auto"/>
            </w:tcBorders>
            <w:vAlign w:val="center"/>
            <w:hideMark/>
          </w:tcPr>
          <w:p w14:paraId="03F7C47B" w14:textId="77777777" w:rsidR="00B05AA9" w:rsidRDefault="00B05AA9" w:rsidP="00641EEB">
            <w:pPr>
              <w:jc w:val="center"/>
              <w:rPr>
                <w:sz w:val="22"/>
                <w:szCs w:val="22"/>
                <w:lang w:val="hr-HR"/>
              </w:rPr>
            </w:pPr>
            <w:r>
              <w:rPr>
                <w:sz w:val="22"/>
                <w:szCs w:val="22"/>
                <w:lang w:val="hr-HR"/>
              </w:rPr>
              <w:t xml:space="preserve">38,9 </w:t>
            </w:r>
            <w:r>
              <w:rPr>
                <w:sz w:val="22"/>
                <w:szCs w:val="22"/>
                <w:lang w:val="hr-HR"/>
              </w:rPr>
              <w:br/>
              <w:t>(25,3 – 58,8)</w:t>
            </w:r>
          </w:p>
        </w:tc>
        <w:tc>
          <w:tcPr>
            <w:tcW w:w="851" w:type="pct"/>
            <w:tcBorders>
              <w:top w:val="single" w:sz="4" w:space="0" w:color="auto"/>
              <w:left w:val="single" w:sz="4" w:space="0" w:color="auto"/>
              <w:bottom w:val="single" w:sz="4" w:space="0" w:color="auto"/>
              <w:right w:val="single" w:sz="4" w:space="0" w:color="auto"/>
            </w:tcBorders>
            <w:vAlign w:val="center"/>
            <w:hideMark/>
          </w:tcPr>
          <w:p w14:paraId="5339666B" w14:textId="77777777" w:rsidR="00B05AA9" w:rsidRDefault="00B05AA9" w:rsidP="00641EEB">
            <w:pPr>
              <w:jc w:val="center"/>
              <w:rPr>
                <w:sz w:val="22"/>
                <w:szCs w:val="22"/>
                <w:lang w:val="hr-HR"/>
              </w:rPr>
            </w:pPr>
            <w:r>
              <w:rPr>
                <w:sz w:val="22"/>
                <w:szCs w:val="22"/>
                <w:lang w:val="hr-HR"/>
              </w:rPr>
              <w:t>76,0</w:t>
            </w:r>
            <w:r>
              <w:rPr>
                <w:sz w:val="22"/>
                <w:szCs w:val="22"/>
                <w:lang w:val="hr-HR"/>
              </w:rPr>
              <w:br/>
              <w:t>(54,7 - 104)</w:t>
            </w:r>
          </w:p>
        </w:tc>
        <w:tc>
          <w:tcPr>
            <w:tcW w:w="973" w:type="pct"/>
            <w:tcBorders>
              <w:top w:val="single" w:sz="4" w:space="0" w:color="auto"/>
              <w:left w:val="single" w:sz="4" w:space="0" w:color="auto"/>
              <w:bottom w:val="single" w:sz="4" w:space="0" w:color="auto"/>
              <w:right w:val="single" w:sz="4" w:space="0" w:color="auto"/>
            </w:tcBorders>
            <w:vAlign w:val="center"/>
            <w:hideMark/>
          </w:tcPr>
          <w:p w14:paraId="5C1AF880" w14:textId="77777777" w:rsidR="00B05AA9" w:rsidRDefault="00B05AA9" w:rsidP="00641EEB">
            <w:pPr>
              <w:jc w:val="center"/>
              <w:rPr>
                <w:sz w:val="22"/>
                <w:szCs w:val="22"/>
                <w:lang w:val="hr-HR"/>
              </w:rPr>
            </w:pPr>
            <w:r>
              <w:rPr>
                <w:sz w:val="22"/>
                <w:szCs w:val="22"/>
                <w:lang w:val="hr-HR"/>
              </w:rPr>
              <w:t xml:space="preserve">1074 </w:t>
            </w:r>
            <w:r>
              <w:rPr>
                <w:sz w:val="22"/>
                <w:szCs w:val="22"/>
                <w:lang w:val="hr-HR"/>
              </w:rPr>
              <w:br/>
              <w:t>(783 - 1502)</w:t>
            </w:r>
          </w:p>
        </w:tc>
      </w:tr>
    </w:tbl>
    <w:p w14:paraId="73C4B43D" w14:textId="77777777" w:rsidR="00B05AA9" w:rsidRDefault="00B05AA9" w:rsidP="00641EEB">
      <w:pPr>
        <w:jc w:val="both"/>
        <w:rPr>
          <w:sz w:val="22"/>
          <w:szCs w:val="22"/>
          <w:lang w:val="hr-HR"/>
        </w:rPr>
      </w:pPr>
    </w:p>
    <w:p w14:paraId="5C438BA8" w14:textId="0266D2B0" w:rsidR="00B05AA9" w:rsidRDefault="00B05AA9" w:rsidP="00BA76B8">
      <w:pPr>
        <w:jc w:val="both"/>
        <w:rPr>
          <w:sz w:val="22"/>
          <w:szCs w:val="22"/>
          <w:lang w:val="hr-HR"/>
        </w:rPr>
      </w:pPr>
      <w:r>
        <w:rPr>
          <w:sz w:val="22"/>
          <w:szCs w:val="22"/>
          <w:lang w:val="hr-HR"/>
        </w:rPr>
        <w:t>Tabela  15 Vrijednosti farmakokinetičke izloženosti u stanju dinamičke ravnoteže predviđene za populaciju (medijan</w:t>
      </w:r>
      <w:r w:rsidR="0051053D">
        <w:rPr>
          <w:sz w:val="22"/>
          <w:szCs w:val="22"/>
          <w:lang w:val="hr-HR"/>
        </w:rPr>
        <w:t>a</w:t>
      </w:r>
      <w:r>
        <w:rPr>
          <w:sz w:val="22"/>
          <w:szCs w:val="22"/>
          <w:lang w:val="hr-HR"/>
        </w:rPr>
        <w:t xml:space="preserve"> i 5. do 95. percentil) uz režime doziranja intravenske formulacije lijeka Herceptin kod pacijenata sa metastatskim rakom dojke, ranim rakom dojke i uznapredovalim rakom želuca  </w:t>
      </w:r>
    </w:p>
    <w:p w14:paraId="3C4060AE" w14:textId="77777777" w:rsidR="00B05AA9" w:rsidRPr="00442616" w:rsidRDefault="00B05AA9" w:rsidP="00641EEB">
      <w:pPr>
        <w:tabs>
          <w:tab w:val="left" w:pos="540"/>
          <w:tab w:val="left" w:pos="569"/>
        </w:tabs>
        <w:rPr>
          <w:b/>
          <w:bCs/>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463"/>
        <w:gridCol w:w="594"/>
        <w:gridCol w:w="1439"/>
        <w:gridCol w:w="1350"/>
        <w:gridCol w:w="1559"/>
        <w:gridCol w:w="1401"/>
      </w:tblGrid>
      <w:tr w:rsidR="008B20E9" w:rsidRPr="00E81BEF" w14:paraId="5D08D08E" w14:textId="77777777" w:rsidTr="00E05379">
        <w:trPr>
          <w:trHeight w:val="117"/>
        </w:trPr>
        <w:tc>
          <w:tcPr>
            <w:tcW w:w="699" w:type="pct"/>
            <w:tcBorders>
              <w:top w:val="single" w:sz="4" w:space="0" w:color="auto"/>
              <w:left w:val="single" w:sz="4" w:space="0" w:color="auto"/>
              <w:bottom w:val="single" w:sz="4" w:space="0" w:color="auto"/>
              <w:right w:val="single" w:sz="4" w:space="0" w:color="auto"/>
            </w:tcBorders>
            <w:vAlign w:val="center"/>
            <w:hideMark/>
          </w:tcPr>
          <w:p w14:paraId="2A12C9C4" w14:textId="77777777" w:rsidR="008B20E9" w:rsidRDefault="008B20E9" w:rsidP="00641EEB">
            <w:pPr>
              <w:pStyle w:val="ParagraphFPI"/>
              <w:keepNext/>
              <w:tabs>
                <w:tab w:val="left" w:pos="240"/>
              </w:tabs>
              <w:jc w:val="center"/>
              <w:rPr>
                <w:sz w:val="22"/>
                <w:lang w:val="hr-HR" w:eastAsia="ja-JP"/>
              </w:rPr>
            </w:pPr>
            <w:r>
              <w:rPr>
                <w:sz w:val="22"/>
                <w:lang w:val="hr-HR" w:eastAsia="ja-JP"/>
              </w:rPr>
              <w:t>Režim</w:t>
            </w:r>
          </w:p>
        </w:tc>
        <w:tc>
          <w:tcPr>
            <w:tcW w:w="806" w:type="pct"/>
            <w:tcBorders>
              <w:top w:val="single" w:sz="4" w:space="0" w:color="auto"/>
              <w:left w:val="single" w:sz="4" w:space="0" w:color="auto"/>
              <w:bottom w:val="single" w:sz="4" w:space="0" w:color="auto"/>
              <w:right w:val="single" w:sz="4" w:space="0" w:color="auto"/>
            </w:tcBorders>
            <w:vAlign w:val="center"/>
            <w:hideMark/>
          </w:tcPr>
          <w:p w14:paraId="2DD31B0D" w14:textId="77777777" w:rsidR="008B20E9" w:rsidRDefault="008B20E9" w:rsidP="00641EEB">
            <w:pPr>
              <w:pStyle w:val="ParagraphFPI"/>
              <w:keepNext/>
              <w:tabs>
                <w:tab w:val="left" w:pos="240"/>
              </w:tabs>
              <w:jc w:val="center"/>
              <w:rPr>
                <w:sz w:val="22"/>
                <w:lang w:val="hr-HR" w:eastAsia="ja-JP"/>
              </w:rPr>
            </w:pPr>
            <w:r>
              <w:rPr>
                <w:sz w:val="22"/>
                <w:lang w:val="hr-HR" w:eastAsia="ja-JP"/>
              </w:rPr>
              <w:t>Vrsta primarnog tumora</w:t>
            </w:r>
          </w:p>
        </w:tc>
        <w:tc>
          <w:tcPr>
            <w:tcW w:w="327" w:type="pct"/>
            <w:tcBorders>
              <w:top w:val="single" w:sz="4" w:space="0" w:color="auto"/>
              <w:left w:val="single" w:sz="4" w:space="0" w:color="auto"/>
              <w:bottom w:val="single" w:sz="4" w:space="0" w:color="auto"/>
              <w:right w:val="single" w:sz="4" w:space="0" w:color="auto"/>
            </w:tcBorders>
            <w:vAlign w:val="center"/>
            <w:hideMark/>
          </w:tcPr>
          <w:p w14:paraId="16C19A11" w14:textId="77777777" w:rsidR="008B20E9" w:rsidRDefault="008B20E9" w:rsidP="00641EEB">
            <w:pPr>
              <w:pStyle w:val="ParagraphFPI"/>
              <w:keepNext/>
              <w:tabs>
                <w:tab w:val="left" w:pos="240"/>
              </w:tabs>
              <w:jc w:val="center"/>
              <w:rPr>
                <w:sz w:val="22"/>
                <w:lang w:val="hr-HR" w:eastAsia="ja-JP"/>
              </w:rPr>
            </w:pPr>
            <w:r>
              <w:rPr>
                <w:sz w:val="22"/>
                <w:lang w:val="hr-HR" w:eastAsia="ja-JP"/>
              </w:rPr>
              <w:t>N</w:t>
            </w:r>
          </w:p>
        </w:tc>
        <w:tc>
          <w:tcPr>
            <w:tcW w:w="793" w:type="pct"/>
            <w:tcBorders>
              <w:top w:val="single" w:sz="4" w:space="0" w:color="auto"/>
              <w:left w:val="single" w:sz="4" w:space="0" w:color="auto"/>
              <w:bottom w:val="single" w:sz="4" w:space="0" w:color="auto"/>
              <w:right w:val="single" w:sz="4" w:space="0" w:color="auto"/>
            </w:tcBorders>
            <w:vAlign w:val="center"/>
            <w:hideMark/>
          </w:tcPr>
          <w:p w14:paraId="1C403793" w14:textId="77777777" w:rsidR="008B20E9" w:rsidRDefault="008B20E9" w:rsidP="00641EEB">
            <w:pPr>
              <w:pStyle w:val="ParagraphFPI"/>
              <w:keepNext/>
              <w:tabs>
                <w:tab w:val="left" w:pos="240"/>
              </w:tabs>
              <w:jc w:val="center"/>
              <w:rPr>
                <w:sz w:val="22"/>
                <w:lang w:val="hr-HR" w:eastAsia="ja-JP"/>
              </w:rPr>
            </w:pPr>
            <w:r>
              <w:rPr>
                <w:sz w:val="22"/>
                <w:lang w:val="hr-HR" w:eastAsia="ja-JP"/>
              </w:rPr>
              <w:t>C</w:t>
            </w:r>
            <w:r>
              <w:rPr>
                <w:sz w:val="22"/>
                <w:vertAlign w:val="subscript"/>
                <w:lang w:val="hr-HR" w:eastAsia="ja-JP"/>
              </w:rPr>
              <w:t>min,ss*</w:t>
            </w:r>
          </w:p>
          <w:p w14:paraId="66A0BB1F" w14:textId="77777777" w:rsidR="008B20E9" w:rsidRDefault="008B20E9" w:rsidP="00641EEB">
            <w:pPr>
              <w:pStyle w:val="ParagraphFPI"/>
              <w:keepNext/>
              <w:tabs>
                <w:tab w:val="left" w:pos="240"/>
              </w:tabs>
              <w:jc w:val="center"/>
              <w:rPr>
                <w:sz w:val="22"/>
                <w:lang w:val="hr-HR" w:eastAsia="ja-JP"/>
              </w:rPr>
            </w:pPr>
            <w:r>
              <w:rPr>
                <w:sz w:val="22"/>
                <w:lang w:val="hr-HR" w:eastAsia="ja-JP"/>
              </w:rPr>
              <w:t>(µg/ml)</w:t>
            </w:r>
          </w:p>
        </w:tc>
        <w:tc>
          <w:tcPr>
            <w:tcW w:w="744" w:type="pct"/>
            <w:tcBorders>
              <w:top w:val="single" w:sz="4" w:space="0" w:color="auto"/>
              <w:left w:val="single" w:sz="4" w:space="0" w:color="auto"/>
              <w:bottom w:val="single" w:sz="4" w:space="0" w:color="auto"/>
              <w:right w:val="single" w:sz="4" w:space="0" w:color="auto"/>
            </w:tcBorders>
            <w:vAlign w:val="center"/>
            <w:hideMark/>
          </w:tcPr>
          <w:p w14:paraId="3F37815C" w14:textId="77777777" w:rsidR="008B20E9" w:rsidRDefault="008B20E9" w:rsidP="00641EEB">
            <w:pPr>
              <w:pStyle w:val="ParagraphFPI"/>
              <w:keepNext/>
              <w:tabs>
                <w:tab w:val="left" w:pos="240"/>
              </w:tabs>
              <w:jc w:val="center"/>
              <w:rPr>
                <w:sz w:val="22"/>
                <w:vertAlign w:val="subscript"/>
                <w:lang w:val="hr-HR" w:eastAsia="ja-JP"/>
              </w:rPr>
            </w:pPr>
            <w:r>
              <w:rPr>
                <w:sz w:val="22"/>
                <w:lang w:val="hr-HR" w:eastAsia="ja-JP"/>
              </w:rPr>
              <w:t>C</w:t>
            </w:r>
            <w:r>
              <w:rPr>
                <w:sz w:val="22"/>
                <w:vertAlign w:val="subscript"/>
                <w:lang w:val="hr-HR" w:eastAsia="ja-JP"/>
              </w:rPr>
              <w:t>max,ss**</w:t>
            </w:r>
          </w:p>
          <w:p w14:paraId="4F6A6BE1" w14:textId="77777777" w:rsidR="008B20E9" w:rsidRDefault="008B20E9" w:rsidP="00641EEB">
            <w:pPr>
              <w:pStyle w:val="ParagraphFPI"/>
              <w:keepNext/>
              <w:tabs>
                <w:tab w:val="left" w:pos="240"/>
              </w:tabs>
              <w:jc w:val="center"/>
              <w:rPr>
                <w:sz w:val="22"/>
                <w:lang w:val="hr-HR" w:eastAsia="ja-JP"/>
              </w:rPr>
            </w:pPr>
            <w:r>
              <w:rPr>
                <w:sz w:val="22"/>
                <w:lang w:val="hr-HR" w:eastAsia="ja-JP"/>
              </w:rPr>
              <w:t>(µg/ml)</w:t>
            </w:r>
          </w:p>
        </w:tc>
        <w:tc>
          <w:tcPr>
            <w:tcW w:w="859" w:type="pct"/>
            <w:tcBorders>
              <w:top w:val="single" w:sz="4" w:space="0" w:color="auto"/>
              <w:left w:val="single" w:sz="4" w:space="0" w:color="auto"/>
              <w:bottom w:val="single" w:sz="4" w:space="0" w:color="auto"/>
              <w:right w:val="single" w:sz="4" w:space="0" w:color="auto"/>
            </w:tcBorders>
            <w:vAlign w:val="center"/>
            <w:hideMark/>
          </w:tcPr>
          <w:p w14:paraId="40B97F30" w14:textId="77777777" w:rsidR="008B20E9" w:rsidRDefault="008B20E9" w:rsidP="00641EEB">
            <w:pPr>
              <w:pStyle w:val="ParagraphFPI"/>
              <w:keepNext/>
              <w:tabs>
                <w:tab w:val="left" w:pos="240"/>
              </w:tabs>
              <w:jc w:val="center"/>
              <w:rPr>
                <w:sz w:val="22"/>
                <w:lang w:val="hr-HR" w:eastAsia="ja-JP"/>
              </w:rPr>
            </w:pPr>
            <w:r>
              <w:rPr>
                <w:sz w:val="22"/>
                <w:lang w:val="hr-HR" w:eastAsia="ja-JP"/>
              </w:rPr>
              <w:t>AUC</w:t>
            </w:r>
            <w:r>
              <w:rPr>
                <w:sz w:val="22"/>
                <w:vertAlign w:val="subscript"/>
                <w:lang w:val="hr-HR" w:eastAsia="ja-JP"/>
              </w:rPr>
              <w:t>ss0-21dan</w:t>
            </w:r>
          </w:p>
          <w:p w14:paraId="27513639" w14:textId="77777777" w:rsidR="008B20E9" w:rsidRDefault="008B20E9" w:rsidP="00641EEB">
            <w:pPr>
              <w:pStyle w:val="ParagraphFPI"/>
              <w:keepNext/>
              <w:tabs>
                <w:tab w:val="left" w:pos="240"/>
              </w:tabs>
              <w:jc w:val="center"/>
              <w:rPr>
                <w:sz w:val="22"/>
                <w:lang w:val="hr-HR" w:eastAsia="ja-JP"/>
              </w:rPr>
            </w:pPr>
            <w:r>
              <w:rPr>
                <w:sz w:val="22"/>
                <w:lang w:val="hr-HR" w:eastAsia="ja-JP"/>
              </w:rPr>
              <w:t>(µg.dan/ml)</w:t>
            </w:r>
          </w:p>
        </w:tc>
        <w:tc>
          <w:tcPr>
            <w:tcW w:w="772" w:type="pct"/>
            <w:tcBorders>
              <w:top w:val="single" w:sz="4" w:space="0" w:color="auto"/>
              <w:left w:val="single" w:sz="4" w:space="0" w:color="auto"/>
              <w:bottom w:val="single" w:sz="4" w:space="0" w:color="auto"/>
              <w:right w:val="single" w:sz="4" w:space="0" w:color="auto"/>
            </w:tcBorders>
            <w:vAlign w:val="center"/>
            <w:hideMark/>
          </w:tcPr>
          <w:p w14:paraId="7199DDC1" w14:textId="77777777" w:rsidR="008B20E9" w:rsidRDefault="008B20E9" w:rsidP="00641EEB">
            <w:pPr>
              <w:pStyle w:val="ParagraphFPI"/>
              <w:keepNext/>
              <w:tabs>
                <w:tab w:val="left" w:pos="240"/>
              </w:tabs>
              <w:jc w:val="center"/>
              <w:rPr>
                <w:sz w:val="22"/>
                <w:lang w:val="hr-HR" w:eastAsia="ja-JP"/>
              </w:rPr>
            </w:pPr>
            <w:r>
              <w:rPr>
                <w:sz w:val="22"/>
                <w:lang w:val="hr-HR" w:eastAsia="ja-JP"/>
              </w:rPr>
              <w:t>Vrijeme do stanja dinamičke ravnoteže***</w:t>
            </w:r>
          </w:p>
          <w:p w14:paraId="36DD2608" w14:textId="77777777" w:rsidR="008B20E9" w:rsidRDefault="008B20E9" w:rsidP="00641EEB">
            <w:pPr>
              <w:pStyle w:val="ParagraphFPI"/>
              <w:keepNext/>
              <w:tabs>
                <w:tab w:val="left" w:pos="240"/>
              </w:tabs>
              <w:jc w:val="center"/>
              <w:rPr>
                <w:sz w:val="22"/>
                <w:lang w:val="hr-HR" w:eastAsia="ja-JP"/>
              </w:rPr>
            </w:pPr>
            <w:r>
              <w:rPr>
                <w:sz w:val="22"/>
                <w:lang w:val="hr-HR" w:eastAsia="ja-JP"/>
              </w:rPr>
              <w:t>(nedjelje)</w:t>
            </w:r>
          </w:p>
        </w:tc>
      </w:tr>
      <w:tr w:rsidR="008B20E9" w14:paraId="253A6A0B" w14:textId="77777777" w:rsidTr="00E05379">
        <w:trPr>
          <w:trHeight w:val="430"/>
        </w:trPr>
        <w:tc>
          <w:tcPr>
            <w:tcW w:w="699" w:type="pct"/>
            <w:vMerge w:val="restart"/>
            <w:tcBorders>
              <w:top w:val="single" w:sz="4" w:space="0" w:color="auto"/>
              <w:left w:val="single" w:sz="4" w:space="0" w:color="auto"/>
              <w:bottom w:val="single" w:sz="4" w:space="0" w:color="auto"/>
              <w:right w:val="single" w:sz="4" w:space="0" w:color="auto"/>
            </w:tcBorders>
            <w:vAlign w:val="center"/>
            <w:hideMark/>
          </w:tcPr>
          <w:p w14:paraId="3635B4A6" w14:textId="1829C092" w:rsidR="008B20E9" w:rsidRDefault="008B20E9" w:rsidP="00641EEB">
            <w:pPr>
              <w:pStyle w:val="ParagraphFPI"/>
              <w:keepNext/>
              <w:tabs>
                <w:tab w:val="left" w:pos="240"/>
              </w:tabs>
              <w:jc w:val="center"/>
              <w:rPr>
                <w:sz w:val="22"/>
                <w:lang w:val="hr-HR" w:eastAsia="ja-JP"/>
              </w:rPr>
            </w:pPr>
            <w:r>
              <w:rPr>
                <w:sz w:val="22"/>
                <w:lang w:val="hr-HR" w:eastAsia="ja-JP"/>
              </w:rPr>
              <w:t>8 mg/kg +</w:t>
            </w:r>
            <w:r>
              <w:rPr>
                <w:sz w:val="22"/>
                <w:lang w:val="hr-HR" w:eastAsia="ja-JP"/>
              </w:rPr>
              <w:br/>
              <w:t>6 mg/kg jed</w:t>
            </w:r>
            <w:r w:rsidR="0051053D">
              <w:rPr>
                <w:sz w:val="22"/>
                <w:lang w:val="hr-HR" w:eastAsia="ja-JP"/>
              </w:rPr>
              <w:t>nom</w:t>
            </w:r>
            <w:r>
              <w:rPr>
                <w:sz w:val="22"/>
                <w:lang w:val="hr-HR" w:eastAsia="ja-JP"/>
              </w:rPr>
              <w:t xml:space="preserve"> svake 3 nedjelje</w:t>
            </w:r>
          </w:p>
        </w:tc>
        <w:tc>
          <w:tcPr>
            <w:tcW w:w="806" w:type="pct"/>
            <w:tcBorders>
              <w:top w:val="single" w:sz="4" w:space="0" w:color="auto"/>
              <w:left w:val="single" w:sz="4" w:space="0" w:color="auto"/>
              <w:bottom w:val="single" w:sz="4" w:space="0" w:color="auto"/>
              <w:right w:val="single" w:sz="4" w:space="0" w:color="auto"/>
            </w:tcBorders>
            <w:vAlign w:val="center"/>
            <w:hideMark/>
          </w:tcPr>
          <w:p w14:paraId="45600EB5" w14:textId="77777777" w:rsidR="008B20E9" w:rsidRDefault="008B20E9" w:rsidP="00641EEB">
            <w:pPr>
              <w:pStyle w:val="ParagraphFPI"/>
              <w:keepNext/>
              <w:tabs>
                <w:tab w:val="left" w:pos="240"/>
              </w:tabs>
              <w:jc w:val="center"/>
              <w:rPr>
                <w:sz w:val="22"/>
                <w:lang w:val="hr-HR" w:eastAsia="ja-JP"/>
              </w:rPr>
            </w:pPr>
            <w:r>
              <w:rPr>
                <w:sz w:val="22"/>
                <w:lang w:val="hr-HR" w:eastAsia="ja-JP"/>
              </w:rPr>
              <w:t>metastatski rak dojke</w:t>
            </w:r>
          </w:p>
        </w:tc>
        <w:tc>
          <w:tcPr>
            <w:tcW w:w="327" w:type="pct"/>
            <w:tcBorders>
              <w:top w:val="single" w:sz="4" w:space="0" w:color="auto"/>
              <w:left w:val="single" w:sz="4" w:space="0" w:color="auto"/>
              <w:bottom w:val="single" w:sz="4" w:space="0" w:color="auto"/>
              <w:right w:val="single" w:sz="4" w:space="0" w:color="auto"/>
            </w:tcBorders>
            <w:vAlign w:val="center"/>
            <w:hideMark/>
          </w:tcPr>
          <w:p w14:paraId="11211DC2" w14:textId="77777777" w:rsidR="008B20E9" w:rsidRDefault="008B20E9" w:rsidP="00641EEB">
            <w:pPr>
              <w:pStyle w:val="ParagraphFPI"/>
              <w:keepNext/>
              <w:tabs>
                <w:tab w:val="left" w:pos="240"/>
              </w:tabs>
              <w:jc w:val="center"/>
              <w:rPr>
                <w:sz w:val="22"/>
                <w:lang w:val="hr-HR" w:eastAsia="ja-JP"/>
              </w:rPr>
            </w:pPr>
            <w:r>
              <w:rPr>
                <w:sz w:val="22"/>
                <w:lang w:val="hr-HR" w:eastAsia="ja-JP"/>
              </w:rPr>
              <w:t>805</w:t>
            </w:r>
          </w:p>
        </w:tc>
        <w:tc>
          <w:tcPr>
            <w:tcW w:w="793" w:type="pct"/>
            <w:tcBorders>
              <w:top w:val="single" w:sz="4" w:space="0" w:color="auto"/>
              <w:left w:val="single" w:sz="4" w:space="0" w:color="auto"/>
              <w:bottom w:val="single" w:sz="4" w:space="0" w:color="auto"/>
              <w:right w:val="single" w:sz="4" w:space="0" w:color="auto"/>
            </w:tcBorders>
            <w:vAlign w:val="center"/>
            <w:hideMark/>
          </w:tcPr>
          <w:p w14:paraId="3E7F5373" w14:textId="77777777" w:rsidR="008B20E9" w:rsidRDefault="008B20E9" w:rsidP="00641EEB">
            <w:pPr>
              <w:pStyle w:val="ParagraphFPI"/>
              <w:keepNext/>
              <w:tabs>
                <w:tab w:val="left" w:pos="240"/>
              </w:tabs>
              <w:jc w:val="center"/>
              <w:rPr>
                <w:sz w:val="22"/>
                <w:lang w:val="hr-HR" w:eastAsia="ja-JP"/>
              </w:rPr>
            </w:pPr>
            <w:r>
              <w:rPr>
                <w:sz w:val="22"/>
                <w:lang w:val="hr-HR" w:eastAsia="ja-JP"/>
              </w:rPr>
              <w:t xml:space="preserve">44,2 </w:t>
            </w:r>
            <w:r>
              <w:rPr>
                <w:sz w:val="22"/>
                <w:lang w:val="hr-HR" w:eastAsia="ja-JP"/>
              </w:rPr>
              <w:br/>
              <w:t>(1,8 – 85,4)</w:t>
            </w:r>
          </w:p>
        </w:tc>
        <w:tc>
          <w:tcPr>
            <w:tcW w:w="744" w:type="pct"/>
            <w:tcBorders>
              <w:top w:val="single" w:sz="4" w:space="0" w:color="auto"/>
              <w:left w:val="single" w:sz="4" w:space="0" w:color="auto"/>
              <w:bottom w:val="single" w:sz="4" w:space="0" w:color="auto"/>
              <w:right w:val="single" w:sz="4" w:space="0" w:color="auto"/>
            </w:tcBorders>
            <w:vAlign w:val="center"/>
            <w:hideMark/>
          </w:tcPr>
          <w:p w14:paraId="35B1308E" w14:textId="77777777" w:rsidR="008B20E9" w:rsidRDefault="008B20E9" w:rsidP="00641EEB">
            <w:pPr>
              <w:pStyle w:val="ParagraphFPI"/>
              <w:keepNext/>
              <w:tabs>
                <w:tab w:val="left" w:pos="240"/>
              </w:tabs>
              <w:jc w:val="center"/>
              <w:rPr>
                <w:sz w:val="22"/>
                <w:lang w:val="hr-HR" w:eastAsia="ja-JP"/>
              </w:rPr>
            </w:pPr>
            <w:r>
              <w:rPr>
                <w:sz w:val="22"/>
                <w:lang w:val="hr-HR" w:eastAsia="ja-JP"/>
              </w:rPr>
              <w:t xml:space="preserve">179 </w:t>
            </w:r>
            <w:r>
              <w:rPr>
                <w:sz w:val="22"/>
                <w:lang w:val="hr-HR" w:eastAsia="ja-JP"/>
              </w:rPr>
              <w:br/>
              <w:t>(123 - 266)</w:t>
            </w:r>
          </w:p>
        </w:tc>
        <w:tc>
          <w:tcPr>
            <w:tcW w:w="859" w:type="pct"/>
            <w:tcBorders>
              <w:top w:val="single" w:sz="4" w:space="0" w:color="auto"/>
              <w:left w:val="single" w:sz="4" w:space="0" w:color="auto"/>
              <w:bottom w:val="single" w:sz="4" w:space="0" w:color="auto"/>
              <w:right w:val="single" w:sz="4" w:space="0" w:color="auto"/>
            </w:tcBorders>
            <w:vAlign w:val="center"/>
            <w:hideMark/>
          </w:tcPr>
          <w:p w14:paraId="69A07FE4" w14:textId="77777777" w:rsidR="008B20E9" w:rsidRDefault="008B20E9" w:rsidP="00641EEB">
            <w:pPr>
              <w:pStyle w:val="ParagraphFPI"/>
              <w:keepNext/>
              <w:tabs>
                <w:tab w:val="left" w:pos="240"/>
              </w:tabs>
              <w:jc w:val="center"/>
              <w:rPr>
                <w:sz w:val="22"/>
                <w:lang w:val="hr-HR" w:eastAsia="ja-JP"/>
              </w:rPr>
            </w:pPr>
            <w:r>
              <w:rPr>
                <w:sz w:val="22"/>
                <w:lang w:val="hr-HR" w:eastAsia="ja-JP"/>
              </w:rPr>
              <w:t xml:space="preserve">1736 </w:t>
            </w:r>
            <w:r>
              <w:rPr>
                <w:sz w:val="22"/>
                <w:lang w:val="hr-HR" w:eastAsia="ja-JP"/>
              </w:rPr>
              <w:br/>
              <w:t>(618 - 2756)</w:t>
            </w:r>
          </w:p>
        </w:tc>
        <w:tc>
          <w:tcPr>
            <w:tcW w:w="772" w:type="pct"/>
            <w:tcBorders>
              <w:top w:val="single" w:sz="4" w:space="0" w:color="auto"/>
              <w:left w:val="single" w:sz="4" w:space="0" w:color="auto"/>
              <w:bottom w:val="single" w:sz="4" w:space="0" w:color="auto"/>
              <w:right w:val="single" w:sz="4" w:space="0" w:color="auto"/>
            </w:tcBorders>
            <w:vAlign w:val="center"/>
            <w:hideMark/>
          </w:tcPr>
          <w:p w14:paraId="4D573288" w14:textId="77777777" w:rsidR="008B20E9" w:rsidRDefault="008B20E9" w:rsidP="00641EEB">
            <w:pPr>
              <w:pStyle w:val="ParagraphFPI"/>
              <w:keepNext/>
              <w:tabs>
                <w:tab w:val="left" w:pos="240"/>
              </w:tabs>
              <w:jc w:val="center"/>
              <w:rPr>
                <w:sz w:val="22"/>
                <w:lang w:val="hr-HR" w:eastAsia="ja-JP"/>
              </w:rPr>
            </w:pPr>
            <w:r>
              <w:rPr>
                <w:sz w:val="22"/>
                <w:lang w:val="hr-HR" w:eastAsia="ja-JP"/>
              </w:rPr>
              <w:t>12</w:t>
            </w:r>
          </w:p>
        </w:tc>
      </w:tr>
      <w:tr w:rsidR="008B20E9" w14:paraId="08520C1C" w14:textId="77777777" w:rsidTr="00E05379">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2EB48" w14:textId="77777777" w:rsidR="008B20E9" w:rsidRDefault="008B20E9" w:rsidP="00641EEB">
            <w:pPr>
              <w:rPr>
                <w:sz w:val="22"/>
                <w:lang w:val="hr-HR" w:eastAsia="ja-JP"/>
              </w:rPr>
            </w:pPr>
          </w:p>
        </w:tc>
        <w:tc>
          <w:tcPr>
            <w:tcW w:w="806" w:type="pct"/>
            <w:tcBorders>
              <w:top w:val="single" w:sz="4" w:space="0" w:color="auto"/>
              <w:left w:val="single" w:sz="4" w:space="0" w:color="auto"/>
              <w:bottom w:val="single" w:sz="4" w:space="0" w:color="auto"/>
              <w:right w:val="single" w:sz="4" w:space="0" w:color="auto"/>
            </w:tcBorders>
            <w:vAlign w:val="center"/>
            <w:hideMark/>
          </w:tcPr>
          <w:p w14:paraId="04090758" w14:textId="77777777" w:rsidR="008B20E9" w:rsidRDefault="008B20E9" w:rsidP="00641EEB">
            <w:pPr>
              <w:pStyle w:val="ParagraphFPI"/>
              <w:tabs>
                <w:tab w:val="left" w:pos="240"/>
              </w:tabs>
              <w:jc w:val="center"/>
              <w:rPr>
                <w:sz w:val="22"/>
                <w:lang w:val="hr-HR" w:eastAsia="ja-JP"/>
              </w:rPr>
            </w:pPr>
            <w:r>
              <w:rPr>
                <w:sz w:val="22"/>
                <w:lang w:val="hr-HR" w:eastAsia="ja-JP"/>
              </w:rPr>
              <w:t>rani rak dojke</w:t>
            </w:r>
          </w:p>
        </w:tc>
        <w:tc>
          <w:tcPr>
            <w:tcW w:w="327" w:type="pct"/>
            <w:tcBorders>
              <w:top w:val="single" w:sz="4" w:space="0" w:color="auto"/>
              <w:left w:val="single" w:sz="4" w:space="0" w:color="auto"/>
              <w:bottom w:val="single" w:sz="4" w:space="0" w:color="auto"/>
              <w:right w:val="single" w:sz="4" w:space="0" w:color="auto"/>
            </w:tcBorders>
            <w:vAlign w:val="center"/>
            <w:hideMark/>
          </w:tcPr>
          <w:p w14:paraId="696B7ACE" w14:textId="77777777" w:rsidR="008B20E9" w:rsidRDefault="008B20E9" w:rsidP="00641EEB">
            <w:pPr>
              <w:pStyle w:val="ParagraphFPI"/>
              <w:tabs>
                <w:tab w:val="left" w:pos="240"/>
              </w:tabs>
              <w:jc w:val="center"/>
              <w:rPr>
                <w:sz w:val="22"/>
                <w:lang w:val="hr-HR" w:eastAsia="ja-JP"/>
              </w:rPr>
            </w:pPr>
            <w:r>
              <w:rPr>
                <w:sz w:val="22"/>
                <w:lang w:val="hr-HR" w:eastAsia="ja-JP"/>
              </w:rPr>
              <w:t>390</w:t>
            </w:r>
          </w:p>
        </w:tc>
        <w:tc>
          <w:tcPr>
            <w:tcW w:w="793" w:type="pct"/>
            <w:tcBorders>
              <w:top w:val="single" w:sz="4" w:space="0" w:color="auto"/>
              <w:left w:val="single" w:sz="4" w:space="0" w:color="auto"/>
              <w:bottom w:val="single" w:sz="4" w:space="0" w:color="auto"/>
              <w:right w:val="single" w:sz="4" w:space="0" w:color="auto"/>
            </w:tcBorders>
            <w:vAlign w:val="center"/>
            <w:hideMark/>
          </w:tcPr>
          <w:p w14:paraId="5B5327BF" w14:textId="77777777" w:rsidR="008B20E9" w:rsidRDefault="008B20E9" w:rsidP="00641EEB">
            <w:pPr>
              <w:pStyle w:val="ParagraphFPI"/>
              <w:tabs>
                <w:tab w:val="left" w:pos="240"/>
              </w:tabs>
              <w:jc w:val="center"/>
              <w:rPr>
                <w:sz w:val="22"/>
                <w:lang w:val="hr-HR" w:eastAsia="ja-JP"/>
              </w:rPr>
            </w:pPr>
            <w:r>
              <w:rPr>
                <w:sz w:val="22"/>
                <w:lang w:val="hr-HR" w:eastAsia="ja-JP"/>
              </w:rPr>
              <w:t xml:space="preserve">53,8 </w:t>
            </w:r>
            <w:r>
              <w:rPr>
                <w:sz w:val="22"/>
                <w:lang w:val="hr-HR" w:eastAsia="ja-JP"/>
              </w:rPr>
              <w:br/>
              <w:t>(28,7 – 85,8)</w:t>
            </w:r>
          </w:p>
        </w:tc>
        <w:tc>
          <w:tcPr>
            <w:tcW w:w="744" w:type="pct"/>
            <w:tcBorders>
              <w:top w:val="single" w:sz="4" w:space="0" w:color="auto"/>
              <w:left w:val="single" w:sz="4" w:space="0" w:color="auto"/>
              <w:bottom w:val="single" w:sz="4" w:space="0" w:color="auto"/>
              <w:right w:val="single" w:sz="4" w:space="0" w:color="auto"/>
            </w:tcBorders>
            <w:vAlign w:val="center"/>
            <w:hideMark/>
          </w:tcPr>
          <w:p w14:paraId="2028AE58" w14:textId="77777777" w:rsidR="008B20E9" w:rsidRDefault="008B20E9" w:rsidP="00641EEB">
            <w:pPr>
              <w:pStyle w:val="ParagraphFPI"/>
              <w:tabs>
                <w:tab w:val="left" w:pos="240"/>
              </w:tabs>
              <w:jc w:val="center"/>
              <w:rPr>
                <w:sz w:val="22"/>
                <w:lang w:val="hr-HR" w:eastAsia="ja-JP"/>
              </w:rPr>
            </w:pPr>
            <w:r>
              <w:rPr>
                <w:sz w:val="22"/>
                <w:lang w:val="hr-HR" w:eastAsia="ja-JP"/>
              </w:rPr>
              <w:t xml:space="preserve">184 </w:t>
            </w:r>
            <w:r>
              <w:rPr>
                <w:sz w:val="22"/>
                <w:lang w:val="hr-HR" w:eastAsia="ja-JP"/>
              </w:rPr>
              <w:br/>
              <w:t>(134 - 247)</w:t>
            </w:r>
          </w:p>
        </w:tc>
        <w:tc>
          <w:tcPr>
            <w:tcW w:w="859" w:type="pct"/>
            <w:tcBorders>
              <w:top w:val="single" w:sz="4" w:space="0" w:color="auto"/>
              <w:left w:val="single" w:sz="4" w:space="0" w:color="auto"/>
              <w:bottom w:val="single" w:sz="4" w:space="0" w:color="auto"/>
              <w:right w:val="single" w:sz="4" w:space="0" w:color="auto"/>
            </w:tcBorders>
            <w:vAlign w:val="center"/>
            <w:hideMark/>
          </w:tcPr>
          <w:p w14:paraId="53B52548" w14:textId="77777777" w:rsidR="008B20E9" w:rsidRDefault="008B20E9" w:rsidP="00641EEB">
            <w:pPr>
              <w:pStyle w:val="ParagraphFPI"/>
              <w:tabs>
                <w:tab w:val="left" w:pos="240"/>
              </w:tabs>
              <w:jc w:val="center"/>
              <w:rPr>
                <w:sz w:val="22"/>
                <w:lang w:val="hr-HR" w:eastAsia="ja-JP"/>
              </w:rPr>
            </w:pPr>
            <w:r>
              <w:rPr>
                <w:sz w:val="22"/>
                <w:lang w:val="hr-HR" w:eastAsia="ja-JP"/>
              </w:rPr>
              <w:t xml:space="preserve">1927 </w:t>
            </w:r>
            <w:r>
              <w:rPr>
                <w:sz w:val="22"/>
                <w:lang w:val="hr-HR" w:eastAsia="ja-JP"/>
              </w:rPr>
              <w:br/>
              <w:t>(1332 -2771)</w:t>
            </w:r>
          </w:p>
        </w:tc>
        <w:tc>
          <w:tcPr>
            <w:tcW w:w="772" w:type="pct"/>
            <w:tcBorders>
              <w:top w:val="single" w:sz="4" w:space="0" w:color="auto"/>
              <w:left w:val="single" w:sz="4" w:space="0" w:color="auto"/>
              <w:bottom w:val="single" w:sz="4" w:space="0" w:color="auto"/>
              <w:right w:val="single" w:sz="4" w:space="0" w:color="auto"/>
            </w:tcBorders>
            <w:vAlign w:val="center"/>
            <w:hideMark/>
          </w:tcPr>
          <w:p w14:paraId="676427A6" w14:textId="77777777" w:rsidR="008B20E9" w:rsidRDefault="008B20E9" w:rsidP="00641EEB">
            <w:pPr>
              <w:pStyle w:val="ParagraphFPI"/>
              <w:tabs>
                <w:tab w:val="left" w:pos="240"/>
              </w:tabs>
              <w:jc w:val="center"/>
              <w:rPr>
                <w:sz w:val="22"/>
                <w:lang w:val="hr-HR" w:eastAsia="ja-JP"/>
              </w:rPr>
            </w:pPr>
            <w:r>
              <w:rPr>
                <w:sz w:val="22"/>
                <w:lang w:val="hr-HR" w:eastAsia="ja-JP"/>
              </w:rPr>
              <w:t>15</w:t>
            </w:r>
          </w:p>
        </w:tc>
      </w:tr>
      <w:tr w:rsidR="008B20E9" w14:paraId="58F70DD0" w14:textId="77777777" w:rsidTr="00E05379">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74ADD" w14:textId="77777777" w:rsidR="008B20E9" w:rsidRDefault="008B20E9" w:rsidP="00641EEB">
            <w:pPr>
              <w:rPr>
                <w:sz w:val="22"/>
                <w:lang w:val="hr-HR" w:eastAsia="ja-JP"/>
              </w:rPr>
            </w:pPr>
          </w:p>
        </w:tc>
        <w:tc>
          <w:tcPr>
            <w:tcW w:w="806" w:type="pct"/>
            <w:tcBorders>
              <w:top w:val="single" w:sz="4" w:space="0" w:color="auto"/>
              <w:left w:val="single" w:sz="4" w:space="0" w:color="auto"/>
              <w:bottom w:val="single" w:sz="4" w:space="0" w:color="auto"/>
              <w:right w:val="single" w:sz="4" w:space="0" w:color="auto"/>
            </w:tcBorders>
            <w:vAlign w:val="center"/>
            <w:hideMark/>
          </w:tcPr>
          <w:p w14:paraId="02EFDF13" w14:textId="77777777" w:rsidR="008B20E9" w:rsidRDefault="008B20E9" w:rsidP="00641EEB">
            <w:pPr>
              <w:pStyle w:val="ParagraphFPI"/>
              <w:tabs>
                <w:tab w:val="left" w:pos="240"/>
              </w:tabs>
              <w:jc w:val="center"/>
              <w:rPr>
                <w:sz w:val="22"/>
                <w:lang w:val="hr-HR" w:eastAsia="ja-JP"/>
              </w:rPr>
            </w:pPr>
            <w:r>
              <w:rPr>
                <w:sz w:val="22"/>
                <w:lang w:val="hr-HR" w:eastAsia="ja-JP"/>
              </w:rPr>
              <w:t>uznapredovali rak želuca</w:t>
            </w:r>
          </w:p>
        </w:tc>
        <w:tc>
          <w:tcPr>
            <w:tcW w:w="327" w:type="pct"/>
            <w:tcBorders>
              <w:top w:val="single" w:sz="4" w:space="0" w:color="auto"/>
              <w:left w:val="single" w:sz="4" w:space="0" w:color="auto"/>
              <w:bottom w:val="single" w:sz="4" w:space="0" w:color="auto"/>
              <w:right w:val="single" w:sz="4" w:space="0" w:color="auto"/>
            </w:tcBorders>
            <w:vAlign w:val="center"/>
            <w:hideMark/>
          </w:tcPr>
          <w:p w14:paraId="474D86C3" w14:textId="77777777" w:rsidR="008B20E9" w:rsidRDefault="008B20E9" w:rsidP="00641EEB">
            <w:pPr>
              <w:pStyle w:val="ParagraphFPI"/>
              <w:tabs>
                <w:tab w:val="left" w:pos="240"/>
              </w:tabs>
              <w:jc w:val="center"/>
              <w:rPr>
                <w:sz w:val="22"/>
                <w:lang w:val="hr-HR" w:eastAsia="ja-JP"/>
              </w:rPr>
            </w:pPr>
            <w:r>
              <w:rPr>
                <w:sz w:val="22"/>
                <w:lang w:val="hr-HR" w:eastAsia="ja-JP"/>
              </w:rPr>
              <w:t>274</w:t>
            </w:r>
          </w:p>
        </w:tc>
        <w:tc>
          <w:tcPr>
            <w:tcW w:w="793" w:type="pct"/>
            <w:tcBorders>
              <w:top w:val="single" w:sz="4" w:space="0" w:color="auto"/>
              <w:left w:val="single" w:sz="4" w:space="0" w:color="auto"/>
              <w:bottom w:val="single" w:sz="4" w:space="0" w:color="auto"/>
              <w:right w:val="single" w:sz="4" w:space="0" w:color="auto"/>
            </w:tcBorders>
            <w:vAlign w:val="center"/>
            <w:hideMark/>
          </w:tcPr>
          <w:p w14:paraId="0437BCCA" w14:textId="77777777" w:rsidR="008B20E9" w:rsidRDefault="008B20E9" w:rsidP="00641EEB">
            <w:pPr>
              <w:pStyle w:val="ParagraphFPI"/>
              <w:tabs>
                <w:tab w:val="left" w:pos="240"/>
              </w:tabs>
              <w:jc w:val="center"/>
              <w:rPr>
                <w:sz w:val="22"/>
                <w:lang w:val="hr-HR" w:eastAsia="ja-JP"/>
              </w:rPr>
            </w:pPr>
            <w:r>
              <w:rPr>
                <w:sz w:val="22"/>
                <w:lang w:val="hr-HR" w:eastAsia="ja-JP"/>
              </w:rPr>
              <w:t xml:space="preserve">32,9 </w:t>
            </w:r>
            <w:r>
              <w:rPr>
                <w:sz w:val="22"/>
                <w:lang w:val="hr-HR" w:eastAsia="ja-JP"/>
              </w:rPr>
              <w:br/>
              <w:t>(6,1 – 88,9)</w:t>
            </w:r>
          </w:p>
        </w:tc>
        <w:tc>
          <w:tcPr>
            <w:tcW w:w="744" w:type="pct"/>
            <w:tcBorders>
              <w:top w:val="single" w:sz="4" w:space="0" w:color="auto"/>
              <w:left w:val="single" w:sz="4" w:space="0" w:color="auto"/>
              <w:bottom w:val="single" w:sz="4" w:space="0" w:color="auto"/>
              <w:right w:val="single" w:sz="4" w:space="0" w:color="auto"/>
            </w:tcBorders>
            <w:vAlign w:val="center"/>
            <w:hideMark/>
          </w:tcPr>
          <w:p w14:paraId="6952429C" w14:textId="77777777" w:rsidR="008B20E9" w:rsidRDefault="008B20E9" w:rsidP="00641EEB">
            <w:pPr>
              <w:pStyle w:val="ParagraphFPI"/>
              <w:tabs>
                <w:tab w:val="left" w:pos="240"/>
              </w:tabs>
              <w:jc w:val="center"/>
              <w:rPr>
                <w:sz w:val="22"/>
                <w:lang w:val="hr-HR" w:eastAsia="ja-JP"/>
              </w:rPr>
            </w:pPr>
            <w:r>
              <w:rPr>
                <w:sz w:val="22"/>
                <w:lang w:val="hr-HR" w:eastAsia="ja-JP"/>
              </w:rPr>
              <w:t xml:space="preserve">131 </w:t>
            </w:r>
            <w:r>
              <w:rPr>
                <w:sz w:val="22"/>
                <w:lang w:val="hr-HR" w:eastAsia="ja-JP"/>
              </w:rPr>
              <w:br/>
              <w:t>(72.5 -251)</w:t>
            </w:r>
          </w:p>
        </w:tc>
        <w:tc>
          <w:tcPr>
            <w:tcW w:w="859" w:type="pct"/>
            <w:tcBorders>
              <w:top w:val="single" w:sz="4" w:space="0" w:color="auto"/>
              <w:left w:val="single" w:sz="4" w:space="0" w:color="auto"/>
              <w:bottom w:val="single" w:sz="4" w:space="0" w:color="auto"/>
              <w:right w:val="single" w:sz="4" w:space="0" w:color="auto"/>
            </w:tcBorders>
            <w:vAlign w:val="center"/>
            <w:hideMark/>
          </w:tcPr>
          <w:p w14:paraId="13D2417A" w14:textId="77777777" w:rsidR="008B20E9" w:rsidRDefault="008B20E9" w:rsidP="00641EEB">
            <w:pPr>
              <w:pStyle w:val="ParagraphFPI"/>
              <w:tabs>
                <w:tab w:val="left" w:pos="240"/>
              </w:tabs>
              <w:jc w:val="center"/>
              <w:rPr>
                <w:sz w:val="22"/>
                <w:lang w:val="hr-HR" w:eastAsia="ja-JP"/>
              </w:rPr>
            </w:pPr>
            <w:r>
              <w:rPr>
                <w:sz w:val="22"/>
                <w:lang w:val="hr-HR" w:eastAsia="ja-JP"/>
              </w:rPr>
              <w:t xml:space="preserve">1338 </w:t>
            </w:r>
            <w:r>
              <w:rPr>
                <w:sz w:val="22"/>
                <w:lang w:val="hr-HR" w:eastAsia="ja-JP"/>
              </w:rPr>
              <w:br/>
              <w:t>(557 - 2875)</w:t>
            </w:r>
          </w:p>
        </w:tc>
        <w:tc>
          <w:tcPr>
            <w:tcW w:w="772" w:type="pct"/>
            <w:tcBorders>
              <w:top w:val="single" w:sz="4" w:space="0" w:color="auto"/>
              <w:left w:val="single" w:sz="4" w:space="0" w:color="auto"/>
              <w:bottom w:val="single" w:sz="4" w:space="0" w:color="auto"/>
              <w:right w:val="single" w:sz="4" w:space="0" w:color="auto"/>
            </w:tcBorders>
            <w:vAlign w:val="center"/>
            <w:hideMark/>
          </w:tcPr>
          <w:p w14:paraId="0426A0E4" w14:textId="77777777" w:rsidR="008B20E9" w:rsidRDefault="008B20E9" w:rsidP="00641EEB">
            <w:pPr>
              <w:pStyle w:val="ParagraphFPI"/>
              <w:tabs>
                <w:tab w:val="left" w:pos="240"/>
              </w:tabs>
              <w:jc w:val="center"/>
              <w:rPr>
                <w:sz w:val="22"/>
                <w:lang w:val="hr-HR" w:eastAsia="ja-JP"/>
              </w:rPr>
            </w:pPr>
            <w:r>
              <w:rPr>
                <w:sz w:val="22"/>
                <w:lang w:val="hr-HR" w:eastAsia="ja-JP"/>
              </w:rPr>
              <w:t>9</w:t>
            </w:r>
          </w:p>
        </w:tc>
      </w:tr>
      <w:tr w:rsidR="008B20E9" w14:paraId="601B7B33" w14:textId="77777777" w:rsidTr="00E05379">
        <w:trPr>
          <w:trHeight w:val="177"/>
        </w:trPr>
        <w:tc>
          <w:tcPr>
            <w:tcW w:w="699" w:type="pct"/>
            <w:vMerge w:val="restart"/>
            <w:tcBorders>
              <w:top w:val="single" w:sz="4" w:space="0" w:color="auto"/>
              <w:left w:val="single" w:sz="4" w:space="0" w:color="auto"/>
              <w:bottom w:val="single" w:sz="4" w:space="0" w:color="auto"/>
              <w:right w:val="single" w:sz="4" w:space="0" w:color="auto"/>
            </w:tcBorders>
            <w:vAlign w:val="center"/>
            <w:hideMark/>
          </w:tcPr>
          <w:p w14:paraId="18D9CD3D" w14:textId="14CD53FE" w:rsidR="008B20E9" w:rsidRDefault="008B20E9" w:rsidP="00641EEB">
            <w:pPr>
              <w:pStyle w:val="ParagraphFPI"/>
              <w:keepNext/>
              <w:tabs>
                <w:tab w:val="left" w:pos="240"/>
              </w:tabs>
              <w:jc w:val="center"/>
              <w:outlineLvl w:val="3"/>
              <w:rPr>
                <w:sz w:val="22"/>
                <w:lang w:val="hr-HR" w:eastAsia="ja-JP"/>
              </w:rPr>
            </w:pPr>
            <w:r>
              <w:rPr>
                <w:sz w:val="22"/>
                <w:lang w:val="hr-HR" w:eastAsia="ja-JP"/>
              </w:rPr>
              <w:t>4 mg/kg +</w:t>
            </w:r>
            <w:r>
              <w:rPr>
                <w:sz w:val="22"/>
                <w:lang w:val="hr-HR" w:eastAsia="ja-JP"/>
              </w:rPr>
              <w:br/>
              <w:t>2 mg/kg jed</w:t>
            </w:r>
            <w:r w:rsidR="0051053D">
              <w:rPr>
                <w:sz w:val="22"/>
                <w:lang w:val="hr-HR" w:eastAsia="ja-JP"/>
              </w:rPr>
              <w:t>nom</w:t>
            </w:r>
            <w:r>
              <w:rPr>
                <w:sz w:val="22"/>
                <w:lang w:val="hr-HR" w:eastAsia="ja-JP"/>
              </w:rPr>
              <w:t xml:space="preserve"> nedjeljno</w:t>
            </w:r>
          </w:p>
        </w:tc>
        <w:tc>
          <w:tcPr>
            <w:tcW w:w="806" w:type="pct"/>
            <w:tcBorders>
              <w:top w:val="single" w:sz="4" w:space="0" w:color="auto"/>
              <w:left w:val="single" w:sz="4" w:space="0" w:color="auto"/>
              <w:bottom w:val="single" w:sz="4" w:space="0" w:color="auto"/>
              <w:right w:val="single" w:sz="4" w:space="0" w:color="auto"/>
            </w:tcBorders>
            <w:vAlign w:val="center"/>
            <w:hideMark/>
          </w:tcPr>
          <w:p w14:paraId="76A36D7B" w14:textId="77777777" w:rsidR="008B20E9" w:rsidRDefault="008B20E9" w:rsidP="00641EEB">
            <w:pPr>
              <w:pStyle w:val="ParagraphFPI"/>
              <w:tabs>
                <w:tab w:val="left" w:pos="240"/>
              </w:tabs>
              <w:jc w:val="center"/>
              <w:rPr>
                <w:sz w:val="22"/>
                <w:lang w:val="hr-HR" w:eastAsia="ja-JP"/>
              </w:rPr>
            </w:pPr>
            <w:r>
              <w:rPr>
                <w:sz w:val="22"/>
                <w:lang w:val="hr-HR" w:eastAsia="ja-JP"/>
              </w:rPr>
              <w:t>metastatski rak dojke</w:t>
            </w:r>
          </w:p>
        </w:tc>
        <w:tc>
          <w:tcPr>
            <w:tcW w:w="327" w:type="pct"/>
            <w:tcBorders>
              <w:top w:val="single" w:sz="4" w:space="0" w:color="auto"/>
              <w:left w:val="single" w:sz="4" w:space="0" w:color="auto"/>
              <w:bottom w:val="single" w:sz="4" w:space="0" w:color="auto"/>
              <w:right w:val="single" w:sz="4" w:space="0" w:color="auto"/>
            </w:tcBorders>
            <w:vAlign w:val="center"/>
            <w:hideMark/>
          </w:tcPr>
          <w:p w14:paraId="76ABFD18" w14:textId="77777777" w:rsidR="008B20E9" w:rsidRDefault="008B20E9" w:rsidP="00641EEB">
            <w:pPr>
              <w:pStyle w:val="ParagraphFPI"/>
              <w:tabs>
                <w:tab w:val="left" w:pos="240"/>
              </w:tabs>
              <w:jc w:val="center"/>
              <w:rPr>
                <w:sz w:val="22"/>
                <w:lang w:val="hr-HR" w:eastAsia="ja-JP"/>
              </w:rPr>
            </w:pPr>
            <w:r>
              <w:rPr>
                <w:sz w:val="22"/>
                <w:lang w:val="hr-HR" w:eastAsia="ja-JP"/>
              </w:rPr>
              <w:t>805</w:t>
            </w:r>
          </w:p>
        </w:tc>
        <w:tc>
          <w:tcPr>
            <w:tcW w:w="793" w:type="pct"/>
            <w:tcBorders>
              <w:top w:val="single" w:sz="4" w:space="0" w:color="auto"/>
              <w:left w:val="single" w:sz="4" w:space="0" w:color="auto"/>
              <w:bottom w:val="single" w:sz="4" w:space="0" w:color="auto"/>
              <w:right w:val="single" w:sz="4" w:space="0" w:color="auto"/>
            </w:tcBorders>
            <w:vAlign w:val="center"/>
            <w:hideMark/>
          </w:tcPr>
          <w:p w14:paraId="3F1973D6" w14:textId="77777777" w:rsidR="008B20E9" w:rsidRDefault="008B20E9" w:rsidP="00641EEB">
            <w:pPr>
              <w:pStyle w:val="ParagraphFPI"/>
              <w:tabs>
                <w:tab w:val="left" w:pos="240"/>
              </w:tabs>
              <w:jc w:val="center"/>
              <w:rPr>
                <w:sz w:val="22"/>
                <w:lang w:val="hr-HR" w:eastAsia="ja-JP"/>
              </w:rPr>
            </w:pPr>
            <w:r>
              <w:rPr>
                <w:sz w:val="22"/>
                <w:lang w:val="hr-HR" w:eastAsia="ja-JP"/>
              </w:rPr>
              <w:t xml:space="preserve">63,1 </w:t>
            </w:r>
            <w:r>
              <w:rPr>
                <w:sz w:val="22"/>
                <w:lang w:val="hr-HR" w:eastAsia="ja-JP"/>
              </w:rPr>
              <w:br/>
              <w:t>(11,7 - 107)</w:t>
            </w:r>
          </w:p>
        </w:tc>
        <w:tc>
          <w:tcPr>
            <w:tcW w:w="744" w:type="pct"/>
            <w:tcBorders>
              <w:top w:val="single" w:sz="4" w:space="0" w:color="auto"/>
              <w:left w:val="single" w:sz="4" w:space="0" w:color="auto"/>
              <w:bottom w:val="single" w:sz="4" w:space="0" w:color="auto"/>
              <w:right w:val="single" w:sz="4" w:space="0" w:color="auto"/>
            </w:tcBorders>
            <w:vAlign w:val="center"/>
            <w:hideMark/>
          </w:tcPr>
          <w:p w14:paraId="4E7DA4CB" w14:textId="77777777" w:rsidR="008B20E9" w:rsidRDefault="008B20E9" w:rsidP="00641EEB">
            <w:pPr>
              <w:pStyle w:val="ParagraphFPI"/>
              <w:tabs>
                <w:tab w:val="left" w:pos="240"/>
              </w:tabs>
              <w:jc w:val="center"/>
              <w:rPr>
                <w:sz w:val="22"/>
                <w:lang w:val="hr-HR" w:eastAsia="ja-JP"/>
              </w:rPr>
            </w:pPr>
            <w:r>
              <w:rPr>
                <w:sz w:val="22"/>
                <w:lang w:val="hr-HR" w:eastAsia="ja-JP"/>
              </w:rPr>
              <w:t xml:space="preserve">107 </w:t>
            </w:r>
            <w:r>
              <w:rPr>
                <w:sz w:val="22"/>
                <w:lang w:val="hr-HR" w:eastAsia="ja-JP"/>
              </w:rPr>
              <w:br/>
              <w:t>(54.2 - 164)</w:t>
            </w:r>
          </w:p>
        </w:tc>
        <w:tc>
          <w:tcPr>
            <w:tcW w:w="859" w:type="pct"/>
            <w:tcBorders>
              <w:top w:val="single" w:sz="4" w:space="0" w:color="auto"/>
              <w:left w:val="single" w:sz="4" w:space="0" w:color="auto"/>
              <w:bottom w:val="single" w:sz="4" w:space="0" w:color="auto"/>
              <w:right w:val="single" w:sz="4" w:space="0" w:color="auto"/>
            </w:tcBorders>
            <w:vAlign w:val="center"/>
            <w:hideMark/>
          </w:tcPr>
          <w:p w14:paraId="4527E799" w14:textId="77777777" w:rsidR="008B20E9" w:rsidRDefault="008B20E9" w:rsidP="00641EEB">
            <w:pPr>
              <w:pStyle w:val="ParagraphFPI"/>
              <w:tabs>
                <w:tab w:val="left" w:pos="240"/>
              </w:tabs>
              <w:jc w:val="center"/>
              <w:rPr>
                <w:sz w:val="22"/>
                <w:lang w:val="hr-HR" w:eastAsia="ja-JP"/>
              </w:rPr>
            </w:pPr>
            <w:r>
              <w:rPr>
                <w:sz w:val="22"/>
                <w:lang w:val="hr-HR" w:eastAsia="ja-JP"/>
              </w:rPr>
              <w:t xml:space="preserve">1710 </w:t>
            </w:r>
            <w:r>
              <w:rPr>
                <w:sz w:val="22"/>
                <w:lang w:val="hr-HR" w:eastAsia="ja-JP"/>
              </w:rPr>
              <w:br/>
              <w:t>(581 - 2715)</w:t>
            </w:r>
          </w:p>
        </w:tc>
        <w:tc>
          <w:tcPr>
            <w:tcW w:w="772" w:type="pct"/>
            <w:tcBorders>
              <w:top w:val="single" w:sz="4" w:space="0" w:color="auto"/>
              <w:left w:val="single" w:sz="4" w:space="0" w:color="auto"/>
              <w:bottom w:val="single" w:sz="4" w:space="0" w:color="auto"/>
              <w:right w:val="single" w:sz="4" w:space="0" w:color="auto"/>
            </w:tcBorders>
            <w:vAlign w:val="center"/>
            <w:hideMark/>
          </w:tcPr>
          <w:p w14:paraId="26ECA8FB" w14:textId="77777777" w:rsidR="008B20E9" w:rsidRDefault="008B20E9" w:rsidP="00641EEB">
            <w:pPr>
              <w:pStyle w:val="ParagraphFPI"/>
              <w:tabs>
                <w:tab w:val="left" w:pos="240"/>
              </w:tabs>
              <w:jc w:val="center"/>
              <w:rPr>
                <w:sz w:val="22"/>
                <w:lang w:val="hr-HR" w:eastAsia="ja-JP"/>
              </w:rPr>
            </w:pPr>
            <w:r>
              <w:rPr>
                <w:sz w:val="22"/>
                <w:lang w:val="hr-HR" w:eastAsia="ja-JP"/>
              </w:rPr>
              <w:t>12</w:t>
            </w:r>
          </w:p>
        </w:tc>
      </w:tr>
      <w:tr w:rsidR="008B20E9" w14:paraId="1B1CAF41" w14:textId="77777777" w:rsidTr="00E05379">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24173" w14:textId="77777777" w:rsidR="008B20E9" w:rsidRDefault="008B20E9" w:rsidP="00641EEB">
            <w:pPr>
              <w:rPr>
                <w:sz w:val="22"/>
                <w:lang w:val="hr-HR" w:eastAsia="ja-JP"/>
              </w:rPr>
            </w:pPr>
          </w:p>
        </w:tc>
        <w:tc>
          <w:tcPr>
            <w:tcW w:w="806" w:type="pct"/>
            <w:tcBorders>
              <w:top w:val="single" w:sz="4" w:space="0" w:color="auto"/>
              <w:left w:val="single" w:sz="4" w:space="0" w:color="auto"/>
              <w:bottom w:val="single" w:sz="4" w:space="0" w:color="auto"/>
              <w:right w:val="single" w:sz="4" w:space="0" w:color="auto"/>
            </w:tcBorders>
            <w:vAlign w:val="center"/>
            <w:hideMark/>
          </w:tcPr>
          <w:p w14:paraId="03A59E2A" w14:textId="77777777" w:rsidR="008B20E9" w:rsidRDefault="008B20E9" w:rsidP="00641EEB">
            <w:pPr>
              <w:pStyle w:val="ParagraphFPI"/>
              <w:tabs>
                <w:tab w:val="left" w:pos="240"/>
              </w:tabs>
              <w:jc w:val="center"/>
              <w:rPr>
                <w:sz w:val="22"/>
                <w:lang w:val="hr-HR" w:eastAsia="ja-JP"/>
              </w:rPr>
            </w:pPr>
            <w:r>
              <w:rPr>
                <w:sz w:val="22"/>
                <w:lang w:val="hr-HR" w:eastAsia="ja-JP"/>
              </w:rPr>
              <w:t>rani rak dojke</w:t>
            </w:r>
          </w:p>
        </w:tc>
        <w:tc>
          <w:tcPr>
            <w:tcW w:w="327" w:type="pct"/>
            <w:tcBorders>
              <w:top w:val="single" w:sz="4" w:space="0" w:color="auto"/>
              <w:left w:val="single" w:sz="4" w:space="0" w:color="auto"/>
              <w:bottom w:val="single" w:sz="4" w:space="0" w:color="auto"/>
              <w:right w:val="single" w:sz="4" w:space="0" w:color="auto"/>
            </w:tcBorders>
            <w:vAlign w:val="center"/>
            <w:hideMark/>
          </w:tcPr>
          <w:p w14:paraId="03B16C61" w14:textId="77777777" w:rsidR="008B20E9" w:rsidRDefault="008B20E9" w:rsidP="00641EEB">
            <w:pPr>
              <w:pStyle w:val="ParagraphFPI"/>
              <w:tabs>
                <w:tab w:val="left" w:pos="240"/>
              </w:tabs>
              <w:jc w:val="center"/>
              <w:rPr>
                <w:sz w:val="22"/>
                <w:lang w:val="hr-HR" w:eastAsia="ja-JP"/>
              </w:rPr>
            </w:pPr>
            <w:r>
              <w:rPr>
                <w:sz w:val="22"/>
                <w:lang w:val="hr-HR" w:eastAsia="ja-JP"/>
              </w:rPr>
              <w:t>390</w:t>
            </w:r>
          </w:p>
        </w:tc>
        <w:tc>
          <w:tcPr>
            <w:tcW w:w="793" w:type="pct"/>
            <w:tcBorders>
              <w:top w:val="single" w:sz="4" w:space="0" w:color="auto"/>
              <w:left w:val="single" w:sz="4" w:space="0" w:color="auto"/>
              <w:bottom w:val="single" w:sz="4" w:space="0" w:color="auto"/>
              <w:right w:val="single" w:sz="4" w:space="0" w:color="auto"/>
            </w:tcBorders>
            <w:vAlign w:val="center"/>
            <w:hideMark/>
          </w:tcPr>
          <w:p w14:paraId="489784C7" w14:textId="77777777" w:rsidR="008B20E9" w:rsidRDefault="008B20E9" w:rsidP="00641EEB">
            <w:pPr>
              <w:pStyle w:val="ParagraphFPI"/>
              <w:tabs>
                <w:tab w:val="left" w:pos="240"/>
              </w:tabs>
              <w:jc w:val="center"/>
              <w:rPr>
                <w:sz w:val="22"/>
                <w:lang w:val="hr-HR" w:eastAsia="ja-JP"/>
              </w:rPr>
            </w:pPr>
            <w:r>
              <w:rPr>
                <w:sz w:val="22"/>
                <w:lang w:val="hr-HR" w:eastAsia="ja-JP"/>
              </w:rPr>
              <w:t xml:space="preserve">72,6 </w:t>
            </w:r>
            <w:r>
              <w:rPr>
                <w:sz w:val="22"/>
                <w:lang w:val="hr-HR" w:eastAsia="ja-JP"/>
              </w:rPr>
              <w:br/>
              <w:t>(46 - 109)</w:t>
            </w:r>
          </w:p>
        </w:tc>
        <w:tc>
          <w:tcPr>
            <w:tcW w:w="744" w:type="pct"/>
            <w:tcBorders>
              <w:top w:val="single" w:sz="4" w:space="0" w:color="auto"/>
              <w:left w:val="single" w:sz="4" w:space="0" w:color="auto"/>
              <w:bottom w:val="single" w:sz="4" w:space="0" w:color="auto"/>
              <w:right w:val="single" w:sz="4" w:space="0" w:color="auto"/>
            </w:tcBorders>
            <w:vAlign w:val="center"/>
            <w:hideMark/>
          </w:tcPr>
          <w:p w14:paraId="77CDA154" w14:textId="77777777" w:rsidR="008B20E9" w:rsidRDefault="008B20E9" w:rsidP="00641EEB">
            <w:pPr>
              <w:pStyle w:val="ParagraphFPI"/>
              <w:tabs>
                <w:tab w:val="left" w:pos="240"/>
              </w:tabs>
              <w:jc w:val="center"/>
              <w:rPr>
                <w:sz w:val="22"/>
                <w:lang w:val="hr-HR" w:eastAsia="ja-JP"/>
              </w:rPr>
            </w:pPr>
            <w:r>
              <w:rPr>
                <w:sz w:val="22"/>
                <w:lang w:val="hr-HR" w:eastAsia="ja-JP"/>
              </w:rPr>
              <w:t xml:space="preserve">115 </w:t>
            </w:r>
            <w:r>
              <w:rPr>
                <w:sz w:val="22"/>
                <w:lang w:val="hr-HR" w:eastAsia="ja-JP"/>
              </w:rPr>
              <w:br/>
              <w:t>(82.6 - 160)</w:t>
            </w:r>
          </w:p>
        </w:tc>
        <w:tc>
          <w:tcPr>
            <w:tcW w:w="859" w:type="pct"/>
            <w:tcBorders>
              <w:top w:val="single" w:sz="4" w:space="0" w:color="auto"/>
              <w:left w:val="single" w:sz="4" w:space="0" w:color="auto"/>
              <w:bottom w:val="single" w:sz="4" w:space="0" w:color="auto"/>
              <w:right w:val="single" w:sz="4" w:space="0" w:color="auto"/>
            </w:tcBorders>
            <w:vAlign w:val="center"/>
            <w:hideMark/>
          </w:tcPr>
          <w:p w14:paraId="26B307F5" w14:textId="77777777" w:rsidR="008B20E9" w:rsidRDefault="008B20E9" w:rsidP="00641EEB">
            <w:pPr>
              <w:pStyle w:val="ParagraphFPI"/>
              <w:tabs>
                <w:tab w:val="left" w:pos="240"/>
              </w:tabs>
              <w:jc w:val="center"/>
              <w:rPr>
                <w:sz w:val="22"/>
                <w:lang w:val="hr-HR" w:eastAsia="ja-JP"/>
              </w:rPr>
            </w:pPr>
            <w:r>
              <w:rPr>
                <w:sz w:val="22"/>
                <w:lang w:val="hr-HR" w:eastAsia="ja-JP"/>
              </w:rPr>
              <w:t xml:space="preserve">1893 </w:t>
            </w:r>
            <w:r>
              <w:rPr>
                <w:sz w:val="22"/>
                <w:lang w:val="hr-HR" w:eastAsia="ja-JP"/>
              </w:rPr>
              <w:br/>
              <w:t>(1309 -2734)</w:t>
            </w:r>
          </w:p>
        </w:tc>
        <w:tc>
          <w:tcPr>
            <w:tcW w:w="772" w:type="pct"/>
            <w:tcBorders>
              <w:top w:val="single" w:sz="4" w:space="0" w:color="auto"/>
              <w:left w:val="single" w:sz="4" w:space="0" w:color="auto"/>
              <w:bottom w:val="single" w:sz="4" w:space="0" w:color="auto"/>
              <w:right w:val="single" w:sz="4" w:space="0" w:color="auto"/>
            </w:tcBorders>
            <w:vAlign w:val="center"/>
            <w:hideMark/>
          </w:tcPr>
          <w:p w14:paraId="3D44FFF8" w14:textId="77777777" w:rsidR="008B20E9" w:rsidRDefault="008B20E9" w:rsidP="00641EEB">
            <w:pPr>
              <w:pStyle w:val="ParagraphFPI"/>
              <w:tabs>
                <w:tab w:val="left" w:pos="240"/>
              </w:tabs>
              <w:jc w:val="center"/>
              <w:rPr>
                <w:sz w:val="22"/>
                <w:lang w:val="hr-HR" w:eastAsia="ja-JP"/>
              </w:rPr>
            </w:pPr>
            <w:r>
              <w:rPr>
                <w:sz w:val="22"/>
                <w:lang w:val="hr-HR" w:eastAsia="ja-JP"/>
              </w:rPr>
              <w:t>14</w:t>
            </w:r>
          </w:p>
        </w:tc>
      </w:tr>
    </w:tbl>
    <w:p w14:paraId="6FEE822F" w14:textId="77777777" w:rsidR="008B20E9" w:rsidRPr="009D4A69" w:rsidRDefault="008B20E9" w:rsidP="00641EEB">
      <w:pPr>
        <w:pStyle w:val="TextTi12"/>
        <w:spacing w:after="0" w:line="240" w:lineRule="auto"/>
        <w:rPr>
          <w:sz w:val="20"/>
          <w:lang w:val="hr-HR"/>
        </w:rPr>
      </w:pPr>
      <w:r w:rsidRPr="009D4A69">
        <w:rPr>
          <w:sz w:val="20"/>
          <w:lang w:val="hr-HR"/>
        </w:rPr>
        <w:t>*C</w:t>
      </w:r>
      <w:r w:rsidRPr="009D4A69">
        <w:rPr>
          <w:sz w:val="20"/>
          <w:vertAlign w:val="subscript"/>
          <w:lang w:val="hr-HR"/>
        </w:rPr>
        <w:t xml:space="preserve">min,ss </w:t>
      </w:r>
      <w:r w:rsidRPr="009D4A69">
        <w:rPr>
          <w:sz w:val="20"/>
          <w:lang w:val="hr-HR"/>
        </w:rPr>
        <w:t>– C</w:t>
      </w:r>
      <w:r w:rsidRPr="009D4A69">
        <w:rPr>
          <w:sz w:val="20"/>
          <w:vertAlign w:val="subscript"/>
          <w:lang w:val="hr-HR"/>
        </w:rPr>
        <w:t>min</w:t>
      </w:r>
      <w:r w:rsidRPr="009D4A69">
        <w:rPr>
          <w:sz w:val="20"/>
          <w:lang w:val="hr-HR"/>
        </w:rPr>
        <w:t xml:space="preserve"> u stanju dinamičke ravnoteže </w:t>
      </w:r>
    </w:p>
    <w:p w14:paraId="2C05401C" w14:textId="77777777" w:rsidR="008B20E9" w:rsidRPr="009D4A69" w:rsidRDefault="008B20E9" w:rsidP="00641EEB">
      <w:pPr>
        <w:pStyle w:val="TextTi12"/>
        <w:spacing w:after="0" w:line="240" w:lineRule="auto"/>
        <w:rPr>
          <w:sz w:val="20"/>
          <w:lang w:val="hr-HR"/>
        </w:rPr>
      </w:pPr>
      <w:r w:rsidRPr="009D4A69">
        <w:rPr>
          <w:sz w:val="20"/>
          <w:lang w:val="hr-HR"/>
        </w:rPr>
        <w:t>**C</w:t>
      </w:r>
      <w:r w:rsidRPr="009D4A69">
        <w:rPr>
          <w:sz w:val="20"/>
          <w:vertAlign w:val="subscript"/>
          <w:lang w:val="hr-HR"/>
        </w:rPr>
        <w:t xml:space="preserve">max,ss </w:t>
      </w:r>
      <w:r w:rsidRPr="009D4A69">
        <w:rPr>
          <w:sz w:val="20"/>
          <w:lang w:val="hr-HR"/>
        </w:rPr>
        <w:t>= C</w:t>
      </w:r>
      <w:r w:rsidRPr="009D4A69">
        <w:rPr>
          <w:sz w:val="20"/>
          <w:vertAlign w:val="subscript"/>
          <w:lang w:val="hr-HR"/>
        </w:rPr>
        <w:t>max</w:t>
      </w:r>
      <w:r w:rsidRPr="009D4A69">
        <w:rPr>
          <w:sz w:val="20"/>
          <w:lang w:val="hr-HR"/>
        </w:rPr>
        <w:t xml:space="preserve"> u stanju dinamičke ravnoteže</w:t>
      </w:r>
    </w:p>
    <w:p w14:paraId="60792F89" w14:textId="77777777" w:rsidR="008B20E9" w:rsidRPr="009D4A69" w:rsidRDefault="008B20E9" w:rsidP="00641EEB">
      <w:pPr>
        <w:pStyle w:val="TextTi12"/>
        <w:spacing w:after="0" w:line="240" w:lineRule="auto"/>
        <w:rPr>
          <w:rFonts w:cs="Arial"/>
          <w:iCs/>
          <w:sz w:val="20"/>
          <w:lang w:val="pt-BR"/>
        </w:rPr>
      </w:pPr>
      <w:r w:rsidRPr="009D4A69">
        <w:rPr>
          <w:sz w:val="20"/>
          <w:lang w:val="pt-BR"/>
        </w:rPr>
        <w:t>***</w:t>
      </w:r>
      <w:r w:rsidRPr="009D4A69">
        <w:rPr>
          <w:rFonts w:cs="Arial"/>
          <w:iCs/>
          <w:sz w:val="20"/>
          <w:lang w:val="pt-BR"/>
        </w:rPr>
        <w:t xml:space="preserve"> vrijeme do postizanja 90% stanja dinamičke ravnoteže</w:t>
      </w:r>
      <w:r w:rsidRPr="009D4A69">
        <w:rPr>
          <w:sz w:val="20"/>
          <w:lang w:val="pt-BR"/>
        </w:rPr>
        <w:t xml:space="preserve"> </w:t>
      </w:r>
    </w:p>
    <w:p w14:paraId="242191E8" w14:textId="77777777" w:rsidR="008B20E9" w:rsidRDefault="008B20E9" w:rsidP="00641EEB">
      <w:pPr>
        <w:pStyle w:val="TextTi12"/>
        <w:spacing w:after="0" w:line="240" w:lineRule="auto"/>
        <w:rPr>
          <w:i/>
          <w:color w:val="000000"/>
          <w:u w:val="single"/>
          <w:lang w:val="hr-HR"/>
        </w:rPr>
      </w:pPr>
    </w:p>
    <w:p w14:paraId="0BD52F72" w14:textId="241BFE88" w:rsidR="00580C31" w:rsidRDefault="008B20E9" w:rsidP="00BA76B8">
      <w:pPr>
        <w:jc w:val="both"/>
        <w:rPr>
          <w:sz w:val="22"/>
          <w:szCs w:val="22"/>
          <w:lang w:val="hr-HR"/>
        </w:rPr>
      </w:pPr>
      <w:r>
        <w:rPr>
          <w:sz w:val="22"/>
          <w:szCs w:val="22"/>
          <w:lang w:val="hr-HR"/>
        </w:rPr>
        <w:t xml:space="preserve">Tabela 16 Vrijednosti farmakokinetičkih parametara u stanju dinamičke ravnoteže predviđene za populaciju uz režime doziranja intravenske formulacije lijeka Herceptin kod pacijenata sa metastatskim rakom dojke, ranim rakom dojke i uznapredovalim rakom želuca  </w:t>
      </w:r>
    </w:p>
    <w:p w14:paraId="6120029B" w14:textId="77777777" w:rsidR="008B20E9" w:rsidRDefault="008B20E9" w:rsidP="00641EEB">
      <w:pPr>
        <w:jc w:val="both"/>
        <w:rPr>
          <w:sz w:val="22"/>
          <w:szCs w:val="22"/>
          <w:lang w:val="hr-HR"/>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464"/>
        <w:gridCol w:w="760"/>
        <w:gridCol w:w="1768"/>
        <w:gridCol w:w="3388"/>
      </w:tblGrid>
      <w:tr w:rsidR="008B20E9" w14:paraId="281A32BC" w14:textId="77777777" w:rsidTr="00BA76B8">
        <w:trPr>
          <w:trHeight w:val="117"/>
        </w:trPr>
        <w:tc>
          <w:tcPr>
            <w:tcW w:w="931" w:type="pct"/>
            <w:tcBorders>
              <w:top w:val="single" w:sz="4" w:space="0" w:color="auto"/>
              <w:left w:val="single" w:sz="4" w:space="0" w:color="auto"/>
              <w:bottom w:val="single" w:sz="4" w:space="0" w:color="auto"/>
              <w:right w:val="single" w:sz="4" w:space="0" w:color="auto"/>
            </w:tcBorders>
            <w:vAlign w:val="center"/>
            <w:hideMark/>
          </w:tcPr>
          <w:p w14:paraId="2410E1EE" w14:textId="77777777" w:rsidR="008B20E9" w:rsidRDefault="008B20E9" w:rsidP="00641EEB">
            <w:pPr>
              <w:pStyle w:val="ParagraphFPI"/>
              <w:keepNext/>
              <w:tabs>
                <w:tab w:val="left" w:pos="240"/>
              </w:tabs>
              <w:jc w:val="center"/>
              <w:rPr>
                <w:sz w:val="22"/>
                <w:lang w:val="hr-HR" w:eastAsia="ja-JP"/>
              </w:rPr>
            </w:pPr>
            <w:r>
              <w:rPr>
                <w:sz w:val="22"/>
                <w:szCs w:val="22"/>
                <w:lang w:val="hr-HR" w:eastAsia="ja-JP"/>
              </w:rPr>
              <w:lastRenderedPageBreak/>
              <w:t>Režim</w:t>
            </w:r>
          </w:p>
        </w:tc>
        <w:tc>
          <w:tcPr>
            <w:tcW w:w="807" w:type="pct"/>
            <w:tcBorders>
              <w:top w:val="single" w:sz="4" w:space="0" w:color="auto"/>
              <w:left w:val="single" w:sz="4" w:space="0" w:color="auto"/>
              <w:bottom w:val="single" w:sz="4" w:space="0" w:color="auto"/>
              <w:right w:val="single" w:sz="4" w:space="0" w:color="auto"/>
            </w:tcBorders>
            <w:vAlign w:val="center"/>
            <w:hideMark/>
          </w:tcPr>
          <w:p w14:paraId="36B83756" w14:textId="77777777" w:rsidR="008B20E9" w:rsidRDefault="008B20E9" w:rsidP="00641EEB">
            <w:pPr>
              <w:pStyle w:val="ParagraphFPI"/>
              <w:keepNext/>
              <w:tabs>
                <w:tab w:val="left" w:pos="240"/>
              </w:tabs>
              <w:jc w:val="center"/>
              <w:rPr>
                <w:sz w:val="22"/>
                <w:lang w:val="hr-HR" w:eastAsia="ja-JP"/>
              </w:rPr>
            </w:pPr>
            <w:r>
              <w:rPr>
                <w:sz w:val="22"/>
                <w:lang w:val="hr-HR" w:eastAsia="ja-JP"/>
              </w:rPr>
              <w:t>Vrsta primarnog tumora</w:t>
            </w:r>
          </w:p>
        </w:tc>
        <w:tc>
          <w:tcPr>
            <w:tcW w:w="419" w:type="pct"/>
            <w:tcBorders>
              <w:top w:val="single" w:sz="4" w:space="0" w:color="auto"/>
              <w:left w:val="single" w:sz="4" w:space="0" w:color="auto"/>
              <w:bottom w:val="single" w:sz="4" w:space="0" w:color="auto"/>
              <w:right w:val="single" w:sz="4" w:space="0" w:color="auto"/>
            </w:tcBorders>
            <w:vAlign w:val="center"/>
            <w:hideMark/>
          </w:tcPr>
          <w:p w14:paraId="542FA9D8" w14:textId="77777777" w:rsidR="008B20E9" w:rsidRDefault="008B20E9" w:rsidP="00641EEB">
            <w:pPr>
              <w:pStyle w:val="ParagraphFPI"/>
              <w:keepNext/>
              <w:tabs>
                <w:tab w:val="left" w:pos="240"/>
              </w:tabs>
              <w:jc w:val="center"/>
              <w:rPr>
                <w:sz w:val="22"/>
                <w:lang w:val="hr-HR" w:eastAsia="ja-JP"/>
              </w:rPr>
            </w:pPr>
            <w:r>
              <w:rPr>
                <w:sz w:val="22"/>
                <w:szCs w:val="22"/>
                <w:lang w:val="hr-HR" w:eastAsia="ja-JP"/>
              </w:rPr>
              <w:t>N</w:t>
            </w:r>
          </w:p>
        </w:tc>
        <w:tc>
          <w:tcPr>
            <w:tcW w:w="975" w:type="pct"/>
            <w:tcBorders>
              <w:top w:val="single" w:sz="4" w:space="0" w:color="auto"/>
              <w:left w:val="single" w:sz="4" w:space="0" w:color="auto"/>
              <w:bottom w:val="single" w:sz="4" w:space="0" w:color="auto"/>
              <w:right w:val="single" w:sz="4" w:space="0" w:color="auto"/>
            </w:tcBorders>
            <w:vAlign w:val="center"/>
            <w:hideMark/>
          </w:tcPr>
          <w:p w14:paraId="4393A7DF" w14:textId="77777777" w:rsidR="008B20E9" w:rsidRDefault="008B20E9" w:rsidP="00641EEB">
            <w:pPr>
              <w:pStyle w:val="ParagraphFPI"/>
              <w:keepNext/>
              <w:tabs>
                <w:tab w:val="left" w:pos="240"/>
              </w:tabs>
              <w:jc w:val="center"/>
              <w:rPr>
                <w:sz w:val="22"/>
                <w:lang w:val="hr-HR" w:eastAsia="ja-JP"/>
              </w:rPr>
            </w:pPr>
            <w:r>
              <w:rPr>
                <w:sz w:val="22"/>
                <w:szCs w:val="22"/>
                <w:lang w:val="hr-HR" w:eastAsia="ja-JP"/>
              </w:rPr>
              <w:t>Raspon ukupnog klirensa od C</w:t>
            </w:r>
            <w:r>
              <w:rPr>
                <w:sz w:val="22"/>
                <w:szCs w:val="22"/>
                <w:vertAlign w:val="subscript"/>
                <w:lang w:val="hr-HR" w:eastAsia="ja-JP"/>
              </w:rPr>
              <w:t xml:space="preserve">max,ss </w:t>
            </w:r>
            <w:r>
              <w:rPr>
                <w:sz w:val="22"/>
                <w:szCs w:val="22"/>
                <w:lang w:val="hr-HR" w:eastAsia="ja-JP"/>
              </w:rPr>
              <w:t>do C</w:t>
            </w:r>
            <w:r>
              <w:rPr>
                <w:sz w:val="22"/>
                <w:szCs w:val="22"/>
                <w:vertAlign w:val="subscript"/>
                <w:lang w:val="hr-HR" w:eastAsia="ja-JP"/>
              </w:rPr>
              <w:t>min,ss</w:t>
            </w:r>
            <w:r>
              <w:rPr>
                <w:sz w:val="22"/>
                <w:szCs w:val="22"/>
                <w:lang w:val="hr-HR" w:eastAsia="ja-JP"/>
              </w:rPr>
              <w:br/>
              <w:t>(l/dan)</w:t>
            </w:r>
          </w:p>
        </w:tc>
        <w:tc>
          <w:tcPr>
            <w:tcW w:w="1868" w:type="pct"/>
            <w:tcBorders>
              <w:top w:val="single" w:sz="4" w:space="0" w:color="auto"/>
              <w:left w:val="single" w:sz="4" w:space="0" w:color="auto"/>
              <w:bottom w:val="single" w:sz="4" w:space="0" w:color="auto"/>
              <w:right w:val="single" w:sz="4" w:space="0" w:color="auto"/>
            </w:tcBorders>
            <w:vAlign w:val="center"/>
            <w:hideMark/>
          </w:tcPr>
          <w:p w14:paraId="129BFF24" w14:textId="77777777" w:rsidR="008B20E9" w:rsidRDefault="008B20E9" w:rsidP="00641EEB">
            <w:pPr>
              <w:pStyle w:val="TableCell10Center"/>
              <w:spacing w:before="0" w:after="0" w:line="240" w:lineRule="auto"/>
              <w:rPr>
                <w:rFonts w:ascii="Times New Roman" w:hAnsi="Times New Roman"/>
                <w:sz w:val="22"/>
                <w:szCs w:val="22"/>
                <w:lang w:val="hr-HR" w:eastAsia="zh-TW"/>
              </w:rPr>
            </w:pPr>
            <w:r>
              <w:rPr>
                <w:rFonts w:ascii="Times New Roman" w:hAnsi="Times New Roman"/>
                <w:sz w:val="22"/>
                <w:szCs w:val="22"/>
                <w:lang w:val="hr-HR" w:eastAsia="zh-TW"/>
              </w:rPr>
              <w:t>Raspon t</w:t>
            </w:r>
            <w:r>
              <w:rPr>
                <w:rFonts w:ascii="Times New Roman" w:hAnsi="Times New Roman"/>
                <w:sz w:val="22"/>
                <w:szCs w:val="22"/>
                <w:vertAlign w:val="subscript"/>
                <w:lang w:val="hr-HR" w:eastAsia="zh-TW"/>
              </w:rPr>
              <w:t xml:space="preserve">1/2 </w:t>
            </w:r>
            <w:r>
              <w:rPr>
                <w:rFonts w:ascii="Times New Roman" w:hAnsi="Times New Roman"/>
                <w:sz w:val="22"/>
                <w:szCs w:val="22"/>
                <w:lang w:val="hr-HR" w:eastAsia="zh-TW"/>
              </w:rPr>
              <w:t>od C</w:t>
            </w:r>
            <w:r>
              <w:rPr>
                <w:rFonts w:ascii="Times New Roman" w:hAnsi="Times New Roman"/>
                <w:sz w:val="22"/>
                <w:szCs w:val="22"/>
                <w:vertAlign w:val="subscript"/>
                <w:lang w:val="hr-HR" w:eastAsia="zh-TW"/>
              </w:rPr>
              <w:t xml:space="preserve">max,ss </w:t>
            </w:r>
            <w:r>
              <w:rPr>
                <w:rFonts w:ascii="Times New Roman" w:hAnsi="Times New Roman"/>
                <w:sz w:val="22"/>
                <w:szCs w:val="22"/>
                <w:lang w:val="hr-HR" w:eastAsia="ja-JP"/>
              </w:rPr>
              <w:t>do C</w:t>
            </w:r>
            <w:r>
              <w:rPr>
                <w:rFonts w:ascii="Times New Roman" w:hAnsi="Times New Roman"/>
                <w:sz w:val="22"/>
                <w:szCs w:val="22"/>
                <w:vertAlign w:val="subscript"/>
                <w:lang w:val="hr-HR" w:eastAsia="ja-JP"/>
              </w:rPr>
              <w:t>min,ss</w:t>
            </w:r>
          </w:p>
          <w:p w14:paraId="0597B57D" w14:textId="77777777" w:rsidR="008B20E9" w:rsidRDefault="008B20E9" w:rsidP="00641EEB">
            <w:pPr>
              <w:pStyle w:val="ParagraphFPI"/>
              <w:keepNext/>
              <w:tabs>
                <w:tab w:val="left" w:pos="240"/>
              </w:tabs>
              <w:jc w:val="center"/>
              <w:rPr>
                <w:sz w:val="22"/>
                <w:lang w:val="hr-HR" w:eastAsia="ja-JP"/>
              </w:rPr>
            </w:pPr>
            <w:r>
              <w:rPr>
                <w:sz w:val="22"/>
                <w:szCs w:val="22"/>
                <w:lang w:val="hr-HR" w:eastAsia="zh-TW"/>
              </w:rPr>
              <w:t>(dani)</w:t>
            </w:r>
            <w:r>
              <w:rPr>
                <w:b/>
                <w:sz w:val="22"/>
                <w:szCs w:val="22"/>
                <w:lang w:val="hr-HR" w:eastAsia="zh-TW"/>
              </w:rPr>
              <w:t xml:space="preserve"> </w:t>
            </w:r>
          </w:p>
        </w:tc>
      </w:tr>
      <w:tr w:rsidR="008B20E9" w14:paraId="674DAB48" w14:textId="77777777" w:rsidTr="00BA76B8">
        <w:trPr>
          <w:trHeight w:val="430"/>
        </w:trPr>
        <w:tc>
          <w:tcPr>
            <w:tcW w:w="931" w:type="pct"/>
            <w:vMerge w:val="restart"/>
            <w:tcBorders>
              <w:top w:val="single" w:sz="4" w:space="0" w:color="auto"/>
              <w:left w:val="single" w:sz="4" w:space="0" w:color="auto"/>
              <w:bottom w:val="single" w:sz="4" w:space="0" w:color="auto"/>
              <w:right w:val="single" w:sz="4" w:space="0" w:color="auto"/>
            </w:tcBorders>
            <w:vAlign w:val="center"/>
            <w:hideMark/>
          </w:tcPr>
          <w:p w14:paraId="1019243A" w14:textId="77777777" w:rsidR="008B20E9" w:rsidRDefault="008B20E9" w:rsidP="00641EEB">
            <w:pPr>
              <w:pStyle w:val="ParagraphFPI"/>
              <w:keepNext/>
              <w:tabs>
                <w:tab w:val="left" w:pos="240"/>
              </w:tabs>
              <w:jc w:val="center"/>
              <w:rPr>
                <w:sz w:val="22"/>
                <w:lang w:val="hr-HR" w:eastAsia="ja-JP"/>
              </w:rPr>
            </w:pPr>
            <w:r>
              <w:rPr>
                <w:sz w:val="22"/>
                <w:lang w:val="hr-HR" w:eastAsia="ja-JP"/>
              </w:rPr>
              <w:t>8 mg/kg +</w:t>
            </w:r>
            <w:r>
              <w:rPr>
                <w:sz w:val="22"/>
                <w:lang w:val="hr-HR" w:eastAsia="ja-JP"/>
              </w:rPr>
              <w:br/>
              <w:t>6 mg/kg jedanput svake 3 nedjelje</w:t>
            </w:r>
          </w:p>
        </w:tc>
        <w:tc>
          <w:tcPr>
            <w:tcW w:w="807" w:type="pct"/>
            <w:tcBorders>
              <w:top w:val="single" w:sz="4" w:space="0" w:color="auto"/>
              <w:left w:val="single" w:sz="4" w:space="0" w:color="auto"/>
              <w:bottom w:val="single" w:sz="4" w:space="0" w:color="auto"/>
              <w:right w:val="single" w:sz="4" w:space="0" w:color="auto"/>
            </w:tcBorders>
            <w:vAlign w:val="center"/>
            <w:hideMark/>
          </w:tcPr>
          <w:p w14:paraId="2F8F74F3" w14:textId="77777777" w:rsidR="008B20E9" w:rsidRDefault="008B20E9" w:rsidP="00641EEB">
            <w:pPr>
              <w:pStyle w:val="ParagraphFPI"/>
              <w:keepNext/>
              <w:tabs>
                <w:tab w:val="left" w:pos="240"/>
              </w:tabs>
              <w:jc w:val="center"/>
              <w:rPr>
                <w:sz w:val="22"/>
                <w:lang w:val="hr-HR" w:eastAsia="ja-JP"/>
              </w:rPr>
            </w:pPr>
            <w:r>
              <w:rPr>
                <w:sz w:val="22"/>
                <w:lang w:val="hr-HR" w:eastAsia="ja-JP"/>
              </w:rPr>
              <w:t>metastatski rak dojke</w:t>
            </w:r>
          </w:p>
        </w:tc>
        <w:tc>
          <w:tcPr>
            <w:tcW w:w="419" w:type="pct"/>
            <w:tcBorders>
              <w:top w:val="single" w:sz="4" w:space="0" w:color="auto"/>
              <w:left w:val="single" w:sz="4" w:space="0" w:color="auto"/>
              <w:bottom w:val="single" w:sz="4" w:space="0" w:color="auto"/>
              <w:right w:val="single" w:sz="4" w:space="0" w:color="auto"/>
            </w:tcBorders>
            <w:vAlign w:val="center"/>
            <w:hideMark/>
          </w:tcPr>
          <w:p w14:paraId="2D866ABE" w14:textId="77777777" w:rsidR="008B20E9" w:rsidRDefault="008B20E9" w:rsidP="00641EEB">
            <w:pPr>
              <w:pStyle w:val="ParagraphFPI"/>
              <w:keepNext/>
              <w:tabs>
                <w:tab w:val="left" w:pos="240"/>
              </w:tabs>
              <w:jc w:val="center"/>
              <w:rPr>
                <w:sz w:val="22"/>
                <w:lang w:val="hr-HR" w:eastAsia="ja-JP"/>
              </w:rPr>
            </w:pPr>
            <w:r>
              <w:rPr>
                <w:sz w:val="22"/>
                <w:szCs w:val="22"/>
                <w:lang w:val="hr-HR" w:eastAsia="ja-JP"/>
              </w:rPr>
              <w:t>805</w:t>
            </w:r>
          </w:p>
        </w:tc>
        <w:tc>
          <w:tcPr>
            <w:tcW w:w="975" w:type="pct"/>
            <w:tcBorders>
              <w:top w:val="single" w:sz="4" w:space="0" w:color="auto"/>
              <w:left w:val="single" w:sz="4" w:space="0" w:color="auto"/>
              <w:bottom w:val="single" w:sz="4" w:space="0" w:color="auto"/>
              <w:right w:val="single" w:sz="4" w:space="0" w:color="auto"/>
            </w:tcBorders>
            <w:vAlign w:val="center"/>
            <w:hideMark/>
          </w:tcPr>
          <w:p w14:paraId="18B9B40C" w14:textId="77777777" w:rsidR="008B20E9" w:rsidRDefault="008B20E9" w:rsidP="00641EEB">
            <w:pPr>
              <w:pStyle w:val="ParagraphFPI"/>
              <w:keepNext/>
              <w:tabs>
                <w:tab w:val="left" w:pos="240"/>
              </w:tabs>
              <w:jc w:val="center"/>
              <w:rPr>
                <w:sz w:val="22"/>
                <w:lang w:val="hr-HR" w:eastAsia="ja-JP"/>
              </w:rPr>
            </w:pPr>
            <w:r>
              <w:rPr>
                <w:sz w:val="22"/>
                <w:szCs w:val="22"/>
                <w:lang w:val="hr-HR" w:eastAsia="ja-JP"/>
              </w:rPr>
              <w:t xml:space="preserve">0,183 – 0,302 </w:t>
            </w:r>
          </w:p>
        </w:tc>
        <w:tc>
          <w:tcPr>
            <w:tcW w:w="1868" w:type="pct"/>
            <w:tcBorders>
              <w:top w:val="single" w:sz="4" w:space="0" w:color="auto"/>
              <w:left w:val="single" w:sz="4" w:space="0" w:color="auto"/>
              <w:bottom w:val="single" w:sz="4" w:space="0" w:color="auto"/>
              <w:right w:val="single" w:sz="4" w:space="0" w:color="auto"/>
            </w:tcBorders>
            <w:vAlign w:val="center"/>
            <w:hideMark/>
          </w:tcPr>
          <w:p w14:paraId="273CEC9B" w14:textId="77777777" w:rsidR="008B20E9" w:rsidRDefault="008B20E9" w:rsidP="00641EEB">
            <w:pPr>
              <w:pStyle w:val="ParagraphFPI"/>
              <w:keepNext/>
              <w:tabs>
                <w:tab w:val="left" w:pos="240"/>
              </w:tabs>
              <w:jc w:val="center"/>
              <w:rPr>
                <w:sz w:val="22"/>
                <w:lang w:val="hr-HR" w:eastAsia="ja-JP"/>
              </w:rPr>
            </w:pPr>
            <w:r>
              <w:rPr>
                <w:sz w:val="22"/>
                <w:szCs w:val="22"/>
                <w:lang w:val="hr-HR" w:eastAsia="ja-JP"/>
              </w:rPr>
              <w:t>15,1 – 23,3</w:t>
            </w:r>
          </w:p>
        </w:tc>
      </w:tr>
      <w:tr w:rsidR="008B20E9" w14:paraId="5B67EFF6" w14:textId="77777777" w:rsidTr="00BA76B8">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0D31B" w14:textId="77777777" w:rsidR="008B20E9" w:rsidRDefault="008B20E9" w:rsidP="00641EEB">
            <w:pPr>
              <w:rPr>
                <w:sz w:val="22"/>
                <w:lang w:val="hr-HR" w:eastAsia="ja-JP"/>
              </w:rPr>
            </w:pPr>
          </w:p>
        </w:tc>
        <w:tc>
          <w:tcPr>
            <w:tcW w:w="807" w:type="pct"/>
            <w:tcBorders>
              <w:top w:val="single" w:sz="4" w:space="0" w:color="auto"/>
              <w:left w:val="single" w:sz="4" w:space="0" w:color="auto"/>
              <w:bottom w:val="single" w:sz="4" w:space="0" w:color="auto"/>
              <w:right w:val="single" w:sz="4" w:space="0" w:color="auto"/>
            </w:tcBorders>
            <w:vAlign w:val="center"/>
            <w:hideMark/>
          </w:tcPr>
          <w:p w14:paraId="7F9F8680" w14:textId="77777777" w:rsidR="008B20E9" w:rsidRDefault="008B20E9" w:rsidP="00641EEB">
            <w:pPr>
              <w:pStyle w:val="ParagraphFPI"/>
              <w:tabs>
                <w:tab w:val="left" w:pos="240"/>
              </w:tabs>
              <w:jc w:val="center"/>
              <w:rPr>
                <w:sz w:val="22"/>
                <w:lang w:val="hr-HR" w:eastAsia="ja-JP"/>
              </w:rPr>
            </w:pPr>
            <w:r>
              <w:rPr>
                <w:sz w:val="22"/>
                <w:lang w:val="hr-HR" w:eastAsia="ja-JP"/>
              </w:rPr>
              <w:t>rani rak dojke</w:t>
            </w:r>
          </w:p>
        </w:tc>
        <w:tc>
          <w:tcPr>
            <w:tcW w:w="419" w:type="pct"/>
            <w:tcBorders>
              <w:top w:val="single" w:sz="4" w:space="0" w:color="auto"/>
              <w:left w:val="single" w:sz="4" w:space="0" w:color="auto"/>
              <w:bottom w:val="single" w:sz="4" w:space="0" w:color="auto"/>
              <w:right w:val="single" w:sz="4" w:space="0" w:color="auto"/>
            </w:tcBorders>
            <w:vAlign w:val="center"/>
            <w:hideMark/>
          </w:tcPr>
          <w:p w14:paraId="25F7D895" w14:textId="77777777" w:rsidR="008B20E9" w:rsidRDefault="008B20E9" w:rsidP="00641EEB">
            <w:pPr>
              <w:pStyle w:val="ParagraphFPI"/>
              <w:tabs>
                <w:tab w:val="left" w:pos="240"/>
              </w:tabs>
              <w:jc w:val="center"/>
              <w:rPr>
                <w:sz w:val="22"/>
                <w:lang w:val="hr-HR" w:eastAsia="ja-JP"/>
              </w:rPr>
            </w:pPr>
            <w:r>
              <w:rPr>
                <w:sz w:val="22"/>
                <w:szCs w:val="22"/>
                <w:lang w:val="hr-HR" w:eastAsia="ja-JP"/>
              </w:rPr>
              <w:t>390</w:t>
            </w:r>
          </w:p>
        </w:tc>
        <w:tc>
          <w:tcPr>
            <w:tcW w:w="975" w:type="pct"/>
            <w:tcBorders>
              <w:top w:val="single" w:sz="4" w:space="0" w:color="auto"/>
              <w:left w:val="single" w:sz="4" w:space="0" w:color="auto"/>
              <w:bottom w:val="single" w:sz="4" w:space="0" w:color="auto"/>
              <w:right w:val="single" w:sz="4" w:space="0" w:color="auto"/>
            </w:tcBorders>
            <w:vAlign w:val="center"/>
            <w:hideMark/>
          </w:tcPr>
          <w:p w14:paraId="303C9E2D" w14:textId="77777777" w:rsidR="008B20E9" w:rsidRDefault="008B20E9" w:rsidP="00641EEB">
            <w:pPr>
              <w:pStyle w:val="ParagraphFPI"/>
              <w:tabs>
                <w:tab w:val="left" w:pos="240"/>
              </w:tabs>
              <w:jc w:val="center"/>
              <w:rPr>
                <w:sz w:val="22"/>
                <w:lang w:val="hr-HR" w:eastAsia="ja-JP"/>
              </w:rPr>
            </w:pPr>
            <w:r>
              <w:rPr>
                <w:sz w:val="22"/>
                <w:szCs w:val="22"/>
                <w:lang w:val="hr-HR" w:eastAsia="ja-JP"/>
              </w:rPr>
              <w:t>0,158 – 0,253</w:t>
            </w:r>
          </w:p>
        </w:tc>
        <w:tc>
          <w:tcPr>
            <w:tcW w:w="1868" w:type="pct"/>
            <w:tcBorders>
              <w:top w:val="single" w:sz="4" w:space="0" w:color="auto"/>
              <w:left w:val="single" w:sz="4" w:space="0" w:color="auto"/>
              <w:bottom w:val="single" w:sz="4" w:space="0" w:color="auto"/>
              <w:right w:val="single" w:sz="4" w:space="0" w:color="auto"/>
            </w:tcBorders>
            <w:vAlign w:val="center"/>
            <w:hideMark/>
          </w:tcPr>
          <w:p w14:paraId="208CFA38" w14:textId="77777777" w:rsidR="008B20E9" w:rsidRDefault="008B20E9" w:rsidP="00641EEB">
            <w:pPr>
              <w:pStyle w:val="ParagraphFPI"/>
              <w:tabs>
                <w:tab w:val="left" w:pos="240"/>
              </w:tabs>
              <w:jc w:val="center"/>
              <w:rPr>
                <w:sz w:val="22"/>
                <w:lang w:val="hr-HR" w:eastAsia="ja-JP"/>
              </w:rPr>
            </w:pPr>
            <w:r>
              <w:rPr>
                <w:sz w:val="22"/>
                <w:szCs w:val="22"/>
                <w:lang w:val="hr-HR" w:eastAsia="ja-JP"/>
              </w:rPr>
              <w:t>17,5 – 26,6</w:t>
            </w:r>
          </w:p>
        </w:tc>
      </w:tr>
      <w:tr w:rsidR="008B20E9" w14:paraId="45B5EA4B" w14:textId="77777777" w:rsidTr="00BA76B8">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6DA45B" w14:textId="77777777" w:rsidR="008B20E9" w:rsidRDefault="008B20E9" w:rsidP="00641EEB">
            <w:pPr>
              <w:rPr>
                <w:sz w:val="22"/>
                <w:lang w:val="hr-HR" w:eastAsia="ja-JP"/>
              </w:rPr>
            </w:pPr>
          </w:p>
        </w:tc>
        <w:tc>
          <w:tcPr>
            <w:tcW w:w="807" w:type="pct"/>
            <w:tcBorders>
              <w:top w:val="single" w:sz="4" w:space="0" w:color="auto"/>
              <w:left w:val="single" w:sz="4" w:space="0" w:color="auto"/>
              <w:bottom w:val="single" w:sz="4" w:space="0" w:color="auto"/>
              <w:right w:val="single" w:sz="4" w:space="0" w:color="auto"/>
            </w:tcBorders>
            <w:vAlign w:val="center"/>
            <w:hideMark/>
          </w:tcPr>
          <w:p w14:paraId="324717CB" w14:textId="77777777" w:rsidR="008B20E9" w:rsidRDefault="008B20E9" w:rsidP="00641EEB">
            <w:pPr>
              <w:pStyle w:val="ParagraphFPI"/>
              <w:tabs>
                <w:tab w:val="left" w:pos="240"/>
              </w:tabs>
              <w:jc w:val="center"/>
              <w:rPr>
                <w:sz w:val="22"/>
                <w:lang w:val="hr-HR" w:eastAsia="ja-JP"/>
              </w:rPr>
            </w:pPr>
            <w:r>
              <w:rPr>
                <w:sz w:val="22"/>
                <w:lang w:val="hr-HR" w:eastAsia="ja-JP"/>
              </w:rPr>
              <w:t>uznapredovali rak želuca</w:t>
            </w:r>
          </w:p>
        </w:tc>
        <w:tc>
          <w:tcPr>
            <w:tcW w:w="419" w:type="pct"/>
            <w:tcBorders>
              <w:top w:val="single" w:sz="4" w:space="0" w:color="auto"/>
              <w:left w:val="single" w:sz="4" w:space="0" w:color="auto"/>
              <w:bottom w:val="single" w:sz="4" w:space="0" w:color="auto"/>
              <w:right w:val="single" w:sz="4" w:space="0" w:color="auto"/>
            </w:tcBorders>
            <w:vAlign w:val="center"/>
            <w:hideMark/>
          </w:tcPr>
          <w:p w14:paraId="6C688D53" w14:textId="77777777" w:rsidR="008B20E9" w:rsidRDefault="008B20E9" w:rsidP="00641EEB">
            <w:pPr>
              <w:pStyle w:val="ParagraphFPI"/>
              <w:tabs>
                <w:tab w:val="left" w:pos="240"/>
              </w:tabs>
              <w:jc w:val="center"/>
              <w:rPr>
                <w:sz w:val="22"/>
                <w:lang w:val="hr-HR" w:eastAsia="ja-JP"/>
              </w:rPr>
            </w:pPr>
            <w:r>
              <w:rPr>
                <w:sz w:val="22"/>
                <w:szCs w:val="22"/>
                <w:lang w:val="hr-HR" w:eastAsia="ja-JP"/>
              </w:rPr>
              <w:t>274</w:t>
            </w:r>
          </w:p>
        </w:tc>
        <w:tc>
          <w:tcPr>
            <w:tcW w:w="975" w:type="pct"/>
            <w:tcBorders>
              <w:top w:val="single" w:sz="4" w:space="0" w:color="auto"/>
              <w:left w:val="single" w:sz="4" w:space="0" w:color="auto"/>
              <w:bottom w:val="single" w:sz="4" w:space="0" w:color="auto"/>
              <w:right w:val="single" w:sz="4" w:space="0" w:color="auto"/>
            </w:tcBorders>
            <w:vAlign w:val="center"/>
            <w:hideMark/>
          </w:tcPr>
          <w:p w14:paraId="0202AD68" w14:textId="77777777" w:rsidR="008B20E9" w:rsidRDefault="008B20E9" w:rsidP="00641EEB">
            <w:pPr>
              <w:pStyle w:val="ParagraphFPI"/>
              <w:tabs>
                <w:tab w:val="left" w:pos="240"/>
              </w:tabs>
              <w:jc w:val="center"/>
              <w:rPr>
                <w:sz w:val="22"/>
                <w:lang w:val="hr-HR" w:eastAsia="ja-JP"/>
              </w:rPr>
            </w:pPr>
            <w:r>
              <w:rPr>
                <w:sz w:val="22"/>
                <w:szCs w:val="22"/>
                <w:lang w:val="hr-HR" w:eastAsia="ja-JP"/>
              </w:rPr>
              <w:t>0,189 – 0,337</w:t>
            </w:r>
          </w:p>
        </w:tc>
        <w:tc>
          <w:tcPr>
            <w:tcW w:w="1868" w:type="pct"/>
            <w:tcBorders>
              <w:top w:val="single" w:sz="4" w:space="0" w:color="auto"/>
              <w:left w:val="single" w:sz="4" w:space="0" w:color="auto"/>
              <w:bottom w:val="single" w:sz="4" w:space="0" w:color="auto"/>
              <w:right w:val="single" w:sz="4" w:space="0" w:color="auto"/>
            </w:tcBorders>
            <w:vAlign w:val="center"/>
            <w:hideMark/>
          </w:tcPr>
          <w:p w14:paraId="3BC312D3" w14:textId="77777777" w:rsidR="008B20E9" w:rsidRDefault="008B20E9" w:rsidP="00641EEB">
            <w:pPr>
              <w:pStyle w:val="ParagraphFPI"/>
              <w:tabs>
                <w:tab w:val="left" w:pos="240"/>
              </w:tabs>
              <w:jc w:val="center"/>
              <w:rPr>
                <w:sz w:val="22"/>
                <w:lang w:val="hr-HR" w:eastAsia="ja-JP"/>
              </w:rPr>
            </w:pPr>
            <w:r>
              <w:rPr>
                <w:sz w:val="22"/>
                <w:szCs w:val="22"/>
                <w:lang w:val="hr-HR" w:eastAsia="ja-JP"/>
              </w:rPr>
              <w:t>12,6 – 20,6</w:t>
            </w:r>
          </w:p>
        </w:tc>
      </w:tr>
      <w:tr w:rsidR="008B20E9" w14:paraId="1AD5C125" w14:textId="77777777" w:rsidTr="00BA76B8">
        <w:trPr>
          <w:trHeight w:val="177"/>
        </w:trPr>
        <w:tc>
          <w:tcPr>
            <w:tcW w:w="931" w:type="pct"/>
            <w:vMerge w:val="restart"/>
            <w:tcBorders>
              <w:top w:val="single" w:sz="4" w:space="0" w:color="auto"/>
              <w:left w:val="single" w:sz="4" w:space="0" w:color="auto"/>
              <w:bottom w:val="single" w:sz="4" w:space="0" w:color="auto"/>
              <w:right w:val="single" w:sz="4" w:space="0" w:color="auto"/>
            </w:tcBorders>
            <w:vAlign w:val="center"/>
            <w:hideMark/>
          </w:tcPr>
          <w:p w14:paraId="6EEA0E38" w14:textId="77777777" w:rsidR="008B20E9" w:rsidRDefault="008B20E9" w:rsidP="00641EEB">
            <w:pPr>
              <w:pStyle w:val="ParagraphFPI"/>
              <w:keepNext/>
              <w:tabs>
                <w:tab w:val="left" w:pos="240"/>
              </w:tabs>
              <w:jc w:val="center"/>
              <w:outlineLvl w:val="3"/>
              <w:rPr>
                <w:sz w:val="22"/>
                <w:lang w:val="hr-HR" w:eastAsia="ja-JP"/>
              </w:rPr>
            </w:pPr>
            <w:r>
              <w:rPr>
                <w:sz w:val="22"/>
                <w:lang w:val="hr-HR" w:eastAsia="ja-JP"/>
              </w:rPr>
              <w:t>4 mg/kg +</w:t>
            </w:r>
            <w:r>
              <w:rPr>
                <w:sz w:val="22"/>
                <w:lang w:val="hr-HR" w:eastAsia="ja-JP"/>
              </w:rPr>
              <w:br/>
              <w:t>2 mg/kg jedanput nedjeljno</w:t>
            </w:r>
          </w:p>
        </w:tc>
        <w:tc>
          <w:tcPr>
            <w:tcW w:w="807" w:type="pct"/>
            <w:tcBorders>
              <w:top w:val="single" w:sz="4" w:space="0" w:color="auto"/>
              <w:left w:val="single" w:sz="4" w:space="0" w:color="auto"/>
              <w:bottom w:val="single" w:sz="4" w:space="0" w:color="auto"/>
              <w:right w:val="single" w:sz="4" w:space="0" w:color="auto"/>
            </w:tcBorders>
            <w:vAlign w:val="center"/>
            <w:hideMark/>
          </w:tcPr>
          <w:p w14:paraId="2430656B" w14:textId="77777777" w:rsidR="008B20E9" w:rsidRDefault="008B20E9" w:rsidP="00641EEB">
            <w:pPr>
              <w:pStyle w:val="ParagraphFPI"/>
              <w:tabs>
                <w:tab w:val="left" w:pos="240"/>
              </w:tabs>
              <w:jc w:val="center"/>
              <w:rPr>
                <w:sz w:val="22"/>
                <w:lang w:val="hr-HR" w:eastAsia="ja-JP"/>
              </w:rPr>
            </w:pPr>
            <w:r>
              <w:rPr>
                <w:sz w:val="22"/>
                <w:lang w:val="hr-HR" w:eastAsia="ja-JP"/>
              </w:rPr>
              <w:t>metastatski rak dojke</w:t>
            </w:r>
          </w:p>
        </w:tc>
        <w:tc>
          <w:tcPr>
            <w:tcW w:w="419" w:type="pct"/>
            <w:tcBorders>
              <w:top w:val="single" w:sz="4" w:space="0" w:color="auto"/>
              <w:left w:val="single" w:sz="4" w:space="0" w:color="auto"/>
              <w:bottom w:val="single" w:sz="4" w:space="0" w:color="auto"/>
              <w:right w:val="single" w:sz="4" w:space="0" w:color="auto"/>
            </w:tcBorders>
            <w:vAlign w:val="center"/>
            <w:hideMark/>
          </w:tcPr>
          <w:p w14:paraId="6FAF8313" w14:textId="77777777" w:rsidR="008B20E9" w:rsidRDefault="008B20E9" w:rsidP="00641EEB">
            <w:pPr>
              <w:pStyle w:val="ParagraphFPI"/>
              <w:tabs>
                <w:tab w:val="left" w:pos="240"/>
              </w:tabs>
              <w:jc w:val="center"/>
              <w:rPr>
                <w:sz w:val="22"/>
                <w:lang w:val="hr-HR" w:eastAsia="ja-JP"/>
              </w:rPr>
            </w:pPr>
            <w:r>
              <w:rPr>
                <w:sz w:val="22"/>
                <w:szCs w:val="22"/>
                <w:lang w:val="hr-HR" w:eastAsia="ja-JP"/>
              </w:rPr>
              <w:t>805</w:t>
            </w:r>
          </w:p>
        </w:tc>
        <w:tc>
          <w:tcPr>
            <w:tcW w:w="975" w:type="pct"/>
            <w:tcBorders>
              <w:top w:val="single" w:sz="4" w:space="0" w:color="auto"/>
              <w:left w:val="single" w:sz="4" w:space="0" w:color="auto"/>
              <w:bottom w:val="single" w:sz="4" w:space="0" w:color="auto"/>
              <w:right w:val="single" w:sz="4" w:space="0" w:color="auto"/>
            </w:tcBorders>
            <w:vAlign w:val="center"/>
            <w:hideMark/>
          </w:tcPr>
          <w:p w14:paraId="3B445B80" w14:textId="77777777" w:rsidR="008B20E9" w:rsidRDefault="008B20E9" w:rsidP="00641EEB">
            <w:pPr>
              <w:pStyle w:val="ParagraphFPI"/>
              <w:tabs>
                <w:tab w:val="left" w:pos="240"/>
              </w:tabs>
              <w:jc w:val="center"/>
              <w:rPr>
                <w:sz w:val="22"/>
                <w:lang w:val="hr-HR" w:eastAsia="ja-JP"/>
              </w:rPr>
            </w:pPr>
            <w:r>
              <w:rPr>
                <w:sz w:val="22"/>
                <w:szCs w:val="22"/>
                <w:lang w:val="hr-HR" w:eastAsia="ja-JP"/>
              </w:rPr>
              <w:t>0,213 – 0,259</w:t>
            </w:r>
          </w:p>
        </w:tc>
        <w:tc>
          <w:tcPr>
            <w:tcW w:w="1868" w:type="pct"/>
            <w:tcBorders>
              <w:top w:val="single" w:sz="4" w:space="0" w:color="auto"/>
              <w:left w:val="single" w:sz="4" w:space="0" w:color="auto"/>
              <w:bottom w:val="single" w:sz="4" w:space="0" w:color="auto"/>
              <w:right w:val="single" w:sz="4" w:space="0" w:color="auto"/>
            </w:tcBorders>
            <w:vAlign w:val="center"/>
            <w:hideMark/>
          </w:tcPr>
          <w:p w14:paraId="4877110B" w14:textId="77777777" w:rsidR="008B20E9" w:rsidRDefault="008B20E9" w:rsidP="00641EEB">
            <w:pPr>
              <w:pStyle w:val="ParagraphFPI"/>
              <w:tabs>
                <w:tab w:val="left" w:pos="240"/>
              </w:tabs>
              <w:jc w:val="center"/>
              <w:rPr>
                <w:sz w:val="22"/>
                <w:lang w:val="hr-HR" w:eastAsia="ja-JP"/>
              </w:rPr>
            </w:pPr>
            <w:r>
              <w:rPr>
                <w:sz w:val="22"/>
                <w:szCs w:val="22"/>
                <w:lang w:val="hr-HR" w:eastAsia="ja-JP"/>
              </w:rPr>
              <w:t>17,2 – 20,4</w:t>
            </w:r>
          </w:p>
        </w:tc>
      </w:tr>
      <w:tr w:rsidR="008B20E9" w14:paraId="05443301" w14:textId="77777777" w:rsidTr="00BA76B8">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F5C5F" w14:textId="77777777" w:rsidR="008B20E9" w:rsidRDefault="008B20E9" w:rsidP="00641EEB">
            <w:pPr>
              <w:rPr>
                <w:sz w:val="22"/>
                <w:lang w:val="hr-HR" w:eastAsia="ja-JP"/>
              </w:rPr>
            </w:pPr>
          </w:p>
        </w:tc>
        <w:tc>
          <w:tcPr>
            <w:tcW w:w="807" w:type="pct"/>
            <w:tcBorders>
              <w:top w:val="single" w:sz="4" w:space="0" w:color="auto"/>
              <w:left w:val="single" w:sz="4" w:space="0" w:color="auto"/>
              <w:bottom w:val="single" w:sz="4" w:space="0" w:color="auto"/>
              <w:right w:val="single" w:sz="4" w:space="0" w:color="auto"/>
            </w:tcBorders>
            <w:vAlign w:val="center"/>
            <w:hideMark/>
          </w:tcPr>
          <w:p w14:paraId="06675745" w14:textId="77777777" w:rsidR="008B20E9" w:rsidRDefault="008B20E9" w:rsidP="00641EEB">
            <w:pPr>
              <w:pStyle w:val="ParagraphFPI"/>
              <w:tabs>
                <w:tab w:val="left" w:pos="240"/>
              </w:tabs>
              <w:jc w:val="center"/>
              <w:rPr>
                <w:sz w:val="22"/>
                <w:lang w:val="hr-HR" w:eastAsia="ja-JP"/>
              </w:rPr>
            </w:pPr>
            <w:r>
              <w:rPr>
                <w:sz w:val="22"/>
                <w:lang w:val="hr-HR" w:eastAsia="ja-JP"/>
              </w:rPr>
              <w:t>rani rak dojke</w:t>
            </w:r>
          </w:p>
        </w:tc>
        <w:tc>
          <w:tcPr>
            <w:tcW w:w="419" w:type="pct"/>
            <w:tcBorders>
              <w:top w:val="single" w:sz="4" w:space="0" w:color="auto"/>
              <w:left w:val="single" w:sz="4" w:space="0" w:color="auto"/>
              <w:bottom w:val="single" w:sz="4" w:space="0" w:color="auto"/>
              <w:right w:val="single" w:sz="4" w:space="0" w:color="auto"/>
            </w:tcBorders>
            <w:vAlign w:val="center"/>
            <w:hideMark/>
          </w:tcPr>
          <w:p w14:paraId="458BB2BB" w14:textId="77777777" w:rsidR="008B20E9" w:rsidRDefault="008B20E9" w:rsidP="00641EEB">
            <w:pPr>
              <w:pStyle w:val="ParagraphFPI"/>
              <w:tabs>
                <w:tab w:val="left" w:pos="240"/>
              </w:tabs>
              <w:jc w:val="center"/>
              <w:rPr>
                <w:sz w:val="22"/>
                <w:lang w:val="hr-HR" w:eastAsia="ja-JP"/>
              </w:rPr>
            </w:pPr>
            <w:r>
              <w:rPr>
                <w:sz w:val="22"/>
                <w:szCs w:val="22"/>
                <w:lang w:val="hr-HR" w:eastAsia="ja-JP"/>
              </w:rPr>
              <w:t>390</w:t>
            </w:r>
          </w:p>
        </w:tc>
        <w:tc>
          <w:tcPr>
            <w:tcW w:w="975" w:type="pct"/>
            <w:tcBorders>
              <w:top w:val="single" w:sz="4" w:space="0" w:color="auto"/>
              <w:left w:val="single" w:sz="4" w:space="0" w:color="auto"/>
              <w:bottom w:val="single" w:sz="4" w:space="0" w:color="auto"/>
              <w:right w:val="single" w:sz="4" w:space="0" w:color="auto"/>
            </w:tcBorders>
            <w:vAlign w:val="center"/>
            <w:hideMark/>
          </w:tcPr>
          <w:p w14:paraId="1B548069" w14:textId="77777777" w:rsidR="008B20E9" w:rsidRDefault="008B20E9" w:rsidP="00641EEB">
            <w:pPr>
              <w:pStyle w:val="ParagraphFPI"/>
              <w:tabs>
                <w:tab w:val="left" w:pos="240"/>
              </w:tabs>
              <w:jc w:val="center"/>
              <w:rPr>
                <w:sz w:val="22"/>
                <w:lang w:val="hr-HR" w:eastAsia="ja-JP"/>
              </w:rPr>
            </w:pPr>
            <w:r>
              <w:rPr>
                <w:sz w:val="22"/>
                <w:szCs w:val="22"/>
                <w:lang w:val="hr-HR" w:eastAsia="ja-JP"/>
              </w:rPr>
              <w:t>0,184 – 0,221</w:t>
            </w:r>
          </w:p>
        </w:tc>
        <w:tc>
          <w:tcPr>
            <w:tcW w:w="1868" w:type="pct"/>
            <w:tcBorders>
              <w:top w:val="single" w:sz="4" w:space="0" w:color="auto"/>
              <w:left w:val="single" w:sz="4" w:space="0" w:color="auto"/>
              <w:bottom w:val="single" w:sz="4" w:space="0" w:color="auto"/>
              <w:right w:val="single" w:sz="4" w:space="0" w:color="auto"/>
            </w:tcBorders>
            <w:vAlign w:val="center"/>
            <w:hideMark/>
          </w:tcPr>
          <w:p w14:paraId="13CEF2C5" w14:textId="77777777" w:rsidR="008B20E9" w:rsidRDefault="008B20E9" w:rsidP="00641EEB">
            <w:pPr>
              <w:pStyle w:val="ParagraphFPI"/>
              <w:tabs>
                <w:tab w:val="left" w:pos="240"/>
              </w:tabs>
              <w:jc w:val="center"/>
              <w:rPr>
                <w:sz w:val="22"/>
                <w:lang w:val="hr-HR" w:eastAsia="ja-JP"/>
              </w:rPr>
            </w:pPr>
            <w:r>
              <w:rPr>
                <w:sz w:val="22"/>
                <w:szCs w:val="22"/>
                <w:lang w:val="hr-HR" w:eastAsia="ja-JP"/>
              </w:rPr>
              <w:t>19,7 – 23,2</w:t>
            </w:r>
          </w:p>
        </w:tc>
      </w:tr>
    </w:tbl>
    <w:p w14:paraId="24657320" w14:textId="77777777" w:rsidR="008B20E9" w:rsidRDefault="008B20E9" w:rsidP="00641EEB">
      <w:pPr>
        <w:jc w:val="both"/>
        <w:rPr>
          <w:sz w:val="22"/>
          <w:szCs w:val="22"/>
          <w:lang w:val="hr-HR"/>
        </w:rPr>
      </w:pPr>
    </w:p>
    <w:p w14:paraId="62FE4A38" w14:textId="77777777" w:rsidR="008B20E9" w:rsidRDefault="008B20E9" w:rsidP="00641EEB">
      <w:pPr>
        <w:pStyle w:val="TextTi12"/>
        <w:spacing w:after="0" w:line="240" w:lineRule="auto"/>
        <w:rPr>
          <w:i/>
          <w:sz w:val="22"/>
          <w:szCs w:val="22"/>
          <w:lang w:val="hr-HR" w:eastAsia="en-US"/>
        </w:rPr>
      </w:pPr>
      <w:r>
        <w:rPr>
          <w:i/>
          <w:sz w:val="22"/>
          <w:szCs w:val="22"/>
          <w:lang w:val="hr-HR" w:eastAsia="en-US"/>
        </w:rPr>
        <w:t>Ispiranje trastuzumaba</w:t>
      </w:r>
    </w:p>
    <w:p w14:paraId="50723E01" w14:textId="64704EDC" w:rsidR="008B20E9" w:rsidRDefault="0051053D" w:rsidP="00641EEB">
      <w:pPr>
        <w:jc w:val="both"/>
        <w:rPr>
          <w:sz w:val="22"/>
          <w:szCs w:val="22"/>
          <w:lang w:val="hr-HR"/>
        </w:rPr>
      </w:pPr>
      <w:r>
        <w:rPr>
          <w:sz w:val="22"/>
          <w:szCs w:val="22"/>
          <w:lang w:val="hr-HR"/>
        </w:rPr>
        <w:t xml:space="preserve">Period </w:t>
      </w:r>
      <w:r w:rsidR="008B20E9">
        <w:rPr>
          <w:sz w:val="22"/>
          <w:szCs w:val="22"/>
          <w:lang w:val="hr-HR"/>
        </w:rPr>
        <w:t>ispiranja trastuzumaba ocijenjen je nakon intravenske primjene lijeka jed</w:t>
      </w:r>
      <w:r>
        <w:rPr>
          <w:sz w:val="22"/>
          <w:szCs w:val="22"/>
          <w:lang w:val="hr-HR"/>
        </w:rPr>
        <w:t>nom</w:t>
      </w:r>
      <w:r w:rsidR="008B20E9">
        <w:rPr>
          <w:sz w:val="22"/>
          <w:szCs w:val="22"/>
          <w:lang w:val="hr-HR"/>
        </w:rPr>
        <w:t xml:space="preserve"> nedjeljno ili jed</w:t>
      </w:r>
      <w:r>
        <w:rPr>
          <w:sz w:val="22"/>
          <w:szCs w:val="22"/>
          <w:lang w:val="hr-HR"/>
        </w:rPr>
        <w:t>nom</w:t>
      </w:r>
      <w:r w:rsidR="008B20E9">
        <w:rPr>
          <w:sz w:val="22"/>
          <w:szCs w:val="22"/>
          <w:lang w:val="hr-HR"/>
        </w:rPr>
        <w:t xml:space="preserve"> svake 3 nedjelje uz pomoć populacijskog farmakokinetičkog modela. Rezultati tih simulacija ukazuju da će najmanje 95% pacijenata postići koncentracije &lt;</w:t>
      </w:r>
      <w:r>
        <w:rPr>
          <w:sz w:val="22"/>
          <w:szCs w:val="22"/>
          <w:lang w:val="hr-HR"/>
        </w:rPr>
        <w:t xml:space="preserve"> </w:t>
      </w:r>
      <w:r w:rsidR="008B20E9">
        <w:rPr>
          <w:sz w:val="22"/>
          <w:szCs w:val="22"/>
          <w:lang w:val="hr-HR"/>
        </w:rPr>
        <w:t>1 µg/ml (približno 3% vrijednosti C</w:t>
      </w:r>
      <w:r w:rsidR="008B20E9" w:rsidRPr="00BA76B8">
        <w:rPr>
          <w:sz w:val="22"/>
          <w:szCs w:val="22"/>
          <w:vertAlign w:val="subscript"/>
          <w:lang w:val="hr-HR"/>
        </w:rPr>
        <w:t xml:space="preserve">min,ss </w:t>
      </w:r>
      <w:r w:rsidR="008B20E9">
        <w:rPr>
          <w:sz w:val="22"/>
          <w:szCs w:val="22"/>
          <w:lang w:val="hr-HR"/>
        </w:rPr>
        <w:t>predviđene za populaciju ili ispiranje od približno 97%) do 7. mjeseca.</w:t>
      </w:r>
    </w:p>
    <w:p w14:paraId="3D692BF5" w14:textId="086D2929" w:rsidR="008B20E9" w:rsidRPr="00442616" w:rsidRDefault="008B20E9" w:rsidP="00641EEB">
      <w:pPr>
        <w:tabs>
          <w:tab w:val="left" w:pos="540"/>
          <w:tab w:val="left" w:pos="569"/>
        </w:tabs>
        <w:rPr>
          <w:bCs/>
          <w:sz w:val="22"/>
          <w:szCs w:val="22"/>
          <w:lang w:val="hr-HR"/>
        </w:rPr>
      </w:pPr>
    </w:p>
    <w:p w14:paraId="2BA26DE9" w14:textId="77777777" w:rsidR="008B20E9" w:rsidRDefault="008B20E9" w:rsidP="00641EEB">
      <w:pPr>
        <w:jc w:val="both"/>
        <w:rPr>
          <w:i/>
          <w:sz w:val="22"/>
          <w:szCs w:val="22"/>
          <w:lang w:val="hr-HR"/>
        </w:rPr>
      </w:pPr>
      <w:r>
        <w:rPr>
          <w:i/>
          <w:sz w:val="22"/>
          <w:szCs w:val="22"/>
          <w:lang w:val="hr-HR"/>
        </w:rPr>
        <w:t>Otpušteni HER2-ECD u cirkulaciji</w:t>
      </w:r>
    </w:p>
    <w:p w14:paraId="0E1E525E" w14:textId="438E480E" w:rsidR="008B20E9" w:rsidRPr="008B20E9" w:rsidRDefault="008B20E9" w:rsidP="00641EEB">
      <w:pPr>
        <w:jc w:val="both"/>
        <w:rPr>
          <w:sz w:val="22"/>
          <w:szCs w:val="22"/>
          <w:lang w:val="hr-HR"/>
        </w:rPr>
      </w:pPr>
      <w:r>
        <w:rPr>
          <w:sz w:val="22"/>
          <w:szCs w:val="22"/>
          <w:lang w:val="sr-Latn-CS"/>
        </w:rPr>
        <w:t xml:space="preserve">Eksploracijske analize </w:t>
      </w:r>
      <w:r w:rsidRPr="008B20E9">
        <w:rPr>
          <w:sz w:val="22"/>
          <w:szCs w:val="22"/>
          <w:lang w:val="hr-HR"/>
        </w:rPr>
        <w:t>kovarijanti na osnovu podataka prikupljenih samo u jednoj podgrupi pacijenata pokazali su da su pacijenti sa višim nivoom odcjepljivanja HER2</w:t>
      </w:r>
      <w:r w:rsidRPr="008B20E9">
        <w:rPr>
          <w:sz w:val="22"/>
          <w:szCs w:val="22"/>
          <w:lang w:val="hr-HR"/>
        </w:rPr>
        <w:noBreakHyphen/>
        <w:t>ECD imali brži nelinearni klirens (niži Km) (P&lt;0,001). Postojala je korelacija između odcijepljenog antigena i nivoa SGOT</w:t>
      </w:r>
      <w:r w:rsidRPr="008B20E9">
        <w:rPr>
          <w:sz w:val="22"/>
          <w:szCs w:val="22"/>
          <w:lang w:val="hr-HR"/>
        </w:rPr>
        <w:noBreakHyphen/>
        <w:t>a/AST</w:t>
      </w:r>
      <w:r w:rsidRPr="008B20E9">
        <w:rPr>
          <w:sz w:val="22"/>
          <w:szCs w:val="22"/>
          <w:lang w:val="hr-HR"/>
        </w:rPr>
        <w:noBreakHyphen/>
        <w:t>a; dio uticaja odcijepljenog antigena na klirens možda bi se mogao objasniti nivoima SGOT</w:t>
      </w:r>
      <w:r w:rsidRPr="008B20E9">
        <w:rPr>
          <w:sz w:val="22"/>
          <w:szCs w:val="22"/>
          <w:lang w:val="hr-HR"/>
        </w:rPr>
        <w:noBreakHyphen/>
        <w:t>a/AST</w:t>
      </w:r>
      <w:r w:rsidRPr="008B20E9">
        <w:rPr>
          <w:sz w:val="22"/>
          <w:szCs w:val="22"/>
          <w:lang w:val="hr-HR"/>
        </w:rPr>
        <w:noBreakHyphen/>
        <w:t xml:space="preserve">a. </w:t>
      </w:r>
    </w:p>
    <w:p w14:paraId="3C4A865D" w14:textId="77777777" w:rsidR="008B20E9" w:rsidRPr="008B20E9" w:rsidRDefault="008B20E9" w:rsidP="00641EEB">
      <w:pPr>
        <w:jc w:val="both"/>
        <w:rPr>
          <w:sz w:val="22"/>
          <w:szCs w:val="22"/>
          <w:lang w:val="hr-HR"/>
        </w:rPr>
      </w:pPr>
    </w:p>
    <w:p w14:paraId="5ED0CD8E" w14:textId="2E3861CD" w:rsidR="008B20E9" w:rsidRDefault="008B20E9" w:rsidP="00641EEB">
      <w:pPr>
        <w:jc w:val="both"/>
        <w:rPr>
          <w:sz w:val="22"/>
          <w:szCs w:val="22"/>
          <w:lang w:val="sr-Latn-CS"/>
        </w:rPr>
      </w:pPr>
      <w:r>
        <w:rPr>
          <w:sz w:val="22"/>
          <w:szCs w:val="22"/>
          <w:lang w:val="sr-Latn-CS"/>
        </w:rPr>
        <w:t xml:space="preserve">Opaženi nivoi odcjepljenog </w:t>
      </w:r>
      <w:r w:rsidRPr="008B20E9">
        <w:rPr>
          <w:sz w:val="22"/>
          <w:szCs w:val="22"/>
          <w:lang w:val="hr-HR"/>
        </w:rPr>
        <w:t>HER2-ECD-a na početku liječenja pacijenata sa metastatskim rakom želuca bili su uporedivi sa onim kod pacijenata sa metastatskim rakom dojke i ranim rakom dojke, vidljivi uticaj na klirens trastuzumaba</w:t>
      </w:r>
      <w:r>
        <w:rPr>
          <w:sz w:val="22"/>
          <w:szCs w:val="22"/>
          <w:lang w:val="sr-Latn-CS"/>
        </w:rPr>
        <w:t xml:space="preserve"> nije </w:t>
      </w:r>
      <w:r w:rsidR="0051053D">
        <w:rPr>
          <w:sz w:val="22"/>
          <w:szCs w:val="22"/>
          <w:lang w:val="sr-Latn-CS"/>
        </w:rPr>
        <w:t>za</w:t>
      </w:r>
      <w:r>
        <w:rPr>
          <w:sz w:val="22"/>
          <w:szCs w:val="22"/>
          <w:lang w:val="sr-Latn-CS"/>
        </w:rPr>
        <w:t>pažen.</w:t>
      </w:r>
    </w:p>
    <w:p w14:paraId="47B7E7F3" w14:textId="77777777" w:rsidR="0051053D" w:rsidRDefault="0051053D" w:rsidP="00641EEB">
      <w:pPr>
        <w:tabs>
          <w:tab w:val="left" w:pos="540"/>
          <w:tab w:val="left" w:pos="569"/>
        </w:tabs>
        <w:rPr>
          <w:b/>
          <w:bCs/>
          <w:sz w:val="22"/>
          <w:szCs w:val="22"/>
        </w:rPr>
      </w:pPr>
    </w:p>
    <w:p w14:paraId="1880DDFE" w14:textId="70CB70EB" w:rsidR="0072020E" w:rsidRPr="00786071" w:rsidRDefault="0072020E" w:rsidP="00641EEB">
      <w:pPr>
        <w:tabs>
          <w:tab w:val="left" w:pos="540"/>
          <w:tab w:val="left" w:pos="569"/>
        </w:tabs>
        <w:rPr>
          <w:b/>
          <w:bCs/>
          <w:sz w:val="22"/>
          <w:szCs w:val="22"/>
        </w:rPr>
      </w:pPr>
      <w:r w:rsidRPr="00786071">
        <w:rPr>
          <w:b/>
          <w:bCs/>
          <w:sz w:val="22"/>
          <w:szCs w:val="22"/>
        </w:rPr>
        <w:t xml:space="preserve">5.3. </w:t>
      </w:r>
      <w:r w:rsidR="00480FB1" w:rsidRPr="00786071">
        <w:rPr>
          <w:b/>
          <w:bCs/>
          <w:sz w:val="22"/>
          <w:szCs w:val="22"/>
        </w:rPr>
        <w:tab/>
      </w:r>
      <w:r w:rsidRPr="00786071">
        <w:rPr>
          <w:b/>
          <w:bCs/>
          <w:sz w:val="22"/>
          <w:szCs w:val="22"/>
        </w:rPr>
        <w:t xml:space="preserve">Pretklinički podaci o bezbjednosti </w:t>
      </w:r>
    </w:p>
    <w:p w14:paraId="1880DDFF" w14:textId="50043C81" w:rsidR="00836B35" w:rsidRDefault="00836B35" w:rsidP="00641EEB">
      <w:pPr>
        <w:tabs>
          <w:tab w:val="left" w:pos="540"/>
          <w:tab w:val="left" w:pos="569"/>
        </w:tabs>
        <w:rPr>
          <w:bCs/>
          <w:sz w:val="22"/>
          <w:szCs w:val="22"/>
        </w:rPr>
      </w:pPr>
    </w:p>
    <w:p w14:paraId="2FB8BEDD" w14:textId="3AE17D14" w:rsidR="008B20E9" w:rsidRDefault="008B20E9" w:rsidP="00641EEB">
      <w:pPr>
        <w:jc w:val="both"/>
        <w:rPr>
          <w:sz w:val="22"/>
          <w:szCs w:val="22"/>
          <w:lang w:val="sr-Latn-CS"/>
        </w:rPr>
      </w:pPr>
      <w:r>
        <w:rPr>
          <w:sz w:val="22"/>
          <w:szCs w:val="22"/>
          <w:lang w:val="sr-Latn-CS"/>
        </w:rPr>
        <w:t xml:space="preserve">Nema dokaza o akutnoj toksičnosti ili dozno-zavisnoj toksičnosti nakon primjene ponovljenih doza u ispitivanjima u trajanju od 6 mjeseci, kao ni dokaza reproduktivne toksičnosti u teratološkim ispitivanjima, ispitivanjima fertilnosti ženki ili ispitivanjima </w:t>
      </w:r>
      <w:r w:rsidR="0051053D">
        <w:rPr>
          <w:sz w:val="22"/>
          <w:szCs w:val="22"/>
          <w:lang w:val="sr-Latn-CS"/>
        </w:rPr>
        <w:t xml:space="preserve">kasne </w:t>
      </w:r>
      <w:r>
        <w:rPr>
          <w:sz w:val="22"/>
          <w:szCs w:val="22"/>
          <w:lang w:val="sr-Latn-CS"/>
        </w:rPr>
        <w:t xml:space="preserve">gestacajske toksičnosti, odnosno ispitivanja o prolazu kroz placentu. </w:t>
      </w:r>
      <w:r w:rsidR="0051053D">
        <w:rPr>
          <w:sz w:val="22"/>
          <w:szCs w:val="22"/>
          <w:lang w:val="sr-Latn-CS"/>
        </w:rPr>
        <w:t xml:space="preserve">Lijek </w:t>
      </w:r>
      <w:r>
        <w:rPr>
          <w:sz w:val="22"/>
          <w:szCs w:val="22"/>
          <w:lang w:val="sr-Latn-CS"/>
        </w:rPr>
        <w:t xml:space="preserve">Herceptin nije genotoksičan. Ispitivanja trehaloze, glavnog ekscipijensa u formulaciji, nijesu otkrila nikakvu toksičnost. </w:t>
      </w:r>
    </w:p>
    <w:p w14:paraId="5D7EF98E" w14:textId="77777777" w:rsidR="008B20E9" w:rsidRDefault="008B20E9" w:rsidP="00641EEB">
      <w:pPr>
        <w:jc w:val="both"/>
        <w:rPr>
          <w:sz w:val="22"/>
          <w:szCs w:val="22"/>
          <w:lang w:val="sr-Latn-CS"/>
        </w:rPr>
      </w:pPr>
    </w:p>
    <w:p w14:paraId="4D920EA2" w14:textId="2B048CB5" w:rsidR="008B20E9" w:rsidRDefault="008B20E9" w:rsidP="00641EEB">
      <w:pPr>
        <w:jc w:val="both"/>
        <w:rPr>
          <w:sz w:val="22"/>
          <w:szCs w:val="22"/>
          <w:lang w:val="sr-Latn-CS"/>
        </w:rPr>
      </w:pPr>
      <w:r>
        <w:rPr>
          <w:sz w:val="22"/>
          <w:szCs w:val="22"/>
          <w:lang w:val="sr-Latn-CS"/>
        </w:rPr>
        <w:t>Nijesu obavljena nikakva dugoročna ispitivanja na životinjama da se utvrdi karcinogeni potencijal lijeka Herceptin ili da se odredi njegovo dejstvo na fertilitet mužjaka.</w:t>
      </w:r>
    </w:p>
    <w:p w14:paraId="6896BB97" w14:textId="77777777" w:rsidR="0051053D" w:rsidRPr="008B20E9" w:rsidRDefault="0051053D" w:rsidP="00641EEB">
      <w:pPr>
        <w:jc w:val="both"/>
        <w:rPr>
          <w:sz w:val="22"/>
          <w:szCs w:val="22"/>
          <w:lang w:val="sr-Latn-CS"/>
        </w:rPr>
      </w:pPr>
    </w:p>
    <w:p w14:paraId="1880DE00" w14:textId="77777777" w:rsidR="00396DFD" w:rsidRPr="00442616" w:rsidRDefault="00396DFD" w:rsidP="00641EEB">
      <w:pPr>
        <w:tabs>
          <w:tab w:val="left" w:pos="540"/>
          <w:tab w:val="left" w:pos="569"/>
        </w:tabs>
        <w:rPr>
          <w:b/>
          <w:bCs/>
          <w:sz w:val="22"/>
          <w:szCs w:val="22"/>
          <w:lang w:val="sr-Latn-CS"/>
        </w:rPr>
      </w:pPr>
    </w:p>
    <w:p w14:paraId="1880DE01" w14:textId="77777777" w:rsidR="0072020E" w:rsidRPr="00442616" w:rsidRDefault="0072020E" w:rsidP="00641EEB">
      <w:pPr>
        <w:tabs>
          <w:tab w:val="left" w:pos="540"/>
          <w:tab w:val="left" w:pos="569"/>
        </w:tabs>
        <w:rPr>
          <w:b/>
          <w:bCs/>
          <w:sz w:val="22"/>
          <w:szCs w:val="22"/>
          <w:lang w:val="sr-Latn-CS"/>
        </w:rPr>
      </w:pPr>
      <w:r w:rsidRPr="00442616">
        <w:rPr>
          <w:b/>
          <w:bCs/>
          <w:sz w:val="22"/>
          <w:szCs w:val="22"/>
          <w:lang w:val="sr-Latn-CS"/>
        </w:rPr>
        <w:t xml:space="preserve">6. </w:t>
      </w:r>
      <w:r w:rsidR="00480FB1" w:rsidRPr="00442616">
        <w:rPr>
          <w:b/>
          <w:bCs/>
          <w:sz w:val="22"/>
          <w:szCs w:val="22"/>
          <w:lang w:val="sr-Latn-CS"/>
        </w:rPr>
        <w:tab/>
      </w:r>
      <w:r w:rsidRPr="00786071">
        <w:rPr>
          <w:b/>
          <w:bCs/>
          <w:sz w:val="22"/>
          <w:szCs w:val="22"/>
        </w:rPr>
        <w:t>FARMACEUTSKI</w:t>
      </w:r>
      <w:r w:rsidRPr="00442616">
        <w:rPr>
          <w:b/>
          <w:bCs/>
          <w:sz w:val="22"/>
          <w:szCs w:val="22"/>
          <w:lang w:val="sr-Latn-CS"/>
        </w:rPr>
        <w:t xml:space="preserve"> </w:t>
      </w:r>
      <w:r w:rsidRPr="00786071">
        <w:rPr>
          <w:b/>
          <w:bCs/>
          <w:sz w:val="22"/>
          <w:szCs w:val="22"/>
        </w:rPr>
        <w:t>PODACI</w:t>
      </w:r>
    </w:p>
    <w:p w14:paraId="1880DE02" w14:textId="77777777" w:rsidR="00836B35" w:rsidRPr="00442616" w:rsidRDefault="00836B35" w:rsidP="00641EEB">
      <w:pPr>
        <w:tabs>
          <w:tab w:val="left" w:pos="540"/>
          <w:tab w:val="left" w:pos="569"/>
        </w:tabs>
        <w:rPr>
          <w:bCs/>
          <w:sz w:val="22"/>
          <w:szCs w:val="22"/>
          <w:lang w:val="sr-Latn-CS"/>
        </w:rPr>
      </w:pPr>
    </w:p>
    <w:p w14:paraId="1D3B7460" w14:textId="7EBC2E10" w:rsidR="008B20E9" w:rsidRPr="00442616" w:rsidRDefault="0072020E" w:rsidP="00641EEB">
      <w:pPr>
        <w:tabs>
          <w:tab w:val="left" w:pos="540"/>
          <w:tab w:val="left" w:pos="569"/>
        </w:tabs>
        <w:rPr>
          <w:b/>
          <w:bCs/>
          <w:sz w:val="22"/>
          <w:szCs w:val="22"/>
          <w:lang w:val="sr-Latn-CS"/>
        </w:rPr>
      </w:pPr>
      <w:r w:rsidRPr="00442616">
        <w:rPr>
          <w:b/>
          <w:bCs/>
          <w:sz w:val="22"/>
          <w:szCs w:val="22"/>
          <w:lang w:val="sr-Latn-CS"/>
        </w:rPr>
        <w:t xml:space="preserve">6.1. </w:t>
      </w:r>
      <w:r w:rsidR="00480FB1" w:rsidRPr="00442616">
        <w:rPr>
          <w:b/>
          <w:bCs/>
          <w:sz w:val="22"/>
          <w:szCs w:val="22"/>
          <w:lang w:val="sr-Latn-CS"/>
        </w:rPr>
        <w:tab/>
      </w:r>
      <w:r w:rsidRPr="00786071">
        <w:rPr>
          <w:b/>
          <w:bCs/>
          <w:sz w:val="22"/>
          <w:szCs w:val="22"/>
        </w:rPr>
        <w:t>Lista</w:t>
      </w:r>
      <w:r w:rsidRPr="00442616">
        <w:rPr>
          <w:b/>
          <w:bCs/>
          <w:sz w:val="22"/>
          <w:szCs w:val="22"/>
          <w:lang w:val="sr-Latn-CS"/>
        </w:rPr>
        <w:t xml:space="preserve"> </w:t>
      </w:r>
      <w:r w:rsidRPr="00786071">
        <w:rPr>
          <w:b/>
          <w:bCs/>
          <w:sz w:val="22"/>
          <w:szCs w:val="22"/>
        </w:rPr>
        <w:t>pomo</w:t>
      </w:r>
      <w:r w:rsidRPr="00442616">
        <w:rPr>
          <w:b/>
          <w:bCs/>
          <w:sz w:val="22"/>
          <w:szCs w:val="22"/>
          <w:lang w:val="sr-Latn-CS"/>
        </w:rPr>
        <w:t>ć</w:t>
      </w:r>
      <w:r w:rsidRPr="00786071">
        <w:rPr>
          <w:b/>
          <w:bCs/>
          <w:sz w:val="22"/>
          <w:szCs w:val="22"/>
        </w:rPr>
        <w:t>nih</w:t>
      </w:r>
      <w:r w:rsidRPr="00442616">
        <w:rPr>
          <w:b/>
          <w:bCs/>
          <w:sz w:val="22"/>
          <w:szCs w:val="22"/>
          <w:lang w:val="sr-Latn-CS"/>
        </w:rPr>
        <w:t xml:space="preserve"> </w:t>
      </w:r>
      <w:r w:rsidRPr="00786071">
        <w:rPr>
          <w:b/>
          <w:bCs/>
          <w:sz w:val="22"/>
          <w:szCs w:val="22"/>
        </w:rPr>
        <w:t>supstanci</w:t>
      </w:r>
      <w:r w:rsidR="002E0135" w:rsidRPr="00442616">
        <w:rPr>
          <w:b/>
          <w:bCs/>
          <w:sz w:val="22"/>
          <w:szCs w:val="22"/>
          <w:lang w:val="sr-Latn-CS"/>
        </w:rPr>
        <w:t xml:space="preserve"> (</w:t>
      </w:r>
      <w:r w:rsidR="002E0135" w:rsidRPr="00786071">
        <w:rPr>
          <w:b/>
          <w:bCs/>
          <w:sz w:val="22"/>
          <w:szCs w:val="22"/>
        </w:rPr>
        <w:t>ekscipijenasa</w:t>
      </w:r>
      <w:r w:rsidR="002E0135" w:rsidRPr="00442616">
        <w:rPr>
          <w:b/>
          <w:bCs/>
          <w:sz w:val="22"/>
          <w:szCs w:val="22"/>
          <w:lang w:val="sr-Latn-CS"/>
        </w:rPr>
        <w:t>)</w:t>
      </w:r>
    </w:p>
    <w:p w14:paraId="06A2122F" w14:textId="77777777" w:rsidR="008B20E9" w:rsidRDefault="008B20E9" w:rsidP="00641EEB">
      <w:pPr>
        <w:numPr>
          <w:ilvl w:val="0"/>
          <w:numId w:val="22"/>
        </w:numPr>
        <w:jc w:val="both"/>
        <w:rPr>
          <w:sz w:val="22"/>
          <w:szCs w:val="22"/>
          <w:lang w:val="sr-Latn-CS"/>
        </w:rPr>
      </w:pPr>
      <w:r>
        <w:rPr>
          <w:sz w:val="22"/>
          <w:szCs w:val="22"/>
          <w:lang w:val="sr-Latn-CS"/>
        </w:rPr>
        <w:t>L-histidin</w:t>
      </w:r>
    </w:p>
    <w:p w14:paraId="12A03E83" w14:textId="449ED286" w:rsidR="008B20E9" w:rsidRDefault="008B20E9" w:rsidP="00641EEB">
      <w:pPr>
        <w:numPr>
          <w:ilvl w:val="0"/>
          <w:numId w:val="22"/>
        </w:numPr>
        <w:jc w:val="both"/>
        <w:rPr>
          <w:sz w:val="22"/>
          <w:szCs w:val="22"/>
          <w:lang w:val="sr-Latn-CS"/>
        </w:rPr>
      </w:pPr>
      <w:r>
        <w:rPr>
          <w:sz w:val="22"/>
          <w:szCs w:val="22"/>
          <w:lang w:val="sr-Latn-CS"/>
        </w:rPr>
        <w:t>L-histidin hidrohlorid</w:t>
      </w:r>
      <w:r w:rsidR="00102FC4">
        <w:rPr>
          <w:sz w:val="22"/>
          <w:szCs w:val="22"/>
          <w:lang w:val="sr-Latn-CS"/>
        </w:rPr>
        <w:t xml:space="preserve"> monohidrat</w:t>
      </w:r>
    </w:p>
    <w:p w14:paraId="288AEC3A" w14:textId="77777777" w:rsidR="008B20E9" w:rsidRDefault="008B20E9" w:rsidP="00641EEB">
      <w:pPr>
        <w:numPr>
          <w:ilvl w:val="0"/>
          <w:numId w:val="22"/>
        </w:numPr>
        <w:jc w:val="both"/>
        <w:rPr>
          <w:sz w:val="22"/>
          <w:szCs w:val="22"/>
          <w:lang w:val="sr-Latn-CS"/>
        </w:rPr>
      </w:pPr>
      <w:r>
        <w:rPr>
          <w:sz w:val="22"/>
          <w:szCs w:val="22"/>
        </w:rPr>
        <w:t>α</w:t>
      </w:r>
      <w:r>
        <w:rPr>
          <w:sz w:val="22"/>
          <w:szCs w:val="22"/>
          <w:lang w:val="sr-Latn-CS"/>
        </w:rPr>
        <w:t>,</w:t>
      </w:r>
      <w:r>
        <w:rPr>
          <w:sz w:val="22"/>
          <w:szCs w:val="22"/>
        </w:rPr>
        <w:t>α</w:t>
      </w:r>
      <w:r>
        <w:rPr>
          <w:sz w:val="22"/>
          <w:szCs w:val="22"/>
          <w:lang w:val="sr-Latn-CS"/>
        </w:rPr>
        <w:t>-trehaloza dihidrat</w:t>
      </w:r>
    </w:p>
    <w:p w14:paraId="74952F3B" w14:textId="77777777" w:rsidR="008B20E9" w:rsidRDefault="008B20E9" w:rsidP="00641EEB">
      <w:pPr>
        <w:numPr>
          <w:ilvl w:val="0"/>
          <w:numId w:val="22"/>
        </w:numPr>
        <w:jc w:val="both"/>
        <w:rPr>
          <w:sz w:val="22"/>
          <w:szCs w:val="22"/>
          <w:lang w:val="sr-Latn-CS"/>
        </w:rPr>
      </w:pPr>
      <w:r>
        <w:rPr>
          <w:sz w:val="22"/>
          <w:szCs w:val="22"/>
          <w:lang w:val="sr-Latn-CS"/>
        </w:rPr>
        <w:t>polisorbat 20</w:t>
      </w:r>
    </w:p>
    <w:p w14:paraId="1880DE04" w14:textId="77777777" w:rsidR="0072020E" w:rsidRPr="00786071" w:rsidRDefault="0072020E" w:rsidP="00641EEB">
      <w:pPr>
        <w:tabs>
          <w:tab w:val="left" w:pos="540"/>
          <w:tab w:val="left" w:pos="569"/>
        </w:tabs>
        <w:rPr>
          <w:bCs/>
          <w:sz w:val="22"/>
          <w:szCs w:val="22"/>
        </w:rPr>
      </w:pPr>
    </w:p>
    <w:p w14:paraId="1880DE05" w14:textId="77777777" w:rsidR="0072020E" w:rsidRPr="00786071" w:rsidRDefault="0072020E" w:rsidP="00641EEB">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14:paraId="6D21E8BA" w14:textId="77777777" w:rsidR="008B20E9" w:rsidRDefault="008B20E9" w:rsidP="00641EEB">
      <w:pPr>
        <w:rPr>
          <w:sz w:val="22"/>
          <w:szCs w:val="22"/>
          <w:lang w:val="it-IT"/>
        </w:rPr>
      </w:pPr>
    </w:p>
    <w:p w14:paraId="16C749F0" w14:textId="00D7AD59" w:rsidR="008B20E9" w:rsidRPr="00442616" w:rsidRDefault="008B20E9" w:rsidP="00641EEB">
      <w:pPr>
        <w:jc w:val="both"/>
        <w:rPr>
          <w:sz w:val="22"/>
          <w:szCs w:val="22"/>
          <w:lang w:val="it-IT"/>
        </w:rPr>
      </w:pPr>
      <w:r>
        <w:rPr>
          <w:sz w:val="22"/>
          <w:szCs w:val="22"/>
          <w:lang w:val="it-IT"/>
        </w:rPr>
        <w:t>Ovaj lijek se ne smije mije</w:t>
      </w:r>
      <w:r w:rsidRPr="00442616">
        <w:rPr>
          <w:sz w:val="22"/>
          <w:szCs w:val="22"/>
          <w:lang w:val="it-IT"/>
        </w:rPr>
        <w:t>š</w:t>
      </w:r>
      <w:r>
        <w:rPr>
          <w:sz w:val="22"/>
          <w:szCs w:val="22"/>
          <w:lang w:val="it-IT"/>
        </w:rPr>
        <w:t>ati ili razbla</w:t>
      </w:r>
      <w:r w:rsidRPr="00442616">
        <w:rPr>
          <w:sz w:val="22"/>
          <w:szCs w:val="22"/>
          <w:lang w:val="it-IT"/>
        </w:rPr>
        <w:t>ž</w:t>
      </w:r>
      <w:r>
        <w:rPr>
          <w:sz w:val="22"/>
          <w:szCs w:val="22"/>
          <w:lang w:val="it-IT"/>
        </w:rPr>
        <w:t>ivati sa drugim ljekovima</w:t>
      </w:r>
      <w:r w:rsidRPr="00442616">
        <w:rPr>
          <w:sz w:val="22"/>
          <w:szCs w:val="22"/>
          <w:lang w:val="it-IT"/>
        </w:rPr>
        <w:t xml:space="preserve">, </w:t>
      </w:r>
      <w:r>
        <w:rPr>
          <w:sz w:val="22"/>
          <w:szCs w:val="22"/>
          <w:lang w:val="it-IT"/>
        </w:rPr>
        <w:t>osim onima pomenutim u dijelu</w:t>
      </w:r>
      <w:r w:rsidRPr="00442616">
        <w:rPr>
          <w:sz w:val="22"/>
          <w:szCs w:val="22"/>
          <w:lang w:val="it-IT"/>
        </w:rPr>
        <w:t xml:space="preserve"> 6.6.</w:t>
      </w:r>
    </w:p>
    <w:p w14:paraId="1880DE06" w14:textId="46A92698" w:rsidR="0072020E" w:rsidRDefault="008B20E9" w:rsidP="00641EEB">
      <w:pPr>
        <w:tabs>
          <w:tab w:val="left" w:pos="540"/>
          <w:tab w:val="left" w:pos="569"/>
        </w:tabs>
        <w:rPr>
          <w:sz w:val="22"/>
          <w:szCs w:val="22"/>
          <w:lang w:val="it-IT"/>
        </w:rPr>
      </w:pPr>
      <w:r>
        <w:rPr>
          <w:sz w:val="22"/>
          <w:szCs w:val="22"/>
          <w:lang w:val="it-IT"/>
        </w:rPr>
        <w:t xml:space="preserve">Ne smije se razblaživati sa rastvorima glukoze jer može da izazove agregaciju proteina. </w:t>
      </w:r>
    </w:p>
    <w:p w14:paraId="623A6FCE" w14:textId="77777777" w:rsidR="008B20E9" w:rsidRPr="00442616" w:rsidRDefault="008B20E9" w:rsidP="00641EEB">
      <w:pPr>
        <w:tabs>
          <w:tab w:val="left" w:pos="540"/>
          <w:tab w:val="left" w:pos="569"/>
        </w:tabs>
        <w:rPr>
          <w:bCs/>
          <w:sz w:val="22"/>
          <w:szCs w:val="22"/>
          <w:lang w:val="it-IT"/>
        </w:rPr>
      </w:pPr>
    </w:p>
    <w:p w14:paraId="1880DE07" w14:textId="7215FE9A" w:rsidR="0072020E" w:rsidRDefault="0072020E" w:rsidP="00641EEB">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14:paraId="50D53E80" w14:textId="77777777" w:rsidR="0072668B" w:rsidRDefault="0072668B" w:rsidP="00641EEB">
      <w:pPr>
        <w:tabs>
          <w:tab w:val="left" w:pos="540"/>
          <w:tab w:val="left" w:pos="569"/>
        </w:tabs>
        <w:rPr>
          <w:b/>
          <w:bCs/>
          <w:sz w:val="22"/>
          <w:szCs w:val="22"/>
        </w:rPr>
      </w:pPr>
    </w:p>
    <w:p w14:paraId="657F40BC" w14:textId="2F4071A6" w:rsidR="003F6A56" w:rsidRPr="0072668B" w:rsidRDefault="003F6A56" w:rsidP="00641EEB">
      <w:pPr>
        <w:tabs>
          <w:tab w:val="left" w:pos="540"/>
          <w:tab w:val="left" w:pos="569"/>
        </w:tabs>
        <w:rPr>
          <w:bCs/>
          <w:sz w:val="22"/>
          <w:szCs w:val="22"/>
          <w:u w:val="single"/>
        </w:rPr>
      </w:pPr>
      <w:r w:rsidRPr="0072668B">
        <w:rPr>
          <w:bCs/>
          <w:sz w:val="22"/>
          <w:szCs w:val="22"/>
          <w:u w:val="single"/>
        </w:rPr>
        <w:t>Neotvorena bočica</w:t>
      </w:r>
    </w:p>
    <w:p w14:paraId="73DBB1E4" w14:textId="77777777" w:rsidR="008B20E9" w:rsidRDefault="008B20E9" w:rsidP="00641EEB">
      <w:pPr>
        <w:jc w:val="both"/>
        <w:rPr>
          <w:sz w:val="22"/>
          <w:szCs w:val="22"/>
          <w:lang w:val="sr-Latn-CS"/>
        </w:rPr>
      </w:pPr>
      <w:r>
        <w:rPr>
          <w:sz w:val="22"/>
          <w:szCs w:val="22"/>
          <w:lang w:val="sr-Latn-CS"/>
        </w:rPr>
        <w:t>4 godine.</w:t>
      </w:r>
    </w:p>
    <w:p w14:paraId="4E4478C7" w14:textId="7DC800EF" w:rsidR="008B20E9" w:rsidRDefault="008B20E9" w:rsidP="00641EEB">
      <w:pPr>
        <w:jc w:val="both"/>
        <w:rPr>
          <w:b/>
          <w:sz w:val="22"/>
          <w:szCs w:val="22"/>
          <w:u w:val="single"/>
          <w:lang w:val="sr-Latn-CS" w:eastAsia="ja-JP"/>
        </w:rPr>
      </w:pPr>
    </w:p>
    <w:p w14:paraId="7CD8C2C9" w14:textId="3A942EB0" w:rsidR="003F6A56" w:rsidRPr="001274C7" w:rsidRDefault="003F6A56" w:rsidP="00641EEB">
      <w:pPr>
        <w:jc w:val="both"/>
        <w:rPr>
          <w:sz w:val="22"/>
          <w:szCs w:val="22"/>
          <w:u w:val="single"/>
          <w:lang w:val="sr-Latn-CS" w:eastAsia="ja-JP"/>
        </w:rPr>
      </w:pPr>
      <w:r w:rsidRPr="001274C7">
        <w:rPr>
          <w:sz w:val="22"/>
          <w:szCs w:val="22"/>
          <w:u w:val="single"/>
          <w:lang w:val="sr-Latn-CS" w:eastAsia="ja-JP"/>
        </w:rPr>
        <w:t>Aseptična rekonstitucija i razblaživanje</w:t>
      </w:r>
    </w:p>
    <w:p w14:paraId="33DA5B5C" w14:textId="420F0F76" w:rsidR="008B20E9" w:rsidRPr="00442616" w:rsidRDefault="008B20E9" w:rsidP="00641EEB">
      <w:pPr>
        <w:jc w:val="both"/>
        <w:rPr>
          <w:sz w:val="22"/>
          <w:szCs w:val="22"/>
        </w:rPr>
      </w:pPr>
      <w:r w:rsidRPr="00442616">
        <w:rPr>
          <w:sz w:val="22"/>
          <w:szCs w:val="22"/>
        </w:rPr>
        <w:t xml:space="preserve">Nakon </w:t>
      </w:r>
      <w:r w:rsidR="003F6A56">
        <w:rPr>
          <w:sz w:val="22"/>
          <w:szCs w:val="22"/>
        </w:rPr>
        <w:t xml:space="preserve">aseptične </w:t>
      </w:r>
      <w:r w:rsidRPr="00442616">
        <w:rPr>
          <w:sz w:val="22"/>
          <w:szCs w:val="22"/>
        </w:rPr>
        <w:t xml:space="preserve">rekonstitucije </w:t>
      </w:r>
      <w:proofErr w:type="gramStart"/>
      <w:r w:rsidRPr="00442616">
        <w:rPr>
          <w:sz w:val="22"/>
          <w:szCs w:val="22"/>
        </w:rPr>
        <w:t>sa</w:t>
      </w:r>
      <w:proofErr w:type="gramEnd"/>
      <w:r w:rsidRPr="00442616">
        <w:rPr>
          <w:sz w:val="22"/>
          <w:szCs w:val="22"/>
        </w:rPr>
        <w:t xml:space="preserve"> sterilnom vodom za injekcije</w:t>
      </w:r>
      <w:r w:rsidR="003F6A56">
        <w:rPr>
          <w:sz w:val="22"/>
          <w:szCs w:val="22"/>
        </w:rPr>
        <w:t>,</w:t>
      </w:r>
      <w:r w:rsidRPr="00442616">
        <w:rPr>
          <w:sz w:val="22"/>
          <w:szCs w:val="22"/>
        </w:rPr>
        <w:t xml:space="preserve"> rekonstituisani rastvor je fizički i hemijski stabilan 48 sati na temperaturi 2</w:t>
      </w:r>
      <w:r w:rsidR="00641EEB" w:rsidRPr="00A031AC">
        <w:rPr>
          <w:szCs w:val="22"/>
          <w:lang w:val="hr-HR"/>
        </w:rPr>
        <w:t>°C</w:t>
      </w:r>
      <w:r w:rsidRPr="00442616">
        <w:rPr>
          <w:sz w:val="22"/>
          <w:szCs w:val="22"/>
        </w:rPr>
        <w:t>-8</w:t>
      </w:r>
      <w:r w:rsidR="00641EEB" w:rsidRPr="00A031AC">
        <w:rPr>
          <w:szCs w:val="22"/>
          <w:lang w:val="hr-HR"/>
        </w:rPr>
        <w:t>°C</w:t>
      </w:r>
      <w:r w:rsidRPr="00442616">
        <w:rPr>
          <w:sz w:val="22"/>
          <w:szCs w:val="22"/>
        </w:rPr>
        <w:t xml:space="preserve">. </w:t>
      </w:r>
    </w:p>
    <w:p w14:paraId="28455D7F" w14:textId="77777777" w:rsidR="003F6A56" w:rsidRDefault="003F6A56" w:rsidP="00641EEB">
      <w:pPr>
        <w:jc w:val="both"/>
        <w:rPr>
          <w:sz w:val="22"/>
          <w:szCs w:val="22"/>
        </w:rPr>
      </w:pPr>
    </w:p>
    <w:p w14:paraId="5AEFB5EE" w14:textId="7CFF4C9D" w:rsidR="008B20E9" w:rsidRPr="00442616" w:rsidRDefault="003F6A56" w:rsidP="00641EEB">
      <w:pPr>
        <w:jc w:val="both"/>
        <w:rPr>
          <w:sz w:val="22"/>
          <w:szCs w:val="22"/>
        </w:rPr>
      </w:pPr>
      <w:r>
        <w:rPr>
          <w:sz w:val="22"/>
          <w:szCs w:val="22"/>
        </w:rPr>
        <w:t xml:space="preserve">Nakon aseptičnog razblaživanja </w:t>
      </w:r>
      <w:r w:rsidR="008B20E9" w:rsidRPr="00442616">
        <w:rPr>
          <w:sz w:val="22"/>
          <w:szCs w:val="22"/>
        </w:rPr>
        <w:t>u polivinilhloridnoj, polietilenskoj ili polipropilenskoj kesi koja sadrži 9 mg/ml (0</w:t>
      </w:r>
      <w:proofErr w:type="gramStart"/>
      <w:r w:rsidR="008B20E9" w:rsidRPr="00442616">
        <w:rPr>
          <w:sz w:val="22"/>
          <w:szCs w:val="22"/>
        </w:rPr>
        <w:t>,9</w:t>
      </w:r>
      <w:proofErr w:type="gramEnd"/>
      <w:r w:rsidR="008B20E9" w:rsidRPr="00442616">
        <w:rPr>
          <w:sz w:val="22"/>
          <w:szCs w:val="22"/>
        </w:rPr>
        <w:t xml:space="preserve">%) </w:t>
      </w:r>
      <w:r w:rsidR="00102FC4">
        <w:rPr>
          <w:sz w:val="22"/>
          <w:szCs w:val="22"/>
        </w:rPr>
        <w:t xml:space="preserve">rastvor </w:t>
      </w:r>
      <w:r w:rsidR="008B20E9" w:rsidRPr="00442616">
        <w:rPr>
          <w:sz w:val="22"/>
          <w:szCs w:val="22"/>
        </w:rPr>
        <w:t>natrijum hlorida za injekciju, fizičk</w:t>
      </w:r>
      <w:r>
        <w:rPr>
          <w:sz w:val="22"/>
          <w:szCs w:val="22"/>
        </w:rPr>
        <w:t>a</w:t>
      </w:r>
      <w:r w:rsidR="008B20E9" w:rsidRPr="00442616">
        <w:rPr>
          <w:sz w:val="22"/>
          <w:szCs w:val="22"/>
        </w:rPr>
        <w:t xml:space="preserve"> i hemijsk</w:t>
      </w:r>
      <w:r>
        <w:rPr>
          <w:sz w:val="22"/>
          <w:szCs w:val="22"/>
        </w:rPr>
        <w:t>a stabilnost lijeka Herceptin dokazana</w:t>
      </w:r>
      <w:r w:rsidR="008B20E9" w:rsidRPr="00442616">
        <w:rPr>
          <w:sz w:val="22"/>
          <w:szCs w:val="22"/>
        </w:rPr>
        <w:t xml:space="preserve"> je </w:t>
      </w:r>
      <w:r>
        <w:rPr>
          <w:sz w:val="22"/>
          <w:szCs w:val="22"/>
        </w:rPr>
        <w:t xml:space="preserve">do 30 dana na temperature od </w:t>
      </w:r>
      <w:r w:rsidRPr="00A031AC">
        <w:rPr>
          <w:szCs w:val="22"/>
          <w:lang w:val="hr-HR"/>
        </w:rPr>
        <w:t>2°C do 8°C</w:t>
      </w:r>
      <w:r>
        <w:rPr>
          <w:szCs w:val="22"/>
          <w:lang w:val="hr-HR"/>
        </w:rPr>
        <w:t xml:space="preserve"> i</w:t>
      </w:r>
      <w:r w:rsidR="00641EEB">
        <w:rPr>
          <w:szCs w:val="22"/>
          <w:lang w:val="hr-HR"/>
        </w:rPr>
        <w:t xml:space="preserve"> </w:t>
      </w:r>
      <w:r w:rsidR="008B20E9" w:rsidRPr="00442616">
        <w:rPr>
          <w:sz w:val="22"/>
          <w:szCs w:val="22"/>
        </w:rPr>
        <w:t>24 časa na temperaturi ispod 30</w:t>
      </w:r>
      <w:r w:rsidR="00641EEB" w:rsidRPr="00A031AC">
        <w:rPr>
          <w:szCs w:val="22"/>
          <w:lang w:val="hr-HR"/>
        </w:rPr>
        <w:t>°C</w:t>
      </w:r>
      <w:r w:rsidR="008B20E9" w:rsidRPr="00442616">
        <w:rPr>
          <w:sz w:val="22"/>
          <w:szCs w:val="22"/>
        </w:rPr>
        <w:t xml:space="preserve">. </w:t>
      </w:r>
    </w:p>
    <w:p w14:paraId="39235FAD" w14:textId="77777777" w:rsidR="008B20E9" w:rsidRPr="00442616" w:rsidRDefault="008B20E9" w:rsidP="00641EEB">
      <w:pPr>
        <w:jc w:val="both"/>
        <w:rPr>
          <w:sz w:val="22"/>
          <w:szCs w:val="22"/>
        </w:rPr>
      </w:pPr>
    </w:p>
    <w:p w14:paraId="1880DE08" w14:textId="692B3033" w:rsidR="0072020E" w:rsidRDefault="008B20E9" w:rsidP="00641EEB">
      <w:pPr>
        <w:jc w:val="both"/>
        <w:rPr>
          <w:sz w:val="22"/>
          <w:szCs w:val="22"/>
          <w:lang w:val="sr-Latn-CS"/>
        </w:rPr>
      </w:pPr>
      <w:proofErr w:type="gramStart"/>
      <w:r w:rsidRPr="00442616">
        <w:rPr>
          <w:sz w:val="22"/>
          <w:szCs w:val="22"/>
        </w:rPr>
        <w:t>Sa</w:t>
      </w:r>
      <w:proofErr w:type="gramEnd"/>
      <w:r w:rsidRPr="00442616">
        <w:rPr>
          <w:sz w:val="22"/>
          <w:szCs w:val="22"/>
        </w:rPr>
        <w:t xml:space="preserve"> mikrobiološke tačke gledišta, rekonstituisani rastvor i infuzioni rastvor lijeka Herceptin potrebno je odmah primjeniti. </w:t>
      </w:r>
      <w:r w:rsidR="003F6A56">
        <w:rPr>
          <w:sz w:val="22"/>
          <w:szCs w:val="22"/>
        </w:rPr>
        <w:t xml:space="preserve">Ako se lijek ne primjeni odmah, vrijeme i uslovi čuvanja prije upotrebe su odgovornost korisnika i ne bi trebali biti duži od 24 časa na temperaturi </w:t>
      </w:r>
      <w:r w:rsidR="003F6A56" w:rsidRPr="001274C7">
        <w:rPr>
          <w:sz w:val="22"/>
          <w:szCs w:val="22"/>
        </w:rPr>
        <w:t>2°C do 8°C,</w:t>
      </w:r>
      <w:r w:rsidR="003F6A56">
        <w:rPr>
          <w:szCs w:val="22"/>
          <w:lang w:val="hr-HR"/>
        </w:rPr>
        <w:t xml:space="preserve"> </w:t>
      </w:r>
      <w:r w:rsidRPr="00442616">
        <w:rPr>
          <w:sz w:val="22"/>
          <w:szCs w:val="22"/>
        </w:rPr>
        <w:t xml:space="preserve">osim ukoliko se rekonstitucija i razblaživanje ne vrši u kontrolisanim i validiranim aseptičnim uslovima. </w:t>
      </w:r>
    </w:p>
    <w:p w14:paraId="2C38C2CB" w14:textId="77777777" w:rsidR="008B20E9" w:rsidRPr="00786071" w:rsidRDefault="008B20E9" w:rsidP="00641EEB">
      <w:pPr>
        <w:jc w:val="both"/>
        <w:rPr>
          <w:bCs/>
          <w:sz w:val="22"/>
          <w:szCs w:val="22"/>
        </w:rPr>
      </w:pPr>
    </w:p>
    <w:p w14:paraId="1880DE09" w14:textId="77777777" w:rsidR="0072020E" w:rsidRPr="00786071" w:rsidRDefault="0072020E" w:rsidP="00641EEB">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14:paraId="1880DE0A" w14:textId="2FE19B03" w:rsidR="00EC2532" w:rsidRDefault="00EC2532" w:rsidP="00641EEB">
      <w:pPr>
        <w:tabs>
          <w:tab w:val="left" w:pos="540"/>
          <w:tab w:val="left" w:pos="569"/>
        </w:tabs>
        <w:rPr>
          <w:bCs/>
          <w:sz w:val="22"/>
          <w:szCs w:val="22"/>
        </w:rPr>
      </w:pPr>
    </w:p>
    <w:p w14:paraId="62FFB5BD" w14:textId="108B2957" w:rsidR="008B20E9" w:rsidRDefault="008B20E9" w:rsidP="00641EEB">
      <w:pPr>
        <w:rPr>
          <w:sz w:val="22"/>
          <w:szCs w:val="22"/>
          <w:lang w:val="pt-BR"/>
        </w:rPr>
      </w:pPr>
      <w:r>
        <w:rPr>
          <w:sz w:val="22"/>
          <w:szCs w:val="22"/>
          <w:lang w:val="pt-BR"/>
        </w:rPr>
        <w:t>Čuvati u frižideru (2</w:t>
      </w:r>
      <w:r w:rsidR="00641EEB" w:rsidRPr="00A031AC">
        <w:rPr>
          <w:szCs w:val="22"/>
          <w:lang w:val="hr-HR"/>
        </w:rPr>
        <w:t>°C</w:t>
      </w:r>
      <w:r>
        <w:rPr>
          <w:sz w:val="22"/>
          <w:szCs w:val="22"/>
          <w:lang w:val="pt-BR"/>
        </w:rPr>
        <w:t xml:space="preserve"> do 8</w:t>
      </w:r>
      <w:r w:rsidR="00641EEB" w:rsidRPr="00A031AC">
        <w:rPr>
          <w:szCs w:val="22"/>
          <w:lang w:val="hr-HR"/>
        </w:rPr>
        <w:t>°C</w:t>
      </w:r>
      <w:r>
        <w:rPr>
          <w:sz w:val="22"/>
          <w:szCs w:val="22"/>
          <w:lang w:val="pt-BR"/>
        </w:rPr>
        <w:t xml:space="preserve">). </w:t>
      </w:r>
    </w:p>
    <w:p w14:paraId="1A46C29F" w14:textId="3A6761DC" w:rsidR="003F6A56" w:rsidRDefault="003F6A56" w:rsidP="00641EEB">
      <w:pPr>
        <w:rPr>
          <w:sz w:val="22"/>
          <w:szCs w:val="22"/>
          <w:lang w:val="pt-BR"/>
        </w:rPr>
      </w:pPr>
      <w:r>
        <w:rPr>
          <w:sz w:val="22"/>
          <w:szCs w:val="22"/>
          <w:lang w:val="pt-BR"/>
        </w:rPr>
        <w:t>Rekonstituisan rastvor se ne smije zamrzavati.</w:t>
      </w:r>
    </w:p>
    <w:p w14:paraId="06EBF5E5" w14:textId="77777777" w:rsidR="008B20E9" w:rsidRDefault="008B20E9" w:rsidP="00641EEB">
      <w:pPr>
        <w:rPr>
          <w:sz w:val="22"/>
          <w:szCs w:val="22"/>
          <w:lang w:val="pt-BR"/>
        </w:rPr>
      </w:pPr>
      <w:r>
        <w:rPr>
          <w:sz w:val="22"/>
          <w:szCs w:val="22"/>
          <w:lang w:val="pt-BR"/>
        </w:rPr>
        <w:t>Uslove čuvanja otvorenog lijeka vidjeti u dijelu 6.3 i 6.6.</w:t>
      </w:r>
    </w:p>
    <w:p w14:paraId="7D04A1FF" w14:textId="77777777" w:rsidR="008B20E9" w:rsidRPr="00442616" w:rsidRDefault="008B20E9" w:rsidP="00641EEB">
      <w:pPr>
        <w:tabs>
          <w:tab w:val="left" w:pos="540"/>
          <w:tab w:val="left" w:pos="569"/>
        </w:tabs>
        <w:rPr>
          <w:bCs/>
          <w:sz w:val="22"/>
          <w:szCs w:val="22"/>
          <w:lang w:val="pt-BR"/>
        </w:rPr>
      </w:pPr>
    </w:p>
    <w:p w14:paraId="1880DE0B" w14:textId="77777777" w:rsidR="0072020E" w:rsidRPr="00786071" w:rsidRDefault="0072020E" w:rsidP="00BA76B8">
      <w:pPr>
        <w:tabs>
          <w:tab w:val="left" w:pos="540"/>
          <w:tab w:val="left" w:pos="569"/>
        </w:tabs>
        <w:jc w:val="both"/>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14:paraId="1880DE0C" w14:textId="5D087796" w:rsidR="0072020E" w:rsidRDefault="0072020E" w:rsidP="00BA76B8">
      <w:pPr>
        <w:tabs>
          <w:tab w:val="left" w:pos="540"/>
          <w:tab w:val="left" w:pos="569"/>
        </w:tabs>
        <w:jc w:val="both"/>
        <w:rPr>
          <w:bCs/>
          <w:sz w:val="22"/>
          <w:szCs w:val="22"/>
        </w:rPr>
      </w:pPr>
    </w:p>
    <w:p w14:paraId="23B73437" w14:textId="77777777" w:rsidR="008B20E9" w:rsidRDefault="008B20E9" w:rsidP="00BA76B8">
      <w:pPr>
        <w:jc w:val="both"/>
        <w:rPr>
          <w:i/>
          <w:sz w:val="22"/>
          <w:szCs w:val="22"/>
          <w:lang w:val="sr-Latn-CS"/>
        </w:rPr>
      </w:pPr>
      <w:r>
        <w:rPr>
          <w:i/>
          <w:sz w:val="22"/>
          <w:szCs w:val="22"/>
          <w:lang w:val="sr-Latn-CS"/>
        </w:rPr>
        <w:t>Herceptin bočice</w:t>
      </w:r>
    </w:p>
    <w:p w14:paraId="465AF2AE" w14:textId="77777777" w:rsidR="008B20E9" w:rsidRDefault="008B20E9">
      <w:pPr>
        <w:jc w:val="both"/>
        <w:rPr>
          <w:sz w:val="22"/>
          <w:szCs w:val="22"/>
          <w:lang w:val="sr-Latn-CS"/>
        </w:rPr>
      </w:pPr>
      <w:r>
        <w:rPr>
          <w:sz w:val="22"/>
          <w:szCs w:val="22"/>
          <w:lang w:val="sr-Latn-CS"/>
        </w:rPr>
        <w:t xml:space="preserve">Jedna staklena bočica od 15 ml (bezbojno staklo tipa I) sa butil gumenim čepom presvučenim fluoro-rezinskim filmom sadrži 150 mg trastuzumaba. </w:t>
      </w:r>
    </w:p>
    <w:p w14:paraId="28E0A25D" w14:textId="6F769A1D" w:rsidR="008B20E9" w:rsidRPr="008B20E9" w:rsidRDefault="008B20E9" w:rsidP="00BA76B8">
      <w:pPr>
        <w:jc w:val="both"/>
        <w:rPr>
          <w:sz w:val="22"/>
          <w:szCs w:val="22"/>
          <w:lang w:val="sr-Latn-CS"/>
        </w:rPr>
      </w:pPr>
      <w:r>
        <w:rPr>
          <w:sz w:val="22"/>
          <w:szCs w:val="22"/>
          <w:lang w:val="sr-Latn-CS"/>
        </w:rPr>
        <w:t>Jedna kutija sadrži jednu bočicu.</w:t>
      </w:r>
    </w:p>
    <w:p w14:paraId="1780B464" w14:textId="77777777" w:rsidR="008B20E9" w:rsidRPr="00442616" w:rsidRDefault="008B20E9" w:rsidP="00BA76B8">
      <w:pPr>
        <w:tabs>
          <w:tab w:val="left" w:pos="540"/>
          <w:tab w:val="left" w:pos="569"/>
        </w:tabs>
        <w:jc w:val="both"/>
        <w:rPr>
          <w:bCs/>
          <w:sz w:val="22"/>
          <w:szCs w:val="22"/>
          <w:lang w:val="sr-Latn-CS"/>
        </w:rPr>
      </w:pPr>
    </w:p>
    <w:p w14:paraId="1880DE0D" w14:textId="43B1BB57" w:rsidR="002846DB" w:rsidRDefault="0072020E" w:rsidP="00BA76B8">
      <w:pPr>
        <w:tabs>
          <w:tab w:val="left" w:pos="540"/>
          <w:tab w:val="left" w:pos="569"/>
        </w:tabs>
        <w:jc w:val="both"/>
        <w:rPr>
          <w:b/>
          <w:bCs/>
          <w:sz w:val="22"/>
          <w:szCs w:val="22"/>
          <w:lang w:val="sr-Latn-CS"/>
        </w:rPr>
      </w:pPr>
      <w:r w:rsidRPr="00442616">
        <w:rPr>
          <w:b/>
          <w:bCs/>
          <w:sz w:val="22"/>
          <w:szCs w:val="22"/>
          <w:lang w:val="sr-Latn-CS"/>
        </w:rPr>
        <w:t xml:space="preserve">6.6. </w:t>
      </w:r>
      <w:r w:rsidR="00480FB1" w:rsidRPr="00442616">
        <w:rPr>
          <w:b/>
          <w:bCs/>
          <w:sz w:val="22"/>
          <w:szCs w:val="22"/>
          <w:lang w:val="sr-Latn-CS"/>
        </w:rPr>
        <w:tab/>
      </w:r>
      <w:r w:rsidRPr="00D47634">
        <w:rPr>
          <w:b/>
          <w:bCs/>
          <w:color w:val="000000"/>
          <w:sz w:val="22"/>
          <w:szCs w:val="22"/>
        </w:rPr>
        <w:t>Posebne</w:t>
      </w:r>
      <w:r w:rsidRPr="00442616">
        <w:rPr>
          <w:b/>
          <w:bCs/>
          <w:color w:val="000000"/>
          <w:sz w:val="22"/>
          <w:szCs w:val="22"/>
          <w:lang w:val="sr-Latn-CS"/>
        </w:rPr>
        <w:t xml:space="preserve"> </w:t>
      </w:r>
      <w:r w:rsidRPr="00D47634">
        <w:rPr>
          <w:b/>
          <w:bCs/>
          <w:color w:val="000000"/>
          <w:sz w:val="22"/>
          <w:szCs w:val="22"/>
        </w:rPr>
        <w:t>mjere</w:t>
      </w:r>
      <w:r w:rsidRPr="00442616">
        <w:rPr>
          <w:b/>
          <w:bCs/>
          <w:color w:val="000000"/>
          <w:sz w:val="22"/>
          <w:szCs w:val="22"/>
          <w:lang w:val="sr-Latn-CS"/>
        </w:rPr>
        <w:t xml:space="preserve"> </w:t>
      </w:r>
      <w:r w:rsidRPr="00D47634">
        <w:rPr>
          <w:b/>
          <w:bCs/>
          <w:color w:val="000000"/>
          <w:sz w:val="22"/>
          <w:szCs w:val="22"/>
        </w:rPr>
        <w:t>opreza</w:t>
      </w:r>
      <w:r w:rsidRPr="00442616">
        <w:rPr>
          <w:b/>
          <w:bCs/>
          <w:color w:val="000000"/>
          <w:sz w:val="22"/>
          <w:szCs w:val="22"/>
          <w:lang w:val="sr-Latn-CS"/>
        </w:rPr>
        <w:t xml:space="preserve"> </w:t>
      </w:r>
      <w:r w:rsidRPr="00D47634">
        <w:rPr>
          <w:b/>
          <w:bCs/>
          <w:color w:val="000000"/>
          <w:sz w:val="22"/>
          <w:szCs w:val="22"/>
        </w:rPr>
        <w:t>pri</w:t>
      </w:r>
      <w:r w:rsidRPr="00442616">
        <w:rPr>
          <w:b/>
          <w:bCs/>
          <w:color w:val="000000"/>
          <w:sz w:val="22"/>
          <w:szCs w:val="22"/>
          <w:lang w:val="sr-Latn-CS"/>
        </w:rPr>
        <w:t xml:space="preserve"> </w:t>
      </w:r>
      <w:r w:rsidRPr="00D47634">
        <w:rPr>
          <w:b/>
          <w:bCs/>
          <w:color w:val="000000"/>
          <w:sz w:val="22"/>
          <w:szCs w:val="22"/>
        </w:rPr>
        <w:t>odlaganju</w:t>
      </w:r>
      <w:r w:rsidRPr="00442616">
        <w:rPr>
          <w:b/>
          <w:bCs/>
          <w:color w:val="000000"/>
          <w:sz w:val="22"/>
          <w:szCs w:val="22"/>
          <w:lang w:val="sr-Latn-CS"/>
        </w:rPr>
        <w:t xml:space="preserve"> </w:t>
      </w:r>
      <w:r w:rsidRPr="00D47634">
        <w:rPr>
          <w:b/>
          <w:bCs/>
          <w:color w:val="000000"/>
          <w:sz w:val="22"/>
          <w:szCs w:val="22"/>
        </w:rPr>
        <w:t>materijala</w:t>
      </w:r>
      <w:r w:rsidRPr="00442616">
        <w:rPr>
          <w:b/>
          <w:bCs/>
          <w:color w:val="000000"/>
          <w:sz w:val="22"/>
          <w:szCs w:val="22"/>
          <w:lang w:val="sr-Latn-CS"/>
        </w:rPr>
        <w:t xml:space="preserve"> </w:t>
      </w:r>
      <w:r w:rsidRPr="00D47634">
        <w:rPr>
          <w:b/>
          <w:bCs/>
          <w:color w:val="000000"/>
          <w:sz w:val="22"/>
          <w:szCs w:val="22"/>
        </w:rPr>
        <w:t>koji</w:t>
      </w:r>
      <w:r w:rsidRPr="00442616">
        <w:rPr>
          <w:b/>
          <w:bCs/>
          <w:color w:val="000000"/>
          <w:sz w:val="22"/>
          <w:szCs w:val="22"/>
          <w:lang w:val="sr-Latn-CS"/>
        </w:rPr>
        <w:t xml:space="preserve"> </w:t>
      </w:r>
      <w:r w:rsidRPr="00D47634">
        <w:rPr>
          <w:b/>
          <w:bCs/>
          <w:color w:val="000000"/>
          <w:sz w:val="22"/>
          <w:szCs w:val="22"/>
        </w:rPr>
        <w:t>treba</w:t>
      </w:r>
      <w:r w:rsidRPr="00442616">
        <w:rPr>
          <w:b/>
          <w:bCs/>
          <w:color w:val="000000"/>
          <w:sz w:val="22"/>
          <w:szCs w:val="22"/>
          <w:lang w:val="sr-Latn-CS"/>
        </w:rPr>
        <w:t xml:space="preserve"> </w:t>
      </w:r>
      <w:r w:rsidRPr="00D47634">
        <w:rPr>
          <w:b/>
          <w:bCs/>
          <w:color w:val="000000"/>
          <w:sz w:val="22"/>
          <w:szCs w:val="22"/>
        </w:rPr>
        <w:t>odbaciti</w:t>
      </w:r>
      <w:r w:rsidRPr="00442616">
        <w:rPr>
          <w:b/>
          <w:bCs/>
          <w:color w:val="000000"/>
          <w:sz w:val="22"/>
          <w:szCs w:val="22"/>
          <w:lang w:val="sr-Latn-CS"/>
        </w:rPr>
        <w:t xml:space="preserve"> </w:t>
      </w:r>
      <w:r w:rsidRPr="00D47634">
        <w:rPr>
          <w:b/>
          <w:bCs/>
          <w:color w:val="000000"/>
          <w:sz w:val="22"/>
          <w:szCs w:val="22"/>
        </w:rPr>
        <w:t>nakon</w:t>
      </w:r>
      <w:r w:rsidRPr="00442616">
        <w:rPr>
          <w:b/>
          <w:bCs/>
          <w:color w:val="000000"/>
          <w:sz w:val="22"/>
          <w:szCs w:val="22"/>
          <w:lang w:val="sr-Latn-CS"/>
        </w:rPr>
        <w:t xml:space="preserve"> </w:t>
      </w:r>
      <w:r w:rsidRPr="00D47634">
        <w:rPr>
          <w:b/>
          <w:bCs/>
          <w:color w:val="000000"/>
          <w:sz w:val="22"/>
          <w:szCs w:val="22"/>
        </w:rPr>
        <w:t>primjene</w:t>
      </w:r>
      <w:r w:rsidRPr="00442616">
        <w:rPr>
          <w:b/>
          <w:bCs/>
          <w:color w:val="000000"/>
          <w:sz w:val="22"/>
          <w:szCs w:val="22"/>
          <w:lang w:val="sr-Latn-CS"/>
        </w:rPr>
        <w:t xml:space="preserve"> </w:t>
      </w:r>
      <w:r w:rsidRPr="00D47634">
        <w:rPr>
          <w:b/>
          <w:bCs/>
          <w:color w:val="000000"/>
          <w:sz w:val="22"/>
          <w:szCs w:val="22"/>
        </w:rPr>
        <w:t>lijeka</w:t>
      </w:r>
      <w:r w:rsidRPr="00442616">
        <w:rPr>
          <w:b/>
          <w:bCs/>
          <w:sz w:val="22"/>
          <w:szCs w:val="22"/>
          <w:lang w:val="sr-Latn-CS"/>
        </w:rPr>
        <w:t xml:space="preserve"> </w:t>
      </w:r>
      <w:r w:rsidR="00310F03" w:rsidRPr="00442616">
        <w:rPr>
          <w:b/>
          <w:bCs/>
          <w:sz w:val="22"/>
          <w:szCs w:val="22"/>
          <w:lang w:val="sr-Latn-CS"/>
        </w:rPr>
        <w:t>(</w:t>
      </w:r>
      <w:r w:rsidR="00310F03">
        <w:rPr>
          <w:b/>
          <w:bCs/>
          <w:sz w:val="22"/>
          <w:szCs w:val="22"/>
        </w:rPr>
        <w:t>i</w:t>
      </w:r>
      <w:r w:rsidR="00310F03" w:rsidRPr="00442616">
        <w:rPr>
          <w:b/>
          <w:bCs/>
          <w:sz w:val="22"/>
          <w:szCs w:val="22"/>
          <w:lang w:val="sr-Latn-CS"/>
        </w:rPr>
        <w:t xml:space="preserve"> </w:t>
      </w:r>
      <w:r w:rsidR="00310F03">
        <w:rPr>
          <w:b/>
          <w:bCs/>
          <w:sz w:val="22"/>
          <w:szCs w:val="22"/>
        </w:rPr>
        <w:t>druga</w:t>
      </w:r>
      <w:r w:rsidR="00310F03" w:rsidRPr="00442616">
        <w:rPr>
          <w:b/>
          <w:bCs/>
          <w:sz w:val="22"/>
          <w:szCs w:val="22"/>
          <w:lang w:val="sr-Latn-CS"/>
        </w:rPr>
        <w:t xml:space="preserve"> </w:t>
      </w:r>
      <w:r w:rsidR="00310F03">
        <w:rPr>
          <w:b/>
          <w:bCs/>
          <w:sz w:val="22"/>
          <w:szCs w:val="22"/>
        </w:rPr>
        <w:t>uputsva</w:t>
      </w:r>
      <w:r w:rsidR="00310F03" w:rsidRPr="00442616">
        <w:rPr>
          <w:b/>
          <w:bCs/>
          <w:sz w:val="22"/>
          <w:szCs w:val="22"/>
          <w:lang w:val="sr-Latn-CS"/>
        </w:rPr>
        <w:t xml:space="preserve"> </w:t>
      </w:r>
      <w:r w:rsidR="00310F03">
        <w:rPr>
          <w:b/>
          <w:bCs/>
          <w:sz w:val="22"/>
          <w:szCs w:val="22"/>
        </w:rPr>
        <w:t>za</w:t>
      </w:r>
      <w:r w:rsidR="00310F03" w:rsidRPr="00442616">
        <w:rPr>
          <w:b/>
          <w:bCs/>
          <w:sz w:val="22"/>
          <w:szCs w:val="22"/>
          <w:lang w:val="sr-Latn-CS"/>
        </w:rPr>
        <w:t xml:space="preserve"> </w:t>
      </w:r>
      <w:r w:rsidR="00310F03">
        <w:rPr>
          <w:b/>
          <w:bCs/>
          <w:sz w:val="22"/>
          <w:szCs w:val="22"/>
        </w:rPr>
        <w:t>rukovanje</w:t>
      </w:r>
      <w:r w:rsidR="00310F03" w:rsidRPr="00442616">
        <w:rPr>
          <w:b/>
          <w:bCs/>
          <w:sz w:val="22"/>
          <w:szCs w:val="22"/>
          <w:lang w:val="sr-Latn-CS"/>
        </w:rPr>
        <w:t xml:space="preserve"> </w:t>
      </w:r>
      <w:r w:rsidR="00310F03">
        <w:rPr>
          <w:b/>
          <w:bCs/>
          <w:sz w:val="22"/>
          <w:szCs w:val="22"/>
        </w:rPr>
        <w:t>lijekom</w:t>
      </w:r>
      <w:r w:rsidR="00310F03" w:rsidRPr="00442616">
        <w:rPr>
          <w:b/>
          <w:bCs/>
          <w:sz w:val="22"/>
          <w:szCs w:val="22"/>
          <w:lang w:val="sr-Latn-CS"/>
        </w:rPr>
        <w:t xml:space="preserve">) </w:t>
      </w:r>
    </w:p>
    <w:p w14:paraId="146CC0B1" w14:textId="7646CD3E" w:rsidR="007672E8" w:rsidRPr="001274C7" w:rsidRDefault="007672E8" w:rsidP="00BA76B8">
      <w:pPr>
        <w:tabs>
          <w:tab w:val="left" w:pos="540"/>
          <w:tab w:val="left" w:pos="569"/>
        </w:tabs>
        <w:jc w:val="both"/>
        <w:rPr>
          <w:sz w:val="22"/>
          <w:szCs w:val="22"/>
          <w:lang w:val="sr-Latn-CS"/>
        </w:rPr>
      </w:pPr>
    </w:p>
    <w:p w14:paraId="1FE9B7F6" w14:textId="05440636" w:rsidR="007672E8" w:rsidRPr="001274C7" w:rsidRDefault="007672E8" w:rsidP="00BA76B8">
      <w:pPr>
        <w:jc w:val="both"/>
        <w:rPr>
          <w:sz w:val="22"/>
          <w:szCs w:val="22"/>
          <w:lang w:val="sr-Latn-CS"/>
        </w:rPr>
      </w:pPr>
      <w:r w:rsidRPr="001274C7">
        <w:rPr>
          <w:sz w:val="22"/>
          <w:szCs w:val="22"/>
          <w:lang w:val="sr-Latn-CS"/>
        </w:rPr>
        <w:t>Formulacija lijeka Herceptin za intravensku primjenu dolazi u sterilnim, nepirogenim bočicama za jednokratnu upo</w:t>
      </w:r>
      <w:r>
        <w:rPr>
          <w:sz w:val="22"/>
          <w:szCs w:val="22"/>
          <w:lang w:val="sr-Latn-CS"/>
        </w:rPr>
        <w:t>trebu</w:t>
      </w:r>
      <w:r w:rsidRPr="001274C7">
        <w:rPr>
          <w:sz w:val="22"/>
          <w:szCs w:val="22"/>
          <w:lang w:val="sr-Latn-CS"/>
        </w:rPr>
        <w:t xml:space="preserve"> koje ne sadrže konzervanse.</w:t>
      </w:r>
    </w:p>
    <w:p w14:paraId="64430C24" w14:textId="77777777" w:rsidR="007672E8" w:rsidRPr="001274C7" w:rsidRDefault="007672E8" w:rsidP="00BA76B8">
      <w:pPr>
        <w:jc w:val="both"/>
        <w:rPr>
          <w:sz w:val="22"/>
          <w:szCs w:val="22"/>
          <w:lang w:val="sr-Latn-CS"/>
        </w:rPr>
      </w:pPr>
    </w:p>
    <w:p w14:paraId="7B35AE9F" w14:textId="3C9CA609" w:rsidR="007672E8" w:rsidRPr="001274C7" w:rsidRDefault="007672E8" w:rsidP="00BA76B8">
      <w:pPr>
        <w:jc w:val="both"/>
        <w:rPr>
          <w:sz w:val="22"/>
          <w:szCs w:val="22"/>
          <w:lang w:val="sr-Latn-CS"/>
        </w:rPr>
      </w:pPr>
      <w:r w:rsidRPr="001274C7">
        <w:rPr>
          <w:sz w:val="22"/>
          <w:szCs w:val="22"/>
          <w:lang w:val="sr-Latn-CS"/>
        </w:rPr>
        <w:t>T</w:t>
      </w:r>
      <w:r>
        <w:rPr>
          <w:sz w:val="22"/>
          <w:szCs w:val="22"/>
          <w:lang w:val="sr-Latn-CS"/>
        </w:rPr>
        <w:t>o</w:t>
      </w:r>
      <w:r w:rsidRPr="001274C7">
        <w:rPr>
          <w:sz w:val="22"/>
          <w:szCs w:val="22"/>
          <w:lang w:val="sr-Latn-CS"/>
        </w:rPr>
        <w:t>kom postupaka rekonstitucije i raz</w:t>
      </w:r>
      <w:r>
        <w:rPr>
          <w:sz w:val="22"/>
          <w:szCs w:val="22"/>
          <w:lang w:val="sr-Latn-CS"/>
        </w:rPr>
        <w:t>blaživanja</w:t>
      </w:r>
      <w:r w:rsidRPr="001274C7">
        <w:rPr>
          <w:sz w:val="22"/>
          <w:szCs w:val="22"/>
          <w:lang w:val="sr-Latn-CS"/>
        </w:rPr>
        <w:t xml:space="preserve"> potrebno je primijeniti odgovarajuću aseptič</w:t>
      </w:r>
      <w:r>
        <w:rPr>
          <w:sz w:val="22"/>
          <w:szCs w:val="22"/>
          <w:lang w:val="sr-Latn-CS"/>
        </w:rPr>
        <w:t>n</w:t>
      </w:r>
      <w:r w:rsidRPr="001274C7">
        <w:rPr>
          <w:sz w:val="22"/>
          <w:szCs w:val="22"/>
          <w:lang w:val="sr-Latn-CS"/>
        </w:rPr>
        <w:t>u tehniku. Moraju se p</w:t>
      </w:r>
      <w:r>
        <w:rPr>
          <w:sz w:val="22"/>
          <w:szCs w:val="22"/>
          <w:lang w:val="sr-Latn-CS"/>
        </w:rPr>
        <w:t>reduzeti</w:t>
      </w:r>
      <w:r w:rsidRPr="007672E8">
        <w:rPr>
          <w:sz w:val="22"/>
          <w:szCs w:val="22"/>
          <w:lang w:val="sr-Latn-CS"/>
        </w:rPr>
        <w:t xml:space="preserve"> m</w:t>
      </w:r>
      <w:r w:rsidR="00102FC4" w:rsidRPr="00102FC4">
        <w:rPr>
          <w:sz w:val="22"/>
          <w:szCs w:val="22"/>
          <w:lang w:val="sr-Latn-CS"/>
        </w:rPr>
        <w:t xml:space="preserve">ere </w:t>
      </w:r>
      <w:r w:rsidR="00102FC4">
        <w:rPr>
          <w:sz w:val="22"/>
          <w:szCs w:val="22"/>
          <w:lang w:val="sr-Latn-CS"/>
        </w:rPr>
        <w:t>kako</w:t>
      </w:r>
      <w:r w:rsidRPr="001274C7">
        <w:rPr>
          <w:sz w:val="22"/>
          <w:szCs w:val="22"/>
          <w:lang w:val="sr-Latn-CS"/>
        </w:rPr>
        <w:t xml:space="preserve"> bi se osigurala sterilnost pripremljenih </w:t>
      </w:r>
      <w:r>
        <w:rPr>
          <w:sz w:val="22"/>
          <w:szCs w:val="22"/>
          <w:lang w:val="sr-Latn-CS"/>
        </w:rPr>
        <w:t>rastvora</w:t>
      </w:r>
      <w:r w:rsidRPr="001274C7">
        <w:rPr>
          <w:sz w:val="22"/>
          <w:szCs w:val="22"/>
          <w:lang w:val="sr-Latn-CS"/>
        </w:rPr>
        <w:t>. Budući da lijek ne sadrži antimikrobne konzervanse ni bakteriostatska sredstva, mora se pošt</w:t>
      </w:r>
      <w:r>
        <w:rPr>
          <w:sz w:val="22"/>
          <w:szCs w:val="22"/>
          <w:lang w:val="sr-Latn-CS"/>
        </w:rPr>
        <w:t>o</w:t>
      </w:r>
      <w:r w:rsidRPr="001274C7">
        <w:rPr>
          <w:sz w:val="22"/>
          <w:szCs w:val="22"/>
          <w:lang w:val="sr-Latn-CS"/>
        </w:rPr>
        <w:t>vati aseptič</w:t>
      </w:r>
      <w:r>
        <w:rPr>
          <w:sz w:val="22"/>
          <w:szCs w:val="22"/>
          <w:lang w:val="sr-Latn-CS"/>
        </w:rPr>
        <w:t>n</w:t>
      </w:r>
      <w:r w:rsidRPr="001274C7">
        <w:rPr>
          <w:sz w:val="22"/>
          <w:szCs w:val="22"/>
          <w:lang w:val="sr-Latn-CS"/>
        </w:rPr>
        <w:t>a tehnika.</w:t>
      </w:r>
    </w:p>
    <w:p w14:paraId="5578F907" w14:textId="77777777" w:rsidR="007672E8" w:rsidRPr="001274C7" w:rsidRDefault="007672E8" w:rsidP="00BA76B8">
      <w:pPr>
        <w:jc w:val="both"/>
        <w:rPr>
          <w:sz w:val="22"/>
          <w:szCs w:val="22"/>
          <w:lang w:val="sr-Latn-CS"/>
        </w:rPr>
      </w:pPr>
    </w:p>
    <w:p w14:paraId="1CF677B5" w14:textId="7C10BFC2" w:rsidR="007672E8" w:rsidRDefault="007672E8" w:rsidP="00BA76B8">
      <w:pPr>
        <w:keepNext/>
        <w:jc w:val="both"/>
        <w:rPr>
          <w:sz w:val="22"/>
          <w:szCs w:val="22"/>
          <w:u w:val="single"/>
          <w:lang w:val="sr-Latn-CS"/>
        </w:rPr>
      </w:pPr>
      <w:r w:rsidRPr="0072668B">
        <w:rPr>
          <w:sz w:val="22"/>
          <w:szCs w:val="22"/>
          <w:u w:val="single"/>
          <w:lang w:val="sr-Latn-CS"/>
        </w:rPr>
        <w:t>Aseptična priprema, rukovanje i čuvanje:</w:t>
      </w:r>
    </w:p>
    <w:p w14:paraId="29996246" w14:textId="77777777" w:rsidR="0072668B" w:rsidRPr="0072668B" w:rsidRDefault="0072668B" w:rsidP="00BA76B8">
      <w:pPr>
        <w:keepNext/>
        <w:jc w:val="both"/>
        <w:rPr>
          <w:sz w:val="22"/>
          <w:szCs w:val="22"/>
          <w:u w:val="single"/>
          <w:lang w:val="sr-Latn-CS"/>
        </w:rPr>
      </w:pPr>
    </w:p>
    <w:p w14:paraId="365B1F64" w14:textId="0BE6CCA6" w:rsidR="007672E8" w:rsidRPr="001274C7" w:rsidRDefault="007672E8" w:rsidP="00BA76B8">
      <w:pPr>
        <w:keepNext/>
        <w:jc w:val="both"/>
        <w:rPr>
          <w:sz w:val="22"/>
          <w:szCs w:val="22"/>
          <w:lang w:val="sr-Latn-CS"/>
        </w:rPr>
      </w:pPr>
      <w:r w:rsidRPr="001274C7">
        <w:rPr>
          <w:sz w:val="22"/>
          <w:szCs w:val="22"/>
          <w:lang w:val="sr-Latn-CS"/>
        </w:rPr>
        <w:t>Kod pripreme infuzije moraju se osigurati aseptič</w:t>
      </w:r>
      <w:r>
        <w:rPr>
          <w:sz w:val="22"/>
          <w:szCs w:val="22"/>
          <w:lang w:val="sr-Latn-CS"/>
        </w:rPr>
        <w:t>ni uslov</w:t>
      </w:r>
      <w:r w:rsidRPr="001274C7">
        <w:rPr>
          <w:sz w:val="22"/>
          <w:szCs w:val="22"/>
          <w:lang w:val="sr-Latn-CS"/>
        </w:rPr>
        <w:t>i.</w:t>
      </w:r>
    </w:p>
    <w:p w14:paraId="60D0017D" w14:textId="6169EF1F" w:rsidR="007672E8" w:rsidRPr="001274C7" w:rsidRDefault="007672E8" w:rsidP="00BA76B8">
      <w:pPr>
        <w:tabs>
          <w:tab w:val="left" w:pos="567"/>
        </w:tabs>
        <w:ind w:left="567" w:hanging="567"/>
        <w:jc w:val="both"/>
        <w:rPr>
          <w:sz w:val="22"/>
          <w:szCs w:val="22"/>
          <w:lang w:val="sr-Latn-CS"/>
        </w:rPr>
      </w:pPr>
      <w:r w:rsidRPr="001274C7">
        <w:rPr>
          <w:sz w:val="22"/>
          <w:szCs w:val="22"/>
          <w:lang w:val="sr-Latn-CS"/>
        </w:rPr>
        <w:sym w:font="Symbol" w:char="F0B7"/>
      </w:r>
      <w:r w:rsidRPr="001274C7">
        <w:rPr>
          <w:sz w:val="22"/>
          <w:szCs w:val="22"/>
          <w:lang w:val="sr-Latn-CS"/>
        </w:rPr>
        <w:tab/>
        <w:t xml:space="preserve">Pripremu mora </w:t>
      </w:r>
      <w:r>
        <w:rPr>
          <w:sz w:val="22"/>
          <w:szCs w:val="22"/>
          <w:lang w:val="sr-Latn-CS"/>
        </w:rPr>
        <w:t>s</w:t>
      </w:r>
      <w:r w:rsidRPr="001274C7">
        <w:rPr>
          <w:sz w:val="22"/>
          <w:szCs w:val="22"/>
          <w:lang w:val="sr-Latn-CS"/>
        </w:rPr>
        <w:t>provesti kvalifi</w:t>
      </w:r>
      <w:r>
        <w:rPr>
          <w:sz w:val="22"/>
          <w:szCs w:val="22"/>
          <w:lang w:val="sr-Latn-CS"/>
        </w:rPr>
        <w:t>kovano o</w:t>
      </w:r>
      <w:r w:rsidRPr="001274C7">
        <w:rPr>
          <w:sz w:val="22"/>
          <w:szCs w:val="22"/>
          <w:lang w:val="sr-Latn-CS"/>
        </w:rPr>
        <w:t>soblje pod aseptič</w:t>
      </w:r>
      <w:r>
        <w:rPr>
          <w:sz w:val="22"/>
          <w:szCs w:val="22"/>
          <w:lang w:val="sr-Latn-CS"/>
        </w:rPr>
        <w:t>n</w:t>
      </w:r>
      <w:r w:rsidRPr="001274C7">
        <w:rPr>
          <w:sz w:val="22"/>
          <w:szCs w:val="22"/>
          <w:lang w:val="sr-Latn-CS"/>
        </w:rPr>
        <w:t>im u</w:t>
      </w:r>
      <w:r>
        <w:rPr>
          <w:sz w:val="22"/>
          <w:szCs w:val="22"/>
          <w:lang w:val="sr-Latn-CS"/>
        </w:rPr>
        <w:t>slovima</w:t>
      </w:r>
      <w:r w:rsidRPr="001274C7">
        <w:rPr>
          <w:sz w:val="22"/>
          <w:szCs w:val="22"/>
          <w:lang w:val="sr-Latn-CS"/>
        </w:rPr>
        <w:t xml:space="preserve"> i u skladu s pravilima dobre prakse, </w:t>
      </w:r>
      <w:r w:rsidR="00102FC4">
        <w:rPr>
          <w:sz w:val="22"/>
          <w:szCs w:val="22"/>
          <w:lang w:val="sr-Latn-CS"/>
        </w:rPr>
        <w:t>posebno</w:t>
      </w:r>
      <w:r w:rsidRPr="001274C7">
        <w:rPr>
          <w:sz w:val="22"/>
          <w:szCs w:val="22"/>
          <w:lang w:val="sr-Latn-CS"/>
        </w:rPr>
        <w:t xml:space="preserve"> onima</w:t>
      </w:r>
      <w:r w:rsidRPr="007672E8">
        <w:rPr>
          <w:sz w:val="22"/>
          <w:szCs w:val="22"/>
          <w:lang w:val="sr-Latn-CS"/>
        </w:rPr>
        <w:t xml:space="preserve"> koja se odnose na aseptič</w:t>
      </w:r>
      <w:r>
        <w:rPr>
          <w:sz w:val="22"/>
          <w:szCs w:val="22"/>
          <w:lang w:val="sr-Latn-CS"/>
        </w:rPr>
        <w:t>n</w:t>
      </w:r>
      <w:r w:rsidRPr="001274C7">
        <w:rPr>
          <w:sz w:val="22"/>
          <w:szCs w:val="22"/>
          <w:lang w:val="sr-Latn-CS"/>
        </w:rPr>
        <w:t xml:space="preserve">u </w:t>
      </w:r>
      <w:r w:rsidR="009331AA" w:rsidRPr="009331AA">
        <w:rPr>
          <w:sz w:val="22"/>
          <w:szCs w:val="22"/>
          <w:lang w:val="sr-Latn-CS"/>
        </w:rPr>
        <w:t>pripremu l</w:t>
      </w:r>
      <w:r w:rsidRPr="001274C7">
        <w:rPr>
          <w:sz w:val="22"/>
          <w:szCs w:val="22"/>
          <w:lang w:val="sr-Latn-CS"/>
        </w:rPr>
        <w:t>jekova za parenteralnu primjenu.</w:t>
      </w:r>
    </w:p>
    <w:p w14:paraId="26D60129" w14:textId="783A2616" w:rsidR="007672E8" w:rsidRPr="001274C7" w:rsidRDefault="007672E8" w:rsidP="00BA76B8">
      <w:pPr>
        <w:tabs>
          <w:tab w:val="left" w:pos="567"/>
        </w:tabs>
        <w:ind w:left="567" w:hanging="567"/>
        <w:jc w:val="both"/>
        <w:rPr>
          <w:sz w:val="22"/>
          <w:szCs w:val="22"/>
          <w:lang w:val="sr-Latn-CS"/>
        </w:rPr>
      </w:pPr>
      <w:r w:rsidRPr="001274C7">
        <w:rPr>
          <w:sz w:val="22"/>
          <w:szCs w:val="22"/>
          <w:lang w:val="sr-Latn-CS"/>
        </w:rPr>
        <w:sym w:font="Symbol" w:char="F0B7"/>
      </w:r>
      <w:r w:rsidRPr="001274C7">
        <w:rPr>
          <w:sz w:val="22"/>
          <w:szCs w:val="22"/>
          <w:lang w:val="sr-Latn-CS"/>
        </w:rPr>
        <w:tab/>
        <w:t xml:space="preserve">Priprema se mora </w:t>
      </w:r>
      <w:r>
        <w:rPr>
          <w:sz w:val="22"/>
          <w:szCs w:val="22"/>
          <w:lang w:val="sr-Latn-CS"/>
        </w:rPr>
        <w:t>s</w:t>
      </w:r>
      <w:r w:rsidRPr="001274C7">
        <w:rPr>
          <w:sz w:val="22"/>
          <w:szCs w:val="22"/>
          <w:lang w:val="sr-Latn-CS"/>
        </w:rPr>
        <w:t>provesti u komori s laminarnim protokom ili mikrobiološkom zaštitnom kabinetu uz standardne mjer</w:t>
      </w:r>
      <w:r w:rsidR="009331AA" w:rsidRPr="009331AA">
        <w:rPr>
          <w:sz w:val="22"/>
          <w:szCs w:val="22"/>
          <w:lang w:val="sr-Latn-CS"/>
        </w:rPr>
        <w:t>e opreza za sigurno rukovanje l</w:t>
      </w:r>
      <w:r w:rsidRPr="001274C7">
        <w:rPr>
          <w:sz w:val="22"/>
          <w:szCs w:val="22"/>
          <w:lang w:val="sr-Latn-CS"/>
        </w:rPr>
        <w:t>jekovima za intravensku primjenu.</w:t>
      </w:r>
    </w:p>
    <w:p w14:paraId="7AF7592F" w14:textId="278299C9" w:rsidR="007672E8" w:rsidRPr="001274C7" w:rsidRDefault="007672E8" w:rsidP="00BA76B8">
      <w:pPr>
        <w:tabs>
          <w:tab w:val="left" w:pos="567"/>
        </w:tabs>
        <w:ind w:left="567" w:hanging="567"/>
        <w:jc w:val="both"/>
        <w:rPr>
          <w:sz w:val="22"/>
          <w:szCs w:val="22"/>
          <w:lang w:val="sr-Latn-CS"/>
        </w:rPr>
      </w:pPr>
      <w:r w:rsidRPr="001274C7">
        <w:rPr>
          <w:sz w:val="22"/>
          <w:szCs w:val="22"/>
          <w:lang w:val="sr-Latn-CS"/>
        </w:rPr>
        <w:sym w:font="Symbol" w:char="F0B7"/>
      </w:r>
      <w:r w:rsidRPr="001274C7">
        <w:rPr>
          <w:sz w:val="22"/>
          <w:szCs w:val="22"/>
          <w:lang w:val="sr-Latn-CS"/>
        </w:rPr>
        <w:tab/>
        <w:t>Pripremljen</w:t>
      </w:r>
      <w:r>
        <w:rPr>
          <w:sz w:val="22"/>
          <w:szCs w:val="22"/>
          <w:lang w:val="sr-Latn-CS"/>
        </w:rPr>
        <w:t xml:space="preserve"> rastvor</w:t>
      </w:r>
      <w:r w:rsidRPr="001274C7">
        <w:rPr>
          <w:sz w:val="22"/>
          <w:szCs w:val="22"/>
          <w:lang w:val="sr-Latn-CS"/>
        </w:rPr>
        <w:t xml:space="preserve"> za intravensku infuziju mora se čuvati na odgovarajući način, kako bi </w:t>
      </w:r>
      <w:r w:rsidRPr="007672E8">
        <w:rPr>
          <w:sz w:val="22"/>
          <w:szCs w:val="22"/>
          <w:lang w:val="sr-Latn-CS"/>
        </w:rPr>
        <w:t>se osiguralo održavanje aseptič</w:t>
      </w:r>
      <w:r>
        <w:rPr>
          <w:sz w:val="22"/>
          <w:szCs w:val="22"/>
          <w:lang w:val="sr-Latn-CS"/>
        </w:rPr>
        <w:t>n</w:t>
      </w:r>
      <w:r w:rsidRPr="001274C7">
        <w:rPr>
          <w:sz w:val="22"/>
          <w:szCs w:val="22"/>
          <w:lang w:val="sr-Latn-CS"/>
        </w:rPr>
        <w:t xml:space="preserve">ih </w:t>
      </w:r>
      <w:r>
        <w:rPr>
          <w:sz w:val="22"/>
          <w:szCs w:val="22"/>
          <w:lang w:val="sr-Latn-CS"/>
        </w:rPr>
        <w:t>uslova</w:t>
      </w:r>
      <w:r w:rsidRPr="001274C7">
        <w:rPr>
          <w:sz w:val="22"/>
          <w:szCs w:val="22"/>
          <w:lang w:val="sr-Latn-CS"/>
        </w:rPr>
        <w:t>.</w:t>
      </w:r>
    </w:p>
    <w:p w14:paraId="153CCC0C" w14:textId="77777777" w:rsidR="007672E8" w:rsidRPr="00442616" w:rsidRDefault="007672E8" w:rsidP="00641EEB">
      <w:pPr>
        <w:tabs>
          <w:tab w:val="left" w:pos="540"/>
          <w:tab w:val="left" w:pos="569"/>
        </w:tabs>
        <w:rPr>
          <w:b/>
          <w:bCs/>
          <w:sz w:val="22"/>
          <w:szCs w:val="22"/>
          <w:lang w:val="sr-Latn-CS"/>
        </w:rPr>
      </w:pPr>
    </w:p>
    <w:p w14:paraId="03CD1479" w14:textId="77777777" w:rsidR="008B20E9" w:rsidRDefault="008B20E9" w:rsidP="00641EEB">
      <w:pPr>
        <w:pStyle w:val="TextTi12"/>
        <w:spacing w:after="0" w:line="240" w:lineRule="auto"/>
        <w:rPr>
          <w:sz w:val="22"/>
          <w:szCs w:val="22"/>
          <w:lang w:val="sr-Latn-CS"/>
        </w:rPr>
      </w:pPr>
      <w:r>
        <w:rPr>
          <w:sz w:val="22"/>
          <w:szCs w:val="22"/>
          <w:lang w:val="sr-Latn-CS"/>
        </w:rPr>
        <w:t xml:space="preserve">Sadržaj jedne bočice lijeka Herceptin rekonstituiše se sa 7,2 ml sterilne vode za injekcije (nije priložena u pakovanju). Upotrebu drugih rastvarača za rekonstituciju treba izbjegavati. </w:t>
      </w:r>
    </w:p>
    <w:p w14:paraId="6D971BFA" w14:textId="77777777" w:rsidR="008B20E9" w:rsidRDefault="008B20E9" w:rsidP="00641EEB">
      <w:pPr>
        <w:pStyle w:val="TextTi12"/>
        <w:spacing w:after="0" w:line="240" w:lineRule="auto"/>
        <w:rPr>
          <w:sz w:val="22"/>
          <w:szCs w:val="22"/>
          <w:lang w:val="sr-Latn-CS"/>
        </w:rPr>
      </w:pPr>
      <w:r>
        <w:rPr>
          <w:sz w:val="22"/>
          <w:szCs w:val="22"/>
          <w:lang w:val="sr-Latn-CS"/>
        </w:rPr>
        <w:t>Time se dobija 7,4 ml rastvora za jednokratnu upotrebu, koja sadrži približno 21 mg/ml trastuzumaba, sa pH vrijednošću od približno 6,0. Višak zapremine od 4% obezbjeđuje da se naznačena doza od 150 mg može izvući iz svake bočice.</w:t>
      </w:r>
    </w:p>
    <w:p w14:paraId="59194499" w14:textId="77777777" w:rsidR="008B20E9" w:rsidRDefault="008B20E9" w:rsidP="00641EEB">
      <w:pPr>
        <w:jc w:val="both"/>
        <w:rPr>
          <w:sz w:val="22"/>
          <w:szCs w:val="22"/>
          <w:lang w:val="sr-Latn-CS"/>
        </w:rPr>
      </w:pPr>
      <w:r>
        <w:rPr>
          <w:sz w:val="22"/>
          <w:szCs w:val="22"/>
          <w:lang w:val="pt-BR"/>
        </w:rPr>
        <w:lastRenderedPageBreak/>
        <w:t>Tokom</w:t>
      </w:r>
      <w:r>
        <w:rPr>
          <w:sz w:val="22"/>
          <w:szCs w:val="22"/>
          <w:lang w:val="sr-Latn-CS"/>
        </w:rPr>
        <w:t xml:space="preserve"> </w:t>
      </w:r>
      <w:r>
        <w:rPr>
          <w:sz w:val="22"/>
          <w:szCs w:val="22"/>
          <w:lang w:val="pt-BR"/>
        </w:rPr>
        <w:t>rekonstitucije</w:t>
      </w:r>
      <w:r>
        <w:rPr>
          <w:sz w:val="22"/>
          <w:szCs w:val="22"/>
          <w:lang w:val="sr-Latn-CS"/>
        </w:rPr>
        <w:t xml:space="preserve">, </w:t>
      </w:r>
      <w:r>
        <w:rPr>
          <w:sz w:val="22"/>
          <w:szCs w:val="22"/>
          <w:lang w:val="pt-BR"/>
        </w:rPr>
        <w:t>lijekom</w:t>
      </w:r>
      <w:r>
        <w:rPr>
          <w:sz w:val="22"/>
          <w:szCs w:val="22"/>
          <w:lang w:val="sr-Latn-CS"/>
        </w:rPr>
        <w:t xml:space="preserve"> </w:t>
      </w:r>
      <w:r>
        <w:rPr>
          <w:sz w:val="22"/>
          <w:szCs w:val="22"/>
          <w:lang w:val="pt-BR"/>
        </w:rPr>
        <w:t>Herceptin</w:t>
      </w:r>
      <w:r>
        <w:rPr>
          <w:sz w:val="22"/>
          <w:szCs w:val="22"/>
          <w:lang w:val="sr-Latn-CS"/>
        </w:rPr>
        <w:t xml:space="preserve"> </w:t>
      </w:r>
      <w:r>
        <w:rPr>
          <w:sz w:val="22"/>
          <w:szCs w:val="22"/>
          <w:lang w:val="pt-BR"/>
        </w:rPr>
        <w:t>treba</w:t>
      </w:r>
      <w:r>
        <w:rPr>
          <w:sz w:val="22"/>
          <w:szCs w:val="22"/>
          <w:lang w:val="sr-Latn-CS"/>
        </w:rPr>
        <w:t xml:space="preserve"> </w:t>
      </w:r>
      <w:r>
        <w:rPr>
          <w:sz w:val="22"/>
          <w:szCs w:val="22"/>
          <w:lang w:val="pt-BR"/>
        </w:rPr>
        <w:t>pa</w:t>
      </w:r>
      <w:r>
        <w:rPr>
          <w:sz w:val="22"/>
          <w:szCs w:val="22"/>
          <w:lang w:val="sr-Latn-CS"/>
        </w:rPr>
        <w:t>ž</w:t>
      </w:r>
      <w:r>
        <w:rPr>
          <w:sz w:val="22"/>
          <w:szCs w:val="22"/>
          <w:lang w:val="pt-BR"/>
        </w:rPr>
        <w:t>ljivo</w:t>
      </w:r>
      <w:r>
        <w:rPr>
          <w:sz w:val="22"/>
          <w:szCs w:val="22"/>
          <w:lang w:val="sr-Latn-CS"/>
        </w:rPr>
        <w:t xml:space="preserve"> </w:t>
      </w:r>
      <w:r>
        <w:rPr>
          <w:sz w:val="22"/>
          <w:szCs w:val="22"/>
          <w:lang w:val="pt-BR"/>
        </w:rPr>
        <w:t>rukovati</w:t>
      </w:r>
      <w:r>
        <w:rPr>
          <w:sz w:val="22"/>
          <w:szCs w:val="22"/>
          <w:lang w:val="sr-Latn-CS"/>
        </w:rPr>
        <w:t xml:space="preserve">. </w:t>
      </w:r>
      <w:r>
        <w:rPr>
          <w:sz w:val="22"/>
          <w:szCs w:val="22"/>
          <w:lang w:val="pt-BR"/>
        </w:rPr>
        <w:t>Ako</w:t>
      </w:r>
      <w:r>
        <w:rPr>
          <w:sz w:val="22"/>
          <w:szCs w:val="22"/>
          <w:lang w:val="sr-Latn-CS"/>
        </w:rPr>
        <w:t xml:space="preserve"> </w:t>
      </w:r>
      <w:r>
        <w:rPr>
          <w:sz w:val="22"/>
          <w:szCs w:val="22"/>
          <w:lang w:val="pt-BR"/>
        </w:rPr>
        <w:t>do</w:t>
      </w:r>
      <w:r>
        <w:rPr>
          <w:sz w:val="22"/>
          <w:szCs w:val="22"/>
          <w:lang w:val="sr-Latn-CS"/>
        </w:rPr>
        <w:t>đ</w:t>
      </w:r>
      <w:r>
        <w:rPr>
          <w:sz w:val="22"/>
          <w:szCs w:val="22"/>
          <w:lang w:val="pt-BR"/>
        </w:rPr>
        <w:t>e</w:t>
      </w:r>
      <w:r>
        <w:rPr>
          <w:sz w:val="22"/>
          <w:szCs w:val="22"/>
          <w:lang w:val="sr-Latn-CS"/>
        </w:rPr>
        <w:t xml:space="preserve"> </w:t>
      </w:r>
      <w:r>
        <w:rPr>
          <w:sz w:val="22"/>
          <w:szCs w:val="22"/>
          <w:lang w:val="pt-BR"/>
        </w:rPr>
        <w:t>do</w:t>
      </w:r>
      <w:r>
        <w:rPr>
          <w:sz w:val="22"/>
          <w:szCs w:val="22"/>
          <w:lang w:val="sr-Latn-CS"/>
        </w:rPr>
        <w:t xml:space="preserve"> </w:t>
      </w:r>
      <w:r>
        <w:rPr>
          <w:sz w:val="22"/>
          <w:szCs w:val="22"/>
          <w:lang w:val="pt-BR"/>
        </w:rPr>
        <w:t>razvoja</w:t>
      </w:r>
      <w:r>
        <w:rPr>
          <w:sz w:val="22"/>
          <w:szCs w:val="22"/>
          <w:lang w:val="sr-Latn-CS"/>
        </w:rPr>
        <w:t xml:space="preserve"> </w:t>
      </w:r>
      <w:r>
        <w:rPr>
          <w:sz w:val="22"/>
          <w:szCs w:val="22"/>
          <w:lang w:val="pt-BR"/>
        </w:rPr>
        <w:t>prekomjerne</w:t>
      </w:r>
      <w:r>
        <w:rPr>
          <w:sz w:val="22"/>
          <w:szCs w:val="22"/>
          <w:lang w:val="sr-Latn-CS"/>
        </w:rPr>
        <w:t xml:space="preserve"> </w:t>
      </w:r>
      <w:r>
        <w:rPr>
          <w:sz w:val="22"/>
          <w:szCs w:val="22"/>
          <w:lang w:val="pt-BR"/>
        </w:rPr>
        <w:t>pjene</w:t>
      </w:r>
      <w:r>
        <w:rPr>
          <w:sz w:val="22"/>
          <w:szCs w:val="22"/>
          <w:lang w:val="sr-Latn-CS"/>
        </w:rPr>
        <w:t xml:space="preserve"> </w:t>
      </w:r>
      <w:r>
        <w:rPr>
          <w:sz w:val="22"/>
          <w:szCs w:val="22"/>
          <w:lang w:val="pt-BR"/>
        </w:rPr>
        <w:t>tokom</w:t>
      </w:r>
      <w:r>
        <w:rPr>
          <w:sz w:val="22"/>
          <w:szCs w:val="22"/>
          <w:lang w:val="sr-Latn-CS"/>
        </w:rPr>
        <w:t xml:space="preserve"> </w:t>
      </w:r>
      <w:r>
        <w:rPr>
          <w:sz w:val="22"/>
          <w:szCs w:val="22"/>
          <w:lang w:val="pt-BR"/>
        </w:rPr>
        <w:t>rekonstitucije</w:t>
      </w:r>
      <w:r>
        <w:rPr>
          <w:sz w:val="22"/>
          <w:szCs w:val="22"/>
          <w:lang w:val="sr-Latn-CS"/>
        </w:rPr>
        <w:t xml:space="preserve">, </w:t>
      </w:r>
      <w:r>
        <w:rPr>
          <w:sz w:val="22"/>
          <w:szCs w:val="22"/>
          <w:lang w:val="pt-BR"/>
        </w:rPr>
        <w:t>ili</w:t>
      </w:r>
      <w:r>
        <w:rPr>
          <w:sz w:val="22"/>
          <w:szCs w:val="22"/>
          <w:lang w:val="sr-Latn-CS"/>
        </w:rPr>
        <w:t xml:space="preserve"> </w:t>
      </w:r>
      <w:r>
        <w:rPr>
          <w:sz w:val="22"/>
          <w:szCs w:val="22"/>
          <w:lang w:val="pt-BR"/>
        </w:rPr>
        <w:t>ako</w:t>
      </w:r>
      <w:r>
        <w:rPr>
          <w:sz w:val="22"/>
          <w:szCs w:val="22"/>
          <w:lang w:val="sr-Latn-CS"/>
        </w:rPr>
        <w:t xml:space="preserve"> </w:t>
      </w:r>
      <w:r>
        <w:rPr>
          <w:sz w:val="22"/>
          <w:szCs w:val="22"/>
          <w:lang w:val="pt-BR"/>
        </w:rPr>
        <w:t>se</w:t>
      </w:r>
      <w:r>
        <w:rPr>
          <w:sz w:val="22"/>
          <w:szCs w:val="22"/>
          <w:lang w:val="sr-Latn-CS"/>
        </w:rPr>
        <w:t xml:space="preserve"> </w:t>
      </w:r>
      <w:r>
        <w:rPr>
          <w:sz w:val="22"/>
          <w:szCs w:val="22"/>
          <w:lang w:val="pt-BR"/>
        </w:rPr>
        <w:t>mu</w:t>
      </w:r>
      <w:r>
        <w:rPr>
          <w:sz w:val="22"/>
          <w:szCs w:val="22"/>
          <w:lang w:val="sr-Latn-CS"/>
        </w:rPr>
        <w:t>ć</w:t>
      </w:r>
      <w:r>
        <w:rPr>
          <w:sz w:val="22"/>
          <w:szCs w:val="22"/>
          <w:lang w:val="pt-BR"/>
        </w:rPr>
        <w:t>ka</w:t>
      </w:r>
      <w:r>
        <w:rPr>
          <w:sz w:val="22"/>
          <w:szCs w:val="22"/>
          <w:lang w:val="sr-Latn-CS"/>
        </w:rPr>
        <w:t xml:space="preserve"> </w:t>
      </w:r>
      <w:r>
        <w:rPr>
          <w:sz w:val="22"/>
          <w:szCs w:val="22"/>
          <w:lang w:val="pt-BR"/>
        </w:rPr>
        <w:t>rekonstituisani</w:t>
      </w:r>
      <w:r>
        <w:rPr>
          <w:sz w:val="22"/>
          <w:szCs w:val="22"/>
          <w:lang w:val="sr-Latn-CS"/>
        </w:rPr>
        <w:t xml:space="preserve"> </w:t>
      </w:r>
      <w:r>
        <w:rPr>
          <w:sz w:val="22"/>
          <w:szCs w:val="22"/>
          <w:lang w:val="pt-BR"/>
        </w:rPr>
        <w:t>lijek</w:t>
      </w:r>
      <w:r>
        <w:rPr>
          <w:sz w:val="22"/>
          <w:szCs w:val="22"/>
          <w:lang w:val="sr-Latn-CS"/>
        </w:rPr>
        <w:t xml:space="preserve"> </w:t>
      </w:r>
      <w:r>
        <w:rPr>
          <w:sz w:val="22"/>
          <w:szCs w:val="22"/>
          <w:lang w:val="pt-BR"/>
        </w:rPr>
        <w:t>Herceptin</w:t>
      </w:r>
      <w:r>
        <w:rPr>
          <w:sz w:val="22"/>
          <w:szCs w:val="22"/>
          <w:lang w:val="sr-Latn-CS"/>
        </w:rPr>
        <w:t xml:space="preserve">, </w:t>
      </w:r>
      <w:r>
        <w:rPr>
          <w:sz w:val="22"/>
          <w:szCs w:val="22"/>
          <w:lang w:val="pt-BR"/>
        </w:rPr>
        <w:t>mo</w:t>
      </w:r>
      <w:r>
        <w:rPr>
          <w:sz w:val="22"/>
          <w:szCs w:val="22"/>
          <w:lang w:val="sr-Latn-CS"/>
        </w:rPr>
        <w:t>ž</w:t>
      </w:r>
      <w:r>
        <w:rPr>
          <w:sz w:val="22"/>
          <w:szCs w:val="22"/>
          <w:lang w:val="pt-BR"/>
        </w:rPr>
        <w:t>e</w:t>
      </w:r>
      <w:r>
        <w:rPr>
          <w:sz w:val="22"/>
          <w:szCs w:val="22"/>
          <w:lang w:val="sr-Latn-CS"/>
        </w:rPr>
        <w:t xml:space="preserve"> </w:t>
      </w:r>
      <w:r>
        <w:rPr>
          <w:sz w:val="22"/>
          <w:szCs w:val="22"/>
          <w:lang w:val="pt-BR"/>
        </w:rPr>
        <w:t>do</w:t>
      </w:r>
      <w:r>
        <w:rPr>
          <w:sz w:val="22"/>
          <w:szCs w:val="22"/>
          <w:lang w:val="sr-Latn-CS"/>
        </w:rPr>
        <w:t>ć</w:t>
      </w:r>
      <w:r>
        <w:rPr>
          <w:sz w:val="22"/>
          <w:szCs w:val="22"/>
          <w:lang w:val="pt-BR"/>
        </w:rPr>
        <w:t>i</w:t>
      </w:r>
      <w:r>
        <w:rPr>
          <w:sz w:val="22"/>
          <w:szCs w:val="22"/>
          <w:lang w:val="sr-Latn-CS"/>
        </w:rPr>
        <w:t xml:space="preserve"> </w:t>
      </w:r>
      <w:r>
        <w:rPr>
          <w:sz w:val="22"/>
          <w:szCs w:val="22"/>
          <w:lang w:val="pt-BR"/>
        </w:rPr>
        <w:t>do</w:t>
      </w:r>
      <w:r>
        <w:rPr>
          <w:sz w:val="22"/>
          <w:szCs w:val="22"/>
          <w:lang w:val="sr-Latn-CS"/>
        </w:rPr>
        <w:t xml:space="preserve"> </w:t>
      </w:r>
      <w:r>
        <w:rPr>
          <w:sz w:val="22"/>
          <w:szCs w:val="22"/>
          <w:lang w:val="pt-BR"/>
        </w:rPr>
        <w:t>problema</w:t>
      </w:r>
      <w:r>
        <w:rPr>
          <w:sz w:val="22"/>
          <w:szCs w:val="22"/>
          <w:lang w:val="sr-Latn-CS"/>
        </w:rPr>
        <w:t xml:space="preserve"> </w:t>
      </w:r>
      <w:r>
        <w:rPr>
          <w:sz w:val="22"/>
          <w:szCs w:val="22"/>
          <w:lang w:val="pt-BR"/>
        </w:rPr>
        <w:t>sa</w:t>
      </w:r>
      <w:r>
        <w:rPr>
          <w:sz w:val="22"/>
          <w:szCs w:val="22"/>
          <w:lang w:val="sr-Latn-CS"/>
        </w:rPr>
        <w:t xml:space="preserve"> </w:t>
      </w:r>
      <w:r>
        <w:rPr>
          <w:sz w:val="22"/>
          <w:szCs w:val="22"/>
          <w:lang w:val="pt-BR"/>
        </w:rPr>
        <w:t>koli</w:t>
      </w:r>
      <w:r>
        <w:rPr>
          <w:sz w:val="22"/>
          <w:szCs w:val="22"/>
          <w:lang w:val="sr-Latn-CS"/>
        </w:rPr>
        <w:t>č</w:t>
      </w:r>
      <w:r>
        <w:rPr>
          <w:sz w:val="22"/>
          <w:szCs w:val="22"/>
          <w:lang w:val="pt-BR"/>
        </w:rPr>
        <w:t>inom</w:t>
      </w:r>
      <w:r>
        <w:rPr>
          <w:sz w:val="22"/>
          <w:szCs w:val="22"/>
          <w:lang w:val="sr-Latn-CS"/>
        </w:rPr>
        <w:t xml:space="preserve"> </w:t>
      </w:r>
      <w:r>
        <w:rPr>
          <w:sz w:val="22"/>
          <w:szCs w:val="22"/>
          <w:lang w:val="pt-BR"/>
        </w:rPr>
        <w:t>lijeka</w:t>
      </w:r>
      <w:r>
        <w:rPr>
          <w:sz w:val="22"/>
          <w:szCs w:val="22"/>
          <w:lang w:val="sr-Latn-CS"/>
        </w:rPr>
        <w:t xml:space="preserve"> </w:t>
      </w:r>
      <w:r>
        <w:rPr>
          <w:sz w:val="22"/>
          <w:szCs w:val="22"/>
          <w:lang w:val="pt-BR"/>
        </w:rPr>
        <w:t>Herceptin</w:t>
      </w:r>
      <w:r>
        <w:rPr>
          <w:sz w:val="22"/>
          <w:szCs w:val="22"/>
          <w:lang w:val="sr-Latn-CS"/>
        </w:rPr>
        <w:t xml:space="preserve"> </w:t>
      </w:r>
      <w:r>
        <w:rPr>
          <w:sz w:val="22"/>
          <w:szCs w:val="22"/>
          <w:lang w:val="pt-BR"/>
        </w:rPr>
        <w:t>koja</w:t>
      </w:r>
      <w:r>
        <w:rPr>
          <w:sz w:val="22"/>
          <w:szCs w:val="22"/>
          <w:lang w:val="sr-Latn-CS"/>
        </w:rPr>
        <w:t xml:space="preserve"> </w:t>
      </w:r>
      <w:r>
        <w:rPr>
          <w:sz w:val="22"/>
          <w:szCs w:val="22"/>
          <w:lang w:val="pt-BR"/>
        </w:rPr>
        <w:t>se</w:t>
      </w:r>
      <w:r>
        <w:rPr>
          <w:sz w:val="22"/>
          <w:szCs w:val="22"/>
          <w:lang w:val="sr-Latn-CS"/>
        </w:rPr>
        <w:t xml:space="preserve"> </w:t>
      </w:r>
      <w:r>
        <w:rPr>
          <w:sz w:val="22"/>
          <w:szCs w:val="22"/>
          <w:lang w:val="pt-BR"/>
        </w:rPr>
        <w:t>mo</w:t>
      </w:r>
      <w:r>
        <w:rPr>
          <w:sz w:val="22"/>
          <w:szCs w:val="22"/>
          <w:lang w:val="sr-Latn-CS"/>
        </w:rPr>
        <w:t>ž</w:t>
      </w:r>
      <w:r>
        <w:rPr>
          <w:sz w:val="22"/>
          <w:szCs w:val="22"/>
          <w:lang w:val="pt-BR"/>
        </w:rPr>
        <w:t>e</w:t>
      </w:r>
      <w:r>
        <w:rPr>
          <w:sz w:val="22"/>
          <w:szCs w:val="22"/>
          <w:lang w:val="sr-Latn-CS"/>
        </w:rPr>
        <w:t xml:space="preserve"> </w:t>
      </w:r>
      <w:r>
        <w:rPr>
          <w:sz w:val="22"/>
          <w:szCs w:val="22"/>
          <w:lang w:val="pt-BR"/>
        </w:rPr>
        <w:t>izvu</w:t>
      </w:r>
      <w:r>
        <w:rPr>
          <w:sz w:val="22"/>
          <w:szCs w:val="22"/>
          <w:lang w:val="sr-Latn-CS"/>
        </w:rPr>
        <w:t>ć</w:t>
      </w:r>
      <w:r>
        <w:rPr>
          <w:sz w:val="22"/>
          <w:szCs w:val="22"/>
          <w:lang w:val="pt-BR"/>
        </w:rPr>
        <w:t>i</w:t>
      </w:r>
      <w:r>
        <w:rPr>
          <w:sz w:val="22"/>
          <w:szCs w:val="22"/>
          <w:lang w:val="sr-Latn-CS"/>
        </w:rPr>
        <w:t xml:space="preserve"> </w:t>
      </w:r>
      <w:r>
        <w:rPr>
          <w:sz w:val="22"/>
          <w:szCs w:val="22"/>
          <w:lang w:val="pt-BR"/>
        </w:rPr>
        <w:t>iz</w:t>
      </w:r>
      <w:r>
        <w:rPr>
          <w:sz w:val="22"/>
          <w:szCs w:val="22"/>
          <w:lang w:val="sr-Latn-CS"/>
        </w:rPr>
        <w:t xml:space="preserve"> </w:t>
      </w:r>
      <w:r>
        <w:rPr>
          <w:sz w:val="22"/>
          <w:szCs w:val="22"/>
          <w:lang w:val="pt-BR"/>
        </w:rPr>
        <w:t>bo</w:t>
      </w:r>
      <w:r>
        <w:rPr>
          <w:sz w:val="22"/>
          <w:szCs w:val="22"/>
          <w:lang w:val="sr-Latn-CS"/>
        </w:rPr>
        <w:t>č</w:t>
      </w:r>
      <w:r>
        <w:rPr>
          <w:sz w:val="22"/>
          <w:szCs w:val="22"/>
          <w:lang w:val="pt-BR"/>
        </w:rPr>
        <w:t>ice</w:t>
      </w:r>
      <w:r>
        <w:rPr>
          <w:sz w:val="22"/>
          <w:szCs w:val="22"/>
          <w:lang w:val="sr-Latn-CS"/>
        </w:rPr>
        <w:t xml:space="preserve">. </w:t>
      </w:r>
    </w:p>
    <w:p w14:paraId="3969884F" w14:textId="77777777" w:rsidR="008B20E9" w:rsidRDefault="008B20E9" w:rsidP="00641EEB">
      <w:pPr>
        <w:jc w:val="both"/>
        <w:rPr>
          <w:sz w:val="22"/>
          <w:szCs w:val="22"/>
          <w:lang w:val="sr-Latn-CS"/>
        </w:rPr>
      </w:pPr>
    </w:p>
    <w:p w14:paraId="209F19AA" w14:textId="77777777" w:rsidR="008B20E9" w:rsidRDefault="008B20E9" w:rsidP="00641EEB">
      <w:pPr>
        <w:jc w:val="both"/>
        <w:rPr>
          <w:sz w:val="22"/>
          <w:szCs w:val="22"/>
          <w:lang w:val="it-IT"/>
        </w:rPr>
      </w:pPr>
      <w:r>
        <w:rPr>
          <w:sz w:val="22"/>
          <w:szCs w:val="22"/>
          <w:lang w:val="it-IT"/>
        </w:rPr>
        <w:t>Rekonstituisani rastvor se ne smije zamrzavati.</w:t>
      </w:r>
    </w:p>
    <w:p w14:paraId="12A855DE" w14:textId="77777777" w:rsidR="008B20E9" w:rsidRDefault="008B20E9" w:rsidP="00641EEB">
      <w:pPr>
        <w:jc w:val="both"/>
        <w:rPr>
          <w:sz w:val="22"/>
          <w:szCs w:val="22"/>
          <w:lang w:val="it-IT"/>
        </w:rPr>
      </w:pPr>
    </w:p>
    <w:p w14:paraId="5EF2E795" w14:textId="18D94151" w:rsidR="008B20E9" w:rsidRDefault="008B20E9" w:rsidP="00641EEB">
      <w:pPr>
        <w:pStyle w:val="TextNum"/>
        <w:spacing w:line="240" w:lineRule="auto"/>
        <w:ind w:left="0" w:firstLine="0"/>
        <w:jc w:val="both"/>
        <w:rPr>
          <w:sz w:val="22"/>
          <w:szCs w:val="22"/>
          <w:u w:val="single"/>
          <w:lang w:val="pl-PL"/>
        </w:rPr>
      </w:pPr>
      <w:r w:rsidRPr="001274C7">
        <w:rPr>
          <w:sz w:val="22"/>
          <w:szCs w:val="22"/>
          <w:u w:val="single"/>
          <w:lang w:val="pt-BR"/>
        </w:rPr>
        <w:t xml:space="preserve">Uputstvo za </w:t>
      </w:r>
      <w:r w:rsidR="007672E8" w:rsidRPr="001274C7">
        <w:rPr>
          <w:sz w:val="22"/>
          <w:szCs w:val="22"/>
          <w:u w:val="single"/>
          <w:lang w:val="pt-BR"/>
        </w:rPr>
        <w:t xml:space="preserve">aseptičnu </w:t>
      </w:r>
      <w:r w:rsidRPr="001274C7">
        <w:rPr>
          <w:sz w:val="22"/>
          <w:szCs w:val="22"/>
          <w:u w:val="single"/>
          <w:lang w:val="pt-BR"/>
        </w:rPr>
        <w:t>rekonstituciju:</w:t>
      </w:r>
      <w:r w:rsidRPr="001274C7">
        <w:rPr>
          <w:sz w:val="22"/>
          <w:szCs w:val="22"/>
          <w:u w:val="single"/>
          <w:lang w:val="pl-PL"/>
        </w:rPr>
        <w:t xml:space="preserve"> </w:t>
      </w:r>
    </w:p>
    <w:p w14:paraId="61AB867B" w14:textId="77777777" w:rsidR="0072668B" w:rsidRPr="001274C7" w:rsidRDefault="0072668B" w:rsidP="00641EEB">
      <w:pPr>
        <w:pStyle w:val="TextNum"/>
        <w:spacing w:line="240" w:lineRule="auto"/>
        <w:ind w:left="0" w:firstLine="0"/>
        <w:jc w:val="both"/>
        <w:rPr>
          <w:sz w:val="22"/>
          <w:szCs w:val="22"/>
          <w:u w:val="single"/>
          <w:lang w:val="pl-PL"/>
        </w:rPr>
      </w:pPr>
    </w:p>
    <w:p w14:paraId="27AB3957" w14:textId="77777777" w:rsidR="008B20E9" w:rsidRDefault="008B20E9" w:rsidP="00641EEB">
      <w:pPr>
        <w:pStyle w:val="TextNum"/>
        <w:numPr>
          <w:ilvl w:val="0"/>
          <w:numId w:val="23"/>
        </w:numPr>
        <w:spacing w:line="240" w:lineRule="auto"/>
        <w:ind w:left="357" w:hanging="357"/>
        <w:jc w:val="both"/>
        <w:rPr>
          <w:sz w:val="22"/>
          <w:szCs w:val="22"/>
          <w:lang w:val="pl-PL"/>
        </w:rPr>
      </w:pPr>
      <w:r>
        <w:rPr>
          <w:sz w:val="22"/>
          <w:szCs w:val="22"/>
          <w:lang w:val="pl-PL"/>
        </w:rPr>
        <w:t xml:space="preserve">Koristeći sterilni špric, polako ubrizgajte 7,2 ml sterilne </w:t>
      </w:r>
      <w:r>
        <w:rPr>
          <w:sz w:val="22"/>
          <w:szCs w:val="22"/>
          <w:lang w:val="sr-Latn-CS"/>
        </w:rPr>
        <w:t>vode za injekcije</w:t>
      </w:r>
      <w:r>
        <w:rPr>
          <w:sz w:val="22"/>
          <w:szCs w:val="22"/>
          <w:lang w:val="pl-PL"/>
        </w:rPr>
        <w:t xml:space="preserve"> u bočicu koja sadrži liofilizovani Herceptin, usmjeravajući mlaz u liofolizat. </w:t>
      </w:r>
    </w:p>
    <w:p w14:paraId="6EC37BE5" w14:textId="77777777" w:rsidR="008B20E9" w:rsidRDefault="008B20E9" w:rsidP="00641EEB">
      <w:pPr>
        <w:pStyle w:val="TextNum"/>
        <w:numPr>
          <w:ilvl w:val="0"/>
          <w:numId w:val="23"/>
        </w:numPr>
        <w:spacing w:line="240" w:lineRule="auto"/>
        <w:ind w:left="357" w:hanging="357"/>
        <w:jc w:val="both"/>
        <w:rPr>
          <w:sz w:val="22"/>
          <w:szCs w:val="22"/>
        </w:rPr>
      </w:pPr>
      <w:r>
        <w:rPr>
          <w:sz w:val="22"/>
          <w:szCs w:val="22"/>
          <w:lang w:val="pl-PL"/>
        </w:rPr>
        <w:t xml:space="preserve">Nježno okrećite bočicu kako bi pospješili rekonstituciju. </w:t>
      </w:r>
      <w:r>
        <w:rPr>
          <w:sz w:val="22"/>
          <w:szCs w:val="22"/>
        </w:rPr>
        <w:t>NE MUĆKATI!</w:t>
      </w:r>
    </w:p>
    <w:p w14:paraId="5C74F05C" w14:textId="77777777" w:rsidR="008B20E9" w:rsidRDefault="008B20E9" w:rsidP="00641EEB">
      <w:pPr>
        <w:pStyle w:val="TextNum"/>
        <w:spacing w:line="240" w:lineRule="auto"/>
        <w:jc w:val="both"/>
        <w:rPr>
          <w:sz w:val="22"/>
          <w:szCs w:val="22"/>
        </w:rPr>
      </w:pPr>
    </w:p>
    <w:p w14:paraId="0D35D01E" w14:textId="77777777" w:rsidR="008B20E9" w:rsidRPr="001274C7" w:rsidRDefault="008B20E9" w:rsidP="00641EEB">
      <w:pPr>
        <w:pStyle w:val="TextTi12"/>
        <w:spacing w:after="0" w:line="240" w:lineRule="auto"/>
        <w:rPr>
          <w:sz w:val="22"/>
          <w:szCs w:val="22"/>
          <w:u w:val="single"/>
          <w:lang w:val="it-IT"/>
        </w:rPr>
      </w:pPr>
      <w:r>
        <w:rPr>
          <w:sz w:val="22"/>
          <w:szCs w:val="22"/>
        </w:rPr>
        <w:t xml:space="preserve">Blago pjenjenje proizvoda nakon rekonstitucije nije neobično. </w:t>
      </w:r>
      <w:r>
        <w:rPr>
          <w:sz w:val="22"/>
          <w:szCs w:val="22"/>
          <w:lang w:val="it-IT"/>
        </w:rPr>
        <w:t xml:space="preserve">Ostaviti bočicu da mirno stoji neprekidno oko 5 minuta. Rekonstitucijom Herceptina se dobija bezbojan do blijedo žuti providni rastvor koji bi trebao biti bez prisutnih vidljivih čestica. </w:t>
      </w:r>
    </w:p>
    <w:p w14:paraId="53476B6E" w14:textId="77777777" w:rsidR="0072668B" w:rsidRDefault="008B20E9" w:rsidP="00641EEB">
      <w:pPr>
        <w:pStyle w:val="TextTi12"/>
        <w:spacing w:after="0" w:line="240" w:lineRule="auto"/>
        <w:rPr>
          <w:sz w:val="22"/>
          <w:szCs w:val="22"/>
          <w:u w:val="single"/>
          <w:lang w:val="en-US"/>
        </w:rPr>
      </w:pPr>
      <w:r w:rsidRPr="001274C7">
        <w:rPr>
          <w:sz w:val="22"/>
          <w:szCs w:val="22"/>
          <w:u w:val="single"/>
        </w:rPr>
        <w:t xml:space="preserve">Uputstvo za </w:t>
      </w:r>
      <w:r w:rsidR="007672E8" w:rsidRPr="001274C7">
        <w:rPr>
          <w:sz w:val="22"/>
          <w:szCs w:val="22"/>
          <w:u w:val="single"/>
        </w:rPr>
        <w:t xml:space="preserve">aseptično </w:t>
      </w:r>
      <w:r w:rsidRPr="001274C7">
        <w:rPr>
          <w:sz w:val="22"/>
          <w:szCs w:val="22"/>
          <w:u w:val="single"/>
        </w:rPr>
        <w:t>rastvaranje</w:t>
      </w:r>
      <w:r w:rsidR="007672E8" w:rsidRPr="001274C7">
        <w:rPr>
          <w:sz w:val="22"/>
          <w:szCs w:val="22"/>
          <w:u w:val="single"/>
        </w:rPr>
        <w:t xml:space="preserve"> rekonstituisanog rastvora</w:t>
      </w:r>
      <w:r w:rsidRPr="001274C7">
        <w:rPr>
          <w:sz w:val="22"/>
          <w:szCs w:val="22"/>
          <w:u w:val="single"/>
        </w:rPr>
        <w:t>:</w:t>
      </w:r>
      <w:r w:rsidR="007672E8" w:rsidRPr="007672E8" w:rsidDel="007672E8">
        <w:rPr>
          <w:sz w:val="22"/>
          <w:szCs w:val="22"/>
          <w:u w:val="single"/>
          <w:lang w:val="en-US"/>
        </w:rPr>
        <w:t xml:space="preserve"> </w:t>
      </w:r>
    </w:p>
    <w:p w14:paraId="487F8412" w14:textId="6C13EBBC" w:rsidR="008B20E9" w:rsidRDefault="008B20E9" w:rsidP="00641EEB">
      <w:pPr>
        <w:pStyle w:val="TextTi12"/>
        <w:spacing w:after="0" w:line="240" w:lineRule="auto"/>
        <w:rPr>
          <w:sz w:val="22"/>
          <w:szCs w:val="22"/>
        </w:rPr>
      </w:pPr>
      <w:r>
        <w:rPr>
          <w:sz w:val="22"/>
          <w:szCs w:val="22"/>
        </w:rPr>
        <w:t>Odrediti potrebnu zapreminu rastvora na osnovu:</w:t>
      </w:r>
    </w:p>
    <w:p w14:paraId="5EFA8B64" w14:textId="77777777" w:rsidR="008B20E9" w:rsidRDefault="008B20E9" w:rsidP="00641EEB">
      <w:pPr>
        <w:pStyle w:val="TextTi12"/>
        <w:numPr>
          <w:ilvl w:val="0"/>
          <w:numId w:val="24"/>
        </w:numPr>
        <w:spacing w:after="0" w:line="240" w:lineRule="auto"/>
        <w:rPr>
          <w:sz w:val="22"/>
          <w:szCs w:val="22"/>
        </w:rPr>
      </w:pPr>
      <w:r>
        <w:rPr>
          <w:sz w:val="22"/>
          <w:szCs w:val="22"/>
        </w:rPr>
        <w:t xml:space="preserve">udarne doze od </w:t>
      </w:r>
      <w:r>
        <w:rPr>
          <w:b/>
          <w:sz w:val="22"/>
          <w:szCs w:val="22"/>
        </w:rPr>
        <w:t>4</w:t>
      </w:r>
      <w:r>
        <w:rPr>
          <w:sz w:val="22"/>
          <w:szCs w:val="22"/>
        </w:rPr>
        <w:t xml:space="preserve"> mg trastuzumaba/kg tjelesne mase, ili naredne doze održavanja (nedjeljni režim) od  </w:t>
      </w:r>
      <w:r>
        <w:rPr>
          <w:b/>
          <w:sz w:val="22"/>
          <w:szCs w:val="22"/>
        </w:rPr>
        <w:t>2</w:t>
      </w:r>
      <w:r>
        <w:rPr>
          <w:sz w:val="22"/>
          <w:szCs w:val="22"/>
        </w:rPr>
        <w:t xml:space="preserve"> mg trastuzumaba/kg tjelesne mase:</w:t>
      </w:r>
    </w:p>
    <w:p w14:paraId="4CC267E6" w14:textId="77777777" w:rsidR="008B20E9" w:rsidRDefault="008B20E9" w:rsidP="00641EEB">
      <w:pPr>
        <w:pStyle w:val="BlockText"/>
        <w:ind w:left="0"/>
        <w:rPr>
          <w:szCs w:val="22"/>
          <w:u w:val="single"/>
          <w:lang w:val="sr-Latn-ME"/>
        </w:rPr>
      </w:pPr>
      <w:r>
        <w:rPr>
          <w:b/>
          <w:szCs w:val="22"/>
        </w:rPr>
        <w:t>Zapremina</w:t>
      </w:r>
      <w:r>
        <w:rPr>
          <w:szCs w:val="22"/>
          <w:lang w:val="sr-Latn-ME"/>
        </w:rPr>
        <w:t xml:space="preserve"> (</w:t>
      </w:r>
      <w:r>
        <w:rPr>
          <w:szCs w:val="22"/>
        </w:rPr>
        <w:t>ml</w:t>
      </w:r>
      <w:r>
        <w:rPr>
          <w:szCs w:val="22"/>
          <w:lang w:val="sr-Latn-ME"/>
        </w:rPr>
        <w:t>) =</w:t>
      </w:r>
      <w:r>
        <w:rPr>
          <w:szCs w:val="22"/>
          <w:u w:val="single"/>
          <w:lang w:val="sr-Latn-ME"/>
        </w:rPr>
        <w:t xml:space="preserve"> </w:t>
      </w:r>
      <w:r>
        <w:rPr>
          <w:b/>
          <w:szCs w:val="22"/>
          <w:u w:val="single"/>
        </w:rPr>
        <w:t>Tjelesna</w:t>
      </w:r>
      <w:r>
        <w:rPr>
          <w:b/>
          <w:szCs w:val="22"/>
          <w:u w:val="single"/>
          <w:lang w:val="sr-Latn-ME"/>
        </w:rPr>
        <w:t xml:space="preserve"> </w:t>
      </w:r>
      <w:r>
        <w:rPr>
          <w:b/>
          <w:szCs w:val="22"/>
          <w:u w:val="single"/>
        </w:rPr>
        <w:t>masa</w:t>
      </w:r>
      <w:r>
        <w:rPr>
          <w:szCs w:val="22"/>
          <w:u w:val="single"/>
          <w:lang w:val="sr-Latn-ME"/>
        </w:rPr>
        <w:t xml:space="preserve"> (</w:t>
      </w:r>
      <w:r>
        <w:rPr>
          <w:szCs w:val="22"/>
          <w:u w:val="single"/>
        </w:rPr>
        <w:t>kg</w:t>
      </w:r>
      <w:r>
        <w:rPr>
          <w:szCs w:val="22"/>
          <w:u w:val="single"/>
          <w:lang w:val="sr-Latn-ME"/>
        </w:rPr>
        <w:t xml:space="preserve">) </w:t>
      </w:r>
      <w:r>
        <w:rPr>
          <w:szCs w:val="22"/>
          <w:u w:val="single"/>
        </w:rPr>
        <w:t>x</w:t>
      </w:r>
      <w:r>
        <w:rPr>
          <w:b/>
          <w:szCs w:val="22"/>
          <w:u w:val="single"/>
          <w:lang w:val="sr-Latn-ME"/>
        </w:rPr>
        <w:t xml:space="preserve"> </w:t>
      </w:r>
      <w:r>
        <w:rPr>
          <w:b/>
          <w:szCs w:val="22"/>
          <w:u w:val="single"/>
        </w:rPr>
        <w:t>doza</w:t>
      </w:r>
      <w:r>
        <w:rPr>
          <w:szCs w:val="22"/>
          <w:u w:val="single"/>
          <w:lang w:val="sr-Latn-ME"/>
        </w:rPr>
        <w:t xml:space="preserve"> (</w:t>
      </w:r>
      <w:r>
        <w:rPr>
          <w:b/>
          <w:szCs w:val="22"/>
          <w:u w:val="single"/>
          <w:lang w:val="sr-Latn-ME"/>
        </w:rPr>
        <w:t>4</w:t>
      </w:r>
      <w:r>
        <w:rPr>
          <w:szCs w:val="22"/>
          <w:u w:val="single"/>
          <w:lang w:val="sr-Latn-ME"/>
        </w:rPr>
        <w:t xml:space="preserve"> </w:t>
      </w:r>
      <w:r>
        <w:rPr>
          <w:szCs w:val="22"/>
          <w:u w:val="single"/>
        </w:rPr>
        <w:t>mg</w:t>
      </w:r>
      <w:r>
        <w:rPr>
          <w:szCs w:val="22"/>
          <w:u w:val="single"/>
          <w:lang w:val="sr-Latn-ME"/>
        </w:rPr>
        <w:t>/</w:t>
      </w:r>
      <w:r>
        <w:rPr>
          <w:szCs w:val="22"/>
          <w:u w:val="single"/>
        </w:rPr>
        <w:t>kg</w:t>
      </w:r>
      <w:r>
        <w:rPr>
          <w:szCs w:val="22"/>
          <w:u w:val="single"/>
          <w:lang w:val="sr-Latn-ME"/>
        </w:rPr>
        <w:t xml:space="preserve"> </w:t>
      </w:r>
      <w:r>
        <w:rPr>
          <w:szCs w:val="22"/>
          <w:u w:val="single"/>
        </w:rPr>
        <w:t>za</w:t>
      </w:r>
      <w:r>
        <w:rPr>
          <w:szCs w:val="22"/>
          <w:u w:val="single"/>
          <w:lang w:val="sr-Latn-ME"/>
        </w:rPr>
        <w:t xml:space="preserve"> </w:t>
      </w:r>
      <w:r>
        <w:rPr>
          <w:szCs w:val="22"/>
          <w:u w:val="single"/>
        </w:rPr>
        <w:t>udarnu</w:t>
      </w:r>
      <w:r>
        <w:rPr>
          <w:szCs w:val="22"/>
          <w:u w:val="single"/>
          <w:lang w:val="sr-Latn-ME"/>
        </w:rPr>
        <w:t xml:space="preserve"> </w:t>
      </w:r>
      <w:proofErr w:type="gramStart"/>
      <w:r>
        <w:rPr>
          <w:szCs w:val="22"/>
          <w:u w:val="single"/>
        </w:rPr>
        <w:t>ili</w:t>
      </w:r>
      <w:proofErr w:type="gramEnd"/>
      <w:r>
        <w:rPr>
          <w:szCs w:val="22"/>
          <w:u w:val="single"/>
          <w:lang w:val="sr-Latn-ME"/>
        </w:rPr>
        <w:t xml:space="preserve"> </w:t>
      </w:r>
      <w:r>
        <w:rPr>
          <w:b/>
          <w:szCs w:val="22"/>
          <w:u w:val="single"/>
          <w:lang w:val="sr-Latn-ME"/>
        </w:rPr>
        <w:t>2</w:t>
      </w:r>
      <w:r>
        <w:rPr>
          <w:szCs w:val="22"/>
          <w:u w:val="single"/>
          <w:lang w:val="sr-Latn-ME"/>
        </w:rPr>
        <w:t xml:space="preserve"> </w:t>
      </w:r>
      <w:r>
        <w:rPr>
          <w:szCs w:val="22"/>
          <w:u w:val="single"/>
        </w:rPr>
        <w:t>mg</w:t>
      </w:r>
      <w:r>
        <w:rPr>
          <w:szCs w:val="22"/>
          <w:u w:val="single"/>
          <w:lang w:val="sr-Latn-ME"/>
        </w:rPr>
        <w:t>/</w:t>
      </w:r>
      <w:r>
        <w:rPr>
          <w:szCs w:val="22"/>
          <w:u w:val="single"/>
        </w:rPr>
        <w:t>kg</w:t>
      </w:r>
      <w:r>
        <w:rPr>
          <w:szCs w:val="22"/>
          <w:u w:val="single"/>
          <w:lang w:val="sr-Latn-ME"/>
        </w:rPr>
        <w:t xml:space="preserve"> </w:t>
      </w:r>
      <w:r>
        <w:rPr>
          <w:szCs w:val="22"/>
          <w:u w:val="single"/>
        </w:rPr>
        <w:t>za</w:t>
      </w:r>
      <w:r>
        <w:rPr>
          <w:szCs w:val="22"/>
          <w:u w:val="single"/>
          <w:lang w:val="sr-Latn-ME"/>
        </w:rPr>
        <w:t xml:space="preserve"> </w:t>
      </w:r>
      <w:r>
        <w:rPr>
          <w:szCs w:val="22"/>
          <w:u w:val="single"/>
        </w:rPr>
        <w:t>dozu</w:t>
      </w:r>
      <w:r>
        <w:rPr>
          <w:szCs w:val="22"/>
          <w:u w:val="single"/>
          <w:lang w:val="sr-Latn-ME"/>
        </w:rPr>
        <w:t xml:space="preserve"> </w:t>
      </w:r>
      <w:r>
        <w:rPr>
          <w:szCs w:val="22"/>
          <w:u w:val="single"/>
        </w:rPr>
        <w:t>odr</w:t>
      </w:r>
      <w:r>
        <w:rPr>
          <w:szCs w:val="22"/>
          <w:u w:val="single"/>
          <w:lang w:val="sr-Latn-ME"/>
        </w:rPr>
        <w:t>ž</w:t>
      </w:r>
      <w:r>
        <w:rPr>
          <w:szCs w:val="22"/>
          <w:u w:val="single"/>
        </w:rPr>
        <w:t>avanja</w:t>
      </w:r>
      <w:r>
        <w:rPr>
          <w:szCs w:val="22"/>
          <w:u w:val="single"/>
          <w:lang w:val="sr-Latn-ME"/>
        </w:rPr>
        <w:t xml:space="preserve">) </w:t>
      </w:r>
    </w:p>
    <w:p w14:paraId="5918C3F6" w14:textId="77777777" w:rsidR="008B20E9" w:rsidRDefault="008B20E9" w:rsidP="00641EEB">
      <w:pPr>
        <w:pStyle w:val="BlockText"/>
        <w:tabs>
          <w:tab w:val="left" w:pos="2977"/>
        </w:tabs>
        <w:ind w:left="2268" w:hanging="141"/>
        <w:rPr>
          <w:szCs w:val="22"/>
          <w:lang w:val="de-DE"/>
        </w:rPr>
      </w:pPr>
      <w:r>
        <w:rPr>
          <w:b/>
          <w:szCs w:val="22"/>
          <w:lang w:val="de-DE"/>
        </w:rPr>
        <w:t>21</w:t>
      </w:r>
      <w:r>
        <w:rPr>
          <w:szCs w:val="22"/>
          <w:lang w:val="de-DE"/>
        </w:rPr>
        <w:t xml:space="preserve"> (mg/ml, koncentracija rekonstituisanog rastvora)</w:t>
      </w:r>
    </w:p>
    <w:p w14:paraId="2622934E" w14:textId="77777777" w:rsidR="008B20E9" w:rsidRDefault="008B20E9" w:rsidP="00641EEB">
      <w:pPr>
        <w:pStyle w:val="BlockText"/>
        <w:tabs>
          <w:tab w:val="left" w:pos="2977"/>
        </w:tabs>
        <w:ind w:left="0"/>
        <w:rPr>
          <w:szCs w:val="22"/>
          <w:lang w:val="de-DE"/>
        </w:rPr>
      </w:pPr>
    </w:p>
    <w:p w14:paraId="1779D022" w14:textId="77777777" w:rsidR="008B20E9" w:rsidRDefault="008B20E9" w:rsidP="00641EEB">
      <w:pPr>
        <w:pStyle w:val="TextTi12"/>
        <w:numPr>
          <w:ilvl w:val="0"/>
          <w:numId w:val="24"/>
        </w:numPr>
        <w:spacing w:after="0" w:line="240" w:lineRule="auto"/>
        <w:rPr>
          <w:sz w:val="22"/>
          <w:szCs w:val="22"/>
          <w:lang w:val="de-DE"/>
        </w:rPr>
      </w:pPr>
      <w:r>
        <w:rPr>
          <w:sz w:val="22"/>
          <w:szCs w:val="22"/>
          <w:lang w:val="de-DE"/>
        </w:rPr>
        <w:t xml:space="preserve">udarne doze od </w:t>
      </w:r>
      <w:r>
        <w:rPr>
          <w:b/>
          <w:sz w:val="22"/>
          <w:szCs w:val="22"/>
          <w:lang w:val="de-DE"/>
        </w:rPr>
        <w:t>8</w:t>
      </w:r>
      <w:r>
        <w:rPr>
          <w:sz w:val="22"/>
          <w:szCs w:val="22"/>
          <w:lang w:val="de-DE"/>
        </w:rPr>
        <w:t xml:space="preserve"> mg trastuzumaba/kg tjelesne mase, ili naredne doze </w:t>
      </w:r>
      <w:r>
        <w:rPr>
          <w:b/>
          <w:sz w:val="22"/>
          <w:szCs w:val="22"/>
          <w:lang w:val="de-DE"/>
        </w:rPr>
        <w:t>tronedjeljnog režima</w:t>
      </w:r>
      <w:r>
        <w:rPr>
          <w:sz w:val="22"/>
          <w:szCs w:val="22"/>
          <w:lang w:val="de-DE"/>
        </w:rPr>
        <w:t xml:space="preserve"> od </w:t>
      </w:r>
      <w:r>
        <w:rPr>
          <w:b/>
          <w:sz w:val="22"/>
          <w:szCs w:val="22"/>
          <w:lang w:val="de-DE"/>
        </w:rPr>
        <w:t>6</w:t>
      </w:r>
      <w:r>
        <w:rPr>
          <w:sz w:val="22"/>
          <w:szCs w:val="22"/>
          <w:lang w:val="de-DE"/>
        </w:rPr>
        <w:t xml:space="preserve"> mg trastuzumaba/kg tjelesne mase:</w:t>
      </w:r>
    </w:p>
    <w:p w14:paraId="3AE7959C" w14:textId="77777777" w:rsidR="008B20E9" w:rsidRPr="00442616" w:rsidRDefault="008B20E9" w:rsidP="00641EEB">
      <w:pPr>
        <w:ind w:right="-45"/>
        <w:jc w:val="both"/>
        <w:rPr>
          <w:sz w:val="22"/>
          <w:szCs w:val="22"/>
          <w:u w:val="single"/>
          <w:lang w:val="de-DE" w:eastAsia="ja-JP"/>
        </w:rPr>
      </w:pPr>
      <w:r w:rsidRPr="00442616">
        <w:rPr>
          <w:b/>
          <w:sz w:val="22"/>
          <w:szCs w:val="22"/>
          <w:lang w:val="de-DE" w:eastAsia="ja-JP"/>
        </w:rPr>
        <w:t>Zapremina (ml)</w:t>
      </w:r>
      <w:r w:rsidRPr="00442616">
        <w:rPr>
          <w:sz w:val="22"/>
          <w:szCs w:val="22"/>
          <w:lang w:val="de-DE"/>
        </w:rPr>
        <w:t xml:space="preserve"> = </w:t>
      </w:r>
      <w:r w:rsidRPr="00442616">
        <w:rPr>
          <w:b/>
          <w:sz w:val="22"/>
          <w:szCs w:val="22"/>
          <w:u w:val="single"/>
          <w:lang w:val="de-DE" w:eastAsia="ja-JP"/>
        </w:rPr>
        <w:t>Tjelesna masa (kg)</w:t>
      </w:r>
      <w:r w:rsidRPr="00442616">
        <w:rPr>
          <w:sz w:val="22"/>
          <w:szCs w:val="22"/>
          <w:u w:val="single"/>
          <w:lang w:val="de-DE"/>
        </w:rPr>
        <w:t xml:space="preserve"> </w:t>
      </w:r>
      <w:r w:rsidRPr="00442616">
        <w:rPr>
          <w:sz w:val="22"/>
          <w:szCs w:val="22"/>
          <w:u w:val="single"/>
          <w:lang w:val="de-DE" w:eastAsia="ja-JP"/>
        </w:rPr>
        <w:t xml:space="preserve">x </w:t>
      </w:r>
      <w:r w:rsidRPr="00442616">
        <w:rPr>
          <w:b/>
          <w:sz w:val="22"/>
          <w:szCs w:val="22"/>
          <w:u w:val="single"/>
          <w:lang w:val="de-DE" w:eastAsia="ja-JP"/>
        </w:rPr>
        <w:t>doza</w:t>
      </w:r>
      <w:r w:rsidRPr="00442616">
        <w:rPr>
          <w:sz w:val="22"/>
          <w:szCs w:val="22"/>
          <w:u w:val="single"/>
          <w:lang w:val="de-DE" w:eastAsia="ja-JP"/>
        </w:rPr>
        <w:t xml:space="preserve"> (</w:t>
      </w:r>
      <w:r w:rsidRPr="00442616">
        <w:rPr>
          <w:b/>
          <w:sz w:val="22"/>
          <w:szCs w:val="22"/>
          <w:u w:val="single"/>
          <w:lang w:val="de-DE" w:eastAsia="ja-JP"/>
        </w:rPr>
        <w:t>8</w:t>
      </w:r>
      <w:r w:rsidRPr="00442616">
        <w:rPr>
          <w:sz w:val="22"/>
          <w:szCs w:val="22"/>
          <w:u w:val="single"/>
          <w:lang w:val="de-DE" w:eastAsia="ja-JP"/>
        </w:rPr>
        <w:t xml:space="preserve"> mg/kg za udarnu ili </w:t>
      </w:r>
      <w:r w:rsidRPr="00442616">
        <w:rPr>
          <w:b/>
          <w:sz w:val="22"/>
          <w:szCs w:val="22"/>
          <w:u w:val="single"/>
          <w:lang w:val="de-DE" w:eastAsia="ja-JP"/>
        </w:rPr>
        <w:t xml:space="preserve">6 </w:t>
      </w:r>
      <w:r w:rsidRPr="00442616">
        <w:rPr>
          <w:sz w:val="22"/>
          <w:szCs w:val="22"/>
          <w:u w:val="single"/>
          <w:lang w:val="de-DE" w:eastAsia="ja-JP"/>
        </w:rPr>
        <w:t xml:space="preserve">mg/kg za dozu održavanja) </w:t>
      </w:r>
    </w:p>
    <w:p w14:paraId="616349C0" w14:textId="4C832842" w:rsidR="008B20E9" w:rsidRDefault="008B20E9" w:rsidP="00641EEB">
      <w:pPr>
        <w:pStyle w:val="BlockText"/>
        <w:tabs>
          <w:tab w:val="left" w:pos="2977"/>
        </w:tabs>
        <w:ind w:left="0" w:firstLine="2127"/>
        <w:rPr>
          <w:szCs w:val="22"/>
          <w:lang w:val="de-DE"/>
        </w:rPr>
      </w:pPr>
      <w:r>
        <w:rPr>
          <w:b/>
          <w:szCs w:val="22"/>
          <w:lang w:val="de-DE"/>
        </w:rPr>
        <w:t>21</w:t>
      </w:r>
      <w:r>
        <w:rPr>
          <w:szCs w:val="22"/>
          <w:lang w:val="de-DE"/>
        </w:rPr>
        <w:t xml:space="preserve"> (mg/ml, koncentracija rekonstituisanog rastvora)</w:t>
      </w:r>
    </w:p>
    <w:p w14:paraId="5EAC5B65" w14:textId="77777777" w:rsidR="007672E8" w:rsidRDefault="007672E8" w:rsidP="00641EEB">
      <w:pPr>
        <w:pStyle w:val="BlockText"/>
        <w:tabs>
          <w:tab w:val="left" w:pos="2977"/>
        </w:tabs>
        <w:ind w:left="0" w:firstLine="2127"/>
        <w:rPr>
          <w:szCs w:val="22"/>
          <w:lang w:val="de-DE"/>
        </w:rPr>
      </w:pPr>
    </w:p>
    <w:p w14:paraId="1402CC77" w14:textId="6B5C7353" w:rsidR="007672E8" w:rsidRDefault="008B20E9" w:rsidP="00641EEB">
      <w:pPr>
        <w:pStyle w:val="TextTi12"/>
        <w:spacing w:after="0" w:line="240" w:lineRule="auto"/>
        <w:rPr>
          <w:sz w:val="22"/>
          <w:szCs w:val="22"/>
          <w:lang w:val="de-DE"/>
        </w:rPr>
      </w:pPr>
      <w:r>
        <w:rPr>
          <w:sz w:val="22"/>
          <w:szCs w:val="22"/>
          <w:lang w:val="de-DE"/>
        </w:rPr>
        <w:t>Odgovarajuću količinu rastvora treba izvući iz bočice</w:t>
      </w:r>
      <w:r w:rsidR="002829DD">
        <w:rPr>
          <w:sz w:val="22"/>
          <w:szCs w:val="22"/>
          <w:lang w:val="de-DE"/>
        </w:rPr>
        <w:t xml:space="preserve"> pomoću sterilne igle i </w:t>
      </w:r>
      <w:r w:rsidR="002829DD">
        <w:rPr>
          <w:sz w:val="22"/>
          <w:szCs w:val="22"/>
          <w:lang w:val="sr-Latn-RS"/>
        </w:rPr>
        <w:t>šprica</w:t>
      </w:r>
      <w:r>
        <w:rPr>
          <w:sz w:val="22"/>
          <w:szCs w:val="22"/>
          <w:lang w:val="de-DE"/>
        </w:rPr>
        <w:t xml:space="preserve"> i dodati u kesu za infuziju koja sadrži 250 ml rastvora 0.9% natrijum hlorida. Rastvor glukoze ne smije se koristiti (vidjeti dio 6.2). Kesu treba lagano okretati kako bi se rastvor izmješao bez stvaranja pjene. </w:t>
      </w:r>
    </w:p>
    <w:p w14:paraId="65F415A4" w14:textId="39AA82CF" w:rsidR="008B20E9" w:rsidRDefault="008B20E9" w:rsidP="00641EEB">
      <w:pPr>
        <w:pStyle w:val="TextTi12"/>
        <w:spacing w:after="0" w:line="240" w:lineRule="auto"/>
        <w:rPr>
          <w:sz w:val="22"/>
          <w:szCs w:val="22"/>
          <w:lang w:val="sr-Latn-CS"/>
        </w:rPr>
      </w:pPr>
      <w:r>
        <w:rPr>
          <w:sz w:val="22"/>
          <w:szCs w:val="22"/>
          <w:lang w:val="sr-Latn-CS"/>
        </w:rPr>
        <w:t xml:space="preserve">Prije primjene parenteralne ljekove treba pregledati zbog mogućih zaostalih čestica ili promjene boje. </w:t>
      </w:r>
    </w:p>
    <w:p w14:paraId="5FEF1D1A" w14:textId="58C53C10" w:rsidR="008B20E9" w:rsidRDefault="008B20E9" w:rsidP="00641EEB">
      <w:pPr>
        <w:pStyle w:val="TextTi12"/>
        <w:spacing w:after="0" w:line="240" w:lineRule="auto"/>
        <w:rPr>
          <w:sz w:val="22"/>
          <w:szCs w:val="22"/>
          <w:lang w:val="sr-Latn-CS"/>
        </w:rPr>
      </w:pPr>
      <w:r>
        <w:rPr>
          <w:sz w:val="22"/>
          <w:szCs w:val="22"/>
          <w:lang w:val="sr-Latn-CS"/>
        </w:rPr>
        <w:t>Neiskorišćeni lijek ili otpadni materijal treba ukloniti u skladu sa odgovarajućim propisima.</w:t>
      </w:r>
    </w:p>
    <w:p w14:paraId="733C5731" w14:textId="77777777" w:rsidR="008B20E9" w:rsidRDefault="008B20E9" w:rsidP="00641EEB">
      <w:pPr>
        <w:pStyle w:val="TextTi12"/>
        <w:spacing w:after="0" w:line="240" w:lineRule="auto"/>
        <w:rPr>
          <w:sz w:val="22"/>
          <w:szCs w:val="22"/>
          <w:lang w:val="sr-Latn-CS"/>
        </w:rPr>
      </w:pPr>
      <w:r>
        <w:rPr>
          <w:sz w:val="22"/>
          <w:szCs w:val="22"/>
          <w:lang w:val="sr-Latn-CS"/>
        </w:rPr>
        <w:t>Nijesu primjećene inkompatibilnosti između lijeka Herceptin i polivinilhloridnih, polietilenskih ili polipropilenskih kesa.</w:t>
      </w:r>
    </w:p>
    <w:p w14:paraId="1880DE0F" w14:textId="30415998" w:rsidR="0072020E" w:rsidRDefault="0072020E" w:rsidP="00641EEB">
      <w:pPr>
        <w:tabs>
          <w:tab w:val="left" w:pos="540"/>
          <w:tab w:val="left" w:pos="569"/>
        </w:tabs>
        <w:rPr>
          <w:bCs/>
          <w:sz w:val="22"/>
          <w:szCs w:val="22"/>
          <w:lang w:val="sr-Latn-CS"/>
        </w:rPr>
      </w:pPr>
    </w:p>
    <w:p w14:paraId="5616EB0B" w14:textId="77777777" w:rsidR="00580C31" w:rsidRPr="00442616" w:rsidRDefault="00580C31" w:rsidP="00641EEB">
      <w:pPr>
        <w:tabs>
          <w:tab w:val="left" w:pos="540"/>
          <w:tab w:val="left" w:pos="569"/>
        </w:tabs>
        <w:rPr>
          <w:bCs/>
          <w:sz w:val="22"/>
          <w:szCs w:val="22"/>
          <w:lang w:val="sr-Latn-CS"/>
        </w:rPr>
      </w:pPr>
    </w:p>
    <w:p w14:paraId="1880DE10" w14:textId="63B1D931" w:rsidR="00F8570A" w:rsidRDefault="0072020E" w:rsidP="00641EEB">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38E606CA" w14:textId="77777777" w:rsidR="008B1640" w:rsidRPr="00786071" w:rsidRDefault="008B1640" w:rsidP="00641EEB">
      <w:pPr>
        <w:tabs>
          <w:tab w:val="left" w:pos="540"/>
          <w:tab w:val="left" w:pos="569"/>
        </w:tabs>
        <w:rPr>
          <w:b/>
          <w:bCs/>
          <w:sz w:val="22"/>
          <w:szCs w:val="22"/>
        </w:rPr>
      </w:pPr>
    </w:p>
    <w:p w14:paraId="7BA44125" w14:textId="77777777" w:rsidR="008B20E9" w:rsidRDefault="008B20E9" w:rsidP="00641EEB">
      <w:pPr>
        <w:tabs>
          <w:tab w:val="left" w:pos="708"/>
        </w:tabs>
        <w:jc w:val="both"/>
        <w:rPr>
          <w:bCs/>
          <w:sz w:val="22"/>
          <w:szCs w:val="22"/>
          <w:lang w:val="sr-Latn-CS"/>
        </w:rPr>
      </w:pPr>
      <w:r>
        <w:rPr>
          <w:bCs/>
          <w:sz w:val="22"/>
          <w:szCs w:val="22"/>
          <w:lang w:val="sr-Latn-CS"/>
        </w:rPr>
        <w:t>Hoffmann-La Roche Ltd. dio stranog društva, Podgorica</w:t>
      </w:r>
    </w:p>
    <w:p w14:paraId="67642951" w14:textId="77777777" w:rsidR="008B20E9" w:rsidRDefault="008B20E9" w:rsidP="00641EEB">
      <w:pPr>
        <w:tabs>
          <w:tab w:val="left" w:pos="708"/>
        </w:tabs>
        <w:ind w:left="72" w:hanging="72"/>
        <w:jc w:val="both"/>
        <w:rPr>
          <w:bCs/>
          <w:sz w:val="22"/>
          <w:szCs w:val="22"/>
          <w:lang w:val="sr-Latn-CS"/>
        </w:rPr>
      </w:pPr>
      <w:r>
        <w:rPr>
          <w:bCs/>
          <w:sz w:val="22"/>
          <w:szCs w:val="22"/>
          <w:lang w:val="sr-Latn-CS"/>
        </w:rPr>
        <w:t>Cetinjska br. 11</w:t>
      </w:r>
    </w:p>
    <w:p w14:paraId="0891F274" w14:textId="77777777" w:rsidR="008B20E9" w:rsidRDefault="008B20E9" w:rsidP="00641EEB">
      <w:pPr>
        <w:tabs>
          <w:tab w:val="left" w:pos="708"/>
        </w:tabs>
        <w:ind w:left="72" w:hanging="72"/>
        <w:jc w:val="both"/>
        <w:rPr>
          <w:bCs/>
          <w:sz w:val="22"/>
          <w:szCs w:val="22"/>
          <w:lang w:val="sr-Latn-CS"/>
        </w:rPr>
      </w:pPr>
      <w:r>
        <w:rPr>
          <w:bCs/>
          <w:sz w:val="22"/>
          <w:szCs w:val="22"/>
          <w:lang w:val="sr-Latn-CS"/>
        </w:rPr>
        <w:t xml:space="preserve">81000 Podgorica, </w:t>
      </w:r>
    </w:p>
    <w:p w14:paraId="1880DE11" w14:textId="20C29EE3" w:rsidR="00C61BE0" w:rsidRPr="008B20E9" w:rsidRDefault="008B20E9" w:rsidP="00641EEB">
      <w:pPr>
        <w:tabs>
          <w:tab w:val="left" w:pos="708"/>
        </w:tabs>
        <w:ind w:left="72" w:hanging="72"/>
        <w:jc w:val="both"/>
        <w:rPr>
          <w:bCs/>
          <w:sz w:val="22"/>
          <w:szCs w:val="22"/>
          <w:lang w:val="sr-Latn-CS"/>
        </w:rPr>
      </w:pPr>
      <w:r>
        <w:rPr>
          <w:bCs/>
          <w:sz w:val="22"/>
          <w:szCs w:val="22"/>
          <w:lang w:val="sr-Latn-CS"/>
        </w:rPr>
        <w:t>Crna Gora</w:t>
      </w:r>
    </w:p>
    <w:p w14:paraId="1880DE12" w14:textId="247F80F9" w:rsidR="00C37FD7" w:rsidRDefault="00C37FD7" w:rsidP="00641EEB">
      <w:pPr>
        <w:tabs>
          <w:tab w:val="left" w:pos="540"/>
          <w:tab w:val="left" w:pos="569"/>
        </w:tabs>
        <w:rPr>
          <w:bCs/>
          <w:sz w:val="22"/>
          <w:szCs w:val="22"/>
          <w:lang w:val="pt-BR"/>
        </w:rPr>
      </w:pPr>
    </w:p>
    <w:p w14:paraId="4A83A786" w14:textId="77777777" w:rsidR="00580C31" w:rsidRPr="00442616" w:rsidRDefault="00580C31" w:rsidP="00641EEB">
      <w:pPr>
        <w:tabs>
          <w:tab w:val="left" w:pos="540"/>
          <w:tab w:val="left" w:pos="569"/>
        </w:tabs>
        <w:rPr>
          <w:bCs/>
          <w:sz w:val="22"/>
          <w:szCs w:val="22"/>
          <w:lang w:val="pt-BR"/>
        </w:rPr>
      </w:pPr>
    </w:p>
    <w:p w14:paraId="1880DE13" w14:textId="77777777" w:rsidR="0072020E" w:rsidRPr="00442616" w:rsidRDefault="0072020E" w:rsidP="00641EEB">
      <w:pPr>
        <w:tabs>
          <w:tab w:val="left" w:pos="540"/>
          <w:tab w:val="left" w:pos="569"/>
        </w:tabs>
        <w:rPr>
          <w:b/>
          <w:bCs/>
          <w:sz w:val="22"/>
          <w:szCs w:val="22"/>
          <w:lang w:val="pt-BR"/>
        </w:rPr>
      </w:pPr>
      <w:r w:rsidRPr="00442616">
        <w:rPr>
          <w:b/>
          <w:bCs/>
          <w:sz w:val="22"/>
          <w:szCs w:val="22"/>
          <w:lang w:val="pt-BR"/>
        </w:rPr>
        <w:t xml:space="preserve">8. </w:t>
      </w:r>
      <w:r w:rsidR="00480FB1" w:rsidRPr="00442616">
        <w:rPr>
          <w:b/>
          <w:bCs/>
          <w:sz w:val="22"/>
          <w:szCs w:val="22"/>
          <w:lang w:val="pt-BR"/>
        </w:rPr>
        <w:tab/>
      </w:r>
      <w:r w:rsidRPr="00442616">
        <w:rPr>
          <w:b/>
          <w:bCs/>
          <w:sz w:val="22"/>
          <w:szCs w:val="22"/>
          <w:lang w:val="pt-BR"/>
        </w:rPr>
        <w:t>BROJ DOZVOLE</w:t>
      </w:r>
      <w:r w:rsidR="008A6D43" w:rsidRPr="00442616">
        <w:rPr>
          <w:b/>
          <w:bCs/>
          <w:sz w:val="22"/>
          <w:szCs w:val="22"/>
          <w:lang w:val="pt-BR"/>
        </w:rPr>
        <w:t xml:space="preserve"> ZA STAVLJANJE LIJEKA U PROMET</w:t>
      </w:r>
    </w:p>
    <w:p w14:paraId="1880DE14" w14:textId="77777777" w:rsidR="0072020E" w:rsidRPr="00442616" w:rsidRDefault="0072020E" w:rsidP="00641EEB">
      <w:pPr>
        <w:tabs>
          <w:tab w:val="left" w:pos="540"/>
          <w:tab w:val="left" w:pos="569"/>
        </w:tabs>
        <w:rPr>
          <w:bCs/>
          <w:sz w:val="22"/>
          <w:szCs w:val="22"/>
          <w:lang w:val="pt-BR"/>
        </w:rPr>
      </w:pPr>
    </w:p>
    <w:p w14:paraId="1880DE15" w14:textId="752FD5F5" w:rsidR="00F45F77" w:rsidRDefault="008B20E9" w:rsidP="00641EEB">
      <w:pPr>
        <w:tabs>
          <w:tab w:val="left" w:pos="540"/>
          <w:tab w:val="left" w:pos="569"/>
        </w:tabs>
        <w:rPr>
          <w:sz w:val="22"/>
          <w:szCs w:val="22"/>
          <w:lang w:val="sr-Latn-CS"/>
        </w:rPr>
      </w:pPr>
      <w:r>
        <w:rPr>
          <w:sz w:val="22"/>
          <w:szCs w:val="22"/>
          <w:lang w:val="sr-Latn-CS"/>
        </w:rPr>
        <w:t>2030/14/153 – 7473</w:t>
      </w:r>
    </w:p>
    <w:p w14:paraId="47302159" w14:textId="321A36C6" w:rsidR="008B20E9" w:rsidRDefault="008B20E9" w:rsidP="00641EEB">
      <w:pPr>
        <w:tabs>
          <w:tab w:val="left" w:pos="540"/>
          <w:tab w:val="left" w:pos="569"/>
        </w:tabs>
        <w:rPr>
          <w:bCs/>
          <w:sz w:val="22"/>
          <w:szCs w:val="22"/>
          <w:lang w:val="pt-BR"/>
        </w:rPr>
      </w:pPr>
    </w:p>
    <w:p w14:paraId="32B423C5" w14:textId="77777777" w:rsidR="00580C31" w:rsidRPr="00442616" w:rsidRDefault="00580C31" w:rsidP="00641EEB">
      <w:pPr>
        <w:tabs>
          <w:tab w:val="left" w:pos="540"/>
          <w:tab w:val="left" w:pos="569"/>
        </w:tabs>
        <w:rPr>
          <w:bCs/>
          <w:sz w:val="22"/>
          <w:szCs w:val="22"/>
          <w:lang w:val="pt-BR"/>
        </w:rPr>
      </w:pPr>
    </w:p>
    <w:p w14:paraId="1880DE16" w14:textId="77777777" w:rsidR="0072020E" w:rsidRPr="00442616" w:rsidRDefault="0072020E" w:rsidP="00641EEB">
      <w:pPr>
        <w:tabs>
          <w:tab w:val="left" w:pos="540"/>
          <w:tab w:val="left" w:pos="569"/>
        </w:tabs>
        <w:rPr>
          <w:b/>
          <w:bCs/>
          <w:sz w:val="22"/>
          <w:szCs w:val="22"/>
          <w:lang w:val="pt-BR"/>
        </w:rPr>
      </w:pPr>
      <w:r w:rsidRPr="00442616">
        <w:rPr>
          <w:b/>
          <w:bCs/>
          <w:sz w:val="22"/>
          <w:szCs w:val="22"/>
          <w:lang w:val="pt-BR"/>
        </w:rPr>
        <w:t xml:space="preserve">9. </w:t>
      </w:r>
      <w:r w:rsidR="00480FB1" w:rsidRPr="00442616">
        <w:rPr>
          <w:b/>
          <w:bCs/>
          <w:sz w:val="22"/>
          <w:szCs w:val="22"/>
          <w:lang w:val="pt-BR"/>
        </w:rPr>
        <w:tab/>
      </w:r>
      <w:r w:rsidRPr="00442616">
        <w:rPr>
          <w:b/>
          <w:bCs/>
          <w:sz w:val="22"/>
          <w:szCs w:val="22"/>
          <w:lang w:val="pt-BR"/>
        </w:rPr>
        <w:t xml:space="preserve">DATUM </w:t>
      </w:r>
      <w:r w:rsidR="00C05DF8" w:rsidRPr="00442616">
        <w:rPr>
          <w:b/>
          <w:bCs/>
          <w:sz w:val="22"/>
          <w:szCs w:val="22"/>
          <w:lang w:val="pt-BR"/>
        </w:rPr>
        <w:t xml:space="preserve">PRVE </w:t>
      </w:r>
      <w:r w:rsidR="008A6D43" w:rsidRPr="00442616">
        <w:rPr>
          <w:b/>
          <w:bCs/>
          <w:sz w:val="22"/>
          <w:szCs w:val="22"/>
          <w:lang w:val="pt-BR"/>
        </w:rPr>
        <w:t>DOZVOLE</w:t>
      </w:r>
      <w:r w:rsidR="00C05DF8" w:rsidRPr="00442616">
        <w:rPr>
          <w:b/>
          <w:bCs/>
          <w:sz w:val="22"/>
          <w:szCs w:val="22"/>
          <w:lang w:val="pt-BR"/>
        </w:rPr>
        <w:t>/OBNOVE DOZVOLE</w:t>
      </w:r>
      <w:r w:rsidR="008A6D43" w:rsidRPr="00442616">
        <w:rPr>
          <w:b/>
          <w:bCs/>
          <w:sz w:val="22"/>
          <w:szCs w:val="22"/>
          <w:lang w:val="pt-BR"/>
        </w:rPr>
        <w:t xml:space="preserve"> ZA STAVLJANJE LIJEKA U PROMET</w:t>
      </w:r>
    </w:p>
    <w:p w14:paraId="1880DE17" w14:textId="77777777" w:rsidR="0072020E" w:rsidRPr="00442616" w:rsidRDefault="0072020E" w:rsidP="00641EEB">
      <w:pPr>
        <w:tabs>
          <w:tab w:val="left" w:pos="540"/>
          <w:tab w:val="left" w:pos="569"/>
        </w:tabs>
        <w:rPr>
          <w:bCs/>
          <w:sz w:val="22"/>
          <w:szCs w:val="22"/>
          <w:lang w:val="pt-BR"/>
        </w:rPr>
      </w:pPr>
    </w:p>
    <w:p w14:paraId="1880DE18" w14:textId="15703B66" w:rsidR="00836B35" w:rsidRDefault="008B20E9" w:rsidP="00641EEB">
      <w:pPr>
        <w:tabs>
          <w:tab w:val="left" w:pos="540"/>
          <w:tab w:val="left" w:pos="569"/>
        </w:tabs>
        <w:rPr>
          <w:sz w:val="22"/>
          <w:szCs w:val="22"/>
          <w:lang w:val="sr-Latn-CS"/>
        </w:rPr>
      </w:pPr>
      <w:r>
        <w:rPr>
          <w:sz w:val="22"/>
          <w:szCs w:val="22"/>
          <w:lang w:val="sr-Latn-CS"/>
        </w:rPr>
        <w:t>07.05.2014.</w:t>
      </w:r>
    </w:p>
    <w:p w14:paraId="4C78D45D" w14:textId="23033132" w:rsidR="008B20E9" w:rsidRDefault="008B20E9" w:rsidP="00641EEB">
      <w:pPr>
        <w:tabs>
          <w:tab w:val="left" w:pos="540"/>
          <w:tab w:val="left" w:pos="569"/>
        </w:tabs>
        <w:rPr>
          <w:bCs/>
          <w:sz w:val="22"/>
          <w:szCs w:val="22"/>
        </w:rPr>
      </w:pPr>
    </w:p>
    <w:p w14:paraId="4C831C03" w14:textId="77777777" w:rsidR="00580C31" w:rsidRPr="00786071" w:rsidRDefault="00580C31" w:rsidP="00641EEB">
      <w:pPr>
        <w:tabs>
          <w:tab w:val="left" w:pos="540"/>
          <w:tab w:val="left" w:pos="569"/>
        </w:tabs>
        <w:rPr>
          <w:bCs/>
          <w:sz w:val="22"/>
          <w:szCs w:val="22"/>
        </w:rPr>
      </w:pPr>
    </w:p>
    <w:p w14:paraId="1880DE19" w14:textId="77777777" w:rsidR="003F6A59" w:rsidRPr="00786071" w:rsidRDefault="0072020E" w:rsidP="00641EEB">
      <w:pPr>
        <w:tabs>
          <w:tab w:val="left" w:pos="540"/>
          <w:tab w:val="left" w:pos="569"/>
        </w:tabs>
        <w:ind w:left="540" w:hanging="540"/>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1880DE1A" w14:textId="77777777" w:rsidR="003F6A59" w:rsidRDefault="003F6A59" w:rsidP="00641EEB">
      <w:pPr>
        <w:tabs>
          <w:tab w:val="left" w:pos="540"/>
          <w:tab w:val="left" w:pos="569"/>
        </w:tabs>
        <w:rPr>
          <w:bCs/>
          <w:sz w:val="22"/>
          <w:szCs w:val="22"/>
        </w:rPr>
      </w:pPr>
    </w:p>
    <w:p w14:paraId="1880DE22" w14:textId="1561E3ED" w:rsidR="003F6A59" w:rsidRPr="00786071" w:rsidRDefault="00580C31" w:rsidP="00641EEB">
      <w:pPr>
        <w:rPr>
          <w:sz w:val="22"/>
          <w:szCs w:val="22"/>
          <w:lang w:val="pl-PL"/>
        </w:rPr>
      </w:pPr>
      <w:r>
        <w:rPr>
          <w:sz w:val="22"/>
          <w:szCs w:val="22"/>
          <w:lang w:val="pl-PL"/>
        </w:rPr>
        <w:lastRenderedPageBreak/>
        <w:t>Septembar</w:t>
      </w:r>
      <w:r w:rsidR="007672E8">
        <w:rPr>
          <w:sz w:val="22"/>
          <w:szCs w:val="22"/>
          <w:lang w:val="pl-PL"/>
        </w:rPr>
        <w:t>, 202</w:t>
      </w:r>
      <w:r>
        <w:rPr>
          <w:sz w:val="22"/>
          <w:szCs w:val="22"/>
          <w:lang w:val="pl-PL"/>
        </w:rPr>
        <w:t>3</w:t>
      </w:r>
      <w:r w:rsidR="007672E8">
        <w:rPr>
          <w:sz w:val="22"/>
          <w:szCs w:val="22"/>
          <w:lang w:val="pl-PL"/>
        </w:rPr>
        <w:t>. godine</w:t>
      </w:r>
    </w:p>
    <w:sectPr w:rsidR="003F6A59" w:rsidRPr="00786071" w:rsidSect="00EF3B86">
      <w:footerReference w:type="default" r:id="rId15"/>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F5E5A" w14:textId="77777777" w:rsidR="00DB1E7C" w:rsidRDefault="00DB1E7C">
      <w:r>
        <w:separator/>
      </w:r>
    </w:p>
  </w:endnote>
  <w:endnote w:type="continuationSeparator" w:id="0">
    <w:p w14:paraId="3489991E" w14:textId="77777777" w:rsidR="00DB1E7C" w:rsidRDefault="00DB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0DE2B" w14:textId="66372BF0" w:rsidR="00641EEB" w:rsidRPr="00B23F69" w:rsidRDefault="00641EE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F2E23">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F2E23">
      <w:rPr>
        <w:noProof/>
        <w:sz w:val="22"/>
        <w:szCs w:val="22"/>
      </w:rPr>
      <w:t>32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CD7B4" w14:textId="77777777" w:rsidR="00DB1E7C" w:rsidRDefault="00DB1E7C">
      <w:r>
        <w:separator/>
      </w:r>
    </w:p>
  </w:footnote>
  <w:footnote w:type="continuationSeparator" w:id="0">
    <w:p w14:paraId="4ED99B6D" w14:textId="77777777" w:rsidR="00DB1E7C" w:rsidRDefault="00DB1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65pt;height:13.75pt;visibility:visible" o:bullet="t">
        <v:imagedata r:id="rId1" o:title="BT_1000x858px"/>
      </v:shape>
    </w:pict>
  </w:numPicBullet>
  <w:abstractNum w:abstractNumId="0" w15:restartNumberingAfterBreak="0">
    <w:nsid w:val="049F6ED1"/>
    <w:multiLevelType w:val="hybridMultilevel"/>
    <w:tmpl w:val="2D16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C36240"/>
    <w:multiLevelType w:val="hybridMultilevel"/>
    <w:tmpl w:val="FC4806BA"/>
    <w:lvl w:ilvl="0" w:tplc="9E6649E0">
      <w:start w:val="8"/>
      <w:numFmt w:val="bullet"/>
      <w:lvlText w:val="-"/>
      <w:lvlJc w:val="left"/>
      <w:pPr>
        <w:ind w:left="1080" w:hanging="360"/>
      </w:pPr>
      <w:rPr>
        <w:rFonts w:ascii="Arial" w:eastAsia="Times New Roman" w:hAnsi="Aria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ACF53B3"/>
    <w:multiLevelType w:val="hybridMultilevel"/>
    <w:tmpl w:val="61D2189E"/>
    <w:lvl w:ilvl="0" w:tplc="9BC8B70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FDC6E88"/>
    <w:multiLevelType w:val="hybridMultilevel"/>
    <w:tmpl w:val="69740DB2"/>
    <w:lvl w:ilvl="0" w:tplc="9BC8B70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D2778"/>
    <w:multiLevelType w:val="hybridMultilevel"/>
    <w:tmpl w:val="BF861976"/>
    <w:lvl w:ilvl="0" w:tplc="9E6649E0">
      <w:start w:val="8"/>
      <w:numFmt w:val="bullet"/>
      <w:lvlText w:val="-"/>
      <w:lvlJc w:val="left"/>
      <w:pPr>
        <w:ind w:left="720" w:hanging="360"/>
      </w:pPr>
      <w:rPr>
        <w:rFonts w:ascii="Arial" w:eastAsia="Times New Roman" w:hAnsi="Aria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13123E"/>
    <w:multiLevelType w:val="singleLevel"/>
    <w:tmpl w:val="0409000F"/>
    <w:lvl w:ilvl="0">
      <w:start w:val="1"/>
      <w:numFmt w:val="decimal"/>
      <w:lvlText w:val="%1."/>
      <w:legacy w:legacy="1" w:legacySpace="0" w:legacyIndent="283"/>
      <w:lvlJc w:val="left"/>
      <w:pPr>
        <w:ind w:left="283" w:hanging="283"/>
      </w:pPr>
    </w:lvl>
  </w:abstractNum>
  <w:abstractNum w:abstractNumId="1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B14240C"/>
    <w:multiLevelType w:val="hybridMultilevel"/>
    <w:tmpl w:val="2CF89852"/>
    <w:lvl w:ilvl="0" w:tplc="9BC8B70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BB36A07"/>
    <w:multiLevelType w:val="hybridMultilevel"/>
    <w:tmpl w:val="C3844896"/>
    <w:lvl w:ilvl="0" w:tplc="9BC8B70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82708E4"/>
    <w:multiLevelType w:val="hybridMultilevel"/>
    <w:tmpl w:val="26DACD26"/>
    <w:lvl w:ilvl="0" w:tplc="3CF2A216">
      <w:start w:val="1"/>
      <w:numFmt w:val="lowerLetter"/>
      <w:lvlText w:val="(%1)"/>
      <w:lvlJc w:val="left"/>
      <w:pPr>
        <w:tabs>
          <w:tab w:val="num" w:pos="720"/>
        </w:tabs>
        <w:ind w:left="720" w:hanging="360"/>
      </w:pPr>
    </w:lvl>
    <w:lvl w:ilvl="1" w:tplc="CEDC7FA0">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1DD305A"/>
    <w:multiLevelType w:val="hybridMultilevel"/>
    <w:tmpl w:val="52700248"/>
    <w:lvl w:ilvl="0" w:tplc="9E6649E0">
      <w:start w:val="8"/>
      <w:numFmt w:val="bullet"/>
      <w:lvlText w:val="-"/>
      <w:lvlJc w:val="left"/>
      <w:pPr>
        <w:tabs>
          <w:tab w:val="num" w:pos="720"/>
        </w:tabs>
        <w:ind w:left="720" w:hanging="360"/>
      </w:pPr>
      <w:rPr>
        <w:rFonts w:ascii="Arial" w:eastAsia="Times New Roman" w:hAnsi="Arial" w:cs="Times New Roman" w:hint="default"/>
        <w:color w:val="auto"/>
      </w:rPr>
    </w:lvl>
    <w:lvl w:ilvl="1" w:tplc="CEDC7FA0">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9F10C8D"/>
    <w:multiLevelType w:val="hybridMultilevel"/>
    <w:tmpl w:val="5858A260"/>
    <w:lvl w:ilvl="0" w:tplc="F09670DC">
      <w:numFmt w:val="bullet"/>
      <w:lvlText w:val="-"/>
      <w:lvlJc w:val="left"/>
      <w:pPr>
        <w:tabs>
          <w:tab w:val="num" w:pos="956"/>
        </w:tabs>
        <w:ind w:left="956" w:hanging="389"/>
      </w:pPr>
    </w:lvl>
    <w:lvl w:ilvl="1" w:tplc="04090003">
      <w:start w:val="1"/>
      <w:numFmt w:val="bullet"/>
      <w:lvlText w:val="o"/>
      <w:lvlJc w:val="left"/>
      <w:pPr>
        <w:tabs>
          <w:tab w:val="num" w:pos="922"/>
        </w:tabs>
        <w:ind w:left="922" w:hanging="360"/>
      </w:pPr>
      <w:rPr>
        <w:rFonts w:ascii="Courier New" w:hAnsi="Courier New" w:cs="Arial" w:hint="default"/>
      </w:rPr>
    </w:lvl>
    <w:lvl w:ilvl="2" w:tplc="04090005">
      <w:start w:val="1"/>
      <w:numFmt w:val="bullet"/>
      <w:lvlText w:val=""/>
      <w:lvlJc w:val="left"/>
      <w:pPr>
        <w:tabs>
          <w:tab w:val="num" w:pos="1642"/>
        </w:tabs>
        <w:ind w:left="1642" w:hanging="360"/>
      </w:pPr>
      <w:rPr>
        <w:rFonts w:ascii="Wingdings" w:hAnsi="Wingdings" w:hint="default"/>
      </w:rPr>
    </w:lvl>
    <w:lvl w:ilvl="3" w:tplc="04090001">
      <w:start w:val="1"/>
      <w:numFmt w:val="bullet"/>
      <w:lvlText w:val=""/>
      <w:lvlJc w:val="left"/>
      <w:pPr>
        <w:tabs>
          <w:tab w:val="num" w:pos="2362"/>
        </w:tabs>
        <w:ind w:left="2362" w:hanging="360"/>
      </w:pPr>
      <w:rPr>
        <w:rFonts w:ascii="Symbol" w:hAnsi="Symbol" w:hint="default"/>
      </w:rPr>
    </w:lvl>
    <w:lvl w:ilvl="4" w:tplc="04090003">
      <w:start w:val="1"/>
      <w:numFmt w:val="bullet"/>
      <w:lvlText w:val="o"/>
      <w:lvlJc w:val="left"/>
      <w:pPr>
        <w:tabs>
          <w:tab w:val="num" w:pos="3082"/>
        </w:tabs>
        <w:ind w:left="3082" w:hanging="360"/>
      </w:pPr>
      <w:rPr>
        <w:rFonts w:ascii="Courier New" w:hAnsi="Courier New" w:cs="Arial" w:hint="default"/>
      </w:rPr>
    </w:lvl>
    <w:lvl w:ilvl="5" w:tplc="04090005">
      <w:start w:val="1"/>
      <w:numFmt w:val="bullet"/>
      <w:lvlText w:val=""/>
      <w:lvlJc w:val="left"/>
      <w:pPr>
        <w:tabs>
          <w:tab w:val="num" w:pos="3802"/>
        </w:tabs>
        <w:ind w:left="3802" w:hanging="360"/>
      </w:pPr>
      <w:rPr>
        <w:rFonts w:ascii="Wingdings" w:hAnsi="Wingdings" w:hint="default"/>
      </w:rPr>
    </w:lvl>
    <w:lvl w:ilvl="6" w:tplc="04090001">
      <w:start w:val="1"/>
      <w:numFmt w:val="bullet"/>
      <w:lvlText w:val=""/>
      <w:lvlJc w:val="left"/>
      <w:pPr>
        <w:tabs>
          <w:tab w:val="num" w:pos="4522"/>
        </w:tabs>
        <w:ind w:left="4522" w:hanging="360"/>
      </w:pPr>
      <w:rPr>
        <w:rFonts w:ascii="Symbol" w:hAnsi="Symbol" w:hint="default"/>
      </w:rPr>
    </w:lvl>
    <w:lvl w:ilvl="7" w:tplc="04090003">
      <w:start w:val="1"/>
      <w:numFmt w:val="bullet"/>
      <w:lvlText w:val="o"/>
      <w:lvlJc w:val="left"/>
      <w:pPr>
        <w:tabs>
          <w:tab w:val="num" w:pos="5242"/>
        </w:tabs>
        <w:ind w:left="5242" w:hanging="360"/>
      </w:pPr>
      <w:rPr>
        <w:rFonts w:ascii="Courier New" w:hAnsi="Courier New" w:cs="Arial" w:hint="default"/>
      </w:rPr>
    </w:lvl>
    <w:lvl w:ilvl="8" w:tplc="04090005">
      <w:start w:val="1"/>
      <w:numFmt w:val="bullet"/>
      <w:lvlText w:val=""/>
      <w:lvlJc w:val="left"/>
      <w:pPr>
        <w:tabs>
          <w:tab w:val="num" w:pos="5962"/>
        </w:tabs>
        <w:ind w:left="5962" w:hanging="360"/>
      </w:pPr>
      <w:rPr>
        <w:rFonts w:ascii="Wingdings" w:hAnsi="Wingdings" w:hint="default"/>
      </w:rPr>
    </w:lvl>
  </w:abstractNum>
  <w:abstractNum w:abstractNumId="2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7C71E0"/>
    <w:multiLevelType w:val="hybridMultilevel"/>
    <w:tmpl w:val="B4EEC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E37020B"/>
    <w:multiLevelType w:val="hybridMultilevel"/>
    <w:tmpl w:val="030050EE"/>
    <w:lvl w:ilvl="0" w:tplc="0C070001">
      <w:start w:val="1"/>
      <w:numFmt w:val="bullet"/>
      <w:lvlText w:val=""/>
      <w:lvlJc w:val="left"/>
      <w:pPr>
        <w:tabs>
          <w:tab w:val="num" w:pos="480"/>
        </w:tabs>
        <w:ind w:left="480" w:hanging="360"/>
      </w:pPr>
      <w:rPr>
        <w:rFonts w:ascii="Symbol" w:hAnsi="Symbol" w:hint="default"/>
        <w:color w:val="auto"/>
      </w:rPr>
    </w:lvl>
    <w:lvl w:ilvl="1" w:tplc="0C070003">
      <w:start w:val="1"/>
      <w:numFmt w:val="bullet"/>
      <w:lvlText w:val="o"/>
      <w:lvlJc w:val="left"/>
      <w:pPr>
        <w:tabs>
          <w:tab w:val="num" w:pos="1560"/>
        </w:tabs>
        <w:ind w:left="1560" w:hanging="360"/>
      </w:pPr>
      <w:rPr>
        <w:rFonts w:ascii="Courier New" w:hAnsi="Courier New" w:cs="Courier New" w:hint="default"/>
      </w:rPr>
    </w:lvl>
    <w:lvl w:ilvl="2" w:tplc="0C070005">
      <w:start w:val="1"/>
      <w:numFmt w:val="bullet"/>
      <w:lvlText w:val=""/>
      <w:lvlJc w:val="left"/>
      <w:pPr>
        <w:tabs>
          <w:tab w:val="num" w:pos="2280"/>
        </w:tabs>
        <w:ind w:left="2280" w:hanging="360"/>
      </w:pPr>
      <w:rPr>
        <w:rFonts w:ascii="Wingdings" w:hAnsi="Wingdings" w:hint="default"/>
      </w:rPr>
    </w:lvl>
    <w:lvl w:ilvl="3" w:tplc="0C070001">
      <w:start w:val="1"/>
      <w:numFmt w:val="bullet"/>
      <w:lvlText w:val=""/>
      <w:lvlJc w:val="left"/>
      <w:pPr>
        <w:tabs>
          <w:tab w:val="num" w:pos="3000"/>
        </w:tabs>
        <w:ind w:left="3000" w:hanging="360"/>
      </w:pPr>
      <w:rPr>
        <w:rFonts w:ascii="Symbol" w:hAnsi="Symbol" w:hint="default"/>
      </w:rPr>
    </w:lvl>
    <w:lvl w:ilvl="4" w:tplc="0C070003">
      <w:start w:val="1"/>
      <w:numFmt w:val="bullet"/>
      <w:lvlText w:val="o"/>
      <w:lvlJc w:val="left"/>
      <w:pPr>
        <w:tabs>
          <w:tab w:val="num" w:pos="3720"/>
        </w:tabs>
        <w:ind w:left="3720" w:hanging="360"/>
      </w:pPr>
      <w:rPr>
        <w:rFonts w:ascii="Courier New" w:hAnsi="Courier New" w:cs="Courier New" w:hint="default"/>
      </w:rPr>
    </w:lvl>
    <w:lvl w:ilvl="5" w:tplc="0C070005">
      <w:start w:val="1"/>
      <w:numFmt w:val="bullet"/>
      <w:lvlText w:val=""/>
      <w:lvlJc w:val="left"/>
      <w:pPr>
        <w:tabs>
          <w:tab w:val="num" w:pos="4440"/>
        </w:tabs>
        <w:ind w:left="4440" w:hanging="360"/>
      </w:pPr>
      <w:rPr>
        <w:rFonts w:ascii="Wingdings" w:hAnsi="Wingdings" w:hint="default"/>
      </w:rPr>
    </w:lvl>
    <w:lvl w:ilvl="6" w:tplc="0C070001">
      <w:start w:val="1"/>
      <w:numFmt w:val="bullet"/>
      <w:lvlText w:val=""/>
      <w:lvlJc w:val="left"/>
      <w:pPr>
        <w:tabs>
          <w:tab w:val="num" w:pos="5160"/>
        </w:tabs>
        <w:ind w:left="5160" w:hanging="360"/>
      </w:pPr>
      <w:rPr>
        <w:rFonts w:ascii="Symbol" w:hAnsi="Symbol" w:hint="default"/>
      </w:rPr>
    </w:lvl>
    <w:lvl w:ilvl="7" w:tplc="0C070003">
      <w:start w:val="1"/>
      <w:numFmt w:val="bullet"/>
      <w:lvlText w:val="o"/>
      <w:lvlJc w:val="left"/>
      <w:pPr>
        <w:tabs>
          <w:tab w:val="num" w:pos="5880"/>
        </w:tabs>
        <w:ind w:left="5880" w:hanging="360"/>
      </w:pPr>
      <w:rPr>
        <w:rFonts w:ascii="Courier New" w:hAnsi="Courier New" w:cs="Courier New" w:hint="default"/>
      </w:rPr>
    </w:lvl>
    <w:lvl w:ilvl="8" w:tplc="0C070005">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3"/>
  </w:num>
  <w:num w:numId="4">
    <w:abstractNumId w:val="16"/>
  </w:num>
  <w:num w:numId="5">
    <w:abstractNumId w:val="8"/>
  </w:num>
  <w:num w:numId="6">
    <w:abstractNumId w:val="4"/>
  </w:num>
  <w:num w:numId="7">
    <w:abstractNumId w:val="14"/>
  </w:num>
  <w:num w:numId="8">
    <w:abstractNumId w:val="7"/>
  </w:num>
  <w:num w:numId="9">
    <w:abstractNumId w:val="12"/>
  </w:num>
  <w:num w:numId="10">
    <w:abstractNumId w:val="23"/>
  </w:num>
  <w:num w:numId="11">
    <w:abstractNumId w:val="9"/>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2"/>
  </w:num>
  <w:num w:numId="19">
    <w:abstractNumId w:val="10"/>
  </w:num>
  <w:num w:numId="20">
    <w:abstractNumId w:val="21"/>
  </w:num>
  <w:num w:numId="21">
    <w:abstractNumId w:val="19"/>
  </w:num>
  <w:num w:numId="22">
    <w:abstractNumId w:val="1"/>
  </w:num>
  <w:num w:numId="23">
    <w:abstractNumId w:val="11"/>
    <w:lvlOverride w:ilvl="0">
      <w:startOverride w:val="1"/>
    </w:lvlOverride>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fr-FR"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46C6"/>
    <w:rsid w:val="000273B3"/>
    <w:rsid w:val="0003283A"/>
    <w:rsid w:val="00036FA0"/>
    <w:rsid w:val="0003793F"/>
    <w:rsid w:val="00042087"/>
    <w:rsid w:val="00056C97"/>
    <w:rsid w:val="00057E35"/>
    <w:rsid w:val="00076726"/>
    <w:rsid w:val="00080303"/>
    <w:rsid w:val="00082C95"/>
    <w:rsid w:val="000A3F58"/>
    <w:rsid w:val="000D2343"/>
    <w:rsid w:val="000D3449"/>
    <w:rsid w:val="000D425A"/>
    <w:rsid w:val="000D60CC"/>
    <w:rsid w:val="000E2084"/>
    <w:rsid w:val="000E6F55"/>
    <w:rsid w:val="000F77FA"/>
    <w:rsid w:val="00102FC4"/>
    <w:rsid w:val="00107139"/>
    <w:rsid w:val="00107BF7"/>
    <w:rsid w:val="00120655"/>
    <w:rsid w:val="00124B7A"/>
    <w:rsid w:val="00126F53"/>
    <w:rsid w:val="001274C7"/>
    <w:rsid w:val="00146DC6"/>
    <w:rsid w:val="0014766D"/>
    <w:rsid w:val="001536CC"/>
    <w:rsid w:val="00156395"/>
    <w:rsid w:val="00173CA7"/>
    <w:rsid w:val="00177184"/>
    <w:rsid w:val="00192796"/>
    <w:rsid w:val="001A2304"/>
    <w:rsid w:val="001A3FBA"/>
    <w:rsid w:val="001A5518"/>
    <w:rsid w:val="001B0E9C"/>
    <w:rsid w:val="001B1C6A"/>
    <w:rsid w:val="001C1263"/>
    <w:rsid w:val="001C1417"/>
    <w:rsid w:val="001E26E9"/>
    <w:rsid w:val="001E390B"/>
    <w:rsid w:val="001E6B92"/>
    <w:rsid w:val="001F42FB"/>
    <w:rsid w:val="001F719A"/>
    <w:rsid w:val="002031B3"/>
    <w:rsid w:val="00215931"/>
    <w:rsid w:val="00227BDB"/>
    <w:rsid w:val="00234CB1"/>
    <w:rsid w:val="002352F8"/>
    <w:rsid w:val="002510A5"/>
    <w:rsid w:val="00254A0A"/>
    <w:rsid w:val="00254B7A"/>
    <w:rsid w:val="00266046"/>
    <w:rsid w:val="00271C70"/>
    <w:rsid w:val="00274E02"/>
    <w:rsid w:val="002829DD"/>
    <w:rsid w:val="002846DB"/>
    <w:rsid w:val="00284CCD"/>
    <w:rsid w:val="002B762C"/>
    <w:rsid w:val="002C6637"/>
    <w:rsid w:val="002E0135"/>
    <w:rsid w:val="002E37A5"/>
    <w:rsid w:val="002F3E04"/>
    <w:rsid w:val="00307504"/>
    <w:rsid w:val="00310F03"/>
    <w:rsid w:val="00316D73"/>
    <w:rsid w:val="003247D2"/>
    <w:rsid w:val="00335A9D"/>
    <w:rsid w:val="003445C1"/>
    <w:rsid w:val="00344D0B"/>
    <w:rsid w:val="00355B61"/>
    <w:rsid w:val="00362686"/>
    <w:rsid w:val="00371510"/>
    <w:rsid w:val="0038501C"/>
    <w:rsid w:val="00394BC5"/>
    <w:rsid w:val="00396DFD"/>
    <w:rsid w:val="003A7059"/>
    <w:rsid w:val="003B7A36"/>
    <w:rsid w:val="003C17AB"/>
    <w:rsid w:val="003C7823"/>
    <w:rsid w:val="003D3208"/>
    <w:rsid w:val="003E1DCC"/>
    <w:rsid w:val="003F5550"/>
    <w:rsid w:val="003F6A56"/>
    <w:rsid w:val="003F6A59"/>
    <w:rsid w:val="004065C8"/>
    <w:rsid w:val="00407920"/>
    <w:rsid w:val="00411B4B"/>
    <w:rsid w:val="00415BEE"/>
    <w:rsid w:val="004275EB"/>
    <w:rsid w:val="00427F85"/>
    <w:rsid w:val="00436F42"/>
    <w:rsid w:val="004378B4"/>
    <w:rsid w:val="00442616"/>
    <w:rsid w:val="00451314"/>
    <w:rsid w:val="00452E9D"/>
    <w:rsid w:val="004534C7"/>
    <w:rsid w:val="004671AA"/>
    <w:rsid w:val="00480FB1"/>
    <w:rsid w:val="00483928"/>
    <w:rsid w:val="00483CDE"/>
    <w:rsid w:val="004B1402"/>
    <w:rsid w:val="004B69C4"/>
    <w:rsid w:val="004C4AE7"/>
    <w:rsid w:val="004D0647"/>
    <w:rsid w:val="004D6103"/>
    <w:rsid w:val="004E1F29"/>
    <w:rsid w:val="004E3BCE"/>
    <w:rsid w:val="004F0E97"/>
    <w:rsid w:val="004F34EB"/>
    <w:rsid w:val="004F4C0B"/>
    <w:rsid w:val="005023EC"/>
    <w:rsid w:val="0051053D"/>
    <w:rsid w:val="00515C21"/>
    <w:rsid w:val="00530BD7"/>
    <w:rsid w:val="0054043D"/>
    <w:rsid w:val="00545CD2"/>
    <w:rsid w:val="005476F3"/>
    <w:rsid w:val="0055240E"/>
    <w:rsid w:val="005573C8"/>
    <w:rsid w:val="00572527"/>
    <w:rsid w:val="00573E40"/>
    <w:rsid w:val="00576348"/>
    <w:rsid w:val="00577085"/>
    <w:rsid w:val="00580C31"/>
    <w:rsid w:val="0059798F"/>
    <w:rsid w:val="005A0B2E"/>
    <w:rsid w:val="005A23D2"/>
    <w:rsid w:val="005A36CB"/>
    <w:rsid w:val="005B49B8"/>
    <w:rsid w:val="005C0741"/>
    <w:rsid w:val="005C5EF4"/>
    <w:rsid w:val="005D6FD8"/>
    <w:rsid w:val="005E2E0B"/>
    <w:rsid w:val="005E7A7D"/>
    <w:rsid w:val="005F4A38"/>
    <w:rsid w:val="00614674"/>
    <w:rsid w:val="00636210"/>
    <w:rsid w:val="00641EEB"/>
    <w:rsid w:val="00646BD1"/>
    <w:rsid w:val="006561C2"/>
    <w:rsid w:val="00667BB3"/>
    <w:rsid w:val="00671CB3"/>
    <w:rsid w:val="00674BAF"/>
    <w:rsid w:val="00682200"/>
    <w:rsid w:val="006972F2"/>
    <w:rsid w:val="006A1497"/>
    <w:rsid w:val="006B0BD1"/>
    <w:rsid w:val="006D20A5"/>
    <w:rsid w:val="006D37BF"/>
    <w:rsid w:val="006E0357"/>
    <w:rsid w:val="006E10CC"/>
    <w:rsid w:val="006E32BF"/>
    <w:rsid w:val="006F7712"/>
    <w:rsid w:val="00702E22"/>
    <w:rsid w:val="0071236A"/>
    <w:rsid w:val="007153AC"/>
    <w:rsid w:val="0072020E"/>
    <w:rsid w:val="007207A6"/>
    <w:rsid w:val="0072668B"/>
    <w:rsid w:val="00753748"/>
    <w:rsid w:val="007540D0"/>
    <w:rsid w:val="007672E8"/>
    <w:rsid w:val="00786071"/>
    <w:rsid w:val="007930BD"/>
    <w:rsid w:val="007A3ECB"/>
    <w:rsid w:val="007A6421"/>
    <w:rsid w:val="007B5EC0"/>
    <w:rsid w:val="008107D6"/>
    <w:rsid w:val="00824AB9"/>
    <w:rsid w:val="00836B35"/>
    <w:rsid w:val="008420F9"/>
    <w:rsid w:val="00843BDE"/>
    <w:rsid w:val="00844AD7"/>
    <w:rsid w:val="008465C2"/>
    <w:rsid w:val="0089705C"/>
    <w:rsid w:val="008A6D43"/>
    <w:rsid w:val="008B1640"/>
    <w:rsid w:val="008B20E9"/>
    <w:rsid w:val="008B491E"/>
    <w:rsid w:val="008B5BBF"/>
    <w:rsid w:val="008C123F"/>
    <w:rsid w:val="008C1A28"/>
    <w:rsid w:val="008C2E98"/>
    <w:rsid w:val="008C764E"/>
    <w:rsid w:val="008D175A"/>
    <w:rsid w:val="008E49BD"/>
    <w:rsid w:val="008E53E9"/>
    <w:rsid w:val="008E5771"/>
    <w:rsid w:val="008F647F"/>
    <w:rsid w:val="008F70C4"/>
    <w:rsid w:val="00914B43"/>
    <w:rsid w:val="009325FB"/>
    <w:rsid w:val="00932E89"/>
    <w:rsid w:val="009331AA"/>
    <w:rsid w:val="00940B9B"/>
    <w:rsid w:val="00946D53"/>
    <w:rsid w:val="0095676E"/>
    <w:rsid w:val="00956983"/>
    <w:rsid w:val="00963CF0"/>
    <w:rsid w:val="00964BB1"/>
    <w:rsid w:val="009775D9"/>
    <w:rsid w:val="009821F5"/>
    <w:rsid w:val="00982436"/>
    <w:rsid w:val="00997175"/>
    <w:rsid w:val="009A1847"/>
    <w:rsid w:val="009A6632"/>
    <w:rsid w:val="009A6B5D"/>
    <w:rsid w:val="009B062A"/>
    <w:rsid w:val="009B299F"/>
    <w:rsid w:val="009C5F89"/>
    <w:rsid w:val="009D4A69"/>
    <w:rsid w:val="009D77C7"/>
    <w:rsid w:val="009E7C6F"/>
    <w:rsid w:val="009F1793"/>
    <w:rsid w:val="009F2D23"/>
    <w:rsid w:val="00A01D69"/>
    <w:rsid w:val="00A02335"/>
    <w:rsid w:val="00A1129A"/>
    <w:rsid w:val="00A34EA1"/>
    <w:rsid w:val="00A40531"/>
    <w:rsid w:val="00A46C9A"/>
    <w:rsid w:val="00A619F3"/>
    <w:rsid w:val="00A62A73"/>
    <w:rsid w:val="00A87FF6"/>
    <w:rsid w:val="00AA0A3B"/>
    <w:rsid w:val="00AB44BC"/>
    <w:rsid w:val="00AB50CA"/>
    <w:rsid w:val="00AC53CE"/>
    <w:rsid w:val="00AD2193"/>
    <w:rsid w:val="00AF2AC7"/>
    <w:rsid w:val="00AF74CE"/>
    <w:rsid w:val="00B02B82"/>
    <w:rsid w:val="00B05AA9"/>
    <w:rsid w:val="00B208DB"/>
    <w:rsid w:val="00B23F69"/>
    <w:rsid w:val="00B50321"/>
    <w:rsid w:val="00B60619"/>
    <w:rsid w:val="00B66A70"/>
    <w:rsid w:val="00B67366"/>
    <w:rsid w:val="00B80EE1"/>
    <w:rsid w:val="00B84135"/>
    <w:rsid w:val="00BA4FFC"/>
    <w:rsid w:val="00BA76B8"/>
    <w:rsid w:val="00BC2D31"/>
    <w:rsid w:val="00BF6E84"/>
    <w:rsid w:val="00C04D34"/>
    <w:rsid w:val="00C05DF8"/>
    <w:rsid w:val="00C06864"/>
    <w:rsid w:val="00C10F54"/>
    <w:rsid w:val="00C23D8D"/>
    <w:rsid w:val="00C37AA3"/>
    <w:rsid w:val="00C37FD7"/>
    <w:rsid w:val="00C43419"/>
    <w:rsid w:val="00C44CF3"/>
    <w:rsid w:val="00C61BE0"/>
    <w:rsid w:val="00C70B0E"/>
    <w:rsid w:val="00C773CA"/>
    <w:rsid w:val="00C83495"/>
    <w:rsid w:val="00C83785"/>
    <w:rsid w:val="00C94C0D"/>
    <w:rsid w:val="00CA1FEB"/>
    <w:rsid w:val="00CB1F5B"/>
    <w:rsid w:val="00CC6AD2"/>
    <w:rsid w:val="00CD4F85"/>
    <w:rsid w:val="00CD6F02"/>
    <w:rsid w:val="00CE246D"/>
    <w:rsid w:val="00CE3611"/>
    <w:rsid w:val="00CF07A0"/>
    <w:rsid w:val="00CF3E03"/>
    <w:rsid w:val="00D0082A"/>
    <w:rsid w:val="00D21455"/>
    <w:rsid w:val="00D47634"/>
    <w:rsid w:val="00D709B3"/>
    <w:rsid w:val="00DA2DF6"/>
    <w:rsid w:val="00DA2ED6"/>
    <w:rsid w:val="00DB1E7C"/>
    <w:rsid w:val="00DB76B8"/>
    <w:rsid w:val="00DC2EA1"/>
    <w:rsid w:val="00DD6AAF"/>
    <w:rsid w:val="00DE3F5C"/>
    <w:rsid w:val="00DF1D20"/>
    <w:rsid w:val="00E05379"/>
    <w:rsid w:val="00E21324"/>
    <w:rsid w:val="00E216DA"/>
    <w:rsid w:val="00E22177"/>
    <w:rsid w:val="00E24576"/>
    <w:rsid w:val="00E246B9"/>
    <w:rsid w:val="00E262A9"/>
    <w:rsid w:val="00E31FEA"/>
    <w:rsid w:val="00E32C47"/>
    <w:rsid w:val="00E41D59"/>
    <w:rsid w:val="00E45169"/>
    <w:rsid w:val="00E45E0C"/>
    <w:rsid w:val="00E47787"/>
    <w:rsid w:val="00E51C30"/>
    <w:rsid w:val="00E64180"/>
    <w:rsid w:val="00E74AEE"/>
    <w:rsid w:val="00E81BEF"/>
    <w:rsid w:val="00E868E5"/>
    <w:rsid w:val="00E9237A"/>
    <w:rsid w:val="00E939FA"/>
    <w:rsid w:val="00EA5765"/>
    <w:rsid w:val="00EB202E"/>
    <w:rsid w:val="00EB7A81"/>
    <w:rsid w:val="00EC2532"/>
    <w:rsid w:val="00EC39CD"/>
    <w:rsid w:val="00ED36A0"/>
    <w:rsid w:val="00ED7812"/>
    <w:rsid w:val="00EF3B86"/>
    <w:rsid w:val="00F02BDC"/>
    <w:rsid w:val="00F15C22"/>
    <w:rsid w:val="00F17081"/>
    <w:rsid w:val="00F17B0F"/>
    <w:rsid w:val="00F317E9"/>
    <w:rsid w:val="00F34554"/>
    <w:rsid w:val="00F45F77"/>
    <w:rsid w:val="00F50316"/>
    <w:rsid w:val="00F5167F"/>
    <w:rsid w:val="00F52258"/>
    <w:rsid w:val="00F61A69"/>
    <w:rsid w:val="00F8570A"/>
    <w:rsid w:val="00F91C7B"/>
    <w:rsid w:val="00FD35FE"/>
    <w:rsid w:val="00FF2E23"/>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80DDB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customStyle="1" w:styleId="Default">
    <w:name w:val="Default"/>
    <w:rsid w:val="00DA2DF6"/>
    <w:pPr>
      <w:autoSpaceDE w:val="0"/>
      <w:autoSpaceDN w:val="0"/>
      <w:adjustRightInd w:val="0"/>
    </w:pPr>
    <w:rPr>
      <w:rFonts w:eastAsia="MS Mincho"/>
      <w:color w:val="000000"/>
      <w:sz w:val="24"/>
      <w:szCs w:val="24"/>
      <w:lang w:val="sr-Latn-CS" w:eastAsia="ja-JP"/>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DA2DF6"/>
    <w:rPr>
      <w:sz w:val="24"/>
      <w:szCs w:val="24"/>
      <w:lang w:val="en-US" w:eastAsia="en-US"/>
    </w:rPr>
  </w:style>
  <w:style w:type="character" w:customStyle="1" w:styleId="TableText10Char">
    <w:name w:val="TableText:10 Char"/>
    <w:link w:val="TableText10"/>
    <w:locked/>
    <w:rsid w:val="00B05AA9"/>
    <w:rPr>
      <w:lang w:eastAsia="ja-JP"/>
    </w:rPr>
  </w:style>
  <w:style w:type="paragraph" w:customStyle="1" w:styleId="TableText10">
    <w:name w:val="TableText:10"/>
    <w:basedOn w:val="Normal"/>
    <w:link w:val="TableText10Char"/>
    <w:rsid w:val="00B05AA9"/>
    <w:rPr>
      <w:sz w:val="20"/>
      <w:szCs w:val="20"/>
      <w:lang w:val="sr-Latn-ME" w:eastAsia="ja-JP"/>
    </w:rPr>
  </w:style>
  <w:style w:type="character" w:customStyle="1" w:styleId="ParagraphFPIChar">
    <w:name w:val="Paragraph FPI Char"/>
    <w:link w:val="ParagraphFPI"/>
    <w:locked/>
    <w:rsid w:val="00B05AA9"/>
    <w:rPr>
      <w:sz w:val="16"/>
    </w:rPr>
  </w:style>
  <w:style w:type="paragraph" w:customStyle="1" w:styleId="ParagraphFPI">
    <w:name w:val="Paragraph FPI"/>
    <w:basedOn w:val="Normal"/>
    <w:link w:val="ParagraphFPIChar"/>
    <w:rsid w:val="00B05AA9"/>
    <w:pPr>
      <w:tabs>
        <w:tab w:val="left" w:pos="540"/>
      </w:tabs>
    </w:pPr>
    <w:rPr>
      <w:sz w:val="16"/>
      <w:szCs w:val="20"/>
      <w:lang w:val="sr-Latn-ME" w:eastAsia="sr-Latn-ME"/>
    </w:rPr>
  </w:style>
  <w:style w:type="character" w:customStyle="1" w:styleId="TextTi12Char1">
    <w:name w:val="Text:Ti12 Char1"/>
    <w:link w:val="TextTi12"/>
    <w:locked/>
    <w:rsid w:val="008B20E9"/>
    <w:rPr>
      <w:sz w:val="24"/>
      <w:lang w:eastAsia="ja-JP"/>
    </w:rPr>
  </w:style>
  <w:style w:type="paragraph" w:customStyle="1" w:styleId="TextTi12">
    <w:name w:val="Text:Ti12"/>
    <w:basedOn w:val="Normal"/>
    <w:link w:val="TextTi12Char1"/>
    <w:rsid w:val="008B20E9"/>
    <w:pPr>
      <w:spacing w:after="170" w:line="280" w:lineRule="atLeast"/>
      <w:jc w:val="both"/>
    </w:pPr>
    <w:rPr>
      <w:szCs w:val="20"/>
      <w:lang w:val="sr-Latn-ME" w:eastAsia="ja-JP"/>
    </w:rPr>
  </w:style>
  <w:style w:type="paragraph" w:customStyle="1" w:styleId="TableCell10Center">
    <w:name w:val="Table Cell 10 Center"/>
    <w:basedOn w:val="Normal"/>
    <w:rsid w:val="008B20E9"/>
    <w:pPr>
      <w:keepNext/>
      <w:keepLines/>
      <w:spacing w:before="50" w:after="50" w:line="240" w:lineRule="exact"/>
      <w:jc w:val="center"/>
    </w:pPr>
    <w:rPr>
      <w:rFonts w:ascii="Arial" w:eastAsia="SimSun" w:hAnsi="Arial"/>
      <w:sz w:val="20"/>
      <w:lang w:eastAsia="zh-CN"/>
    </w:rPr>
  </w:style>
  <w:style w:type="paragraph" w:styleId="BlockText">
    <w:name w:val="Block Text"/>
    <w:basedOn w:val="Normal"/>
    <w:unhideWhenUsed/>
    <w:rsid w:val="008B20E9"/>
    <w:pPr>
      <w:tabs>
        <w:tab w:val="left" w:pos="567"/>
      </w:tabs>
      <w:ind w:left="567" w:right="-45"/>
      <w:jc w:val="both"/>
    </w:pPr>
    <w:rPr>
      <w:sz w:val="22"/>
      <w:szCs w:val="20"/>
      <w:lang w:eastAsia="ja-JP"/>
    </w:rPr>
  </w:style>
  <w:style w:type="paragraph" w:customStyle="1" w:styleId="TextNum">
    <w:name w:val="Text:Num"/>
    <w:basedOn w:val="Normal"/>
    <w:rsid w:val="008B20E9"/>
    <w:pPr>
      <w:tabs>
        <w:tab w:val="left" w:pos="357"/>
      </w:tabs>
      <w:spacing w:line="280" w:lineRule="atLeast"/>
      <w:ind w:left="357" w:hanging="357"/>
    </w:pPr>
    <w:rPr>
      <w:szCs w:val="20"/>
      <w:lang w:eastAsia="ja-JP"/>
    </w:rPr>
  </w:style>
  <w:style w:type="character" w:styleId="EndnoteReference">
    <w:name w:val="endnote reference"/>
    <w:rsid w:val="005023EC"/>
    <w:rPr>
      <w:vertAlign w:val="superscript"/>
    </w:rPr>
  </w:style>
  <w:style w:type="paragraph" w:styleId="Revision">
    <w:name w:val="Revision"/>
    <w:hidden/>
    <w:uiPriority w:val="99"/>
    <w:semiHidden/>
    <w:rsid w:val="00082C95"/>
    <w:rPr>
      <w:sz w:val="24"/>
      <w:szCs w:val="24"/>
      <w:lang w:val="en-US" w:eastAsia="en-US"/>
    </w:rPr>
  </w:style>
  <w:style w:type="character" w:styleId="Hyperlink">
    <w:name w:val="Hyperlink"/>
    <w:basedOn w:val="DefaultParagraphFont"/>
    <w:rsid w:val="00753748"/>
    <w:rPr>
      <w:color w:val="0563C1" w:themeColor="hyperlink"/>
      <w:u w:val="single"/>
    </w:rPr>
  </w:style>
  <w:style w:type="paragraph" w:styleId="ListParagraph">
    <w:name w:val="List Paragraph"/>
    <w:basedOn w:val="Normal"/>
    <w:uiPriority w:val="34"/>
    <w:qFormat/>
    <w:rsid w:val="00E41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1706">
      <w:bodyDiv w:val="1"/>
      <w:marLeft w:val="0"/>
      <w:marRight w:val="0"/>
      <w:marTop w:val="0"/>
      <w:marBottom w:val="0"/>
      <w:divBdr>
        <w:top w:val="none" w:sz="0" w:space="0" w:color="auto"/>
        <w:left w:val="none" w:sz="0" w:space="0" w:color="auto"/>
        <w:bottom w:val="none" w:sz="0" w:space="0" w:color="auto"/>
        <w:right w:val="none" w:sz="0" w:space="0" w:color="auto"/>
      </w:divBdr>
    </w:div>
    <w:div w:id="128977342">
      <w:bodyDiv w:val="1"/>
      <w:marLeft w:val="0"/>
      <w:marRight w:val="0"/>
      <w:marTop w:val="0"/>
      <w:marBottom w:val="0"/>
      <w:divBdr>
        <w:top w:val="none" w:sz="0" w:space="0" w:color="auto"/>
        <w:left w:val="none" w:sz="0" w:space="0" w:color="auto"/>
        <w:bottom w:val="none" w:sz="0" w:space="0" w:color="auto"/>
        <w:right w:val="none" w:sz="0" w:space="0" w:color="auto"/>
      </w:divBdr>
    </w:div>
    <w:div w:id="212230091">
      <w:bodyDiv w:val="1"/>
      <w:marLeft w:val="0"/>
      <w:marRight w:val="0"/>
      <w:marTop w:val="0"/>
      <w:marBottom w:val="0"/>
      <w:divBdr>
        <w:top w:val="none" w:sz="0" w:space="0" w:color="auto"/>
        <w:left w:val="none" w:sz="0" w:space="0" w:color="auto"/>
        <w:bottom w:val="none" w:sz="0" w:space="0" w:color="auto"/>
        <w:right w:val="none" w:sz="0" w:space="0" w:color="auto"/>
      </w:divBdr>
    </w:div>
    <w:div w:id="225721714">
      <w:bodyDiv w:val="1"/>
      <w:marLeft w:val="0"/>
      <w:marRight w:val="0"/>
      <w:marTop w:val="0"/>
      <w:marBottom w:val="0"/>
      <w:divBdr>
        <w:top w:val="none" w:sz="0" w:space="0" w:color="auto"/>
        <w:left w:val="none" w:sz="0" w:space="0" w:color="auto"/>
        <w:bottom w:val="none" w:sz="0" w:space="0" w:color="auto"/>
        <w:right w:val="none" w:sz="0" w:space="0" w:color="auto"/>
      </w:divBdr>
    </w:div>
    <w:div w:id="278755281">
      <w:bodyDiv w:val="1"/>
      <w:marLeft w:val="0"/>
      <w:marRight w:val="0"/>
      <w:marTop w:val="0"/>
      <w:marBottom w:val="0"/>
      <w:divBdr>
        <w:top w:val="none" w:sz="0" w:space="0" w:color="auto"/>
        <w:left w:val="none" w:sz="0" w:space="0" w:color="auto"/>
        <w:bottom w:val="none" w:sz="0" w:space="0" w:color="auto"/>
        <w:right w:val="none" w:sz="0" w:space="0" w:color="auto"/>
      </w:divBdr>
    </w:div>
    <w:div w:id="297105724">
      <w:bodyDiv w:val="1"/>
      <w:marLeft w:val="0"/>
      <w:marRight w:val="0"/>
      <w:marTop w:val="0"/>
      <w:marBottom w:val="0"/>
      <w:divBdr>
        <w:top w:val="none" w:sz="0" w:space="0" w:color="auto"/>
        <w:left w:val="none" w:sz="0" w:space="0" w:color="auto"/>
        <w:bottom w:val="none" w:sz="0" w:space="0" w:color="auto"/>
        <w:right w:val="none" w:sz="0" w:space="0" w:color="auto"/>
      </w:divBdr>
    </w:div>
    <w:div w:id="307706683">
      <w:bodyDiv w:val="1"/>
      <w:marLeft w:val="0"/>
      <w:marRight w:val="0"/>
      <w:marTop w:val="0"/>
      <w:marBottom w:val="0"/>
      <w:divBdr>
        <w:top w:val="none" w:sz="0" w:space="0" w:color="auto"/>
        <w:left w:val="none" w:sz="0" w:space="0" w:color="auto"/>
        <w:bottom w:val="none" w:sz="0" w:space="0" w:color="auto"/>
        <w:right w:val="none" w:sz="0" w:space="0" w:color="auto"/>
      </w:divBdr>
    </w:div>
    <w:div w:id="319771430">
      <w:bodyDiv w:val="1"/>
      <w:marLeft w:val="0"/>
      <w:marRight w:val="0"/>
      <w:marTop w:val="0"/>
      <w:marBottom w:val="0"/>
      <w:divBdr>
        <w:top w:val="none" w:sz="0" w:space="0" w:color="auto"/>
        <w:left w:val="none" w:sz="0" w:space="0" w:color="auto"/>
        <w:bottom w:val="none" w:sz="0" w:space="0" w:color="auto"/>
        <w:right w:val="none" w:sz="0" w:space="0" w:color="auto"/>
      </w:divBdr>
    </w:div>
    <w:div w:id="341247007">
      <w:bodyDiv w:val="1"/>
      <w:marLeft w:val="0"/>
      <w:marRight w:val="0"/>
      <w:marTop w:val="0"/>
      <w:marBottom w:val="0"/>
      <w:divBdr>
        <w:top w:val="none" w:sz="0" w:space="0" w:color="auto"/>
        <w:left w:val="none" w:sz="0" w:space="0" w:color="auto"/>
        <w:bottom w:val="none" w:sz="0" w:space="0" w:color="auto"/>
        <w:right w:val="none" w:sz="0" w:space="0" w:color="auto"/>
      </w:divBdr>
    </w:div>
    <w:div w:id="403187663">
      <w:bodyDiv w:val="1"/>
      <w:marLeft w:val="0"/>
      <w:marRight w:val="0"/>
      <w:marTop w:val="0"/>
      <w:marBottom w:val="0"/>
      <w:divBdr>
        <w:top w:val="none" w:sz="0" w:space="0" w:color="auto"/>
        <w:left w:val="none" w:sz="0" w:space="0" w:color="auto"/>
        <w:bottom w:val="none" w:sz="0" w:space="0" w:color="auto"/>
        <w:right w:val="none" w:sz="0" w:space="0" w:color="auto"/>
      </w:divBdr>
    </w:div>
    <w:div w:id="449862475">
      <w:bodyDiv w:val="1"/>
      <w:marLeft w:val="0"/>
      <w:marRight w:val="0"/>
      <w:marTop w:val="0"/>
      <w:marBottom w:val="0"/>
      <w:divBdr>
        <w:top w:val="none" w:sz="0" w:space="0" w:color="auto"/>
        <w:left w:val="none" w:sz="0" w:space="0" w:color="auto"/>
        <w:bottom w:val="none" w:sz="0" w:space="0" w:color="auto"/>
        <w:right w:val="none" w:sz="0" w:space="0" w:color="auto"/>
      </w:divBdr>
    </w:div>
    <w:div w:id="465002414">
      <w:bodyDiv w:val="1"/>
      <w:marLeft w:val="0"/>
      <w:marRight w:val="0"/>
      <w:marTop w:val="0"/>
      <w:marBottom w:val="0"/>
      <w:divBdr>
        <w:top w:val="none" w:sz="0" w:space="0" w:color="auto"/>
        <w:left w:val="none" w:sz="0" w:space="0" w:color="auto"/>
        <w:bottom w:val="none" w:sz="0" w:space="0" w:color="auto"/>
        <w:right w:val="none" w:sz="0" w:space="0" w:color="auto"/>
      </w:divBdr>
    </w:div>
    <w:div w:id="534662661">
      <w:bodyDiv w:val="1"/>
      <w:marLeft w:val="0"/>
      <w:marRight w:val="0"/>
      <w:marTop w:val="0"/>
      <w:marBottom w:val="0"/>
      <w:divBdr>
        <w:top w:val="none" w:sz="0" w:space="0" w:color="auto"/>
        <w:left w:val="none" w:sz="0" w:space="0" w:color="auto"/>
        <w:bottom w:val="none" w:sz="0" w:space="0" w:color="auto"/>
        <w:right w:val="none" w:sz="0" w:space="0" w:color="auto"/>
      </w:divBdr>
    </w:div>
    <w:div w:id="556093533">
      <w:bodyDiv w:val="1"/>
      <w:marLeft w:val="0"/>
      <w:marRight w:val="0"/>
      <w:marTop w:val="0"/>
      <w:marBottom w:val="0"/>
      <w:divBdr>
        <w:top w:val="none" w:sz="0" w:space="0" w:color="auto"/>
        <w:left w:val="none" w:sz="0" w:space="0" w:color="auto"/>
        <w:bottom w:val="none" w:sz="0" w:space="0" w:color="auto"/>
        <w:right w:val="none" w:sz="0" w:space="0" w:color="auto"/>
      </w:divBdr>
    </w:div>
    <w:div w:id="558705750">
      <w:bodyDiv w:val="1"/>
      <w:marLeft w:val="0"/>
      <w:marRight w:val="0"/>
      <w:marTop w:val="0"/>
      <w:marBottom w:val="0"/>
      <w:divBdr>
        <w:top w:val="none" w:sz="0" w:space="0" w:color="auto"/>
        <w:left w:val="none" w:sz="0" w:space="0" w:color="auto"/>
        <w:bottom w:val="none" w:sz="0" w:space="0" w:color="auto"/>
        <w:right w:val="none" w:sz="0" w:space="0" w:color="auto"/>
      </w:divBdr>
    </w:div>
    <w:div w:id="579028093">
      <w:bodyDiv w:val="1"/>
      <w:marLeft w:val="0"/>
      <w:marRight w:val="0"/>
      <w:marTop w:val="0"/>
      <w:marBottom w:val="0"/>
      <w:divBdr>
        <w:top w:val="none" w:sz="0" w:space="0" w:color="auto"/>
        <w:left w:val="none" w:sz="0" w:space="0" w:color="auto"/>
        <w:bottom w:val="none" w:sz="0" w:space="0" w:color="auto"/>
        <w:right w:val="none" w:sz="0" w:space="0" w:color="auto"/>
      </w:divBdr>
    </w:div>
    <w:div w:id="612901617">
      <w:bodyDiv w:val="1"/>
      <w:marLeft w:val="0"/>
      <w:marRight w:val="0"/>
      <w:marTop w:val="0"/>
      <w:marBottom w:val="0"/>
      <w:divBdr>
        <w:top w:val="none" w:sz="0" w:space="0" w:color="auto"/>
        <w:left w:val="none" w:sz="0" w:space="0" w:color="auto"/>
        <w:bottom w:val="none" w:sz="0" w:space="0" w:color="auto"/>
        <w:right w:val="none" w:sz="0" w:space="0" w:color="auto"/>
      </w:divBdr>
    </w:div>
    <w:div w:id="627779158">
      <w:bodyDiv w:val="1"/>
      <w:marLeft w:val="0"/>
      <w:marRight w:val="0"/>
      <w:marTop w:val="0"/>
      <w:marBottom w:val="0"/>
      <w:divBdr>
        <w:top w:val="none" w:sz="0" w:space="0" w:color="auto"/>
        <w:left w:val="none" w:sz="0" w:space="0" w:color="auto"/>
        <w:bottom w:val="none" w:sz="0" w:space="0" w:color="auto"/>
        <w:right w:val="none" w:sz="0" w:space="0" w:color="auto"/>
      </w:divBdr>
    </w:div>
    <w:div w:id="762652869">
      <w:bodyDiv w:val="1"/>
      <w:marLeft w:val="0"/>
      <w:marRight w:val="0"/>
      <w:marTop w:val="0"/>
      <w:marBottom w:val="0"/>
      <w:divBdr>
        <w:top w:val="none" w:sz="0" w:space="0" w:color="auto"/>
        <w:left w:val="none" w:sz="0" w:space="0" w:color="auto"/>
        <w:bottom w:val="none" w:sz="0" w:space="0" w:color="auto"/>
        <w:right w:val="none" w:sz="0" w:space="0" w:color="auto"/>
      </w:divBdr>
    </w:div>
    <w:div w:id="797072133">
      <w:bodyDiv w:val="1"/>
      <w:marLeft w:val="0"/>
      <w:marRight w:val="0"/>
      <w:marTop w:val="0"/>
      <w:marBottom w:val="0"/>
      <w:divBdr>
        <w:top w:val="none" w:sz="0" w:space="0" w:color="auto"/>
        <w:left w:val="none" w:sz="0" w:space="0" w:color="auto"/>
        <w:bottom w:val="none" w:sz="0" w:space="0" w:color="auto"/>
        <w:right w:val="none" w:sz="0" w:space="0" w:color="auto"/>
      </w:divBdr>
    </w:div>
    <w:div w:id="803040128">
      <w:bodyDiv w:val="1"/>
      <w:marLeft w:val="0"/>
      <w:marRight w:val="0"/>
      <w:marTop w:val="0"/>
      <w:marBottom w:val="0"/>
      <w:divBdr>
        <w:top w:val="none" w:sz="0" w:space="0" w:color="auto"/>
        <w:left w:val="none" w:sz="0" w:space="0" w:color="auto"/>
        <w:bottom w:val="none" w:sz="0" w:space="0" w:color="auto"/>
        <w:right w:val="none" w:sz="0" w:space="0" w:color="auto"/>
      </w:divBdr>
    </w:div>
    <w:div w:id="829950732">
      <w:bodyDiv w:val="1"/>
      <w:marLeft w:val="0"/>
      <w:marRight w:val="0"/>
      <w:marTop w:val="0"/>
      <w:marBottom w:val="0"/>
      <w:divBdr>
        <w:top w:val="none" w:sz="0" w:space="0" w:color="auto"/>
        <w:left w:val="none" w:sz="0" w:space="0" w:color="auto"/>
        <w:bottom w:val="none" w:sz="0" w:space="0" w:color="auto"/>
        <w:right w:val="none" w:sz="0" w:space="0" w:color="auto"/>
      </w:divBdr>
    </w:div>
    <w:div w:id="849486423">
      <w:bodyDiv w:val="1"/>
      <w:marLeft w:val="0"/>
      <w:marRight w:val="0"/>
      <w:marTop w:val="0"/>
      <w:marBottom w:val="0"/>
      <w:divBdr>
        <w:top w:val="none" w:sz="0" w:space="0" w:color="auto"/>
        <w:left w:val="none" w:sz="0" w:space="0" w:color="auto"/>
        <w:bottom w:val="none" w:sz="0" w:space="0" w:color="auto"/>
        <w:right w:val="none" w:sz="0" w:space="0" w:color="auto"/>
      </w:divBdr>
    </w:div>
    <w:div w:id="969897914">
      <w:bodyDiv w:val="1"/>
      <w:marLeft w:val="0"/>
      <w:marRight w:val="0"/>
      <w:marTop w:val="0"/>
      <w:marBottom w:val="0"/>
      <w:divBdr>
        <w:top w:val="none" w:sz="0" w:space="0" w:color="auto"/>
        <w:left w:val="none" w:sz="0" w:space="0" w:color="auto"/>
        <w:bottom w:val="none" w:sz="0" w:space="0" w:color="auto"/>
        <w:right w:val="none" w:sz="0" w:space="0" w:color="auto"/>
      </w:divBdr>
    </w:div>
    <w:div w:id="1031030028">
      <w:bodyDiv w:val="1"/>
      <w:marLeft w:val="0"/>
      <w:marRight w:val="0"/>
      <w:marTop w:val="0"/>
      <w:marBottom w:val="0"/>
      <w:divBdr>
        <w:top w:val="none" w:sz="0" w:space="0" w:color="auto"/>
        <w:left w:val="none" w:sz="0" w:space="0" w:color="auto"/>
        <w:bottom w:val="none" w:sz="0" w:space="0" w:color="auto"/>
        <w:right w:val="none" w:sz="0" w:space="0" w:color="auto"/>
      </w:divBdr>
    </w:div>
    <w:div w:id="1077480144">
      <w:bodyDiv w:val="1"/>
      <w:marLeft w:val="0"/>
      <w:marRight w:val="0"/>
      <w:marTop w:val="0"/>
      <w:marBottom w:val="0"/>
      <w:divBdr>
        <w:top w:val="none" w:sz="0" w:space="0" w:color="auto"/>
        <w:left w:val="none" w:sz="0" w:space="0" w:color="auto"/>
        <w:bottom w:val="none" w:sz="0" w:space="0" w:color="auto"/>
        <w:right w:val="none" w:sz="0" w:space="0" w:color="auto"/>
      </w:divBdr>
    </w:div>
    <w:div w:id="1097143092">
      <w:bodyDiv w:val="1"/>
      <w:marLeft w:val="0"/>
      <w:marRight w:val="0"/>
      <w:marTop w:val="0"/>
      <w:marBottom w:val="0"/>
      <w:divBdr>
        <w:top w:val="none" w:sz="0" w:space="0" w:color="auto"/>
        <w:left w:val="none" w:sz="0" w:space="0" w:color="auto"/>
        <w:bottom w:val="none" w:sz="0" w:space="0" w:color="auto"/>
        <w:right w:val="none" w:sz="0" w:space="0" w:color="auto"/>
      </w:divBdr>
    </w:div>
    <w:div w:id="1103306005">
      <w:bodyDiv w:val="1"/>
      <w:marLeft w:val="0"/>
      <w:marRight w:val="0"/>
      <w:marTop w:val="0"/>
      <w:marBottom w:val="0"/>
      <w:divBdr>
        <w:top w:val="none" w:sz="0" w:space="0" w:color="auto"/>
        <w:left w:val="none" w:sz="0" w:space="0" w:color="auto"/>
        <w:bottom w:val="none" w:sz="0" w:space="0" w:color="auto"/>
        <w:right w:val="none" w:sz="0" w:space="0" w:color="auto"/>
      </w:divBdr>
    </w:div>
    <w:div w:id="1108890386">
      <w:bodyDiv w:val="1"/>
      <w:marLeft w:val="0"/>
      <w:marRight w:val="0"/>
      <w:marTop w:val="0"/>
      <w:marBottom w:val="0"/>
      <w:divBdr>
        <w:top w:val="none" w:sz="0" w:space="0" w:color="auto"/>
        <w:left w:val="none" w:sz="0" w:space="0" w:color="auto"/>
        <w:bottom w:val="none" w:sz="0" w:space="0" w:color="auto"/>
        <w:right w:val="none" w:sz="0" w:space="0" w:color="auto"/>
      </w:divBdr>
    </w:div>
    <w:div w:id="1138382567">
      <w:bodyDiv w:val="1"/>
      <w:marLeft w:val="0"/>
      <w:marRight w:val="0"/>
      <w:marTop w:val="0"/>
      <w:marBottom w:val="0"/>
      <w:divBdr>
        <w:top w:val="none" w:sz="0" w:space="0" w:color="auto"/>
        <w:left w:val="none" w:sz="0" w:space="0" w:color="auto"/>
        <w:bottom w:val="none" w:sz="0" w:space="0" w:color="auto"/>
        <w:right w:val="none" w:sz="0" w:space="0" w:color="auto"/>
      </w:divBdr>
    </w:div>
    <w:div w:id="1138691961">
      <w:bodyDiv w:val="1"/>
      <w:marLeft w:val="0"/>
      <w:marRight w:val="0"/>
      <w:marTop w:val="0"/>
      <w:marBottom w:val="0"/>
      <w:divBdr>
        <w:top w:val="none" w:sz="0" w:space="0" w:color="auto"/>
        <w:left w:val="none" w:sz="0" w:space="0" w:color="auto"/>
        <w:bottom w:val="none" w:sz="0" w:space="0" w:color="auto"/>
        <w:right w:val="none" w:sz="0" w:space="0" w:color="auto"/>
      </w:divBdr>
    </w:div>
    <w:div w:id="1267156725">
      <w:bodyDiv w:val="1"/>
      <w:marLeft w:val="0"/>
      <w:marRight w:val="0"/>
      <w:marTop w:val="0"/>
      <w:marBottom w:val="0"/>
      <w:divBdr>
        <w:top w:val="none" w:sz="0" w:space="0" w:color="auto"/>
        <w:left w:val="none" w:sz="0" w:space="0" w:color="auto"/>
        <w:bottom w:val="none" w:sz="0" w:space="0" w:color="auto"/>
        <w:right w:val="none" w:sz="0" w:space="0" w:color="auto"/>
      </w:divBdr>
    </w:div>
    <w:div w:id="1290042251">
      <w:bodyDiv w:val="1"/>
      <w:marLeft w:val="0"/>
      <w:marRight w:val="0"/>
      <w:marTop w:val="0"/>
      <w:marBottom w:val="0"/>
      <w:divBdr>
        <w:top w:val="none" w:sz="0" w:space="0" w:color="auto"/>
        <w:left w:val="none" w:sz="0" w:space="0" w:color="auto"/>
        <w:bottom w:val="none" w:sz="0" w:space="0" w:color="auto"/>
        <w:right w:val="none" w:sz="0" w:space="0" w:color="auto"/>
      </w:divBdr>
    </w:div>
    <w:div w:id="1377005035">
      <w:bodyDiv w:val="1"/>
      <w:marLeft w:val="0"/>
      <w:marRight w:val="0"/>
      <w:marTop w:val="0"/>
      <w:marBottom w:val="0"/>
      <w:divBdr>
        <w:top w:val="none" w:sz="0" w:space="0" w:color="auto"/>
        <w:left w:val="none" w:sz="0" w:space="0" w:color="auto"/>
        <w:bottom w:val="none" w:sz="0" w:space="0" w:color="auto"/>
        <w:right w:val="none" w:sz="0" w:space="0" w:color="auto"/>
      </w:divBdr>
    </w:div>
    <w:div w:id="1432313147">
      <w:bodyDiv w:val="1"/>
      <w:marLeft w:val="0"/>
      <w:marRight w:val="0"/>
      <w:marTop w:val="0"/>
      <w:marBottom w:val="0"/>
      <w:divBdr>
        <w:top w:val="none" w:sz="0" w:space="0" w:color="auto"/>
        <w:left w:val="none" w:sz="0" w:space="0" w:color="auto"/>
        <w:bottom w:val="none" w:sz="0" w:space="0" w:color="auto"/>
        <w:right w:val="none" w:sz="0" w:space="0" w:color="auto"/>
      </w:divBdr>
    </w:div>
    <w:div w:id="1572302458">
      <w:bodyDiv w:val="1"/>
      <w:marLeft w:val="0"/>
      <w:marRight w:val="0"/>
      <w:marTop w:val="0"/>
      <w:marBottom w:val="0"/>
      <w:divBdr>
        <w:top w:val="none" w:sz="0" w:space="0" w:color="auto"/>
        <w:left w:val="none" w:sz="0" w:space="0" w:color="auto"/>
        <w:bottom w:val="none" w:sz="0" w:space="0" w:color="auto"/>
        <w:right w:val="none" w:sz="0" w:space="0" w:color="auto"/>
      </w:divBdr>
    </w:div>
    <w:div w:id="1621230279">
      <w:bodyDiv w:val="1"/>
      <w:marLeft w:val="0"/>
      <w:marRight w:val="0"/>
      <w:marTop w:val="0"/>
      <w:marBottom w:val="0"/>
      <w:divBdr>
        <w:top w:val="none" w:sz="0" w:space="0" w:color="auto"/>
        <w:left w:val="none" w:sz="0" w:space="0" w:color="auto"/>
        <w:bottom w:val="none" w:sz="0" w:space="0" w:color="auto"/>
        <w:right w:val="none" w:sz="0" w:space="0" w:color="auto"/>
      </w:divBdr>
    </w:div>
    <w:div w:id="1738631550">
      <w:bodyDiv w:val="1"/>
      <w:marLeft w:val="0"/>
      <w:marRight w:val="0"/>
      <w:marTop w:val="0"/>
      <w:marBottom w:val="0"/>
      <w:divBdr>
        <w:top w:val="none" w:sz="0" w:space="0" w:color="auto"/>
        <w:left w:val="none" w:sz="0" w:space="0" w:color="auto"/>
        <w:bottom w:val="none" w:sz="0" w:space="0" w:color="auto"/>
        <w:right w:val="none" w:sz="0" w:space="0" w:color="auto"/>
      </w:divBdr>
    </w:div>
    <w:div w:id="1798332287">
      <w:bodyDiv w:val="1"/>
      <w:marLeft w:val="0"/>
      <w:marRight w:val="0"/>
      <w:marTop w:val="0"/>
      <w:marBottom w:val="0"/>
      <w:divBdr>
        <w:top w:val="none" w:sz="0" w:space="0" w:color="auto"/>
        <w:left w:val="none" w:sz="0" w:space="0" w:color="auto"/>
        <w:bottom w:val="none" w:sz="0" w:space="0" w:color="auto"/>
        <w:right w:val="none" w:sz="0" w:space="0" w:color="auto"/>
      </w:divBdr>
    </w:div>
    <w:div w:id="1846088918">
      <w:bodyDiv w:val="1"/>
      <w:marLeft w:val="0"/>
      <w:marRight w:val="0"/>
      <w:marTop w:val="0"/>
      <w:marBottom w:val="0"/>
      <w:divBdr>
        <w:top w:val="none" w:sz="0" w:space="0" w:color="auto"/>
        <w:left w:val="none" w:sz="0" w:space="0" w:color="auto"/>
        <w:bottom w:val="none" w:sz="0" w:space="0" w:color="auto"/>
        <w:right w:val="none" w:sz="0" w:space="0" w:color="auto"/>
      </w:divBdr>
    </w:div>
    <w:div w:id="1886797651">
      <w:bodyDiv w:val="1"/>
      <w:marLeft w:val="0"/>
      <w:marRight w:val="0"/>
      <w:marTop w:val="0"/>
      <w:marBottom w:val="0"/>
      <w:divBdr>
        <w:top w:val="none" w:sz="0" w:space="0" w:color="auto"/>
        <w:left w:val="none" w:sz="0" w:space="0" w:color="auto"/>
        <w:bottom w:val="none" w:sz="0" w:space="0" w:color="auto"/>
        <w:right w:val="none" w:sz="0" w:space="0" w:color="auto"/>
      </w:divBdr>
    </w:div>
    <w:div w:id="1920433688">
      <w:bodyDiv w:val="1"/>
      <w:marLeft w:val="0"/>
      <w:marRight w:val="0"/>
      <w:marTop w:val="0"/>
      <w:marBottom w:val="0"/>
      <w:divBdr>
        <w:top w:val="none" w:sz="0" w:space="0" w:color="auto"/>
        <w:left w:val="none" w:sz="0" w:space="0" w:color="auto"/>
        <w:bottom w:val="none" w:sz="0" w:space="0" w:color="auto"/>
        <w:right w:val="none" w:sz="0" w:space="0" w:color="auto"/>
      </w:divBdr>
    </w:div>
    <w:div w:id="1948002290">
      <w:bodyDiv w:val="1"/>
      <w:marLeft w:val="0"/>
      <w:marRight w:val="0"/>
      <w:marTop w:val="0"/>
      <w:marBottom w:val="0"/>
      <w:divBdr>
        <w:top w:val="none" w:sz="0" w:space="0" w:color="auto"/>
        <w:left w:val="none" w:sz="0" w:space="0" w:color="auto"/>
        <w:bottom w:val="none" w:sz="0" w:space="0" w:color="auto"/>
        <w:right w:val="none" w:sz="0" w:space="0" w:color="auto"/>
      </w:divBdr>
    </w:div>
    <w:div w:id="1950432753">
      <w:bodyDiv w:val="1"/>
      <w:marLeft w:val="0"/>
      <w:marRight w:val="0"/>
      <w:marTop w:val="0"/>
      <w:marBottom w:val="0"/>
      <w:divBdr>
        <w:top w:val="none" w:sz="0" w:space="0" w:color="auto"/>
        <w:left w:val="none" w:sz="0" w:space="0" w:color="auto"/>
        <w:bottom w:val="none" w:sz="0" w:space="0" w:color="auto"/>
        <w:right w:val="none" w:sz="0" w:space="0" w:color="auto"/>
      </w:divBdr>
    </w:div>
    <w:div w:id="2016959196">
      <w:bodyDiv w:val="1"/>
      <w:marLeft w:val="0"/>
      <w:marRight w:val="0"/>
      <w:marTop w:val="0"/>
      <w:marBottom w:val="0"/>
      <w:divBdr>
        <w:top w:val="none" w:sz="0" w:space="0" w:color="auto"/>
        <w:left w:val="none" w:sz="0" w:space="0" w:color="auto"/>
        <w:bottom w:val="none" w:sz="0" w:space="0" w:color="auto"/>
        <w:right w:val="none" w:sz="0" w:space="0" w:color="auto"/>
      </w:divBdr>
    </w:div>
    <w:div w:id="2017921436">
      <w:bodyDiv w:val="1"/>
      <w:marLeft w:val="0"/>
      <w:marRight w:val="0"/>
      <w:marTop w:val="0"/>
      <w:marBottom w:val="0"/>
      <w:divBdr>
        <w:top w:val="none" w:sz="0" w:space="0" w:color="auto"/>
        <w:left w:val="none" w:sz="0" w:space="0" w:color="auto"/>
        <w:bottom w:val="none" w:sz="0" w:space="0" w:color="auto"/>
        <w:right w:val="none" w:sz="0" w:space="0" w:color="auto"/>
      </w:divBdr>
    </w:div>
    <w:div w:id="2032684631">
      <w:bodyDiv w:val="1"/>
      <w:marLeft w:val="0"/>
      <w:marRight w:val="0"/>
      <w:marTop w:val="0"/>
      <w:marBottom w:val="0"/>
      <w:divBdr>
        <w:top w:val="none" w:sz="0" w:space="0" w:color="auto"/>
        <w:left w:val="none" w:sz="0" w:space="0" w:color="auto"/>
        <w:bottom w:val="none" w:sz="0" w:space="0" w:color="auto"/>
        <w:right w:val="none" w:sz="0" w:space="0" w:color="auto"/>
      </w:divBdr>
    </w:div>
    <w:div w:id="2045865740">
      <w:bodyDiv w:val="1"/>
      <w:marLeft w:val="0"/>
      <w:marRight w:val="0"/>
      <w:marTop w:val="0"/>
      <w:marBottom w:val="0"/>
      <w:divBdr>
        <w:top w:val="none" w:sz="0" w:space="0" w:color="auto"/>
        <w:left w:val="none" w:sz="0" w:space="0" w:color="auto"/>
        <w:bottom w:val="none" w:sz="0" w:space="0" w:color="auto"/>
        <w:right w:val="none" w:sz="0" w:space="0" w:color="auto"/>
      </w:divBdr>
    </w:div>
    <w:div w:id="206741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f191ad30-9ade-4f0c-b78e-cf30469879ae"/>
    <IconOverlay xmlns="http://schemas.microsoft.com/sharepoint/v4" xsi:nil="true"/>
    <TaxKeywordTaxHTField xmlns="35a8546d-9f91-45fa-a14e-0c4493b38db6">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351063A9C658459944992FC5165942" ma:contentTypeVersion="8" ma:contentTypeDescription="Create a new document." ma:contentTypeScope="" ma:versionID="acabb834e45fa14419502decce5b3737">
  <xsd:schema xmlns:xsd="http://www.w3.org/2001/XMLSchema" xmlns:xs="http://www.w3.org/2001/XMLSchema" xmlns:p="http://schemas.microsoft.com/office/2006/metadata/properties" xmlns:ns1="http://schemas.microsoft.com/sharepoint/v3" xmlns:ns2="35a8546d-9f91-45fa-a14e-0c4493b38db6" xmlns:ns3="f191ad30-9ade-4f0c-b78e-cf30469879ae" xmlns:ns4="http://schemas.microsoft.com/sharepoint/v4" targetNamespace="http://schemas.microsoft.com/office/2006/metadata/properties" ma:root="true" ma:fieldsID="0ee48dc8ba83b8a378a4e67640f1dd2b" ns1:_="" ns2:_="" ns3:_="" ns4:_="">
    <xsd:import namespace="http://schemas.microsoft.com/sharepoint/v3"/>
    <xsd:import namespace="35a8546d-9f91-45fa-a14e-0c4493b38db6"/>
    <xsd:import namespace="f191ad30-9ade-4f0c-b78e-cf30469879ae"/>
    <xsd:import namespace="http://schemas.microsoft.com/sharepoint/v4"/>
    <xsd:element name="properties">
      <xsd:complexType>
        <xsd:sequence>
          <xsd:element name="documentManagement">
            <xsd:complexType>
              <xsd:all>
                <xsd:element ref="ns2:TaxKeywordTaxHTField" minOccurs="0"/>
                <xsd:element ref="ns3:TaxCatchAll" minOccurs="0"/>
                <xsd:element ref="ns1:_vti_ItemDeclaredRecord" minOccurs="0"/>
                <xsd:element ref="ns1:_dlc_Exempt" minOccurs="0"/>
                <xsd:element ref="ns1:_dlc_ExpireDateSaved" minOccurs="0"/>
                <xsd:element ref="ns1:_dlc_ExpireDate"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1" nillable="true" ma:displayName="Declared Record" ma:hidden="true" ma:internalName="_vti_ItemDeclaredRecord"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a8546d-9f91-45fa-a14e-0c4493b38db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9baccb-2c56-4335-83af-0e91367fb186}" ma:internalName="TaxCatchAll" ma:showField="CatchAllData" ma:web="35a8546d-9f91-45fa-a14e-0c4493b38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2C52D-9004-4DD2-88F5-DBE2DE76EFC2}">
  <ds:schemaRefs>
    <ds:schemaRef ds:uri="http://schemas.microsoft.com/office/2006/metadata/properties"/>
    <ds:schemaRef ds:uri="http://schemas.microsoft.com/office/infopath/2007/PartnerControls"/>
    <ds:schemaRef ds:uri="http://schemas.microsoft.com/sharepoint/v3"/>
    <ds:schemaRef ds:uri="f191ad30-9ade-4f0c-b78e-cf30469879ae"/>
    <ds:schemaRef ds:uri="http://schemas.microsoft.com/sharepoint/v4"/>
    <ds:schemaRef ds:uri="35a8546d-9f91-45fa-a14e-0c4493b38db6"/>
  </ds:schemaRefs>
</ds:datastoreItem>
</file>

<file path=customXml/itemProps2.xml><?xml version="1.0" encoding="utf-8"?>
<ds:datastoreItem xmlns:ds="http://schemas.openxmlformats.org/officeDocument/2006/customXml" ds:itemID="{EC237B9A-1545-491D-998E-FCBC6035D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a8546d-9f91-45fa-a14e-0c4493b38db6"/>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F716C-9EF4-44DF-A888-981110C7FC3E}">
  <ds:schemaRefs>
    <ds:schemaRef ds:uri="http://schemas.microsoft.com/sharepoint/v3/contenttype/forms"/>
  </ds:schemaRefs>
</ds:datastoreItem>
</file>

<file path=customXml/itemProps4.xml><?xml version="1.0" encoding="utf-8"?>
<ds:datastoreItem xmlns:ds="http://schemas.openxmlformats.org/officeDocument/2006/customXml" ds:itemID="{3E84DAB7-0709-4051-AD83-42FA83337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32</Pages>
  <Words>14217</Words>
  <Characters>81043</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95070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Tamara Nikezić</cp:lastModifiedBy>
  <cp:revision>40</cp:revision>
  <cp:lastPrinted>2022-01-24T11:29:00Z</cp:lastPrinted>
  <dcterms:created xsi:type="dcterms:W3CDTF">2023-06-08T08:22:00Z</dcterms:created>
  <dcterms:modified xsi:type="dcterms:W3CDTF">2023-09-15T09:23:00Z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policyId">
    <vt:lpwstr>/team/2012035B/Medical</vt:lpwstr>
  </property>
  <property fmtid="{D5CDD505-2E9C-101B-9397-08002B2CF9AE}" pid="4" name="ContentTypeId">
    <vt:lpwstr>0x0101009A351063A9C658459944992FC5165942</vt:lpwstr>
  </property>
  <property fmtid="{D5CDD505-2E9C-101B-9397-08002B2CF9AE}" pid="5" name="ItemRetentionFormula">
    <vt:lpwstr>&lt;formula id="Roche.Common.Coremap.ExpirationFormula" /&gt;</vt:lpwstr>
  </property>
  <property fmtid="{D5CDD505-2E9C-101B-9397-08002B2CF9AE}" pid="6" name="TaxKeyword">
    <vt:lpwstr/>
  </property>
</Properties>
</file>