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57B55" w14:textId="77777777" w:rsidR="001A5518" w:rsidRPr="00C91DE7" w:rsidRDefault="001A5518" w:rsidP="001A5518">
      <w:pPr>
        <w:rPr>
          <w:b/>
          <w:bCs/>
          <w:i/>
          <w:iCs/>
          <w:sz w:val="22"/>
          <w:szCs w:val="22"/>
          <w:u w:val="single"/>
          <w:lang w:val="sr-Latn-RS"/>
        </w:rPr>
      </w:pPr>
    </w:p>
    <w:p w14:paraId="218964E4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2EF03FB8" w14:textId="77777777" w:rsidR="002510A5" w:rsidRPr="00330BB2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330BB2">
        <w:rPr>
          <w:b/>
          <w:bCs/>
          <w:iCs/>
          <w:sz w:val="22"/>
          <w:szCs w:val="22"/>
          <w:u w:val="single"/>
        </w:rPr>
        <w:t>SAŽETAK KARAKTERISTIKA LIJEKA</w:t>
      </w:r>
    </w:p>
    <w:p w14:paraId="51C934DC" w14:textId="77777777" w:rsidR="002510A5" w:rsidRPr="00330BB2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2EFDAC8C" w14:textId="77777777" w:rsidR="003C17AB" w:rsidRPr="00330BB2" w:rsidRDefault="003C17AB" w:rsidP="00CA1FEB">
      <w:pPr>
        <w:rPr>
          <w:sz w:val="22"/>
          <w:szCs w:val="22"/>
          <w:lang w:val="sr-Latn-CS"/>
        </w:rPr>
      </w:pPr>
    </w:p>
    <w:p w14:paraId="54D13B6B" w14:textId="480906B7" w:rsidR="00C37FD7" w:rsidRPr="00330BB2" w:rsidRDefault="005C5EF4" w:rsidP="00FA129D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</w:rPr>
      </w:pPr>
      <w:r w:rsidRPr="00330BB2">
        <w:rPr>
          <w:noProof/>
          <w:sz w:val="22"/>
          <w:szCs w:val="22"/>
        </w:rPr>
        <w:drawing>
          <wp:inline distT="0" distB="0" distL="0" distR="0" wp14:anchorId="7BDB3F5D" wp14:editId="251AC248">
            <wp:extent cx="172085" cy="144780"/>
            <wp:effectExtent l="0" t="0" r="0" b="7620"/>
            <wp:docPr id="1" name="Picture 3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7AB" w:rsidRPr="00330BB2">
        <w:rPr>
          <w:noProof/>
          <w:sz w:val="22"/>
          <w:szCs w:val="22"/>
          <w:lang w:val="hr-HR"/>
        </w:rPr>
        <w:t xml:space="preserve"> Ovaj lijek je pod dodatnim praćenjem.</w:t>
      </w:r>
      <w:r w:rsidR="003C17AB" w:rsidRPr="00330BB2">
        <w:rPr>
          <w:sz w:val="22"/>
          <w:szCs w:val="22"/>
          <w:lang w:val="hr-HR"/>
        </w:rPr>
        <w:t xml:space="preserve"> </w:t>
      </w:r>
      <w:r w:rsidR="003C17AB" w:rsidRPr="00330BB2">
        <w:rPr>
          <w:noProof/>
          <w:sz w:val="22"/>
          <w:szCs w:val="22"/>
          <w:lang w:val="hr-HR"/>
        </w:rPr>
        <w:t>Time se omogućava brzo otkrivanje novih bezbjednosnih informacija. Zdravstveni radnici treba da prijave svaku sumnju na neželjeno dejstvo ovog lijeka.</w:t>
      </w:r>
      <w:r w:rsidR="003C17AB" w:rsidRPr="00330BB2">
        <w:rPr>
          <w:sz w:val="22"/>
          <w:szCs w:val="22"/>
          <w:lang w:val="hr-HR"/>
        </w:rPr>
        <w:t xml:space="preserve"> Za način prijavljivanja neželjenih dejstava vidjeti </w:t>
      </w:r>
      <w:r w:rsidR="007A3ECB" w:rsidRPr="00330BB2">
        <w:rPr>
          <w:sz w:val="22"/>
          <w:szCs w:val="22"/>
          <w:lang w:val="hr-HR"/>
        </w:rPr>
        <w:t xml:space="preserve">dio </w:t>
      </w:r>
      <w:r w:rsidR="003C17AB" w:rsidRPr="00330BB2">
        <w:rPr>
          <w:sz w:val="22"/>
          <w:szCs w:val="22"/>
          <w:lang w:val="hr-HR"/>
        </w:rPr>
        <w:t>4.8</w:t>
      </w:r>
      <w:r w:rsidR="003C17AB" w:rsidRPr="00330BB2">
        <w:rPr>
          <w:noProof/>
          <w:sz w:val="22"/>
          <w:szCs w:val="22"/>
          <w:lang w:val="hr-HR"/>
        </w:rPr>
        <w:t>.</w:t>
      </w:r>
      <w:r w:rsidR="00107BF7" w:rsidRPr="00330BB2">
        <w:rPr>
          <w:noProof/>
          <w:sz w:val="22"/>
          <w:szCs w:val="22"/>
          <w:lang w:val="hr-HR"/>
        </w:rPr>
        <w:t xml:space="preserve"> </w:t>
      </w:r>
    </w:p>
    <w:p w14:paraId="79E1596D" w14:textId="77777777" w:rsidR="003C17AB" w:rsidRPr="00330BB2" w:rsidRDefault="003C17AB" w:rsidP="00FA129D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hr-HR"/>
        </w:rPr>
      </w:pPr>
    </w:p>
    <w:p w14:paraId="55309778" w14:textId="77777777" w:rsidR="00C37FD7" w:rsidRPr="00330BB2" w:rsidRDefault="00C37FD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42FAD96" w14:textId="77777777" w:rsidR="00411B4B" w:rsidRPr="00330BB2" w:rsidRDefault="00411B4B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>1.</w:t>
      </w:r>
      <w:r w:rsidR="00F5167F" w:rsidRPr="00330BB2">
        <w:rPr>
          <w:b/>
          <w:bCs/>
          <w:sz w:val="22"/>
          <w:szCs w:val="22"/>
        </w:rPr>
        <w:tab/>
      </w:r>
      <w:r w:rsidR="002846DB" w:rsidRPr="00330BB2">
        <w:rPr>
          <w:b/>
          <w:bCs/>
          <w:sz w:val="22"/>
          <w:szCs w:val="22"/>
        </w:rPr>
        <w:t xml:space="preserve">NAZIV </w:t>
      </w:r>
      <w:r w:rsidRPr="00330BB2">
        <w:rPr>
          <w:b/>
          <w:bCs/>
          <w:sz w:val="22"/>
          <w:szCs w:val="22"/>
        </w:rPr>
        <w:t>LIJEKA</w:t>
      </w:r>
    </w:p>
    <w:p w14:paraId="742328E8" w14:textId="77777777" w:rsidR="00EC2532" w:rsidRPr="00330BB2" w:rsidRDefault="00EC2532" w:rsidP="00FA129D">
      <w:pPr>
        <w:jc w:val="both"/>
        <w:rPr>
          <w:sz w:val="22"/>
          <w:szCs w:val="22"/>
          <w:lang w:val="pl-PL"/>
        </w:rPr>
      </w:pPr>
    </w:p>
    <w:p w14:paraId="68AF3A77" w14:textId="3F0C0730" w:rsidR="00C91DE7" w:rsidRPr="00330BB2" w:rsidRDefault="00C91DE7" w:rsidP="00FA129D">
      <w:pPr>
        <w:jc w:val="both"/>
        <w:rPr>
          <w:bCs/>
          <w:sz w:val="22"/>
          <w:szCs w:val="22"/>
          <w:lang w:val="sr-Latn-RS"/>
        </w:rPr>
      </w:pPr>
      <w:r w:rsidRPr="00330BB2">
        <w:rPr>
          <w:bCs/>
          <w:sz w:val="22"/>
          <w:szCs w:val="22"/>
          <w:lang w:val="hr-HR"/>
        </w:rPr>
        <w:t>Leqvio</w:t>
      </w:r>
      <w:r w:rsidRPr="00330BB2">
        <w:rPr>
          <w:bCs/>
          <w:sz w:val="22"/>
          <w:szCs w:val="22"/>
        </w:rPr>
        <w:t>,</w:t>
      </w:r>
      <w:r w:rsidRPr="00330BB2">
        <w:rPr>
          <w:bCs/>
          <w:sz w:val="22"/>
          <w:szCs w:val="22"/>
          <w:lang w:val="hr-HR"/>
        </w:rPr>
        <w:t xml:space="preserve"> 284 mg, rastvor za injekciju u napunjenom injekcionom </w:t>
      </w:r>
      <w:r w:rsidRPr="00330BB2">
        <w:rPr>
          <w:bCs/>
          <w:sz w:val="22"/>
          <w:szCs w:val="22"/>
          <w:lang w:val="sr-Latn-RS"/>
        </w:rPr>
        <w:t>špricu</w:t>
      </w:r>
    </w:p>
    <w:p w14:paraId="2562DE98" w14:textId="77777777" w:rsidR="00C91DE7" w:rsidRPr="00330BB2" w:rsidRDefault="00C91DE7" w:rsidP="00FA129D">
      <w:pPr>
        <w:jc w:val="both"/>
        <w:rPr>
          <w:bCs/>
          <w:sz w:val="22"/>
          <w:szCs w:val="22"/>
          <w:lang w:val="sr-Latn-CS"/>
        </w:rPr>
      </w:pPr>
    </w:p>
    <w:p w14:paraId="5D022E41" w14:textId="77777777" w:rsidR="00C91DE7" w:rsidRPr="00330BB2" w:rsidRDefault="00C91DE7" w:rsidP="00FA129D">
      <w:pPr>
        <w:jc w:val="both"/>
        <w:rPr>
          <w:bCs/>
          <w:sz w:val="22"/>
          <w:szCs w:val="22"/>
          <w:lang w:val="sr-Latn-CS"/>
        </w:rPr>
      </w:pPr>
      <w:r w:rsidRPr="00330BB2">
        <w:rPr>
          <w:bCs/>
          <w:sz w:val="22"/>
          <w:szCs w:val="22"/>
          <w:lang w:val="sr-Latn-CS"/>
        </w:rPr>
        <w:t>INN: inklisiran</w:t>
      </w:r>
    </w:p>
    <w:p w14:paraId="4C9E4B36" w14:textId="77777777" w:rsidR="006D20A5" w:rsidRPr="00330BB2" w:rsidRDefault="006D20A5" w:rsidP="00FA129D">
      <w:pPr>
        <w:jc w:val="both"/>
        <w:rPr>
          <w:bCs/>
          <w:sz w:val="22"/>
          <w:szCs w:val="22"/>
          <w:lang w:val="sv-SE"/>
        </w:rPr>
      </w:pPr>
    </w:p>
    <w:p w14:paraId="6FB83D6B" w14:textId="77777777" w:rsidR="00530BD7" w:rsidRPr="00330BB2" w:rsidRDefault="00530BD7" w:rsidP="00FA129D">
      <w:pPr>
        <w:jc w:val="both"/>
        <w:rPr>
          <w:bCs/>
          <w:sz w:val="22"/>
          <w:szCs w:val="22"/>
          <w:lang w:val="sv-SE"/>
        </w:rPr>
      </w:pPr>
    </w:p>
    <w:p w14:paraId="0A1913CE" w14:textId="77777777" w:rsidR="00411B4B" w:rsidRPr="00330BB2" w:rsidRDefault="00411B4B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2. </w:t>
      </w:r>
      <w:r w:rsidR="00F5167F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KVALITATIVNI I KVANTITATIVNI SASTAV</w:t>
      </w:r>
    </w:p>
    <w:p w14:paraId="7F1988E5" w14:textId="77777777" w:rsidR="005A0B2E" w:rsidRPr="00330BB2" w:rsidRDefault="005A0B2E" w:rsidP="00FA129D">
      <w:pPr>
        <w:jc w:val="both"/>
        <w:rPr>
          <w:sz w:val="22"/>
          <w:szCs w:val="22"/>
          <w:lang w:val="sr-Latn-CS"/>
        </w:rPr>
      </w:pPr>
    </w:p>
    <w:p w14:paraId="657085CF" w14:textId="4B7C8B43" w:rsidR="00C91DE7" w:rsidRPr="00330BB2" w:rsidRDefault="00C91DE7" w:rsidP="00FA129D">
      <w:pPr>
        <w:jc w:val="both"/>
        <w:rPr>
          <w:sz w:val="22"/>
          <w:szCs w:val="22"/>
          <w:lang w:val="sr-Latn-CS"/>
        </w:rPr>
      </w:pPr>
      <w:r w:rsidRPr="00330BB2">
        <w:rPr>
          <w:sz w:val="22"/>
          <w:szCs w:val="22"/>
          <w:lang w:val="sr-Latn-CS"/>
        </w:rPr>
        <w:t xml:space="preserve">Jedan napunjeni injekcioni špric sadrži inklisiran natrijum u količini koja odgovara 284 mg inklisirana u 1,5 </w:t>
      </w:r>
      <w:r w:rsidR="00D64000" w:rsidRPr="00330BB2">
        <w:rPr>
          <w:sz w:val="22"/>
          <w:szCs w:val="22"/>
          <w:lang w:val="sr-Latn-CS"/>
        </w:rPr>
        <w:t>ml</w:t>
      </w:r>
      <w:r w:rsidRPr="00330BB2">
        <w:rPr>
          <w:sz w:val="22"/>
          <w:szCs w:val="22"/>
          <w:lang w:val="sr-Latn-CS"/>
        </w:rPr>
        <w:t xml:space="preserve"> rastvora.</w:t>
      </w:r>
    </w:p>
    <w:p w14:paraId="28CA54C1" w14:textId="77777777" w:rsidR="00C91DE7" w:rsidRPr="00330BB2" w:rsidRDefault="00C91DE7" w:rsidP="00FA129D">
      <w:pPr>
        <w:jc w:val="both"/>
        <w:rPr>
          <w:sz w:val="22"/>
          <w:szCs w:val="22"/>
          <w:lang w:val="sr-Latn-CS"/>
        </w:rPr>
      </w:pPr>
    </w:p>
    <w:p w14:paraId="752241EF" w14:textId="03F7667B" w:rsidR="00C91DE7" w:rsidRPr="00330BB2" w:rsidRDefault="00C91DE7" w:rsidP="00FA129D">
      <w:pPr>
        <w:jc w:val="both"/>
        <w:rPr>
          <w:sz w:val="22"/>
          <w:szCs w:val="22"/>
          <w:lang w:val="sr-Latn-CS"/>
        </w:rPr>
      </w:pPr>
      <w:r w:rsidRPr="00330BB2">
        <w:rPr>
          <w:sz w:val="22"/>
          <w:szCs w:val="22"/>
          <w:lang w:val="sr-Latn-CS"/>
        </w:rPr>
        <w:t xml:space="preserve">Jedan </w:t>
      </w:r>
      <w:r w:rsidR="00D64000" w:rsidRPr="00330BB2">
        <w:rPr>
          <w:sz w:val="22"/>
          <w:szCs w:val="22"/>
          <w:lang w:val="sr-Latn-CS"/>
        </w:rPr>
        <w:t>ml</w:t>
      </w:r>
      <w:r w:rsidRPr="00330BB2">
        <w:rPr>
          <w:sz w:val="22"/>
          <w:szCs w:val="22"/>
          <w:lang w:val="sr-Latn-CS"/>
        </w:rPr>
        <w:t xml:space="preserve"> sadrži inklisiran natrijum u količini koja odgovara 189 mg inklisirana.</w:t>
      </w:r>
    </w:p>
    <w:p w14:paraId="67F8FB48" w14:textId="77777777" w:rsidR="00C91DE7" w:rsidRPr="00330BB2" w:rsidRDefault="00C91DE7" w:rsidP="00FA129D">
      <w:pPr>
        <w:jc w:val="both"/>
        <w:rPr>
          <w:sz w:val="22"/>
          <w:szCs w:val="22"/>
          <w:lang w:val="sr-Latn-CS"/>
        </w:rPr>
      </w:pPr>
    </w:p>
    <w:p w14:paraId="11A5A8D6" w14:textId="4DFC6D46" w:rsidR="0003793F" w:rsidRPr="00330BB2" w:rsidRDefault="0003793F" w:rsidP="00FA129D">
      <w:pPr>
        <w:jc w:val="both"/>
        <w:rPr>
          <w:sz w:val="22"/>
          <w:szCs w:val="22"/>
          <w:lang w:val="sr-Latn-CS"/>
        </w:rPr>
      </w:pPr>
      <w:r w:rsidRPr="00330BB2">
        <w:rPr>
          <w:sz w:val="22"/>
          <w:szCs w:val="22"/>
          <w:lang w:val="sr-Latn-CS"/>
        </w:rPr>
        <w:t>Za spisak svih ekscipijenasa, pogledati dio 6.1.</w:t>
      </w:r>
    </w:p>
    <w:p w14:paraId="1B4AE619" w14:textId="77777777" w:rsidR="0003793F" w:rsidRPr="00330BB2" w:rsidRDefault="0003793F" w:rsidP="00FA129D">
      <w:pPr>
        <w:jc w:val="both"/>
        <w:rPr>
          <w:sz w:val="22"/>
          <w:szCs w:val="22"/>
          <w:lang w:val="sr-Latn-CS"/>
        </w:rPr>
      </w:pPr>
    </w:p>
    <w:p w14:paraId="236A0415" w14:textId="77777777" w:rsidR="00C37FD7" w:rsidRPr="00330BB2" w:rsidRDefault="00C37FD7" w:rsidP="00FA129D">
      <w:pPr>
        <w:jc w:val="both"/>
        <w:rPr>
          <w:sz w:val="22"/>
          <w:szCs w:val="22"/>
          <w:lang w:val="sr-Latn-CS"/>
        </w:rPr>
      </w:pPr>
    </w:p>
    <w:p w14:paraId="352B598B" w14:textId="77777777" w:rsidR="00411B4B" w:rsidRPr="00330BB2" w:rsidRDefault="00411B4B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3. </w:t>
      </w:r>
      <w:r w:rsidR="00F5167F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FARMACEUTSKI OBLIK</w:t>
      </w:r>
      <w:r w:rsidR="009F2D23" w:rsidRPr="00330BB2">
        <w:rPr>
          <w:b/>
          <w:bCs/>
          <w:sz w:val="22"/>
          <w:szCs w:val="22"/>
        </w:rPr>
        <w:t xml:space="preserve"> </w:t>
      </w:r>
    </w:p>
    <w:p w14:paraId="5B170103" w14:textId="77777777" w:rsidR="00411B4B" w:rsidRPr="00330BB2" w:rsidRDefault="00411B4B" w:rsidP="00FA129D">
      <w:pPr>
        <w:jc w:val="both"/>
        <w:rPr>
          <w:bCs/>
          <w:sz w:val="22"/>
          <w:szCs w:val="22"/>
          <w:lang w:val="sr-Latn-CS"/>
        </w:rPr>
      </w:pPr>
    </w:p>
    <w:p w14:paraId="0B827CF8" w14:textId="55DBFB1D" w:rsidR="00C91DE7" w:rsidRPr="00330BB2" w:rsidRDefault="00C91DE7" w:rsidP="00FA129D">
      <w:pPr>
        <w:jc w:val="both"/>
        <w:rPr>
          <w:bCs/>
          <w:sz w:val="22"/>
          <w:szCs w:val="22"/>
          <w:lang w:val="sr-Latn-CS"/>
        </w:rPr>
      </w:pPr>
      <w:r w:rsidRPr="00330BB2">
        <w:rPr>
          <w:bCs/>
          <w:sz w:val="22"/>
          <w:szCs w:val="22"/>
          <w:lang w:val="sr-Latn-CS"/>
        </w:rPr>
        <w:t>Rastvor za injekciju</w:t>
      </w:r>
      <w:r w:rsidR="00D64000" w:rsidRPr="00330BB2">
        <w:rPr>
          <w:bCs/>
          <w:sz w:val="22"/>
          <w:szCs w:val="22"/>
          <w:lang w:val="sr-Latn-CS"/>
        </w:rPr>
        <w:t xml:space="preserve"> u napunjenom injekcionom špricu</w:t>
      </w:r>
      <w:r w:rsidRPr="00330BB2">
        <w:rPr>
          <w:bCs/>
          <w:sz w:val="22"/>
          <w:szCs w:val="22"/>
          <w:lang w:val="sr-Latn-CS"/>
        </w:rPr>
        <w:t>.</w:t>
      </w:r>
    </w:p>
    <w:p w14:paraId="2800FB41" w14:textId="77777777" w:rsidR="00C91DE7" w:rsidRPr="00330BB2" w:rsidRDefault="00C91DE7" w:rsidP="00FA129D">
      <w:pPr>
        <w:jc w:val="both"/>
        <w:rPr>
          <w:bCs/>
          <w:sz w:val="22"/>
          <w:szCs w:val="22"/>
          <w:lang w:val="sr-Latn-CS"/>
        </w:rPr>
      </w:pPr>
    </w:p>
    <w:p w14:paraId="48B3B931" w14:textId="63C109BA" w:rsidR="00C91DE7" w:rsidRPr="00330BB2" w:rsidRDefault="00C91DE7" w:rsidP="00FA129D">
      <w:pPr>
        <w:jc w:val="both"/>
        <w:rPr>
          <w:bCs/>
          <w:sz w:val="22"/>
          <w:szCs w:val="22"/>
          <w:lang w:val="sr-Latn-CS"/>
        </w:rPr>
      </w:pPr>
      <w:r w:rsidRPr="00330BB2">
        <w:rPr>
          <w:bCs/>
          <w:sz w:val="22"/>
          <w:szCs w:val="22"/>
          <w:lang w:val="sr-Latn-CS"/>
        </w:rPr>
        <w:t>Rastvor je bistar, bezbojan do bl</w:t>
      </w:r>
      <w:r w:rsidR="007B38F0" w:rsidRPr="00330BB2">
        <w:rPr>
          <w:bCs/>
          <w:sz w:val="22"/>
          <w:szCs w:val="22"/>
          <w:lang w:val="sr-Latn-CS"/>
        </w:rPr>
        <w:t>ij</w:t>
      </w:r>
      <w:r w:rsidRPr="00330BB2">
        <w:rPr>
          <w:bCs/>
          <w:sz w:val="22"/>
          <w:szCs w:val="22"/>
          <w:lang w:val="sr-Latn-CS"/>
        </w:rPr>
        <w:t>edožut i suštinski ne sadrži vidljive čestice.</w:t>
      </w:r>
    </w:p>
    <w:p w14:paraId="1C8EAFED" w14:textId="172CBE75" w:rsidR="00EC2532" w:rsidRDefault="00EC2532" w:rsidP="00FA129D">
      <w:pPr>
        <w:jc w:val="both"/>
        <w:rPr>
          <w:bCs/>
          <w:sz w:val="22"/>
          <w:szCs w:val="22"/>
          <w:lang w:val="sr-Latn-CS"/>
        </w:rPr>
      </w:pPr>
    </w:p>
    <w:p w14:paraId="2A935A09" w14:textId="77777777" w:rsidR="00330BB2" w:rsidRPr="00330BB2" w:rsidRDefault="00330BB2" w:rsidP="00FA129D">
      <w:pPr>
        <w:jc w:val="both"/>
        <w:rPr>
          <w:bCs/>
          <w:sz w:val="22"/>
          <w:szCs w:val="22"/>
          <w:lang w:val="sr-Latn-CS"/>
        </w:rPr>
      </w:pPr>
    </w:p>
    <w:p w14:paraId="28FFD6CA" w14:textId="77777777" w:rsidR="00411B4B" w:rsidRPr="00330BB2" w:rsidRDefault="00411B4B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4.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KLINIČKI PODACI</w:t>
      </w:r>
    </w:p>
    <w:p w14:paraId="79DFC5FE" w14:textId="77777777" w:rsidR="00CD6F02" w:rsidRPr="00330BB2" w:rsidRDefault="00CD6F02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8BB8D79" w14:textId="77777777" w:rsidR="00411B4B" w:rsidRPr="00330BB2" w:rsidRDefault="00411B4B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4.1.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Terapijske indikacije</w:t>
      </w:r>
    </w:p>
    <w:p w14:paraId="6E2F1985" w14:textId="79AB9C1A" w:rsidR="00411B4B" w:rsidRPr="00330BB2" w:rsidRDefault="00411B4B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A7EB3CE" w14:textId="1FF6B296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30BB2">
        <w:rPr>
          <w:bCs/>
          <w:sz w:val="22"/>
          <w:szCs w:val="22"/>
        </w:rPr>
        <w:t>L</w:t>
      </w:r>
      <w:r w:rsidR="007B38F0" w:rsidRPr="00330BB2">
        <w:rPr>
          <w:bCs/>
          <w:sz w:val="22"/>
          <w:szCs w:val="22"/>
        </w:rPr>
        <w:t>ij</w:t>
      </w:r>
      <w:r w:rsidRPr="00330BB2">
        <w:rPr>
          <w:bCs/>
          <w:sz w:val="22"/>
          <w:szCs w:val="22"/>
        </w:rPr>
        <w:t>ek Leqvio je indikovan za prim</w:t>
      </w:r>
      <w:r w:rsidR="007B38F0" w:rsidRPr="00330BB2">
        <w:rPr>
          <w:bCs/>
          <w:sz w:val="22"/>
          <w:szCs w:val="22"/>
        </w:rPr>
        <w:t>j</w:t>
      </w:r>
      <w:r w:rsidRPr="00330BB2">
        <w:rPr>
          <w:bCs/>
          <w:sz w:val="22"/>
          <w:szCs w:val="22"/>
        </w:rPr>
        <w:t xml:space="preserve">enu kod odraslih sa primarnom hiperholesterolemijom (heterozigotnom </w:t>
      </w:r>
      <w:r w:rsidR="0003218B" w:rsidRPr="00330BB2">
        <w:rPr>
          <w:bCs/>
          <w:sz w:val="22"/>
          <w:szCs w:val="22"/>
        </w:rPr>
        <w:t xml:space="preserve">porodičnom </w:t>
      </w:r>
      <w:r w:rsidRPr="00330BB2">
        <w:rPr>
          <w:bCs/>
          <w:sz w:val="22"/>
          <w:szCs w:val="22"/>
        </w:rPr>
        <w:t xml:space="preserve">i </w:t>
      </w:r>
      <w:r w:rsidR="0003218B" w:rsidRPr="00330BB2">
        <w:rPr>
          <w:bCs/>
          <w:sz w:val="22"/>
          <w:szCs w:val="22"/>
        </w:rPr>
        <w:t>stečenom</w:t>
      </w:r>
      <w:r w:rsidRPr="00330BB2">
        <w:rPr>
          <w:bCs/>
          <w:sz w:val="22"/>
          <w:szCs w:val="22"/>
        </w:rPr>
        <w:t>) ili m</w:t>
      </w:r>
      <w:r w:rsidR="007B38F0" w:rsidRPr="00330BB2">
        <w:rPr>
          <w:bCs/>
          <w:sz w:val="22"/>
          <w:szCs w:val="22"/>
        </w:rPr>
        <w:t>ij</w:t>
      </w:r>
      <w:r w:rsidRPr="00330BB2">
        <w:rPr>
          <w:bCs/>
          <w:sz w:val="22"/>
          <w:szCs w:val="22"/>
        </w:rPr>
        <w:t>ešanom dislipidemijom, kao dodatak dijeti:</w:t>
      </w:r>
    </w:p>
    <w:p w14:paraId="69C4EA02" w14:textId="78620471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30BB2">
        <w:rPr>
          <w:bCs/>
          <w:sz w:val="22"/>
          <w:szCs w:val="22"/>
        </w:rPr>
        <w:t>•</w:t>
      </w:r>
      <w:r w:rsidRPr="00330BB2">
        <w:rPr>
          <w:bCs/>
          <w:sz w:val="22"/>
          <w:szCs w:val="22"/>
        </w:rPr>
        <w:tab/>
        <w:t>u kombinaciji sa statinom ili zajedno sa statinom i drugim terapijama za snižavanje</w:t>
      </w:r>
      <w:r w:rsidR="00855CD0" w:rsidRPr="00330BB2">
        <w:rPr>
          <w:bCs/>
          <w:sz w:val="22"/>
          <w:szCs w:val="22"/>
        </w:rPr>
        <w:t xml:space="preserve"> vrijednosti</w:t>
      </w:r>
      <w:r w:rsidRPr="00330BB2">
        <w:rPr>
          <w:bCs/>
          <w:sz w:val="22"/>
          <w:szCs w:val="22"/>
        </w:rPr>
        <w:t xml:space="preserve"> lipida kod pacijenata koji ne mogu da postignu ciljne vr</w:t>
      </w:r>
      <w:r w:rsidR="007B38F0" w:rsidRPr="00330BB2">
        <w:rPr>
          <w:bCs/>
          <w:sz w:val="22"/>
          <w:szCs w:val="22"/>
        </w:rPr>
        <w:t>ij</w:t>
      </w:r>
      <w:r w:rsidRPr="00330BB2">
        <w:rPr>
          <w:bCs/>
          <w:sz w:val="22"/>
          <w:szCs w:val="22"/>
        </w:rPr>
        <w:t xml:space="preserve">ednosti LDL-holesterola uz </w:t>
      </w:r>
      <w:r w:rsidR="007B38F0" w:rsidRPr="00330BB2">
        <w:rPr>
          <w:bCs/>
          <w:sz w:val="22"/>
          <w:szCs w:val="22"/>
        </w:rPr>
        <w:t>primjen</w:t>
      </w:r>
      <w:r w:rsidRPr="00330BB2">
        <w:rPr>
          <w:bCs/>
          <w:sz w:val="22"/>
          <w:szCs w:val="22"/>
        </w:rPr>
        <w:t>u najveće podnošljive doze statina, ili</w:t>
      </w:r>
    </w:p>
    <w:p w14:paraId="42523873" w14:textId="5322D7A9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30BB2">
        <w:rPr>
          <w:bCs/>
          <w:sz w:val="22"/>
          <w:szCs w:val="22"/>
        </w:rPr>
        <w:t>•</w:t>
      </w:r>
      <w:r w:rsidRPr="00330BB2">
        <w:rPr>
          <w:bCs/>
          <w:sz w:val="22"/>
          <w:szCs w:val="22"/>
        </w:rPr>
        <w:tab/>
        <w:t>sam ili u kombinaciji sa drugom terapijom za snižavanje</w:t>
      </w:r>
      <w:r w:rsidR="00855CD0" w:rsidRPr="00330BB2">
        <w:rPr>
          <w:bCs/>
          <w:sz w:val="22"/>
          <w:szCs w:val="22"/>
        </w:rPr>
        <w:t xml:space="preserve"> vrijednosti</w:t>
      </w:r>
      <w:r w:rsidRPr="00330BB2">
        <w:rPr>
          <w:bCs/>
          <w:sz w:val="22"/>
          <w:szCs w:val="22"/>
        </w:rPr>
        <w:t xml:space="preserve"> lipida kod pacijenata koji ne podnose statine, ili kod kojih je </w:t>
      </w:r>
      <w:r w:rsidR="007B38F0" w:rsidRPr="00330BB2">
        <w:rPr>
          <w:bCs/>
          <w:sz w:val="22"/>
          <w:szCs w:val="22"/>
        </w:rPr>
        <w:t>liječ</w:t>
      </w:r>
      <w:r w:rsidRPr="00330BB2">
        <w:rPr>
          <w:bCs/>
          <w:sz w:val="22"/>
          <w:szCs w:val="22"/>
        </w:rPr>
        <w:t>enje statinima kontraindikovano.</w:t>
      </w:r>
    </w:p>
    <w:p w14:paraId="47908DFA" w14:textId="77777777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FF2F6DC" w14:textId="77777777" w:rsidR="00411B4B" w:rsidRPr="00330BB2" w:rsidRDefault="00411B4B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4.2.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Doziranje i način primjene</w:t>
      </w:r>
    </w:p>
    <w:p w14:paraId="46F50CFE" w14:textId="77777777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A1ABAF1" w14:textId="0E3B9A98" w:rsidR="001301ED" w:rsidRPr="00330BB2" w:rsidRDefault="001301ED" w:rsidP="001301ED">
      <w:pPr>
        <w:keepNext/>
        <w:tabs>
          <w:tab w:val="left" w:pos="284"/>
        </w:tabs>
        <w:jc w:val="both"/>
        <w:rPr>
          <w:sz w:val="22"/>
          <w:szCs w:val="22"/>
          <w:u w:val="single"/>
          <w:lang w:val="hr-HR"/>
        </w:rPr>
      </w:pPr>
      <w:r w:rsidRPr="00330BB2">
        <w:rPr>
          <w:sz w:val="22"/>
          <w:szCs w:val="22"/>
          <w:u w:val="single"/>
          <w:lang w:val="hr-HR"/>
        </w:rPr>
        <w:t>Doziranje</w:t>
      </w:r>
    </w:p>
    <w:p w14:paraId="0E8280B4" w14:textId="77777777" w:rsidR="001301ED" w:rsidRPr="00330BB2" w:rsidRDefault="001301ED" w:rsidP="001301ED">
      <w:pPr>
        <w:keepNext/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3F902201" w14:textId="5735A113" w:rsidR="001301ED" w:rsidRPr="00330BB2" w:rsidRDefault="001301ED" w:rsidP="001301E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Preporučena doza je 284 mg inklisirana prim</w:t>
      </w:r>
      <w:r w:rsidR="007B38F0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enjen</w:t>
      </w:r>
      <w:r w:rsidR="00855CD0" w:rsidRPr="00330BB2">
        <w:rPr>
          <w:sz w:val="22"/>
          <w:szCs w:val="22"/>
          <w:lang w:val="hr-HR"/>
        </w:rPr>
        <w:t>a</w:t>
      </w:r>
      <w:r w:rsidRPr="00330BB2">
        <w:rPr>
          <w:sz w:val="22"/>
          <w:szCs w:val="22"/>
          <w:lang w:val="hr-HR"/>
        </w:rPr>
        <w:t xml:space="preserve"> u obliku jedne </w:t>
      </w:r>
      <w:r w:rsidR="00905F5F" w:rsidRPr="00330BB2">
        <w:rPr>
          <w:sz w:val="22"/>
          <w:szCs w:val="22"/>
          <w:lang w:val="hr-HR"/>
        </w:rPr>
        <w:t>subkutane</w:t>
      </w:r>
      <w:r w:rsidRPr="00330BB2">
        <w:rPr>
          <w:sz w:val="22"/>
          <w:szCs w:val="22"/>
          <w:lang w:val="hr-HR"/>
        </w:rPr>
        <w:t xml:space="preserve"> injekcije: na početku, </w:t>
      </w:r>
      <w:r w:rsidR="0003218B" w:rsidRPr="00330BB2">
        <w:rPr>
          <w:sz w:val="22"/>
          <w:szCs w:val="22"/>
          <w:lang w:val="hr-HR"/>
        </w:rPr>
        <w:t xml:space="preserve">ponovo </w:t>
      </w:r>
      <w:r w:rsidRPr="00330BB2">
        <w:rPr>
          <w:sz w:val="22"/>
          <w:szCs w:val="22"/>
          <w:lang w:val="hr-HR"/>
        </w:rPr>
        <w:t>nakon 3 </w:t>
      </w:r>
      <w:r w:rsidR="007B38F0" w:rsidRPr="00330BB2">
        <w:rPr>
          <w:sz w:val="22"/>
          <w:szCs w:val="22"/>
          <w:lang w:val="hr-HR"/>
        </w:rPr>
        <w:t>mjesec</w:t>
      </w:r>
      <w:r w:rsidRPr="00330BB2">
        <w:rPr>
          <w:sz w:val="22"/>
          <w:szCs w:val="22"/>
          <w:lang w:val="hr-HR"/>
        </w:rPr>
        <w:t>a, a zatim na svakih 6 </w:t>
      </w:r>
      <w:r w:rsidR="007B38F0" w:rsidRPr="00330BB2">
        <w:rPr>
          <w:sz w:val="22"/>
          <w:szCs w:val="22"/>
          <w:lang w:val="hr-HR"/>
        </w:rPr>
        <w:t>mjesec</w:t>
      </w:r>
      <w:r w:rsidRPr="00330BB2">
        <w:rPr>
          <w:sz w:val="22"/>
          <w:szCs w:val="22"/>
          <w:lang w:val="hr-HR"/>
        </w:rPr>
        <w:t>i.</w:t>
      </w:r>
    </w:p>
    <w:p w14:paraId="17754513" w14:textId="77777777" w:rsidR="001301ED" w:rsidRPr="00330BB2" w:rsidRDefault="001301ED" w:rsidP="001301ED">
      <w:p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08E7B309" w14:textId="77777777" w:rsidR="001301ED" w:rsidRPr="00330BB2" w:rsidRDefault="001301ED" w:rsidP="001301ED">
      <w:pPr>
        <w:keepNext/>
        <w:tabs>
          <w:tab w:val="left" w:pos="284"/>
        </w:tabs>
        <w:jc w:val="both"/>
        <w:rPr>
          <w:i/>
          <w:sz w:val="22"/>
          <w:szCs w:val="22"/>
          <w:u w:val="single"/>
          <w:lang w:val="hr-HR"/>
        </w:rPr>
      </w:pPr>
      <w:r w:rsidRPr="00330BB2">
        <w:rPr>
          <w:i/>
          <w:sz w:val="22"/>
          <w:szCs w:val="22"/>
          <w:u w:val="single"/>
          <w:lang w:val="hr-HR"/>
        </w:rPr>
        <w:t>Propuštene doze</w:t>
      </w:r>
    </w:p>
    <w:p w14:paraId="3BCC1E89" w14:textId="6EA4EE07" w:rsidR="001301ED" w:rsidRPr="00330BB2" w:rsidRDefault="001301ED" w:rsidP="001301E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Ako je od propuštanja planirane doze prošlo manje od 3 </w:t>
      </w:r>
      <w:r w:rsidR="007B38F0" w:rsidRPr="00330BB2">
        <w:rPr>
          <w:sz w:val="22"/>
          <w:szCs w:val="22"/>
          <w:lang w:val="hr-HR"/>
        </w:rPr>
        <w:t>mjesec</w:t>
      </w:r>
      <w:r w:rsidRPr="00330BB2">
        <w:rPr>
          <w:sz w:val="22"/>
          <w:szCs w:val="22"/>
          <w:lang w:val="hr-HR"/>
        </w:rPr>
        <w:t>a, inklisiran treba prim</w:t>
      </w:r>
      <w:r w:rsidR="007B38F0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eniti i doziranje nastaviti prema pacijentovom prvobitnom rasporedu.</w:t>
      </w:r>
    </w:p>
    <w:p w14:paraId="2FFD9523" w14:textId="70889135" w:rsidR="001301ED" w:rsidRPr="00330BB2" w:rsidRDefault="001301ED" w:rsidP="001301E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lastRenderedPageBreak/>
        <w:t>Ako je od propuštanja planirane doze prošlo više od 3 </w:t>
      </w:r>
      <w:r w:rsidR="007B38F0" w:rsidRPr="00330BB2">
        <w:rPr>
          <w:sz w:val="22"/>
          <w:szCs w:val="22"/>
          <w:lang w:val="hr-HR"/>
        </w:rPr>
        <w:t>mjesec</w:t>
      </w:r>
      <w:r w:rsidRPr="00330BB2">
        <w:rPr>
          <w:sz w:val="22"/>
          <w:szCs w:val="22"/>
          <w:lang w:val="hr-HR"/>
        </w:rPr>
        <w:t>a, treba započeti sa novim rasporedom doziranja – inklisiran je potrebno prim</w:t>
      </w:r>
      <w:r w:rsidR="007B38F0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eniti kao početnu dozu, ponovo nakon 3 </w:t>
      </w:r>
      <w:r w:rsidR="007B38F0" w:rsidRPr="00330BB2">
        <w:rPr>
          <w:sz w:val="22"/>
          <w:szCs w:val="22"/>
          <w:lang w:val="hr-HR"/>
        </w:rPr>
        <w:t>mjesec</w:t>
      </w:r>
      <w:r w:rsidRPr="00330BB2">
        <w:rPr>
          <w:sz w:val="22"/>
          <w:szCs w:val="22"/>
          <w:lang w:val="hr-HR"/>
        </w:rPr>
        <w:t>a, a zatim svakih 6 </w:t>
      </w:r>
      <w:r w:rsidR="007B38F0" w:rsidRPr="00330BB2">
        <w:rPr>
          <w:sz w:val="22"/>
          <w:szCs w:val="22"/>
          <w:lang w:val="hr-HR"/>
        </w:rPr>
        <w:t>mjesec</w:t>
      </w:r>
      <w:r w:rsidRPr="00330BB2">
        <w:rPr>
          <w:sz w:val="22"/>
          <w:szCs w:val="22"/>
          <w:lang w:val="hr-HR"/>
        </w:rPr>
        <w:t>i.</w:t>
      </w:r>
    </w:p>
    <w:p w14:paraId="2E4F1FA1" w14:textId="77777777" w:rsidR="001301ED" w:rsidRPr="00330BB2" w:rsidRDefault="001301ED" w:rsidP="001301ED">
      <w:p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2C7D3B02" w14:textId="77777777" w:rsidR="001301ED" w:rsidRPr="00330BB2" w:rsidRDefault="001301ED" w:rsidP="001301ED">
      <w:pPr>
        <w:tabs>
          <w:tab w:val="left" w:pos="284"/>
        </w:tabs>
        <w:jc w:val="both"/>
        <w:rPr>
          <w:i/>
          <w:sz w:val="22"/>
          <w:szCs w:val="22"/>
          <w:u w:val="single"/>
        </w:rPr>
      </w:pPr>
      <w:r w:rsidRPr="00330BB2">
        <w:rPr>
          <w:i/>
          <w:sz w:val="22"/>
          <w:szCs w:val="22"/>
          <w:u w:val="single"/>
        </w:rPr>
        <w:t>Prelazak sa terapije monoklonskim antitelima, inhibitorima PCSK9</w:t>
      </w:r>
    </w:p>
    <w:p w14:paraId="5B4D7532" w14:textId="36AB605F" w:rsidR="001301ED" w:rsidRPr="00330BB2" w:rsidRDefault="001301ED" w:rsidP="001301E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Inklisiran može da se prim</w:t>
      </w:r>
      <w:r w:rsidR="007B38F0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eni odmah nakon posl</w:t>
      </w:r>
      <w:r w:rsidR="00A440B2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 xml:space="preserve">ednje doze monoklonskog antitela, inhibitora PCSK9. Da bi se održalo sniženje </w:t>
      </w:r>
      <w:r w:rsidR="00855CD0" w:rsidRPr="00330BB2">
        <w:rPr>
          <w:sz w:val="22"/>
          <w:szCs w:val="22"/>
          <w:lang w:val="hr-HR"/>
        </w:rPr>
        <w:t xml:space="preserve">vrijednosti </w:t>
      </w:r>
      <w:r w:rsidRPr="00330BB2">
        <w:rPr>
          <w:sz w:val="22"/>
          <w:szCs w:val="22"/>
          <w:lang w:val="hr-HR"/>
        </w:rPr>
        <w:t>LDL-holesterola, preporučuje se da se inklisiran prim</w:t>
      </w:r>
      <w:r w:rsidR="007B38F0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eni u roku od 2 ned</w:t>
      </w:r>
      <w:r w:rsidR="007B38F0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elje nakon posl</w:t>
      </w:r>
      <w:r w:rsidR="007B38F0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ednje doze monoklonskog antit</w:t>
      </w:r>
      <w:r w:rsidR="007B38F0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ela, inhibitora PCSK9.</w:t>
      </w:r>
    </w:p>
    <w:p w14:paraId="4595E537" w14:textId="77777777" w:rsidR="001301ED" w:rsidRPr="00330BB2" w:rsidRDefault="001301ED" w:rsidP="001301ED">
      <w:p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228757F5" w14:textId="77777777" w:rsidR="001301ED" w:rsidRPr="00330BB2" w:rsidRDefault="001301ED" w:rsidP="001301ED">
      <w:pPr>
        <w:keepNext/>
        <w:tabs>
          <w:tab w:val="left" w:pos="284"/>
        </w:tabs>
        <w:jc w:val="both"/>
        <w:rPr>
          <w:i/>
          <w:sz w:val="22"/>
          <w:szCs w:val="22"/>
          <w:u w:val="single"/>
          <w:lang w:val="hr-HR"/>
        </w:rPr>
      </w:pPr>
      <w:r w:rsidRPr="00330BB2">
        <w:rPr>
          <w:i/>
          <w:sz w:val="22"/>
          <w:szCs w:val="22"/>
          <w:u w:val="single"/>
          <w:lang w:val="hr-HR"/>
        </w:rPr>
        <w:t>Posebne populacije</w:t>
      </w:r>
    </w:p>
    <w:p w14:paraId="3D4617D6" w14:textId="77777777" w:rsidR="001301ED" w:rsidRPr="00330BB2" w:rsidRDefault="001301ED" w:rsidP="001301ED">
      <w:pPr>
        <w:keepNext/>
        <w:tabs>
          <w:tab w:val="left" w:pos="284"/>
        </w:tabs>
        <w:jc w:val="both"/>
        <w:rPr>
          <w:sz w:val="22"/>
          <w:szCs w:val="22"/>
          <w:u w:val="single"/>
          <w:lang w:val="hr-HR"/>
        </w:rPr>
      </w:pPr>
    </w:p>
    <w:p w14:paraId="450D51AC" w14:textId="77777777" w:rsidR="001301ED" w:rsidRPr="00330BB2" w:rsidRDefault="001301ED" w:rsidP="001301ED">
      <w:pPr>
        <w:keepNext/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i/>
          <w:sz w:val="22"/>
          <w:szCs w:val="22"/>
          <w:lang w:val="hr-HR"/>
        </w:rPr>
        <w:t>Stariji pacijenti (starosti ≥ 65 godina)</w:t>
      </w:r>
    </w:p>
    <w:p w14:paraId="2B0300AA" w14:textId="77777777" w:rsidR="001301ED" w:rsidRPr="00330BB2" w:rsidRDefault="001301ED" w:rsidP="001301E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Nije potrebno prilagođavanje doze kod starijih pacijenata.</w:t>
      </w:r>
    </w:p>
    <w:p w14:paraId="2D3D30AF" w14:textId="77777777" w:rsidR="001301ED" w:rsidRPr="00330BB2" w:rsidRDefault="001301ED" w:rsidP="001301ED">
      <w:p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1F816286" w14:textId="77777777" w:rsidR="001301ED" w:rsidRPr="00330BB2" w:rsidRDefault="001301ED" w:rsidP="001301ED">
      <w:pPr>
        <w:keepNext/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i/>
          <w:sz w:val="22"/>
          <w:szCs w:val="22"/>
          <w:lang w:val="hr-HR"/>
        </w:rPr>
        <w:t>Oštećenje funkcije jetre</w:t>
      </w:r>
    </w:p>
    <w:p w14:paraId="41AD63F4" w14:textId="3DF54FD2" w:rsidR="001301ED" w:rsidRPr="00330BB2" w:rsidRDefault="001301ED" w:rsidP="001301E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Nije potrebno prilagođavanje doze </w:t>
      </w:r>
      <w:r w:rsidR="007B38F0" w:rsidRPr="00330BB2">
        <w:rPr>
          <w:sz w:val="22"/>
          <w:szCs w:val="22"/>
          <w:lang w:val="hr-HR"/>
        </w:rPr>
        <w:t>lijek</w:t>
      </w:r>
      <w:r w:rsidRPr="00330BB2">
        <w:rPr>
          <w:sz w:val="22"/>
          <w:szCs w:val="22"/>
          <w:lang w:val="hr-HR"/>
        </w:rPr>
        <w:t>a kod pacijenata sa blagim (</w:t>
      </w:r>
      <w:r w:rsidRPr="00330BB2">
        <w:rPr>
          <w:i/>
          <w:sz w:val="22"/>
          <w:szCs w:val="22"/>
          <w:lang w:val="hr-HR"/>
        </w:rPr>
        <w:t>Child-Pugh</w:t>
      </w:r>
      <w:r w:rsidRPr="00330BB2">
        <w:rPr>
          <w:sz w:val="22"/>
          <w:szCs w:val="22"/>
          <w:lang w:val="hr-HR"/>
        </w:rPr>
        <w:t xml:space="preserve"> stadijum A) ili </w:t>
      </w:r>
      <w:r w:rsidR="007B38F0" w:rsidRPr="00330BB2">
        <w:rPr>
          <w:sz w:val="22"/>
          <w:szCs w:val="22"/>
          <w:lang w:val="hr-HR"/>
        </w:rPr>
        <w:t>umjeren</w:t>
      </w:r>
      <w:r w:rsidRPr="00330BB2">
        <w:rPr>
          <w:sz w:val="22"/>
          <w:szCs w:val="22"/>
          <w:lang w:val="hr-HR"/>
        </w:rPr>
        <w:t>im (</w:t>
      </w:r>
      <w:r w:rsidRPr="00330BB2">
        <w:rPr>
          <w:i/>
          <w:sz w:val="22"/>
          <w:szCs w:val="22"/>
          <w:lang w:val="hr-HR"/>
        </w:rPr>
        <w:t>Child-Pugh</w:t>
      </w:r>
      <w:r w:rsidRPr="00330BB2">
        <w:rPr>
          <w:sz w:val="22"/>
          <w:szCs w:val="22"/>
          <w:lang w:val="hr-HR"/>
        </w:rPr>
        <w:t xml:space="preserve"> stadijum B) oštećenjem funkcije jetre. Nema dostupnih podataka kod pacijenata sa teškim oštećenjem funkcije jetre (</w:t>
      </w:r>
      <w:r w:rsidRPr="00330BB2">
        <w:rPr>
          <w:i/>
          <w:sz w:val="22"/>
          <w:szCs w:val="22"/>
          <w:lang w:val="hr-HR"/>
        </w:rPr>
        <w:t>Child-Pugh</w:t>
      </w:r>
      <w:r w:rsidRPr="00330BB2">
        <w:rPr>
          <w:sz w:val="22"/>
          <w:szCs w:val="22"/>
          <w:lang w:val="hr-HR"/>
        </w:rPr>
        <w:t xml:space="preserve"> stadijum C) (</w:t>
      </w:r>
      <w:r w:rsidR="007B38F0" w:rsidRPr="00330BB2">
        <w:rPr>
          <w:sz w:val="22"/>
          <w:szCs w:val="22"/>
          <w:lang w:val="hr-HR"/>
        </w:rPr>
        <w:t>vidjet</w:t>
      </w:r>
      <w:r w:rsidRPr="00330BB2">
        <w:rPr>
          <w:sz w:val="22"/>
          <w:szCs w:val="22"/>
          <w:lang w:val="hr-HR"/>
        </w:rPr>
        <w:t xml:space="preserve">i </w:t>
      </w:r>
      <w:r w:rsidR="00C954BF" w:rsidRPr="00330BB2">
        <w:rPr>
          <w:sz w:val="22"/>
          <w:szCs w:val="22"/>
          <w:lang w:val="hr-HR"/>
        </w:rPr>
        <w:t>dio</w:t>
      </w:r>
      <w:r w:rsidRPr="00330BB2">
        <w:rPr>
          <w:sz w:val="22"/>
          <w:szCs w:val="22"/>
          <w:lang w:val="hr-HR"/>
        </w:rPr>
        <w:t xml:space="preserve"> 5.2). Inklisiran treba </w:t>
      </w:r>
      <w:r w:rsidR="009014D6" w:rsidRPr="00330BB2">
        <w:rPr>
          <w:sz w:val="22"/>
          <w:szCs w:val="22"/>
          <w:lang w:val="hr-HR"/>
        </w:rPr>
        <w:t>primjen</w:t>
      </w:r>
      <w:r w:rsidRPr="00330BB2">
        <w:rPr>
          <w:sz w:val="22"/>
          <w:szCs w:val="22"/>
          <w:lang w:val="hr-HR"/>
        </w:rPr>
        <w:t>jivati oprezno kod pacijenata sa teškim oštećenjem funkcije jetre.</w:t>
      </w:r>
    </w:p>
    <w:p w14:paraId="33E0671A" w14:textId="77777777" w:rsidR="001301ED" w:rsidRPr="00330BB2" w:rsidRDefault="001301ED" w:rsidP="001301ED">
      <w:p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42E013A8" w14:textId="77777777" w:rsidR="001301ED" w:rsidRPr="00330BB2" w:rsidRDefault="001301ED" w:rsidP="001301ED">
      <w:pPr>
        <w:keepNext/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i/>
          <w:sz w:val="22"/>
          <w:szCs w:val="22"/>
          <w:lang w:val="hr-HR"/>
        </w:rPr>
        <w:t>Oštećenje funkcije bubrega</w:t>
      </w:r>
    </w:p>
    <w:p w14:paraId="295EEB40" w14:textId="637F5FB1" w:rsidR="001301ED" w:rsidRPr="00330BB2" w:rsidRDefault="001301ED" w:rsidP="001301E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Nije potrebno prilagođavanje doze kod pacijenata sa blagim, </w:t>
      </w:r>
      <w:r w:rsidR="007B38F0" w:rsidRPr="00330BB2">
        <w:rPr>
          <w:sz w:val="22"/>
          <w:szCs w:val="22"/>
          <w:lang w:val="hr-HR"/>
        </w:rPr>
        <w:t>umjeren</w:t>
      </w:r>
      <w:r w:rsidRPr="00330BB2">
        <w:rPr>
          <w:sz w:val="22"/>
          <w:szCs w:val="22"/>
          <w:lang w:val="hr-HR"/>
        </w:rPr>
        <w:t>im ili teškim oštećenjem funkcije bubrega ili pacijenata sa terminalnim stadijumom bolesti bubrega (</w:t>
      </w:r>
      <w:r w:rsidR="007B38F0" w:rsidRPr="00330BB2">
        <w:rPr>
          <w:sz w:val="22"/>
          <w:szCs w:val="22"/>
          <w:lang w:val="hr-HR"/>
        </w:rPr>
        <w:t>vidjet</w:t>
      </w:r>
      <w:r w:rsidRPr="00330BB2">
        <w:rPr>
          <w:sz w:val="22"/>
          <w:szCs w:val="22"/>
          <w:lang w:val="hr-HR"/>
        </w:rPr>
        <w:t xml:space="preserve">i </w:t>
      </w:r>
      <w:r w:rsidR="00C954BF" w:rsidRPr="00330BB2">
        <w:rPr>
          <w:sz w:val="22"/>
          <w:szCs w:val="22"/>
          <w:lang w:val="hr-HR"/>
        </w:rPr>
        <w:t>dio</w:t>
      </w:r>
      <w:r w:rsidRPr="00330BB2">
        <w:rPr>
          <w:sz w:val="22"/>
          <w:szCs w:val="22"/>
          <w:lang w:val="hr-HR"/>
        </w:rPr>
        <w:t> 5.2). Iskustva sa inklisiranom kod pacijenata sa teškim oštećenjem funkcije bubrega su ograničena. Inklisiran treba oprezno prim</w:t>
      </w:r>
      <w:r w:rsidR="007B38F0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 xml:space="preserve">enjivati kod ovih pacijenata. </w:t>
      </w:r>
      <w:r w:rsidR="007B38F0" w:rsidRPr="00330BB2">
        <w:rPr>
          <w:sz w:val="22"/>
          <w:szCs w:val="22"/>
          <w:lang w:val="hr-HR"/>
        </w:rPr>
        <w:t>Vidjet</w:t>
      </w:r>
      <w:r w:rsidRPr="00330BB2">
        <w:rPr>
          <w:sz w:val="22"/>
          <w:szCs w:val="22"/>
          <w:lang w:val="hr-HR"/>
        </w:rPr>
        <w:t xml:space="preserve">i </w:t>
      </w:r>
      <w:r w:rsidR="00C954BF" w:rsidRPr="00330BB2">
        <w:rPr>
          <w:sz w:val="22"/>
          <w:szCs w:val="22"/>
          <w:lang w:val="hr-HR"/>
        </w:rPr>
        <w:t>dio</w:t>
      </w:r>
      <w:r w:rsidRPr="00330BB2">
        <w:rPr>
          <w:sz w:val="22"/>
          <w:szCs w:val="22"/>
          <w:lang w:val="hr-HR"/>
        </w:rPr>
        <w:t> 4.4 za m</w:t>
      </w:r>
      <w:r w:rsidR="007B38F0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ere opreza koje je potrebno preduzeti u slučaju hemodijalize.</w:t>
      </w:r>
    </w:p>
    <w:p w14:paraId="3973BA36" w14:textId="77777777" w:rsidR="001301ED" w:rsidRPr="00330BB2" w:rsidRDefault="001301ED" w:rsidP="001301ED">
      <w:p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27BB79CB" w14:textId="77777777" w:rsidR="001301ED" w:rsidRPr="00330BB2" w:rsidRDefault="001301ED" w:rsidP="001301ED">
      <w:pPr>
        <w:keepNext/>
        <w:tabs>
          <w:tab w:val="left" w:pos="284"/>
        </w:tabs>
        <w:jc w:val="both"/>
        <w:rPr>
          <w:bCs/>
          <w:iCs/>
          <w:sz w:val="22"/>
          <w:szCs w:val="22"/>
          <w:lang w:val="hr-HR"/>
        </w:rPr>
      </w:pPr>
      <w:r w:rsidRPr="00330BB2">
        <w:rPr>
          <w:bCs/>
          <w:i/>
          <w:iCs/>
          <w:sz w:val="22"/>
          <w:szCs w:val="22"/>
          <w:lang w:val="hr-HR"/>
        </w:rPr>
        <w:t>Pedijatrijska populacija</w:t>
      </w:r>
    </w:p>
    <w:p w14:paraId="5E3C21DB" w14:textId="2CE8D807" w:rsidR="001301ED" w:rsidRPr="00330BB2" w:rsidRDefault="007B38F0" w:rsidP="001301E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Bezbjed</w:t>
      </w:r>
      <w:r w:rsidR="00A440B2" w:rsidRPr="00330BB2">
        <w:rPr>
          <w:sz w:val="22"/>
          <w:szCs w:val="22"/>
          <w:lang w:val="hr-HR"/>
        </w:rPr>
        <w:t>nost i efikasnost</w:t>
      </w:r>
      <w:r w:rsidR="001301ED" w:rsidRPr="00330BB2">
        <w:rPr>
          <w:sz w:val="22"/>
          <w:szCs w:val="22"/>
          <w:lang w:val="hr-HR"/>
        </w:rPr>
        <w:t xml:space="preserve"> inklisirana kod d</w:t>
      </w:r>
      <w:r w:rsidRPr="00330BB2">
        <w:rPr>
          <w:sz w:val="22"/>
          <w:szCs w:val="22"/>
          <w:lang w:val="hr-HR"/>
        </w:rPr>
        <w:t>j</w:t>
      </w:r>
      <w:r w:rsidR="001301ED" w:rsidRPr="00330BB2">
        <w:rPr>
          <w:sz w:val="22"/>
          <w:szCs w:val="22"/>
          <w:lang w:val="hr-HR"/>
        </w:rPr>
        <w:t>ece mlađe od 18 godina još uv</w:t>
      </w:r>
      <w:r w:rsidR="0003218B" w:rsidRPr="00330BB2">
        <w:rPr>
          <w:sz w:val="22"/>
          <w:szCs w:val="22"/>
          <w:lang w:val="hr-HR"/>
        </w:rPr>
        <w:t>ij</w:t>
      </w:r>
      <w:r w:rsidR="001301ED" w:rsidRPr="00330BB2">
        <w:rPr>
          <w:sz w:val="22"/>
          <w:szCs w:val="22"/>
          <w:lang w:val="hr-HR"/>
        </w:rPr>
        <w:t>ek ni</w:t>
      </w:r>
      <w:r w:rsidR="0003218B" w:rsidRPr="00330BB2">
        <w:rPr>
          <w:sz w:val="22"/>
          <w:szCs w:val="22"/>
          <w:lang w:val="hr-HR"/>
        </w:rPr>
        <w:t>je</w:t>
      </w:r>
      <w:r w:rsidR="001301ED" w:rsidRPr="00330BB2">
        <w:rPr>
          <w:sz w:val="22"/>
          <w:szCs w:val="22"/>
          <w:lang w:val="hr-HR"/>
        </w:rPr>
        <w:t>su ustanovljeni. Nema dostupnih podataka.</w:t>
      </w:r>
    </w:p>
    <w:p w14:paraId="449ECE1E" w14:textId="6E613D34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4DAF2453" w14:textId="77777777" w:rsidR="00452E9D" w:rsidRPr="00330BB2" w:rsidRDefault="00452E9D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330BB2">
        <w:rPr>
          <w:bCs/>
          <w:sz w:val="22"/>
          <w:szCs w:val="22"/>
          <w:u w:val="single"/>
        </w:rPr>
        <w:t>Način primjene</w:t>
      </w:r>
    </w:p>
    <w:p w14:paraId="531166AF" w14:textId="61DFB4CF" w:rsidR="00452E9D" w:rsidRPr="00330BB2" w:rsidRDefault="00452E9D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A4ED21C" w14:textId="41FC40C7" w:rsidR="00C91DE7" w:rsidRPr="00330BB2" w:rsidRDefault="00D64000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30BB2">
        <w:rPr>
          <w:bCs/>
          <w:sz w:val="22"/>
          <w:szCs w:val="22"/>
        </w:rPr>
        <w:t>Subkutana</w:t>
      </w:r>
      <w:r w:rsidR="00C91DE7" w:rsidRPr="00330BB2">
        <w:rPr>
          <w:bCs/>
          <w:sz w:val="22"/>
          <w:szCs w:val="22"/>
        </w:rPr>
        <w:t xml:space="preserve"> </w:t>
      </w:r>
      <w:r w:rsidR="00855CD0" w:rsidRPr="00330BB2">
        <w:rPr>
          <w:bCs/>
          <w:sz w:val="22"/>
          <w:szCs w:val="22"/>
        </w:rPr>
        <w:t>upotreba</w:t>
      </w:r>
      <w:r w:rsidR="00C91DE7" w:rsidRPr="00330BB2">
        <w:rPr>
          <w:bCs/>
          <w:sz w:val="22"/>
          <w:szCs w:val="22"/>
        </w:rPr>
        <w:t>.</w:t>
      </w:r>
    </w:p>
    <w:p w14:paraId="0CDF3CC3" w14:textId="77777777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B2ACE58" w14:textId="6670BAEE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30BB2">
        <w:rPr>
          <w:bCs/>
          <w:sz w:val="22"/>
          <w:szCs w:val="22"/>
        </w:rPr>
        <w:t>Inklisiran je nam</w:t>
      </w:r>
      <w:r w:rsidR="007B38F0" w:rsidRPr="00330BB2">
        <w:rPr>
          <w:bCs/>
          <w:sz w:val="22"/>
          <w:szCs w:val="22"/>
        </w:rPr>
        <w:t>ij</w:t>
      </w:r>
      <w:r w:rsidRPr="00330BB2">
        <w:rPr>
          <w:bCs/>
          <w:sz w:val="22"/>
          <w:szCs w:val="22"/>
        </w:rPr>
        <w:t>enjen za prim</w:t>
      </w:r>
      <w:r w:rsidR="007B38F0" w:rsidRPr="00330BB2">
        <w:rPr>
          <w:bCs/>
          <w:sz w:val="22"/>
          <w:szCs w:val="22"/>
        </w:rPr>
        <w:t>j</w:t>
      </w:r>
      <w:r w:rsidRPr="00330BB2">
        <w:rPr>
          <w:bCs/>
          <w:sz w:val="22"/>
          <w:szCs w:val="22"/>
        </w:rPr>
        <w:t xml:space="preserve">enu putem </w:t>
      </w:r>
      <w:r w:rsidR="00905F5F" w:rsidRPr="00330BB2">
        <w:rPr>
          <w:bCs/>
          <w:sz w:val="22"/>
          <w:szCs w:val="22"/>
        </w:rPr>
        <w:t>subkutane</w:t>
      </w:r>
      <w:r w:rsidRPr="00330BB2">
        <w:rPr>
          <w:bCs/>
          <w:sz w:val="22"/>
          <w:szCs w:val="22"/>
        </w:rPr>
        <w:t xml:space="preserve"> injekcije date u abdomen; druga moguća </w:t>
      </w:r>
      <w:r w:rsidR="007B38F0" w:rsidRPr="00330BB2">
        <w:rPr>
          <w:bCs/>
          <w:sz w:val="22"/>
          <w:szCs w:val="22"/>
        </w:rPr>
        <w:t>mjest</w:t>
      </w:r>
      <w:r w:rsidRPr="00330BB2">
        <w:rPr>
          <w:bCs/>
          <w:sz w:val="22"/>
          <w:szCs w:val="22"/>
        </w:rPr>
        <w:t>a prim</w:t>
      </w:r>
      <w:r w:rsidR="007B38F0" w:rsidRPr="00330BB2">
        <w:rPr>
          <w:bCs/>
          <w:sz w:val="22"/>
          <w:szCs w:val="22"/>
        </w:rPr>
        <w:t>j</w:t>
      </w:r>
      <w:r w:rsidRPr="00330BB2">
        <w:rPr>
          <w:bCs/>
          <w:sz w:val="22"/>
          <w:szCs w:val="22"/>
        </w:rPr>
        <w:t>ene uključuju nadlakticu ili butinu. Injekcije se ne sm</w:t>
      </w:r>
      <w:r w:rsidR="007B38F0" w:rsidRPr="00330BB2">
        <w:rPr>
          <w:bCs/>
          <w:sz w:val="22"/>
          <w:szCs w:val="22"/>
        </w:rPr>
        <w:t>i</w:t>
      </w:r>
      <w:r w:rsidRPr="00330BB2">
        <w:rPr>
          <w:bCs/>
          <w:sz w:val="22"/>
          <w:szCs w:val="22"/>
        </w:rPr>
        <w:t>ju prim</w:t>
      </w:r>
      <w:r w:rsidR="007B38F0" w:rsidRPr="00330BB2">
        <w:rPr>
          <w:bCs/>
          <w:sz w:val="22"/>
          <w:szCs w:val="22"/>
        </w:rPr>
        <w:t>j</w:t>
      </w:r>
      <w:r w:rsidRPr="00330BB2">
        <w:rPr>
          <w:bCs/>
          <w:sz w:val="22"/>
          <w:szCs w:val="22"/>
        </w:rPr>
        <w:t xml:space="preserve">enjivati u područjima sa aktivnom bolešću kože ili oštećenjem kao što su opekotine od sunca, kožni osipi, </w:t>
      </w:r>
      <w:r w:rsidR="00855CD0" w:rsidRPr="00330BB2">
        <w:rPr>
          <w:bCs/>
          <w:sz w:val="22"/>
          <w:szCs w:val="22"/>
        </w:rPr>
        <w:t xml:space="preserve">zapanjenje </w:t>
      </w:r>
      <w:r w:rsidRPr="00330BB2">
        <w:rPr>
          <w:bCs/>
          <w:sz w:val="22"/>
          <w:szCs w:val="22"/>
        </w:rPr>
        <w:t>ili infekcije</w:t>
      </w:r>
      <w:r w:rsidR="00855CD0" w:rsidRPr="00330BB2">
        <w:rPr>
          <w:bCs/>
          <w:sz w:val="22"/>
          <w:szCs w:val="22"/>
        </w:rPr>
        <w:t xml:space="preserve"> kože</w:t>
      </w:r>
      <w:r w:rsidRPr="00330BB2">
        <w:rPr>
          <w:bCs/>
          <w:sz w:val="22"/>
          <w:szCs w:val="22"/>
        </w:rPr>
        <w:t>.</w:t>
      </w:r>
    </w:p>
    <w:p w14:paraId="643AE713" w14:textId="77777777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2BFAD54" w14:textId="0DC02849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30BB2">
        <w:rPr>
          <w:bCs/>
          <w:sz w:val="22"/>
          <w:szCs w:val="22"/>
        </w:rPr>
        <w:t>Jedna doza od 284 mg se daje prim</w:t>
      </w:r>
      <w:r w:rsidR="007B38F0" w:rsidRPr="00330BB2">
        <w:rPr>
          <w:bCs/>
          <w:sz w:val="22"/>
          <w:szCs w:val="22"/>
        </w:rPr>
        <w:t>j</w:t>
      </w:r>
      <w:r w:rsidRPr="00330BB2">
        <w:rPr>
          <w:bCs/>
          <w:sz w:val="22"/>
          <w:szCs w:val="22"/>
        </w:rPr>
        <w:t>enom jednog napunjenog injekcionog šprica. Jedan napunjen injekcioni špric je nam</w:t>
      </w:r>
      <w:r w:rsidR="007B38F0" w:rsidRPr="00330BB2">
        <w:rPr>
          <w:bCs/>
          <w:sz w:val="22"/>
          <w:szCs w:val="22"/>
        </w:rPr>
        <w:t>ij</w:t>
      </w:r>
      <w:r w:rsidRPr="00330BB2">
        <w:rPr>
          <w:bCs/>
          <w:sz w:val="22"/>
          <w:szCs w:val="22"/>
        </w:rPr>
        <w:t>enjen samo za jednokratnu prim</w:t>
      </w:r>
      <w:r w:rsidR="007B38F0" w:rsidRPr="00330BB2">
        <w:rPr>
          <w:bCs/>
          <w:sz w:val="22"/>
          <w:szCs w:val="22"/>
        </w:rPr>
        <w:t>j</w:t>
      </w:r>
      <w:r w:rsidRPr="00330BB2">
        <w:rPr>
          <w:bCs/>
          <w:sz w:val="22"/>
          <w:szCs w:val="22"/>
        </w:rPr>
        <w:t>enu.</w:t>
      </w:r>
    </w:p>
    <w:p w14:paraId="4E6938CC" w14:textId="77777777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E2849EE" w14:textId="46712A92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30BB2">
        <w:rPr>
          <w:bCs/>
          <w:sz w:val="22"/>
          <w:szCs w:val="22"/>
        </w:rPr>
        <w:t>Inklisiran treba da prim</w:t>
      </w:r>
      <w:r w:rsidR="007B38F0" w:rsidRPr="00330BB2">
        <w:rPr>
          <w:bCs/>
          <w:sz w:val="22"/>
          <w:szCs w:val="22"/>
        </w:rPr>
        <w:t>j</w:t>
      </w:r>
      <w:r w:rsidRPr="00330BB2">
        <w:rPr>
          <w:bCs/>
          <w:sz w:val="22"/>
          <w:szCs w:val="22"/>
        </w:rPr>
        <w:t>enjuje zdravstveni radnik.</w:t>
      </w:r>
    </w:p>
    <w:p w14:paraId="2D58B564" w14:textId="77777777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D9D1BF1" w14:textId="77777777" w:rsidR="00411B4B" w:rsidRPr="00330BB2" w:rsidRDefault="00411B4B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4.3.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Kontraindikacije</w:t>
      </w:r>
    </w:p>
    <w:p w14:paraId="6F45DA9E" w14:textId="377212DB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E4A3806" w14:textId="78932E16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30BB2">
        <w:rPr>
          <w:bCs/>
          <w:sz w:val="22"/>
          <w:szCs w:val="22"/>
        </w:rPr>
        <w:t>Preos</w:t>
      </w:r>
      <w:r w:rsidR="007B38F0" w:rsidRPr="00330BB2">
        <w:rPr>
          <w:bCs/>
          <w:sz w:val="22"/>
          <w:szCs w:val="22"/>
        </w:rPr>
        <w:t>j</w:t>
      </w:r>
      <w:r w:rsidRPr="00330BB2">
        <w:rPr>
          <w:bCs/>
          <w:sz w:val="22"/>
          <w:szCs w:val="22"/>
        </w:rPr>
        <w:t xml:space="preserve">etljivost na aktivnu supstancu ili na neku od pomoćnih supstanci navedenih u </w:t>
      </w:r>
      <w:r w:rsidR="00C954BF" w:rsidRPr="00330BB2">
        <w:rPr>
          <w:bCs/>
          <w:sz w:val="22"/>
          <w:szCs w:val="22"/>
        </w:rPr>
        <w:t>dijelu</w:t>
      </w:r>
      <w:r w:rsidRPr="00330BB2">
        <w:rPr>
          <w:bCs/>
          <w:sz w:val="22"/>
          <w:szCs w:val="22"/>
        </w:rPr>
        <w:t xml:space="preserve"> 6.1.</w:t>
      </w:r>
    </w:p>
    <w:p w14:paraId="73BB9343" w14:textId="77777777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5E0D914" w14:textId="77777777" w:rsidR="00411B4B" w:rsidRPr="00330BB2" w:rsidRDefault="00411B4B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4.4.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Posebna upozorenja i mjere opreza pri upotrebi lijeka</w:t>
      </w:r>
    </w:p>
    <w:p w14:paraId="7DF4D3DD" w14:textId="77777777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789A0BF" w14:textId="77777777" w:rsidR="00C91DE7" w:rsidRPr="00330BB2" w:rsidRDefault="00C91DE7" w:rsidP="00FA129D">
      <w:pPr>
        <w:keepNext/>
        <w:tabs>
          <w:tab w:val="left" w:pos="284"/>
        </w:tabs>
        <w:jc w:val="both"/>
        <w:outlineLvl w:val="0"/>
        <w:rPr>
          <w:sz w:val="22"/>
          <w:szCs w:val="22"/>
          <w:lang w:val="hr-HR"/>
        </w:rPr>
      </w:pPr>
      <w:r w:rsidRPr="00330BB2">
        <w:rPr>
          <w:sz w:val="22"/>
          <w:szCs w:val="22"/>
          <w:u w:val="single"/>
          <w:lang w:val="hr-HR"/>
        </w:rPr>
        <w:t>Hemodijaliza</w:t>
      </w:r>
    </w:p>
    <w:p w14:paraId="45E867B3" w14:textId="77777777" w:rsidR="00C91DE7" w:rsidRPr="00330BB2" w:rsidRDefault="00C91DE7" w:rsidP="00FA129D">
      <w:pPr>
        <w:keepNext/>
        <w:tabs>
          <w:tab w:val="left" w:pos="284"/>
        </w:tabs>
        <w:jc w:val="both"/>
        <w:outlineLvl w:val="0"/>
        <w:rPr>
          <w:sz w:val="22"/>
          <w:szCs w:val="22"/>
          <w:lang w:val="hr-HR"/>
        </w:rPr>
      </w:pPr>
    </w:p>
    <w:p w14:paraId="7FDF0D39" w14:textId="2CB9DE4A" w:rsidR="00C91DE7" w:rsidRPr="00330BB2" w:rsidRDefault="00C91DE7" w:rsidP="00FA129D">
      <w:pPr>
        <w:tabs>
          <w:tab w:val="left" w:pos="284"/>
        </w:tabs>
        <w:jc w:val="both"/>
        <w:outlineLvl w:val="0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Efekat hemodijalize na farmakokinetiku inklisirana nije ispitivan. Budući da se inklisiran eliminiše putem bubrega, hemodijalizu ne treba vršiti najmanje 72 sata nakon prim</w:t>
      </w:r>
      <w:r w:rsidR="007B38F0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ene inklisirana.</w:t>
      </w:r>
    </w:p>
    <w:p w14:paraId="2B0B43B0" w14:textId="77777777" w:rsidR="00C91DE7" w:rsidRPr="00330BB2" w:rsidRDefault="00C91DE7" w:rsidP="00FA129D">
      <w:pPr>
        <w:tabs>
          <w:tab w:val="left" w:pos="284"/>
        </w:tabs>
        <w:jc w:val="both"/>
        <w:outlineLvl w:val="0"/>
        <w:rPr>
          <w:sz w:val="22"/>
          <w:szCs w:val="22"/>
          <w:lang w:val="hr-HR"/>
        </w:rPr>
      </w:pPr>
    </w:p>
    <w:p w14:paraId="6A3073B4" w14:textId="77777777" w:rsidR="00C91DE7" w:rsidRPr="00330BB2" w:rsidRDefault="00C91DE7" w:rsidP="00FA129D">
      <w:pPr>
        <w:keepNext/>
        <w:tabs>
          <w:tab w:val="left" w:pos="284"/>
        </w:tabs>
        <w:jc w:val="both"/>
        <w:outlineLvl w:val="0"/>
        <w:rPr>
          <w:sz w:val="22"/>
          <w:szCs w:val="22"/>
          <w:lang w:val="hr-HR"/>
        </w:rPr>
      </w:pPr>
      <w:r w:rsidRPr="00330BB2">
        <w:rPr>
          <w:sz w:val="22"/>
          <w:szCs w:val="22"/>
          <w:u w:val="single"/>
          <w:lang w:val="hr-HR"/>
        </w:rPr>
        <w:lastRenderedPageBreak/>
        <w:t>Sadržaj natrijuma</w:t>
      </w:r>
    </w:p>
    <w:p w14:paraId="5FD3A624" w14:textId="77777777" w:rsidR="00C91DE7" w:rsidRPr="00330BB2" w:rsidRDefault="00C91DE7" w:rsidP="00FA129D">
      <w:pPr>
        <w:keepNext/>
        <w:tabs>
          <w:tab w:val="left" w:pos="284"/>
        </w:tabs>
        <w:jc w:val="both"/>
        <w:outlineLvl w:val="0"/>
        <w:rPr>
          <w:sz w:val="22"/>
          <w:szCs w:val="22"/>
          <w:lang w:val="hr-HR"/>
        </w:rPr>
      </w:pPr>
    </w:p>
    <w:p w14:paraId="5599A68B" w14:textId="74E86150" w:rsidR="00C91DE7" w:rsidRPr="00330BB2" w:rsidRDefault="00C91DE7" w:rsidP="00FA129D">
      <w:pPr>
        <w:tabs>
          <w:tab w:val="left" w:pos="284"/>
        </w:tabs>
        <w:jc w:val="both"/>
        <w:outlineLvl w:val="0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Ovaj </w:t>
      </w:r>
      <w:r w:rsidR="007B38F0" w:rsidRPr="00330BB2">
        <w:rPr>
          <w:sz w:val="22"/>
          <w:szCs w:val="22"/>
          <w:lang w:val="hr-HR"/>
        </w:rPr>
        <w:t>lijek</w:t>
      </w:r>
      <w:r w:rsidRPr="00330BB2">
        <w:rPr>
          <w:sz w:val="22"/>
          <w:szCs w:val="22"/>
          <w:lang w:val="hr-HR"/>
        </w:rPr>
        <w:t xml:space="preserve"> sadrži manje od 1 mmol (23 mg) natrijuma po dozi, tj. suštinski je ,,bez natrijumaˮ.</w:t>
      </w:r>
    </w:p>
    <w:p w14:paraId="6740A81D" w14:textId="77777777" w:rsidR="00057E35" w:rsidRPr="00330BB2" w:rsidRDefault="00057E35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7E6010" w14:textId="77777777" w:rsidR="00411B4B" w:rsidRPr="00330BB2" w:rsidRDefault="00411B4B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>4.5.</w:t>
      </w:r>
      <w:r w:rsidR="000D60CC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Interakcije sa drugim ljekovima i druge vrste interakcija</w:t>
      </w:r>
    </w:p>
    <w:p w14:paraId="2938257F" w14:textId="127CA164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D6AB6B3" w14:textId="3A46F9CC" w:rsidR="00C91DE7" w:rsidRPr="00330BB2" w:rsidRDefault="00C91DE7" w:rsidP="00FA129D">
      <w:pPr>
        <w:jc w:val="both"/>
        <w:rPr>
          <w:bCs/>
          <w:sz w:val="22"/>
          <w:szCs w:val="22"/>
        </w:rPr>
      </w:pPr>
      <w:r w:rsidRPr="00330BB2">
        <w:rPr>
          <w:bCs/>
          <w:sz w:val="22"/>
          <w:szCs w:val="22"/>
        </w:rPr>
        <w:t xml:space="preserve">Inklisiran nije supstrat za uobičajene transportere </w:t>
      </w:r>
      <w:r w:rsidR="007B38F0" w:rsidRPr="00330BB2">
        <w:rPr>
          <w:bCs/>
          <w:sz w:val="22"/>
          <w:szCs w:val="22"/>
        </w:rPr>
        <w:t>ljek</w:t>
      </w:r>
      <w:r w:rsidRPr="00330BB2">
        <w:rPr>
          <w:bCs/>
          <w:sz w:val="22"/>
          <w:szCs w:val="22"/>
        </w:rPr>
        <w:t xml:space="preserve">ova </w:t>
      </w:r>
      <w:r w:rsidR="0003218B" w:rsidRPr="00330BB2">
        <w:rPr>
          <w:bCs/>
          <w:sz w:val="22"/>
          <w:szCs w:val="22"/>
        </w:rPr>
        <w:t>pa se</w:t>
      </w:r>
      <w:r w:rsidRPr="00330BB2">
        <w:rPr>
          <w:bCs/>
          <w:sz w:val="22"/>
          <w:szCs w:val="22"/>
        </w:rPr>
        <w:t xml:space="preserve">, iako </w:t>
      </w:r>
      <w:r w:rsidRPr="00330BB2">
        <w:rPr>
          <w:bCs/>
          <w:i/>
          <w:sz w:val="22"/>
          <w:szCs w:val="22"/>
        </w:rPr>
        <w:t>in vitro</w:t>
      </w:r>
      <w:r w:rsidRPr="00330BB2">
        <w:rPr>
          <w:bCs/>
          <w:sz w:val="22"/>
          <w:szCs w:val="22"/>
        </w:rPr>
        <w:t xml:space="preserve"> ispitivanja ni</w:t>
      </w:r>
      <w:r w:rsidR="0003218B" w:rsidRPr="00330BB2">
        <w:rPr>
          <w:bCs/>
          <w:sz w:val="22"/>
          <w:szCs w:val="22"/>
        </w:rPr>
        <w:t>je</w:t>
      </w:r>
      <w:r w:rsidRPr="00330BB2">
        <w:rPr>
          <w:bCs/>
          <w:sz w:val="22"/>
          <w:szCs w:val="22"/>
        </w:rPr>
        <w:t xml:space="preserve">su sprovedena, ne očekuje da je supstrat citohroma P450. Inklisiran nije inhibitor ili induktor enzima citohroma P450 ili uobičajenih transportera </w:t>
      </w:r>
      <w:r w:rsidR="007B38F0" w:rsidRPr="00330BB2">
        <w:rPr>
          <w:bCs/>
          <w:sz w:val="22"/>
          <w:szCs w:val="22"/>
        </w:rPr>
        <w:t>ljek</w:t>
      </w:r>
      <w:r w:rsidRPr="00330BB2">
        <w:rPr>
          <w:bCs/>
          <w:sz w:val="22"/>
          <w:szCs w:val="22"/>
        </w:rPr>
        <w:t xml:space="preserve">ova. Zbog toga se ne očekuje da će inklisiran imati klinički značajne interakcije sa drugim </w:t>
      </w:r>
      <w:r w:rsidR="007B38F0" w:rsidRPr="00330BB2">
        <w:rPr>
          <w:bCs/>
          <w:sz w:val="22"/>
          <w:szCs w:val="22"/>
        </w:rPr>
        <w:t>ljek</w:t>
      </w:r>
      <w:r w:rsidRPr="00330BB2">
        <w:rPr>
          <w:bCs/>
          <w:sz w:val="22"/>
          <w:szCs w:val="22"/>
        </w:rPr>
        <w:t>ovima. Na osnovu ograničenih dostupnih podataka, ne očekuju se klinički relevantne interakcije sa atorvastatinom, rosuvastatinom ili drugim statinima.</w:t>
      </w:r>
    </w:p>
    <w:p w14:paraId="52483E1D" w14:textId="77777777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A035140" w14:textId="77777777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330BB2">
        <w:rPr>
          <w:b/>
          <w:bCs/>
          <w:sz w:val="22"/>
          <w:szCs w:val="22"/>
        </w:rPr>
        <w:t xml:space="preserve">4.6. </w:t>
      </w:r>
      <w:r w:rsidR="00480FB1" w:rsidRPr="00330BB2">
        <w:rPr>
          <w:b/>
          <w:bCs/>
          <w:sz w:val="22"/>
          <w:szCs w:val="22"/>
        </w:rPr>
        <w:tab/>
      </w:r>
      <w:r w:rsidR="006D20A5" w:rsidRPr="00330BB2">
        <w:rPr>
          <w:b/>
          <w:sz w:val="22"/>
          <w:szCs w:val="22"/>
          <w:lang w:val="sr-Latn-CS"/>
        </w:rPr>
        <w:t>Plodnost, trudnoća i dojenje</w:t>
      </w:r>
    </w:p>
    <w:p w14:paraId="538FA3FC" w14:textId="77777777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373A4950" w14:textId="77777777" w:rsidR="007A3ECB" w:rsidRPr="00330BB2" w:rsidRDefault="007A3ECB" w:rsidP="00FA129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330BB2">
        <w:rPr>
          <w:sz w:val="22"/>
          <w:szCs w:val="22"/>
          <w:u w:val="single"/>
        </w:rPr>
        <w:t>Trudnoća</w:t>
      </w:r>
    </w:p>
    <w:p w14:paraId="521B5B9A" w14:textId="04189122" w:rsidR="002031B3" w:rsidRPr="00330BB2" w:rsidRDefault="002031B3" w:rsidP="00FA129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658313CE" w14:textId="3DC5DFD6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Nema podataka ili su podaci o prim</w:t>
      </w:r>
      <w:r w:rsidR="007B38F0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eni inklisirana kod trudnica ograničeni. Ispitivanja izvedena na životinjama ne ukazuju na direktan ili indirektan štetan u</w:t>
      </w:r>
      <w:r w:rsidR="00855CD0" w:rsidRPr="00330BB2">
        <w:rPr>
          <w:sz w:val="22"/>
          <w:szCs w:val="22"/>
          <w:lang w:val="hr-HR"/>
        </w:rPr>
        <w:t>ticaj</w:t>
      </w:r>
      <w:r w:rsidRPr="00330BB2">
        <w:rPr>
          <w:sz w:val="22"/>
          <w:szCs w:val="22"/>
          <w:lang w:val="hr-HR"/>
        </w:rPr>
        <w:t xml:space="preserve"> na reproduktivnu toksičnost (</w:t>
      </w:r>
      <w:r w:rsidR="007B38F0" w:rsidRPr="00330BB2">
        <w:rPr>
          <w:sz w:val="22"/>
          <w:szCs w:val="22"/>
          <w:lang w:val="hr-HR"/>
        </w:rPr>
        <w:t>vidjet</w:t>
      </w:r>
      <w:r w:rsidRPr="00330BB2">
        <w:rPr>
          <w:sz w:val="22"/>
          <w:szCs w:val="22"/>
          <w:lang w:val="hr-HR"/>
        </w:rPr>
        <w:t xml:space="preserve">i </w:t>
      </w:r>
      <w:r w:rsidR="00C954BF" w:rsidRPr="00330BB2">
        <w:rPr>
          <w:sz w:val="22"/>
          <w:szCs w:val="22"/>
          <w:lang w:val="hr-HR"/>
        </w:rPr>
        <w:t>dio</w:t>
      </w:r>
      <w:r w:rsidRPr="00330BB2">
        <w:rPr>
          <w:sz w:val="22"/>
          <w:szCs w:val="22"/>
          <w:lang w:val="hr-HR"/>
        </w:rPr>
        <w:t> 5.3). Kao m</w:t>
      </w:r>
      <w:r w:rsidR="007B38F0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era opreza, preporučuje se izb</w:t>
      </w:r>
      <w:r w:rsidR="007B38F0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egavanje prim</w:t>
      </w:r>
      <w:r w:rsidR="007B38F0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ene inklisirana tokom trudnoće.</w:t>
      </w:r>
    </w:p>
    <w:p w14:paraId="3D848052" w14:textId="77777777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7E95FF1B" w14:textId="62E0FEB6" w:rsidR="0072020E" w:rsidRPr="00330BB2" w:rsidRDefault="007A3ECB" w:rsidP="00FA129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330BB2">
        <w:rPr>
          <w:sz w:val="22"/>
          <w:szCs w:val="22"/>
          <w:u w:val="single"/>
        </w:rPr>
        <w:t xml:space="preserve">Dojenje </w:t>
      </w:r>
    </w:p>
    <w:p w14:paraId="6C988679" w14:textId="16D1042F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7D7AC9E1" w14:textId="14F8AAB4" w:rsidR="00DD3753" w:rsidRPr="00330BB2" w:rsidRDefault="00DD3753" w:rsidP="00DD3753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Nije poznato da li se inklisiran izlučuje u majčino m</w:t>
      </w:r>
      <w:r w:rsidR="007B38F0" w:rsidRPr="00330BB2">
        <w:rPr>
          <w:sz w:val="22"/>
          <w:szCs w:val="22"/>
          <w:lang w:val="hr-HR"/>
        </w:rPr>
        <w:t>lijek</w:t>
      </w:r>
      <w:r w:rsidRPr="00330BB2">
        <w:rPr>
          <w:sz w:val="22"/>
          <w:szCs w:val="22"/>
          <w:lang w:val="hr-HR"/>
        </w:rPr>
        <w:t>o. Dostupni farmakodinamski/toksikološki podaci kod životinja pokazuju da se inklisiran izlučuje u majčino m</w:t>
      </w:r>
      <w:r w:rsidR="007B38F0" w:rsidRPr="00330BB2">
        <w:rPr>
          <w:sz w:val="22"/>
          <w:szCs w:val="22"/>
          <w:lang w:val="hr-HR"/>
        </w:rPr>
        <w:t>lijek</w:t>
      </w:r>
      <w:r w:rsidRPr="00330BB2">
        <w:rPr>
          <w:sz w:val="22"/>
          <w:szCs w:val="22"/>
          <w:lang w:val="hr-HR"/>
        </w:rPr>
        <w:t>o (</w:t>
      </w:r>
      <w:r w:rsidR="007B38F0" w:rsidRPr="00330BB2">
        <w:rPr>
          <w:sz w:val="22"/>
          <w:szCs w:val="22"/>
          <w:lang w:val="hr-HR"/>
        </w:rPr>
        <w:t>vidjet</w:t>
      </w:r>
      <w:r w:rsidRPr="00330BB2">
        <w:rPr>
          <w:sz w:val="22"/>
          <w:szCs w:val="22"/>
          <w:lang w:val="hr-HR"/>
        </w:rPr>
        <w:t>i </w:t>
      </w:r>
      <w:r w:rsidR="00C954BF" w:rsidRPr="00330BB2">
        <w:rPr>
          <w:sz w:val="22"/>
          <w:szCs w:val="22"/>
          <w:lang w:val="hr-HR"/>
        </w:rPr>
        <w:t>dio</w:t>
      </w:r>
      <w:r w:rsidRPr="00330BB2">
        <w:rPr>
          <w:sz w:val="22"/>
          <w:szCs w:val="22"/>
          <w:lang w:val="hr-HR"/>
        </w:rPr>
        <w:t xml:space="preserve"> 5.3). </w:t>
      </w:r>
      <w:r w:rsidRPr="00330BB2">
        <w:rPr>
          <w:rFonts w:eastAsia="SimSun"/>
          <w:color w:val="000000"/>
          <w:sz w:val="22"/>
          <w:szCs w:val="22"/>
          <w:lang w:val="hr-HR" w:eastAsia="zh-CN"/>
        </w:rPr>
        <w:t>Ne može se isključiti rizik za novorođenče/odojče.</w:t>
      </w:r>
    </w:p>
    <w:p w14:paraId="6A9FC10F" w14:textId="77777777" w:rsidR="00DD3753" w:rsidRPr="00330BB2" w:rsidRDefault="00DD3753" w:rsidP="00DD3753">
      <w:p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5B6898AE" w14:textId="6F70E129" w:rsidR="00227BDB" w:rsidRPr="00330BB2" w:rsidRDefault="00DD3753" w:rsidP="00DD3753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Potrebno je odlučiti da li treba prekinuti dojenje ili prekinuti </w:t>
      </w:r>
      <w:r w:rsidR="007B38F0" w:rsidRPr="00330BB2">
        <w:rPr>
          <w:sz w:val="22"/>
          <w:szCs w:val="22"/>
          <w:lang w:val="hr-HR"/>
        </w:rPr>
        <w:t>liječ</w:t>
      </w:r>
      <w:r w:rsidRPr="00330BB2">
        <w:rPr>
          <w:sz w:val="22"/>
          <w:szCs w:val="22"/>
          <w:lang w:val="hr-HR"/>
        </w:rPr>
        <w:t xml:space="preserve">enje/suzdržati se od </w:t>
      </w:r>
      <w:r w:rsidR="007B38F0" w:rsidRPr="00330BB2">
        <w:rPr>
          <w:sz w:val="22"/>
          <w:szCs w:val="22"/>
          <w:lang w:val="hr-HR"/>
        </w:rPr>
        <w:t>liječ</w:t>
      </w:r>
      <w:r w:rsidRPr="00330BB2">
        <w:rPr>
          <w:sz w:val="22"/>
          <w:szCs w:val="22"/>
          <w:lang w:val="hr-HR"/>
        </w:rPr>
        <w:t>enja inklisiranom, uzimajući u obzir korist dojenja za d</w:t>
      </w:r>
      <w:r w:rsidR="007B38F0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 xml:space="preserve">ete i korist </w:t>
      </w:r>
      <w:r w:rsidR="007B38F0" w:rsidRPr="00330BB2">
        <w:rPr>
          <w:sz w:val="22"/>
          <w:szCs w:val="22"/>
          <w:lang w:val="hr-HR"/>
        </w:rPr>
        <w:t>liječ</w:t>
      </w:r>
      <w:r w:rsidRPr="00330BB2">
        <w:rPr>
          <w:sz w:val="22"/>
          <w:szCs w:val="22"/>
          <w:lang w:val="hr-HR"/>
        </w:rPr>
        <w:t>enja za ženu.</w:t>
      </w:r>
    </w:p>
    <w:p w14:paraId="6EF9562C" w14:textId="279B104D" w:rsidR="00C91DE7" w:rsidRPr="00330BB2" w:rsidRDefault="00C91DE7" w:rsidP="00FA129D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</w:p>
    <w:p w14:paraId="617B53FC" w14:textId="77777777" w:rsidR="00DD3753" w:rsidRPr="00330BB2" w:rsidRDefault="00DD3753" w:rsidP="00DD3753">
      <w:pPr>
        <w:keepNext/>
        <w:rPr>
          <w:sz w:val="22"/>
          <w:szCs w:val="22"/>
          <w:lang w:val="hr-HR"/>
        </w:rPr>
      </w:pPr>
      <w:r w:rsidRPr="00330BB2">
        <w:rPr>
          <w:sz w:val="22"/>
          <w:szCs w:val="22"/>
          <w:u w:val="single"/>
          <w:lang w:val="hr-HR"/>
        </w:rPr>
        <w:t>Plodnost</w:t>
      </w:r>
    </w:p>
    <w:p w14:paraId="5351E521" w14:textId="77777777" w:rsidR="00DD3753" w:rsidRPr="00330BB2" w:rsidRDefault="00DD3753" w:rsidP="00DD3753">
      <w:pPr>
        <w:keepNext/>
        <w:rPr>
          <w:sz w:val="22"/>
          <w:szCs w:val="22"/>
          <w:lang w:val="hr-HR"/>
        </w:rPr>
      </w:pPr>
    </w:p>
    <w:p w14:paraId="07D00320" w14:textId="6C12B42D" w:rsidR="00DD3753" w:rsidRPr="00330BB2" w:rsidRDefault="00DD3753" w:rsidP="00DD3753">
      <w:pPr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Nema dostupnih podataka o uticaju inklisirana na plodnost kod ljudi. Ispitivanja izvedena na životinjama ni</w:t>
      </w:r>
      <w:r w:rsidR="0003218B" w:rsidRPr="00330BB2">
        <w:rPr>
          <w:sz w:val="22"/>
          <w:szCs w:val="22"/>
          <w:lang w:val="hr-HR"/>
        </w:rPr>
        <w:t>je</w:t>
      </w:r>
      <w:r w:rsidRPr="00330BB2">
        <w:rPr>
          <w:sz w:val="22"/>
          <w:szCs w:val="22"/>
          <w:lang w:val="hr-HR"/>
        </w:rPr>
        <w:t>su pokazala bilo kakav uticaj na plodnost (</w:t>
      </w:r>
      <w:r w:rsidR="007B38F0" w:rsidRPr="00330BB2">
        <w:rPr>
          <w:sz w:val="22"/>
          <w:szCs w:val="22"/>
          <w:lang w:val="hr-HR"/>
        </w:rPr>
        <w:t>vidjet</w:t>
      </w:r>
      <w:r w:rsidRPr="00330BB2">
        <w:rPr>
          <w:sz w:val="22"/>
          <w:szCs w:val="22"/>
          <w:lang w:val="hr-HR"/>
        </w:rPr>
        <w:t xml:space="preserve">i </w:t>
      </w:r>
      <w:r w:rsidR="00C954BF" w:rsidRPr="00330BB2">
        <w:rPr>
          <w:sz w:val="22"/>
          <w:szCs w:val="22"/>
          <w:lang w:val="hr-HR"/>
        </w:rPr>
        <w:t>dio</w:t>
      </w:r>
      <w:r w:rsidRPr="00330BB2">
        <w:rPr>
          <w:sz w:val="22"/>
          <w:szCs w:val="22"/>
          <w:lang w:val="hr-HR"/>
        </w:rPr>
        <w:t> 5.3).</w:t>
      </w:r>
    </w:p>
    <w:p w14:paraId="2AC5D916" w14:textId="04D6ED87" w:rsidR="00C91DE7" w:rsidRPr="00330BB2" w:rsidRDefault="00C91DE7" w:rsidP="00FA129D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</w:p>
    <w:p w14:paraId="56B63E60" w14:textId="77777777" w:rsidR="0072020E" w:rsidRPr="00330BB2" w:rsidRDefault="0072020E" w:rsidP="00FA129D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4.7.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 xml:space="preserve">Uticaj na </w:t>
      </w:r>
      <w:r w:rsidR="002031B3" w:rsidRPr="00330BB2">
        <w:rPr>
          <w:b/>
          <w:bCs/>
          <w:sz w:val="22"/>
          <w:szCs w:val="22"/>
        </w:rPr>
        <w:t xml:space="preserve">sposobnost </w:t>
      </w:r>
      <w:r w:rsidR="00F34554" w:rsidRPr="00330BB2">
        <w:rPr>
          <w:b/>
          <w:bCs/>
          <w:sz w:val="22"/>
          <w:szCs w:val="22"/>
        </w:rPr>
        <w:t>upravljanja vozili</w:t>
      </w:r>
      <w:r w:rsidRPr="00330BB2">
        <w:rPr>
          <w:b/>
          <w:bCs/>
          <w:sz w:val="22"/>
          <w:szCs w:val="22"/>
        </w:rPr>
        <w:t>m</w:t>
      </w:r>
      <w:r w:rsidR="00F34554" w:rsidRPr="00330BB2">
        <w:rPr>
          <w:b/>
          <w:bCs/>
          <w:sz w:val="22"/>
          <w:szCs w:val="22"/>
        </w:rPr>
        <w:t>a</w:t>
      </w:r>
      <w:r w:rsidRPr="00330BB2">
        <w:rPr>
          <w:b/>
          <w:bCs/>
          <w:sz w:val="22"/>
          <w:szCs w:val="22"/>
        </w:rPr>
        <w:t xml:space="preserve"> i </w:t>
      </w:r>
      <w:r w:rsidR="000D3449" w:rsidRPr="00330BB2">
        <w:rPr>
          <w:b/>
          <w:bCs/>
          <w:sz w:val="22"/>
          <w:szCs w:val="22"/>
        </w:rPr>
        <w:t xml:space="preserve">rukovanje </w:t>
      </w:r>
      <w:r w:rsidRPr="00330BB2">
        <w:rPr>
          <w:b/>
          <w:bCs/>
          <w:sz w:val="22"/>
          <w:szCs w:val="22"/>
        </w:rPr>
        <w:t>mašinama</w:t>
      </w:r>
    </w:p>
    <w:p w14:paraId="2883C9AF" w14:textId="2FA29724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2222C1B0" w14:textId="74D738D0" w:rsidR="00C91DE7" w:rsidRPr="00330BB2" w:rsidRDefault="007B38F0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Lijek</w:t>
      </w:r>
      <w:r w:rsidR="00C91DE7" w:rsidRPr="00330BB2">
        <w:rPr>
          <w:sz w:val="22"/>
          <w:szCs w:val="22"/>
          <w:lang w:val="hr-HR"/>
        </w:rPr>
        <w:t xml:space="preserve"> Leqvio ne utiče ili ima zanemarljiv uticaj na sposobnost upravljanja vozilima i rukovanja mašinama.</w:t>
      </w:r>
    </w:p>
    <w:p w14:paraId="0B8D1799" w14:textId="77777777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2DD0C20" w14:textId="77777777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4.8.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Neželjena dejstva</w:t>
      </w:r>
    </w:p>
    <w:p w14:paraId="55270163" w14:textId="70560F0F" w:rsidR="004E70AD" w:rsidRPr="00330BB2" w:rsidRDefault="004E70AD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E50BD92" w14:textId="0D8FFD68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hr-HR"/>
        </w:rPr>
      </w:pPr>
      <w:r w:rsidRPr="00330BB2">
        <w:rPr>
          <w:sz w:val="22"/>
          <w:szCs w:val="22"/>
          <w:u w:val="single"/>
          <w:lang w:val="hr-HR"/>
        </w:rPr>
        <w:t xml:space="preserve">Sažetak </w:t>
      </w:r>
      <w:r w:rsidR="007B38F0" w:rsidRPr="00330BB2">
        <w:rPr>
          <w:sz w:val="22"/>
          <w:szCs w:val="22"/>
          <w:u w:val="single"/>
          <w:lang w:val="hr-HR"/>
        </w:rPr>
        <w:t>bezbjed</w:t>
      </w:r>
      <w:r w:rsidRPr="00330BB2">
        <w:rPr>
          <w:sz w:val="22"/>
          <w:szCs w:val="22"/>
          <w:u w:val="single"/>
          <w:lang w:val="hr-HR"/>
        </w:rPr>
        <w:t>nosnog profila</w:t>
      </w:r>
    </w:p>
    <w:p w14:paraId="0A8566CE" w14:textId="77777777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3AC59B5E" w14:textId="0FFE1EA9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Jedina neželjena dejstva povezana sa inklisiranom su bila neželjena dejstva na </w:t>
      </w:r>
      <w:r w:rsidR="007B38F0" w:rsidRPr="00330BB2">
        <w:rPr>
          <w:sz w:val="22"/>
          <w:szCs w:val="22"/>
          <w:lang w:val="hr-HR"/>
        </w:rPr>
        <w:t>mjest</w:t>
      </w:r>
      <w:r w:rsidRPr="00330BB2">
        <w:rPr>
          <w:sz w:val="22"/>
          <w:szCs w:val="22"/>
          <w:lang w:val="hr-HR"/>
        </w:rPr>
        <w:t xml:space="preserve">u </w:t>
      </w:r>
      <w:r w:rsidR="009014D6" w:rsidRPr="00330BB2">
        <w:rPr>
          <w:sz w:val="22"/>
          <w:szCs w:val="22"/>
          <w:lang w:val="hr-HR"/>
        </w:rPr>
        <w:t>primjen</w:t>
      </w:r>
      <w:r w:rsidRPr="00330BB2">
        <w:rPr>
          <w:sz w:val="22"/>
          <w:szCs w:val="22"/>
          <w:lang w:val="hr-HR"/>
        </w:rPr>
        <w:t>e injekcije (8,2%).</w:t>
      </w:r>
    </w:p>
    <w:p w14:paraId="49E63745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1FE32EE8" w14:textId="4FE9DE1A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hr-HR"/>
        </w:rPr>
      </w:pPr>
      <w:r w:rsidRPr="00330BB2">
        <w:rPr>
          <w:sz w:val="22"/>
          <w:szCs w:val="22"/>
          <w:u w:val="single"/>
          <w:lang w:val="hr-HR"/>
        </w:rPr>
        <w:t xml:space="preserve">Tabelarni prikaz neželjenih </w:t>
      </w:r>
      <w:r w:rsidR="00C72551" w:rsidRPr="00330BB2">
        <w:rPr>
          <w:sz w:val="22"/>
          <w:szCs w:val="22"/>
          <w:u w:val="single"/>
          <w:lang w:val="hr-HR"/>
        </w:rPr>
        <w:t>reakcija</w:t>
      </w:r>
    </w:p>
    <w:p w14:paraId="698B2FC7" w14:textId="77777777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1BB4D9A9" w14:textId="5D4E8E55" w:rsidR="00C91DE7" w:rsidRPr="00330BB2" w:rsidRDefault="00C72551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30BB2">
        <w:rPr>
          <w:sz w:val="22"/>
          <w:szCs w:val="22"/>
          <w:lang w:val="hr-HR"/>
        </w:rPr>
        <w:t xml:space="preserve">Neželjene reakcije </w:t>
      </w:r>
      <w:r w:rsidR="00C91DE7" w:rsidRPr="00330BB2">
        <w:rPr>
          <w:sz w:val="22"/>
          <w:szCs w:val="22"/>
          <w:lang w:val="hr-HR"/>
        </w:rPr>
        <w:t xml:space="preserve">su </w:t>
      </w:r>
      <w:r w:rsidRPr="00330BB2">
        <w:rPr>
          <w:sz w:val="22"/>
          <w:szCs w:val="22"/>
          <w:lang w:val="hr-HR"/>
        </w:rPr>
        <w:t xml:space="preserve">navedene </w:t>
      </w:r>
      <w:r w:rsidR="00C91DE7" w:rsidRPr="00330BB2">
        <w:rPr>
          <w:sz w:val="22"/>
          <w:szCs w:val="22"/>
          <w:lang w:val="hr-HR"/>
        </w:rPr>
        <w:t>prema klasifikaciji sistema organa (Tabela 1).</w:t>
      </w:r>
      <w:r w:rsidR="00C91DE7" w:rsidRPr="00330BB2">
        <w:rPr>
          <w:sz w:val="22"/>
          <w:szCs w:val="22"/>
        </w:rPr>
        <w:t xml:space="preserve"> Kategorija učestalosti definisana </w:t>
      </w:r>
      <w:r w:rsidRPr="00330BB2">
        <w:rPr>
          <w:sz w:val="22"/>
          <w:szCs w:val="22"/>
        </w:rPr>
        <w:t xml:space="preserve">je </w:t>
      </w:r>
      <w:r w:rsidR="00C91DE7" w:rsidRPr="00330BB2">
        <w:rPr>
          <w:sz w:val="22"/>
          <w:szCs w:val="22"/>
        </w:rPr>
        <w:t>na sl</w:t>
      </w:r>
      <w:r w:rsidR="007B38F0" w:rsidRPr="00330BB2">
        <w:rPr>
          <w:sz w:val="22"/>
          <w:szCs w:val="22"/>
        </w:rPr>
        <w:t>j</w:t>
      </w:r>
      <w:r w:rsidR="00C91DE7" w:rsidRPr="00330BB2">
        <w:rPr>
          <w:sz w:val="22"/>
          <w:szCs w:val="22"/>
        </w:rPr>
        <w:t>edeći način: veoma čest</w:t>
      </w:r>
      <w:r w:rsidR="0003218B" w:rsidRPr="00330BB2">
        <w:rPr>
          <w:sz w:val="22"/>
          <w:szCs w:val="22"/>
        </w:rPr>
        <w:t>a</w:t>
      </w:r>
      <w:r w:rsidR="00C91DE7" w:rsidRPr="00330BB2">
        <w:rPr>
          <w:sz w:val="22"/>
          <w:szCs w:val="22"/>
        </w:rPr>
        <w:t xml:space="preserve"> (≥</w:t>
      </w:r>
      <w:r w:rsidR="00855CD0" w:rsidRPr="00330BB2">
        <w:rPr>
          <w:sz w:val="22"/>
          <w:szCs w:val="22"/>
        </w:rPr>
        <w:t xml:space="preserve"> </w:t>
      </w:r>
      <w:r w:rsidR="00C91DE7" w:rsidRPr="00330BB2">
        <w:rPr>
          <w:sz w:val="22"/>
          <w:szCs w:val="22"/>
        </w:rPr>
        <w:t>1/10), čest</w:t>
      </w:r>
      <w:r w:rsidR="0003218B" w:rsidRPr="00330BB2">
        <w:rPr>
          <w:sz w:val="22"/>
          <w:szCs w:val="22"/>
        </w:rPr>
        <w:t>a</w:t>
      </w:r>
      <w:r w:rsidR="00C91DE7" w:rsidRPr="00330BB2">
        <w:rPr>
          <w:sz w:val="22"/>
          <w:szCs w:val="22"/>
        </w:rPr>
        <w:t xml:space="preserve"> (≥</w:t>
      </w:r>
      <w:r w:rsidR="00855CD0" w:rsidRPr="00330BB2">
        <w:rPr>
          <w:sz w:val="22"/>
          <w:szCs w:val="22"/>
        </w:rPr>
        <w:t xml:space="preserve"> </w:t>
      </w:r>
      <w:r w:rsidR="00C91DE7" w:rsidRPr="00330BB2">
        <w:rPr>
          <w:sz w:val="22"/>
          <w:szCs w:val="22"/>
        </w:rPr>
        <w:t>1/100 do &lt;</w:t>
      </w:r>
      <w:r w:rsidR="00855CD0" w:rsidRPr="00330BB2">
        <w:rPr>
          <w:sz w:val="22"/>
          <w:szCs w:val="22"/>
        </w:rPr>
        <w:t xml:space="preserve"> </w:t>
      </w:r>
      <w:r w:rsidR="00C91DE7" w:rsidRPr="00330BB2">
        <w:rPr>
          <w:sz w:val="22"/>
          <w:szCs w:val="22"/>
        </w:rPr>
        <w:t>1/10), povremen</w:t>
      </w:r>
      <w:r w:rsidR="0003218B" w:rsidRPr="00330BB2">
        <w:rPr>
          <w:sz w:val="22"/>
          <w:szCs w:val="22"/>
        </w:rPr>
        <w:t>a</w:t>
      </w:r>
      <w:r w:rsidR="00C91DE7" w:rsidRPr="00330BB2">
        <w:rPr>
          <w:sz w:val="22"/>
          <w:szCs w:val="22"/>
        </w:rPr>
        <w:t xml:space="preserve"> (≥</w:t>
      </w:r>
      <w:r w:rsidR="00855CD0" w:rsidRPr="00330BB2">
        <w:rPr>
          <w:sz w:val="22"/>
          <w:szCs w:val="22"/>
        </w:rPr>
        <w:t xml:space="preserve"> </w:t>
      </w:r>
      <w:r w:rsidR="00C91DE7" w:rsidRPr="00330BB2">
        <w:rPr>
          <w:sz w:val="22"/>
          <w:szCs w:val="22"/>
        </w:rPr>
        <w:t>1/1000 do &lt;</w:t>
      </w:r>
      <w:r w:rsidR="00855CD0" w:rsidRPr="00330BB2">
        <w:rPr>
          <w:sz w:val="22"/>
          <w:szCs w:val="22"/>
        </w:rPr>
        <w:t xml:space="preserve"> </w:t>
      </w:r>
      <w:r w:rsidR="00C91DE7" w:rsidRPr="00330BB2">
        <w:rPr>
          <w:sz w:val="22"/>
          <w:szCs w:val="22"/>
        </w:rPr>
        <w:t xml:space="preserve">1/100), </w:t>
      </w:r>
      <w:r w:rsidR="007B38F0" w:rsidRPr="00330BB2">
        <w:rPr>
          <w:sz w:val="22"/>
          <w:szCs w:val="22"/>
        </w:rPr>
        <w:t>rijetk</w:t>
      </w:r>
      <w:r w:rsidR="0003218B" w:rsidRPr="00330BB2">
        <w:rPr>
          <w:sz w:val="22"/>
          <w:szCs w:val="22"/>
        </w:rPr>
        <w:t>a</w:t>
      </w:r>
      <w:r w:rsidR="00C91DE7" w:rsidRPr="00330BB2">
        <w:rPr>
          <w:sz w:val="22"/>
          <w:szCs w:val="22"/>
        </w:rPr>
        <w:t xml:space="preserve"> (≥</w:t>
      </w:r>
      <w:r w:rsidR="00855CD0" w:rsidRPr="00330BB2">
        <w:rPr>
          <w:sz w:val="22"/>
          <w:szCs w:val="22"/>
        </w:rPr>
        <w:t xml:space="preserve"> </w:t>
      </w:r>
      <w:r w:rsidR="00C91DE7" w:rsidRPr="00330BB2">
        <w:rPr>
          <w:sz w:val="22"/>
          <w:szCs w:val="22"/>
        </w:rPr>
        <w:t>1/10000 do &lt;</w:t>
      </w:r>
      <w:r w:rsidR="00855CD0" w:rsidRPr="00330BB2">
        <w:rPr>
          <w:sz w:val="22"/>
          <w:szCs w:val="22"/>
        </w:rPr>
        <w:t xml:space="preserve"> </w:t>
      </w:r>
      <w:r w:rsidR="00C91DE7" w:rsidRPr="00330BB2">
        <w:rPr>
          <w:sz w:val="22"/>
          <w:szCs w:val="22"/>
        </w:rPr>
        <w:t xml:space="preserve">1/1000), veoma </w:t>
      </w:r>
      <w:r w:rsidR="007B38F0" w:rsidRPr="00330BB2">
        <w:rPr>
          <w:sz w:val="22"/>
          <w:szCs w:val="22"/>
        </w:rPr>
        <w:t>rijetk</w:t>
      </w:r>
      <w:r w:rsidR="00C91DE7" w:rsidRPr="00330BB2">
        <w:rPr>
          <w:sz w:val="22"/>
          <w:szCs w:val="22"/>
        </w:rPr>
        <w:t>o (&lt;</w:t>
      </w:r>
      <w:r w:rsidR="00855CD0" w:rsidRPr="00330BB2">
        <w:rPr>
          <w:sz w:val="22"/>
          <w:szCs w:val="22"/>
        </w:rPr>
        <w:t xml:space="preserve"> </w:t>
      </w:r>
      <w:r w:rsidR="00C91DE7" w:rsidRPr="00330BB2">
        <w:rPr>
          <w:sz w:val="22"/>
          <w:szCs w:val="22"/>
        </w:rPr>
        <w:t>1/10000) i nepoznato (ne može se proc</w:t>
      </w:r>
      <w:r w:rsidR="007B38F0" w:rsidRPr="00330BB2">
        <w:rPr>
          <w:sz w:val="22"/>
          <w:szCs w:val="22"/>
        </w:rPr>
        <w:t>ij</w:t>
      </w:r>
      <w:r w:rsidR="00C91DE7" w:rsidRPr="00330BB2">
        <w:rPr>
          <w:sz w:val="22"/>
          <w:szCs w:val="22"/>
        </w:rPr>
        <w:t>eniti na osnovu dostupnih podataka).</w:t>
      </w:r>
    </w:p>
    <w:p w14:paraId="040EDF3F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2515CCC8" w14:textId="77777777" w:rsidR="00330BB2" w:rsidRDefault="00330BB2" w:rsidP="00FA129D">
      <w:pPr>
        <w:keepNext/>
        <w:keepLines/>
        <w:spacing w:line="260" w:lineRule="exact"/>
        <w:jc w:val="both"/>
        <w:rPr>
          <w:b/>
          <w:bCs/>
          <w:sz w:val="22"/>
          <w:szCs w:val="22"/>
          <w:lang w:val="hr-HR"/>
        </w:rPr>
      </w:pPr>
    </w:p>
    <w:p w14:paraId="7F66BAC7" w14:textId="77777777" w:rsidR="00330BB2" w:rsidRDefault="00330BB2" w:rsidP="00FA129D">
      <w:pPr>
        <w:keepNext/>
        <w:keepLines/>
        <w:spacing w:line="260" w:lineRule="exact"/>
        <w:jc w:val="both"/>
        <w:rPr>
          <w:b/>
          <w:bCs/>
          <w:sz w:val="22"/>
          <w:szCs w:val="22"/>
          <w:lang w:val="hr-HR"/>
        </w:rPr>
      </w:pPr>
    </w:p>
    <w:p w14:paraId="458BED6B" w14:textId="77777777" w:rsidR="00330BB2" w:rsidRDefault="00330BB2" w:rsidP="00FA129D">
      <w:pPr>
        <w:keepNext/>
        <w:keepLines/>
        <w:spacing w:line="260" w:lineRule="exact"/>
        <w:jc w:val="both"/>
        <w:rPr>
          <w:b/>
          <w:bCs/>
          <w:sz w:val="22"/>
          <w:szCs w:val="22"/>
          <w:lang w:val="hr-HR"/>
        </w:rPr>
      </w:pPr>
    </w:p>
    <w:p w14:paraId="455E3363" w14:textId="01CCF00B" w:rsidR="00C91DE7" w:rsidRPr="00330BB2" w:rsidRDefault="00330BB2" w:rsidP="00FA129D">
      <w:pPr>
        <w:keepNext/>
        <w:keepLines/>
        <w:spacing w:line="260" w:lineRule="exact"/>
        <w:jc w:val="both"/>
        <w:rPr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Tabela 1 </w:t>
      </w:r>
      <w:r w:rsidR="00C72551" w:rsidRPr="00330BB2">
        <w:rPr>
          <w:b/>
          <w:bCs/>
          <w:sz w:val="22"/>
          <w:szCs w:val="22"/>
          <w:lang w:val="hr-HR"/>
        </w:rPr>
        <w:t xml:space="preserve">Neželjene reakcije prijavljene </w:t>
      </w:r>
      <w:r w:rsidR="00C91DE7" w:rsidRPr="00330BB2">
        <w:rPr>
          <w:b/>
          <w:bCs/>
          <w:sz w:val="22"/>
          <w:szCs w:val="22"/>
          <w:lang w:val="hr-HR"/>
        </w:rPr>
        <w:t xml:space="preserve">kod pacijenata </w:t>
      </w:r>
      <w:r w:rsidR="007B38F0" w:rsidRPr="00330BB2">
        <w:rPr>
          <w:b/>
          <w:bCs/>
          <w:sz w:val="22"/>
          <w:szCs w:val="22"/>
          <w:lang w:val="hr-HR"/>
        </w:rPr>
        <w:t>liječ</w:t>
      </w:r>
      <w:r w:rsidR="00C91DE7" w:rsidRPr="00330BB2">
        <w:rPr>
          <w:b/>
          <w:bCs/>
          <w:sz w:val="22"/>
          <w:szCs w:val="22"/>
          <w:lang w:val="hr-HR"/>
        </w:rPr>
        <w:t>enih inklisiranom</w:t>
      </w:r>
    </w:p>
    <w:p w14:paraId="308CA59E" w14:textId="02DEDB92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005"/>
      </w:tblGrid>
      <w:tr w:rsidR="00C91DE7" w:rsidRPr="00330BB2" w14:paraId="2BE4DAC2" w14:textId="77777777" w:rsidTr="007B38F0">
        <w:trPr>
          <w:cantSplit/>
        </w:trPr>
        <w:tc>
          <w:tcPr>
            <w:tcW w:w="3227" w:type="dxa"/>
            <w:shd w:val="clear" w:color="auto" w:fill="auto"/>
          </w:tcPr>
          <w:p w14:paraId="1F458C36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t>Klasifikacija organskih sistema</w:t>
            </w:r>
          </w:p>
        </w:tc>
        <w:tc>
          <w:tcPr>
            <w:tcW w:w="2835" w:type="dxa"/>
            <w:shd w:val="clear" w:color="auto" w:fill="auto"/>
          </w:tcPr>
          <w:p w14:paraId="4A20B208" w14:textId="7ABD9FB7" w:rsidR="00C91DE7" w:rsidRPr="00330BB2" w:rsidRDefault="00C72551" w:rsidP="00C72551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t>Neželjene reakcije</w:t>
            </w:r>
          </w:p>
        </w:tc>
        <w:tc>
          <w:tcPr>
            <w:tcW w:w="3005" w:type="dxa"/>
            <w:shd w:val="clear" w:color="auto" w:fill="auto"/>
          </w:tcPr>
          <w:p w14:paraId="635AC282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t>Kategorija učestalosti</w:t>
            </w:r>
          </w:p>
        </w:tc>
      </w:tr>
      <w:tr w:rsidR="00C91DE7" w:rsidRPr="00330BB2" w14:paraId="351EE939" w14:textId="77777777" w:rsidTr="007B38F0">
        <w:trPr>
          <w:cantSplit/>
        </w:trPr>
        <w:tc>
          <w:tcPr>
            <w:tcW w:w="3227" w:type="dxa"/>
            <w:shd w:val="clear" w:color="auto" w:fill="auto"/>
          </w:tcPr>
          <w:p w14:paraId="05A8FCAD" w14:textId="77777777" w:rsidR="00C91DE7" w:rsidRPr="00330BB2" w:rsidRDefault="00C91DE7" w:rsidP="00FA129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30BB2">
              <w:rPr>
                <w:color w:val="000000"/>
                <w:sz w:val="22"/>
                <w:szCs w:val="22"/>
              </w:rPr>
              <w:t xml:space="preserve">Opšti poremećaji i </w:t>
            </w:r>
          </w:p>
          <w:p w14:paraId="3EF2352A" w14:textId="27F90FE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</w:rPr>
              <w:t xml:space="preserve">reakcije na </w:t>
            </w:r>
            <w:r w:rsidR="007B38F0" w:rsidRPr="00330BB2">
              <w:rPr>
                <w:sz w:val="22"/>
                <w:szCs w:val="22"/>
              </w:rPr>
              <w:t>mjest</w:t>
            </w:r>
            <w:r w:rsidRPr="00330BB2">
              <w:rPr>
                <w:sz w:val="22"/>
                <w:szCs w:val="22"/>
              </w:rPr>
              <w:t>u prim</w:t>
            </w:r>
            <w:r w:rsidR="007B38F0" w:rsidRPr="00330BB2">
              <w:rPr>
                <w:sz w:val="22"/>
                <w:szCs w:val="22"/>
              </w:rPr>
              <w:t>j</w:t>
            </w:r>
            <w:r w:rsidRPr="00330BB2">
              <w:rPr>
                <w:sz w:val="22"/>
                <w:szCs w:val="22"/>
              </w:rPr>
              <w:t xml:space="preserve">ene </w:t>
            </w:r>
          </w:p>
        </w:tc>
        <w:tc>
          <w:tcPr>
            <w:tcW w:w="2835" w:type="dxa"/>
            <w:shd w:val="clear" w:color="auto" w:fill="auto"/>
          </w:tcPr>
          <w:p w14:paraId="6CEE6E90" w14:textId="03845F87" w:rsidR="00C91DE7" w:rsidRPr="00330BB2" w:rsidRDefault="00C72551" w:rsidP="00C72551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 xml:space="preserve">Neželjene reakcije </w:t>
            </w:r>
            <w:r w:rsidR="00C91DE7" w:rsidRPr="00330BB2">
              <w:rPr>
                <w:sz w:val="22"/>
                <w:szCs w:val="22"/>
                <w:lang w:val="hr-HR"/>
              </w:rPr>
              <w:t xml:space="preserve">na </w:t>
            </w:r>
            <w:r w:rsidR="007B38F0" w:rsidRPr="00330BB2">
              <w:rPr>
                <w:sz w:val="22"/>
                <w:szCs w:val="22"/>
                <w:lang w:val="hr-HR"/>
              </w:rPr>
              <w:t>mjest</w:t>
            </w:r>
            <w:r w:rsidR="00C91DE7" w:rsidRPr="00330BB2">
              <w:rPr>
                <w:sz w:val="22"/>
                <w:szCs w:val="22"/>
                <w:lang w:val="hr-HR"/>
              </w:rPr>
              <w:t>u prim</w:t>
            </w:r>
            <w:r w:rsidR="007B38F0" w:rsidRPr="00330BB2">
              <w:rPr>
                <w:sz w:val="22"/>
                <w:szCs w:val="22"/>
                <w:lang w:val="hr-HR"/>
              </w:rPr>
              <w:t>j</w:t>
            </w:r>
            <w:r w:rsidR="00C91DE7" w:rsidRPr="00330BB2">
              <w:rPr>
                <w:sz w:val="22"/>
                <w:szCs w:val="22"/>
                <w:lang w:val="hr-HR"/>
              </w:rPr>
              <w:t>ene</w:t>
            </w:r>
            <w:r w:rsidR="00C91DE7" w:rsidRPr="00330BB2">
              <w:rPr>
                <w:sz w:val="22"/>
                <w:szCs w:val="22"/>
                <w:vertAlign w:val="superscript"/>
                <w:lang w:val="hr-HR"/>
              </w:rPr>
              <w:t>1</w:t>
            </w:r>
          </w:p>
        </w:tc>
        <w:tc>
          <w:tcPr>
            <w:tcW w:w="3005" w:type="dxa"/>
            <w:shd w:val="clear" w:color="auto" w:fill="auto"/>
          </w:tcPr>
          <w:p w14:paraId="12147025" w14:textId="48EC1973" w:rsidR="00C91DE7" w:rsidRPr="00330BB2" w:rsidRDefault="00C91DE7" w:rsidP="00C72551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Često</w:t>
            </w:r>
          </w:p>
        </w:tc>
      </w:tr>
      <w:tr w:rsidR="00C91DE7" w:rsidRPr="00330BB2" w14:paraId="7CEF32B1" w14:textId="77777777" w:rsidTr="007B38F0">
        <w:trPr>
          <w:cantSplit/>
        </w:trPr>
        <w:tc>
          <w:tcPr>
            <w:tcW w:w="9067" w:type="dxa"/>
            <w:gridSpan w:val="3"/>
            <w:shd w:val="clear" w:color="auto" w:fill="auto"/>
          </w:tcPr>
          <w:p w14:paraId="7DE608DE" w14:textId="085160E3" w:rsidR="00C91DE7" w:rsidRPr="00330BB2" w:rsidRDefault="00C91DE7" w:rsidP="00C72551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vertAlign w:val="superscript"/>
                <w:lang w:val="hr-HR"/>
              </w:rPr>
              <w:t xml:space="preserve">1 </w:t>
            </w:r>
            <w:r w:rsidR="007B38F0" w:rsidRPr="00330BB2">
              <w:rPr>
                <w:sz w:val="22"/>
                <w:szCs w:val="22"/>
                <w:lang w:val="hr-HR"/>
              </w:rPr>
              <w:t>Vidjet</w:t>
            </w:r>
            <w:r w:rsidRPr="00330BB2">
              <w:rPr>
                <w:sz w:val="22"/>
                <w:szCs w:val="22"/>
                <w:lang w:val="hr-HR"/>
              </w:rPr>
              <w:t xml:space="preserve">i </w:t>
            </w:r>
            <w:r w:rsidR="00C954BF" w:rsidRPr="00330BB2">
              <w:rPr>
                <w:sz w:val="22"/>
                <w:szCs w:val="22"/>
                <w:lang w:val="hr-HR"/>
              </w:rPr>
              <w:t>dio</w:t>
            </w:r>
            <w:r w:rsidRPr="00330BB2">
              <w:rPr>
                <w:sz w:val="22"/>
                <w:szCs w:val="22"/>
                <w:lang w:val="hr-HR"/>
              </w:rPr>
              <w:t xml:space="preserve"> „Opis odabranih neželjenih</w:t>
            </w:r>
            <w:r w:rsidR="00C72551" w:rsidRPr="00330BB2">
              <w:rPr>
                <w:sz w:val="22"/>
                <w:szCs w:val="22"/>
                <w:lang w:val="hr-HR"/>
              </w:rPr>
              <w:t xml:space="preserve"> reakcija</w:t>
            </w:r>
            <w:r w:rsidR="00C72551" w:rsidRPr="00330BB2" w:rsidDel="00C72551">
              <w:rPr>
                <w:sz w:val="22"/>
                <w:szCs w:val="22"/>
                <w:lang w:val="hr-HR"/>
              </w:rPr>
              <w:t xml:space="preserve"> </w:t>
            </w:r>
            <w:r w:rsidRPr="00330BB2">
              <w:rPr>
                <w:sz w:val="22"/>
                <w:szCs w:val="22"/>
                <w:lang w:val="hr-HR"/>
              </w:rPr>
              <w:t>“</w:t>
            </w:r>
          </w:p>
        </w:tc>
      </w:tr>
    </w:tbl>
    <w:p w14:paraId="3A9A1A26" w14:textId="242EEC3D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25D5837B" w14:textId="34FEA9B3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hr-HR"/>
        </w:rPr>
      </w:pPr>
      <w:r w:rsidRPr="00330BB2">
        <w:rPr>
          <w:sz w:val="22"/>
          <w:szCs w:val="22"/>
          <w:u w:val="single"/>
          <w:lang w:val="hr-HR"/>
        </w:rPr>
        <w:t xml:space="preserve">Opis odabranih neželjenih </w:t>
      </w:r>
      <w:r w:rsidR="00C72551" w:rsidRPr="00330BB2">
        <w:rPr>
          <w:sz w:val="22"/>
          <w:szCs w:val="22"/>
          <w:u w:val="single"/>
          <w:lang w:val="hr-HR"/>
        </w:rPr>
        <w:t>reakcija</w:t>
      </w:r>
    </w:p>
    <w:p w14:paraId="0B21CA19" w14:textId="77777777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2A52D9D8" w14:textId="621D8BF1" w:rsidR="00C91DE7" w:rsidRPr="00330BB2" w:rsidRDefault="00C72551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i/>
          <w:sz w:val="22"/>
          <w:szCs w:val="22"/>
          <w:u w:val="single"/>
          <w:lang w:val="hr-HR"/>
        </w:rPr>
      </w:pPr>
      <w:r w:rsidRPr="00330BB2">
        <w:rPr>
          <w:i/>
          <w:sz w:val="22"/>
          <w:szCs w:val="22"/>
          <w:u w:val="single"/>
          <w:lang w:val="hr-HR"/>
        </w:rPr>
        <w:t xml:space="preserve">Neželjene reakcije </w:t>
      </w:r>
      <w:r w:rsidR="00C91DE7" w:rsidRPr="00330BB2">
        <w:rPr>
          <w:i/>
          <w:sz w:val="22"/>
          <w:szCs w:val="22"/>
          <w:u w:val="single"/>
          <w:lang w:val="hr-HR"/>
        </w:rPr>
        <w:t xml:space="preserve">na </w:t>
      </w:r>
      <w:r w:rsidR="007B38F0" w:rsidRPr="00330BB2">
        <w:rPr>
          <w:i/>
          <w:sz w:val="22"/>
          <w:szCs w:val="22"/>
          <w:u w:val="single"/>
          <w:lang w:val="hr-HR"/>
        </w:rPr>
        <w:t>mjest</w:t>
      </w:r>
      <w:r w:rsidR="00C91DE7" w:rsidRPr="00330BB2">
        <w:rPr>
          <w:i/>
          <w:sz w:val="22"/>
          <w:szCs w:val="22"/>
          <w:u w:val="single"/>
          <w:lang w:val="hr-HR"/>
        </w:rPr>
        <w:t>u prim</w:t>
      </w:r>
      <w:r w:rsidR="007B38F0" w:rsidRPr="00330BB2">
        <w:rPr>
          <w:i/>
          <w:sz w:val="22"/>
          <w:szCs w:val="22"/>
          <w:u w:val="single"/>
          <w:lang w:val="hr-HR"/>
        </w:rPr>
        <w:t>j</w:t>
      </w:r>
      <w:r w:rsidR="00C91DE7" w:rsidRPr="00330BB2">
        <w:rPr>
          <w:i/>
          <w:sz w:val="22"/>
          <w:szCs w:val="22"/>
          <w:u w:val="single"/>
          <w:lang w:val="hr-HR"/>
        </w:rPr>
        <w:t>ene</w:t>
      </w:r>
    </w:p>
    <w:p w14:paraId="477BEA81" w14:textId="24147F67" w:rsidR="00C91DE7" w:rsidRPr="00330BB2" w:rsidRDefault="00C72551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Neželjene reakcije </w:t>
      </w:r>
      <w:r w:rsidR="00C91DE7" w:rsidRPr="00330BB2">
        <w:rPr>
          <w:sz w:val="22"/>
          <w:szCs w:val="22"/>
          <w:lang w:val="hr-HR"/>
        </w:rPr>
        <w:t xml:space="preserve">na </w:t>
      </w:r>
      <w:r w:rsidR="007B38F0" w:rsidRPr="00330BB2">
        <w:rPr>
          <w:sz w:val="22"/>
          <w:szCs w:val="22"/>
          <w:lang w:val="hr-HR"/>
        </w:rPr>
        <w:t>mjest</w:t>
      </w:r>
      <w:r w:rsidR="00C91DE7" w:rsidRPr="00330BB2">
        <w:rPr>
          <w:sz w:val="22"/>
          <w:szCs w:val="22"/>
          <w:lang w:val="hr-HR"/>
        </w:rPr>
        <w:t>u prim</w:t>
      </w:r>
      <w:r w:rsidR="007B38F0" w:rsidRPr="00330BB2">
        <w:rPr>
          <w:sz w:val="22"/>
          <w:szCs w:val="22"/>
          <w:lang w:val="hr-HR"/>
        </w:rPr>
        <w:t>j</w:t>
      </w:r>
      <w:r w:rsidR="00C91DE7" w:rsidRPr="00330BB2">
        <w:rPr>
          <w:sz w:val="22"/>
          <w:szCs w:val="22"/>
          <w:lang w:val="hr-HR"/>
        </w:rPr>
        <w:t xml:space="preserve">ene su se pojavile kod 8,2% pacijenata </w:t>
      </w:r>
      <w:r w:rsidR="007B38F0" w:rsidRPr="00330BB2">
        <w:rPr>
          <w:sz w:val="22"/>
          <w:szCs w:val="22"/>
          <w:lang w:val="hr-HR"/>
        </w:rPr>
        <w:t>liječ</w:t>
      </w:r>
      <w:r w:rsidR="00C91DE7" w:rsidRPr="00330BB2">
        <w:rPr>
          <w:sz w:val="22"/>
          <w:szCs w:val="22"/>
          <w:lang w:val="hr-HR"/>
        </w:rPr>
        <w:t xml:space="preserve">enih inklisiranom i 1,8% pacijenata koji su dobijali placebo u pivotalnim ispitivanjima. Procenat pacijenata u svakoj grupi koji su prekinuli </w:t>
      </w:r>
      <w:r w:rsidR="007B38F0" w:rsidRPr="00330BB2">
        <w:rPr>
          <w:sz w:val="22"/>
          <w:szCs w:val="22"/>
          <w:lang w:val="hr-HR"/>
        </w:rPr>
        <w:t>liječ</w:t>
      </w:r>
      <w:r w:rsidR="00C91DE7" w:rsidRPr="00330BB2">
        <w:rPr>
          <w:sz w:val="22"/>
          <w:szCs w:val="22"/>
          <w:lang w:val="hr-HR"/>
        </w:rPr>
        <w:t xml:space="preserve">enje zbog neželjenih </w:t>
      </w:r>
      <w:r w:rsidRPr="00330BB2">
        <w:rPr>
          <w:sz w:val="22"/>
          <w:szCs w:val="22"/>
          <w:lang w:val="hr-HR"/>
        </w:rPr>
        <w:t xml:space="preserve">reakcija </w:t>
      </w:r>
      <w:r w:rsidR="00C91DE7" w:rsidRPr="00330BB2">
        <w:rPr>
          <w:sz w:val="22"/>
          <w:szCs w:val="22"/>
          <w:lang w:val="hr-HR"/>
        </w:rPr>
        <w:t xml:space="preserve">na </w:t>
      </w:r>
      <w:r w:rsidR="007B38F0" w:rsidRPr="00330BB2">
        <w:rPr>
          <w:sz w:val="22"/>
          <w:szCs w:val="22"/>
          <w:lang w:val="hr-HR"/>
        </w:rPr>
        <w:t>mjest</w:t>
      </w:r>
      <w:r w:rsidR="00C91DE7" w:rsidRPr="00330BB2">
        <w:rPr>
          <w:sz w:val="22"/>
          <w:szCs w:val="22"/>
          <w:lang w:val="hr-HR"/>
        </w:rPr>
        <w:t>u prim</w:t>
      </w:r>
      <w:r w:rsidR="007B38F0" w:rsidRPr="00330BB2">
        <w:rPr>
          <w:sz w:val="22"/>
          <w:szCs w:val="22"/>
          <w:lang w:val="hr-HR"/>
        </w:rPr>
        <w:t>j</w:t>
      </w:r>
      <w:r w:rsidR="00C91DE7" w:rsidRPr="00330BB2">
        <w:rPr>
          <w:sz w:val="22"/>
          <w:szCs w:val="22"/>
          <w:lang w:val="hr-HR"/>
        </w:rPr>
        <w:t xml:space="preserve">ene je bio 0,2%, odnosno 0,0%. </w:t>
      </w:r>
      <w:r w:rsidRPr="00330BB2">
        <w:rPr>
          <w:sz w:val="22"/>
          <w:szCs w:val="22"/>
          <w:lang w:val="hr-HR"/>
        </w:rPr>
        <w:t xml:space="preserve">Sve neželjene reakcije </w:t>
      </w:r>
      <w:r w:rsidR="00C91DE7" w:rsidRPr="00330BB2">
        <w:rPr>
          <w:sz w:val="22"/>
          <w:szCs w:val="22"/>
          <w:lang w:val="hr-HR"/>
        </w:rPr>
        <w:t xml:space="preserve">su </w:t>
      </w:r>
      <w:r w:rsidRPr="00330BB2">
        <w:rPr>
          <w:sz w:val="22"/>
          <w:szCs w:val="22"/>
          <w:lang w:val="hr-HR"/>
        </w:rPr>
        <w:t xml:space="preserve">bile blage </w:t>
      </w:r>
      <w:r w:rsidR="00C91DE7" w:rsidRPr="00330BB2">
        <w:rPr>
          <w:sz w:val="22"/>
          <w:szCs w:val="22"/>
          <w:lang w:val="hr-HR"/>
        </w:rPr>
        <w:t xml:space="preserve">ili </w:t>
      </w:r>
      <w:r w:rsidRPr="00330BB2">
        <w:rPr>
          <w:sz w:val="22"/>
          <w:szCs w:val="22"/>
          <w:lang w:val="hr-HR"/>
        </w:rPr>
        <w:t>umjerene</w:t>
      </w:r>
      <w:r w:rsidR="00C91DE7" w:rsidRPr="00330BB2">
        <w:rPr>
          <w:sz w:val="22"/>
          <w:szCs w:val="22"/>
          <w:lang w:val="hr-HR"/>
        </w:rPr>
        <w:t xml:space="preserve">, </w:t>
      </w:r>
      <w:r w:rsidRPr="00330BB2">
        <w:rPr>
          <w:sz w:val="22"/>
          <w:szCs w:val="22"/>
          <w:lang w:val="hr-HR"/>
        </w:rPr>
        <w:t xml:space="preserve">prolazne </w:t>
      </w:r>
      <w:r w:rsidR="00C91DE7" w:rsidRPr="00330BB2">
        <w:rPr>
          <w:sz w:val="22"/>
          <w:szCs w:val="22"/>
          <w:lang w:val="hr-HR"/>
        </w:rPr>
        <w:t xml:space="preserve">i </w:t>
      </w:r>
      <w:r w:rsidRPr="00330BB2">
        <w:rPr>
          <w:sz w:val="22"/>
          <w:szCs w:val="22"/>
          <w:lang w:val="hr-HR"/>
        </w:rPr>
        <w:t xml:space="preserve">povukle </w:t>
      </w:r>
      <w:r w:rsidR="00C91DE7" w:rsidRPr="00330BB2">
        <w:rPr>
          <w:sz w:val="22"/>
          <w:szCs w:val="22"/>
          <w:lang w:val="hr-HR"/>
        </w:rPr>
        <w:t>su se bez posl</w:t>
      </w:r>
      <w:r w:rsidR="007B38F0" w:rsidRPr="00330BB2">
        <w:rPr>
          <w:sz w:val="22"/>
          <w:szCs w:val="22"/>
          <w:lang w:val="hr-HR"/>
        </w:rPr>
        <w:t>j</w:t>
      </w:r>
      <w:r w:rsidR="00C91DE7" w:rsidRPr="00330BB2">
        <w:rPr>
          <w:sz w:val="22"/>
          <w:szCs w:val="22"/>
          <w:lang w:val="hr-HR"/>
        </w:rPr>
        <w:t>edica. Najučestalij</w:t>
      </w:r>
      <w:r w:rsidR="0003218B" w:rsidRPr="00330BB2">
        <w:rPr>
          <w:sz w:val="22"/>
          <w:szCs w:val="22"/>
          <w:lang w:val="hr-HR"/>
        </w:rPr>
        <w:t>a</w:t>
      </w:r>
      <w:r w:rsidR="00C91DE7" w:rsidRPr="00330BB2">
        <w:rPr>
          <w:sz w:val="22"/>
          <w:szCs w:val="22"/>
          <w:lang w:val="hr-HR"/>
        </w:rPr>
        <w:t xml:space="preserve"> neželjene </w:t>
      </w:r>
      <w:r w:rsidRPr="00330BB2">
        <w:rPr>
          <w:sz w:val="22"/>
          <w:szCs w:val="22"/>
          <w:lang w:val="hr-HR"/>
        </w:rPr>
        <w:t xml:space="preserve">reakcije </w:t>
      </w:r>
      <w:r w:rsidR="00C91DE7" w:rsidRPr="00330BB2">
        <w:rPr>
          <w:sz w:val="22"/>
          <w:szCs w:val="22"/>
          <w:lang w:val="hr-HR"/>
        </w:rPr>
        <w:t xml:space="preserve">na </w:t>
      </w:r>
      <w:r w:rsidR="007B38F0" w:rsidRPr="00330BB2">
        <w:rPr>
          <w:sz w:val="22"/>
          <w:szCs w:val="22"/>
          <w:lang w:val="hr-HR"/>
        </w:rPr>
        <w:t>mjest</w:t>
      </w:r>
      <w:r w:rsidR="00C91DE7" w:rsidRPr="00330BB2">
        <w:rPr>
          <w:sz w:val="22"/>
          <w:szCs w:val="22"/>
          <w:lang w:val="hr-HR"/>
        </w:rPr>
        <w:t>u prim</w:t>
      </w:r>
      <w:r w:rsidR="007B38F0" w:rsidRPr="00330BB2">
        <w:rPr>
          <w:sz w:val="22"/>
          <w:szCs w:val="22"/>
          <w:lang w:val="hr-HR"/>
        </w:rPr>
        <w:t>j</w:t>
      </w:r>
      <w:r w:rsidR="00C91DE7" w:rsidRPr="00330BB2">
        <w:rPr>
          <w:sz w:val="22"/>
          <w:szCs w:val="22"/>
          <w:lang w:val="hr-HR"/>
        </w:rPr>
        <w:t xml:space="preserve">ene kod pacijenata </w:t>
      </w:r>
      <w:r w:rsidR="007B38F0" w:rsidRPr="00330BB2">
        <w:rPr>
          <w:sz w:val="22"/>
          <w:szCs w:val="22"/>
          <w:lang w:val="hr-HR"/>
        </w:rPr>
        <w:t>liječ</w:t>
      </w:r>
      <w:r w:rsidR="00C91DE7" w:rsidRPr="00330BB2">
        <w:rPr>
          <w:sz w:val="22"/>
          <w:szCs w:val="22"/>
          <w:lang w:val="hr-HR"/>
        </w:rPr>
        <w:t xml:space="preserve">enih inklisiranom su </w:t>
      </w:r>
      <w:r w:rsidRPr="00330BB2">
        <w:rPr>
          <w:sz w:val="22"/>
          <w:szCs w:val="22"/>
          <w:lang w:val="hr-HR"/>
        </w:rPr>
        <w:t xml:space="preserve">bile  </w:t>
      </w:r>
      <w:r w:rsidR="00C91DE7" w:rsidRPr="00330BB2">
        <w:rPr>
          <w:sz w:val="22"/>
          <w:szCs w:val="22"/>
          <w:lang w:val="hr-HR"/>
        </w:rPr>
        <w:t xml:space="preserve">na </w:t>
      </w:r>
      <w:r w:rsidR="007B38F0" w:rsidRPr="00330BB2">
        <w:rPr>
          <w:sz w:val="22"/>
          <w:szCs w:val="22"/>
          <w:lang w:val="hr-HR"/>
        </w:rPr>
        <w:t>mjest</w:t>
      </w:r>
      <w:r w:rsidR="00C91DE7" w:rsidRPr="00330BB2">
        <w:rPr>
          <w:sz w:val="22"/>
          <w:szCs w:val="22"/>
          <w:lang w:val="hr-HR"/>
        </w:rPr>
        <w:t>u prim</w:t>
      </w:r>
      <w:r w:rsidR="007B38F0" w:rsidRPr="00330BB2">
        <w:rPr>
          <w:sz w:val="22"/>
          <w:szCs w:val="22"/>
          <w:lang w:val="hr-HR"/>
        </w:rPr>
        <w:t>j</w:t>
      </w:r>
      <w:r w:rsidR="00C91DE7" w:rsidRPr="00330BB2">
        <w:rPr>
          <w:sz w:val="22"/>
          <w:szCs w:val="22"/>
          <w:lang w:val="hr-HR"/>
        </w:rPr>
        <w:t xml:space="preserve">ene injekcije (3,1%), bol na </w:t>
      </w:r>
      <w:r w:rsidR="007B38F0" w:rsidRPr="00330BB2">
        <w:rPr>
          <w:sz w:val="22"/>
          <w:szCs w:val="22"/>
          <w:lang w:val="hr-HR"/>
        </w:rPr>
        <w:t>mjest</w:t>
      </w:r>
      <w:r w:rsidR="00C91DE7" w:rsidRPr="00330BB2">
        <w:rPr>
          <w:sz w:val="22"/>
          <w:szCs w:val="22"/>
          <w:lang w:val="hr-HR"/>
        </w:rPr>
        <w:t xml:space="preserve">u </w:t>
      </w:r>
      <w:r w:rsidR="009014D6" w:rsidRPr="00330BB2">
        <w:rPr>
          <w:sz w:val="22"/>
          <w:szCs w:val="22"/>
          <w:lang w:val="hr-HR"/>
        </w:rPr>
        <w:t>primjen</w:t>
      </w:r>
      <w:r w:rsidR="00C91DE7" w:rsidRPr="00330BB2">
        <w:rPr>
          <w:sz w:val="22"/>
          <w:szCs w:val="22"/>
          <w:lang w:val="hr-HR"/>
        </w:rPr>
        <w:t xml:space="preserve">e (2,2%), eritem na </w:t>
      </w:r>
      <w:r w:rsidR="007B38F0" w:rsidRPr="00330BB2">
        <w:rPr>
          <w:sz w:val="22"/>
          <w:szCs w:val="22"/>
          <w:lang w:val="hr-HR"/>
        </w:rPr>
        <w:t>mjest</w:t>
      </w:r>
      <w:r w:rsidR="00C91DE7" w:rsidRPr="00330BB2">
        <w:rPr>
          <w:sz w:val="22"/>
          <w:szCs w:val="22"/>
          <w:lang w:val="hr-HR"/>
        </w:rPr>
        <w:t xml:space="preserve">u </w:t>
      </w:r>
      <w:r w:rsidR="009014D6" w:rsidRPr="00330BB2">
        <w:rPr>
          <w:sz w:val="22"/>
          <w:szCs w:val="22"/>
          <w:lang w:val="hr-HR"/>
        </w:rPr>
        <w:t>primjen</w:t>
      </w:r>
      <w:r w:rsidR="00C91DE7" w:rsidRPr="00330BB2">
        <w:rPr>
          <w:sz w:val="22"/>
          <w:szCs w:val="22"/>
          <w:lang w:val="hr-HR"/>
        </w:rPr>
        <w:t xml:space="preserve">e (1,6%) i osip na </w:t>
      </w:r>
      <w:r w:rsidR="007B38F0" w:rsidRPr="00330BB2">
        <w:rPr>
          <w:sz w:val="22"/>
          <w:szCs w:val="22"/>
          <w:lang w:val="hr-HR"/>
        </w:rPr>
        <w:t>mjest</w:t>
      </w:r>
      <w:r w:rsidR="00C91DE7" w:rsidRPr="00330BB2">
        <w:rPr>
          <w:sz w:val="22"/>
          <w:szCs w:val="22"/>
          <w:lang w:val="hr-HR"/>
        </w:rPr>
        <w:t>u prim</w:t>
      </w:r>
      <w:r w:rsidR="007B38F0" w:rsidRPr="00330BB2">
        <w:rPr>
          <w:sz w:val="22"/>
          <w:szCs w:val="22"/>
          <w:lang w:val="hr-HR"/>
        </w:rPr>
        <w:t>j</w:t>
      </w:r>
      <w:r w:rsidR="00C91DE7" w:rsidRPr="00330BB2">
        <w:rPr>
          <w:sz w:val="22"/>
          <w:szCs w:val="22"/>
          <w:lang w:val="hr-HR"/>
        </w:rPr>
        <w:t>ene injekcije (0,7%).</w:t>
      </w:r>
    </w:p>
    <w:p w14:paraId="77E02D71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6E3C30A6" w14:textId="77777777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u w:val="single"/>
          <w:lang w:val="hr-HR"/>
        </w:rPr>
        <w:t>Posebne populacije</w:t>
      </w:r>
    </w:p>
    <w:p w14:paraId="16234007" w14:textId="77777777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615BF96C" w14:textId="77777777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i/>
          <w:sz w:val="22"/>
          <w:szCs w:val="22"/>
          <w:lang w:val="hr-HR"/>
        </w:rPr>
      </w:pPr>
      <w:r w:rsidRPr="00330BB2">
        <w:rPr>
          <w:i/>
          <w:sz w:val="22"/>
          <w:szCs w:val="22"/>
          <w:lang w:val="hr-HR"/>
        </w:rPr>
        <w:t>Stariji pacijenti</w:t>
      </w:r>
    </w:p>
    <w:p w14:paraId="207C9CDF" w14:textId="77777777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hr-HR"/>
        </w:rPr>
      </w:pPr>
    </w:p>
    <w:p w14:paraId="679ADB6B" w14:textId="1E70852F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Od 1833 pacijenata </w:t>
      </w:r>
      <w:r w:rsidR="007B38F0" w:rsidRPr="00330BB2">
        <w:rPr>
          <w:sz w:val="22"/>
          <w:szCs w:val="22"/>
          <w:lang w:val="hr-HR"/>
        </w:rPr>
        <w:t>liječ</w:t>
      </w:r>
      <w:r w:rsidRPr="00330BB2">
        <w:rPr>
          <w:sz w:val="22"/>
          <w:szCs w:val="22"/>
          <w:lang w:val="hr-HR"/>
        </w:rPr>
        <w:t>enih inklisiranom u pivotalnim ispitivanjima, 981 (54%) je imalo 65 ili više godina, dok je 239 (13%) bilo starosti 75 ili više godina. Ni</w:t>
      </w:r>
      <w:r w:rsidR="0003218B" w:rsidRPr="00330BB2">
        <w:rPr>
          <w:sz w:val="22"/>
          <w:szCs w:val="22"/>
          <w:lang w:val="hr-HR"/>
        </w:rPr>
        <w:t>je</w:t>
      </w:r>
      <w:r w:rsidRPr="00330BB2">
        <w:rPr>
          <w:sz w:val="22"/>
          <w:szCs w:val="22"/>
          <w:lang w:val="hr-HR"/>
        </w:rPr>
        <w:t>su uočene nikakve opšte razlike između tih i mlađih pacijenata.</w:t>
      </w:r>
    </w:p>
    <w:p w14:paraId="3AE091DB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54484D4F" w14:textId="77777777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u w:val="single"/>
          <w:lang w:val="hr-HR"/>
        </w:rPr>
        <w:t>Imunogenost</w:t>
      </w:r>
    </w:p>
    <w:p w14:paraId="74CAA5DD" w14:textId="77777777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1D4A0B25" w14:textId="1527CD96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U pivotalnim ispitivanjima 1830 pacijenata je bilo testirano na antit</w:t>
      </w:r>
      <w:r w:rsidR="007B38F0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 xml:space="preserve">ela na </w:t>
      </w:r>
      <w:r w:rsidR="007B38F0" w:rsidRPr="00330BB2">
        <w:rPr>
          <w:sz w:val="22"/>
          <w:szCs w:val="22"/>
          <w:lang w:val="hr-HR"/>
        </w:rPr>
        <w:t>lijek</w:t>
      </w:r>
      <w:r w:rsidRPr="00330BB2">
        <w:rPr>
          <w:sz w:val="22"/>
          <w:szCs w:val="22"/>
          <w:lang w:val="hr-HR"/>
        </w:rPr>
        <w:t>. Pozitivan nalaz je bio potvrđen kod 1,8% (33/1830) pacijenata pr</w:t>
      </w:r>
      <w:r w:rsidR="007B38F0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 doziranja, odnosno kod 4,9% (90/1830) pacijenata tokom 18 </w:t>
      </w:r>
      <w:r w:rsidR="007B38F0" w:rsidRPr="00330BB2">
        <w:rPr>
          <w:sz w:val="22"/>
          <w:szCs w:val="22"/>
          <w:lang w:val="hr-HR"/>
        </w:rPr>
        <w:t>mjesec</w:t>
      </w:r>
      <w:r w:rsidRPr="00330BB2">
        <w:rPr>
          <w:sz w:val="22"/>
          <w:szCs w:val="22"/>
          <w:lang w:val="hr-HR"/>
        </w:rPr>
        <w:t xml:space="preserve">i </w:t>
      </w:r>
      <w:r w:rsidR="007B38F0" w:rsidRPr="00330BB2">
        <w:rPr>
          <w:sz w:val="22"/>
          <w:szCs w:val="22"/>
          <w:lang w:val="hr-HR"/>
        </w:rPr>
        <w:t>liječ</w:t>
      </w:r>
      <w:r w:rsidRPr="00330BB2">
        <w:rPr>
          <w:sz w:val="22"/>
          <w:szCs w:val="22"/>
          <w:lang w:val="hr-HR"/>
        </w:rPr>
        <w:t>enja inklisiranom. Ni</w:t>
      </w:r>
      <w:r w:rsidR="0003218B" w:rsidRPr="00330BB2">
        <w:rPr>
          <w:sz w:val="22"/>
          <w:szCs w:val="22"/>
          <w:lang w:val="hr-HR"/>
        </w:rPr>
        <w:t>je</w:t>
      </w:r>
      <w:r w:rsidRPr="00330BB2">
        <w:rPr>
          <w:sz w:val="22"/>
          <w:szCs w:val="22"/>
          <w:lang w:val="hr-HR"/>
        </w:rPr>
        <w:t xml:space="preserve">su zapažene bilo kakve klinički značajne razlike u kliničkoj efikasnosti, </w:t>
      </w:r>
      <w:r w:rsidR="007B38F0" w:rsidRPr="00330BB2">
        <w:rPr>
          <w:sz w:val="22"/>
          <w:szCs w:val="22"/>
          <w:lang w:val="hr-HR"/>
        </w:rPr>
        <w:t>bezbjed</w:t>
      </w:r>
      <w:r w:rsidRPr="00330BB2">
        <w:rPr>
          <w:sz w:val="22"/>
          <w:szCs w:val="22"/>
          <w:lang w:val="hr-HR"/>
        </w:rPr>
        <w:t>nosti ili farmakodinamskim profilima inklisirana kod pacijenata koji su imali pozitivan test na antit</w:t>
      </w:r>
      <w:r w:rsidR="007B38F0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ela na inklisiran.</w:t>
      </w:r>
    </w:p>
    <w:p w14:paraId="3C9A47A9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05BBE13C" w14:textId="430BE6EE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hr-HR"/>
        </w:rPr>
      </w:pPr>
      <w:r w:rsidRPr="00330BB2">
        <w:rPr>
          <w:noProof/>
          <w:sz w:val="22"/>
          <w:szCs w:val="22"/>
          <w:u w:val="single"/>
          <w:lang w:val="hr-HR"/>
        </w:rPr>
        <w:t xml:space="preserve">Laboratorijske </w:t>
      </w:r>
      <w:r w:rsidR="007B38F0" w:rsidRPr="00330BB2">
        <w:rPr>
          <w:noProof/>
          <w:sz w:val="22"/>
          <w:szCs w:val="22"/>
          <w:u w:val="single"/>
          <w:lang w:val="hr-HR"/>
        </w:rPr>
        <w:t>vrijednost</w:t>
      </w:r>
      <w:r w:rsidRPr="00330BB2">
        <w:rPr>
          <w:noProof/>
          <w:sz w:val="22"/>
          <w:szCs w:val="22"/>
          <w:u w:val="single"/>
          <w:lang w:val="hr-HR"/>
        </w:rPr>
        <w:t>i</w:t>
      </w:r>
    </w:p>
    <w:p w14:paraId="13BC6F2D" w14:textId="77777777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hr-HR"/>
        </w:rPr>
      </w:pPr>
    </w:p>
    <w:p w14:paraId="3F01C38D" w14:textId="5B0014D3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hr-HR"/>
        </w:rPr>
      </w:pPr>
      <w:r w:rsidRPr="00330BB2">
        <w:rPr>
          <w:noProof/>
          <w:sz w:val="22"/>
          <w:szCs w:val="22"/>
          <w:lang w:val="hr-HR"/>
        </w:rPr>
        <w:t xml:space="preserve">U kliničkim ispitivanjima faze III je bilo učestalijih </w:t>
      </w:r>
      <w:r w:rsidR="00855CD0" w:rsidRPr="00330BB2">
        <w:rPr>
          <w:noProof/>
          <w:sz w:val="22"/>
          <w:szCs w:val="22"/>
          <w:lang w:val="hr-HR"/>
        </w:rPr>
        <w:t xml:space="preserve">povećanja vrijednosti </w:t>
      </w:r>
      <w:r w:rsidRPr="00330BB2">
        <w:rPr>
          <w:noProof/>
          <w:sz w:val="22"/>
          <w:szCs w:val="22"/>
          <w:lang w:val="hr-HR"/>
        </w:rPr>
        <w:t>transaminaza jetre u serumu između &gt;</w:t>
      </w:r>
      <w:r w:rsidR="00C954BF" w:rsidRPr="00330BB2">
        <w:rPr>
          <w:noProof/>
          <w:sz w:val="22"/>
          <w:szCs w:val="22"/>
          <w:lang w:val="hr-HR"/>
        </w:rPr>
        <w:t xml:space="preserve"> </w:t>
      </w:r>
      <w:r w:rsidRPr="00330BB2">
        <w:rPr>
          <w:noProof/>
          <w:sz w:val="22"/>
          <w:szCs w:val="22"/>
          <w:lang w:val="hr-HR"/>
        </w:rPr>
        <w:t>1x gornj</w:t>
      </w:r>
      <w:r w:rsidR="00B11056" w:rsidRPr="00330BB2">
        <w:rPr>
          <w:noProof/>
          <w:sz w:val="22"/>
          <w:szCs w:val="22"/>
          <w:lang w:val="hr-HR"/>
        </w:rPr>
        <w:t>e</w:t>
      </w:r>
      <w:r w:rsidRPr="00330BB2">
        <w:rPr>
          <w:noProof/>
          <w:sz w:val="22"/>
          <w:szCs w:val="22"/>
          <w:lang w:val="hr-HR"/>
        </w:rPr>
        <w:t xml:space="preserve"> granic</w:t>
      </w:r>
      <w:r w:rsidR="00B11056" w:rsidRPr="00330BB2">
        <w:rPr>
          <w:noProof/>
          <w:sz w:val="22"/>
          <w:szCs w:val="22"/>
          <w:lang w:val="hr-HR"/>
        </w:rPr>
        <w:t>e</w:t>
      </w:r>
      <w:r w:rsidRPr="00330BB2">
        <w:rPr>
          <w:noProof/>
          <w:sz w:val="22"/>
          <w:szCs w:val="22"/>
          <w:lang w:val="hr-HR"/>
        </w:rPr>
        <w:t xml:space="preserve"> normale (GGN) i ≤</w:t>
      </w:r>
      <w:r w:rsidR="00C954BF" w:rsidRPr="00330BB2">
        <w:rPr>
          <w:noProof/>
          <w:sz w:val="22"/>
          <w:szCs w:val="22"/>
          <w:lang w:val="hr-HR"/>
        </w:rPr>
        <w:t xml:space="preserve"> </w:t>
      </w:r>
      <w:r w:rsidRPr="00330BB2">
        <w:rPr>
          <w:noProof/>
          <w:sz w:val="22"/>
          <w:szCs w:val="22"/>
          <w:lang w:val="hr-HR"/>
        </w:rPr>
        <w:t>3x GGN kod pacijenata na inklisiranu (</w:t>
      </w:r>
      <w:r w:rsidRPr="00330BB2">
        <w:rPr>
          <w:sz w:val="22"/>
          <w:szCs w:val="22"/>
          <w:lang w:val="hr-HR"/>
        </w:rPr>
        <w:t>ALT: 19,7% i AST: 17,2</w:t>
      </w:r>
      <w:r w:rsidRPr="00330BB2">
        <w:rPr>
          <w:noProof/>
          <w:sz w:val="22"/>
          <w:szCs w:val="22"/>
          <w:lang w:val="hr-HR"/>
        </w:rPr>
        <w:t>%), nego kod pacijenata na placebu (</w:t>
      </w:r>
      <w:r w:rsidRPr="00330BB2">
        <w:rPr>
          <w:sz w:val="22"/>
          <w:szCs w:val="22"/>
          <w:lang w:val="hr-HR"/>
        </w:rPr>
        <w:t>ALT: 13,6% i AST: 11,1%</w:t>
      </w:r>
      <w:r w:rsidRPr="00330BB2">
        <w:rPr>
          <w:noProof/>
          <w:sz w:val="22"/>
          <w:szCs w:val="22"/>
          <w:lang w:val="hr-HR"/>
        </w:rPr>
        <w:t>). Ta pov</w:t>
      </w:r>
      <w:r w:rsidR="00855CD0" w:rsidRPr="00330BB2">
        <w:rPr>
          <w:noProof/>
          <w:sz w:val="22"/>
          <w:szCs w:val="22"/>
          <w:lang w:val="hr-HR"/>
        </w:rPr>
        <w:t>ećanja</w:t>
      </w:r>
      <w:r w:rsidRPr="00330BB2">
        <w:rPr>
          <w:noProof/>
          <w:sz w:val="22"/>
          <w:szCs w:val="22"/>
          <w:lang w:val="hr-HR"/>
        </w:rPr>
        <w:t xml:space="preserve"> ni</w:t>
      </w:r>
      <w:r w:rsidR="0003218B" w:rsidRPr="00330BB2">
        <w:rPr>
          <w:noProof/>
          <w:sz w:val="22"/>
          <w:szCs w:val="22"/>
          <w:lang w:val="hr-HR"/>
        </w:rPr>
        <w:t>je</w:t>
      </w:r>
      <w:r w:rsidRPr="00330BB2">
        <w:rPr>
          <w:noProof/>
          <w:sz w:val="22"/>
          <w:szCs w:val="22"/>
          <w:lang w:val="hr-HR"/>
        </w:rPr>
        <w:t>su rasla do nivoa koji bi premašio klinički relevantan prag od 3x GGN, bila su asimptomatska i ni</w:t>
      </w:r>
      <w:r w:rsidR="0003218B" w:rsidRPr="00330BB2">
        <w:rPr>
          <w:noProof/>
          <w:sz w:val="22"/>
          <w:szCs w:val="22"/>
          <w:lang w:val="hr-HR"/>
        </w:rPr>
        <w:t>je</w:t>
      </w:r>
      <w:r w:rsidRPr="00330BB2">
        <w:rPr>
          <w:noProof/>
          <w:sz w:val="22"/>
          <w:szCs w:val="22"/>
          <w:lang w:val="hr-HR"/>
        </w:rPr>
        <w:t xml:space="preserve">su bila povezana sa neželjenim </w:t>
      </w:r>
      <w:r w:rsidR="00C72551" w:rsidRPr="00330BB2">
        <w:rPr>
          <w:noProof/>
          <w:sz w:val="22"/>
          <w:szCs w:val="22"/>
          <w:lang w:val="hr-HR"/>
        </w:rPr>
        <w:t xml:space="preserve">reakcijama </w:t>
      </w:r>
      <w:r w:rsidRPr="00330BB2">
        <w:rPr>
          <w:noProof/>
          <w:sz w:val="22"/>
          <w:szCs w:val="22"/>
          <w:lang w:val="hr-HR"/>
        </w:rPr>
        <w:t>ili drugim pokazateljima oštećenja funkcije jetre.</w:t>
      </w:r>
    </w:p>
    <w:p w14:paraId="3729AA31" w14:textId="77777777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46D2408" w14:textId="77777777" w:rsidR="005A23D2" w:rsidRPr="00330BB2" w:rsidRDefault="005A23D2" w:rsidP="00FA129D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330BB2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7A0C246A" w14:textId="77777777" w:rsidR="005A23D2" w:rsidRPr="00330BB2" w:rsidRDefault="005A23D2" w:rsidP="00FA129D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330BB2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330BB2">
        <w:rPr>
          <w:rFonts w:eastAsia="Calibri"/>
          <w:sz w:val="22"/>
          <w:szCs w:val="22"/>
          <w:lang w:val="sr-Latn-RS"/>
        </w:rPr>
        <w:t>inuirano praćenje odnosa korist</w:t>
      </w:r>
      <w:r w:rsidRPr="00330BB2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330BB2">
        <w:rPr>
          <w:rFonts w:eastAsia="Calibri"/>
          <w:sz w:val="22"/>
          <w:szCs w:val="22"/>
          <w:lang w:val="sr-Latn-RS"/>
        </w:rPr>
        <w:t xml:space="preserve"> </w:t>
      </w:r>
      <w:r w:rsidRPr="00330BB2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 w:rsidRPr="00330BB2">
        <w:rPr>
          <w:rFonts w:eastAsia="Calibri"/>
          <w:sz w:val="22"/>
          <w:szCs w:val="22"/>
          <w:lang w:val="sr-Latn-RS"/>
        </w:rPr>
        <w:t>Institutu</w:t>
      </w:r>
      <w:r w:rsidRPr="00330BB2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 w:rsidRPr="00330BB2">
        <w:rPr>
          <w:rFonts w:eastAsia="Calibri"/>
          <w:sz w:val="22"/>
          <w:szCs w:val="22"/>
          <w:lang w:val="sr-Latn-RS"/>
        </w:rPr>
        <w:t xml:space="preserve"> </w:t>
      </w:r>
      <w:r w:rsidRPr="00330BB2">
        <w:rPr>
          <w:rFonts w:eastAsia="Calibri"/>
          <w:sz w:val="22"/>
          <w:szCs w:val="22"/>
          <w:lang w:val="sr-Latn-RS"/>
        </w:rPr>
        <w:t>(</w:t>
      </w:r>
      <w:r w:rsidR="004E70AD" w:rsidRPr="00330BB2">
        <w:rPr>
          <w:rFonts w:eastAsia="Calibri"/>
          <w:sz w:val="22"/>
          <w:szCs w:val="22"/>
          <w:lang w:val="sr-Latn-RS"/>
        </w:rPr>
        <w:t>CInMED</w:t>
      </w:r>
      <w:r w:rsidRPr="00330BB2">
        <w:rPr>
          <w:rFonts w:eastAsia="Calibri"/>
          <w:sz w:val="22"/>
          <w:szCs w:val="22"/>
          <w:lang w:val="sr-Latn-RS"/>
        </w:rPr>
        <w:t>):</w:t>
      </w:r>
    </w:p>
    <w:p w14:paraId="3EDDEAB9" w14:textId="77777777" w:rsidR="005A23D2" w:rsidRPr="00330BB2" w:rsidRDefault="004E70AD" w:rsidP="00FA129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30BB2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330BB2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62828A8E" w14:textId="77777777" w:rsidR="005A23D2" w:rsidRPr="00330BB2" w:rsidRDefault="005A23D2" w:rsidP="00FA129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30BB2">
        <w:rPr>
          <w:rFonts w:eastAsia="Calibri"/>
          <w:sz w:val="22"/>
          <w:szCs w:val="22"/>
          <w:lang w:val="sr-Latn-RS"/>
        </w:rPr>
        <w:t>Odjeljenje za farmakovigilancu</w:t>
      </w:r>
    </w:p>
    <w:p w14:paraId="450A5123" w14:textId="77777777" w:rsidR="00EA5765" w:rsidRPr="00330BB2" w:rsidRDefault="005A23D2" w:rsidP="00FA129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30BB2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37D7869B" w14:textId="77777777" w:rsidR="00EA5765" w:rsidRPr="00330BB2" w:rsidRDefault="00EA5765" w:rsidP="00FA129D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253A872" w14:textId="77777777" w:rsidR="005A23D2" w:rsidRPr="00330BB2" w:rsidRDefault="005A23D2" w:rsidP="00FA129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30BB2">
        <w:rPr>
          <w:rFonts w:eastAsia="Calibri"/>
          <w:sz w:val="22"/>
          <w:szCs w:val="22"/>
          <w:lang w:val="sr-Latn-RS"/>
        </w:rPr>
        <w:t>tel: +382 (0) 20 310 280</w:t>
      </w:r>
    </w:p>
    <w:p w14:paraId="3E7209D6" w14:textId="77777777" w:rsidR="00EA5765" w:rsidRPr="00330BB2" w:rsidRDefault="005A23D2" w:rsidP="00FA129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30BB2">
        <w:rPr>
          <w:rFonts w:eastAsia="Calibri"/>
          <w:sz w:val="22"/>
          <w:szCs w:val="22"/>
          <w:lang w:val="sr-Latn-RS"/>
        </w:rPr>
        <w:t>fax:</w:t>
      </w:r>
      <w:r w:rsidR="00EA5765" w:rsidRPr="00330BB2">
        <w:rPr>
          <w:rFonts w:eastAsia="Calibri"/>
          <w:sz w:val="22"/>
          <w:szCs w:val="22"/>
          <w:lang w:val="sr-Latn-RS"/>
        </w:rPr>
        <w:t xml:space="preserve"> </w:t>
      </w:r>
      <w:r w:rsidRPr="00330BB2">
        <w:rPr>
          <w:rFonts w:eastAsia="Calibri"/>
          <w:sz w:val="22"/>
          <w:szCs w:val="22"/>
          <w:lang w:val="sr-Latn-RS"/>
        </w:rPr>
        <w:t>+382 (0) 20 310 581</w:t>
      </w:r>
    </w:p>
    <w:p w14:paraId="37F02A37" w14:textId="77777777" w:rsidR="005A23D2" w:rsidRPr="00330BB2" w:rsidRDefault="00FD0C57" w:rsidP="00FA129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9" w:history="1">
        <w:r w:rsidR="004E70AD" w:rsidRPr="00330BB2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139040CC" w14:textId="77777777" w:rsidR="00EA5765" w:rsidRPr="00330BB2" w:rsidRDefault="00FD0C57" w:rsidP="00FA129D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0" w:history="1">
        <w:r w:rsidR="004E70AD" w:rsidRPr="00330BB2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20128A28" w14:textId="6D2BC709" w:rsidR="005A23D2" w:rsidRDefault="005A23D2" w:rsidP="00FA129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30BB2">
        <w:rPr>
          <w:rFonts w:eastAsia="Calibri"/>
          <w:sz w:val="22"/>
          <w:szCs w:val="22"/>
          <w:lang w:val="sr-Latn-RS"/>
        </w:rPr>
        <w:t>putem IS zdravstvene zaštite</w:t>
      </w:r>
    </w:p>
    <w:p w14:paraId="73779826" w14:textId="77777777" w:rsidR="001057B6" w:rsidRDefault="001057B6" w:rsidP="001057B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4E14E835" w14:textId="77777777" w:rsidR="001057B6" w:rsidRDefault="001057B6" w:rsidP="001057B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437F97CF" w14:textId="2E0BD22C" w:rsidR="001057B6" w:rsidRPr="00330BB2" w:rsidRDefault="001057B6" w:rsidP="00FA129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noProof/>
        </w:rPr>
        <w:drawing>
          <wp:inline distT="0" distB="0" distL="0" distR="0" wp14:anchorId="168A9F94" wp14:editId="5F18B014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AF547" w14:textId="77777777" w:rsidR="00836B35" w:rsidRPr="00330BB2" w:rsidRDefault="00836B35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F28B5F3" w14:textId="4CE2FED0" w:rsidR="00C91DE7" w:rsidRPr="00330BB2" w:rsidRDefault="0072020E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4.9.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Predoziranje</w:t>
      </w:r>
    </w:p>
    <w:p w14:paraId="3B565A63" w14:textId="77777777" w:rsidR="00C954BF" w:rsidRPr="00330BB2" w:rsidRDefault="00C954BF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E65AE59" w14:textId="0B44F901" w:rsidR="00C91DE7" w:rsidRPr="00330BB2" w:rsidRDefault="00C91DE7" w:rsidP="00FA129D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Ni</w:t>
      </w:r>
      <w:r w:rsidR="006A7203" w:rsidRPr="00330BB2">
        <w:rPr>
          <w:sz w:val="22"/>
          <w:szCs w:val="22"/>
          <w:lang w:val="hr-HR"/>
        </w:rPr>
        <w:t>je</w:t>
      </w:r>
      <w:r w:rsidRPr="00330BB2">
        <w:rPr>
          <w:sz w:val="22"/>
          <w:szCs w:val="22"/>
          <w:lang w:val="hr-HR"/>
        </w:rPr>
        <w:t xml:space="preserve">su </w:t>
      </w:r>
      <w:r w:rsidR="00C72551" w:rsidRPr="00330BB2">
        <w:rPr>
          <w:sz w:val="22"/>
          <w:szCs w:val="22"/>
          <w:lang w:val="hr-HR"/>
        </w:rPr>
        <w:t xml:space="preserve">zabilježene </w:t>
      </w:r>
      <w:r w:rsidRPr="00330BB2">
        <w:rPr>
          <w:sz w:val="22"/>
          <w:szCs w:val="22"/>
          <w:lang w:val="hr-HR"/>
        </w:rPr>
        <w:t xml:space="preserve">klinički </w:t>
      </w:r>
      <w:r w:rsidR="00C72551" w:rsidRPr="00330BB2">
        <w:rPr>
          <w:sz w:val="22"/>
          <w:szCs w:val="22"/>
          <w:lang w:val="hr-HR"/>
        </w:rPr>
        <w:t>relevantne neželjene reakcije</w:t>
      </w:r>
      <w:r w:rsidR="006A7203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 xml:space="preserve">kod zdravih dobrovoljaca koji su primali inklisiran u dozama koje su bile do tri puta veće od terapijske doze. Nema dostupnog specifičnog </w:t>
      </w:r>
      <w:r w:rsidR="007B38F0" w:rsidRPr="00330BB2">
        <w:rPr>
          <w:sz w:val="22"/>
          <w:szCs w:val="22"/>
          <w:lang w:val="hr-HR"/>
        </w:rPr>
        <w:t>liječ</w:t>
      </w:r>
      <w:r w:rsidRPr="00330BB2">
        <w:rPr>
          <w:sz w:val="22"/>
          <w:szCs w:val="22"/>
          <w:lang w:val="hr-HR"/>
        </w:rPr>
        <w:t xml:space="preserve">enja za predoziranje inklisiranom. U slučaju predoziranja, pacijenta treba </w:t>
      </w:r>
      <w:r w:rsidR="007B38F0" w:rsidRPr="00330BB2">
        <w:rPr>
          <w:sz w:val="22"/>
          <w:szCs w:val="22"/>
          <w:lang w:val="hr-HR"/>
        </w:rPr>
        <w:t>liječ</w:t>
      </w:r>
      <w:r w:rsidRPr="00330BB2">
        <w:rPr>
          <w:sz w:val="22"/>
          <w:szCs w:val="22"/>
          <w:lang w:val="hr-HR"/>
        </w:rPr>
        <w:t>iti simptomatski i uvesti suportivne m</w:t>
      </w:r>
      <w:r w:rsidR="007B38F0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ere prema potrebi.</w:t>
      </w:r>
    </w:p>
    <w:p w14:paraId="10B068FB" w14:textId="4DDE771B" w:rsidR="00CD6F02" w:rsidRPr="00330BB2" w:rsidRDefault="00CD6F02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54620AB" w14:textId="77777777" w:rsidR="00227BDB" w:rsidRPr="00330BB2" w:rsidRDefault="00227BDB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E603276" w14:textId="77777777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5.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FARMAKOLOŠK</w:t>
      </w:r>
      <w:r w:rsidR="000D425A" w:rsidRPr="00330BB2">
        <w:rPr>
          <w:b/>
          <w:bCs/>
          <w:sz w:val="22"/>
          <w:szCs w:val="22"/>
        </w:rPr>
        <w:t>I</w:t>
      </w:r>
      <w:r w:rsidRPr="00330BB2">
        <w:rPr>
          <w:b/>
          <w:bCs/>
          <w:sz w:val="22"/>
          <w:szCs w:val="22"/>
        </w:rPr>
        <w:t xml:space="preserve"> PODACI</w:t>
      </w:r>
    </w:p>
    <w:p w14:paraId="5B7CB9C0" w14:textId="77777777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AEECF45" w14:textId="77777777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5.1.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Farmakodinamski podaci</w:t>
      </w:r>
      <w:r w:rsidR="003A7059" w:rsidRPr="00330BB2">
        <w:rPr>
          <w:b/>
          <w:bCs/>
          <w:sz w:val="22"/>
          <w:szCs w:val="22"/>
        </w:rPr>
        <w:t xml:space="preserve"> </w:t>
      </w:r>
    </w:p>
    <w:p w14:paraId="16925FB6" w14:textId="77777777" w:rsidR="00F45F77" w:rsidRPr="00330BB2" w:rsidRDefault="00F45F77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86E9433" w14:textId="713E74B4" w:rsidR="0072020E" w:rsidRPr="00330BB2" w:rsidRDefault="0072020E" w:rsidP="00FA129D">
      <w:pPr>
        <w:jc w:val="both"/>
        <w:rPr>
          <w:sz w:val="22"/>
          <w:szCs w:val="22"/>
          <w:lang w:val="hr-HR"/>
        </w:rPr>
      </w:pPr>
      <w:r w:rsidRPr="00330BB2">
        <w:rPr>
          <w:bCs/>
          <w:sz w:val="22"/>
          <w:szCs w:val="22"/>
        </w:rPr>
        <w:t>Farmakoterapijska grupa:</w:t>
      </w:r>
      <w:r w:rsidR="00C91DE7" w:rsidRPr="00330BB2">
        <w:rPr>
          <w:bCs/>
          <w:sz w:val="22"/>
          <w:szCs w:val="22"/>
        </w:rPr>
        <w:t xml:space="preserve"> </w:t>
      </w:r>
      <w:r w:rsidR="007B38F0" w:rsidRPr="00330BB2">
        <w:rPr>
          <w:sz w:val="22"/>
          <w:szCs w:val="22"/>
          <w:lang w:val="hr-HR"/>
        </w:rPr>
        <w:t>ljek</w:t>
      </w:r>
      <w:r w:rsidR="00C91DE7" w:rsidRPr="00330BB2">
        <w:rPr>
          <w:sz w:val="22"/>
          <w:szCs w:val="22"/>
          <w:lang w:val="hr-HR"/>
        </w:rPr>
        <w:t xml:space="preserve">ovi koji modofikuju lipide, ostali </w:t>
      </w:r>
      <w:r w:rsidR="007B38F0" w:rsidRPr="00330BB2">
        <w:rPr>
          <w:sz w:val="22"/>
          <w:szCs w:val="22"/>
          <w:lang w:val="hr-HR"/>
        </w:rPr>
        <w:t>ljek</w:t>
      </w:r>
      <w:r w:rsidR="00C91DE7" w:rsidRPr="00330BB2">
        <w:rPr>
          <w:sz w:val="22"/>
          <w:szCs w:val="22"/>
          <w:lang w:val="hr-HR"/>
        </w:rPr>
        <w:t>ovi koji modifikuju lipide</w:t>
      </w:r>
    </w:p>
    <w:p w14:paraId="15381C28" w14:textId="77777777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3418B96" w14:textId="77777777" w:rsidR="00C91DE7" w:rsidRPr="00330BB2" w:rsidRDefault="0072020E" w:rsidP="00FA129D">
      <w:pPr>
        <w:jc w:val="both"/>
        <w:rPr>
          <w:b/>
          <w:bCs/>
          <w:sz w:val="22"/>
          <w:szCs w:val="22"/>
        </w:rPr>
      </w:pPr>
      <w:r w:rsidRPr="00330BB2">
        <w:rPr>
          <w:bCs/>
          <w:sz w:val="22"/>
          <w:szCs w:val="22"/>
        </w:rPr>
        <w:t>ATC kod:</w:t>
      </w:r>
      <w:r w:rsidR="00C91DE7" w:rsidRPr="00330BB2">
        <w:rPr>
          <w:bCs/>
          <w:sz w:val="22"/>
          <w:szCs w:val="22"/>
        </w:rPr>
        <w:t xml:space="preserve"> </w:t>
      </w:r>
      <w:r w:rsidR="00C91DE7" w:rsidRPr="00330BB2">
        <w:rPr>
          <w:sz w:val="22"/>
          <w:szCs w:val="22"/>
          <w:lang w:val="hr-HR"/>
        </w:rPr>
        <w:t>C10AX16</w:t>
      </w:r>
    </w:p>
    <w:p w14:paraId="249CE3C7" w14:textId="04949B10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789152C" w14:textId="116D6FBD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hr-HR"/>
        </w:rPr>
      </w:pPr>
      <w:r w:rsidRPr="00330BB2">
        <w:rPr>
          <w:sz w:val="22"/>
          <w:szCs w:val="22"/>
          <w:u w:val="single"/>
          <w:lang w:val="hr-HR"/>
        </w:rPr>
        <w:t>Mehanizam de</w:t>
      </w:r>
      <w:r w:rsidR="00855CD0" w:rsidRPr="00330BB2">
        <w:rPr>
          <w:sz w:val="22"/>
          <w:szCs w:val="22"/>
          <w:u w:val="single"/>
          <w:lang w:val="hr-HR"/>
        </w:rPr>
        <w:t>jstva</w:t>
      </w:r>
    </w:p>
    <w:p w14:paraId="70FE1179" w14:textId="77777777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5DF13CA7" w14:textId="0DE7E388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Inklisiran je dvolančana mala interferirajuća ribonukleinska kiselina (engl. </w:t>
      </w:r>
      <w:r w:rsidRPr="00330BB2">
        <w:rPr>
          <w:i/>
          <w:sz w:val="22"/>
          <w:szCs w:val="22"/>
          <w:lang w:val="hr-HR"/>
        </w:rPr>
        <w:t>small interfering ribonucleic acid</w:t>
      </w:r>
      <w:r w:rsidRPr="00330BB2">
        <w:rPr>
          <w:sz w:val="22"/>
          <w:szCs w:val="22"/>
          <w:lang w:val="hr-HR"/>
        </w:rPr>
        <w:t>, siRNK) koja snižava</w:t>
      </w:r>
      <w:r w:rsidR="00855CD0" w:rsidRPr="00330BB2">
        <w:rPr>
          <w:sz w:val="22"/>
          <w:szCs w:val="22"/>
          <w:lang w:val="hr-HR"/>
        </w:rPr>
        <w:t xml:space="preserve"> vrijednost</w:t>
      </w:r>
      <w:r w:rsidRPr="00330BB2">
        <w:rPr>
          <w:sz w:val="22"/>
          <w:szCs w:val="22"/>
          <w:lang w:val="hr-HR"/>
        </w:rPr>
        <w:t xml:space="preserve"> holesterol</w:t>
      </w:r>
      <w:r w:rsidR="00855CD0" w:rsidRPr="00330BB2">
        <w:rPr>
          <w:sz w:val="22"/>
          <w:szCs w:val="22"/>
          <w:lang w:val="hr-HR"/>
        </w:rPr>
        <w:t>a</w:t>
      </w:r>
      <w:r w:rsidRPr="00330BB2">
        <w:rPr>
          <w:sz w:val="22"/>
          <w:szCs w:val="22"/>
          <w:lang w:val="hr-HR"/>
        </w:rPr>
        <w:t>, konjugovan</w:t>
      </w:r>
      <w:r w:rsidR="00B11056" w:rsidRPr="00330BB2">
        <w:rPr>
          <w:sz w:val="22"/>
          <w:szCs w:val="22"/>
          <w:lang w:val="hr-HR"/>
        </w:rPr>
        <w:t>a</w:t>
      </w:r>
      <w:r w:rsidRPr="00330BB2">
        <w:rPr>
          <w:sz w:val="22"/>
          <w:szCs w:val="22"/>
          <w:lang w:val="hr-HR"/>
        </w:rPr>
        <w:t xml:space="preserve"> na </w:t>
      </w:r>
      <w:r w:rsidRPr="00330BB2">
        <w:rPr>
          <w:i/>
          <w:sz w:val="22"/>
          <w:szCs w:val="22"/>
          <w:lang w:val="hr-HR"/>
        </w:rPr>
        <w:t>sense</w:t>
      </w:r>
      <w:r w:rsidRPr="00330BB2">
        <w:rPr>
          <w:sz w:val="22"/>
          <w:szCs w:val="22"/>
          <w:lang w:val="hr-HR"/>
        </w:rPr>
        <w:t xml:space="preserve"> lancu triantenarnim N</w:t>
      </w:r>
      <w:r w:rsidRPr="00330BB2">
        <w:rPr>
          <w:sz w:val="22"/>
          <w:szCs w:val="22"/>
          <w:lang w:val="hr-HR"/>
        </w:rPr>
        <w:noBreakHyphen/>
        <w:t xml:space="preserve">acetilgalaktozaminom (GalNAc) kako bi olakšala </w:t>
      </w:r>
      <w:r w:rsidR="00B11056" w:rsidRPr="00330BB2">
        <w:rPr>
          <w:sz w:val="22"/>
          <w:szCs w:val="22"/>
          <w:lang w:val="hr-HR"/>
        </w:rPr>
        <w:t>preuzimanje</w:t>
      </w:r>
      <w:r w:rsidRPr="00330BB2">
        <w:rPr>
          <w:sz w:val="22"/>
          <w:szCs w:val="22"/>
          <w:lang w:val="hr-HR"/>
        </w:rPr>
        <w:t xml:space="preserve"> u hepatocite. U hepatocitima, inklisiran koristi mehanizam RNK interferencije i usm</w:t>
      </w:r>
      <w:r w:rsidR="007B38F0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erava katalitičku razgradnju mRNK za proprotein konvertazu subtilizin/keksin tip 9. To povećava recikliranje i ekspresiju LDL-</w:t>
      </w:r>
      <w:r w:rsidR="00855CD0" w:rsidRPr="00330BB2">
        <w:rPr>
          <w:sz w:val="22"/>
          <w:szCs w:val="22"/>
          <w:lang w:val="hr-HR"/>
        </w:rPr>
        <w:t>holesterol</w:t>
      </w:r>
      <w:r w:rsidRPr="00330BB2">
        <w:rPr>
          <w:sz w:val="22"/>
          <w:szCs w:val="22"/>
          <w:lang w:val="hr-HR"/>
        </w:rPr>
        <w:t xml:space="preserve"> receptora na površini ćelije hepatocita, što povećava </w:t>
      </w:r>
      <w:r w:rsidR="00B11056" w:rsidRPr="00330BB2">
        <w:rPr>
          <w:sz w:val="22"/>
          <w:szCs w:val="22"/>
          <w:lang w:val="hr-HR"/>
        </w:rPr>
        <w:t>preuzimanje</w:t>
      </w:r>
      <w:r w:rsidRPr="00330BB2">
        <w:rPr>
          <w:sz w:val="22"/>
          <w:szCs w:val="22"/>
          <w:lang w:val="hr-HR"/>
        </w:rPr>
        <w:t xml:space="preserve"> LDL-</w:t>
      </w:r>
      <w:r w:rsidR="00855CD0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i snižava nivo LDL-</w:t>
      </w:r>
      <w:r w:rsidR="00855CD0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u cirkulaciji.</w:t>
      </w:r>
    </w:p>
    <w:p w14:paraId="0AB0A983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3663CE13" w14:textId="14108BE3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hr-HR"/>
        </w:rPr>
      </w:pPr>
      <w:r w:rsidRPr="00330BB2">
        <w:rPr>
          <w:sz w:val="22"/>
          <w:szCs w:val="22"/>
          <w:u w:val="single"/>
          <w:lang w:val="hr-HR"/>
        </w:rPr>
        <w:t>Farmakodinamsk</w:t>
      </w:r>
      <w:r w:rsidR="00855CD0" w:rsidRPr="00330BB2">
        <w:rPr>
          <w:sz w:val="22"/>
          <w:szCs w:val="22"/>
          <w:u w:val="single"/>
          <w:lang w:val="hr-HR"/>
        </w:rPr>
        <w:t>o dejstvo</w:t>
      </w:r>
    </w:p>
    <w:p w14:paraId="2DE56D52" w14:textId="77777777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559FA207" w14:textId="18229A76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Nakon jednokratne </w:t>
      </w:r>
      <w:r w:rsidR="00905F5F" w:rsidRPr="00330BB2">
        <w:rPr>
          <w:sz w:val="22"/>
          <w:szCs w:val="22"/>
          <w:lang w:val="hr-HR"/>
        </w:rPr>
        <w:t>subkutane</w:t>
      </w:r>
      <w:r w:rsidRPr="00330BB2">
        <w:rPr>
          <w:sz w:val="22"/>
          <w:szCs w:val="22"/>
          <w:lang w:val="hr-HR"/>
        </w:rPr>
        <w:t xml:space="preserve"> prim</w:t>
      </w:r>
      <w:r w:rsidR="007B38F0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ene 284 mg inklisirana, smanjenje</w:t>
      </w:r>
      <w:r w:rsidR="00855CD0" w:rsidRPr="00330BB2">
        <w:rPr>
          <w:sz w:val="22"/>
          <w:szCs w:val="22"/>
          <w:lang w:val="hr-HR"/>
        </w:rPr>
        <w:t xml:space="preserve"> vrijednosti</w:t>
      </w:r>
      <w:r w:rsidRPr="00330BB2">
        <w:rPr>
          <w:sz w:val="22"/>
          <w:szCs w:val="22"/>
          <w:lang w:val="hr-HR"/>
        </w:rPr>
        <w:t xml:space="preserve"> LDL</w:t>
      </w:r>
      <w:r w:rsidRPr="00330BB2">
        <w:rPr>
          <w:sz w:val="22"/>
          <w:szCs w:val="22"/>
          <w:lang w:val="hr-HR"/>
        </w:rPr>
        <w:noBreakHyphen/>
      </w:r>
      <w:r w:rsidR="00855CD0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je bilo vidljivo nakon 14 dana od doziranja. Srednja smanjenja od 49</w:t>
      </w:r>
      <w:r w:rsidRPr="00330BB2">
        <w:rPr>
          <w:sz w:val="22"/>
          <w:szCs w:val="22"/>
          <w:lang w:val="hr-HR"/>
        </w:rPr>
        <w:noBreakHyphen/>
        <w:t>51% za LDL</w:t>
      </w:r>
      <w:r w:rsidRPr="00330BB2">
        <w:rPr>
          <w:sz w:val="22"/>
          <w:szCs w:val="22"/>
          <w:lang w:val="hr-HR"/>
        </w:rPr>
        <w:noBreakHyphen/>
      </w:r>
      <w:r w:rsidR="00855CD0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su bila zapažena 30 do 60 dana nakon doziranja. </w:t>
      </w:r>
      <w:r w:rsidR="002A7728" w:rsidRPr="00330BB2">
        <w:rPr>
          <w:sz w:val="22"/>
          <w:szCs w:val="22"/>
          <w:lang w:val="hr-HR"/>
        </w:rPr>
        <w:t>Vrijednosti</w:t>
      </w:r>
      <w:r w:rsidR="00855CD0" w:rsidRPr="00330BB2">
        <w:rPr>
          <w:sz w:val="22"/>
          <w:szCs w:val="22"/>
          <w:lang w:val="hr-HR"/>
        </w:rPr>
        <w:t xml:space="preserve"> LDL-holesterola su </w:t>
      </w:r>
      <w:r w:rsidR="006A7203" w:rsidRPr="00330BB2">
        <w:rPr>
          <w:sz w:val="22"/>
          <w:szCs w:val="22"/>
          <w:lang w:val="hr-HR"/>
        </w:rPr>
        <w:t xml:space="preserve">do </w:t>
      </w:r>
      <w:r w:rsidRPr="00330BB2">
        <w:rPr>
          <w:sz w:val="22"/>
          <w:szCs w:val="22"/>
          <w:lang w:val="hr-HR"/>
        </w:rPr>
        <w:t>180. dana</w:t>
      </w:r>
      <w:r w:rsidR="00855CD0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>još uv</w:t>
      </w:r>
      <w:r w:rsidR="006A7203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ek bil</w:t>
      </w:r>
      <w:r w:rsidR="006A7203" w:rsidRPr="00330BB2">
        <w:rPr>
          <w:sz w:val="22"/>
          <w:szCs w:val="22"/>
          <w:lang w:val="hr-HR"/>
        </w:rPr>
        <w:t>e</w:t>
      </w:r>
      <w:r w:rsidRPr="00330BB2">
        <w:rPr>
          <w:sz w:val="22"/>
          <w:szCs w:val="22"/>
          <w:lang w:val="hr-HR"/>
        </w:rPr>
        <w:t xml:space="preserve"> snižen</w:t>
      </w:r>
      <w:r w:rsidR="006A7203" w:rsidRPr="00330BB2">
        <w:rPr>
          <w:sz w:val="22"/>
          <w:szCs w:val="22"/>
          <w:lang w:val="hr-HR"/>
        </w:rPr>
        <w:t>e</w:t>
      </w:r>
      <w:r w:rsidRPr="00330BB2">
        <w:rPr>
          <w:sz w:val="22"/>
          <w:szCs w:val="22"/>
          <w:lang w:val="hr-HR"/>
        </w:rPr>
        <w:t xml:space="preserve"> za otprilike 53%.</w:t>
      </w:r>
    </w:p>
    <w:p w14:paraId="6817CC12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73FCAD19" w14:textId="3AB431CD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hr-HR"/>
        </w:rPr>
      </w:pPr>
      <w:r w:rsidRPr="00330BB2">
        <w:rPr>
          <w:sz w:val="22"/>
          <w:szCs w:val="22"/>
          <w:u w:val="single"/>
          <w:lang w:val="hr-HR"/>
        </w:rPr>
        <w:t xml:space="preserve">Klinička efikasnost i </w:t>
      </w:r>
      <w:r w:rsidR="007B38F0" w:rsidRPr="00330BB2">
        <w:rPr>
          <w:sz w:val="22"/>
          <w:szCs w:val="22"/>
          <w:u w:val="single"/>
          <w:lang w:val="hr-HR"/>
        </w:rPr>
        <w:t>bezbjed</w:t>
      </w:r>
      <w:r w:rsidRPr="00330BB2">
        <w:rPr>
          <w:sz w:val="22"/>
          <w:szCs w:val="22"/>
          <w:u w:val="single"/>
          <w:lang w:val="hr-HR"/>
        </w:rPr>
        <w:t>nost</w:t>
      </w:r>
    </w:p>
    <w:p w14:paraId="3F897AC3" w14:textId="77777777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hr-HR"/>
        </w:rPr>
      </w:pPr>
    </w:p>
    <w:p w14:paraId="18376D39" w14:textId="701162EB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U kliničkim ispitivanjima i nekim publikacijama, doza inklisirana od 284 mg je jednaka 300 mg inklisiran natrijumove soli.</w:t>
      </w:r>
    </w:p>
    <w:p w14:paraId="2165EA24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5DD43706" w14:textId="507C77E6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Efikasnost inklisirana je ispitivana u tri ispitivanja faze III kod pacijenata sa aterosklerotskom kardiovaskularnom bolešću (ASKVB) (koronarna srčana bolest, cerebrovaskularna bolest ili bolest perifernih arterija), ekvivalentima rizika za ASKVB (dijabetes</w:t>
      </w:r>
      <w:r w:rsidR="00B11056" w:rsidRPr="00330BB2">
        <w:rPr>
          <w:sz w:val="22"/>
          <w:szCs w:val="22"/>
          <w:lang w:val="hr-HR"/>
        </w:rPr>
        <w:t xml:space="preserve"> melitus</w:t>
      </w:r>
      <w:r w:rsidRPr="00330BB2">
        <w:rPr>
          <w:sz w:val="22"/>
          <w:szCs w:val="22"/>
          <w:lang w:val="hr-HR"/>
        </w:rPr>
        <w:t xml:space="preserve"> tip 2, </w:t>
      </w:r>
      <w:r w:rsidR="006A7203" w:rsidRPr="00330BB2">
        <w:rPr>
          <w:sz w:val="22"/>
          <w:szCs w:val="22"/>
          <w:lang w:val="hr-HR"/>
        </w:rPr>
        <w:t>porodična</w:t>
      </w:r>
      <w:r w:rsidR="00855CD0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>hiperholesterolemija ili 10-godišnji rizik od 20% ili više za kardiovaskularni događaj proc</w:t>
      </w:r>
      <w:r w:rsidR="007B38F0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enjeno Framinghamovom oc</w:t>
      </w:r>
      <w:r w:rsidR="007B38F0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 xml:space="preserve">enom rizika ili ekvivalentom) i/ili </w:t>
      </w:r>
      <w:r w:rsidR="006A7203" w:rsidRPr="00330BB2">
        <w:rPr>
          <w:sz w:val="22"/>
          <w:szCs w:val="22"/>
          <w:lang w:val="hr-HR"/>
        </w:rPr>
        <w:t xml:space="preserve">porodičnom </w:t>
      </w:r>
      <w:r w:rsidRPr="00330BB2">
        <w:rPr>
          <w:sz w:val="22"/>
          <w:szCs w:val="22"/>
          <w:lang w:val="hr-HR"/>
        </w:rPr>
        <w:t>hiperholesterolemijom. Pacijenti su uzimali najveću podnošljivu dozu statina sa ili bez druge terapije koja modifikuje lipide i bilo im je potrebno dodatno snižavanje</w:t>
      </w:r>
      <w:r w:rsidR="00855CD0" w:rsidRPr="00330BB2">
        <w:rPr>
          <w:sz w:val="22"/>
          <w:szCs w:val="22"/>
          <w:lang w:val="hr-HR"/>
        </w:rPr>
        <w:t xml:space="preserve"> vrijednosti</w:t>
      </w:r>
      <w:r w:rsidRPr="00330BB2">
        <w:rPr>
          <w:sz w:val="22"/>
          <w:szCs w:val="22"/>
          <w:lang w:val="hr-HR"/>
        </w:rPr>
        <w:t xml:space="preserve"> LDL-</w:t>
      </w:r>
      <w:r w:rsidR="00855CD0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(pacijenti koji ne mogu da postignu svoj cilj </w:t>
      </w:r>
      <w:r w:rsidRPr="00330BB2">
        <w:rPr>
          <w:sz w:val="22"/>
          <w:szCs w:val="22"/>
          <w:lang w:val="hr-HR"/>
        </w:rPr>
        <w:lastRenderedPageBreak/>
        <w:t xml:space="preserve">liječenja). Otprilike 17% pacijenata nije podnosilo statine. Pacijenti su primali </w:t>
      </w:r>
      <w:r w:rsidR="00905F5F" w:rsidRPr="00330BB2">
        <w:rPr>
          <w:sz w:val="22"/>
          <w:szCs w:val="22"/>
          <w:lang w:val="hr-HR"/>
        </w:rPr>
        <w:t>subkutane</w:t>
      </w:r>
      <w:r w:rsidRPr="00330BB2">
        <w:rPr>
          <w:sz w:val="22"/>
          <w:szCs w:val="22"/>
          <w:lang w:val="hr-HR"/>
        </w:rPr>
        <w:t xml:space="preserve"> injekcije od 284 mg inklisirana ili placeba 1. dana, 90. dana, 270. dana i 450. dana. Pacijenti su bili praćeni do 540. dana.</w:t>
      </w:r>
    </w:p>
    <w:p w14:paraId="314FDA1D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5F6F6AD1" w14:textId="77777777" w:rsidR="00C91DE7" w:rsidRPr="00330BB2" w:rsidRDefault="00C91DE7" w:rsidP="00FA129D">
      <w:pPr>
        <w:tabs>
          <w:tab w:val="left" w:pos="284"/>
        </w:tabs>
        <w:jc w:val="both"/>
        <w:rPr>
          <w:rFonts w:eastAsia="SimSun"/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Efekat inklisirana na kardiovaskularni morbiditet i mortalitet još uvek nije utvrđen.</w:t>
      </w:r>
    </w:p>
    <w:p w14:paraId="5061BD6D" w14:textId="77777777" w:rsidR="00C91DE7" w:rsidRPr="00330BB2" w:rsidRDefault="00C91DE7" w:rsidP="00FA129D">
      <w:pPr>
        <w:tabs>
          <w:tab w:val="left" w:pos="284"/>
        </w:tabs>
        <w:jc w:val="both"/>
        <w:rPr>
          <w:rFonts w:eastAsia="SimSun"/>
          <w:sz w:val="22"/>
          <w:szCs w:val="22"/>
          <w:lang w:val="hr-HR"/>
        </w:rPr>
      </w:pPr>
    </w:p>
    <w:p w14:paraId="50ACCED8" w14:textId="5F8BD471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U objedinjenoj analizi faze III, </w:t>
      </w:r>
      <w:r w:rsidR="00D64000" w:rsidRPr="00330BB2">
        <w:rPr>
          <w:sz w:val="22"/>
          <w:szCs w:val="22"/>
          <w:lang w:val="hr-HR"/>
        </w:rPr>
        <w:t>subkutano</w:t>
      </w:r>
      <w:r w:rsidRPr="00330BB2">
        <w:rPr>
          <w:sz w:val="22"/>
          <w:szCs w:val="22"/>
          <w:lang w:val="hr-HR"/>
        </w:rPr>
        <w:t xml:space="preserve"> dat inklisiran je snizio</w:t>
      </w:r>
      <w:r w:rsidR="00855CD0" w:rsidRPr="00330BB2">
        <w:rPr>
          <w:sz w:val="22"/>
          <w:szCs w:val="22"/>
          <w:lang w:val="hr-HR"/>
        </w:rPr>
        <w:t xml:space="preserve"> vrijednost</w:t>
      </w:r>
      <w:r w:rsidRPr="00330BB2">
        <w:rPr>
          <w:sz w:val="22"/>
          <w:szCs w:val="22"/>
          <w:lang w:val="hr-HR"/>
        </w:rPr>
        <w:t xml:space="preserve"> LDL</w:t>
      </w:r>
      <w:r w:rsidRPr="00330BB2">
        <w:rPr>
          <w:sz w:val="22"/>
          <w:szCs w:val="22"/>
          <w:lang w:val="hr-HR"/>
        </w:rPr>
        <w:noBreakHyphen/>
      </w:r>
      <w:r w:rsidR="00855CD0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između 50% i 55% već 90. dana (Slika 1), što se održalo tokom </w:t>
      </w:r>
      <w:r w:rsidR="006A7203" w:rsidRPr="00330BB2">
        <w:rPr>
          <w:sz w:val="22"/>
          <w:szCs w:val="22"/>
          <w:lang w:val="hr-HR"/>
        </w:rPr>
        <w:t xml:space="preserve">dugotrajne </w:t>
      </w:r>
      <w:r w:rsidRPr="00330BB2">
        <w:rPr>
          <w:sz w:val="22"/>
          <w:szCs w:val="22"/>
          <w:lang w:val="hr-HR"/>
        </w:rPr>
        <w:t xml:space="preserve">terapije. Najveće sniženje </w:t>
      </w:r>
      <w:r w:rsidR="00855CD0" w:rsidRPr="00330BB2">
        <w:rPr>
          <w:sz w:val="22"/>
          <w:szCs w:val="22"/>
          <w:lang w:val="hr-HR"/>
        </w:rPr>
        <w:t xml:space="preserve">vrijednosti </w:t>
      </w:r>
      <w:r w:rsidRPr="00330BB2">
        <w:rPr>
          <w:sz w:val="22"/>
          <w:szCs w:val="22"/>
          <w:lang w:val="hr-HR"/>
        </w:rPr>
        <w:t>LDL-</w:t>
      </w:r>
      <w:r w:rsidR="00855CD0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je postignuto 150. dana nakon druge prim</w:t>
      </w:r>
      <w:r w:rsidR="004F6D01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ene. Mala, ali statistički značajna povećanja sniženja</w:t>
      </w:r>
      <w:r w:rsidR="00855CD0" w:rsidRPr="00330BB2">
        <w:rPr>
          <w:sz w:val="22"/>
          <w:szCs w:val="22"/>
          <w:lang w:val="hr-HR"/>
        </w:rPr>
        <w:t xml:space="preserve"> vrijednosti</w:t>
      </w:r>
      <w:r w:rsidRPr="00330BB2">
        <w:rPr>
          <w:sz w:val="22"/>
          <w:szCs w:val="22"/>
          <w:lang w:val="hr-HR"/>
        </w:rPr>
        <w:t xml:space="preserve"> LDL-</w:t>
      </w:r>
      <w:r w:rsidR="00855CD0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do 65% bila su povezana sa nižim početnim </w:t>
      </w:r>
      <w:r w:rsidR="00855CD0" w:rsidRPr="00330BB2">
        <w:rPr>
          <w:sz w:val="22"/>
          <w:szCs w:val="22"/>
          <w:lang w:val="hr-HR"/>
        </w:rPr>
        <w:t>vrijednostima</w:t>
      </w:r>
      <w:r w:rsidRPr="00330BB2">
        <w:rPr>
          <w:sz w:val="22"/>
          <w:szCs w:val="22"/>
          <w:lang w:val="hr-HR"/>
        </w:rPr>
        <w:t xml:space="preserve"> LDL-</w:t>
      </w:r>
      <w:r w:rsidR="00855CD0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(otprilike &lt;</w:t>
      </w:r>
      <w:r w:rsidR="00C954BF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>2 mmol/</w:t>
      </w:r>
      <w:r w:rsidR="006A7203" w:rsidRPr="00330BB2">
        <w:rPr>
          <w:sz w:val="22"/>
          <w:szCs w:val="22"/>
          <w:lang w:val="hr-HR"/>
        </w:rPr>
        <w:t>l</w:t>
      </w:r>
      <w:r w:rsidRPr="00330BB2">
        <w:rPr>
          <w:sz w:val="22"/>
          <w:szCs w:val="22"/>
          <w:lang w:val="hr-HR"/>
        </w:rPr>
        <w:t xml:space="preserve"> [77 mg/d</w:t>
      </w:r>
      <w:r w:rsidR="00C954BF" w:rsidRPr="00330BB2">
        <w:rPr>
          <w:sz w:val="22"/>
          <w:szCs w:val="22"/>
          <w:lang w:val="hr-HR"/>
        </w:rPr>
        <w:t>l</w:t>
      </w:r>
      <w:r w:rsidRPr="00330BB2">
        <w:rPr>
          <w:sz w:val="22"/>
          <w:szCs w:val="22"/>
          <w:lang w:val="hr-HR"/>
        </w:rPr>
        <w:t xml:space="preserve">]), višim početnim </w:t>
      </w:r>
      <w:r w:rsidR="00855CD0" w:rsidRPr="00330BB2">
        <w:rPr>
          <w:sz w:val="22"/>
          <w:szCs w:val="22"/>
          <w:lang w:val="hr-HR"/>
        </w:rPr>
        <w:t>vrijednostima</w:t>
      </w:r>
      <w:r w:rsidRPr="00330BB2">
        <w:rPr>
          <w:sz w:val="22"/>
          <w:szCs w:val="22"/>
          <w:lang w:val="hr-HR"/>
        </w:rPr>
        <w:t xml:space="preserve"> PCSK9 i višim dozama statina i intenzitetom terapije statinima.</w:t>
      </w:r>
    </w:p>
    <w:p w14:paraId="108822EB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51B03ACE" w14:textId="75821A6F" w:rsidR="00C91DE7" w:rsidRPr="00330BB2" w:rsidRDefault="00C91DE7" w:rsidP="00FA129D">
      <w:pPr>
        <w:keepNext/>
        <w:keepLines/>
        <w:spacing w:line="260" w:lineRule="exact"/>
        <w:ind w:left="1134" w:hanging="1134"/>
        <w:jc w:val="both"/>
        <w:rPr>
          <w:bCs/>
          <w:sz w:val="22"/>
          <w:szCs w:val="22"/>
          <w:lang w:val="hr-HR"/>
        </w:rPr>
      </w:pPr>
      <w:bookmarkStart w:id="0" w:name="_Ref27727429"/>
      <w:r w:rsidRPr="00330BB2">
        <w:rPr>
          <w:b/>
          <w:bCs/>
          <w:sz w:val="22"/>
          <w:szCs w:val="22"/>
          <w:lang w:val="hr-HR"/>
        </w:rPr>
        <w:t>Slika 1</w:t>
      </w:r>
      <w:bookmarkEnd w:id="0"/>
      <w:r w:rsidRPr="00330BB2">
        <w:rPr>
          <w:b/>
          <w:bCs/>
          <w:sz w:val="22"/>
          <w:szCs w:val="22"/>
          <w:lang w:val="hr-HR"/>
        </w:rPr>
        <w:tab/>
        <w:t>Srednja procentualna prom</w:t>
      </w:r>
      <w:r w:rsidR="004F6D01" w:rsidRPr="00330BB2">
        <w:rPr>
          <w:b/>
          <w:bCs/>
          <w:sz w:val="22"/>
          <w:szCs w:val="22"/>
          <w:lang w:val="hr-HR"/>
        </w:rPr>
        <w:t>j</w:t>
      </w:r>
      <w:r w:rsidRPr="00330BB2">
        <w:rPr>
          <w:b/>
          <w:bCs/>
          <w:sz w:val="22"/>
          <w:szCs w:val="22"/>
          <w:lang w:val="hr-HR"/>
        </w:rPr>
        <w:t>ena od početnog LDL-</w:t>
      </w:r>
      <w:r w:rsidR="00855CD0" w:rsidRPr="00330BB2">
        <w:rPr>
          <w:b/>
          <w:bCs/>
          <w:sz w:val="22"/>
          <w:szCs w:val="22"/>
          <w:lang w:val="hr-HR"/>
        </w:rPr>
        <w:t>holesterola</w:t>
      </w:r>
      <w:r w:rsidRPr="00330BB2">
        <w:rPr>
          <w:b/>
          <w:bCs/>
          <w:sz w:val="22"/>
          <w:szCs w:val="22"/>
          <w:lang w:val="hr-HR"/>
        </w:rPr>
        <w:t xml:space="preserve"> kod pacijenata sa primarnom hiperholesterolemijom i m</w:t>
      </w:r>
      <w:r w:rsidR="006A7203" w:rsidRPr="00330BB2">
        <w:rPr>
          <w:b/>
          <w:bCs/>
          <w:sz w:val="22"/>
          <w:szCs w:val="22"/>
          <w:lang w:val="hr-HR"/>
        </w:rPr>
        <w:t>ij</w:t>
      </w:r>
      <w:r w:rsidRPr="00330BB2">
        <w:rPr>
          <w:b/>
          <w:bCs/>
          <w:sz w:val="22"/>
          <w:szCs w:val="22"/>
          <w:lang w:val="hr-HR"/>
        </w:rPr>
        <w:t xml:space="preserve">ešanom dislipidemijom </w:t>
      </w:r>
      <w:r w:rsidR="007B38F0" w:rsidRPr="00330BB2">
        <w:rPr>
          <w:b/>
          <w:bCs/>
          <w:sz w:val="22"/>
          <w:szCs w:val="22"/>
          <w:lang w:val="hr-HR"/>
        </w:rPr>
        <w:t>liječ</w:t>
      </w:r>
      <w:r w:rsidRPr="00330BB2">
        <w:rPr>
          <w:b/>
          <w:bCs/>
          <w:sz w:val="22"/>
          <w:szCs w:val="22"/>
          <w:lang w:val="hr-HR"/>
        </w:rPr>
        <w:t>enih inklisiranom u poređenju sa placebom (objedinjena analiza)</w:t>
      </w:r>
    </w:p>
    <w:p w14:paraId="31DB1A71" w14:textId="2179645B" w:rsidR="002E37A5" w:rsidRPr="00330BB2" w:rsidRDefault="002E37A5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4ACB350" w14:textId="77777777" w:rsidR="00C91DE7" w:rsidRPr="00330BB2" w:rsidRDefault="00C91DE7" w:rsidP="00FA129D">
      <w:pPr>
        <w:keepNext/>
        <w:keepLines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0067EA0B" w14:textId="77777777" w:rsidR="00C91DE7" w:rsidRPr="00330BB2" w:rsidRDefault="00C91DE7" w:rsidP="00FA129D">
      <w:pPr>
        <w:keepNext/>
        <w:keepLines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A1F06" wp14:editId="0385050C">
                <wp:simplePos x="0" y="0"/>
                <wp:positionH relativeFrom="column">
                  <wp:posOffset>4102100</wp:posOffset>
                </wp:positionH>
                <wp:positionV relativeFrom="paragraph">
                  <wp:posOffset>20955</wp:posOffset>
                </wp:positionV>
                <wp:extent cx="590550" cy="24511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9055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26FF5" w14:textId="77777777" w:rsidR="00C72551" w:rsidRDefault="00C72551" w:rsidP="00C91DE7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Placebo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1FA1F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3pt;margin-top:1.65pt;width:46.5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" filled="f" stroked="f" strokeweight=".5pt">
                <o:lock v:ext="edit" aspectratio="t"/>
                <v:textbox>
                  <w:txbxContent>
                    <w:p w14:paraId="58026FF5" w14:textId="77777777" w:rsidR="00C72551" w:rsidRDefault="00C72551" w:rsidP="00C91DE7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Placebo</w:t>
                      </w:r>
                    </w:p>
                  </w:txbxContent>
                </v:textbox>
              </v:shape>
            </w:pict>
          </mc:Fallback>
        </mc:AlternateContent>
      </w:r>
      <w:r w:rsidRPr="00330BB2">
        <w:rPr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211F4500" wp14:editId="47A6C7D9">
            <wp:simplePos x="0" y="0"/>
            <wp:positionH relativeFrom="column">
              <wp:posOffset>3491861</wp:posOffset>
            </wp:positionH>
            <wp:positionV relativeFrom="paragraph">
              <wp:posOffset>31765</wp:posOffset>
            </wp:positionV>
            <wp:extent cx="675005" cy="260350"/>
            <wp:effectExtent l="0" t="0" r="0" b="6350"/>
            <wp:wrapNone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0BB2">
        <w:rPr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644DA82C" wp14:editId="12397FBF">
            <wp:simplePos x="0" y="0"/>
            <wp:positionH relativeFrom="column">
              <wp:posOffset>1747520</wp:posOffset>
            </wp:positionH>
            <wp:positionV relativeFrom="paragraph">
              <wp:posOffset>41910</wp:posOffset>
            </wp:positionV>
            <wp:extent cx="605155" cy="253365"/>
            <wp:effectExtent l="0" t="0" r="4445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0B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67B1C" wp14:editId="1F0DA7E8">
                <wp:simplePos x="0" y="0"/>
                <wp:positionH relativeFrom="column">
                  <wp:posOffset>2296795</wp:posOffset>
                </wp:positionH>
                <wp:positionV relativeFrom="paragraph">
                  <wp:posOffset>36830</wp:posOffset>
                </wp:positionV>
                <wp:extent cx="590550" cy="24511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9055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41E66D" w14:textId="77777777" w:rsidR="00C72551" w:rsidRDefault="00C72551" w:rsidP="00C91DE7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Inklisiran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E67B1C" id="Text Box 5" o:spid="_x0000_s1027" type="#_x0000_t202" style="position:absolute;left:0;text-align:left;margin-left:180.85pt;margin-top:2.9pt;width:46.5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" fillcolor="window" stroked="f" strokeweight=".5pt">
                <o:lock v:ext="edit" aspectratio="t"/>
                <v:textbox>
                  <w:txbxContent>
                    <w:p w14:paraId="1141E66D" w14:textId="77777777" w:rsidR="00C72551" w:rsidRDefault="00C72551" w:rsidP="00C91DE7">
                      <w:pPr>
                        <w:rPr>
                          <w:rFonts w:ascii="Arial" w:hAnsi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</w:rPr>
                        <w:t>Inklisiran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D8A63A4" w14:textId="77777777" w:rsidR="00C91DE7" w:rsidRPr="00330BB2" w:rsidRDefault="00C91DE7" w:rsidP="00FA129D">
      <w:pPr>
        <w:keepNext/>
        <w:keepLines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noProof/>
          <w:sz w:val="22"/>
          <w:szCs w:val="22"/>
          <w:u w:val="single"/>
        </w:rPr>
        <w:drawing>
          <wp:anchor distT="0" distB="0" distL="114300" distR="114300" simplePos="0" relativeHeight="251661312" behindDoc="0" locked="0" layoutInCell="1" allowOverlap="1" wp14:anchorId="69EF34BD" wp14:editId="18C71F1D">
            <wp:simplePos x="0" y="0"/>
            <wp:positionH relativeFrom="column">
              <wp:posOffset>695325</wp:posOffset>
            </wp:positionH>
            <wp:positionV relativeFrom="paragraph">
              <wp:posOffset>108585</wp:posOffset>
            </wp:positionV>
            <wp:extent cx="5192395" cy="2145665"/>
            <wp:effectExtent l="0" t="0" r="8255" b="698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2395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1D5489" w14:textId="77777777" w:rsidR="00C91DE7" w:rsidRPr="00330BB2" w:rsidRDefault="00C91DE7" w:rsidP="00FA129D">
      <w:pPr>
        <w:keepNext/>
        <w:keepLines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4D40D859" w14:textId="77777777" w:rsidR="00C91DE7" w:rsidRPr="00330BB2" w:rsidRDefault="00C91DE7" w:rsidP="00FA129D">
      <w:pPr>
        <w:keepNext/>
        <w:keepLines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156F4" wp14:editId="1071AA0E">
                <wp:simplePos x="0" y="0"/>
                <wp:positionH relativeFrom="column">
                  <wp:posOffset>-459740</wp:posOffset>
                </wp:positionH>
                <wp:positionV relativeFrom="paragraph">
                  <wp:posOffset>194945</wp:posOffset>
                </wp:positionV>
                <wp:extent cx="2030095" cy="267970"/>
                <wp:effectExtent l="0" t="876300" r="0" b="85598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2030095" cy="267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6991FE" w14:textId="77777777" w:rsidR="00C72551" w:rsidRDefault="00C72551" w:rsidP="00C91DE7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Srednji procenat promena od početka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0156F4" id="Text Box 13" o:spid="_x0000_s1028" type="#_x0000_t202" style="position:absolute;left:0;text-align:left;margin-left:-36.2pt;margin-top:15.35pt;width:159.85pt;height:21.1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" fillcolor="window" stroked="f" strokeweight=".5pt">
                <v:textbox>
                  <w:txbxContent>
                    <w:p w14:paraId="106991FE" w14:textId="77777777" w:rsidR="00C72551" w:rsidRDefault="00C72551" w:rsidP="00C91DE7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Srednji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procenat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promena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od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početka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BB89A3C" w14:textId="77777777" w:rsidR="00C91DE7" w:rsidRPr="00330BB2" w:rsidRDefault="00C91DE7" w:rsidP="00FA129D">
      <w:pPr>
        <w:keepNext/>
        <w:keepLines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0401C9B7" w14:textId="77777777" w:rsidR="00C91DE7" w:rsidRPr="00330BB2" w:rsidRDefault="00C91DE7" w:rsidP="00FA129D">
      <w:pPr>
        <w:keepNext/>
        <w:keepLines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53A423C2" w14:textId="77777777" w:rsidR="00C91DE7" w:rsidRPr="00330BB2" w:rsidRDefault="00C91DE7" w:rsidP="00FA129D">
      <w:pPr>
        <w:keepNext/>
        <w:keepLines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5AFC9EBE" w14:textId="77777777" w:rsidR="00C91DE7" w:rsidRPr="00330BB2" w:rsidRDefault="00C91DE7" w:rsidP="00FA129D">
      <w:pPr>
        <w:keepNext/>
        <w:keepLines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2862D3FD" w14:textId="77777777" w:rsidR="00C91DE7" w:rsidRPr="00330BB2" w:rsidRDefault="00C91DE7" w:rsidP="00FA129D">
      <w:pPr>
        <w:keepNext/>
        <w:keepLines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726B5923" w14:textId="77777777" w:rsidR="00C91DE7" w:rsidRPr="00330BB2" w:rsidRDefault="00C91DE7" w:rsidP="00FA129D">
      <w:pPr>
        <w:keepNext/>
        <w:keepLines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1B4797D1" w14:textId="77777777" w:rsidR="00C91DE7" w:rsidRPr="00330BB2" w:rsidRDefault="00C91DE7" w:rsidP="00FA129D">
      <w:pPr>
        <w:keepNext/>
        <w:keepLines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2497E965" w14:textId="77777777" w:rsidR="00C91DE7" w:rsidRPr="00330BB2" w:rsidRDefault="00C91DE7" w:rsidP="00FA129D">
      <w:pPr>
        <w:keepNext/>
        <w:keepLines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395A5A3" wp14:editId="4F005427">
                <wp:simplePos x="0" y="0"/>
                <wp:positionH relativeFrom="column">
                  <wp:posOffset>2994660</wp:posOffset>
                </wp:positionH>
                <wp:positionV relativeFrom="paragraph">
                  <wp:posOffset>8890</wp:posOffset>
                </wp:positionV>
                <wp:extent cx="643890" cy="23050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6F382" w14:textId="02C29DBC" w:rsidR="00C72551" w:rsidRPr="00034376" w:rsidRDefault="00C72551" w:rsidP="00C91DE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Mjeseci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95A5A3" id="Text Box 2" o:spid="_x0000_s1029" type="#_x0000_t202" style="position:absolute;left:0;text-align:left;margin-left:235.8pt;margin-top:.7pt;width:50.7pt;height:18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" stroked="f">
                <v:textbox inset=",1mm,,1mm">
                  <w:txbxContent>
                    <w:p w14:paraId="0936F382" w14:textId="02C29DBC" w:rsidR="00C72551" w:rsidRPr="00034376" w:rsidRDefault="00C72551" w:rsidP="00C91DE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Mjeseci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E19191" w14:textId="77777777" w:rsidR="00C91DE7" w:rsidRPr="00330BB2" w:rsidRDefault="00C91DE7" w:rsidP="00FA129D">
      <w:pPr>
        <w:keepNext/>
        <w:keepLines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A93269" wp14:editId="27FFC29C">
                <wp:simplePos x="0" y="0"/>
                <wp:positionH relativeFrom="column">
                  <wp:posOffset>24130</wp:posOffset>
                </wp:positionH>
                <wp:positionV relativeFrom="paragraph">
                  <wp:posOffset>12065</wp:posOffset>
                </wp:positionV>
                <wp:extent cx="878840" cy="538480"/>
                <wp:effectExtent l="0" t="0" r="0" b="0"/>
                <wp:wrapNone/>
                <wp:docPr id="10" name="Text Box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878840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7AE93" w14:textId="77777777" w:rsidR="00C72551" w:rsidRDefault="00C72551" w:rsidP="00C91DE7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Br. pacijenata</w:t>
                            </w:r>
                          </w:p>
                          <w:p w14:paraId="5C812A46" w14:textId="77777777" w:rsidR="00C72551" w:rsidRDefault="00C72551" w:rsidP="00C91DE7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Placebo</w:t>
                            </w:r>
                          </w:p>
                          <w:p w14:paraId="623F9658" w14:textId="77777777" w:rsidR="00C72551" w:rsidRDefault="00C72551" w:rsidP="00C91DE7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Inklisiran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A93269" id="Text Box 22" o:spid="_x0000_s1030" type="#_x0000_t202" style="position:absolute;left:0;text-align:left;margin-left:1.9pt;margin-top:.95pt;width:69.2pt;height:4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" filled="f" stroked="f" strokeweight=".5pt">
                <o:lock v:ext="edit" aspectratio="t"/>
                <v:textbox>
                  <w:txbxContent>
                    <w:p w14:paraId="59C7AE93" w14:textId="77777777" w:rsidR="00C72551" w:rsidRDefault="00C72551" w:rsidP="00C91DE7">
                      <w:pPr>
                        <w:jc w:val="right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Br.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</w:rPr>
                        <w:t>pacijenata</w:t>
                      </w:r>
                      <w:proofErr w:type="spellEnd"/>
                    </w:p>
                    <w:p w14:paraId="5C812A46" w14:textId="77777777" w:rsidR="00C72551" w:rsidRDefault="00C72551" w:rsidP="00C91DE7">
                      <w:pPr>
                        <w:jc w:val="right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Placebo</w:t>
                      </w:r>
                    </w:p>
                    <w:p w14:paraId="623F9658" w14:textId="77777777" w:rsidR="00C72551" w:rsidRDefault="00C72551" w:rsidP="00C91DE7">
                      <w:pPr>
                        <w:jc w:val="right"/>
                        <w:rPr>
                          <w:rFonts w:ascii="Arial" w:hAnsi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</w:rPr>
                        <w:t>Inklisiran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29A6BA0" w14:textId="77777777" w:rsidR="00C91DE7" w:rsidRPr="00330BB2" w:rsidRDefault="00C91DE7" w:rsidP="00FA129D">
      <w:pPr>
        <w:keepNext/>
        <w:keepLines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091FAE06" w14:textId="77777777" w:rsidR="00C91DE7" w:rsidRPr="00330BB2" w:rsidRDefault="00C91DE7" w:rsidP="00FA129D">
      <w:pPr>
        <w:keepNext/>
        <w:keepLines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1F63C7F1" w14:textId="77777777" w:rsidR="00C91DE7" w:rsidRPr="00330BB2" w:rsidRDefault="00C91DE7" w:rsidP="00FA129D">
      <w:pPr>
        <w:keepNext/>
        <w:keepLines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490BCA4E" w14:textId="31CD0421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8E2ACDB" w14:textId="77777777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i/>
          <w:sz w:val="22"/>
          <w:szCs w:val="22"/>
          <w:u w:val="single"/>
          <w:lang w:val="hr-HR"/>
        </w:rPr>
      </w:pPr>
      <w:r w:rsidRPr="00330BB2">
        <w:rPr>
          <w:i/>
          <w:sz w:val="22"/>
          <w:szCs w:val="22"/>
          <w:u w:val="single"/>
          <w:lang w:val="hr-HR"/>
        </w:rPr>
        <w:t>ASKVB i ekvivalenti rizika za ASKVB</w:t>
      </w:r>
    </w:p>
    <w:p w14:paraId="3B0E22FA" w14:textId="77777777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i/>
          <w:sz w:val="22"/>
          <w:szCs w:val="22"/>
          <w:u w:val="single"/>
          <w:lang w:val="hr-HR"/>
        </w:rPr>
      </w:pPr>
    </w:p>
    <w:p w14:paraId="2860AD5C" w14:textId="13488B1C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Dva ispitivanja su sprovedena kod pacijenata sa ASKVB-om i ekvivalentima rizika za ASKVB (ORION</w:t>
      </w:r>
      <w:r w:rsidRPr="00330BB2">
        <w:rPr>
          <w:sz w:val="22"/>
          <w:szCs w:val="22"/>
          <w:lang w:val="hr-HR"/>
        </w:rPr>
        <w:noBreakHyphen/>
        <w:t>10 i ORION</w:t>
      </w:r>
      <w:r w:rsidRPr="00330BB2">
        <w:rPr>
          <w:sz w:val="22"/>
          <w:szCs w:val="22"/>
          <w:lang w:val="hr-HR"/>
        </w:rPr>
        <w:noBreakHyphen/>
        <w:t>11). Pacijenti su uzimali najveću podnošljivu dozu statina sa ili bez druge terapije koja modifikuje lipide, kao što je ezetimib, i bilo im je potrebno dodatno snižavanje</w:t>
      </w:r>
      <w:r w:rsidR="00855CD0" w:rsidRPr="00330BB2">
        <w:rPr>
          <w:sz w:val="22"/>
          <w:szCs w:val="22"/>
          <w:lang w:val="hr-HR"/>
        </w:rPr>
        <w:t xml:space="preserve"> vrijednosti</w:t>
      </w:r>
      <w:r w:rsidRPr="00330BB2">
        <w:rPr>
          <w:sz w:val="22"/>
          <w:szCs w:val="22"/>
          <w:lang w:val="hr-HR"/>
        </w:rPr>
        <w:t xml:space="preserve"> LDL</w:t>
      </w:r>
      <w:r w:rsidRPr="00330BB2">
        <w:rPr>
          <w:sz w:val="22"/>
          <w:szCs w:val="22"/>
          <w:lang w:val="hr-HR"/>
        </w:rPr>
        <w:noBreakHyphen/>
      </w:r>
      <w:r w:rsidR="00855CD0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>. Budući da se očekuje da će snižavanje LDL-</w:t>
      </w:r>
      <w:r w:rsidR="00855CD0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poboljšati kardiovaskularne ishode, mere koprimarnih parametara</w:t>
      </w:r>
      <w:r w:rsidR="00855CD0" w:rsidRPr="00330BB2">
        <w:rPr>
          <w:sz w:val="22"/>
          <w:szCs w:val="22"/>
          <w:lang w:val="hr-HR"/>
        </w:rPr>
        <w:t xml:space="preserve"> praćenja</w:t>
      </w:r>
      <w:r w:rsidRPr="00330BB2">
        <w:rPr>
          <w:sz w:val="22"/>
          <w:szCs w:val="22"/>
          <w:lang w:val="hr-HR"/>
        </w:rPr>
        <w:t xml:space="preserve"> u svakom ispitivanju su bile procentualna prom</w:t>
      </w:r>
      <w:r w:rsidR="004F6D01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ena LDL-</w:t>
      </w:r>
      <w:r w:rsidR="00855CD0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od početne </w:t>
      </w:r>
      <w:r w:rsidR="007B38F0" w:rsidRPr="00330BB2">
        <w:rPr>
          <w:sz w:val="22"/>
          <w:szCs w:val="22"/>
          <w:lang w:val="hr-HR"/>
        </w:rPr>
        <w:t>vrijednost</w:t>
      </w:r>
      <w:r w:rsidRPr="00330BB2">
        <w:rPr>
          <w:sz w:val="22"/>
          <w:szCs w:val="22"/>
          <w:lang w:val="hr-HR"/>
        </w:rPr>
        <w:t>i do 510. dana u poređenju sa placebom i vremenski prilagođena procentualna prom</w:t>
      </w:r>
      <w:r w:rsidR="004F6D01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ena LDL</w:t>
      </w:r>
      <w:r w:rsidRPr="00330BB2">
        <w:rPr>
          <w:sz w:val="22"/>
          <w:szCs w:val="22"/>
          <w:lang w:val="hr-HR"/>
        </w:rPr>
        <w:noBreakHyphen/>
      </w:r>
      <w:r w:rsidR="00855CD0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od početne </w:t>
      </w:r>
      <w:r w:rsidR="007B38F0" w:rsidRPr="00330BB2">
        <w:rPr>
          <w:sz w:val="22"/>
          <w:szCs w:val="22"/>
          <w:lang w:val="hr-HR"/>
        </w:rPr>
        <w:t>vrijednost</w:t>
      </w:r>
      <w:r w:rsidRPr="00330BB2">
        <w:rPr>
          <w:sz w:val="22"/>
          <w:szCs w:val="22"/>
          <w:lang w:val="hr-HR"/>
        </w:rPr>
        <w:t>i nakon 90. dana do 540. dana da bi se proc</w:t>
      </w:r>
      <w:r w:rsidR="004F6D01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 xml:space="preserve">enio integrisani </w:t>
      </w:r>
      <w:r w:rsidR="00855CD0" w:rsidRPr="00330BB2">
        <w:rPr>
          <w:sz w:val="22"/>
          <w:szCs w:val="22"/>
          <w:lang w:val="hr-HR"/>
        </w:rPr>
        <w:t xml:space="preserve">uticaj </w:t>
      </w:r>
      <w:r w:rsidRPr="00330BB2">
        <w:rPr>
          <w:sz w:val="22"/>
          <w:szCs w:val="22"/>
          <w:lang w:val="hr-HR"/>
        </w:rPr>
        <w:t>na LDL-</w:t>
      </w:r>
      <w:r w:rsidR="00855CD0" w:rsidRPr="00330BB2">
        <w:rPr>
          <w:sz w:val="22"/>
          <w:szCs w:val="22"/>
          <w:lang w:val="hr-HR"/>
        </w:rPr>
        <w:t>holesterol</w:t>
      </w:r>
      <w:r w:rsidRPr="00330BB2">
        <w:rPr>
          <w:sz w:val="22"/>
          <w:szCs w:val="22"/>
          <w:lang w:val="hr-HR"/>
        </w:rPr>
        <w:t xml:space="preserve"> tokom vremena.</w:t>
      </w:r>
    </w:p>
    <w:p w14:paraId="1FE7626A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0AB734A2" w14:textId="52CE5429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ORION</w:t>
      </w:r>
      <w:r w:rsidRPr="00330BB2">
        <w:rPr>
          <w:sz w:val="22"/>
          <w:szCs w:val="22"/>
          <w:lang w:val="hr-HR"/>
        </w:rPr>
        <w:noBreakHyphen/>
        <w:t>10 je bilo multicentrično, dvostruko sl</w:t>
      </w:r>
      <w:r w:rsidR="004F6D01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epo, randomizovano, placebom kontrolisano 18-mesečno ispitivanje, sprovedeno na 1561 pacijentu sa ASKVB-om.</w:t>
      </w:r>
    </w:p>
    <w:p w14:paraId="316AE034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6C27EAF4" w14:textId="3E654A9D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Srednja starost na početku je bila 66 godina (raspon: 35 do 90 godina), 60% je imalo ≥65 godina, 31% su bile žene, 86% su bili belci, 13% crnci, 1% Azijati, a 14% hispano ili latino porekla. Srednj</w:t>
      </w:r>
      <w:r w:rsidR="00855CD0" w:rsidRPr="00330BB2">
        <w:rPr>
          <w:sz w:val="22"/>
          <w:szCs w:val="22"/>
          <w:lang w:val="hr-HR"/>
        </w:rPr>
        <w:t>a</w:t>
      </w:r>
      <w:r w:rsidRPr="00330BB2">
        <w:rPr>
          <w:sz w:val="22"/>
          <w:szCs w:val="22"/>
          <w:lang w:val="hr-HR"/>
        </w:rPr>
        <w:t xml:space="preserve"> početn</w:t>
      </w:r>
      <w:r w:rsidR="00855CD0" w:rsidRPr="00330BB2">
        <w:rPr>
          <w:sz w:val="22"/>
          <w:szCs w:val="22"/>
          <w:lang w:val="hr-HR"/>
        </w:rPr>
        <w:t>a</w:t>
      </w:r>
      <w:r w:rsidRPr="00330BB2">
        <w:rPr>
          <w:sz w:val="22"/>
          <w:szCs w:val="22"/>
          <w:lang w:val="hr-HR"/>
        </w:rPr>
        <w:t xml:space="preserve"> </w:t>
      </w:r>
      <w:r w:rsidR="00855CD0" w:rsidRPr="00330BB2">
        <w:rPr>
          <w:sz w:val="22"/>
          <w:szCs w:val="22"/>
          <w:lang w:val="hr-HR"/>
        </w:rPr>
        <w:t xml:space="preserve">vrijednost </w:t>
      </w:r>
      <w:r w:rsidRPr="00330BB2">
        <w:rPr>
          <w:sz w:val="22"/>
          <w:szCs w:val="22"/>
          <w:lang w:val="hr-HR"/>
        </w:rPr>
        <w:t>LDL-</w:t>
      </w:r>
      <w:r w:rsidR="00855CD0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bi</w:t>
      </w:r>
      <w:r w:rsidR="00855CD0" w:rsidRPr="00330BB2">
        <w:rPr>
          <w:sz w:val="22"/>
          <w:szCs w:val="22"/>
          <w:lang w:val="hr-HR"/>
        </w:rPr>
        <w:t>la</w:t>
      </w:r>
      <w:r w:rsidRPr="00330BB2">
        <w:rPr>
          <w:sz w:val="22"/>
          <w:szCs w:val="22"/>
          <w:lang w:val="hr-HR"/>
        </w:rPr>
        <w:t xml:space="preserve"> je 2,7 mmol/</w:t>
      </w:r>
      <w:r w:rsidR="006930FF" w:rsidRPr="00330BB2">
        <w:rPr>
          <w:sz w:val="22"/>
          <w:szCs w:val="22"/>
          <w:lang w:val="hr-HR"/>
        </w:rPr>
        <w:t xml:space="preserve">l </w:t>
      </w:r>
      <w:r w:rsidRPr="00330BB2">
        <w:rPr>
          <w:sz w:val="22"/>
          <w:szCs w:val="22"/>
          <w:lang w:val="hr-HR"/>
        </w:rPr>
        <w:t>(105 mg/d</w:t>
      </w:r>
      <w:r w:rsidR="00C954BF" w:rsidRPr="00330BB2">
        <w:rPr>
          <w:sz w:val="22"/>
          <w:szCs w:val="22"/>
          <w:lang w:val="hr-HR"/>
        </w:rPr>
        <w:t>l</w:t>
      </w:r>
      <w:r w:rsidRPr="00330BB2">
        <w:rPr>
          <w:sz w:val="22"/>
          <w:szCs w:val="22"/>
          <w:lang w:val="hr-HR"/>
        </w:rPr>
        <w:t>). Šezdeset devet posto (69%) je uzimalo terapiju statinima visokog intenziteta, 19% uzimalo je terapiju statinima srednjeg intenziteta, 1% terapiju statinima niskog intenziteta, a 11% nije bilo na statinu. Najčešće prim</w:t>
      </w:r>
      <w:r w:rsidR="004F6D01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enjivani statini bili su atorvastatin i rosuvastatin.</w:t>
      </w:r>
    </w:p>
    <w:p w14:paraId="526D7818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4CA50876" w14:textId="7F6F489B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lastRenderedPageBreak/>
        <w:t>Inklisiran je značajno smanjio srednju procentualnu prom</w:t>
      </w:r>
      <w:r w:rsidR="004F6D01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enu</w:t>
      </w:r>
      <w:r w:rsidR="00855CD0" w:rsidRPr="00330BB2">
        <w:rPr>
          <w:sz w:val="22"/>
          <w:szCs w:val="22"/>
          <w:lang w:val="hr-HR"/>
        </w:rPr>
        <w:t xml:space="preserve"> vrijednosti</w:t>
      </w:r>
      <w:r w:rsidRPr="00330BB2">
        <w:rPr>
          <w:sz w:val="22"/>
          <w:szCs w:val="22"/>
          <w:lang w:val="hr-HR"/>
        </w:rPr>
        <w:t xml:space="preserve"> LDL</w:t>
      </w:r>
      <w:r w:rsidRPr="00330BB2">
        <w:rPr>
          <w:sz w:val="22"/>
          <w:szCs w:val="22"/>
          <w:lang w:val="hr-HR"/>
        </w:rPr>
        <w:noBreakHyphen/>
      </w:r>
      <w:r w:rsidR="00855CD0" w:rsidRPr="00330BB2">
        <w:rPr>
          <w:sz w:val="22"/>
          <w:szCs w:val="22"/>
          <w:lang w:val="hr-HR"/>
        </w:rPr>
        <w:t>holesterol</w:t>
      </w:r>
      <w:r w:rsidRPr="00330BB2">
        <w:rPr>
          <w:sz w:val="22"/>
          <w:szCs w:val="22"/>
          <w:lang w:val="hr-HR"/>
        </w:rPr>
        <w:t xml:space="preserve">a od početne </w:t>
      </w:r>
      <w:r w:rsidR="007B38F0" w:rsidRPr="00330BB2">
        <w:rPr>
          <w:sz w:val="22"/>
          <w:szCs w:val="22"/>
          <w:lang w:val="hr-HR"/>
        </w:rPr>
        <w:t>vrijednost</w:t>
      </w:r>
      <w:r w:rsidRPr="00330BB2">
        <w:rPr>
          <w:sz w:val="22"/>
          <w:szCs w:val="22"/>
          <w:lang w:val="hr-HR"/>
        </w:rPr>
        <w:t xml:space="preserve">i do 510. dana u poređenju sa placebom za 52% (95% CI: </w:t>
      </w:r>
      <w:r w:rsidRPr="00330BB2">
        <w:rPr>
          <w:sz w:val="22"/>
          <w:szCs w:val="22"/>
          <w:lang w:val="hr-HR"/>
        </w:rPr>
        <w:noBreakHyphen/>
        <w:t xml:space="preserve">56%, </w:t>
      </w:r>
      <w:r w:rsidRPr="00330BB2">
        <w:rPr>
          <w:sz w:val="22"/>
          <w:szCs w:val="22"/>
          <w:lang w:val="hr-HR"/>
        </w:rPr>
        <w:noBreakHyphen/>
        <w:t>49%; p &lt;</w:t>
      </w:r>
      <w:r w:rsidR="00C954BF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>0,0001) (Tabela 2).</w:t>
      </w:r>
    </w:p>
    <w:p w14:paraId="7242653D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7832D536" w14:textId="393B3C8E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Inklisiran je ujedno značajno smanjio vremenski prilagođenu procentualnu prom</w:t>
      </w:r>
      <w:r w:rsidR="006930FF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enu LDL</w:t>
      </w:r>
      <w:r w:rsidRPr="00330BB2">
        <w:rPr>
          <w:sz w:val="22"/>
          <w:szCs w:val="22"/>
          <w:lang w:val="hr-HR"/>
        </w:rPr>
        <w:noBreakHyphen/>
      </w:r>
      <w:r w:rsidR="002A7728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od početne </w:t>
      </w:r>
      <w:r w:rsidR="007B38F0" w:rsidRPr="00330BB2">
        <w:rPr>
          <w:sz w:val="22"/>
          <w:szCs w:val="22"/>
          <w:lang w:val="hr-HR"/>
        </w:rPr>
        <w:t>vrijednost</w:t>
      </w:r>
      <w:r w:rsidRPr="00330BB2">
        <w:rPr>
          <w:sz w:val="22"/>
          <w:szCs w:val="22"/>
          <w:lang w:val="hr-HR"/>
        </w:rPr>
        <w:t xml:space="preserve">i nakon 90. dana do 540. dana za 54% u poređenju sa placebom (95% CI: </w:t>
      </w:r>
      <w:r w:rsidRPr="00330BB2">
        <w:rPr>
          <w:sz w:val="22"/>
          <w:szCs w:val="22"/>
          <w:lang w:val="hr-HR"/>
        </w:rPr>
        <w:noBreakHyphen/>
        <w:t xml:space="preserve">56%, </w:t>
      </w:r>
      <w:r w:rsidRPr="00330BB2">
        <w:rPr>
          <w:sz w:val="22"/>
          <w:szCs w:val="22"/>
          <w:lang w:val="hr-HR"/>
        </w:rPr>
        <w:noBreakHyphen/>
        <w:t>51%; p &lt;</w:t>
      </w:r>
      <w:r w:rsidR="00855CD0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 xml:space="preserve">0,0001). Za dodatne rezultate, </w:t>
      </w:r>
      <w:r w:rsidR="007B38F0" w:rsidRPr="00330BB2">
        <w:rPr>
          <w:sz w:val="22"/>
          <w:szCs w:val="22"/>
          <w:lang w:val="hr-HR"/>
        </w:rPr>
        <w:t>vidjet</w:t>
      </w:r>
      <w:r w:rsidRPr="00330BB2">
        <w:rPr>
          <w:sz w:val="22"/>
          <w:szCs w:val="22"/>
          <w:lang w:val="hr-HR"/>
        </w:rPr>
        <w:t>i Tabelu 2.</w:t>
      </w:r>
    </w:p>
    <w:p w14:paraId="512A62CA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621CC80E" w14:textId="192C6712" w:rsidR="00C91DE7" w:rsidRPr="00330BB2" w:rsidRDefault="00C91DE7" w:rsidP="00FA129D">
      <w:pPr>
        <w:keepNext/>
        <w:keepLines/>
        <w:tabs>
          <w:tab w:val="left" w:pos="284"/>
        </w:tabs>
        <w:autoSpaceDE w:val="0"/>
        <w:autoSpaceDN w:val="0"/>
        <w:adjustRightInd w:val="0"/>
        <w:ind w:left="1134" w:hanging="1134"/>
        <w:jc w:val="both"/>
        <w:rPr>
          <w:bCs/>
          <w:sz w:val="22"/>
          <w:szCs w:val="22"/>
          <w:lang w:val="hr-HR"/>
        </w:rPr>
      </w:pPr>
      <w:bookmarkStart w:id="1" w:name="_Ref12869231"/>
      <w:r w:rsidRPr="00330BB2">
        <w:rPr>
          <w:b/>
          <w:bCs/>
          <w:sz w:val="22"/>
          <w:szCs w:val="22"/>
          <w:lang w:val="hr-HR"/>
        </w:rPr>
        <w:t>Tabela </w:t>
      </w:r>
      <w:bookmarkEnd w:id="1"/>
      <w:r w:rsidRPr="00330BB2">
        <w:rPr>
          <w:b/>
          <w:sz w:val="22"/>
          <w:szCs w:val="22"/>
          <w:lang w:val="hr-HR"/>
        </w:rPr>
        <w:t>2</w:t>
      </w:r>
      <w:r w:rsidRPr="00330BB2">
        <w:rPr>
          <w:b/>
          <w:bCs/>
          <w:sz w:val="22"/>
          <w:szCs w:val="22"/>
          <w:lang w:val="hr-HR"/>
        </w:rPr>
        <w:tab/>
        <w:t>Srednja procentualna prom</w:t>
      </w:r>
      <w:r w:rsidR="004F6D01" w:rsidRPr="00330BB2">
        <w:rPr>
          <w:b/>
          <w:bCs/>
          <w:sz w:val="22"/>
          <w:szCs w:val="22"/>
          <w:lang w:val="hr-HR"/>
        </w:rPr>
        <w:t>j</w:t>
      </w:r>
      <w:r w:rsidRPr="00330BB2">
        <w:rPr>
          <w:b/>
          <w:bCs/>
          <w:sz w:val="22"/>
          <w:szCs w:val="22"/>
          <w:lang w:val="hr-HR"/>
        </w:rPr>
        <w:t xml:space="preserve">ena od početne </w:t>
      </w:r>
      <w:r w:rsidR="007B38F0" w:rsidRPr="00330BB2">
        <w:rPr>
          <w:b/>
          <w:bCs/>
          <w:sz w:val="22"/>
          <w:szCs w:val="22"/>
          <w:lang w:val="hr-HR"/>
        </w:rPr>
        <w:t>vrijednost</w:t>
      </w:r>
      <w:r w:rsidRPr="00330BB2">
        <w:rPr>
          <w:b/>
          <w:bCs/>
          <w:sz w:val="22"/>
          <w:szCs w:val="22"/>
          <w:lang w:val="hr-HR"/>
        </w:rPr>
        <w:t>i i razlika u odnosu na placebo u lipidnim parametrima 510. dana u ispitivanju ORION</w:t>
      </w:r>
      <w:r w:rsidRPr="00330BB2">
        <w:rPr>
          <w:b/>
          <w:bCs/>
          <w:sz w:val="22"/>
          <w:szCs w:val="22"/>
          <w:lang w:val="hr-HR"/>
        </w:rPr>
        <w:noBreakHyphen/>
        <w:t>10</w:t>
      </w:r>
    </w:p>
    <w:p w14:paraId="0533B7C7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1394"/>
        <w:gridCol w:w="1395"/>
        <w:gridCol w:w="1395"/>
        <w:gridCol w:w="1394"/>
        <w:gridCol w:w="1397"/>
      </w:tblGrid>
      <w:tr w:rsidR="00C91DE7" w:rsidRPr="00330BB2" w14:paraId="3CD22B4D" w14:textId="77777777" w:rsidTr="007B38F0">
        <w:trPr>
          <w:cantSplit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73ACEF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t>Terapijska grupa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DFF8D" w14:textId="458717AF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t>LDL</w:t>
            </w:r>
            <w:r w:rsidRPr="00330BB2">
              <w:rPr>
                <w:b/>
                <w:sz w:val="22"/>
                <w:szCs w:val="22"/>
                <w:lang w:val="hr-HR"/>
              </w:rPr>
              <w:noBreakHyphen/>
            </w:r>
            <w:r w:rsidR="00855CD0" w:rsidRPr="00330BB2">
              <w:rPr>
                <w:b/>
                <w:sz w:val="22"/>
                <w:szCs w:val="22"/>
                <w:lang w:val="hr-HR"/>
              </w:rPr>
              <w:t>holesterol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019CF0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t>Ukupni holesterol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E7F6D" w14:textId="6AA4656B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t>Ne</w:t>
            </w:r>
            <w:r w:rsidRPr="00330BB2">
              <w:rPr>
                <w:b/>
                <w:sz w:val="22"/>
                <w:szCs w:val="22"/>
                <w:lang w:val="hr-HR"/>
              </w:rPr>
              <w:noBreakHyphen/>
              <w:t>HDL</w:t>
            </w:r>
            <w:r w:rsidRPr="00330BB2">
              <w:rPr>
                <w:b/>
                <w:sz w:val="22"/>
                <w:szCs w:val="22"/>
                <w:lang w:val="hr-HR"/>
              </w:rPr>
              <w:noBreakHyphen/>
            </w:r>
            <w:r w:rsidR="00855CD0" w:rsidRPr="00330BB2">
              <w:rPr>
                <w:b/>
                <w:sz w:val="22"/>
                <w:szCs w:val="22"/>
                <w:lang w:val="hr-HR"/>
              </w:rPr>
              <w:t>holesterol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B4313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t>Apo</w:t>
            </w:r>
            <w:r w:rsidRPr="00330BB2">
              <w:rPr>
                <w:b/>
                <w:sz w:val="22"/>
                <w:szCs w:val="22"/>
                <w:lang w:val="hr-HR"/>
              </w:rPr>
              <w:noBreakHyphen/>
              <w:t>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91EDF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t>Lp(a)*</w:t>
            </w:r>
          </w:p>
        </w:tc>
      </w:tr>
      <w:tr w:rsidR="00C91DE7" w:rsidRPr="00330BB2" w14:paraId="4BC504D4" w14:textId="77777777" w:rsidTr="007B38F0">
        <w:trPr>
          <w:cantSplit/>
        </w:trPr>
        <w:tc>
          <w:tcPr>
            <w:tcW w:w="2119" w:type="dxa"/>
            <w:tcBorders>
              <w:top w:val="single" w:sz="4" w:space="0" w:color="auto"/>
            </w:tcBorders>
            <w:shd w:val="clear" w:color="auto" w:fill="auto"/>
          </w:tcPr>
          <w:p w14:paraId="65D3FE17" w14:textId="3FD3B9B3" w:rsidR="00C91DE7" w:rsidRPr="00330BB2" w:rsidRDefault="00C91DE7" w:rsidP="00F06C6E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 xml:space="preserve">Srednja početna </w:t>
            </w:r>
            <w:r w:rsidR="007B38F0" w:rsidRPr="00330BB2">
              <w:rPr>
                <w:sz w:val="22"/>
                <w:szCs w:val="22"/>
                <w:lang w:val="hr-HR"/>
              </w:rPr>
              <w:t>vrijednost</w:t>
            </w:r>
            <w:r w:rsidRPr="00330BB2">
              <w:rPr>
                <w:sz w:val="22"/>
                <w:szCs w:val="22"/>
                <w:lang w:val="hr-HR"/>
              </w:rPr>
              <w:t xml:space="preserve"> u mg/d</w:t>
            </w:r>
            <w:r w:rsidR="00C954BF" w:rsidRPr="00330BB2">
              <w:rPr>
                <w:sz w:val="22"/>
                <w:szCs w:val="22"/>
                <w:lang w:val="hr-HR"/>
              </w:rPr>
              <w:t>l</w:t>
            </w:r>
            <w:r w:rsidRPr="00330BB2">
              <w:rPr>
                <w:sz w:val="22"/>
                <w:szCs w:val="22"/>
                <w:lang w:val="hr-HR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0C79F63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53A4313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181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72C0CE4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FF74A44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CE8D876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122</w:t>
            </w:r>
          </w:p>
        </w:tc>
      </w:tr>
      <w:tr w:rsidR="00C91DE7" w:rsidRPr="00330BB2" w14:paraId="06337BFA" w14:textId="77777777" w:rsidTr="007B38F0">
        <w:trPr>
          <w:cantSplit/>
        </w:trPr>
        <w:tc>
          <w:tcPr>
            <w:tcW w:w="9209" w:type="dxa"/>
            <w:gridSpan w:val="6"/>
          </w:tcPr>
          <w:p w14:paraId="60570A50" w14:textId="2277FE82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 xml:space="preserve">510. dan (srednja procentualna promena u odnosu na početnu </w:t>
            </w:r>
            <w:r w:rsidR="007B38F0" w:rsidRPr="00330BB2">
              <w:rPr>
                <w:sz w:val="22"/>
                <w:szCs w:val="22"/>
                <w:lang w:val="hr-HR"/>
              </w:rPr>
              <w:t>vrijednost</w:t>
            </w:r>
            <w:r w:rsidRPr="00330BB2">
              <w:rPr>
                <w:sz w:val="22"/>
                <w:szCs w:val="22"/>
                <w:lang w:val="hr-HR"/>
              </w:rPr>
              <w:t>)</w:t>
            </w:r>
          </w:p>
        </w:tc>
      </w:tr>
      <w:tr w:rsidR="00C91DE7" w:rsidRPr="00330BB2" w14:paraId="2A75C08F" w14:textId="77777777" w:rsidTr="007B38F0">
        <w:trPr>
          <w:cantSplit/>
        </w:trPr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14:paraId="0027E24B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Placebo (n=780)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520FAC4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40E86E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E2180C9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6566D3E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CA9D5A4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4</w:t>
            </w:r>
          </w:p>
        </w:tc>
      </w:tr>
      <w:tr w:rsidR="00C91DE7" w:rsidRPr="00330BB2" w14:paraId="09D1CD7F" w14:textId="77777777" w:rsidTr="007B38F0">
        <w:trPr>
          <w:cantSplit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8E879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Inklisiran</w:t>
            </w:r>
          </w:p>
          <w:p w14:paraId="0DAB181E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(n=781)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8E62D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51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3354CA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34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8C0BE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172080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46A26C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22</w:t>
            </w:r>
          </w:p>
        </w:tc>
      </w:tr>
      <w:tr w:rsidR="00C91DE7" w:rsidRPr="00330BB2" w14:paraId="33476911" w14:textId="77777777" w:rsidTr="007B38F0">
        <w:trPr>
          <w:cantSplit/>
        </w:trPr>
        <w:tc>
          <w:tcPr>
            <w:tcW w:w="2119" w:type="dxa"/>
            <w:tcBorders>
              <w:top w:val="single" w:sz="4" w:space="0" w:color="auto"/>
            </w:tcBorders>
            <w:shd w:val="clear" w:color="auto" w:fill="auto"/>
          </w:tcPr>
          <w:p w14:paraId="50C546D2" w14:textId="6609E7D1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 xml:space="preserve">Razlika u odnosu na placebo (LS srednja </w:t>
            </w:r>
            <w:r w:rsidR="007B38F0" w:rsidRPr="00330BB2">
              <w:rPr>
                <w:sz w:val="22"/>
                <w:szCs w:val="22"/>
                <w:lang w:val="hr-HR"/>
              </w:rPr>
              <w:t>vrijednost</w:t>
            </w:r>
            <w:r w:rsidRPr="00330BB2">
              <w:rPr>
                <w:sz w:val="22"/>
                <w:szCs w:val="22"/>
                <w:lang w:val="hr-HR"/>
              </w:rPr>
              <w:t>)</w:t>
            </w:r>
          </w:p>
          <w:p w14:paraId="3B3ABD48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(95% CI)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77C4893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52</w:t>
            </w:r>
          </w:p>
          <w:p w14:paraId="55F90BF0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</w:t>
            </w:r>
            <w:r w:rsidRPr="00330BB2">
              <w:rPr>
                <w:sz w:val="22"/>
                <w:szCs w:val="22"/>
                <w:lang w:val="hr-HR"/>
              </w:rPr>
              <w:noBreakHyphen/>
              <w:t xml:space="preserve">56, </w:t>
            </w:r>
            <w:r w:rsidRPr="00330BB2">
              <w:rPr>
                <w:sz w:val="22"/>
                <w:szCs w:val="22"/>
                <w:lang w:val="hr-HR"/>
              </w:rPr>
              <w:noBreakHyphen/>
              <w:t>49)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E4BDC8A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33</w:t>
            </w:r>
          </w:p>
          <w:p w14:paraId="4F58789E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</w:t>
            </w:r>
            <w:r w:rsidRPr="00330BB2">
              <w:rPr>
                <w:sz w:val="22"/>
                <w:szCs w:val="22"/>
                <w:lang w:val="hr-HR"/>
              </w:rPr>
              <w:noBreakHyphen/>
              <w:t xml:space="preserve">35, </w:t>
            </w:r>
            <w:r w:rsidRPr="00330BB2">
              <w:rPr>
                <w:sz w:val="22"/>
                <w:szCs w:val="22"/>
                <w:lang w:val="hr-HR"/>
              </w:rPr>
              <w:noBreakHyphen/>
              <w:t>31)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018211D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47</w:t>
            </w:r>
          </w:p>
          <w:p w14:paraId="08BB159A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</w:t>
            </w:r>
            <w:r w:rsidRPr="00330BB2">
              <w:rPr>
                <w:sz w:val="22"/>
                <w:szCs w:val="22"/>
                <w:lang w:val="hr-HR"/>
              </w:rPr>
              <w:noBreakHyphen/>
              <w:t xml:space="preserve">50, </w:t>
            </w:r>
            <w:r w:rsidRPr="00330BB2">
              <w:rPr>
                <w:sz w:val="22"/>
                <w:szCs w:val="22"/>
                <w:lang w:val="hr-HR"/>
              </w:rPr>
              <w:noBreakHyphen/>
              <w:t>44)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0C38740A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43</w:t>
            </w:r>
          </w:p>
          <w:p w14:paraId="6CC854DC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</w:t>
            </w:r>
            <w:r w:rsidRPr="00330BB2">
              <w:rPr>
                <w:sz w:val="22"/>
                <w:szCs w:val="22"/>
                <w:lang w:val="hr-HR"/>
              </w:rPr>
              <w:noBreakHyphen/>
              <w:t xml:space="preserve">46, </w:t>
            </w:r>
            <w:r w:rsidRPr="00330BB2">
              <w:rPr>
                <w:sz w:val="22"/>
                <w:szCs w:val="22"/>
                <w:lang w:val="hr-HR"/>
              </w:rPr>
              <w:noBreakHyphen/>
              <w:t>41)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C6C62B9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26</w:t>
            </w:r>
          </w:p>
          <w:p w14:paraId="45143523" w14:textId="77777777" w:rsidR="00C91DE7" w:rsidRPr="00330BB2" w:rsidRDefault="00C91DE7" w:rsidP="006930FF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</w:t>
            </w:r>
            <w:r w:rsidRPr="00330BB2">
              <w:rPr>
                <w:sz w:val="22"/>
                <w:szCs w:val="22"/>
                <w:lang w:val="hr-HR"/>
              </w:rPr>
              <w:noBreakHyphen/>
              <w:t xml:space="preserve">29, </w:t>
            </w:r>
            <w:r w:rsidRPr="00330BB2">
              <w:rPr>
                <w:sz w:val="22"/>
                <w:szCs w:val="22"/>
                <w:lang w:val="hr-HR"/>
              </w:rPr>
              <w:noBreakHyphen/>
              <w:t>22)</w:t>
            </w:r>
          </w:p>
        </w:tc>
      </w:tr>
      <w:tr w:rsidR="00C91DE7" w:rsidRPr="00330BB2" w14:paraId="3747C559" w14:textId="77777777" w:rsidTr="007B38F0">
        <w:trPr>
          <w:cantSplit/>
        </w:trPr>
        <w:tc>
          <w:tcPr>
            <w:tcW w:w="9209" w:type="dxa"/>
            <w:gridSpan w:val="6"/>
            <w:shd w:val="clear" w:color="auto" w:fill="auto"/>
          </w:tcPr>
          <w:p w14:paraId="5596737D" w14:textId="1B3CFBF4" w:rsidR="00C91DE7" w:rsidRPr="00330BB2" w:rsidRDefault="00C91DE7" w:rsidP="00FA129D">
            <w:pPr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*540. dana; medijana procentualne prom</w:t>
            </w:r>
            <w:r w:rsidR="006A7203" w:rsidRPr="00330BB2">
              <w:rPr>
                <w:sz w:val="22"/>
                <w:szCs w:val="22"/>
                <w:lang w:val="hr-HR"/>
              </w:rPr>
              <w:t>j</w:t>
            </w:r>
            <w:r w:rsidRPr="00330BB2">
              <w:rPr>
                <w:sz w:val="22"/>
                <w:szCs w:val="22"/>
                <w:lang w:val="hr-HR"/>
              </w:rPr>
              <w:t xml:space="preserve">ene </w:t>
            </w:r>
            <w:r w:rsidR="007B38F0" w:rsidRPr="00330BB2">
              <w:rPr>
                <w:sz w:val="22"/>
                <w:szCs w:val="22"/>
                <w:lang w:val="hr-HR"/>
              </w:rPr>
              <w:t>vrijednost</w:t>
            </w:r>
            <w:r w:rsidRPr="00330BB2">
              <w:rPr>
                <w:sz w:val="22"/>
                <w:szCs w:val="22"/>
                <w:lang w:val="hr-HR"/>
              </w:rPr>
              <w:t>i Lp(a)</w:t>
            </w:r>
          </w:p>
          <w:p w14:paraId="07D952BD" w14:textId="339F7209" w:rsidR="00C91DE7" w:rsidRPr="00330BB2" w:rsidRDefault="00C91DE7" w:rsidP="00FA129D">
            <w:pPr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 xml:space="preserve">**Srednja početna </w:t>
            </w:r>
            <w:r w:rsidR="007B38F0" w:rsidRPr="00330BB2">
              <w:rPr>
                <w:sz w:val="22"/>
                <w:szCs w:val="22"/>
                <w:lang w:val="hr-HR"/>
              </w:rPr>
              <w:t>vrijednost</w:t>
            </w:r>
            <w:r w:rsidRPr="00330BB2">
              <w:rPr>
                <w:sz w:val="22"/>
                <w:szCs w:val="22"/>
                <w:lang w:val="hr-HR"/>
              </w:rPr>
              <w:t xml:space="preserve"> u nmol/</w:t>
            </w:r>
            <w:r w:rsidR="006A7203" w:rsidRPr="00330BB2">
              <w:rPr>
                <w:sz w:val="22"/>
                <w:szCs w:val="22"/>
                <w:lang w:val="hr-HR"/>
              </w:rPr>
              <w:t>l</w:t>
            </w:r>
            <w:r w:rsidRPr="00330BB2">
              <w:rPr>
                <w:sz w:val="22"/>
                <w:szCs w:val="22"/>
                <w:lang w:val="hr-HR"/>
              </w:rPr>
              <w:t xml:space="preserve"> za Lp(a)</w:t>
            </w:r>
          </w:p>
        </w:tc>
      </w:tr>
    </w:tbl>
    <w:p w14:paraId="21243FC1" w14:textId="04CCCDD6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1EE0F2B" w14:textId="075263CB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Do 510. dana ciljana </w:t>
      </w:r>
      <w:r w:rsidR="007B38F0" w:rsidRPr="00330BB2">
        <w:rPr>
          <w:sz w:val="22"/>
          <w:szCs w:val="22"/>
          <w:lang w:val="hr-HR"/>
        </w:rPr>
        <w:t>vrijednost</w:t>
      </w:r>
      <w:r w:rsidRPr="00330BB2">
        <w:rPr>
          <w:sz w:val="22"/>
          <w:szCs w:val="22"/>
          <w:lang w:val="hr-HR"/>
        </w:rPr>
        <w:t xml:space="preserve"> LDL-</w:t>
      </w:r>
      <w:r w:rsidR="00C954BF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od &lt;</w:t>
      </w:r>
      <w:r w:rsidR="009246CD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>1,8 mmol/</w:t>
      </w:r>
      <w:r w:rsidR="006A7203" w:rsidRPr="00330BB2">
        <w:rPr>
          <w:sz w:val="22"/>
          <w:szCs w:val="22"/>
          <w:lang w:val="hr-HR"/>
        </w:rPr>
        <w:t>l</w:t>
      </w:r>
      <w:r w:rsidRPr="00330BB2">
        <w:rPr>
          <w:sz w:val="22"/>
          <w:szCs w:val="22"/>
          <w:lang w:val="hr-HR"/>
        </w:rPr>
        <w:t xml:space="preserve"> (70 mg/d</w:t>
      </w:r>
      <w:r w:rsidR="006A7203" w:rsidRPr="00330BB2">
        <w:rPr>
          <w:sz w:val="22"/>
          <w:szCs w:val="22"/>
          <w:lang w:val="hr-HR"/>
        </w:rPr>
        <w:t>l</w:t>
      </w:r>
      <w:r w:rsidRPr="00330BB2">
        <w:rPr>
          <w:sz w:val="22"/>
          <w:szCs w:val="22"/>
          <w:lang w:val="hr-HR"/>
        </w:rPr>
        <w:t>) je postignuta kod 84% pacijenta na inklisiranu sa ASKVB-om u poređenju sa 18% pacijenta na placebu.</w:t>
      </w:r>
    </w:p>
    <w:p w14:paraId="34C8C907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15D4D44F" w14:textId="4A78E29C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 w:rsidRPr="00330BB2">
        <w:rPr>
          <w:bCs/>
          <w:sz w:val="22"/>
          <w:szCs w:val="22"/>
          <w:lang w:val="hr-HR"/>
        </w:rPr>
        <w:t xml:space="preserve">Konzistentna i statistički značajna </w:t>
      </w:r>
      <w:r w:rsidRPr="00330BB2">
        <w:rPr>
          <w:sz w:val="22"/>
          <w:szCs w:val="22"/>
          <w:lang w:val="hr-HR"/>
        </w:rPr>
        <w:t>(p</w:t>
      </w:r>
      <w:r w:rsidR="009246CD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>&lt;</w:t>
      </w:r>
      <w:r w:rsidR="009246CD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>0,0001) smanjenja procentualne promene</w:t>
      </w:r>
      <w:r w:rsidR="009246CD" w:rsidRPr="00330BB2">
        <w:rPr>
          <w:sz w:val="22"/>
          <w:szCs w:val="22"/>
          <w:lang w:val="hr-HR"/>
        </w:rPr>
        <w:t xml:space="preserve"> vrijednosti</w:t>
      </w:r>
      <w:r w:rsidRPr="00330BB2">
        <w:rPr>
          <w:sz w:val="22"/>
          <w:szCs w:val="22"/>
          <w:lang w:val="hr-HR"/>
        </w:rPr>
        <w:t xml:space="preserve"> </w:t>
      </w:r>
      <w:r w:rsidRPr="00330BB2">
        <w:rPr>
          <w:bCs/>
          <w:sz w:val="22"/>
          <w:szCs w:val="22"/>
          <w:lang w:val="hr-HR"/>
        </w:rPr>
        <w:t>LDL</w:t>
      </w:r>
      <w:r w:rsidRPr="00330BB2">
        <w:rPr>
          <w:bCs/>
          <w:sz w:val="22"/>
          <w:szCs w:val="22"/>
          <w:lang w:val="hr-HR"/>
        </w:rPr>
        <w:noBreakHyphen/>
      </w:r>
      <w:r w:rsidR="009246CD" w:rsidRPr="00330BB2">
        <w:rPr>
          <w:bCs/>
          <w:sz w:val="22"/>
          <w:szCs w:val="22"/>
          <w:lang w:val="hr-HR"/>
        </w:rPr>
        <w:t>holesterola</w:t>
      </w:r>
      <w:r w:rsidRPr="00330BB2">
        <w:rPr>
          <w:bCs/>
          <w:sz w:val="22"/>
          <w:szCs w:val="22"/>
          <w:lang w:val="hr-HR"/>
        </w:rPr>
        <w:t xml:space="preserve"> od početne </w:t>
      </w:r>
      <w:r w:rsidR="007B38F0" w:rsidRPr="00330BB2">
        <w:rPr>
          <w:bCs/>
          <w:sz w:val="22"/>
          <w:szCs w:val="22"/>
          <w:lang w:val="hr-HR"/>
        </w:rPr>
        <w:t>vrijednost</w:t>
      </w:r>
      <w:r w:rsidRPr="00330BB2">
        <w:rPr>
          <w:bCs/>
          <w:sz w:val="22"/>
          <w:szCs w:val="22"/>
          <w:lang w:val="hr-HR"/>
        </w:rPr>
        <w:t>i do 510. dana i vremenski prilagođena procentualna promena LDL-</w:t>
      </w:r>
      <w:r w:rsidR="00C954BF" w:rsidRPr="00330BB2">
        <w:rPr>
          <w:bCs/>
          <w:sz w:val="22"/>
          <w:szCs w:val="22"/>
          <w:lang w:val="hr-HR"/>
        </w:rPr>
        <w:t>holesterola</w:t>
      </w:r>
      <w:r w:rsidRPr="00330BB2">
        <w:rPr>
          <w:bCs/>
          <w:sz w:val="22"/>
          <w:szCs w:val="22"/>
          <w:lang w:val="hr-HR"/>
        </w:rPr>
        <w:t xml:space="preserve"> od početne </w:t>
      </w:r>
      <w:r w:rsidR="007B38F0" w:rsidRPr="00330BB2">
        <w:rPr>
          <w:bCs/>
          <w:sz w:val="22"/>
          <w:szCs w:val="22"/>
          <w:lang w:val="hr-HR"/>
        </w:rPr>
        <w:t>vrijednost</w:t>
      </w:r>
      <w:r w:rsidRPr="00330BB2">
        <w:rPr>
          <w:bCs/>
          <w:sz w:val="22"/>
          <w:szCs w:val="22"/>
          <w:lang w:val="hr-HR"/>
        </w:rPr>
        <w:t>i nakon 90. dana do 540. dana su bile prim</w:t>
      </w:r>
      <w:r w:rsidR="004F6D01" w:rsidRPr="00330BB2">
        <w:rPr>
          <w:bCs/>
          <w:sz w:val="22"/>
          <w:szCs w:val="22"/>
          <w:lang w:val="hr-HR"/>
        </w:rPr>
        <w:t>ij</w:t>
      </w:r>
      <w:r w:rsidRPr="00330BB2">
        <w:rPr>
          <w:bCs/>
          <w:sz w:val="22"/>
          <w:szCs w:val="22"/>
          <w:lang w:val="hr-HR"/>
        </w:rPr>
        <w:t>ećene u svim podgrupama, bez obzira na početne demografske pokazatelje, početn</w:t>
      </w:r>
      <w:r w:rsidR="006A7203" w:rsidRPr="00330BB2">
        <w:rPr>
          <w:bCs/>
          <w:sz w:val="22"/>
          <w:szCs w:val="22"/>
          <w:lang w:val="hr-HR"/>
        </w:rPr>
        <w:t>a</w:t>
      </w:r>
      <w:r w:rsidRPr="00330BB2">
        <w:rPr>
          <w:bCs/>
          <w:sz w:val="22"/>
          <w:szCs w:val="22"/>
          <w:lang w:val="hr-HR"/>
        </w:rPr>
        <w:t xml:space="preserve"> ob</w:t>
      </w:r>
      <w:r w:rsidR="004F6D01" w:rsidRPr="00330BB2">
        <w:rPr>
          <w:bCs/>
          <w:sz w:val="22"/>
          <w:szCs w:val="22"/>
          <w:lang w:val="hr-HR"/>
        </w:rPr>
        <w:t>ilje</w:t>
      </w:r>
      <w:r w:rsidRPr="00330BB2">
        <w:rPr>
          <w:bCs/>
          <w:sz w:val="22"/>
          <w:szCs w:val="22"/>
          <w:lang w:val="hr-HR"/>
        </w:rPr>
        <w:t>žj</w:t>
      </w:r>
      <w:r w:rsidR="006A7203" w:rsidRPr="00330BB2">
        <w:rPr>
          <w:bCs/>
          <w:sz w:val="22"/>
          <w:szCs w:val="22"/>
          <w:lang w:val="hr-HR"/>
        </w:rPr>
        <w:t>a</w:t>
      </w:r>
      <w:r w:rsidRPr="00330BB2">
        <w:rPr>
          <w:bCs/>
          <w:sz w:val="22"/>
          <w:szCs w:val="22"/>
          <w:lang w:val="hr-HR"/>
        </w:rPr>
        <w:t xml:space="preserve"> bolesti (uključujući pol, starost, indeks t</w:t>
      </w:r>
      <w:r w:rsidR="004F6D01" w:rsidRPr="00330BB2">
        <w:rPr>
          <w:bCs/>
          <w:sz w:val="22"/>
          <w:szCs w:val="22"/>
          <w:lang w:val="hr-HR"/>
        </w:rPr>
        <w:t>j</w:t>
      </w:r>
      <w:r w:rsidRPr="00330BB2">
        <w:rPr>
          <w:bCs/>
          <w:sz w:val="22"/>
          <w:szCs w:val="22"/>
          <w:lang w:val="hr-HR"/>
        </w:rPr>
        <w:t>elesne m</w:t>
      </w:r>
      <w:r w:rsidR="004F6D01" w:rsidRPr="00330BB2">
        <w:rPr>
          <w:bCs/>
          <w:sz w:val="22"/>
          <w:szCs w:val="22"/>
          <w:lang w:val="hr-HR"/>
        </w:rPr>
        <w:t>j</w:t>
      </w:r>
      <w:r w:rsidRPr="00330BB2">
        <w:rPr>
          <w:bCs/>
          <w:sz w:val="22"/>
          <w:szCs w:val="22"/>
          <w:lang w:val="hr-HR"/>
        </w:rPr>
        <w:t>ase, rasu i prim</w:t>
      </w:r>
      <w:r w:rsidR="004F6D01" w:rsidRPr="00330BB2">
        <w:rPr>
          <w:bCs/>
          <w:sz w:val="22"/>
          <w:szCs w:val="22"/>
          <w:lang w:val="hr-HR"/>
        </w:rPr>
        <w:t>j</w:t>
      </w:r>
      <w:r w:rsidRPr="00330BB2">
        <w:rPr>
          <w:bCs/>
          <w:sz w:val="22"/>
          <w:szCs w:val="22"/>
          <w:lang w:val="hr-HR"/>
        </w:rPr>
        <w:t>enu statina na početku), komorbiditete i geografske regije.</w:t>
      </w:r>
    </w:p>
    <w:p w14:paraId="20E1881C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072F5080" w14:textId="28A79EFF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ORION</w:t>
      </w:r>
      <w:r w:rsidRPr="00330BB2">
        <w:rPr>
          <w:sz w:val="22"/>
          <w:szCs w:val="22"/>
          <w:lang w:val="hr-HR"/>
        </w:rPr>
        <w:noBreakHyphen/>
        <w:t>11 je bio međunarodno, multicentrično, dvostruko sl</w:t>
      </w:r>
      <w:r w:rsidR="004F6D01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epo, randomizovano, placebom kontrolisano 18-m</w:t>
      </w:r>
      <w:r w:rsidR="004F6D01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esečno ispitivanje u kojem je ispitivano 1617 pacijenata sa ASKVB-om ili ekvivalentima rizika za ASKVB. Više od 75% pacijenata primalo je osnovnu terapiju statinima visokog intenziteta, 87% pacijenata je imalo ASKVB, a 13% je imalo ekvivalent rizika za ASKVB.</w:t>
      </w:r>
    </w:p>
    <w:p w14:paraId="3D2FE610" w14:textId="77777777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7199CA0D" w14:textId="0AA3993E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Srednja starost na početku je bila 65 godina (raspon: 20 do 88 godina), 55% je imalo ≥</w:t>
      </w:r>
      <w:r w:rsidR="00C954BF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>65 godina, 28% su bile žene, 98% su bili b</w:t>
      </w:r>
      <w:r w:rsidR="004F6D01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elci, 1% crnci, 1% Azijati, a 1% hispano ili latino por</w:t>
      </w:r>
      <w:r w:rsidR="006930FF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ekla. Srednj</w:t>
      </w:r>
      <w:r w:rsidR="00C954BF" w:rsidRPr="00330BB2">
        <w:rPr>
          <w:sz w:val="22"/>
          <w:szCs w:val="22"/>
          <w:lang w:val="hr-HR"/>
        </w:rPr>
        <w:t>a</w:t>
      </w:r>
      <w:r w:rsidRPr="00330BB2">
        <w:rPr>
          <w:sz w:val="22"/>
          <w:szCs w:val="22"/>
          <w:lang w:val="hr-HR"/>
        </w:rPr>
        <w:t xml:space="preserve"> početn</w:t>
      </w:r>
      <w:r w:rsidR="00C954BF" w:rsidRPr="00330BB2">
        <w:rPr>
          <w:sz w:val="22"/>
          <w:szCs w:val="22"/>
          <w:lang w:val="hr-HR"/>
        </w:rPr>
        <w:t>a vrijednost</w:t>
      </w:r>
      <w:r w:rsidRPr="00330BB2">
        <w:rPr>
          <w:sz w:val="22"/>
          <w:szCs w:val="22"/>
          <w:lang w:val="hr-HR"/>
        </w:rPr>
        <w:t xml:space="preserve"> LDL</w:t>
      </w:r>
      <w:r w:rsidRPr="00330BB2">
        <w:rPr>
          <w:sz w:val="22"/>
          <w:szCs w:val="22"/>
          <w:lang w:val="hr-HR"/>
        </w:rPr>
        <w:noBreakHyphen/>
      </w:r>
      <w:r w:rsidR="00C954BF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je bi</w:t>
      </w:r>
      <w:r w:rsidR="00C954BF" w:rsidRPr="00330BB2">
        <w:rPr>
          <w:sz w:val="22"/>
          <w:szCs w:val="22"/>
          <w:lang w:val="hr-HR"/>
        </w:rPr>
        <w:t>la</w:t>
      </w:r>
      <w:r w:rsidRPr="00330BB2">
        <w:rPr>
          <w:sz w:val="22"/>
          <w:szCs w:val="22"/>
          <w:lang w:val="hr-HR"/>
        </w:rPr>
        <w:t xml:space="preserve"> 2,7 mmol/</w:t>
      </w:r>
      <w:r w:rsidR="00C954BF" w:rsidRPr="00330BB2">
        <w:rPr>
          <w:sz w:val="22"/>
          <w:szCs w:val="22"/>
          <w:lang w:val="hr-HR"/>
        </w:rPr>
        <w:t>l</w:t>
      </w:r>
      <w:r w:rsidRPr="00330BB2">
        <w:rPr>
          <w:sz w:val="22"/>
          <w:szCs w:val="22"/>
          <w:lang w:val="hr-HR"/>
        </w:rPr>
        <w:t xml:space="preserve"> (105 mg/d</w:t>
      </w:r>
      <w:r w:rsidR="00C954BF" w:rsidRPr="00330BB2">
        <w:rPr>
          <w:sz w:val="22"/>
          <w:szCs w:val="22"/>
          <w:lang w:val="hr-HR"/>
        </w:rPr>
        <w:t>l</w:t>
      </w:r>
      <w:r w:rsidRPr="00330BB2">
        <w:rPr>
          <w:sz w:val="22"/>
          <w:szCs w:val="22"/>
          <w:lang w:val="hr-HR"/>
        </w:rPr>
        <w:t>). Sedamdest osam posto (78%) je bilo na terapiji statinima visokog intenziteta, 16% je uzimalo terapiju statinima srednjeg intenziteta, 0,4% uzimalo je terapiju statinima niskog intenziteta, a 5% nije bilo na statinu. Najčešće prim</w:t>
      </w:r>
      <w:r w:rsidR="004F6D01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enjivani statini su bili atorvastatin i rosuvastatin.</w:t>
      </w:r>
    </w:p>
    <w:p w14:paraId="33E9578C" w14:textId="77777777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19D07565" w14:textId="4E4C17E9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Inklisiran je značajno smanjio srednju procentualnu prom</w:t>
      </w:r>
      <w:r w:rsidR="006930FF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enu</w:t>
      </w:r>
      <w:r w:rsidR="009246CD" w:rsidRPr="00330BB2">
        <w:rPr>
          <w:sz w:val="22"/>
          <w:szCs w:val="22"/>
          <w:lang w:val="hr-HR"/>
        </w:rPr>
        <w:t xml:space="preserve"> vrijednosti</w:t>
      </w:r>
      <w:r w:rsidRPr="00330BB2">
        <w:rPr>
          <w:sz w:val="22"/>
          <w:szCs w:val="22"/>
          <w:lang w:val="hr-HR"/>
        </w:rPr>
        <w:t xml:space="preserve"> LDL</w:t>
      </w:r>
      <w:r w:rsidRPr="00330BB2">
        <w:rPr>
          <w:sz w:val="22"/>
          <w:szCs w:val="22"/>
          <w:lang w:val="hr-HR"/>
        </w:rPr>
        <w:noBreakHyphen/>
      </w:r>
      <w:r w:rsidR="009246CD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od početka do 510. dana u poređenju sa placebom za 50% (95% CI: </w:t>
      </w:r>
      <w:r w:rsidRPr="00330BB2">
        <w:rPr>
          <w:sz w:val="22"/>
          <w:szCs w:val="22"/>
          <w:lang w:val="hr-HR"/>
        </w:rPr>
        <w:noBreakHyphen/>
        <w:t xml:space="preserve">53%, </w:t>
      </w:r>
      <w:r w:rsidRPr="00330BB2">
        <w:rPr>
          <w:sz w:val="22"/>
          <w:szCs w:val="22"/>
          <w:lang w:val="hr-HR"/>
        </w:rPr>
        <w:noBreakHyphen/>
        <w:t>47%; p</w:t>
      </w:r>
      <w:r w:rsidR="00C954BF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>&lt;</w:t>
      </w:r>
      <w:r w:rsidR="00C954BF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>0,0001) (Tabela 3).</w:t>
      </w:r>
    </w:p>
    <w:p w14:paraId="6D346DDE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0F67D71C" w14:textId="4E34AB5C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Inklisiran je ujedno značajno smanjio vremenski prilagođenu procentualnu prom</w:t>
      </w:r>
      <w:r w:rsidR="006930FF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enu</w:t>
      </w:r>
      <w:r w:rsidR="009246CD" w:rsidRPr="00330BB2">
        <w:rPr>
          <w:sz w:val="22"/>
          <w:szCs w:val="22"/>
          <w:lang w:val="hr-HR"/>
        </w:rPr>
        <w:t xml:space="preserve"> vrijednosti</w:t>
      </w:r>
      <w:r w:rsidRPr="00330BB2">
        <w:rPr>
          <w:sz w:val="22"/>
          <w:szCs w:val="22"/>
          <w:lang w:val="hr-HR"/>
        </w:rPr>
        <w:t xml:space="preserve"> LDL</w:t>
      </w:r>
      <w:r w:rsidRPr="00330BB2">
        <w:rPr>
          <w:sz w:val="22"/>
          <w:szCs w:val="22"/>
          <w:lang w:val="hr-HR"/>
        </w:rPr>
        <w:noBreakHyphen/>
      </w:r>
      <w:r w:rsidR="009246CD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od početne </w:t>
      </w:r>
      <w:r w:rsidR="007B38F0" w:rsidRPr="00330BB2">
        <w:rPr>
          <w:sz w:val="22"/>
          <w:szCs w:val="22"/>
          <w:lang w:val="hr-HR"/>
        </w:rPr>
        <w:t>vrijednost</w:t>
      </w:r>
      <w:r w:rsidRPr="00330BB2">
        <w:rPr>
          <w:sz w:val="22"/>
          <w:szCs w:val="22"/>
          <w:lang w:val="hr-HR"/>
        </w:rPr>
        <w:t xml:space="preserve">i nakon 90. dana do 540. dana za 49% u poređenju sa placebom (95% CI: </w:t>
      </w:r>
      <w:r w:rsidRPr="00330BB2">
        <w:rPr>
          <w:sz w:val="22"/>
          <w:szCs w:val="22"/>
          <w:lang w:val="hr-HR"/>
        </w:rPr>
        <w:noBreakHyphen/>
        <w:t xml:space="preserve">52%, </w:t>
      </w:r>
      <w:r w:rsidRPr="00330BB2">
        <w:rPr>
          <w:sz w:val="22"/>
          <w:szCs w:val="22"/>
          <w:lang w:val="hr-HR"/>
        </w:rPr>
        <w:noBreakHyphen/>
        <w:t>47%; p</w:t>
      </w:r>
      <w:r w:rsidR="00C954BF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>&lt;</w:t>
      </w:r>
      <w:r w:rsidR="00C954BF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>0,0001). Za dodatne rezultate, pogledati Tabelu 3.</w:t>
      </w:r>
    </w:p>
    <w:p w14:paraId="1DB41195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740E6CF8" w14:textId="77777777" w:rsidR="00330BB2" w:rsidRDefault="00330BB2" w:rsidP="00FA129D">
      <w:pPr>
        <w:keepNext/>
        <w:keepLines/>
        <w:spacing w:line="260" w:lineRule="exact"/>
        <w:ind w:left="1134" w:hanging="1134"/>
        <w:jc w:val="both"/>
        <w:rPr>
          <w:b/>
          <w:bCs/>
          <w:sz w:val="22"/>
          <w:szCs w:val="22"/>
          <w:lang w:val="hr-HR"/>
        </w:rPr>
      </w:pPr>
      <w:bookmarkStart w:id="2" w:name="_Ref12870165"/>
    </w:p>
    <w:p w14:paraId="201354C0" w14:textId="7A88FAE7" w:rsidR="00C91DE7" w:rsidRPr="00330BB2" w:rsidRDefault="00C91DE7" w:rsidP="00FA129D">
      <w:pPr>
        <w:keepNext/>
        <w:keepLines/>
        <w:spacing w:line="260" w:lineRule="exact"/>
        <w:ind w:left="1134" w:hanging="1134"/>
        <w:jc w:val="both"/>
        <w:rPr>
          <w:sz w:val="22"/>
          <w:szCs w:val="22"/>
          <w:lang w:val="hr-HR"/>
        </w:rPr>
      </w:pPr>
      <w:r w:rsidRPr="00330BB2">
        <w:rPr>
          <w:b/>
          <w:bCs/>
          <w:sz w:val="22"/>
          <w:szCs w:val="22"/>
          <w:lang w:val="hr-HR"/>
        </w:rPr>
        <w:t>Tabela 3</w:t>
      </w:r>
      <w:bookmarkEnd w:id="2"/>
      <w:r w:rsidRPr="00330BB2">
        <w:rPr>
          <w:b/>
          <w:sz w:val="22"/>
          <w:szCs w:val="22"/>
          <w:lang w:val="hr-HR"/>
        </w:rPr>
        <w:tab/>
        <w:t>Srednja procentualna prom</w:t>
      </w:r>
      <w:r w:rsidR="004F6D01" w:rsidRPr="00330BB2">
        <w:rPr>
          <w:b/>
          <w:sz w:val="22"/>
          <w:szCs w:val="22"/>
          <w:lang w:val="hr-HR"/>
        </w:rPr>
        <w:t>j</w:t>
      </w:r>
      <w:r w:rsidRPr="00330BB2">
        <w:rPr>
          <w:b/>
          <w:sz w:val="22"/>
          <w:szCs w:val="22"/>
          <w:lang w:val="hr-HR"/>
        </w:rPr>
        <w:t xml:space="preserve">ena od početne </w:t>
      </w:r>
      <w:r w:rsidR="007B38F0" w:rsidRPr="00330BB2">
        <w:rPr>
          <w:b/>
          <w:sz w:val="22"/>
          <w:szCs w:val="22"/>
          <w:lang w:val="hr-HR"/>
        </w:rPr>
        <w:t>vrijednost</w:t>
      </w:r>
      <w:r w:rsidRPr="00330BB2">
        <w:rPr>
          <w:b/>
          <w:sz w:val="22"/>
          <w:szCs w:val="22"/>
          <w:lang w:val="hr-HR"/>
        </w:rPr>
        <w:t>i i razlika u odnosu na placebo u lipidnim parametrima do 510. dana u ispitivanju ORION</w:t>
      </w:r>
      <w:r w:rsidRPr="00330BB2">
        <w:rPr>
          <w:b/>
          <w:sz w:val="22"/>
          <w:szCs w:val="22"/>
          <w:lang w:val="hr-HR"/>
        </w:rPr>
        <w:noBreakHyphen/>
        <w:t>11</w:t>
      </w:r>
    </w:p>
    <w:p w14:paraId="40013527" w14:textId="0F62C04C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1394"/>
        <w:gridCol w:w="1395"/>
        <w:gridCol w:w="1395"/>
        <w:gridCol w:w="1394"/>
        <w:gridCol w:w="1397"/>
      </w:tblGrid>
      <w:tr w:rsidR="00C91DE7" w:rsidRPr="00330BB2" w14:paraId="3BED113D" w14:textId="77777777" w:rsidTr="007B38F0">
        <w:trPr>
          <w:cantSplit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1982E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lastRenderedPageBreak/>
              <w:t>Terapijska grupa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7D5F4" w14:textId="4576E0C4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t>LDL</w:t>
            </w:r>
            <w:r w:rsidRPr="00330BB2">
              <w:rPr>
                <w:b/>
                <w:sz w:val="22"/>
                <w:szCs w:val="22"/>
                <w:lang w:val="hr-HR"/>
              </w:rPr>
              <w:noBreakHyphen/>
            </w:r>
            <w:r w:rsidR="009246CD" w:rsidRPr="00330BB2">
              <w:rPr>
                <w:b/>
                <w:sz w:val="22"/>
                <w:szCs w:val="22"/>
                <w:lang w:val="hr-HR"/>
              </w:rPr>
              <w:t>holesterol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B7E928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t>Ukupni holesterol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84C24" w14:textId="7C999C7C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t>Ne</w:t>
            </w:r>
            <w:r w:rsidRPr="00330BB2">
              <w:rPr>
                <w:b/>
                <w:sz w:val="22"/>
                <w:szCs w:val="22"/>
                <w:lang w:val="hr-HR"/>
              </w:rPr>
              <w:noBreakHyphen/>
              <w:t>HDL</w:t>
            </w:r>
            <w:r w:rsidRPr="00330BB2">
              <w:rPr>
                <w:b/>
                <w:sz w:val="22"/>
                <w:szCs w:val="22"/>
                <w:lang w:val="hr-HR"/>
              </w:rPr>
              <w:noBreakHyphen/>
            </w:r>
            <w:r w:rsidR="009246CD" w:rsidRPr="00330BB2">
              <w:rPr>
                <w:b/>
                <w:sz w:val="22"/>
                <w:szCs w:val="22"/>
                <w:lang w:val="hr-HR"/>
              </w:rPr>
              <w:t>holesterol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DEC27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t>Apo</w:t>
            </w:r>
            <w:r w:rsidRPr="00330BB2">
              <w:rPr>
                <w:b/>
                <w:sz w:val="22"/>
                <w:szCs w:val="22"/>
                <w:lang w:val="hr-HR"/>
              </w:rPr>
              <w:noBreakHyphen/>
              <w:t>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295D4C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t>Lp(a)*</w:t>
            </w:r>
          </w:p>
        </w:tc>
      </w:tr>
      <w:tr w:rsidR="00C91DE7" w:rsidRPr="00330BB2" w14:paraId="46B63682" w14:textId="77777777" w:rsidTr="007B38F0">
        <w:trPr>
          <w:cantSplit/>
        </w:trPr>
        <w:tc>
          <w:tcPr>
            <w:tcW w:w="2119" w:type="dxa"/>
            <w:tcBorders>
              <w:top w:val="single" w:sz="4" w:space="0" w:color="auto"/>
            </w:tcBorders>
            <w:shd w:val="clear" w:color="auto" w:fill="auto"/>
          </w:tcPr>
          <w:p w14:paraId="10BB28D4" w14:textId="2C1546B8" w:rsidR="00C91DE7" w:rsidRPr="00330BB2" w:rsidRDefault="00C91DE7" w:rsidP="00F06C6E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 xml:space="preserve">Srednja početna </w:t>
            </w:r>
            <w:r w:rsidR="007B38F0" w:rsidRPr="00330BB2">
              <w:rPr>
                <w:sz w:val="22"/>
                <w:szCs w:val="22"/>
                <w:lang w:val="hr-HR"/>
              </w:rPr>
              <w:t>vrijednost</w:t>
            </w:r>
            <w:r w:rsidRPr="00330BB2">
              <w:rPr>
                <w:sz w:val="22"/>
                <w:szCs w:val="22"/>
                <w:lang w:val="hr-HR"/>
              </w:rPr>
              <w:t xml:space="preserve"> u mg/d</w:t>
            </w:r>
            <w:r w:rsidR="00C954BF" w:rsidRPr="00330BB2">
              <w:rPr>
                <w:sz w:val="22"/>
                <w:szCs w:val="22"/>
                <w:lang w:val="hr-HR"/>
              </w:rPr>
              <w:t>l</w:t>
            </w:r>
            <w:r w:rsidRPr="00330BB2">
              <w:rPr>
                <w:sz w:val="22"/>
                <w:szCs w:val="22"/>
                <w:lang w:val="hr-HR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71A146B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E8E510C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185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74C7FCB8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73703FF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4A12FDE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107</w:t>
            </w:r>
          </w:p>
        </w:tc>
      </w:tr>
      <w:tr w:rsidR="00C91DE7" w:rsidRPr="00330BB2" w14:paraId="171B67B2" w14:textId="77777777" w:rsidTr="007B38F0">
        <w:trPr>
          <w:cantSplit/>
        </w:trPr>
        <w:tc>
          <w:tcPr>
            <w:tcW w:w="9209" w:type="dxa"/>
            <w:gridSpan w:val="6"/>
          </w:tcPr>
          <w:p w14:paraId="5755F16B" w14:textId="3F57262D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510. dan (srednja procentualna prom</w:t>
            </w:r>
            <w:r w:rsidR="006930FF" w:rsidRPr="00330BB2">
              <w:rPr>
                <w:sz w:val="22"/>
                <w:szCs w:val="22"/>
                <w:lang w:val="hr-HR"/>
              </w:rPr>
              <w:t>j</w:t>
            </w:r>
            <w:r w:rsidRPr="00330BB2">
              <w:rPr>
                <w:sz w:val="22"/>
                <w:szCs w:val="22"/>
                <w:lang w:val="hr-HR"/>
              </w:rPr>
              <w:t xml:space="preserve">ena od početne </w:t>
            </w:r>
            <w:r w:rsidR="007B38F0" w:rsidRPr="00330BB2">
              <w:rPr>
                <w:sz w:val="22"/>
                <w:szCs w:val="22"/>
                <w:lang w:val="hr-HR"/>
              </w:rPr>
              <w:t>vrijednost</w:t>
            </w:r>
            <w:r w:rsidRPr="00330BB2">
              <w:rPr>
                <w:sz w:val="22"/>
                <w:szCs w:val="22"/>
                <w:lang w:val="hr-HR"/>
              </w:rPr>
              <w:t>i)</w:t>
            </w:r>
          </w:p>
        </w:tc>
      </w:tr>
      <w:tr w:rsidR="00C91DE7" w:rsidRPr="00330BB2" w14:paraId="581C3A90" w14:textId="77777777" w:rsidTr="007B38F0">
        <w:trPr>
          <w:cantSplit/>
        </w:trPr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14:paraId="1165D8A1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Placebo (n=807)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B345E7A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191475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432B7CE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8C21182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826807E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0</w:t>
            </w:r>
          </w:p>
        </w:tc>
      </w:tr>
      <w:tr w:rsidR="00C91DE7" w:rsidRPr="00330BB2" w14:paraId="14E57933" w14:textId="77777777" w:rsidTr="007B38F0">
        <w:trPr>
          <w:cantSplit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F8984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Inklisiran</w:t>
            </w:r>
          </w:p>
          <w:p w14:paraId="5F4B79AC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(n=810)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7AAD3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46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B15DB6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64C8BD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5C84A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17941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19</w:t>
            </w:r>
          </w:p>
        </w:tc>
      </w:tr>
      <w:tr w:rsidR="00C91DE7" w:rsidRPr="00330BB2" w14:paraId="1A1EF3DE" w14:textId="77777777" w:rsidTr="007B38F0">
        <w:trPr>
          <w:cantSplit/>
        </w:trPr>
        <w:tc>
          <w:tcPr>
            <w:tcW w:w="2119" w:type="dxa"/>
            <w:tcBorders>
              <w:top w:val="single" w:sz="4" w:space="0" w:color="auto"/>
            </w:tcBorders>
            <w:shd w:val="clear" w:color="auto" w:fill="auto"/>
          </w:tcPr>
          <w:p w14:paraId="4267510D" w14:textId="0F70B02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 xml:space="preserve">Razlika u odnosu na placebo (LS srednja </w:t>
            </w:r>
            <w:r w:rsidR="007B38F0" w:rsidRPr="00330BB2">
              <w:rPr>
                <w:sz w:val="22"/>
                <w:szCs w:val="22"/>
                <w:lang w:val="hr-HR"/>
              </w:rPr>
              <w:t>vrijednost</w:t>
            </w:r>
            <w:r w:rsidRPr="00330BB2">
              <w:rPr>
                <w:sz w:val="22"/>
                <w:szCs w:val="22"/>
                <w:lang w:val="hr-HR"/>
              </w:rPr>
              <w:t>)</w:t>
            </w:r>
          </w:p>
          <w:p w14:paraId="109D2A0E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(95% CI)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86315C0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50</w:t>
            </w:r>
          </w:p>
          <w:p w14:paraId="0C466F93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</w:t>
            </w:r>
            <w:r w:rsidRPr="00330BB2">
              <w:rPr>
                <w:sz w:val="22"/>
                <w:szCs w:val="22"/>
                <w:lang w:val="hr-HR"/>
              </w:rPr>
              <w:noBreakHyphen/>
              <w:t xml:space="preserve">53, </w:t>
            </w:r>
            <w:r w:rsidRPr="00330BB2">
              <w:rPr>
                <w:sz w:val="22"/>
                <w:szCs w:val="22"/>
                <w:lang w:val="hr-HR"/>
              </w:rPr>
              <w:noBreakHyphen/>
              <w:t>47)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5330198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30</w:t>
            </w:r>
          </w:p>
          <w:p w14:paraId="10D0D79F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</w:t>
            </w:r>
            <w:r w:rsidRPr="00330BB2">
              <w:rPr>
                <w:sz w:val="22"/>
                <w:szCs w:val="22"/>
                <w:lang w:val="hr-HR"/>
              </w:rPr>
              <w:noBreakHyphen/>
              <w:t xml:space="preserve">32, </w:t>
            </w:r>
            <w:r w:rsidRPr="00330BB2">
              <w:rPr>
                <w:sz w:val="22"/>
                <w:szCs w:val="22"/>
                <w:lang w:val="hr-HR"/>
              </w:rPr>
              <w:noBreakHyphen/>
              <w:t>28)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6ECB977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43</w:t>
            </w:r>
          </w:p>
          <w:p w14:paraId="3293E7BE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</w:t>
            </w:r>
            <w:r w:rsidRPr="00330BB2">
              <w:rPr>
                <w:sz w:val="22"/>
                <w:szCs w:val="22"/>
                <w:lang w:val="hr-HR"/>
              </w:rPr>
              <w:noBreakHyphen/>
              <w:t xml:space="preserve">46, </w:t>
            </w:r>
            <w:r w:rsidRPr="00330BB2">
              <w:rPr>
                <w:sz w:val="22"/>
                <w:szCs w:val="22"/>
                <w:lang w:val="hr-HR"/>
              </w:rPr>
              <w:noBreakHyphen/>
              <w:t>41)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F2E31DF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39</w:t>
            </w:r>
          </w:p>
          <w:p w14:paraId="5A3C2DA6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</w:t>
            </w:r>
            <w:r w:rsidRPr="00330BB2">
              <w:rPr>
                <w:sz w:val="22"/>
                <w:szCs w:val="22"/>
                <w:lang w:val="hr-HR"/>
              </w:rPr>
              <w:noBreakHyphen/>
              <w:t xml:space="preserve">41, </w:t>
            </w:r>
            <w:r w:rsidRPr="00330BB2">
              <w:rPr>
                <w:sz w:val="22"/>
                <w:szCs w:val="22"/>
                <w:lang w:val="hr-HR"/>
              </w:rPr>
              <w:noBreakHyphen/>
              <w:t>37)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1B01A09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19</w:t>
            </w:r>
          </w:p>
          <w:p w14:paraId="6BE3B837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</w:t>
            </w:r>
            <w:r w:rsidRPr="00330BB2">
              <w:rPr>
                <w:sz w:val="22"/>
                <w:szCs w:val="22"/>
                <w:lang w:val="hr-HR"/>
              </w:rPr>
              <w:noBreakHyphen/>
              <w:t xml:space="preserve">21, </w:t>
            </w:r>
            <w:r w:rsidRPr="00330BB2">
              <w:rPr>
                <w:sz w:val="22"/>
                <w:szCs w:val="22"/>
                <w:lang w:val="hr-HR"/>
              </w:rPr>
              <w:noBreakHyphen/>
              <w:t>16)</w:t>
            </w:r>
          </w:p>
        </w:tc>
      </w:tr>
      <w:tr w:rsidR="00C91DE7" w:rsidRPr="00330BB2" w14:paraId="26994F8B" w14:textId="77777777" w:rsidTr="007B38F0">
        <w:trPr>
          <w:cantSplit/>
        </w:trPr>
        <w:tc>
          <w:tcPr>
            <w:tcW w:w="9209" w:type="dxa"/>
            <w:gridSpan w:val="6"/>
            <w:shd w:val="clear" w:color="auto" w:fill="auto"/>
          </w:tcPr>
          <w:p w14:paraId="307E560E" w14:textId="64C2F477" w:rsidR="00C91DE7" w:rsidRPr="00330BB2" w:rsidRDefault="00C91DE7" w:rsidP="00FA129D">
            <w:pPr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*540. dana; medijana procentualne prom</w:t>
            </w:r>
            <w:r w:rsidR="006930FF" w:rsidRPr="00330BB2">
              <w:rPr>
                <w:sz w:val="22"/>
                <w:szCs w:val="22"/>
                <w:lang w:val="hr-HR"/>
              </w:rPr>
              <w:t>j</w:t>
            </w:r>
            <w:r w:rsidRPr="00330BB2">
              <w:rPr>
                <w:sz w:val="22"/>
                <w:szCs w:val="22"/>
                <w:lang w:val="hr-HR"/>
              </w:rPr>
              <w:t xml:space="preserve">ene </w:t>
            </w:r>
            <w:r w:rsidR="007B38F0" w:rsidRPr="00330BB2">
              <w:rPr>
                <w:sz w:val="22"/>
                <w:szCs w:val="22"/>
                <w:lang w:val="hr-HR"/>
              </w:rPr>
              <w:t>vrijednost</w:t>
            </w:r>
            <w:r w:rsidRPr="00330BB2">
              <w:rPr>
                <w:sz w:val="22"/>
                <w:szCs w:val="22"/>
                <w:lang w:val="hr-HR"/>
              </w:rPr>
              <w:t>i Lp(a)</w:t>
            </w:r>
          </w:p>
          <w:p w14:paraId="79B818B8" w14:textId="4746DC7B" w:rsidR="00C91DE7" w:rsidRPr="00330BB2" w:rsidRDefault="00C91DE7" w:rsidP="00FA129D">
            <w:pPr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**</w:t>
            </w:r>
            <w:r w:rsidRPr="00330BB2">
              <w:rPr>
                <w:sz w:val="22"/>
                <w:szCs w:val="22"/>
              </w:rPr>
              <w:t xml:space="preserve">Srednja početna </w:t>
            </w:r>
            <w:r w:rsidR="007B38F0" w:rsidRPr="00330BB2">
              <w:rPr>
                <w:sz w:val="22"/>
                <w:szCs w:val="22"/>
              </w:rPr>
              <w:t>vrijednost</w:t>
            </w:r>
            <w:r w:rsidRPr="00330BB2">
              <w:rPr>
                <w:sz w:val="22"/>
                <w:szCs w:val="22"/>
              </w:rPr>
              <w:t xml:space="preserve"> u nmol/</w:t>
            </w:r>
            <w:r w:rsidR="00CF00A6" w:rsidRPr="00330BB2">
              <w:rPr>
                <w:sz w:val="22"/>
                <w:szCs w:val="22"/>
              </w:rPr>
              <w:t>l</w:t>
            </w:r>
            <w:r w:rsidRPr="00330BB2">
              <w:rPr>
                <w:sz w:val="22"/>
                <w:szCs w:val="22"/>
              </w:rPr>
              <w:t xml:space="preserve"> za Lp(a)</w:t>
            </w:r>
          </w:p>
        </w:tc>
      </w:tr>
    </w:tbl>
    <w:p w14:paraId="5A77E878" w14:textId="2243675C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FC2EF2C" w14:textId="75B5E12E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Do 510. dana ciljana </w:t>
      </w:r>
      <w:r w:rsidR="007B38F0" w:rsidRPr="00330BB2">
        <w:rPr>
          <w:sz w:val="22"/>
          <w:szCs w:val="22"/>
          <w:lang w:val="hr-HR"/>
        </w:rPr>
        <w:t>vrijednost</w:t>
      </w:r>
      <w:r w:rsidRPr="00330BB2">
        <w:rPr>
          <w:sz w:val="22"/>
          <w:szCs w:val="22"/>
          <w:lang w:val="hr-HR"/>
        </w:rPr>
        <w:t xml:space="preserve"> LDL</w:t>
      </w:r>
      <w:r w:rsidRPr="00330BB2">
        <w:rPr>
          <w:sz w:val="22"/>
          <w:szCs w:val="22"/>
          <w:lang w:val="hr-HR"/>
        </w:rPr>
        <w:noBreakHyphen/>
      </w:r>
      <w:r w:rsidR="009246CD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od &lt;</w:t>
      </w:r>
      <w:r w:rsidR="009246CD" w:rsidRPr="00330BB2">
        <w:rPr>
          <w:sz w:val="22"/>
          <w:szCs w:val="22"/>
          <w:lang w:val="hr-HR"/>
        </w:rPr>
        <w:t xml:space="preserve"> </w:t>
      </w:r>
      <w:r w:rsidRPr="00330BB2">
        <w:rPr>
          <w:color w:val="000000"/>
          <w:sz w:val="22"/>
          <w:szCs w:val="22"/>
          <w:lang w:val="hr-HR"/>
        </w:rPr>
        <w:t>1,8 mmol/</w:t>
      </w:r>
      <w:r w:rsidR="006A7203" w:rsidRPr="00330BB2">
        <w:rPr>
          <w:color w:val="000000"/>
          <w:sz w:val="22"/>
          <w:szCs w:val="22"/>
          <w:lang w:val="hr-HR"/>
        </w:rPr>
        <w:t>l</w:t>
      </w:r>
      <w:r w:rsidRPr="00330BB2">
        <w:rPr>
          <w:color w:val="000000"/>
          <w:sz w:val="22"/>
          <w:szCs w:val="22"/>
          <w:lang w:val="hr-HR"/>
        </w:rPr>
        <w:t xml:space="preserve"> (70 mg/d</w:t>
      </w:r>
      <w:r w:rsidR="00C954BF" w:rsidRPr="00330BB2">
        <w:rPr>
          <w:color w:val="000000"/>
          <w:sz w:val="22"/>
          <w:szCs w:val="22"/>
          <w:lang w:val="hr-HR"/>
        </w:rPr>
        <w:t>l</w:t>
      </w:r>
      <w:r w:rsidRPr="00330BB2">
        <w:rPr>
          <w:color w:val="000000"/>
          <w:sz w:val="22"/>
          <w:szCs w:val="22"/>
          <w:lang w:val="hr-HR"/>
        </w:rPr>
        <w:t>)</w:t>
      </w:r>
      <w:r w:rsidRPr="00330BB2">
        <w:rPr>
          <w:sz w:val="22"/>
          <w:szCs w:val="22"/>
          <w:lang w:val="hr-HR"/>
        </w:rPr>
        <w:t xml:space="preserve"> je postignuta kod 82% pacijenata na inklisiranu sa ASKVB-om u poređenju sa 16% pacijenata na placebu. Kod pacijenata sa ekvivalentom rizika za ASKVB, ciljanu </w:t>
      </w:r>
      <w:r w:rsidR="007B38F0" w:rsidRPr="00330BB2">
        <w:rPr>
          <w:sz w:val="22"/>
          <w:szCs w:val="22"/>
          <w:lang w:val="hr-HR"/>
        </w:rPr>
        <w:t>vrijednost</w:t>
      </w:r>
      <w:r w:rsidRPr="00330BB2">
        <w:rPr>
          <w:sz w:val="22"/>
          <w:szCs w:val="22"/>
          <w:lang w:val="hr-HR"/>
        </w:rPr>
        <w:t xml:space="preserve"> LDL</w:t>
      </w:r>
      <w:r w:rsidRPr="00330BB2">
        <w:rPr>
          <w:sz w:val="22"/>
          <w:szCs w:val="22"/>
          <w:lang w:val="hr-HR"/>
        </w:rPr>
        <w:noBreakHyphen/>
      </w:r>
      <w:r w:rsidR="009246CD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od &lt;</w:t>
      </w:r>
      <w:r w:rsidR="009246CD" w:rsidRPr="00330BB2">
        <w:rPr>
          <w:sz w:val="22"/>
          <w:szCs w:val="22"/>
          <w:lang w:val="hr-HR"/>
        </w:rPr>
        <w:t xml:space="preserve"> </w:t>
      </w:r>
      <w:r w:rsidRPr="00330BB2">
        <w:rPr>
          <w:color w:val="000000"/>
          <w:sz w:val="22"/>
          <w:szCs w:val="22"/>
          <w:lang w:val="hr-HR"/>
        </w:rPr>
        <w:t>2,6 mmol/</w:t>
      </w:r>
      <w:r w:rsidR="00C954BF" w:rsidRPr="00330BB2">
        <w:rPr>
          <w:color w:val="000000"/>
          <w:sz w:val="22"/>
          <w:szCs w:val="22"/>
          <w:lang w:val="hr-HR"/>
        </w:rPr>
        <w:t>l</w:t>
      </w:r>
      <w:r w:rsidRPr="00330BB2">
        <w:rPr>
          <w:color w:val="000000"/>
          <w:sz w:val="22"/>
          <w:szCs w:val="22"/>
          <w:lang w:val="hr-HR"/>
        </w:rPr>
        <w:t xml:space="preserve"> (100 mg/d</w:t>
      </w:r>
      <w:r w:rsidR="00C954BF" w:rsidRPr="00330BB2">
        <w:rPr>
          <w:color w:val="000000"/>
          <w:sz w:val="22"/>
          <w:szCs w:val="22"/>
          <w:lang w:val="hr-HR"/>
        </w:rPr>
        <w:t>l</w:t>
      </w:r>
      <w:r w:rsidRPr="00330BB2">
        <w:rPr>
          <w:color w:val="000000"/>
          <w:sz w:val="22"/>
          <w:szCs w:val="22"/>
          <w:lang w:val="hr-HR"/>
        </w:rPr>
        <w:t xml:space="preserve">) </w:t>
      </w:r>
      <w:r w:rsidRPr="00330BB2">
        <w:rPr>
          <w:sz w:val="22"/>
          <w:szCs w:val="22"/>
          <w:lang w:val="hr-HR"/>
        </w:rPr>
        <w:t>postiglo je 78% pacijenata na inklisiranu u poređenju sa 31% pacijenata na placebu.</w:t>
      </w:r>
    </w:p>
    <w:p w14:paraId="145E33F8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7CFC616B" w14:textId="2F628BCE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Konzistentna i statistički značajna (p</w:t>
      </w:r>
      <w:r w:rsidR="009246CD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>&lt;</w:t>
      </w:r>
      <w:r w:rsidR="009246CD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>0,05) procentualna prom</w:t>
      </w:r>
      <w:r w:rsidR="006A7203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 xml:space="preserve">ena </w:t>
      </w:r>
      <w:r w:rsidR="009246CD" w:rsidRPr="00330BB2">
        <w:rPr>
          <w:sz w:val="22"/>
          <w:szCs w:val="22"/>
          <w:lang w:val="hr-HR"/>
        </w:rPr>
        <w:t xml:space="preserve">vrijednosti </w:t>
      </w:r>
      <w:r w:rsidRPr="00330BB2">
        <w:rPr>
          <w:bCs/>
          <w:sz w:val="22"/>
          <w:szCs w:val="22"/>
          <w:lang w:val="hr-HR"/>
        </w:rPr>
        <w:t>LDL</w:t>
      </w:r>
      <w:r w:rsidRPr="00330BB2">
        <w:rPr>
          <w:bCs/>
          <w:sz w:val="22"/>
          <w:szCs w:val="22"/>
          <w:lang w:val="hr-HR"/>
        </w:rPr>
        <w:noBreakHyphen/>
      </w:r>
      <w:r w:rsidR="009246CD" w:rsidRPr="00330BB2">
        <w:rPr>
          <w:bCs/>
          <w:sz w:val="22"/>
          <w:szCs w:val="22"/>
          <w:lang w:val="hr-HR"/>
        </w:rPr>
        <w:t>holesterola</w:t>
      </w:r>
      <w:r w:rsidRPr="00330BB2">
        <w:rPr>
          <w:bCs/>
          <w:sz w:val="22"/>
          <w:szCs w:val="22"/>
          <w:lang w:val="hr-HR"/>
        </w:rPr>
        <w:t xml:space="preserve"> od početne </w:t>
      </w:r>
      <w:r w:rsidR="007B38F0" w:rsidRPr="00330BB2">
        <w:rPr>
          <w:bCs/>
          <w:sz w:val="22"/>
          <w:szCs w:val="22"/>
          <w:lang w:val="hr-HR"/>
        </w:rPr>
        <w:t>vrijednost</w:t>
      </w:r>
      <w:r w:rsidRPr="00330BB2">
        <w:rPr>
          <w:bCs/>
          <w:sz w:val="22"/>
          <w:szCs w:val="22"/>
          <w:lang w:val="hr-HR"/>
        </w:rPr>
        <w:t>i do 510. dana i vremenski prilagođena procentualna promena</w:t>
      </w:r>
      <w:r w:rsidR="009246CD" w:rsidRPr="00330BB2">
        <w:rPr>
          <w:bCs/>
          <w:sz w:val="22"/>
          <w:szCs w:val="22"/>
          <w:lang w:val="hr-HR"/>
        </w:rPr>
        <w:t xml:space="preserve"> vrijednosti</w:t>
      </w:r>
      <w:r w:rsidRPr="00330BB2">
        <w:rPr>
          <w:bCs/>
          <w:sz w:val="22"/>
          <w:szCs w:val="22"/>
          <w:lang w:val="hr-HR"/>
        </w:rPr>
        <w:t xml:space="preserve"> LDL</w:t>
      </w:r>
      <w:r w:rsidRPr="00330BB2">
        <w:rPr>
          <w:bCs/>
          <w:sz w:val="22"/>
          <w:szCs w:val="22"/>
          <w:lang w:val="hr-HR"/>
        </w:rPr>
        <w:noBreakHyphen/>
      </w:r>
      <w:r w:rsidR="009246CD" w:rsidRPr="00330BB2">
        <w:rPr>
          <w:bCs/>
          <w:sz w:val="22"/>
          <w:szCs w:val="22"/>
          <w:lang w:val="hr-HR"/>
        </w:rPr>
        <w:t>holesterola</w:t>
      </w:r>
      <w:r w:rsidRPr="00330BB2">
        <w:rPr>
          <w:bCs/>
          <w:sz w:val="22"/>
          <w:szCs w:val="22"/>
          <w:lang w:val="hr-HR"/>
        </w:rPr>
        <w:t xml:space="preserve"> od početne </w:t>
      </w:r>
      <w:r w:rsidR="007B38F0" w:rsidRPr="00330BB2">
        <w:rPr>
          <w:bCs/>
          <w:sz w:val="22"/>
          <w:szCs w:val="22"/>
          <w:lang w:val="hr-HR"/>
        </w:rPr>
        <w:t>vrijednost</w:t>
      </w:r>
      <w:r w:rsidRPr="00330BB2">
        <w:rPr>
          <w:bCs/>
          <w:sz w:val="22"/>
          <w:szCs w:val="22"/>
          <w:lang w:val="hr-HR"/>
        </w:rPr>
        <w:t xml:space="preserve">i, nakon 90. dana, i do 540. dana je bila zapažena u svim podgrupama bez obzira na početne demografske pokazatelje, početne znake bolesti (uključujući pol, starost, indeks telesne mase, rasu i </w:t>
      </w:r>
      <w:r w:rsidR="009014D6" w:rsidRPr="00330BB2">
        <w:rPr>
          <w:bCs/>
          <w:sz w:val="22"/>
          <w:szCs w:val="22"/>
          <w:lang w:val="hr-HR"/>
        </w:rPr>
        <w:t>primjen</w:t>
      </w:r>
      <w:r w:rsidRPr="00330BB2">
        <w:rPr>
          <w:bCs/>
          <w:sz w:val="22"/>
          <w:szCs w:val="22"/>
          <w:lang w:val="hr-HR"/>
        </w:rPr>
        <w:t>u statina na početku), komorbiditete i geografske regije.</w:t>
      </w:r>
    </w:p>
    <w:p w14:paraId="79324C24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199FEE1A" w14:textId="0112F323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i/>
          <w:sz w:val="22"/>
          <w:szCs w:val="22"/>
          <w:u w:val="single"/>
          <w:lang w:val="hr-HR"/>
        </w:rPr>
      </w:pPr>
      <w:r w:rsidRPr="00330BB2">
        <w:rPr>
          <w:i/>
          <w:sz w:val="22"/>
          <w:szCs w:val="22"/>
          <w:u w:val="single"/>
          <w:lang w:val="hr-HR"/>
        </w:rPr>
        <w:t xml:space="preserve">Heterozigotna </w:t>
      </w:r>
      <w:r w:rsidR="009246CD" w:rsidRPr="00330BB2">
        <w:rPr>
          <w:i/>
          <w:sz w:val="22"/>
          <w:szCs w:val="22"/>
          <w:u w:val="single"/>
          <w:lang w:val="hr-HR"/>
        </w:rPr>
        <w:t>familijarna</w:t>
      </w:r>
      <w:r w:rsidR="006A7203" w:rsidRPr="00330BB2">
        <w:rPr>
          <w:i/>
          <w:sz w:val="22"/>
          <w:szCs w:val="22"/>
          <w:u w:val="single"/>
          <w:lang w:val="hr-HR"/>
        </w:rPr>
        <w:t>/porodična</w:t>
      </w:r>
      <w:r w:rsidRPr="00330BB2">
        <w:rPr>
          <w:i/>
          <w:sz w:val="22"/>
          <w:szCs w:val="22"/>
          <w:u w:val="single"/>
          <w:lang w:val="hr-HR"/>
        </w:rPr>
        <w:t xml:space="preserve"> hiperholesterolemija</w:t>
      </w:r>
    </w:p>
    <w:p w14:paraId="277E1A03" w14:textId="77777777" w:rsidR="00C91DE7" w:rsidRPr="00330BB2" w:rsidRDefault="00C91DE7" w:rsidP="00FA129D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i/>
          <w:sz w:val="22"/>
          <w:szCs w:val="22"/>
          <w:u w:val="single"/>
          <w:lang w:val="hr-HR"/>
        </w:rPr>
      </w:pPr>
    </w:p>
    <w:p w14:paraId="2BB8B244" w14:textId="72640934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ORION</w:t>
      </w:r>
      <w:r w:rsidRPr="00330BB2">
        <w:rPr>
          <w:sz w:val="22"/>
          <w:szCs w:val="22"/>
          <w:lang w:val="hr-HR"/>
        </w:rPr>
        <w:noBreakHyphen/>
        <w:t>9 je bilo međunarodno, multicentrično, dvostruko sl</w:t>
      </w:r>
      <w:r w:rsidR="006A7203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epo, randomizovano, placebom kontrolisano 18-m</w:t>
      </w:r>
      <w:r w:rsidR="006A7203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 xml:space="preserve">esečno ispitivanje na 482 pacijenta sa heterozigotnom </w:t>
      </w:r>
      <w:r w:rsidR="009246CD" w:rsidRPr="00330BB2">
        <w:rPr>
          <w:sz w:val="22"/>
          <w:szCs w:val="22"/>
          <w:lang w:val="hr-HR"/>
        </w:rPr>
        <w:t xml:space="preserve">familijarnom </w:t>
      </w:r>
      <w:r w:rsidRPr="00330BB2">
        <w:rPr>
          <w:sz w:val="22"/>
          <w:szCs w:val="22"/>
          <w:lang w:val="hr-HR"/>
        </w:rPr>
        <w:t xml:space="preserve">hiperholesterolemijom (engl. </w:t>
      </w:r>
      <w:r w:rsidRPr="00330BB2">
        <w:rPr>
          <w:i/>
          <w:sz w:val="22"/>
          <w:szCs w:val="22"/>
          <w:lang w:val="hr-HR"/>
        </w:rPr>
        <w:t>heterozygous familial hypercholesterolaemia</w:t>
      </w:r>
      <w:r w:rsidRPr="00330BB2">
        <w:rPr>
          <w:sz w:val="22"/>
          <w:szCs w:val="22"/>
          <w:lang w:val="hr-HR"/>
        </w:rPr>
        <w:t>, HeFH). Svi pacijenti su uzimali maksimalne podnošljive doze statina sa ili bez drugih terapija koje modifikuju lipide, kao što je ezetimib pa im je bilo potrebno dodatno sniženje LDL</w:t>
      </w:r>
      <w:r w:rsidRPr="00330BB2">
        <w:rPr>
          <w:sz w:val="22"/>
          <w:szCs w:val="22"/>
          <w:lang w:val="hr-HR"/>
        </w:rPr>
        <w:noBreakHyphen/>
      </w:r>
      <w:r w:rsidR="009246CD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>. Dijagnoza HeFH-a je utvrđena ili genotipizacijom ili prema kliničkim kriterijumima („definitivni FH“ koristeći ili kriterijume Simon Broome ili kriterijume SZO-a/Holandske mreže za lipide).</w:t>
      </w:r>
    </w:p>
    <w:p w14:paraId="679BB7FD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</w:p>
    <w:p w14:paraId="5BEE4438" w14:textId="424EB1BE" w:rsidR="00C91DE7" w:rsidRPr="00330BB2" w:rsidRDefault="00854D7A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Mjere </w:t>
      </w:r>
      <w:r w:rsidR="00C91DE7" w:rsidRPr="00330BB2">
        <w:rPr>
          <w:sz w:val="22"/>
          <w:szCs w:val="22"/>
          <w:lang w:val="hr-HR"/>
        </w:rPr>
        <w:t xml:space="preserve">koprimarnih parametara </w:t>
      </w:r>
      <w:r w:rsidR="009246CD" w:rsidRPr="00330BB2">
        <w:rPr>
          <w:sz w:val="22"/>
          <w:szCs w:val="22"/>
          <w:lang w:val="hr-HR"/>
        </w:rPr>
        <w:t xml:space="preserve">praćenja </w:t>
      </w:r>
      <w:r w:rsidR="00C91DE7" w:rsidRPr="00330BB2">
        <w:rPr>
          <w:sz w:val="22"/>
          <w:szCs w:val="22"/>
          <w:lang w:val="hr-HR"/>
        </w:rPr>
        <w:t>su bile procentualna prom</w:t>
      </w:r>
      <w:r w:rsidR="009246CD" w:rsidRPr="00330BB2">
        <w:rPr>
          <w:sz w:val="22"/>
          <w:szCs w:val="22"/>
          <w:lang w:val="hr-HR"/>
        </w:rPr>
        <w:t>j</w:t>
      </w:r>
      <w:r w:rsidR="00C91DE7" w:rsidRPr="00330BB2">
        <w:rPr>
          <w:sz w:val="22"/>
          <w:szCs w:val="22"/>
          <w:lang w:val="hr-HR"/>
        </w:rPr>
        <w:t>ena</w:t>
      </w:r>
      <w:r w:rsidR="009246CD" w:rsidRPr="00330BB2">
        <w:rPr>
          <w:sz w:val="22"/>
          <w:szCs w:val="22"/>
          <w:lang w:val="hr-HR"/>
        </w:rPr>
        <w:t xml:space="preserve"> vrijednosti</w:t>
      </w:r>
      <w:r w:rsidR="00C91DE7" w:rsidRPr="00330BB2">
        <w:rPr>
          <w:sz w:val="22"/>
          <w:szCs w:val="22"/>
          <w:lang w:val="hr-HR"/>
        </w:rPr>
        <w:t xml:space="preserve"> LDL-</w:t>
      </w:r>
      <w:r w:rsidR="009246CD" w:rsidRPr="00330BB2">
        <w:rPr>
          <w:sz w:val="22"/>
          <w:szCs w:val="22"/>
          <w:lang w:val="hr-HR"/>
        </w:rPr>
        <w:t>holesterola</w:t>
      </w:r>
      <w:r w:rsidR="00C91DE7" w:rsidRPr="00330BB2">
        <w:rPr>
          <w:sz w:val="22"/>
          <w:szCs w:val="22"/>
          <w:lang w:val="hr-HR"/>
        </w:rPr>
        <w:t xml:space="preserve"> od početne </w:t>
      </w:r>
      <w:r w:rsidR="007B38F0" w:rsidRPr="00330BB2">
        <w:rPr>
          <w:sz w:val="22"/>
          <w:szCs w:val="22"/>
          <w:lang w:val="hr-HR"/>
        </w:rPr>
        <w:t>vrijednost</w:t>
      </w:r>
      <w:r w:rsidR="00C91DE7" w:rsidRPr="00330BB2">
        <w:rPr>
          <w:sz w:val="22"/>
          <w:szCs w:val="22"/>
          <w:lang w:val="hr-HR"/>
        </w:rPr>
        <w:t>i do 510. dana u odnosu na placebo, i vremenski prilagođena procentualna prom</w:t>
      </w:r>
      <w:r w:rsidR="009246CD" w:rsidRPr="00330BB2">
        <w:rPr>
          <w:sz w:val="22"/>
          <w:szCs w:val="22"/>
          <w:lang w:val="hr-HR"/>
        </w:rPr>
        <w:t>j</w:t>
      </w:r>
      <w:r w:rsidR="00C91DE7" w:rsidRPr="00330BB2">
        <w:rPr>
          <w:sz w:val="22"/>
          <w:szCs w:val="22"/>
          <w:lang w:val="hr-HR"/>
        </w:rPr>
        <w:t>ena</w:t>
      </w:r>
      <w:r w:rsidR="009246CD" w:rsidRPr="00330BB2">
        <w:rPr>
          <w:sz w:val="22"/>
          <w:szCs w:val="22"/>
          <w:lang w:val="hr-HR"/>
        </w:rPr>
        <w:t xml:space="preserve"> vrijednosti</w:t>
      </w:r>
      <w:r w:rsidR="00C91DE7" w:rsidRPr="00330BB2">
        <w:rPr>
          <w:sz w:val="22"/>
          <w:szCs w:val="22"/>
          <w:lang w:val="hr-HR"/>
        </w:rPr>
        <w:t xml:space="preserve"> LDL-</w:t>
      </w:r>
      <w:r w:rsidR="009246CD" w:rsidRPr="00330BB2">
        <w:rPr>
          <w:sz w:val="22"/>
          <w:szCs w:val="22"/>
          <w:lang w:val="hr-HR"/>
        </w:rPr>
        <w:t>holesterola</w:t>
      </w:r>
      <w:r w:rsidR="00C91DE7" w:rsidRPr="00330BB2">
        <w:rPr>
          <w:sz w:val="22"/>
          <w:szCs w:val="22"/>
          <w:lang w:val="hr-HR"/>
        </w:rPr>
        <w:t xml:space="preserve"> od početne </w:t>
      </w:r>
      <w:r w:rsidR="007B38F0" w:rsidRPr="00330BB2">
        <w:rPr>
          <w:sz w:val="22"/>
          <w:szCs w:val="22"/>
          <w:lang w:val="hr-HR"/>
        </w:rPr>
        <w:t>vrijednost</w:t>
      </w:r>
      <w:r w:rsidR="00C91DE7" w:rsidRPr="00330BB2">
        <w:rPr>
          <w:sz w:val="22"/>
          <w:szCs w:val="22"/>
          <w:lang w:val="hr-HR"/>
        </w:rPr>
        <w:t>i nakon 90. dana i do 540. dana da bi se proc</w:t>
      </w:r>
      <w:r w:rsidR="009246CD" w:rsidRPr="00330BB2">
        <w:rPr>
          <w:sz w:val="22"/>
          <w:szCs w:val="22"/>
          <w:lang w:val="hr-HR"/>
        </w:rPr>
        <w:t>ij</w:t>
      </w:r>
      <w:r w:rsidR="00C91DE7" w:rsidRPr="00330BB2">
        <w:rPr>
          <w:sz w:val="22"/>
          <w:szCs w:val="22"/>
          <w:lang w:val="hr-HR"/>
        </w:rPr>
        <w:t>enio integrisani u</w:t>
      </w:r>
      <w:r w:rsidR="009246CD" w:rsidRPr="00330BB2">
        <w:rPr>
          <w:sz w:val="22"/>
          <w:szCs w:val="22"/>
          <w:lang w:val="hr-HR"/>
        </w:rPr>
        <w:t>ticaj</w:t>
      </w:r>
      <w:r w:rsidR="00C91DE7" w:rsidRPr="00330BB2">
        <w:rPr>
          <w:sz w:val="22"/>
          <w:szCs w:val="22"/>
          <w:lang w:val="hr-HR"/>
        </w:rPr>
        <w:t xml:space="preserve"> na LDL-</w:t>
      </w:r>
      <w:r w:rsidR="009246CD" w:rsidRPr="00330BB2">
        <w:rPr>
          <w:sz w:val="22"/>
          <w:szCs w:val="22"/>
          <w:lang w:val="hr-HR"/>
        </w:rPr>
        <w:t>holesterol</w:t>
      </w:r>
      <w:r w:rsidR="00C91DE7" w:rsidRPr="00330BB2">
        <w:rPr>
          <w:sz w:val="22"/>
          <w:szCs w:val="22"/>
          <w:lang w:val="hr-HR"/>
        </w:rPr>
        <w:t xml:space="preserve"> tokom vremena. Ključni  sekundarni parametri</w:t>
      </w:r>
      <w:r w:rsidR="009246CD" w:rsidRPr="00330BB2">
        <w:rPr>
          <w:sz w:val="22"/>
          <w:szCs w:val="22"/>
          <w:lang w:val="hr-HR"/>
        </w:rPr>
        <w:t xml:space="preserve"> praćenja</w:t>
      </w:r>
      <w:r w:rsidR="00C91DE7" w:rsidRPr="00330BB2">
        <w:rPr>
          <w:sz w:val="22"/>
          <w:szCs w:val="22"/>
          <w:lang w:val="hr-HR"/>
        </w:rPr>
        <w:t xml:space="preserve"> su bili apsolutna prom</w:t>
      </w:r>
      <w:r w:rsidRPr="00330BB2">
        <w:rPr>
          <w:sz w:val="22"/>
          <w:szCs w:val="22"/>
          <w:lang w:val="hr-HR"/>
        </w:rPr>
        <w:t>j</w:t>
      </w:r>
      <w:r w:rsidR="00C91DE7" w:rsidRPr="00330BB2">
        <w:rPr>
          <w:sz w:val="22"/>
          <w:szCs w:val="22"/>
          <w:lang w:val="hr-HR"/>
        </w:rPr>
        <w:t>ena</w:t>
      </w:r>
      <w:r w:rsidR="009246CD" w:rsidRPr="00330BB2">
        <w:rPr>
          <w:sz w:val="22"/>
          <w:szCs w:val="22"/>
          <w:lang w:val="hr-HR"/>
        </w:rPr>
        <w:t xml:space="preserve"> vrijednosti</w:t>
      </w:r>
      <w:r w:rsidR="00C91DE7" w:rsidRPr="00330BB2">
        <w:rPr>
          <w:sz w:val="22"/>
          <w:szCs w:val="22"/>
          <w:lang w:val="hr-HR"/>
        </w:rPr>
        <w:t xml:space="preserve"> LDL-</w:t>
      </w:r>
      <w:r w:rsidR="009246CD" w:rsidRPr="00330BB2">
        <w:rPr>
          <w:sz w:val="22"/>
          <w:szCs w:val="22"/>
          <w:lang w:val="hr-HR"/>
        </w:rPr>
        <w:t>holesterola</w:t>
      </w:r>
      <w:r w:rsidR="00C91DE7" w:rsidRPr="00330BB2">
        <w:rPr>
          <w:sz w:val="22"/>
          <w:szCs w:val="22"/>
          <w:lang w:val="hr-HR"/>
        </w:rPr>
        <w:t xml:space="preserve"> od početne </w:t>
      </w:r>
      <w:r w:rsidR="007B38F0" w:rsidRPr="00330BB2">
        <w:rPr>
          <w:sz w:val="22"/>
          <w:szCs w:val="22"/>
          <w:lang w:val="hr-HR"/>
        </w:rPr>
        <w:t>vrijednost</w:t>
      </w:r>
      <w:r w:rsidR="00C91DE7" w:rsidRPr="00330BB2">
        <w:rPr>
          <w:sz w:val="22"/>
          <w:szCs w:val="22"/>
          <w:lang w:val="hr-HR"/>
        </w:rPr>
        <w:t>i do 510. dana, vremenski prilagođena apsolutna prom</w:t>
      </w:r>
      <w:r w:rsidRPr="00330BB2">
        <w:rPr>
          <w:sz w:val="22"/>
          <w:szCs w:val="22"/>
          <w:lang w:val="hr-HR"/>
        </w:rPr>
        <w:t>j</w:t>
      </w:r>
      <w:r w:rsidR="00C91DE7" w:rsidRPr="00330BB2">
        <w:rPr>
          <w:sz w:val="22"/>
          <w:szCs w:val="22"/>
          <w:lang w:val="hr-HR"/>
        </w:rPr>
        <w:t>ena</w:t>
      </w:r>
      <w:r w:rsidR="009246CD" w:rsidRPr="00330BB2">
        <w:rPr>
          <w:sz w:val="22"/>
          <w:szCs w:val="22"/>
          <w:lang w:val="hr-HR"/>
        </w:rPr>
        <w:t xml:space="preserve"> vrijednosti</w:t>
      </w:r>
      <w:r w:rsidR="00C91DE7" w:rsidRPr="00330BB2">
        <w:rPr>
          <w:sz w:val="22"/>
          <w:szCs w:val="22"/>
          <w:lang w:val="hr-HR"/>
        </w:rPr>
        <w:t xml:space="preserve"> LDL-</w:t>
      </w:r>
      <w:r w:rsidR="009246CD" w:rsidRPr="00330BB2">
        <w:rPr>
          <w:sz w:val="22"/>
          <w:szCs w:val="22"/>
          <w:lang w:val="hr-HR"/>
        </w:rPr>
        <w:t>holesterola</w:t>
      </w:r>
      <w:r w:rsidR="00C91DE7" w:rsidRPr="00330BB2">
        <w:rPr>
          <w:sz w:val="22"/>
          <w:szCs w:val="22"/>
          <w:lang w:val="hr-HR"/>
        </w:rPr>
        <w:t xml:space="preserve"> od početne </w:t>
      </w:r>
      <w:r w:rsidR="007B38F0" w:rsidRPr="00330BB2">
        <w:rPr>
          <w:sz w:val="22"/>
          <w:szCs w:val="22"/>
          <w:lang w:val="hr-HR"/>
        </w:rPr>
        <w:t>vrijednost</w:t>
      </w:r>
      <w:r w:rsidR="00C91DE7" w:rsidRPr="00330BB2">
        <w:rPr>
          <w:sz w:val="22"/>
          <w:szCs w:val="22"/>
          <w:lang w:val="hr-HR"/>
        </w:rPr>
        <w:t>i nakon 90. dana i do 540. dana i procentualna prom</w:t>
      </w:r>
      <w:r w:rsidR="006A7203" w:rsidRPr="00330BB2">
        <w:rPr>
          <w:sz w:val="22"/>
          <w:szCs w:val="22"/>
          <w:lang w:val="hr-HR"/>
        </w:rPr>
        <w:t>j</w:t>
      </w:r>
      <w:r w:rsidR="00C91DE7" w:rsidRPr="00330BB2">
        <w:rPr>
          <w:sz w:val="22"/>
          <w:szCs w:val="22"/>
          <w:lang w:val="hr-HR"/>
        </w:rPr>
        <w:t xml:space="preserve">ena od početne </w:t>
      </w:r>
      <w:r w:rsidR="007B38F0" w:rsidRPr="00330BB2">
        <w:rPr>
          <w:sz w:val="22"/>
          <w:szCs w:val="22"/>
          <w:lang w:val="hr-HR"/>
        </w:rPr>
        <w:t>vrijednost</w:t>
      </w:r>
      <w:r w:rsidR="00C91DE7" w:rsidRPr="00330BB2">
        <w:rPr>
          <w:sz w:val="22"/>
          <w:szCs w:val="22"/>
          <w:lang w:val="hr-HR"/>
        </w:rPr>
        <w:t>i do 510. dana u PCSK9, ukupnom holesterolu, Apo</w:t>
      </w:r>
      <w:r w:rsidR="00C91DE7" w:rsidRPr="00330BB2">
        <w:rPr>
          <w:sz w:val="22"/>
          <w:szCs w:val="22"/>
          <w:lang w:val="hr-HR"/>
        </w:rPr>
        <w:noBreakHyphen/>
        <w:t>B i ne</w:t>
      </w:r>
      <w:r w:rsidR="00C91DE7" w:rsidRPr="00330BB2">
        <w:rPr>
          <w:sz w:val="22"/>
          <w:szCs w:val="22"/>
          <w:lang w:val="hr-HR"/>
        </w:rPr>
        <w:noBreakHyphen/>
        <w:t>HDL</w:t>
      </w:r>
      <w:r w:rsidR="00C91DE7" w:rsidRPr="00330BB2">
        <w:rPr>
          <w:sz w:val="22"/>
          <w:szCs w:val="22"/>
          <w:lang w:val="hr-HR"/>
        </w:rPr>
        <w:noBreakHyphen/>
      </w:r>
      <w:r w:rsidR="009246CD" w:rsidRPr="00330BB2">
        <w:rPr>
          <w:sz w:val="22"/>
          <w:szCs w:val="22"/>
          <w:lang w:val="hr-HR"/>
        </w:rPr>
        <w:t>holesterol</w:t>
      </w:r>
      <w:r w:rsidR="006A7203" w:rsidRPr="00330BB2">
        <w:rPr>
          <w:sz w:val="22"/>
          <w:szCs w:val="22"/>
          <w:lang w:val="hr-HR"/>
        </w:rPr>
        <w:t>u</w:t>
      </w:r>
      <w:r w:rsidR="00C91DE7" w:rsidRPr="00330BB2">
        <w:rPr>
          <w:sz w:val="22"/>
          <w:szCs w:val="22"/>
          <w:lang w:val="hr-HR"/>
        </w:rPr>
        <w:t>. Dodatn</w:t>
      </w:r>
      <w:r w:rsidR="006A7203" w:rsidRPr="00330BB2">
        <w:rPr>
          <w:sz w:val="22"/>
          <w:szCs w:val="22"/>
          <w:lang w:val="hr-HR"/>
        </w:rPr>
        <w:t>e mjere</w:t>
      </w:r>
      <w:r w:rsidR="00C91DE7" w:rsidRPr="00330BB2">
        <w:rPr>
          <w:sz w:val="22"/>
          <w:szCs w:val="22"/>
          <w:lang w:val="hr-HR"/>
        </w:rPr>
        <w:t>sekundarni</w:t>
      </w:r>
      <w:r w:rsidR="006A7203" w:rsidRPr="00330BB2">
        <w:rPr>
          <w:sz w:val="22"/>
          <w:szCs w:val="22"/>
          <w:lang w:val="hr-HR"/>
        </w:rPr>
        <w:t>h</w:t>
      </w:r>
      <w:r w:rsidR="00C91DE7" w:rsidRPr="00330BB2">
        <w:rPr>
          <w:sz w:val="22"/>
          <w:szCs w:val="22"/>
          <w:lang w:val="hr-HR"/>
        </w:rPr>
        <w:t xml:space="preserve"> paramet</w:t>
      </w:r>
      <w:r w:rsidR="006A7203" w:rsidRPr="00330BB2">
        <w:rPr>
          <w:sz w:val="22"/>
          <w:szCs w:val="22"/>
          <w:lang w:val="hr-HR"/>
        </w:rPr>
        <w:t>ara</w:t>
      </w:r>
      <w:r w:rsidR="00C91DE7" w:rsidRPr="00330BB2">
        <w:rPr>
          <w:sz w:val="22"/>
          <w:szCs w:val="22"/>
          <w:lang w:val="hr-HR"/>
        </w:rPr>
        <w:t xml:space="preserve"> su uključival</w:t>
      </w:r>
      <w:r w:rsidR="006A7203" w:rsidRPr="00330BB2">
        <w:rPr>
          <w:sz w:val="22"/>
          <w:szCs w:val="22"/>
          <w:lang w:val="hr-HR"/>
        </w:rPr>
        <w:t>e</w:t>
      </w:r>
      <w:r w:rsidR="00C91DE7" w:rsidRPr="00330BB2">
        <w:rPr>
          <w:sz w:val="22"/>
          <w:szCs w:val="22"/>
          <w:lang w:val="hr-HR"/>
        </w:rPr>
        <w:t xml:space="preserve"> individualni nivo odgovora na inklisiran i ud</w:t>
      </w:r>
      <w:r w:rsidR="004F6D01" w:rsidRPr="00330BB2">
        <w:rPr>
          <w:sz w:val="22"/>
          <w:szCs w:val="22"/>
          <w:lang w:val="hr-HR"/>
        </w:rPr>
        <w:t>i</w:t>
      </w:r>
      <w:r w:rsidR="00C91DE7" w:rsidRPr="00330BB2">
        <w:rPr>
          <w:sz w:val="22"/>
          <w:szCs w:val="22"/>
          <w:lang w:val="hr-HR"/>
        </w:rPr>
        <w:t>o pacijenata koji su postigli opšte ciljeve za lipide za svoj nivo rizika od ASKVB-a.</w:t>
      </w:r>
    </w:p>
    <w:p w14:paraId="5EBBF3FB" w14:textId="77777777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</w:rPr>
      </w:pPr>
    </w:p>
    <w:p w14:paraId="6B8BC3A4" w14:textId="61E17186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Srednja starost na početku je bila 55 godina (raspon: 21 do 80 godina), 22% je imalo ≥</w:t>
      </w:r>
      <w:r w:rsidR="009246CD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>65 godina, 53% su bile žene, 94% su bili b</w:t>
      </w:r>
      <w:r w:rsidR="004F6D01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elci, 3% crnci, 3% Azijati, a 3% hispano ili latino por</w:t>
      </w:r>
      <w:r w:rsidR="006A7203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ekla. Srednj</w:t>
      </w:r>
      <w:r w:rsidR="009246CD" w:rsidRPr="00330BB2">
        <w:rPr>
          <w:sz w:val="22"/>
          <w:szCs w:val="22"/>
          <w:lang w:val="hr-HR"/>
        </w:rPr>
        <w:t>a</w:t>
      </w:r>
      <w:r w:rsidRPr="00330BB2">
        <w:rPr>
          <w:sz w:val="22"/>
          <w:szCs w:val="22"/>
          <w:lang w:val="hr-HR"/>
        </w:rPr>
        <w:t xml:space="preserve"> početn</w:t>
      </w:r>
      <w:r w:rsidR="009246CD" w:rsidRPr="00330BB2">
        <w:rPr>
          <w:sz w:val="22"/>
          <w:szCs w:val="22"/>
          <w:lang w:val="hr-HR"/>
        </w:rPr>
        <w:t>a</w:t>
      </w:r>
      <w:r w:rsidRPr="00330BB2">
        <w:rPr>
          <w:sz w:val="22"/>
          <w:szCs w:val="22"/>
          <w:lang w:val="hr-HR"/>
        </w:rPr>
        <w:t xml:space="preserve"> </w:t>
      </w:r>
      <w:r w:rsidR="009246CD" w:rsidRPr="00330BB2">
        <w:rPr>
          <w:sz w:val="22"/>
          <w:szCs w:val="22"/>
          <w:lang w:val="hr-HR"/>
        </w:rPr>
        <w:t xml:space="preserve">vrijednost </w:t>
      </w:r>
      <w:r w:rsidRPr="00330BB2">
        <w:rPr>
          <w:sz w:val="22"/>
          <w:szCs w:val="22"/>
          <w:lang w:val="hr-HR"/>
        </w:rPr>
        <w:t>LDL-</w:t>
      </w:r>
      <w:r w:rsidR="009246CD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je </w:t>
      </w:r>
      <w:r w:rsidR="00854D7A" w:rsidRPr="00330BB2">
        <w:rPr>
          <w:sz w:val="22"/>
          <w:szCs w:val="22"/>
          <w:lang w:val="hr-HR"/>
        </w:rPr>
        <w:t xml:space="preserve">bila </w:t>
      </w:r>
      <w:r w:rsidRPr="00330BB2">
        <w:rPr>
          <w:sz w:val="22"/>
          <w:szCs w:val="22"/>
          <w:lang w:val="hr-HR"/>
        </w:rPr>
        <w:t>4,0 mmol/</w:t>
      </w:r>
      <w:r w:rsidR="009246CD" w:rsidRPr="00330BB2">
        <w:rPr>
          <w:sz w:val="22"/>
          <w:szCs w:val="22"/>
          <w:lang w:val="hr-HR"/>
        </w:rPr>
        <w:t>l</w:t>
      </w:r>
      <w:r w:rsidRPr="00330BB2">
        <w:rPr>
          <w:sz w:val="22"/>
          <w:szCs w:val="22"/>
          <w:lang w:val="hr-HR"/>
        </w:rPr>
        <w:t xml:space="preserve"> (153 mg/d</w:t>
      </w:r>
      <w:r w:rsidR="009246CD" w:rsidRPr="00330BB2">
        <w:rPr>
          <w:sz w:val="22"/>
          <w:szCs w:val="22"/>
          <w:lang w:val="hr-HR"/>
        </w:rPr>
        <w:t>l</w:t>
      </w:r>
      <w:r w:rsidRPr="00330BB2">
        <w:rPr>
          <w:sz w:val="22"/>
          <w:szCs w:val="22"/>
          <w:lang w:val="hr-HR"/>
        </w:rPr>
        <w:t xml:space="preserve">). Sedamdeset četiri posto (74%) je bilo na terapiji statinima visokog intenziteta, 15% uzimalo je terapiju statinima srednjeg intenziteta, a 10% nije bilo na statinu. Pedeset dva posto (52%) pacijenata je bilo </w:t>
      </w:r>
      <w:r w:rsidR="007B38F0" w:rsidRPr="00330BB2">
        <w:rPr>
          <w:sz w:val="22"/>
          <w:szCs w:val="22"/>
          <w:lang w:val="hr-HR"/>
        </w:rPr>
        <w:t>liječ</w:t>
      </w:r>
      <w:r w:rsidRPr="00330BB2">
        <w:rPr>
          <w:sz w:val="22"/>
          <w:szCs w:val="22"/>
          <w:lang w:val="hr-HR"/>
        </w:rPr>
        <w:t>eno ezetimibom. Najčešće prim</w:t>
      </w:r>
      <w:r w:rsidR="004F6D01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enjivani statini su bili atorvastatin i rosuvastatin.</w:t>
      </w:r>
    </w:p>
    <w:p w14:paraId="6BDD5426" w14:textId="77777777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24F23376" w14:textId="5563266A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Inklisiran je značajno smanjio srednju procentualnu prom</w:t>
      </w:r>
      <w:r w:rsidR="004F6D01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enu LDL</w:t>
      </w:r>
      <w:r w:rsidRPr="00330BB2">
        <w:rPr>
          <w:sz w:val="22"/>
          <w:szCs w:val="22"/>
          <w:lang w:val="hr-HR"/>
        </w:rPr>
        <w:noBreakHyphen/>
      </w:r>
      <w:r w:rsidR="009246CD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od početne </w:t>
      </w:r>
      <w:r w:rsidR="007B38F0" w:rsidRPr="00330BB2">
        <w:rPr>
          <w:sz w:val="22"/>
          <w:szCs w:val="22"/>
          <w:lang w:val="hr-HR"/>
        </w:rPr>
        <w:t>vrijednost</w:t>
      </w:r>
      <w:r w:rsidRPr="00330BB2">
        <w:rPr>
          <w:sz w:val="22"/>
          <w:szCs w:val="22"/>
          <w:lang w:val="hr-HR"/>
        </w:rPr>
        <w:t xml:space="preserve">i do 510. dana u poređenju sa placebom za 48% (95% CI: </w:t>
      </w:r>
      <w:r w:rsidRPr="00330BB2">
        <w:rPr>
          <w:sz w:val="22"/>
          <w:szCs w:val="22"/>
          <w:lang w:val="hr-HR"/>
        </w:rPr>
        <w:noBreakHyphen/>
        <w:t xml:space="preserve">54%, </w:t>
      </w:r>
      <w:r w:rsidRPr="00330BB2">
        <w:rPr>
          <w:sz w:val="22"/>
          <w:szCs w:val="22"/>
          <w:lang w:val="hr-HR"/>
        </w:rPr>
        <w:noBreakHyphen/>
        <w:t>42%; p</w:t>
      </w:r>
      <w:r w:rsidR="009246CD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>&lt;</w:t>
      </w:r>
      <w:r w:rsidR="009246CD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>0,0001) (Tabela 4).</w:t>
      </w:r>
    </w:p>
    <w:p w14:paraId="7AAD00DE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5A073E08" w14:textId="6AF74FB4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lastRenderedPageBreak/>
        <w:t>Inklisiran je takođe značajno smanjio vremenski prilagođenu procentualnu prom</w:t>
      </w:r>
      <w:r w:rsidR="00854D7A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enu LDL-</w:t>
      </w:r>
      <w:r w:rsidR="009246CD" w:rsidRPr="00330BB2">
        <w:rPr>
          <w:sz w:val="22"/>
          <w:szCs w:val="22"/>
          <w:lang w:val="hr-HR"/>
        </w:rPr>
        <w:t>holesterola</w:t>
      </w:r>
      <w:r w:rsidRPr="00330BB2">
        <w:rPr>
          <w:sz w:val="22"/>
          <w:szCs w:val="22"/>
          <w:lang w:val="hr-HR"/>
        </w:rPr>
        <w:t xml:space="preserve"> od početne </w:t>
      </w:r>
      <w:r w:rsidR="007B38F0" w:rsidRPr="00330BB2">
        <w:rPr>
          <w:sz w:val="22"/>
          <w:szCs w:val="22"/>
          <w:lang w:val="hr-HR"/>
        </w:rPr>
        <w:t>vrijednost</w:t>
      </w:r>
      <w:r w:rsidRPr="00330BB2">
        <w:rPr>
          <w:sz w:val="22"/>
          <w:szCs w:val="22"/>
          <w:lang w:val="hr-HR"/>
        </w:rPr>
        <w:t xml:space="preserve">i nakon 90. dana i do 540. dana za 44% u poređenju sa placebom (95% CI: </w:t>
      </w:r>
      <w:r w:rsidRPr="00330BB2">
        <w:rPr>
          <w:sz w:val="22"/>
          <w:szCs w:val="22"/>
          <w:lang w:val="hr-HR"/>
        </w:rPr>
        <w:noBreakHyphen/>
        <w:t xml:space="preserve">48%, </w:t>
      </w:r>
      <w:r w:rsidRPr="00330BB2">
        <w:rPr>
          <w:sz w:val="22"/>
          <w:szCs w:val="22"/>
          <w:lang w:val="hr-HR"/>
        </w:rPr>
        <w:noBreakHyphen/>
        <w:t>40%; p</w:t>
      </w:r>
      <w:r w:rsidR="009246CD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>&lt;</w:t>
      </w:r>
      <w:r w:rsidR="009246CD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 xml:space="preserve">0,0001). Za dodatne rezultate, </w:t>
      </w:r>
      <w:r w:rsidR="007B38F0" w:rsidRPr="00330BB2">
        <w:rPr>
          <w:sz w:val="22"/>
          <w:szCs w:val="22"/>
          <w:lang w:val="hr-HR"/>
        </w:rPr>
        <w:t>vidjet</w:t>
      </w:r>
      <w:r w:rsidRPr="00330BB2">
        <w:rPr>
          <w:sz w:val="22"/>
          <w:szCs w:val="22"/>
          <w:lang w:val="hr-HR"/>
        </w:rPr>
        <w:t>i Tabelu 4.</w:t>
      </w:r>
    </w:p>
    <w:p w14:paraId="62E39CA2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50FCE9FD" w14:textId="47A62C64" w:rsidR="00C91DE7" w:rsidRPr="00330BB2" w:rsidRDefault="00C91DE7" w:rsidP="00FA129D">
      <w:pPr>
        <w:keepNext/>
        <w:keepLines/>
        <w:spacing w:line="260" w:lineRule="exact"/>
        <w:ind w:left="1134" w:hanging="1134"/>
        <w:jc w:val="both"/>
        <w:rPr>
          <w:sz w:val="22"/>
          <w:szCs w:val="22"/>
          <w:lang w:val="hr-HR"/>
        </w:rPr>
      </w:pPr>
      <w:bookmarkStart w:id="3" w:name="_Ref25332183"/>
      <w:bookmarkStart w:id="4" w:name="_Ref27551521"/>
      <w:r w:rsidRPr="00330BB2">
        <w:rPr>
          <w:b/>
          <w:bCs/>
          <w:sz w:val="22"/>
          <w:szCs w:val="22"/>
          <w:lang w:val="hr-HR"/>
        </w:rPr>
        <w:t>Tabela 4</w:t>
      </w:r>
      <w:bookmarkEnd w:id="3"/>
      <w:r w:rsidRPr="00330BB2">
        <w:rPr>
          <w:b/>
          <w:sz w:val="22"/>
          <w:szCs w:val="22"/>
          <w:lang w:val="hr-HR"/>
        </w:rPr>
        <w:tab/>
        <w:t>Srednja procentualna prom</w:t>
      </w:r>
      <w:r w:rsidR="004F6D01" w:rsidRPr="00330BB2">
        <w:rPr>
          <w:b/>
          <w:sz w:val="22"/>
          <w:szCs w:val="22"/>
          <w:lang w:val="hr-HR"/>
        </w:rPr>
        <w:t>j</w:t>
      </w:r>
      <w:r w:rsidRPr="00330BB2">
        <w:rPr>
          <w:b/>
          <w:sz w:val="22"/>
          <w:szCs w:val="22"/>
          <w:lang w:val="hr-HR"/>
        </w:rPr>
        <w:t xml:space="preserve">ena od početne </w:t>
      </w:r>
      <w:r w:rsidR="007B38F0" w:rsidRPr="00330BB2">
        <w:rPr>
          <w:b/>
          <w:sz w:val="22"/>
          <w:szCs w:val="22"/>
          <w:lang w:val="hr-HR"/>
        </w:rPr>
        <w:t>vrijednost</w:t>
      </w:r>
      <w:r w:rsidRPr="00330BB2">
        <w:rPr>
          <w:b/>
          <w:sz w:val="22"/>
          <w:szCs w:val="22"/>
          <w:lang w:val="hr-HR"/>
        </w:rPr>
        <w:t>i i razlika u odnosu na placebo u lipidnim parametrima 510. dana u ispitivanju ORION</w:t>
      </w:r>
      <w:r w:rsidRPr="00330BB2">
        <w:rPr>
          <w:b/>
          <w:sz w:val="22"/>
          <w:szCs w:val="22"/>
          <w:lang w:val="hr-HR"/>
        </w:rPr>
        <w:noBreakHyphen/>
        <w:t>9</w:t>
      </w:r>
      <w:bookmarkEnd w:id="4"/>
    </w:p>
    <w:p w14:paraId="0EE10306" w14:textId="4385608D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tbl>
      <w:tblPr>
        <w:tblW w:w="508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0"/>
        <w:gridCol w:w="1416"/>
        <w:gridCol w:w="1416"/>
        <w:gridCol w:w="1416"/>
        <w:gridCol w:w="1415"/>
        <w:gridCol w:w="1419"/>
        <w:gridCol w:w="7"/>
      </w:tblGrid>
      <w:tr w:rsidR="00C91DE7" w:rsidRPr="00330BB2" w14:paraId="31120B61" w14:textId="77777777" w:rsidTr="007B38F0">
        <w:trPr>
          <w:gridAfter w:val="1"/>
          <w:wAfter w:w="7" w:type="dxa"/>
          <w:cantSplit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43794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t>Terapijska grupa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5278B" w14:textId="501A0CD9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t>LDL</w:t>
            </w:r>
            <w:r w:rsidRPr="00330BB2">
              <w:rPr>
                <w:b/>
                <w:sz w:val="22"/>
                <w:szCs w:val="22"/>
                <w:lang w:val="hr-HR"/>
              </w:rPr>
              <w:noBreakHyphen/>
            </w:r>
            <w:r w:rsidR="009246CD" w:rsidRPr="00330BB2">
              <w:rPr>
                <w:b/>
                <w:sz w:val="22"/>
                <w:szCs w:val="22"/>
                <w:lang w:val="hr-HR"/>
              </w:rPr>
              <w:t>holesterol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EAAE63A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t>Ukupni holesterol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EF3AB" w14:textId="126BC829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t>Ne</w:t>
            </w:r>
            <w:r w:rsidRPr="00330BB2">
              <w:rPr>
                <w:b/>
                <w:sz w:val="22"/>
                <w:szCs w:val="22"/>
                <w:lang w:val="hr-HR"/>
              </w:rPr>
              <w:noBreakHyphen/>
              <w:t>HDL</w:t>
            </w:r>
            <w:r w:rsidRPr="00330BB2">
              <w:rPr>
                <w:b/>
                <w:sz w:val="22"/>
                <w:szCs w:val="22"/>
                <w:lang w:val="hr-HR"/>
              </w:rPr>
              <w:noBreakHyphen/>
            </w:r>
            <w:r w:rsidR="009246CD" w:rsidRPr="00330BB2">
              <w:rPr>
                <w:b/>
                <w:sz w:val="22"/>
                <w:szCs w:val="22"/>
                <w:lang w:val="hr-HR"/>
              </w:rPr>
              <w:t>holesterol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6D497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t>Apo</w:t>
            </w:r>
            <w:r w:rsidRPr="00330BB2">
              <w:rPr>
                <w:b/>
                <w:sz w:val="22"/>
                <w:szCs w:val="22"/>
                <w:lang w:val="hr-HR"/>
              </w:rPr>
              <w:noBreakHyphen/>
              <w:t>B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68D27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hr-HR"/>
              </w:rPr>
            </w:pPr>
            <w:r w:rsidRPr="00330BB2">
              <w:rPr>
                <w:b/>
                <w:sz w:val="22"/>
                <w:szCs w:val="22"/>
                <w:lang w:val="hr-HR"/>
              </w:rPr>
              <w:t>Lp(a)*</w:t>
            </w:r>
          </w:p>
        </w:tc>
      </w:tr>
      <w:tr w:rsidR="00C91DE7" w:rsidRPr="00330BB2" w14:paraId="6076A181" w14:textId="77777777" w:rsidTr="007B38F0">
        <w:trPr>
          <w:gridAfter w:val="1"/>
          <w:wAfter w:w="7" w:type="dxa"/>
          <w:cantSplit/>
        </w:trPr>
        <w:tc>
          <w:tcPr>
            <w:tcW w:w="2119" w:type="dxa"/>
            <w:tcBorders>
              <w:top w:val="single" w:sz="4" w:space="0" w:color="auto"/>
            </w:tcBorders>
            <w:shd w:val="clear" w:color="auto" w:fill="auto"/>
          </w:tcPr>
          <w:p w14:paraId="1C4B459B" w14:textId="4BEA92E1" w:rsidR="00C91DE7" w:rsidRPr="00330BB2" w:rsidRDefault="00C91DE7" w:rsidP="00F06C6E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 xml:space="preserve">Srednja početna </w:t>
            </w:r>
            <w:r w:rsidR="007B38F0" w:rsidRPr="00330BB2">
              <w:rPr>
                <w:sz w:val="22"/>
                <w:szCs w:val="22"/>
                <w:lang w:val="hr-HR"/>
              </w:rPr>
              <w:t>vrijednost</w:t>
            </w:r>
            <w:r w:rsidRPr="00330BB2">
              <w:rPr>
                <w:sz w:val="22"/>
                <w:szCs w:val="22"/>
                <w:lang w:val="hr-HR"/>
              </w:rPr>
              <w:t xml:space="preserve"> u mg/d</w:t>
            </w:r>
            <w:r w:rsidR="009246CD" w:rsidRPr="00330BB2">
              <w:rPr>
                <w:sz w:val="22"/>
                <w:szCs w:val="22"/>
                <w:lang w:val="hr-HR"/>
              </w:rPr>
              <w:t>l</w:t>
            </w:r>
            <w:r w:rsidRPr="00330BB2">
              <w:rPr>
                <w:sz w:val="22"/>
                <w:szCs w:val="22"/>
                <w:lang w:val="hr-HR"/>
              </w:rPr>
              <w:t>**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14:paraId="0EBA1C16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153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14D42421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231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14:paraId="297AB8F1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180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14:paraId="6415BCCE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124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14:paraId="30F92113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121</w:t>
            </w:r>
          </w:p>
        </w:tc>
      </w:tr>
      <w:tr w:rsidR="00C91DE7" w:rsidRPr="00330BB2" w14:paraId="2F4337D4" w14:textId="77777777" w:rsidTr="007B38F0">
        <w:trPr>
          <w:cantSplit/>
        </w:trPr>
        <w:tc>
          <w:tcPr>
            <w:tcW w:w="9207" w:type="dxa"/>
            <w:gridSpan w:val="7"/>
          </w:tcPr>
          <w:p w14:paraId="421EB644" w14:textId="5B5F84D9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510. dan (srednja procentualna prom</w:t>
            </w:r>
            <w:r w:rsidR="004F6D01" w:rsidRPr="00330BB2">
              <w:rPr>
                <w:sz w:val="22"/>
                <w:szCs w:val="22"/>
                <w:lang w:val="hr-HR"/>
              </w:rPr>
              <w:t>j</w:t>
            </w:r>
            <w:r w:rsidRPr="00330BB2">
              <w:rPr>
                <w:sz w:val="22"/>
                <w:szCs w:val="22"/>
                <w:lang w:val="hr-HR"/>
              </w:rPr>
              <w:t xml:space="preserve">ena od početne </w:t>
            </w:r>
            <w:r w:rsidR="007B38F0" w:rsidRPr="00330BB2">
              <w:rPr>
                <w:sz w:val="22"/>
                <w:szCs w:val="22"/>
                <w:lang w:val="hr-HR"/>
              </w:rPr>
              <w:t>vrijednost</w:t>
            </w:r>
            <w:r w:rsidRPr="00330BB2">
              <w:rPr>
                <w:sz w:val="22"/>
                <w:szCs w:val="22"/>
                <w:lang w:val="hr-HR"/>
              </w:rPr>
              <w:t>i)</w:t>
            </w:r>
          </w:p>
        </w:tc>
      </w:tr>
      <w:tr w:rsidR="00C91DE7" w:rsidRPr="00330BB2" w14:paraId="4CF33232" w14:textId="77777777" w:rsidTr="007B38F0">
        <w:trPr>
          <w:gridAfter w:val="1"/>
          <w:wAfter w:w="7" w:type="dxa"/>
          <w:cantSplit/>
        </w:trPr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14:paraId="40C193C9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Placebo (n=240)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5D4F62B4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8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98A87AE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7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6283F474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7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7B45E299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3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14:paraId="43130D54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4</w:t>
            </w:r>
          </w:p>
        </w:tc>
      </w:tr>
      <w:tr w:rsidR="00C91DE7" w:rsidRPr="00330BB2" w14:paraId="1E517AF3" w14:textId="77777777" w:rsidTr="007B38F0">
        <w:trPr>
          <w:gridAfter w:val="1"/>
          <w:wAfter w:w="7" w:type="dxa"/>
          <w:cantSplit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98A79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Inklisiran</w:t>
            </w:r>
          </w:p>
          <w:p w14:paraId="3CA2036C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(n=242)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A1A4E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40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77FF488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25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4E936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35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3945B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33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5F5BCD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13</w:t>
            </w:r>
          </w:p>
        </w:tc>
      </w:tr>
      <w:tr w:rsidR="00C91DE7" w:rsidRPr="00330BB2" w14:paraId="6E5544AC" w14:textId="77777777" w:rsidTr="007B38F0">
        <w:trPr>
          <w:gridAfter w:val="1"/>
          <w:wAfter w:w="7" w:type="dxa"/>
          <w:cantSplit/>
        </w:trPr>
        <w:tc>
          <w:tcPr>
            <w:tcW w:w="2119" w:type="dxa"/>
            <w:tcBorders>
              <w:top w:val="single" w:sz="4" w:space="0" w:color="auto"/>
            </w:tcBorders>
            <w:shd w:val="clear" w:color="auto" w:fill="auto"/>
          </w:tcPr>
          <w:p w14:paraId="36E68DF3" w14:textId="4BE71B84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 xml:space="preserve">Razlika u odnosu na placebo (LS srednja </w:t>
            </w:r>
            <w:r w:rsidR="007B38F0" w:rsidRPr="00330BB2">
              <w:rPr>
                <w:sz w:val="22"/>
                <w:szCs w:val="22"/>
                <w:lang w:val="hr-HR"/>
              </w:rPr>
              <w:t>vrijednost</w:t>
            </w:r>
            <w:r w:rsidRPr="00330BB2">
              <w:rPr>
                <w:sz w:val="22"/>
                <w:szCs w:val="22"/>
                <w:lang w:val="hr-HR"/>
              </w:rPr>
              <w:t>)</w:t>
            </w:r>
          </w:p>
          <w:p w14:paraId="45E07CAB" w14:textId="77777777" w:rsidR="00C91DE7" w:rsidRPr="00330BB2" w:rsidRDefault="00C91DE7" w:rsidP="00FA129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(95% CI)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14:paraId="501B7A58" w14:textId="77777777" w:rsidR="00C91DE7" w:rsidRPr="00330BB2" w:rsidRDefault="00C91DE7" w:rsidP="00854D7A">
            <w:pPr>
              <w:keepNext/>
              <w:keepLines/>
              <w:spacing w:before="60" w:after="6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48</w:t>
            </w:r>
          </w:p>
          <w:p w14:paraId="49317416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</w:t>
            </w:r>
            <w:r w:rsidRPr="00330BB2">
              <w:rPr>
                <w:sz w:val="22"/>
                <w:szCs w:val="22"/>
                <w:lang w:val="hr-HR"/>
              </w:rPr>
              <w:noBreakHyphen/>
              <w:t xml:space="preserve">54, </w:t>
            </w:r>
            <w:r w:rsidRPr="00330BB2">
              <w:rPr>
                <w:sz w:val="22"/>
                <w:szCs w:val="22"/>
                <w:lang w:val="hr-HR"/>
              </w:rPr>
              <w:noBreakHyphen/>
              <w:t>42)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093F3BF9" w14:textId="77777777" w:rsidR="00C91DE7" w:rsidRPr="00330BB2" w:rsidRDefault="00C91DE7" w:rsidP="00854D7A">
            <w:pPr>
              <w:keepNext/>
              <w:keepLines/>
              <w:spacing w:before="60" w:after="6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32</w:t>
            </w:r>
          </w:p>
          <w:p w14:paraId="59EC79FA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</w:t>
            </w:r>
            <w:r w:rsidRPr="00330BB2">
              <w:rPr>
                <w:sz w:val="22"/>
                <w:szCs w:val="22"/>
                <w:lang w:val="hr-HR"/>
              </w:rPr>
              <w:noBreakHyphen/>
              <w:t xml:space="preserve">36, </w:t>
            </w:r>
            <w:r w:rsidRPr="00330BB2">
              <w:rPr>
                <w:sz w:val="22"/>
                <w:szCs w:val="22"/>
                <w:lang w:val="hr-HR"/>
              </w:rPr>
              <w:noBreakHyphen/>
              <w:t>28)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14:paraId="60104056" w14:textId="77777777" w:rsidR="00C91DE7" w:rsidRPr="00330BB2" w:rsidRDefault="00C91DE7" w:rsidP="00854D7A">
            <w:pPr>
              <w:keepNext/>
              <w:keepLines/>
              <w:spacing w:before="60" w:after="6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42</w:t>
            </w:r>
          </w:p>
          <w:p w14:paraId="6A811F3F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</w:t>
            </w:r>
            <w:r w:rsidRPr="00330BB2">
              <w:rPr>
                <w:sz w:val="22"/>
                <w:szCs w:val="22"/>
                <w:lang w:val="hr-HR"/>
              </w:rPr>
              <w:noBreakHyphen/>
              <w:t xml:space="preserve">47, </w:t>
            </w:r>
            <w:r w:rsidRPr="00330BB2">
              <w:rPr>
                <w:sz w:val="22"/>
                <w:szCs w:val="22"/>
                <w:lang w:val="hr-HR"/>
              </w:rPr>
              <w:noBreakHyphen/>
              <w:t>37)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14:paraId="7698A553" w14:textId="77777777" w:rsidR="00C91DE7" w:rsidRPr="00330BB2" w:rsidRDefault="00C91DE7" w:rsidP="00854D7A">
            <w:pPr>
              <w:keepNext/>
              <w:keepLines/>
              <w:spacing w:before="60" w:after="6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36</w:t>
            </w:r>
          </w:p>
          <w:p w14:paraId="590B6181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</w:t>
            </w:r>
            <w:r w:rsidRPr="00330BB2">
              <w:rPr>
                <w:sz w:val="22"/>
                <w:szCs w:val="22"/>
                <w:lang w:val="hr-HR"/>
              </w:rPr>
              <w:noBreakHyphen/>
              <w:t xml:space="preserve">40, </w:t>
            </w:r>
            <w:r w:rsidRPr="00330BB2">
              <w:rPr>
                <w:sz w:val="22"/>
                <w:szCs w:val="22"/>
                <w:lang w:val="hr-HR"/>
              </w:rPr>
              <w:noBreakHyphen/>
              <w:t>32)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14:paraId="24A8718C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noBreakHyphen/>
              <w:t>17</w:t>
            </w:r>
          </w:p>
          <w:p w14:paraId="6D18DFF9" w14:textId="77777777" w:rsidR="00C91DE7" w:rsidRPr="00330BB2" w:rsidRDefault="00C91DE7" w:rsidP="00854D7A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(</w:t>
            </w:r>
            <w:r w:rsidRPr="00330BB2">
              <w:rPr>
                <w:sz w:val="22"/>
                <w:szCs w:val="22"/>
                <w:lang w:val="hr-HR"/>
              </w:rPr>
              <w:noBreakHyphen/>
              <w:t xml:space="preserve">22, </w:t>
            </w:r>
            <w:r w:rsidRPr="00330BB2">
              <w:rPr>
                <w:sz w:val="22"/>
                <w:szCs w:val="22"/>
                <w:lang w:val="hr-HR"/>
              </w:rPr>
              <w:noBreakHyphen/>
              <w:t>12)</w:t>
            </w:r>
          </w:p>
        </w:tc>
      </w:tr>
      <w:tr w:rsidR="00C91DE7" w:rsidRPr="00330BB2" w14:paraId="6229871B" w14:textId="77777777" w:rsidTr="007B38F0">
        <w:trPr>
          <w:cantSplit/>
        </w:trPr>
        <w:tc>
          <w:tcPr>
            <w:tcW w:w="9207" w:type="dxa"/>
            <w:gridSpan w:val="7"/>
            <w:shd w:val="clear" w:color="auto" w:fill="auto"/>
          </w:tcPr>
          <w:p w14:paraId="58386601" w14:textId="597CB12F" w:rsidR="00C91DE7" w:rsidRPr="00330BB2" w:rsidRDefault="00C91DE7" w:rsidP="00FA129D">
            <w:pPr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>*540. dana; medijana procentualne prom</w:t>
            </w:r>
            <w:r w:rsidR="00854D7A" w:rsidRPr="00330BB2">
              <w:rPr>
                <w:sz w:val="22"/>
                <w:szCs w:val="22"/>
                <w:lang w:val="hr-HR"/>
              </w:rPr>
              <w:t>j</w:t>
            </w:r>
            <w:r w:rsidRPr="00330BB2">
              <w:rPr>
                <w:sz w:val="22"/>
                <w:szCs w:val="22"/>
                <w:lang w:val="hr-HR"/>
              </w:rPr>
              <w:t xml:space="preserve">ene </w:t>
            </w:r>
            <w:r w:rsidR="007B38F0" w:rsidRPr="00330BB2">
              <w:rPr>
                <w:sz w:val="22"/>
                <w:szCs w:val="22"/>
                <w:lang w:val="hr-HR"/>
              </w:rPr>
              <w:t>vrijednost</w:t>
            </w:r>
            <w:r w:rsidRPr="00330BB2">
              <w:rPr>
                <w:sz w:val="22"/>
                <w:szCs w:val="22"/>
                <w:lang w:val="hr-HR"/>
              </w:rPr>
              <w:t>i Lp(a)</w:t>
            </w:r>
          </w:p>
          <w:p w14:paraId="06AE2762" w14:textId="01118E3F" w:rsidR="00C91DE7" w:rsidRPr="00330BB2" w:rsidRDefault="00C91DE7" w:rsidP="00FA129D">
            <w:pPr>
              <w:keepLines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r w:rsidRPr="00330BB2">
              <w:rPr>
                <w:sz w:val="22"/>
                <w:szCs w:val="22"/>
                <w:lang w:val="hr-HR"/>
              </w:rPr>
              <w:t xml:space="preserve">**Srednja početna </w:t>
            </w:r>
            <w:r w:rsidR="007B38F0" w:rsidRPr="00330BB2">
              <w:rPr>
                <w:sz w:val="22"/>
                <w:szCs w:val="22"/>
                <w:lang w:val="hr-HR"/>
              </w:rPr>
              <w:t>vrijednost</w:t>
            </w:r>
            <w:r w:rsidRPr="00330BB2">
              <w:rPr>
                <w:sz w:val="22"/>
                <w:szCs w:val="22"/>
                <w:lang w:val="hr-HR"/>
              </w:rPr>
              <w:t xml:space="preserve"> u nmol/</w:t>
            </w:r>
            <w:r w:rsidR="00CF00A6" w:rsidRPr="00330BB2">
              <w:rPr>
                <w:sz w:val="22"/>
                <w:szCs w:val="22"/>
                <w:lang w:val="hr-HR"/>
              </w:rPr>
              <w:t>l</w:t>
            </w:r>
            <w:r w:rsidRPr="00330BB2">
              <w:rPr>
                <w:sz w:val="22"/>
                <w:szCs w:val="22"/>
                <w:lang w:val="hr-HR"/>
              </w:rPr>
              <w:t xml:space="preserve"> za Lp(a)</w:t>
            </w:r>
          </w:p>
        </w:tc>
      </w:tr>
    </w:tbl>
    <w:p w14:paraId="6ED5CC60" w14:textId="3617184D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BBF46BC" w14:textId="7D5ED502" w:rsidR="00C91DE7" w:rsidRPr="00330BB2" w:rsidRDefault="006A7203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Na</w:t>
      </w:r>
      <w:r w:rsidR="00C91DE7" w:rsidRPr="00330BB2">
        <w:rPr>
          <w:sz w:val="22"/>
          <w:szCs w:val="22"/>
          <w:lang w:val="hr-HR"/>
        </w:rPr>
        <w:t xml:space="preserve"> 510. dan, </w:t>
      </w:r>
      <w:r w:rsidR="00C91DE7" w:rsidRPr="00330BB2">
        <w:rPr>
          <w:bCs/>
          <w:sz w:val="22"/>
          <w:szCs w:val="22"/>
          <w:lang w:val="hr-HR"/>
        </w:rPr>
        <w:t xml:space="preserve">52,5% pacijenata na inklisiranu sa </w:t>
      </w:r>
      <w:r w:rsidR="00C91DE7" w:rsidRPr="00330BB2">
        <w:rPr>
          <w:sz w:val="22"/>
          <w:szCs w:val="22"/>
          <w:lang w:val="hr-HR"/>
        </w:rPr>
        <w:t xml:space="preserve">ASKVB-om je postiglo svoju ciljanu </w:t>
      </w:r>
      <w:r w:rsidR="007B38F0" w:rsidRPr="00330BB2">
        <w:rPr>
          <w:sz w:val="22"/>
          <w:szCs w:val="22"/>
          <w:lang w:val="hr-HR"/>
        </w:rPr>
        <w:t>vrijednost</w:t>
      </w:r>
      <w:r w:rsidR="00C91DE7" w:rsidRPr="00330BB2">
        <w:rPr>
          <w:sz w:val="22"/>
          <w:szCs w:val="22"/>
          <w:lang w:val="hr-HR"/>
        </w:rPr>
        <w:t xml:space="preserve"> LDL</w:t>
      </w:r>
      <w:r w:rsidR="00C91DE7" w:rsidRPr="00330BB2">
        <w:rPr>
          <w:sz w:val="22"/>
          <w:szCs w:val="22"/>
          <w:lang w:val="hr-HR"/>
        </w:rPr>
        <w:noBreakHyphen/>
      </w:r>
      <w:r w:rsidR="009246CD" w:rsidRPr="00330BB2">
        <w:rPr>
          <w:sz w:val="22"/>
          <w:szCs w:val="22"/>
          <w:lang w:val="hr-HR"/>
        </w:rPr>
        <w:t>holesterola</w:t>
      </w:r>
      <w:r w:rsidR="00C91DE7" w:rsidRPr="00330BB2">
        <w:rPr>
          <w:sz w:val="22"/>
          <w:szCs w:val="22"/>
          <w:lang w:val="hr-HR"/>
        </w:rPr>
        <w:t xml:space="preserve"> od &lt;</w:t>
      </w:r>
      <w:r w:rsidR="009246CD" w:rsidRPr="00330BB2">
        <w:rPr>
          <w:sz w:val="22"/>
          <w:szCs w:val="22"/>
          <w:lang w:val="hr-HR"/>
        </w:rPr>
        <w:t xml:space="preserve"> </w:t>
      </w:r>
      <w:r w:rsidR="00C91DE7" w:rsidRPr="00330BB2">
        <w:rPr>
          <w:sz w:val="22"/>
          <w:szCs w:val="22"/>
          <w:lang w:val="hr-HR"/>
        </w:rPr>
        <w:t>1,8 mmol/</w:t>
      </w:r>
      <w:r w:rsidR="009246CD" w:rsidRPr="00330BB2">
        <w:rPr>
          <w:sz w:val="22"/>
          <w:szCs w:val="22"/>
          <w:lang w:val="hr-HR"/>
        </w:rPr>
        <w:t>l</w:t>
      </w:r>
      <w:r w:rsidR="00C91DE7" w:rsidRPr="00330BB2">
        <w:rPr>
          <w:sz w:val="22"/>
          <w:szCs w:val="22"/>
          <w:lang w:val="hr-HR"/>
        </w:rPr>
        <w:t xml:space="preserve"> (70 mg/d</w:t>
      </w:r>
      <w:r w:rsidR="009246CD" w:rsidRPr="00330BB2">
        <w:rPr>
          <w:sz w:val="22"/>
          <w:szCs w:val="22"/>
          <w:lang w:val="hr-HR"/>
        </w:rPr>
        <w:t>l</w:t>
      </w:r>
      <w:r w:rsidR="00C91DE7" w:rsidRPr="00330BB2">
        <w:rPr>
          <w:sz w:val="22"/>
          <w:szCs w:val="22"/>
          <w:lang w:val="hr-HR"/>
        </w:rPr>
        <w:t xml:space="preserve">) u poređenju sa 1,4% pacijenata na placebu sa ASKVB-om, dok je grupi sa ekvivalentima rizika za ASKVB 66,9% pacijenata na inklisiranu postiglo svoju ciljanu </w:t>
      </w:r>
      <w:r w:rsidR="007B38F0" w:rsidRPr="00330BB2">
        <w:rPr>
          <w:sz w:val="22"/>
          <w:szCs w:val="22"/>
          <w:lang w:val="hr-HR"/>
        </w:rPr>
        <w:t>vrijednost</w:t>
      </w:r>
      <w:r w:rsidR="00C91DE7" w:rsidRPr="00330BB2">
        <w:rPr>
          <w:sz w:val="22"/>
          <w:szCs w:val="22"/>
          <w:lang w:val="hr-HR"/>
        </w:rPr>
        <w:t xml:space="preserve"> LDL-</w:t>
      </w:r>
      <w:r w:rsidR="009246CD" w:rsidRPr="00330BB2">
        <w:rPr>
          <w:sz w:val="22"/>
          <w:szCs w:val="22"/>
          <w:lang w:val="hr-HR"/>
        </w:rPr>
        <w:t>holesterola</w:t>
      </w:r>
      <w:r w:rsidR="00C91DE7" w:rsidRPr="00330BB2">
        <w:rPr>
          <w:sz w:val="22"/>
          <w:szCs w:val="22"/>
          <w:lang w:val="hr-HR"/>
        </w:rPr>
        <w:t xml:space="preserve"> od &lt;</w:t>
      </w:r>
      <w:r w:rsidR="009246CD" w:rsidRPr="00330BB2">
        <w:rPr>
          <w:sz w:val="22"/>
          <w:szCs w:val="22"/>
          <w:lang w:val="hr-HR"/>
        </w:rPr>
        <w:t xml:space="preserve"> </w:t>
      </w:r>
      <w:r w:rsidR="00C91DE7" w:rsidRPr="00330BB2">
        <w:rPr>
          <w:sz w:val="22"/>
          <w:szCs w:val="22"/>
          <w:lang w:val="hr-HR"/>
        </w:rPr>
        <w:t>2,6 mmol/</w:t>
      </w:r>
      <w:r w:rsidR="009246CD" w:rsidRPr="00330BB2">
        <w:rPr>
          <w:sz w:val="22"/>
          <w:szCs w:val="22"/>
          <w:lang w:val="hr-HR"/>
        </w:rPr>
        <w:t>l</w:t>
      </w:r>
      <w:r w:rsidR="00C91DE7" w:rsidRPr="00330BB2">
        <w:rPr>
          <w:sz w:val="22"/>
          <w:szCs w:val="22"/>
          <w:lang w:val="hr-HR"/>
        </w:rPr>
        <w:t xml:space="preserve"> (100 mg/d</w:t>
      </w:r>
      <w:r w:rsidR="009246CD" w:rsidRPr="00330BB2">
        <w:rPr>
          <w:sz w:val="22"/>
          <w:szCs w:val="22"/>
          <w:lang w:val="hr-HR"/>
        </w:rPr>
        <w:t>l</w:t>
      </w:r>
      <w:r w:rsidR="00C91DE7" w:rsidRPr="00330BB2">
        <w:rPr>
          <w:sz w:val="22"/>
          <w:szCs w:val="22"/>
          <w:lang w:val="hr-HR"/>
        </w:rPr>
        <w:t>), u poređenju sa 8,9% pacijenata na placebu</w:t>
      </w:r>
      <w:r w:rsidR="00C91DE7" w:rsidRPr="00330BB2">
        <w:rPr>
          <w:bCs/>
          <w:sz w:val="22"/>
          <w:szCs w:val="22"/>
          <w:lang w:val="hr-HR"/>
        </w:rPr>
        <w:t>.</w:t>
      </w:r>
      <w:bookmarkStart w:id="5" w:name="_Ref25332792"/>
    </w:p>
    <w:p w14:paraId="34096C58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</w:p>
    <w:bookmarkEnd w:id="5"/>
    <w:p w14:paraId="688E41D6" w14:textId="772C8E83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 w:rsidRPr="00330BB2">
        <w:rPr>
          <w:bCs/>
          <w:sz w:val="22"/>
          <w:szCs w:val="22"/>
          <w:lang w:val="hr-HR"/>
        </w:rPr>
        <w:t xml:space="preserve">Konzistentna i statistički značajna </w:t>
      </w:r>
      <w:r w:rsidRPr="00330BB2">
        <w:rPr>
          <w:sz w:val="22"/>
          <w:szCs w:val="22"/>
          <w:lang w:val="hr-HR"/>
        </w:rPr>
        <w:t>(p</w:t>
      </w:r>
      <w:r w:rsidR="009246CD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>&lt;</w:t>
      </w:r>
      <w:r w:rsidR="009246CD" w:rsidRPr="00330BB2">
        <w:rPr>
          <w:sz w:val="22"/>
          <w:szCs w:val="22"/>
          <w:lang w:val="hr-HR"/>
        </w:rPr>
        <w:t xml:space="preserve"> </w:t>
      </w:r>
      <w:r w:rsidRPr="00330BB2">
        <w:rPr>
          <w:sz w:val="22"/>
          <w:szCs w:val="22"/>
          <w:lang w:val="hr-HR"/>
        </w:rPr>
        <w:t xml:space="preserve">0,05) </w:t>
      </w:r>
      <w:r w:rsidRPr="00330BB2">
        <w:rPr>
          <w:bCs/>
          <w:sz w:val="22"/>
          <w:szCs w:val="22"/>
          <w:lang w:val="hr-HR"/>
        </w:rPr>
        <w:t>procentualna prom</w:t>
      </w:r>
      <w:r w:rsidR="004F6D01" w:rsidRPr="00330BB2">
        <w:rPr>
          <w:bCs/>
          <w:sz w:val="22"/>
          <w:szCs w:val="22"/>
          <w:lang w:val="hr-HR"/>
        </w:rPr>
        <w:t>j</w:t>
      </w:r>
      <w:r w:rsidRPr="00330BB2">
        <w:rPr>
          <w:bCs/>
          <w:sz w:val="22"/>
          <w:szCs w:val="22"/>
          <w:lang w:val="hr-HR"/>
        </w:rPr>
        <w:t>ena LDL-</w:t>
      </w:r>
      <w:r w:rsidR="009246CD" w:rsidRPr="00330BB2">
        <w:rPr>
          <w:bCs/>
          <w:sz w:val="22"/>
          <w:szCs w:val="22"/>
          <w:lang w:val="hr-HR"/>
        </w:rPr>
        <w:t>holesterola</w:t>
      </w:r>
      <w:r w:rsidRPr="00330BB2">
        <w:rPr>
          <w:bCs/>
          <w:sz w:val="22"/>
          <w:szCs w:val="22"/>
          <w:lang w:val="hr-HR"/>
        </w:rPr>
        <w:t xml:space="preserve"> od početne </w:t>
      </w:r>
      <w:r w:rsidR="007B38F0" w:rsidRPr="00330BB2">
        <w:rPr>
          <w:bCs/>
          <w:sz w:val="22"/>
          <w:szCs w:val="22"/>
          <w:lang w:val="hr-HR"/>
        </w:rPr>
        <w:t>vrijednost</w:t>
      </w:r>
      <w:r w:rsidRPr="00330BB2">
        <w:rPr>
          <w:bCs/>
          <w:sz w:val="22"/>
          <w:szCs w:val="22"/>
          <w:lang w:val="hr-HR"/>
        </w:rPr>
        <w:t>i do 510. dana i vremenski prilagođena procentualna prom</w:t>
      </w:r>
      <w:r w:rsidR="009246CD" w:rsidRPr="00330BB2">
        <w:rPr>
          <w:bCs/>
          <w:sz w:val="22"/>
          <w:szCs w:val="22"/>
          <w:lang w:val="hr-HR"/>
        </w:rPr>
        <w:t>j</w:t>
      </w:r>
      <w:r w:rsidRPr="00330BB2">
        <w:rPr>
          <w:bCs/>
          <w:sz w:val="22"/>
          <w:szCs w:val="22"/>
          <w:lang w:val="hr-HR"/>
        </w:rPr>
        <w:t>ena</w:t>
      </w:r>
      <w:r w:rsidR="009246CD" w:rsidRPr="00330BB2">
        <w:rPr>
          <w:bCs/>
          <w:sz w:val="22"/>
          <w:szCs w:val="22"/>
          <w:lang w:val="hr-HR"/>
        </w:rPr>
        <w:t xml:space="preserve"> vrijednosti</w:t>
      </w:r>
      <w:r w:rsidRPr="00330BB2">
        <w:rPr>
          <w:bCs/>
          <w:sz w:val="22"/>
          <w:szCs w:val="22"/>
          <w:lang w:val="hr-HR"/>
        </w:rPr>
        <w:t xml:space="preserve"> LDL</w:t>
      </w:r>
      <w:r w:rsidRPr="00330BB2">
        <w:rPr>
          <w:bCs/>
          <w:sz w:val="22"/>
          <w:szCs w:val="22"/>
          <w:lang w:val="hr-HR"/>
        </w:rPr>
        <w:noBreakHyphen/>
      </w:r>
      <w:r w:rsidR="009246CD" w:rsidRPr="00330BB2">
        <w:rPr>
          <w:bCs/>
          <w:sz w:val="22"/>
          <w:szCs w:val="22"/>
          <w:lang w:val="hr-HR"/>
        </w:rPr>
        <w:t>holesterola</w:t>
      </w:r>
      <w:r w:rsidRPr="00330BB2">
        <w:rPr>
          <w:bCs/>
          <w:sz w:val="22"/>
          <w:szCs w:val="22"/>
          <w:lang w:val="hr-HR"/>
        </w:rPr>
        <w:t xml:space="preserve"> od početne </w:t>
      </w:r>
      <w:r w:rsidR="007B38F0" w:rsidRPr="00330BB2">
        <w:rPr>
          <w:bCs/>
          <w:sz w:val="22"/>
          <w:szCs w:val="22"/>
          <w:lang w:val="hr-HR"/>
        </w:rPr>
        <w:t>vrijednost</w:t>
      </w:r>
      <w:r w:rsidRPr="00330BB2">
        <w:rPr>
          <w:bCs/>
          <w:sz w:val="22"/>
          <w:szCs w:val="22"/>
          <w:lang w:val="hr-HR"/>
        </w:rPr>
        <w:t>i nakon 90. dana i do 540. dana su bile zab</w:t>
      </w:r>
      <w:r w:rsidR="004F6D01" w:rsidRPr="00330BB2">
        <w:rPr>
          <w:bCs/>
          <w:sz w:val="22"/>
          <w:szCs w:val="22"/>
          <w:lang w:val="hr-HR"/>
        </w:rPr>
        <w:t>ilje</w:t>
      </w:r>
      <w:r w:rsidRPr="00330BB2">
        <w:rPr>
          <w:bCs/>
          <w:sz w:val="22"/>
          <w:szCs w:val="22"/>
          <w:lang w:val="hr-HR"/>
        </w:rPr>
        <w:t>žene u svim podgrupama bez obzira na početne demografske faktore, početne pokazatelje bolesti (uključujući pol, starost, indeks t</w:t>
      </w:r>
      <w:r w:rsidR="004F6D01" w:rsidRPr="00330BB2">
        <w:rPr>
          <w:bCs/>
          <w:sz w:val="22"/>
          <w:szCs w:val="22"/>
          <w:lang w:val="hr-HR"/>
        </w:rPr>
        <w:t>j</w:t>
      </w:r>
      <w:r w:rsidRPr="00330BB2">
        <w:rPr>
          <w:bCs/>
          <w:sz w:val="22"/>
          <w:szCs w:val="22"/>
          <w:lang w:val="hr-HR"/>
        </w:rPr>
        <w:t>elesne mase, rasu i prim</w:t>
      </w:r>
      <w:r w:rsidR="004F6D01" w:rsidRPr="00330BB2">
        <w:rPr>
          <w:bCs/>
          <w:sz w:val="22"/>
          <w:szCs w:val="22"/>
          <w:lang w:val="hr-HR"/>
        </w:rPr>
        <w:t>j</w:t>
      </w:r>
      <w:r w:rsidRPr="00330BB2">
        <w:rPr>
          <w:bCs/>
          <w:sz w:val="22"/>
          <w:szCs w:val="22"/>
          <w:lang w:val="hr-HR"/>
        </w:rPr>
        <w:t>enu statina na početku), komorbiditete i geografske regije.</w:t>
      </w:r>
    </w:p>
    <w:p w14:paraId="34808EBA" w14:textId="77777777" w:rsidR="00C91DE7" w:rsidRPr="00330BB2" w:rsidRDefault="00C91DE7" w:rsidP="00FA129D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42F04332" w14:textId="77777777" w:rsidR="00C91DE7" w:rsidRPr="00330BB2" w:rsidRDefault="00C91DE7" w:rsidP="00FA129D">
      <w:pPr>
        <w:keepNext/>
        <w:tabs>
          <w:tab w:val="left" w:pos="284"/>
        </w:tabs>
        <w:jc w:val="both"/>
        <w:rPr>
          <w:bCs/>
          <w:iCs/>
          <w:sz w:val="22"/>
          <w:szCs w:val="22"/>
          <w:lang w:val="hr-HR"/>
        </w:rPr>
      </w:pPr>
      <w:r w:rsidRPr="00330BB2">
        <w:rPr>
          <w:bCs/>
          <w:iCs/>
          <w:sz w:val="22"/>
          <w:szCs w:val="22"/>
          <w:u w:val="single"/>
          <w:lang w:val="hr-HR"/>
        </w:rPr>
        <w:t>Pedijatrijska populacija</w:t>
      </w:r>
    </w:p>
    <w:p w14:paraId="164EB5E6" w14:textId="77777777" w:rsidR="00C91DE7" w:rsidRPr="00330BB2" w:rsidRDefault="00C91DE7" w:rsidP="00FA129D">
      <w:pPr>
        <w:keepNext/>
        <w:tabs>
          <w:tab w:val="left" w:pos="284"/>
        </w:tabs>
        <w:jc w:val="both"/>
        <w:rPr>
          <w:bCs/>
          <w:iCs/>
          <w:sz w:val="22"/>
          <w:szCs w:val="22"/>
          <w:lang w:val="hr-HR"/>
        </w:rPr>
      </w:pPr>
    </w:p>
    <w:p w14:paraId="64A4FF23" w14:textId="6B0541B8" w:rsidR="00C91DE7" w:rsidRPr="00330BB2" w:rsidRDefault="00C91DE7" w:rsidP="00FA129D">
      <w:pPr>
        <w:tabs>
          <w:tab w:val="left" w:pos="284"/>
        </w:tabs>
        <w:jc w:val="both"/>
        <w:outlineLvl w:val="0"/>
        <w:rPr>
          <w:iCs/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Evropska agencija za </w:t>
      </w:r>
      <w:r w:rsidR="007B38F0" w:rsidRPr="00330BB2">
        <w:rPr>
          <w:sz w:val="22"/>
          <w:szCs w:val="22"/>
          <w:lang w:val="hr-HR"/>
        </w:rPr>
        <w:t>ljek</w:t>
      </w:r>
      <w:r w:rsidRPr="00330BB2">
        <w:rPr>
          <w:sz w:val="22"/>
          <w:szCs w:val="22"/>
          <w:lang w:val="hr-HR"/>
        </w:rPr>
        <w:t xml:space="preserve">ove je odložila obavezu podnošenja rezultata ispitivanja inklisirana u jednoj ili više podgrupa pedijatrijske populacije u </w:t>
      </w:r>
      <w:r w:rsidR="007B38F0" w:rsidRPr="00330BB2">
        <w:rPr>
          <w:sz w:val="22"/>
          <w:szCs w:val="22"/>
          <w:lang w:val="hr-HR"/>
        </w:rPr>
        <w:t>liječ</w:t>
      </w:r>
      <w:r w:rsidRPr="00330BB2">
        <w:rPr>
          <w:sz w:val="22"/>
          <w:szCs w:val="22"/>
          <w:lang w:val="hr-HR"/>
        </w:rPr>
        <w:t>enju povišen</w:t>
      </w:r>
      <w:r w:rsidR="009246CD" w:rsidRPr="00330BB2">
        <w:rPr>
          <w:sz w:val="22"/>
          <w:szCs w:val="22"/>
          <w:lang w:val="hr-HR"/>
        </w:rPr>
        <w:t>e vrijednosti</w:t>
      </w:r>
      <w:r w:rsidRPr="00330BB2">
        <w:rPr>
          <w:sz w:val="22"/>
          <w:szCs w:val="22"/>
          <w:lang w:val="hr-HR"/>
        </w:rPr>
        <w:t xml:space="preserve"> holesterola (</w:t>
      </w:r>
      <w:r w:rsidR="007B38F0" w:rsidRPr="00330BB2">
        <w:rPr>
          <w:sz w:val="22"/>
          <w:szCs w:val="22"/>
          <w:lang w:val="hr-HR"/>
        </w:rPr>
        <w:t>vidjet</w:t>
      </w:r>
      <w:r w:rsidRPr="00330BB2">
        <w:rPr>
          <w:sz w:val="22"/>
          <w:szCs w:val="22"/>
          <w:lang w:val="hr-HR"/>
        </w:rPr>
        <w:t xml:space="preserve">i </w:t>
      </w:r>
      <w:r w:rsidR="00C954BF" w:rsidRPr="00330BB2">
        <w:rPr>
          <w:sz w:val="22"/>
          <w:szCs w:val="22"/>
          <w:lang w:val="hr-HR"/>
        </w:rPr>
        <w:t>dio</w:t>
      </w:r>
      <w:r w:rsidRPr="00330BB2">
        <w:rPr>
          <w:sz w:val="22"/>
          <w:szCs w:val="22"/>
          <w:lang w:val="hr-HR"/>
        </w:rPr>
        <w:t> 4.2 za informacije o prim</w:t>
      </w:r>
      <w:r w:rsidR="004F6D01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>eni u pedijatrijskoj populaciji).</w:t>
      </w:r>
    </w:p>
    <w:p w14:paraId="7A319F4C" w14:textId="77777777" w:rsidR="00330BB2" w:rsidRDefault="00330BB2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D923007" w14:textId="0FE25DB5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5.2.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Farmakokinetički podaci</w:t>
      </w:r>
      <w:r w:rsidR="003A7059" w:rsidRPr="00330BB2">
        <w:rPr>
          <w:b/>
          <w:bCs/>
          <w:sz w:val="22"/>
          <w:szCs w:val="22"/>
        </w:rPr>
        <w:t xml:space="preserve"> </w:t>
      </w:r>
    </w:p>
    <w:p w14:paraId="2C494141" w14:textId="1FEB5E4B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AB68B47" w14:textId="77777777" w:rsidR="00C91DE7" w:rsidRPr="00330BB2" w:rsidRDefault="00C91DE7" w:rsidP="00FA129D">
      <w:pPr>
        <w:keepNext/>
        <w:tabs>
          <w:tab w:val="left" w:pos="284"/>
        </w:tabs>
        <w:ind w:left="567" w:hanging="567"/>
        <w:jc w:val="both"/>
        <w:outlineLvl w:val="0"/>
        <w:rPr>
          <w:sz w:val="22"/>
          <w:szCs w:val="22"/>
          <w:u w:val="single"/>
          <w:lang w:val="hr-HR"/>
        </w:rPr>
      </w:pPr>
      <w:r w:rsidRPr="00330BB2">
        <w:rPr>
          <w:sz w:val="22"/>
          <w:szCs w:val="22"/>
          <w:u w:val="single"/>
          <w:lang w:val="hr-HR"/>
        </w:rPr>
        <w:t>Resorpcija</w:t>
      </w:r>
    </w:p>
    <w:p w14:paraId="3809EABA" w14:textId="77777777" w:rsidR="00C91DE7" w:rsidRPr="00330BB2" w:rsidRDefault="00C91DE7" w:rsidP="00FA129D">
      <w:pPr>
        <w:keepNext/>
        <w:tabs>
          <w:tab w:val="left" w:pos="284"/>
        </w:tabs>
        <w:ind w:left="567" w:hanging="567"/>
        <w:jc w:val="both"/>
        <w:outlineLvl w:val="0"/>
        <w:rPr>
          <w:sz w:val="22"/>
          <w:szCs w:val="22"/>
          <w:lang w:val="hr-HR"/>
        </w:rPr>
      </w:pPr>
    </w:p>
    <w:p w14:paraId="6F7EA36E" w14:textId="1AD98333" w:rsidR="00C91DE7" w:rsidRPr="00330BB2" w:rsidRDefault="00C91DE7" w:rsidP="00FA129D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Nakon </w:t>
      </w:r>
      <w:r w:rsidR="006A7203" w:rsidRPr="00330BB2">
        <w:rPr>
          <w:sz w:val="22"/>
          <w:szCs w:val="22"/>
          <w:lang w:val="hr-HR"/>
        </w:rPr>
        <w:t xml:space="preserve">pojedinačne </w:t>
      </w:r>
      <w:r w:rsidR="00905F5F" w:rsidRPr="00330BB2">
        <w:rPr>
          <w:sz w:val="22"/>
          <w:szCs w:val="22"/>
          <w:lang w:val="hr-HR"/>
        </w:rPr>
        <w:t>subkutane</w:t>
      </w:r>
      <w:r w:rsidRPr="00330BB2">
        <w:rPr>
          <w:sz w:val="22"/>
          <w:szCs w:val="22"/>
          <w:lang w:val="hr-HR"/>
        </w:rPr>
        <w:t xml:space="preserve"> prim</w:t>
      </w:r>
      <w:r w:rsidR="004F6D01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 xml:space="preserve">ene, sistemska izloženost inklisiranu se povećala otprilike proporcionalno dozi u rasponu od 24 mg do 756 mg. Pri preporučenom režimu doziranja od 284 mg, koncentracije u plazmi postigle su gornju </w:t>
      </w:r>
      <w:r w:rsidR="007B38F0" w:rsidRPr="00330BB2">
        <w:rPr>
          <w:sz w:val="22"/>
          <w:szCs w:val="22"/>
          <w:lang w:val="hr-HR"/>
        </w:rPr>
        <w:t>vrijednost</w:t>
      </w:r>
      <w:r w:rsidRPr="00330BB2">
        <w:rPr>
          <w:sz w:val="22"/>
          <w:szCs w:val="22"/>
          <w:lang w:val="hr-HR"/>
        </w:rPr>
        <w:t xml:space="preserve"> za otprilike 4 sata nakon doze, uz srednju </w:t>
      </w:r>
      <w:r w:rsidR="007B38F0" w:rsidRPr="00330BB2">
        <w:rPr>
          <w:sz w:val="22"/>
          <w:szCs w:val="22"/>
          <w:lang w:val="hr-HR"/>
        </w:rPr>
        <w:t>vrijednost</w:t>
      </w:r>
      <w:r w:rsidRPr="00330BB2">
        <w:rPr>
          <w:sz w:val="22"/>
          <w:szCs w:val="22"/>
          <w:lang w:val="hr-HR"/>
        </w:rPr>
        <w:t xml:space="preserve"> C</w:t>
      </w:r>
      <w:r w:rsidRPr="00330BB2">
        <w:rPr>
          <w:sz w:val="22"/>
          <w:szCs w:val="22"/>
          <w:vertAlign w:val="subscript"/>
          <w:lang w:val="hr-HR"/>
        </w:rPr>
        <w:t>max</w:t>
      </w:r>
      <w:r w:rsidRPr="00330BB2">
        <w:rPr>
          <w:sz w:val="22"/>
          <w:szCs w:val="22"/>
          <w:lang w:val="hr-HR"/>
        </w:rPr>
        <w:t xml:space="preserve"> od 509 ng/</w:t>
      </w:r>
      <w:r w:rsidR="00D64000" w:rsidRPr="00330BB2">
        <w:rPr>
          <w:sz w:val="22"/>
          <w:szCs w:val="22"/>
          <w:lang w:val="hr-HR"/>
        </w:rPr>
        <w:t>ml</w:t>
      </w:r>
      <w:r w:rsidRPr="00330BB2">
        <w:rPr>
          <w:sz w:val="22"/>
          <w:szCs w:val="22"/>
          <w:lang w:val="hr-HR"/>
        </w:rPr>
        <w:t>. Koncentracije su dostigle nem</w:t>
      </w:r>
      <w:r w:rsidR="00854D7A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 xml:space="preserve">erljive nivoe 48 sati nakon doziranja. Srednja </w:t>
      </w:r>
      <w:r w:rsidR="007B38F0" w:rsidRPr="00330BB2">
        <w:rPr>
          <w:sz w:val="22"/>
          <w:szCs w:val="22"/>
          <w:lang w:val="hr-HR"/>
        </w:rPr>
        <w:t>vrijednost</w:t>
      </w:r>
      <w:r w:rsidRPr="00330BB2">
        <w:rPr>
          <w:sz w:val="22"/>
          <w:szCs w:val="22"/>
          <w:lang w:val="hr-HR"/>
        </w:rPr>
        <w:t xml:space="preserve"> površine ispod krive, koncentracija u plazmi-vreme od doziranja do ekstrapolacije u beskonačnost je bila 7980 ng*h/</w:t>
      </w:r>
      <w:r w:rsidR="00D64000" w:rsidRPr="00330BB2">
        <w:rPr>
          <w:sz w:val="22"/>
          <w:szCs w:val="22"/>
          <w:lang w:val="hr-HR"/>
        </w:rPr>
        <w:t>ml</w:t>
      </w:r>
      <w:r w:rsidRPr="00330BB2">
        <w:rPr>
          <w:sz w:val="22"/>
          <w:szCs w:val="22"/>
          <w:lang w:val="hr-HR"/>
        </w:rPr>
        <w:t xml:space="preserve">. Farmakokinetički nalazi nakon višestrukih </w:t>
      </w:r>
      <w:r w:rsidR="00905F5F" w:rsidRPr="00330BB2">
        <w:rPr>
          <w:sz w:val="22"/>
          <w:szCs w:val="22"/>
          <w:lang w:val="hr-HR"/>
        </w:rPr>
        <w:t>subkutani</w:t>
      </w:r>
      <w:r w:rsidRPr="00330BB2">
        <w:rPr>
          <w:sz w:val="22"/>
          <w:szCs w:val="22"/>
          <w:lang w:val="hr-HR"/>
        </w:rPr>
        <w:t>h prim</w:t>
      </w:r>
      <w:r w:rsidR="004F6D01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 xml:space="preserve">ena inklisirana bili su slični </w:t>
      </w:r>
      <w:r w:rsidR="006A7203" w:rsidRPr="00330BB2">
        <w:rPr>
          <w:sz w:val="22"/>
          <w:szCs w:val="22"/>
          <w:lang w:val="hr-HR"/>
        </w:rPr>
        <w:t xml:space="preserve">pojedinačnoj </w:t>
      </w:r>
      <w:r w:rsidR="009014D6" w:rsidRPr="00330BB2">
        <w:rPr>
          <w:sz w:val="22"/>
          <w:szCs w:val="22"/>
          <w:lang w:val="hr-HR"/>
        </w:rPr>
        <w:t>primjen</w:t>
      </w:r>
      <w:r w:rsidRPr="00330BB2">
        <w:rPr>
          <w:sz w:val="22"/>
          <w:szCs w:val="22"/>
          <w:lang w:val="hr-HR"/>
        </w:rPr>
        <w:t>i doze.</w:t>
      </w:r>
    </w:p>
    <w:p w14:paraId="6850A633" w14:textId="77777777" w:rsidR="00C91DE7" w:rsidRPr="00330BB2" w:rsidRDefault="00C91DE7" w:rsidP="00FA129D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hr-HR"/>
        </w:rPr>
      </w:pPr>
    </w:p>
    <w:p w14:paraId="7904DA73" w14:textId="77777777" w:rsidR="00C91DE7" w:rsidRPr="00330BB2" w:rsidRDefault="00C91DE7" w:rsidP="00FA129D">
      <w:pPr>
        <w:keepNext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u w:val="single"/>
          <w:lang w:val="hr-HR"/>
        </w:rPr>
      </w:pPr>
      <w:r w:rsidRPr="00330BB2">
        <w:rPr>
          <w:sz w:val="22"/>
          <w:szCs w:val="22"/>
          <w:u w:val="single"/>
          <w:lang w:val="hr-HR"/>
        </w:rPr>
        <w:t>Distribucija</w:t>
      </w:r>
    </w:p>
    <w:p w14:paraId="4A3D6B82" w14:textId="77777777" w:rsidR="00C91DE7" w:rsidRPr="00330BB2" w:rsidRDefault="00C91DE7" w:rsidP="00FA129D">
      <w:pPr>
        <w:keepNext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31522C46" w14:textId="27A3F8F7" w:rsidR="00C91DE7" w:rsidRPr="00330BB2" w:rsidRDefault="00C91DE7" w:rsidP="00FA129D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Inklisiran se 87% vezuje za proteine </w:t>
      </w:r>
      <w:r w:rsidRPr="00330BB2">
        <w:rPr>
          <w:i/>
          <w:sz w:val="22"/>
          <w:szCs w:val="22"/>
          <w:lang w:val="hr-HR"/>
        </w:rPr>
        <w:t>in vitro</w:t>
      </w:r>
      <w:r w:rsidRPr="00330BB2">
        <w:rPr>
          <w:sz w:val="22"/>
          <w:szCs w:val="22"/>
          <w:lang w:val="hr-HR"/>
        </w:rPr>
        <w:t xml:space="preserve"> u relevantnim kliničkim koncentracijama u plazmi. Nakon </w:t>
      </w:r>
      <w:r w:rsidR="006A7203" w:rsidRPr="00330BB2">
        <w:rPr>
          <w:sz w:val="22"/>
          <w:szCs w:val="22"/>
          <w:lang w:val="hr-HR"/>
        </w:rPr>
        <w:t xml:space="preserve">pojedinačne </w:t>
      </w:r>
      <w:r w:rsidR="00905F5F" w:rsidRPr="00330BB2">
        <w:rPr>
          <w:sz w:val="22"/>
          <w:szCs w:val="22"/>
          <w:lang w:val="hr-HR"/>
        </w:rPr>
        <w:t>subkutane</w:t>
      </w:r>
      <w:r w:rsidRPr="00330BB2">
        <w:rPr>
          <w:sz w:val="22"/>
          <w:szCs w:val="22"/>
          <w:lang w:val="hr-HR"/>
        </w:rPr>
        <w:t xml:space="preserve"> doze 284 mg inklisirana zdravim odraslim osobama, prividni volumen distribucije je približno 500 litara. Na osnovu p</w:t>
      </w:r>
      <w:r w:rsidR="007B38F0" w:rsidRPr="00330BB2">
        <w:rPr>
          <w:sz w:val="22"/>
          <w:szCs w:val="22"/>
          <w:lang w:val="hr-HR"/>
        </w:rPr>
        <w:t>retk</w:t>
      </w:r>
      <w:r w:rsidRPr="00330BB2">
        <w:rPr>
          <w:sz w:val="22"/>
          <w:szCs w:val="22"/>
          <w:lang w:val="hr-HR"/>
        </w:rPr>
        <w:t>liničkih podataka, pokazalo se da inklisiran ima visok unos i selektivnost za jetru, ciljani organ za snižavanje holesterola.</w:t>
      </w:r>
    </w:p>
    <w:p w14:paraId="20E3F698" w14:textId="77777777" w:rsidR="00C91DE7" w:rsidRPr="00330BB2" w:rsidRDefault="00C91DE7" w:rsidP="00FA129D">
      <w:pPr>
        <w:keepNext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u w:val="single"/>
          <w:lang w:val="hr-HR"/>
        </w:rPr>
      </w:pPr>
      <w:r w:rsidRPr="00330BB2">
        <w:rPr>
          <w:sz w:val="22"/>
          <w:szCs w:val="22"/>
          <w:u w:val="single"/>
          <w:lang w:val="hr-HR"/>
        </w:rPr>
        <w:lastRenderedPageBreak/>
        <w:t>Biotransformacija</w:t>
      </w:r>
    </w:p>
    <w:p w14:paraId="6477F2D8" w14:textId="77777777" w:rsidR="00C91DE7" w:rsidRPr="00330BB2" w:rsidRDefault="00C91DE7" w:rsidP="00FA129D">
      <w:pPr>
        <w:keepNext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68AC2933" w14:textId="24573C1C" w:rsidR="00C91DE7" w:rsidRPr="00330BB2" w:rsidRDefault="00C91DE7" w:rsidP="00FA129D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Inklisiran se prvenstveno metaboliše nukleazama na kraće inaktivne nukleotide različitih dužina. Inklisiran nije supstrat za uobičajene transportere </w:t>
      </w:r>
      <w:r w:rsidR="007B38F0" w:rsidRPr="00330BB2">
        <w:rPr>
          <w:sz w:val="22"/>
          <w:szCs w:val="22"/>
          <w:lang w:val="hr-HR"/>
        </w:rPr>
        <w:t>ljek</w:t>
      </w:r>
      <w:r w:rsidRPr="00330BB2">
        <w:rPr>
          <w:sz w:val="22"/>
          <w:szCs w:val="22"/>
          <w:lang w:val="hr-HR"/>
        </w:rPr>
        <w:t xml:space="preserve">ova pa se, iako </w:t>
      </w:r>
      <w:r w:rsidRPr="00330BB2">
        <w:rPr>
          <w:i/>
          <w:sz w:val="22"/>
          <w:szCs w:val="22"/>
          <w:lang w:val="hr-HR"/>
        </w:rPr>
        <w:t>in vitro</w:t>
      </w:r>
      <w:r w:rsidRPr="00330BB2">
        <w:rPr>
          <w:sz w:val="22"/>
          <w:szCs w:val="22"/>
          <w:lang w:val="hr-HR"/>
        </w:rPr>
        <w:t xml:space="preserve"> ispitivanja ni</w:t>
      </w:r>
      <w:r w:rsidR="00854D7A" w:rsidRPr="00330BB2">
        <w:rPr>
          <w:sz w:val="22"/>
          <w:szCs w:val="22"/>
          <w:lang w:val="hr-HR"/>
        </w:rPr>
        <w:t>je</w:t>
      </w:r>
      <w:r w:rsidRPr="00330BB2">
        <w:rPr>
          <w:sz w:val="22"/>
          <w:szCs w:val="22"/>
          <w:lang w:val="hr-HR"/>
        </w:rPr>
        <w:t>su sprovedena, ne očekuje da je supstrat za citohrom P450.</w:t>
      </w:r>
    </w:p>
    <w:p w14:paraId="2FB57679" w14:textId="77777777" w:rsidR="00C91DE7" w:rsidRPr="00330BB2" w:rsidRDefault="00C91DE7" w:rsidP="00FA129D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hr-HR"/>
        </w:rPr>
      </w:pPr>
    </w:p>
    <w:p w14:paraId="5F8EDDD7" w14:textId="77777777" w:rsidR="00C91DE7" w:rsidRPr="00330BB2" w:rsidRDefault="00C91DE7" w:rsidP="00FA129D">
      <w:pPr>
        <w:keepNext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u w:val="single"/>
          <w:lang w:val="hr-HR"/>
        </w:rPr>
      </w:pPr>
      <w:r w:rsidRPr="00330BB2">
        <w:rPr>
          <w:sz w:val="22"/>
          <w:szCs w:val="22"/>
          <w:u w:val="single"/>
          <w:lang w:val="hr-HR"/>
        </w:rPr>
        <w:t>Eliminacija</w:t>
      </w:r>
    </w:p>
    <w:p w14:paraId="06E171CD" w14:textId="77777777" w:rsidR="00C91DE7" w:rsidRPr="00330BB2" w:rsidRDefault="00C91DE7" w:rsidP="00FA129D">
      <w:pPr>
        <w:keepNext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11D78025" w14:textId="51B5EAED" w:rsidR="00C91DE7" w:rsidRPr="00330BB2" w:rsidRDefault="00C91DE7" w:rsidP="00FA129D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Terminalno poluvr</w:t>
      </w:r>
      <w:r w:rsidR="004F6D01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 xml:space="preserve">eme eliminacije inklisirana je otprilike 9 sati i ne dolazi do akumulacije uz </w:t>
      </w:r>
      <w:r w:rsidR="006A7203" w:rsidRPr="00330BB2">
        <w:rPr>
          <w:sz w:val="22"/>
          <w:szCs w:val="22"/>
          <w:lang w:val="hr-HR"/>
        </w:rPr>
        <w:t xml:space="preserve">ponovljeno </w:t>
      </w:r>
      <w:r w:rsidRPr="00330BB2">
        <w:rPr>
          <w:sz w:val="22"/>
          <w:szCs w:val="22"/>
          <w:lang w:val="hr-HR"/>
        </w:rPr>
        <w:t>doziranje. Šesnaest procenata (16%) inklisirana se eliminiše se preko bubrega.</w:t>
      </w:r>
    </w:p>
    <w:p w14:paraId="135BC789" w14:textId="77777777" w:rsidR="00C91DE7" w:rsidRPr="00330BB2" w:rsidRDefault="00C91DE7" w:rsidP="00FA129D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iCs/>
          <w:sz w:val="22"/>
          <w:szCs w:val="22"/>
          <w:lang w:val="hr-HR"/>
        </w:rPr>
      </w:pPr>
    </w:p>
    <w:p w14:paraId="4302A02C" w14:textId="77777777" w:rsidR="00C91DE7" w:rsidRPr="00330BB2" w:rsidRDefault="00C91DE7" w:rsidP="00FA129D">
      <w:pPr>
        <w:keepNext/>
        <w:numPr>
          <w:ilvl w:val="12"/>
          <w:numId w:val="0"/>
        </w:numPr>
        <w:tabs>
          <w:tab w:val="left" w:pos="284"/>
        </w:tabs>
        <w:jc w:val="both"/>
        <w:rPr>
          <w:iCs/>
          <w:sz w:val="22"/>
          <w:szCs w:val="22"/>
          <w:u w:val="single"/>
          <w:lang w:val="hr-HR"/>
        </w:rPr>
      </w:pPr>
      <w:r w:rsidRPr="00330BB2">
        <w:rPr>
          <w:iCs/>
          <w:sz w:val="22"/>
          <w:szCs w:val="22"/>
          <w:u w:val="single"/>
          <w:lang w:val="hr-HR"/>
        </w:rPr>
        <w:t>Linearnost/nelinearnost</w:t>
      </w:r>
    </w:p>
    <w:p w14:paraId="56C783D0" w14:textId="77777777" w:rsidR="00C91DE7" w:rsidRPr="00330BB2" w:rsidRDefault="00C91DE7" w:rsidP="00FA129D">
      <w:pPr>
        <w:keepNext/>
        <w:numPr>
          <w:ilvl w:val="12"/>
          <w:numId w:val="0"/>
        </w:numPr>
        <w:tabs>
          <w:tab w:val="left" w:pos="284"/>
        </w:tabs>
        <w:jc w:val="both"/>
        <w:rPr>
          <w:iCs/>
          <w:sz w:val="22"/>
          <w:szCs w:val="22"/>
          <w:lang w:val="hr-HR"/>
        </w:rPr>
      </w:pPr>
    </w:p>
    <w:p w14:paraId="3F189582" w14:textId="4D7C514E" w:rsidR="00C91DE7" w:rsidRPr="00330BB2" w:rsidRDefault="00C91DE7" w:rsidP="00FA129D">
      <w:pPr>
        <w:tabs>
          <w:tab w:val="left" w:pos="284"/>
        </w:tabs>
        <w:jc w:val="both"/>
        <w:rPr>
          <w:iCs/>
          <w:sz w:val="22"/>
          <w:szCs w:val="22"/>
          <w:lang w:val="hr-HR"/>
        </w:rPr>
      </w:pPr>
      <w:r w:rsidRPr="00330BB2">
        <w:rPr>
          <w:iCs/>
          <w:sz w:val="22"/>
          <w:szCs w:val="22"/>
          <w:lang w:val="hr-HR"/>
        </w:rPr>
        <w:t>U kliničkom ispitivanju faze I, približno dozno proporcionalno povećanje u izloženosti inklisiranu je bilo zapaženo nakon prim</w:t>
      </w:r>
      <w:r w:rsidR="004F6D01" w:rsidRPr="00330BB2">
        <w:rPr>
          <w:iCs/>
          <w:sz w:val="22"/>
          <w:szCs w:val="22"/>
          <w:lang w:val="hr-HR"/>
        </w:rPr>
        <w:t>j</w:t>
      </w:r>
      <w:r w:rsidRPr="00330BB2">
        <w:rPr>
          <w:iCs/>
          <w:sz w:val="22"/>
          <w:szCs w:val="22"/>
          <w:lang w:val="hr-HR"/>
        </w:rPr>
        <w:t xml:space="preserve">ene </w:t>
      </w:r>
      <w:r w:rsidR="00905F5F" w:rsidRPr="00330BB2">
        <w:rPr>
          <w:iCs/>
          <w:sz w:val="22"/>
          <w:szCs w:val="22"/>
          <w:lang w:val="hr-HR"/>
        </w:rPr>
        <w:t>subkutani</w:t>
      </w:r>
      <w:r w:rsidRPr="00330BB2">
        <w:rPr>
          <w:iCs/>
          <w:sz w:val="22"/>
          <w:szCs w:val="22"/>
          <w:lang w:val="hr-HR"/>
        </w:rPr>
        <w:t>h doza inklisirana u rasponu od 24 mg do 756 mg. Ni</w:t>
      </w:r>
      <w:r w:rsidR="006A7203" w:rsidRPr="00330BB2">
        <w:rPr>
          <w:iCs/>
          <w:sz w:val="22"/>
          <w:szCs w:val="22"/>
          <w:lang w:val="hr-HR"/>
        </w:rPr>
        <w:t>je</w:t>
      </w:r>
      <w:r w:rsidRPr="00330BB2">
        <w:rPr>
          <w:iCs/>
          <w:sz w:val="22"/>
          <w:szCs w:val="22"/>
          <w:lang w:val="hr-HR"/>
        </w:rPr>
        <w:t>su bile zapažene akumulacija i prom</w:t>
      </w:r>
      <w:r w:rsidR="004F6D01" w:rsidRPr="00330BB2">
        <w:rPr>
          <w:iCs/>
          <w:sz w:val="22"/>
          <w:szCs w:val="22"/>
          <w:lang w:val="hr-HR"/>
        </w:rPr>
        <w:t>j</w:t>
      </w:r>
      <w:r w:rsidRPr="00330BB2">
        <w:rPr>
          <w:iCs/>
          <w:sz w:val="22"/>
          <w:szCs w:val="22"/>
          <w:lang w:val="hr-HR"/>
        </w:rPr>
        <w:t xml:space="preserve">ene u zavisnosti  od vremena nakon višestrukih </w:t>
      </w:r>
      <w:r w:rsidR="00905F5F" w:rsidRPr="00330BB2">
        <w:rPr>
          <w:iCs/>
          <w:sz w:val="22"/>
          <w:szCs w:val="22"/>
          <w:lang w:val="hr-HR"/>
        </w:rPr>
        <w:t>subkutani</w:t>
      </w:r>
      <w:r w:rsidRPr="00330BB2">
        <w:rPr>
          <w:iCs/>
          <w:sz w:val="22"/>
          <w:szCs w:val="22"/>
          <w:lang w:val="hr-HR"/>
        </w:rPr>
        <w:t>h doza inklisirana.</w:t>
      </w:r>
    </w:p>
    <w:p w14:paraId="2D2C78FD" w14:textId="77777777" w:rsidR="00C91DE7" w:rsidRPr="00330BB2" w:rsidRDefault="00C91DE7" w:rsidP="00FA129D">
      <w:pPr>
        <w:tabs>
          <w:tab w:val="left" w:pos="284"/>
        </w:tabs>
        <w:jc w:val="both"/>
        <w:rPr>
          <w:iCs/>
          <w:sz w:val="22"/>
          <w:szCs w:val="22"/>
          <w:lang w:val="hr-HR"/>
        </w:rPr>
      </w:pPr>
    </w:p>
    <w:p w14:paraId="1E2A56CE" w14:textId="35CE532B" w:rsidR="00C91DE7" w:rsidRPr="00330BB2" w:rsidRDefault="00C91DE7" w:rsidP="00FA129D">
      <w:pPr>
        <w:keepNext/>
        <w:tabs>
          <w:tab w:val="left" w:pos="284"/>
        </w:tabs>
        <w:jc w:val="both"/>
        <w:rPr>
          <w:iCs/>
          <w:sz w:val="22"/>
          <w:szCs w:val="22"/>
          <w:u w:val="single"/>
          <w:lang w:val="hr-HR"/>
        </w:rPr>
      </w:pPr>
      <w:r w:rsidRPr="00330BB2">
        <w:rPr>
          <w:iCs/>
          <w:sz w:val="22"/>
          <w:szCs w:val="22"/>
          <w:u w:val="single"/>
          <w:lang w:val="hr-HR"/>
        </w:rPr>
        <w:t>Farmakokinetički/farmakodinam</w:t>
      </w:r>
      <w:r w:rsidR="009246CD" w:rsidRPr="00330BB2">
        <w:rPr>
          <w:iCs/>
          <w:sz w:val="22"/>
          <w:szCs w:val="22"/>
          <w:u w:val="single"/>
          <w:lang w:val="hr-HR"/>
        </w:rPr>
        <w:t>ski</w:t>
      </w:r>
      <w:r w:rsidRPr="00330BB2">
        <w:rPr>
          <w:iCs/>
          <w:sz w:val="22"/>
          <w:szCs w:val="22"/>
          <w:u w:val="single"/>
          <w:lang w:val="hr-HR"/>
        </w:rPr>
        <w:t xml:space="preserve"> odnos(i)</w:t>
      </w:r>
    </w:p>
    <w:p w14:paraId="5950EEF5" w14:textId="77777777" w:rsidR="00C91DE7" w:rsidRPr="00330BB2" w:rsidRDefault="00C91DE7" w:rsidP="00FA129D">
      <w:pPr>
        <w:keepNext/>
        <w:tabs>
          <w:tab w:val="left" w:pos="284"/>
        </w:tabs>
        <w:jc w:val="both"/>
        <w:rPr>
          <w:iCs/>
          <w:sz w:val="22"/>
          <w:szCs w:val="22"/>
          <w:lang w:val="hr-HR"/>
        </w:rPr>
      </w:pPr>
    </w:p>
    <w:p w14:paraId="10EC09D8" w14:textId="24FDADB5" w:rsidR="00C91DE7" w:rsidRPr="00330BB2" w:rsidRDefault="00C91DE7" w:rsidP="00FA129D">
      <w:pPr>
        <w:tabs>
          <w:tab w:val="left" w:pos="284"/>
        </w:tabs>
        <w:jc w:val="both"/>
        <w:rPr>
          <w:iCs/>
          <w:sz w:val="22"/>
          <w:szCs w:val="22"/>
          <w:lang w:val="hr-HR"/>
        </w:rPr>
      </w:pPr>
      <w:r w:rsidRPr="00330BB2">
        <w:rPr>
          <w:iCs/>
          <w:sz w:val="22"/>
          <w:szCs w:val="22"/>
          <w:lang w:val="hr-HR"/>
        </w:rPr>
        <w:t>U kliničkom ispitivanju faze I prim</w:t>
      </w:r>
      <w:r w:rsidR="004F6D01" w:rsidRPr="00330BB2">
        <w:rPr>
          <w:iCs/>
          <w:sz w:val="22"/>
          <w:szCs w:val="22"/>
          <w:lang w:val="hr-HR"/>
        </w:rPr>
        <w:t>ij</w:t>
      </w:r>
      <w:r w:rsidRPr="00330BB2">
        <w:rPr>
          <w:iCs/>
          <w:sz w:val="22"/>
          <w:szCs w:val="22"/>
          <w:lang w:val="hr-HR"/>
        </w:rPr>
        <w:t xml:space="preserve">ećena </w:t>
      </w:r>
      <w:r w:rsidR="00B30FEA" w:rsidRPr="00330BB2">
        <w:rPr>
          <w:iCs/>
          <w:sz w:val="22"/>
          <w:szCs w:val="22"/>
          <w:lang w:val="hr-HR"/>
        </w:rPr>
        <w:t xml:space="preserve">je </w:t>
      </w:r>
      <w:r w:rsidRPr="00330BB2">
        <w:rPr>
          <w:iCs/>
          <w:sz w:val="22"/>
          <w:szCs w:val="22"/>
          <w:lang w:val="hr-HR"/>
        </w:rPr>
        <w:t xml:space="preserve">disocijacija između farmakokinetičkih parametara inklisirana i farmakodinamskih </w:t>
      </w:r>
      <w:r w:rsidR="009246CD" w:rsidRPr="00330BB2">
        <w:rPr>
          <w:iCs/>
          <w:sz w:val="22"/>
          <w:szCs w:val="22"/>
          <w:lang w:val="hr-HR"/>
        </w:rPr>
        <w:t xml:space="preserve">dejstava </w:t>
      </w:r>
      <w:r w:rsidRPr="00330BB2">
        <w:rPr>
          <w:iCs/>
          <w:sz w:val="22"/>
          <w:szCs w:val="22"/>
          <w:lang w:val="hr-HR"/>
        </w:rPr>
        <w:t>LDL-</w:t>
      </w:r>
      <w:r w:rsidR="009246CD" w:rsidRPr="00330BB2">
        <w:rPr>
          <w:iCs/>
          <w:sz w:val="22"/>
          <w:szCs w:val="22"/>
          <w:lang w:val="hr-HR"/>
        </w:rPr>
        <w:t>holesterola</w:t>
      </w:r>
      <w:r w:rsidRPr="00330BB2">
        <w:rPr>
          <w:iCs/>
          <w:sz w:val="22"/>
          <w:szCs w:val="22"/>
          <w:lang w:val="hr-HR"/>
        </w:rPr>
        <w:t xml:space="preserve">. Selektivna isporuka inklisirana u hepatocite, gde se inkorporira u kompleks za stišavanje gena indukovanim molekulom RNK (engl. </w:t>
      </w:r>
      <w:r w:rsidRPr="00330BB2">
        <w:rPr>
          <w:i/>
          <w:iCs/>
          <w:sz w:val="22"/>
          <w:szCs w:val="22"/>
          <w:lang w:val="hr-HR"/>
        </w:rPr>
        <w:t>RNA induced silencing complex</w:t>
      </w:r>
      <w:r w:rsidRPr="00330BB2">
        <w:rPr>
          <w:iCs/>
          <w:sz w:val="22"/>
          <w:szCs w:val="22"/>
          <w:lang w:val="hr-HR"/>
        </w:rPr>
        <w:t>, RISC), rezultuje dugim trajanjem d</w:t>
      </w:r>
      <w:r w:rsidR="00854D7A" w:rsidRPr="00330BB2">
        <w:rPr>
          <w:iCs/>
          <w:sz w:val="22"/>
          <w:szCs w:val="22"/>
          <w:lang w:val="hr-HR"/>
        </w:rPr>
        <w:t>j</w:t>
      </w:r>
      <w:r w:rsidRPr="00330BB2">
        <w:rPr>
          <w:iCs/>
          <w:sz w:val="22"/>
          <w:szCs w:val="22"/>
          <w:lang w:val="hr-HR"/>
        </w:rPr>
        <w:t>elovanja, dužim od predviđenog na osnovu poluvremena eliminacije iz plazme od 9 sati. Maksimalni efekti sniženja LDL-</w:t>
      </w:r>
      <w:r w:rsidR="009246CD" w:rsidRPr="00330BB2">
        <w:rPr>
          <w:iCs/>
          <w:sz w:val="22"/>
          <w:szCs w:val="22"/>
          <w:lang w:val="hr-HR"/>
        </w:rPr>
        <w:t xml:space="preserve">holesterola </w:t>
      </w:r>
      <w:r w:rsidRPr="00330BB2">
        <w:rPr>
          <w:iCs/>
          <w:sz w:val="22"/>
          <w:szCs w:val="22"/>
          <w:lang w:val="hr-HR"/>
        </w:rPr>
        <w:t>su bili prim</w:t>
      </w:r>
      <w:r w:rsidR="004F6D01" w:rsidRPr="00330BB2">
        <w:rPr>
          <w:iCs/>
          <w:sz w:val="22"/>
          <w:szCs w:val="22"/>
          <w:lang w:val="hr-HR"/>
        </w:rPr>
        <w:t>ij</w:t>
      </w:r>
      <w:r w:rsidRPr="00330BB2">
        <w:rPr>
          <w:iCs/>
          <w:sz w:val="22"/>
          <w:szCs w:val="22"/>
          <w:lang w:val="hr-HR"/>
        </w:rPr>
        <w:t>ećeni uz dozu od 284 mg, pri čemu veće doze ni</w:t>
      </w:r>
      <w:r w:rsidR="006A7203" w:rsidRPr="00330BB2">
        <w:rPr>
          <w:iCs/>
          <w:sz w:val="22"/>
          <w:szCs w:val="22"/>
          <w:lang w:val="hr-HR"/>
        </w:rPr>
        <w:t>je</w:t>
      </w:r>
      <w:r w:rsidRPr="00330BB2">
        <w:rPr>
          <w:iCs/>
          <w:sz w:val="22"/>
          <w:szCs w:val="22"/>
          <w:lang w:val="hr-HR"/>
        </w:rPr>
        <w:t>su ostvarile veći efekat.</w:t>
      </w:r>
    </w:p>
    <w:p w14:paraId="4A4258F8" w14:textId="77777777" w:rsidR="00C91DE7" w:rsidRPr="00330BB2" w:rsidRDefault="00C91DE7" w:rsidP="00FA129D">
      <w:pPr>
        <w:tabs>
          <w:tab w:val="left" w:pos="284"/>
        </w:tabs>
        <w:jc w:val="both"/>
        <w:rPr>
          <w:iCs/>
          <w:sz w:val="22"/>
          <w:szCs w:val="22"/>
          <w:lang w:val="hr-HR"/>
        </w:rPr>
      </w:pPr>
    </w:p>
    <w:p w14:paraId="6E5BF017" w14:textId="77777777" w:rsidR="00C91DE7" w:rsidRPr="00330BB2" w:rsidRDefault="00C91DE7" w:rsidP="00FA129D">
      <w:pPr>
        <w:keepNext/>
        <w:tabs>
          <w:tab w:val="left" w:pos="284"/>
        </w:tabs>
        <w:jc w:val="both"/>
        <w:rPr>
          <w:iCs/>
          <w:sz w:val="22"/>
          <w:szCs w:val="22"/>
          <w:lang w:val="hr-HR"/>
        </w:rPr>
      </w:pPr>
      <w:r w:rsidRPr="00330BB2">
        <w:rPr>
          <w:iCs/>
          <w:sz w:val="22"/>
          <w:szCs w:val="22"/>
          <w:u w:val="single"/>
          <w:lang w:val="hr-HR"/>
        </w:rPr>
        <w:t>Posebne populacije</w:t>
      </w:r>
    </w:p>
    <w:p w14:paraId="5816A5EE" w14:textId="77777777" w:rsidR="00C91DE7" w:rsidRPr="00330BB2" w:rsidRDefault="00C91DE7" w:rsidP="00FA129D">
      <w:pPr>
        <w:keepNext/>
        <w:tabs>
          <w:tab w:val="left" w:pos="284"/>
        </w:tabs>
        <w:jc w:val="both"/>
        <w:rPr>
          <w:iCs/>
          <w:sz w:val="22"/>
          <w:szCs w:val="22"/>
          <w:lang w:val="hr-HR"/>
        </w:rPr>
      </w:pPr>
    </w:p>
    <w:p w14:paraId="77E873CC" w14:textId="77777777" w:rsidR="00C91DE7" w:rsidRPr="00330BB2" w:rsidRDefault="00C91DE7" w:rsidP="00FA129D">
      <w:pPr>
        <w:keepNext/>
        <w:tabs>
          <w:tab w:val="left" w:pos="284"/>
        </w:tabs>
        <w:jc w:val="both"/>
        <w:rPr>
          <w:iCs/>
          <w:sz w:val="22"/>
          <w:szCs w:val="22"/>
          <w:u w:val="single"/>
          <w:lang w:val="hr-HR"/>
        </w:rPr>
      </w:pPr>
      <w:r w:rsidRPr="00330BB2">
        <w:rPr>
          <w:i/>
          <w:iCs/>
          <w:sz w:val="22"/>
          <w:szCs w:val="22"/>
          <w:u w:val="single"/>
          <w:lang w:val="hr-HR"/>
        </w:rPr>
        <w:t>Oštećenje funkcije bubrega</w:t>
      </w:r>
    </w:p>
    <w:p w14:paraId="2BAF5F3C" w14:textId="5C725581" w:rsidR="00C91DE7" w:rsidRPr="00330BB2" w:rsidRDefault="00C91DE7" w:rsidP="00FA129D">
      <w:pPr>
        <w:tabs>
          <w:tab w:val="left" w:pos="284"/>
        </w:tabs>
        <w:jc w:val="both"/>
        <w:rPr>
          <w:iCs/>
          <w:sz w:val="22"/>
          <w:szCs w:val="22"/>
          <w:lang w:val="hr-HR"/>
        </w:rPr>
      </w:pPr>
      <w:r w:rsidRPr="00330BB2">
        <w:rPr>
          <w:iCs/>
          <w:sz w:val="22"/>
          <w:szCs w:val="22"/>
          <w:lang w:val="hr-HR"/>
        </w:rPr>
        <w:t>Farmakokinetička analiza podataka iz posebnog ispitivanja oštećenja funkcije bubrega je zab</w:t>
      </w:r>
      <w:r w:rsidR="004F6D01" w:rsidRPr="00330BB2">
        <w:rPr>
          <w:iCs/>
          <w:sz w:val="22"/>
          <w:szCs w:val="22"/>
          <w:lang w:val="hr-HR"/>
        </w:rPr>
        <w:t>ilje</w:t>
      </w:r>
      <w:r w:rsidRPr="00330BB2">
        <w:rPr>
          <w:iCs/>
          <w:sz w:val="22"/>
          <w:szCs w:val="22"/>
          <w:lang w:val="hr-HR"/>
        </w:rPr>
        <w:t>žila povećanje C</w:t>
      </w:r>
      <w:r w:rsidRPr="00330BB2">
        <w:rPr>
          <w:iCs/>
          <w:sz w:val="22"/>
          <w:szCs w:val="22"/>
          <w:vertAlign w:val="subscript"/>
          <w:lang w:val="hr-HR"/>
        </w:rPr>
        <w:t>max</w:t>
      </w:r>
      <w:r w:rsidRPr="00330BB2">
        <w:rPr>
          <w:iCs/>
          <w:sz w:val="22"/>
          <w:szCs w:val="22"/>
          <w:lang w:val="hr-HR"/>
        </w:rPr>
        <w:t xml:space="preserve"> inklisirana za otprilike 2,3, 2,0 odnosno 3,3 puta, kao i povećanje PIK za inklisiran za otprilike 1,6, 1,8 odnosno 2,3 puta kod blagog (klirens kreatinina [CrCL] od 60 </w:t>
      </w:r>
      <w:r w:rsidR="00D64000" w:rsidRPr="00330BB2">
        <w:rPr>
          <w:iCs/>
          <w:sz w:val="22"/>
          <w:szCs w:val="22"/>
          <w:lang w:val="hr-HR"/>
        </w:rPr>
        <w:t>ml</w:t>
      </w:r>
      <w:r w:rsidRPr="00330BB2">
        <w:rPr>
          <w:iCs/>
          <w:sz w:val="22"/>
          <w:szCs w:val="22"/>
          <w:lang w:val="hr-HR"/>
        </w:rPr>
        <w:t>/min do 89 </w:t>
      </w:r>
      <w:r w:rsidR="00D64000" w:rsidRPr="00330BB2">
        <w:rPr>
          <w:iCs/>
          <w:sz w:val="22"/>
          <w:szCs w:val="22"/>
          <w:lang w:val="hr-HR"/>
        </w:rPr>
        <w:t>ml</w:t>
      </w:r>
      <w:r w:rsidRPr="00330BB2">
        <w:rPr>
          <w:iCs/>
          <w:sz w:val="22"/>
          <w:szCs w:val="22"/>
          <w:lang w:val="hr-HR"/>
        </w:rPr>
        <w:t xml:space="preserve">/min), </w:t>
      </w:r>
      <w:r w:rsidR="007B38F0" w:rsidRPr="00330BB2">
        <w:rPr>
          <w:iCs/>
          <w:sz w:val="22"/>
          <w:szCs w:val="22"/>
          <w:lang w:val="hr-HR"/>
        </w:rPr>
        <w:t>umjeren</w:t>
      </w:r>
      <w:r w:rsidRPr="00330BB2">
        <w:rPr>
          <w:iCs/>
          <w:sz w:val="22"/>
          <w:szCs w:val="22"/>
          <w:lang w:val="hr-HR"/>
        </w:rPr>
        <w:t>og (CrCL od 30 </w:t>
      </w:r>
      <w:r w:rsidR="00D64000" w:rsidRPr="00330BB2">
        <w:rPr>
          <w:iCs/>
          <w:sz w:val="22"/>
          <w:szCs w:val="22"/>
          <w:lang w:val="hr-HR"/>
        </w:rPr>
        <w:t>ml</w:t>
      </w:r>
      <w:r w:rsidRPr="00330BB2">
        <w:rPr>
          <w:iCs/>
          <w:sz w:val="22"/>
          <w:szCs w:val="22"/>
          <w:lang w:val="hr-HR"/>
        </w:rPr>
        <w:t>/min do 59 </w:t>
      </w:r>
      <w:r w:rsidR="00D64000" w:rsidRPr="00330BB2">
        <w:rPr>
          <w:iCs/>
          <w:sz w:val="22"/>
          <w:szCs w:val="22"/>
          <w:lang w:val="hr-HR"/>
        </w:rPr>
        <w:t>ml</w:t>
      </w:r>
      <w:r w:rsidRPr="00330BB2">
        <w:rPr>
          <w:iCs/>
          <w:sz w:val="22"/>
          <w:szCs w:val="22"/>
          <w:lang w:val="hr-HR"/>
        </w:rPr>
        <w:t>/min) i teškog (CrCL od 15 </w:t>
      </w:r>
      <w:r w:rsidR="00D64000" w:rsidRPr="00330BB2">
        <w:rPr>
          <w:iCs/>
          <w:sz w:val="22"/>
          <w:szCs w:val="22"/>
          <w:lang w:val="hr-HR"/>
        </w:rPr>
        <w:t>ml</w:t>
      </w:r>
      <w:r w:rsidRPr="00330BB2">
        <w:rPr>
          <w:iCs/>
          <w:sz w:val="22"/>
          <w:szCs w:val="22"/>
          <w:lang w:val="hr-HR"/>
        </w:rPr>
        <w:t>/min do 29 </w:t>
      </w:r>
      <w:r w:rsidR="00D64000" w:rsidRPr="00330BB2">
        <w:rPr>
          <w:iCs/>
          <w:sz w:val="22"/>
          <w:szCs w:val="22"/>
          <w:lang w:val="hr-HR"/>
        </w:rPr>
        <w:t>ml</w:t>
      </w:r>
      <w:r w:rsidRPr="00330BB2">
        <w:rPr>
          <w:iCs/>
          <w:sz w:val="22"/>
          <w:szCs w:val="22"/>
          <w:lang w:val="hr-HR"/>
        </w:rPr>
        <w:t>/min) oštećenja bubrega, u poređenju sa pacijentima sa normalnom bubrežnom funkcijom. Uprkos višim prolaznim izloženostima u plazmi tokom 48 sati, smanjenje</w:t>
      </w:r>
      <w:r w:rsidR="009246CD" w:rsidRPr="00330BB2">
        <w:rPr>
          <w:iCs/>
          <w:sz w:val="22"/>
          <w:szCs w:val="22"/>
          <w:lang w:val="hr-HR"/>
        </w:rPr>
        <w:t xml:space="preserve"> vrijednosti</w:t>
      </w:r>
      <w:r w:rsidRPr="00330BB2">
        <w:rPr>
          <w:iCs/>
          <w:sz w:val="22"/>
          <w:szCs w:val="22"/>
          <w:lang w:val="hr-HR"/>
        </w:rPr>
        <w:t xml:space="preserve"> LDL-</w:t>
      </w:r>
      <w:r w:rsidR="009246CD" w:rsidRPr="00330BB2">
        <w:rPr>
          <w:iCs/>
          <w:sz w:val="22"/>
          <w:szCs w:val="22"/>
          <w:lang w:val="hr-HR"/>
        </w:rPr>
        <w:t>holesterola</w:t>
      </w:r>
      <w:r w:rsidRPr="00330BB2">
        <w:rPr>
          <w:iCs/>
          <w:sz w:val="22"/>
          <w:szCs w:val="22"/>
          <w:lang w:val="hr-HR"/>
        </w:rPr>
        <w:t xml:space="preserve"> je bilo slično u svim grupama prema bubrežnoj funkciji. Na osnovu populacionog farmakodinamskog modelovanja, ne preporučuje se prilagođavanje doze kod pacijenata sa terminalnim stadijumom bolesti bubrega. Na osnovu farmakokinetičkih, farmakodinamskih i </w:t>
      </w:r>
      <w:r w:rsidR="007B38F0" w:rsidRPr="00330BB2">
        <w:rPr>
          <w:iCs/>
          <w:sz w:val="22"/>
          <w:szCs w:val="22"/>
          <w:lang w:val="hr-HR"/>
        </w:rPr>
        <w:t>bezbjed</w:t>
      </w:r>
      <w:r w:rsidRPr="00330BB2">
        <w:rPr>
          <w:iCs/>
          <w:sz w:val="22"/>
          <w:szCs w:val="22"/>
          <w:lang w:val="hr-HR"/>
        </w:rPr>
        <w:t>nosnih proc</w:t>
      </w:r>
      <w:r w:rsidR="004F6D01" w:rsidRPr="00330BB2">
        <w:rPr>
          <w:iCs/>
          <w:sz w:val="22"/>
          <w:szCs w:val="22"/>
          <w:lang w:val="hr-HR"/>
        </w:rPr>
        <w:t>j</w:t>
      </w:r>
      <w:r w:rsidRPr="00330BB2">
        <w:rPr>
          <w:iCs/>
          <w:sz w:val="22"/>
          <w:szCs w:val="22"/>
          <w:lang w:val="hr-HR"/>
        </w:rPr>
        <w:t xml:space="preserve">ena, nije potrebno prilagođavanje doze kod pacijenata sa blagim, </w:t>
      </w:r>
      <w:r w:rsidR="007B38F0" w:rsidRPr="00330BB2">
        <w:rPr>
          <w:iCs/>
          <w:sz w:val="22"/>
          <w:szCs w:val="22"/>
          <w:lang w:val="hr-HR"/>
        </w:rPr>
        <w:t>umjeren</w:t>
      </w:r>
      <w:r w:rsidRPr="00330BB2">
        <w:rPr>
          <w:iCs/>
          <w:sz w:val="22"/>
          <w:szCs w:val="22"/>
          <w:lang w:val="hr-HR"/>
        </w:rPr>
        <w:t>im ili teškim oštećenjem funkcije bubrega. Efekat hemodijalize na farmakokinetiku inklisirana nije bio ispitivan. S obzirom na to da se inklisiran elimini</w:t>
      </w:r>
      <w:r w:rsidRPr="00330BB2">
        <w:rPr>
          <w:iCs/>
          <w:sz w:val="22"/>
          <w:szCs w:val="22"/>
          <w:lang w:val="sr-Latn-RS"/>
        </w:rPr>
        <w:t>še</w:t>
      </w:r>
      <w:r w:rsidRPr="00330BB2">
        <w:rPr>
          <w:iCs/>
          <w:sz w:val="22"/>
          <w:szCs w:val="22"/>
          <w:lang w:val="hr-HR"/>
        </w:rPr>
        <w:t xml:space="preserve"> putem bubrega, hemodijaliza ne sm</w:t>
      </w:r>
      <w:r w:rsidR="006A7203" w:rsidRPr="00330BB2">
        <w:rPr>
          <w:iCs/>
          <w:sz w:val="22"/>
          <w:szCs w:val="22"/>
          <w:lang w:val="hr-HR"/>
        </w:rPr>
        <w:t>ij</w:t>
      </w:r>
      <w:r w:rsidRPr="00330BB2">
        <w:rPr>
          <w:iCs/>
          <w:sz w:val="22"/>
          <w:szCs w:val="22"/>
          <w:lang w:val="hr-HR"/>
        </w:rPr>
        <w:t xml:space="preserve">e da se izvodi najmanje </w:t>
      </w:r>
      <w:r w:rsidRPr="00330BB2">
        <w:rPr>
          <w:sz w:val="22"/>
          <w:szCs w:val="22"/>
          <w:lang w:val="hr-HR"/>
        </w:rPr>
        <w:t>72 sata nakon prim</w:t>
      </w:r>
      <w:r w:rsidR="004F6D01" w:rsidRPr="00330BB2">
        <w:rPr>
          <w:sz w:val="22"/>
          <w:szCs w:val="22"/>
          <w:lang w:val="hr-HR"/>
        </w:rPr>
        <w:t>j</w:t>
      </w:r>
      <w:r w:rsidRPr="00330BB2">
        <w:rPr>
          <w:sz w:val="22"/>
          <w:szCs w:val="22"/>
          <w:lang w:val="hr-HR"/>
        </w:rPr>
        <w:t xml:space="preserve">ene doze </w:t>
      </w:r>
      <w:r w:rsidR="007B38F0" w:rsidRPr="00330BB2">
        <w:rPr>
          <w:sz w:val="22"/>
          <w:szCs w:val="22"/>
          <w:lang w:val="hr-HR"/>
        </w:rPr>
        <w:t>lijek</w:t>
      </w:r>
      <w:r w:rsidRPr="00330BB2">
        <w:rPr>
          <w:sz w:val="22"/>
          <w:szCs w:val="22"/>
          <w:lang w:val="hr-HR"/>
        </w:rPr>
        <w:t>a Leqvio.</w:t>
      </w:r>
    </w:p>
    <w:p w14:paraId="01E539AC" w14:textId="77777777" w:rsidR="00C91DE7" w:rsidRPr="00330BB2" w:rsidRDefault="00C91DE7" w:rsidP="00FA129D">
      <w:pPr>
        <w:tabs>
          <w:tab w:val="left" w:pos="284"/>
        </w:tabs>
        <w:jc w:val="both"/>
        <w:rPr>
          <w:iCs/>
          <w:sz w:val="22"/>
          <w:szCs w:val="22"/>
          <w:lang w:val="hr-HR"/>
        </w:rPr>
      </w:pPr>
    </w:p>
    <w:p w14:paraId="51E229CA" w14:textId="77777777" w:rsidR="00C91DE7" w:rsidRPr="00330BB2" w:rsidRDefault="00C91DE7" w:rsidP="00FA129D">
      <w:pPr>
        <w:keepNext/>
        <w:tabs>
          <w:tab w:val="left" w:pos="284"/>
        </w:tabs>
        <w:jc w:val="both"/>
        <w:rPr>
          <w:i/>
          <w:iCs/>
          <w:sz w:val="22"/>
          <w:szCs w:val="22"/>
          <w:u w:val="single"/>
          <w:lang w:val="hr-HR"/>
        </w:rPr>
      </w:pPr>
      <w:r w:rsidRPr="00330BB2">
        <w:rPr>
          <w:i/>
          <w:iCs/>
          <w:sz w:val="22"/>
          <w:szCs w:val="22"/>
          <w:u w:val="single"/>
          <w:lang w:val="hr-HR"/>
        </w:rPr>
        <w:t>Oštećenje funkcije jetre</w:t>
      </w:r>
    </w:p>
    <w:p w14:paraId="6C6A0DF6" w14:textId="748D249A" w:rsidR="00C91DE7" w:rsidRPr="00330BB2" w:rsidRDefault="00C91DE7" w:rsidP="00FA129D">
      <w:pPr>
        <w:tabs>
          <w:tab w:val="left" w:pos="284"/>
        </w:tabs>
        <w:jc w:val="both"/>
        <w:rPr>
          <w:iCs/>
          <w:sz w:val="22"/>
          <w:szCs w:val="22"/>
          <w:lang w:val="hr-HR"/>
        </w:rPr>
      </w:pPr>
      <w:r w:rsidRPr="00330BB2">
        <w:rPr>
          <w:iCs/>
          <w:sz w:val="22"/>
          <w:szCs w:val="22"/>
          <w:lang w:val="hr-HR"/>
        </w:rPr>
        <w:t>Farmakokinetička analiza podataka iz posebnog ispitivanja oštećenja funkcije jetre zab</w:t>
      </w:r>
      <w:r w:rsidR="004F6D01" w:rsidRPr="00330BB2">
        <w:rPr>
          <w:iCs/>
          <w:sz w:val="22"/>
          <w:szCs w:val="22"/>
          <w:lang w:val="hr-HR"/>
        </w:rPr>
        <w:t>ilje</w:t>
      </w:r>
      <w:r w:rsidRPr="00330BB2">
        <w:rPr>
          <w:iCs/>
          <w:sz w:val="22"/>
          <w:szCs w:val="22"/>
          <w:lang w:val="hr-HR"/>
        </w:rPr>
        <w:t>žila je povećanje C</w:t>
      </w:r>
      <w:r w:rsidRPr="00330BB2">
        <w:rPr>
          <w:iCs/>
          <w:sz w:val="22"/>
          <w:szCs w:val="22"/>
          <w:vertAlign w:val="subscript"/>
          <w:lang w:val="hr-HR"/>
        </w:rPr>
        <w:t>max</w:t>
      </w:r>
      <w:r w:rsidRPr="00330BB2">
        <w:rPr>
          <w:iCs/>
          <w:sz w:val="22"/>
          <w:szCs w:val="22"/>
          <w:lang w:val="hr-HR"/>
        </w:rPr>
        <w:t xml:space="preserve"> inklisirana za otprilike 1,1 odnosno 2,1 puta te povećanje PIK inklisirana za otprilike 1,3 odnosno 2,0 puta kod pacijenata sa blagim (</w:t>
      </w:r>
      <w:r w:rsidRPr="00330BB2">
        <w:rPr>
          <w:i/>
          <w:iCs/>
          <w:sz w:val="22"/>
          <w:szCs w:val="22"/>
          <w:lang w:val="hr-HR"/>
        </w:rPr>
        <w:t>Child-Pugh</w:t>
      </w:r>
      <w:r w:rsidRPr="00330BB2">
        <w:rPr>
          <w:iCs/>
          <w:sz w:val="22"/>
          <w:szCs w:val="22"/>
          <w:lang w:val="hr-HR"/>
        </w:rPr>
        <w:t xml:space="preserve"> stadijum A) i </w:t>
      </w:r>
      <w:r w:rsidR="007B38F0" w:rsidRPr="00330BB2">
        <w:rPr>
          <w:iCs/>
          <w:sz w:val="22"/>
          <w:szCs w:val="22"/>
          <w:lang w:val="hr-HR"/>
        </w:rPr>
        <w:t>umjeren</w:t>
      </w:r>
      <w:r w:rsidRPr="00330BB2">
        <w:rPr>
          <w:iCs/>
          <w:sz w:val="22"/>
          <w:szCs w:val="22"/>
          <w:lang w:val="hr-HR"/>
        </w:rPr>
        <w:t>im (</w:t>
      </w:r>
      <w:r w:rsidRPr="00330BB2">
        <w:rPr>
          <w:i/>
          <w:iCs/>
          <w:sz w:val="22"/>
          <w:szCs w:val="22"/>
          <w:lang w:val="hr-HR"/>
        </w:rPr>
        <w:t xml:space="preserve">Child-Pugh </w:t>
      </w:r>
      <w:r w:rsidRPr="00330BB2">
        <w:rPr>
          <w:iCs/>
          <w:sz w:val="22"/>
          <w:szCs w:val="22"/>
          <w:lang w:val="hr-HR"/>
        </w:rPr>
        <w:t xml:space="preserve">stadijum B) oštećenjem u odnosu na pacijente sa normalnom funkcijom jetre. Uprkos visokim prolaznim izloženostima inklisiranu u plazmi, smanjenja </w:t>
      </w:r>
      <w:r w:rsidR="009246CD" w:rsidRPr="00330BB2">
        <w:rPr>
          <w:iCs/>
          <w:sz w:val="22"/>
          <w:szCs w:val="22"/>
          <w:lang w:val="hr-HR"/>
        </w:rPr>
        <w:t xml:space="preserve">vrijednosti </w:t>
      </w:r>
      <w:r w:rsidRPr="00330BB2">
        <w:rPr>
          <w:iCs/>
          <w:sz w:val="22"/>
          <w:szCs w:val="22"/>
          <w:lang w:val="hr-HR"/>
        </w:rPr>
        <w:t>LDL-</w:t>
      </w:r>
      <w:r w:rsidR="009246CD" w:rsidRPr="00330BB2">
        <w:rPr>
          <w:iCs/>
          <w:sz w:val="22"/>
          <w:szCs w:val="22"/>
          <w:lang w:val="hr-HR"/>
        </w:rPr>
        <w:t>holesterola</w:t>
      </w:r>
      <w:r w:rsidRPr="00330BB2">
        <w:rPr>
          <w:iCs/>
          <w:sz w:val="22"/>
          <w:szCs w:val="22"/>
          <w:lang w:val="hr-HR"/>
        </w:rPr>
        <w:t xml:space="preserve"> kod prim</w:t>
      </w:r>
      <w:r w:rsidR="004F6D01" w:rsidRPr="00330BB2">
        <w:rPr>
          <w:iCs/>
          <w:sz w:val="22"/>
          <w:szCs w:val="22"/>
          <w:lang w:val="hr-HR"/>
        </w:rPr>
        <w:t>j</w:t>
      </w:r>
      <w:r w:rsidRPr="00330BB2">
        <w:rPr>
          <w:iCs/>
          <w:sz w:val="22"/>
          <w:szCs w:val="22"/>
          <w:lang w:val="hr-HR"/>
        </w:rPr>
        <w:t xml:space="preserve">ene inklisirana su bila slična među grupama pacijenata sa normalnom funkcijom jetre i blagim oštećenjem funkcije jetre. Kod pacijenata sa </w:t>
      </w:r>
      <w:r w:rsidR="007B38F0" w:rsidRPr="00330BB2">
        <w:rPr>
          <w:iCs/>
          <w:sz w:val="22"/>
          <w:szCs w:val="22"/>
          <w:lang w:val="hr-HR"/>
        </w:rPr>
        <w:t>umjeren</w:t>
      </w:r>
      <w:r w:rsidRPr="00330BB2">
        <w:rPr>
          <w:iCs/>
          <w:sz w:val="22"/>
          <w:szCs w:val="22"/>
          <w:lang w:val="hr-HR"/>
        </w:rPr>
        <w:t>im oštećenjem funkcije jetre, početni nivoi PCSK9 su bili izraženo niži, a sniženja LDL-</w:t>
      </w:r>
      <w:r w:rsidR="00C954BF" w:rsidRPr="00330BB2">
        <w:rPr>
          <w:iCs/>
          <w:sz w:val="22"/>
          <w:szCs w:val="22"/>
          <w:lang w:val="hr-HR"/>
        </w:rPr>
        <w:t>holesterola</w:t>
      </w:r>
      <w:r w:rsidRPr="00330BB2">
        <w:rPr>
          <w:iCs/>
          <w:sz w:val="22"/>
          <w:szCs w:val="22"/>
          <w:lang w:val="hr-HR"/>
        </w:rPr>
        <w:t xml:space="preserve"> manja od onih zab</w:t>
      </w:r>
      <w:r w:rsidR="004F6D01" w:rsidRPr="00330BB2">
        <w:rPr>
          <w:iCs/>
          <w:sz w:val="22"/>
          <w:szCs w:val="22"/>
          <w:lang w:val="hr-HR"/>
        </w:rPr>
        <w:t>ilje</w:t>
      </w:r>
      <w:r w:rsidRPr="00330BB2">
        <w:rPr>
          <w:iCs/>
          <w:sz w:val="22"/>
          <w:szCs w:val="22"/>
          <w:lang w:val="hr-HR"/>
        </w:rPr>
        <w:t xml:space="preserve">ženih kod pacijenata sa normalnom funkcijom jetre. Nije potrebno prilagođavanje doze kod pacijenata sa blagim do </w:t>
      </w:r>
      <w:r w:rsidR="007B38F0" w:rsidRPr="00330BB2">
        <w:rPr>
          <w:iCs/>
          <w:sz w:val="22"/>
          <w:szCs w:val="22"/>
          <w:lang w:val="hr-HR"/>
        </w:rPr>
        <w:t>umjeren</w:t>
      </w:r>
      <w:r w:rsidRPr="00330BB2">
        <w:rPr>
          <w:iCs/>
          <w:sz w:val="22"/>
          <w:szCs w:val="22"/>
          <w:lang w:val="hr-HR"/>
        </w:rPr>
        <w:t>im oštećenjem jetre (</w:t>
      </w:r>
      <w:r w:rsidRPr="00330BB2">
        <w:rPr>
          <w:i/>
          <w:iCs/>
          <w:sz w:val="22"/>
          <w:szCs w:val="22"/>
          <w:lang w:val="hr-HR"/>
        </w:rPr>
        <w:t>Child</w:t>
      </w:r>
      <w:r w:rsidRPr="00330BB2">
        <w:rPr>
          <w:i/>
          <w:iCs/>
          <w:sz w:val="22"/>
          <w:szCs w:val="22"/>
          <w:lang w:val="hr-HR"/>
        </w:rPr>
        <w:noBreakHyphen/>
        <w:t>Pugh</w:t>
      </w:r>
      <w:r w:rsidRPr="00330BB2">
        <w:rPr>
          <w:iCs/>
          <w:sz w:val="22"/>
          <w:szCs w:val="22"/>
          <w:lang w:val="hr-HR"/>
        </w:rPr>
        <w:t xml:space="preserve"> stadijum A i B). </w:t>
      </w:r>
      <w:r w:rsidR="007B38F0" w:rsidRPr="00330BB2">
        <w:rPr>
          <w:iCs/>
          <w:sz w:val="22"/>
          <w:szCs w:val="22"/>
          <w:lang w:val="hr-HR"/>
        </w:rPr>
        <w:t>Lijek</w:t>
      </w:r>
      <w:r w:rsidRPr="00330BB2">
        <w:rPr>
          <w:iCs/>
          <w:sz w:val="22"/>
          <w:szCs w:val="22"/>
          <w:lang w:val="hr-HR"/>
        </w:rPr>
        <w:t xml:space="preserve"> Leqvio nije bio ispitivan kod pacijenata sa teškim oštećenjem funkcije jetre (</w:t>
      </w:r>
      <w:r w:rsidRPr="00330BB2">
        <w:rPr>
          <w:i/>
          <w:iCs/>
          <w:sz w:val="22"/>
          <w:szCs w:val="22"/>
          <w:lang w:val="hr-HR"/>
        </w:rPr>
        <w:t>Child</w:t>
      </w:r>
      <w:r w:rsidRPr="00330BB2">
        <w:rPr>
          <w:i/>
          <w:iCs/>
          <w:sz w:val="22"/>
          <w:szCs w:val="22"/>
          <w:lang w:val="hr-HR"/>
        </w:rPr>
        <w:noBreakHyphen/>
        <w:t xml:space="preserve">Pugh </w:t>
      </w:r>
      <w:r w:rsidRPr="00330BB2">
        <w:rPr>
          <w:iCs/>
          <w:sz w:val="22"/>
          <w:szCs w:val="22"/>
          <w:lang w:val="hr-HR"/>
        </w:rPr>
        <w:t>stadijum C).</w:t>
      </w:r>
    </w:p>
    <w:p w14:paraId="3BA69692" w14:textId="77777777" w:rsidR="00C91DE7" w:rsidRPr="00330BB2" w:rsidRDefault="00C91DE7" w:rsidP="00FA129D">
      <w:pPr>
        <w:tabs>
          <w:tab w:val="left" w:pos="284"/>
        </w:tabs>
        <w:jc w:val="both"/>
        <w:rPr>
          <w:iCs/>
          <w:sz w:val="22"/>
          <w:szCs w:val="22"/>
          <w:lang w:val="hr-HR"/>
        </w:rPr>
      </w:pPr>
    </w:p>
    <w:p w14:paraId="00EB30CA" w14:textId="77777777" w:rsidR="00C91DE7" w:rsidRPr="00330BB2" w:rsidRDefault="00C91DE7" w:rsidP="00FA129D">
      <w:pPr>
        <w:keepNext/>
        <w:tabs>
          <w:tab w:val="left" w:pos="284"/>
        </w:tabs>
        <w:jc w:val="both"/>
        <w:rPr>
          <w:i/>
          <w:iCs/>
          <w:sz w:val="22"/>
          <w:szCs w:val="22"/>
          <w:u w:val="single"/>
          <w:lang w:val="hr-HR"/>
        </w:rPr>
      </w:pPr>
      <w:r w:rsidRPr="00330BB2">
        <w:rPr>
          <w:i/>
          <w:iCs/>
          <w:sz w:val="22"/>
          <w:szCs w:val="22"/>
          <w:u w:val="single"/>
          <w:lang w:val="hr-HR"/>
        </w:rPr>
        <w:lastRenderedPageBreak/>
        <w:t>Druge posebne populacije</w:t>
      </w:r>
    </w:p>
    <w:p w14:paraId="59BB6F60" w14:textId="77777777" w:rsidR="00C91DE7" w:rsidRPr="00330BB2" w:rsidRDefault="00C91DE7" w:rsidP="00FA129D">
      <w:pPr>
        <w:keepNext/>
        <w:tabs>
          <w:tab w:val="left" w:pos="284"/>
        </w:tabs>
        <w:jc w:val="both"/>
        <w:rPr>
          <w:i/>
          <w:iCs/>
          <w:sz w:val="22"/>
          <w:szCs w:val="22"/>
          <w:u w:val="single"/>
          <w:lang w:val="hr-HR"/>
        </w:rPr>
      </w:pPr>
    </w:p>
    <w:p w14:paraId="06ACA659" w14:textId="39C91611" w:rsidR="00C91DE7" w:rsidRPr="00330BB2" w:rsidRDefault="00C91DE7" w:rsidP="00FA129D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iCs/>
          <w:sz w:val="22"/>
          <w:szCs w:val="22"/>
          <w:lang w:val="hr-HR"/>
        </w:rPr>
      </w:pPr>
      <w:r w:rsidRPr="00330BB2">
        <w:rPr>
          <w:iCs/>
          <w:sz w:val="22"/>
          <w:szCs w:val="22"/>
          <w:lang w:val="hr-HR"/>
        </w:rPr>
        <w:t>Populacijska farmakodinamska analiza je bila sprovedena na podacima od 4328 pacijenata. Nije otkriveno da starost, t</w:t>
      </w:r>
      <w:r w:rsidR="004F6D01" w:rsidRPr="00330BB2">
        <w:rPr>
          <w:iCs/>
          <w:sz w:val="22"/>
          <w:szCs w:val="22"/>
          <w:lang w:val="hr-HR"/>
        </w:rPr>
        <w:t>j</w:t>
      </w:r>
      <w:r w:rsidRPr="00330BB2">
        <w:rPr>
          <w:iCs/>
          <w:sz w:val="22"/>
          <w:szCs w:val="22"/>
          <w:lang w:val="hr-HR"/>
        </w:rPr>
        <w:t xml:space="preserve">elesna </w:t>
      </w:r>
      <w:r w:rsidR="006A7203" w:rsidRPr="00330BB2">
        <w:rPr>
          <w:iCs/>
          <w:sz w:val="22"/>
          <w:szCs w:val="22"/>
          <w:lang w:val="hr-HR"/>
        </w:rPr>
        <w:t>masa</w:t>
      </w:r>
      <w:r w:rsidRPr="00330BB2">
        <w:rPr>
          <w:iCs/>
          <w:sz w:val="22"/>
          <w:szCs w:val="22"/>
          <w:lang w:val="hr-HR"/>
        </w:rPr>
        <w:t>, pol, rasa i klirens kreatinina značajno utiču na farmakodinamiku inklisirana. Ne preporučuju se nikakva prilagođavanja doze za pacijente sa tim demografskim pokazateljima.</w:t>
      </w:r>
    </w:p>
    <w:p w14:paraId="238D2389" w14:textId="77777777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15923BF" w14:textId="4F1654D1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5.3.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P</w:t>
      </w:r>
      <w:r w:rsidR="007B38F0" w:rsidRPr="00330BB2">
        <w:rPr>
          <w:b/>
          <w:bCs/>
          <w:sz w:val="22"/>
          <w:szCs w:val="22"/>
        </w:rPr>
        <w:t>rijetk</w:t>
      </w:r>
      <w:r w:rsidRPr="00330BB2">
        <w:rPr>
          <w:b/>
          <w:bCs/>
          <w:sz w:val="22"/>
          <w:szCs w:val="22"/>
        </w:rPr>
        <w:t xml:space="preserve">linički podaci o bezbjednosti </w:t>
      </w:r>
    </w:p>
    <w:p w14:paraId="23BD14A7" w14:textId="77D43647" w:rsidR="00836B35" w:rsidRPr="00330BB2" w:rsidRDefault="00836B35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696EDBD" w14:textId="053BDC02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U ispitivanjima toksičnosti ponovljenih doza sprovedenim na pacovima i majmunima, nivoi bez zapaženih štetnih efekata (engl. </w:t>
      </w:r>
      <w:r w:rsidRPr="00330BB2">
        <w:rPr>
          <w:i/>
          <w:sz w:val="22"/>
          <w:szCs w:val="22"/>
          <w:lang w:val="hr-HR"/>
        </w:rPr>
        <w:t>no observed adverse effect level</w:t>
      </w:r>
      <w:r w:rsidRPr="00330BB2">
        <w:rPr>
          <w:sz w:val="22"/>
          <w:szCs w:val="22"/>
          <w:lang w:val="hr-HR"/>
        </w:rPr>
        <w:t>, NOAEL) su utvrđeni kao najviše doze prim</w:t>
      </w:r>
      <w:r w:rsidR="004F6D01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 xml:space="preserve">enjene </w:t>
      </w:r>
      <w:r w:rsidR="00D64000" w:rsidRPr="00330BB2">
        <w:rPr>
          <w:sz w:val="22"/>
          <w:szCs w:val="22"/>
          <w:lang w:val="hr-HR"/>
        </w:rPr>
        <w:t>subkutano</w:t>
      </w:r>
      <w:r w:rsidRPr="00330BB2">
        <w:rPr>
          <w:sz w:val="22"/>
          <w:szCs w:val="22"/>
          <w:lang w:val="hr-HR"/>
        </w:rPr>
        <w:t xml:space="preserve"> koje su dovele do izloženosti znatno veće od maksimalne izloženosti kod ljudi. Mikroskopska </w:t>
      </w:r>
      <w:r w:rsidRPr="00330BB2">
        <w:rPr>
          <w:noProof/>
          <w:sz w:val="22"/>
          <w:szCs w:val="22"/>
          <w:lang w:val="hr-HR"/>
        </w:rPr>
        <w:t>opažanja iz toksikoloških ispitivanja su uključivala vakuolizaciju u hepatocitima pacova i makrofagima limfnih čvorova majmuna, kao i prisutnost bazofilnih granula u hepatocitima majmuna i bubrezima pacova i majmuna. Ta zapažanja ni</w:t>
      </w:r>
      <w:r w:rsidR="006A7203" w:rsidRPr="00330BB2">
        <w:rPr>
          <w:noProof/>
          <w:sz w:val="22"/>
          <w:szCs w:val="22"/>
          <w:lang w:val="hr-HR"/>
        </w:rPr>
        <w:t>je</w:t>
      </w:r>
      <w:r w:rsidRPr="00330BB2">
        <w:rPr>
          <w:noProof/>
          <w:sz w:val="22"/>
          <w:szCs w:val="22"/>
          <w:lang w:val="hr-HR"/>
        </w:rPr>
        <w:t>su bila povezana sa prom</w:t>
      </w:r>
      <w:r w:rsidR="004F6D01" w:rsidRPr="00330BB2">
        <w:rPr>
          <w:noProof/>
          <w:sz w:val="22"/>
          <w:szCs w:val="22"/>
          <w:lang w:val="hr-HR"/>
        </w:rPr>
        <w:t>j</w:t>
      </w:r>
      <w:r w:rsidRPr="00330BB2">
        <w:rPr>
          <w:noProof/>
          <w:sz w:val="22"/>
          <w:szCs w:val="22"/>
          <w:lang w:val="hr-HR"/>
        </w:rPr>
        <w:t>enama u kliničkim laboratorijskim parametrima i ne smatraju se štetnim.</w:t>
      </w:r>
    </w:p>
    <w:p w14:paraId="772B5635" w14:textId="77777777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54971455" w14:textId="7D4558E6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Inklisiran nije bio karcinogen kod </w:t>
      </w:r>
      <w:r w:rsidRPr="00330BB2">
        <w:rPr>
          <w:i/>
          <w:sz w:val="22"/>
          <w:szCs w:val="22"/>
          <w:lang w:val="hr-HR"/>
        </w:rPr>
        <w:t>Sprague</w:t>
      </w:r>
      <w:r w:rsidRPr="00330BB2">
        <w:rPr>
          <w:i/>
          <w:sz w:val="22"/>
          <w:szCs w:val="22"/>
          <w:lang w:val="hr-HR"/>
        </w:rPr>
        <w:noBreakHyphen/>
        <w:t xml:space="preserve">Dawley </w:t>
      </w:r>
      <w:r w:rsidRPr="00330BB2">
        <w:rPr>
          <w:sz w:val="22"/>
          <w:szCs w:val="22"/>
          <w:lang w:val="hr-HR"/>
        </w:rPr>
        <w:t xml:space="preserve">pacova ili kod TgRasH2 miševa na kojima je bio </w:t>
      </w:r>
      <w:r w:rsidR="009014D6" w:rsidRPr="00330BB2">
        <w:rPr>
          <w:sz w:val="22"/>
          <w:szCs w:val="22"/>
          <w:lang w:val="hr-HR"/>
        </w:rPr>
        <w:t>primjen</w:t>
      </w:r>
      <w:r w:rsidRPr="00330BB2">
        <w:rPr>
          <w:sz w:val="22"/>
          <w:szCs w:val="22"/>
          <w:lang w:val="hr-HR"/>
        </w:rPr>
        <w:t>jivan inklisiran u znatno većim dozama od kliničkih doza.</w:t>
      </w:r>
    </w:p>
    <w:p w14:paraId="42F3DC11" w14:textId="77777777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204E5431" w14:textId="740F9FF9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Nije pronađen mutageni ili klastogeni potencijal inklisirana u bateriji testova, uključujući test bakterijske mutagenosti, </w:t>
      </w:r>
      <w:r w:rsidRPr="00330BB2">
        <w:rPr>
          <w:i/>
          <w:sz w:val="22"/>
          <w:szCs w:val="22"/>
          <w:lang w:val="hr-HR"/>
        </w:rPr>
        <w:t>in vitro</w:t>
      </w:r>
      <w:r w:rsidRPr="00330BB2">
        <w:rPr>
          <w:sz w:val="22"/>
          <w:szCs w:val="22"/>
          <w:lang w:val="hr-HR"/>
        </w:rPr>
        <w:t xml:space="preserve"> test hromozomske aberacije u limfocitima periferne ljudske krvi i </w:t>
      </w:r>
      <w:r w:rsidRPr="00330BB2">
        <w:rPr>
          <w:i/>
          <w:sz w:val="22"/>
          <w:szCs w:val="22"/>
          <w:lang w:val="hr-HR"/>
        </w:rPr>
        <w:t>in vivo</w:t>
      </w:r>
      <w:r w:rsidRPr="00330BB2">
        <w:rPr>
          <w:sz w:val="22"/>
          <w:szCs w:val="22"/>
          <w:lang w:val="hr-HR"/>
        </w:rPr>
        <w:t xml:space="preserve"> mikronukleusni test na ko</w:t>
      </w:r>
      <w:r w:rsidR="006A7203" w:rsidRPr="00330BB2">
        <w:rPr>
          <w:sz w:val="22"/>
          <w:szCs w:val="22"/>
          <w:lang w:val="hr-HR"/>
        </w:rPr>
        <w:t>s</w:t>
      </w:r>
      <w:r w:rsidRPr="00330BB2">
        <w:rPr>
          <w:sz w:val="22"/>
          <w:szCs w:val="22"/>
          <w:lang w:val="hr-HR"/>
        </w:rPr>
        <w:t>tnoj srži pacova.</w:t>
      </w:r>
    </w:p>
    <w:p w14:paraId="7800915F" w14:textId="77777777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48D5E4D8" w14:textId="0C5309A2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Ispitivanja reproduktivne toksičnosti izvedena na pacovima i kunićima, ni</w:t>
      </w:r>
      <w:r w:rsidR="006A7203" w:rsidRPr="00330BB2">
        <w:rPr>
          <w:sz w:val="22"/>
          <w:szCs w:val="22"/>
          <w:lang w:val="hr-HR"/>
        </w:rPr>
        <w:t>je</w:t>
      </w:r>
      <w:r w:rsidRPr="00330BB2">
        <w:rPr>
          <w:sz w:val="22"/>
          <w:szCs w:val="22"/>
          <w:lang w:val="hr-HR"/>
        </w:rPr>
        <w:t xml:space="preserve">su otkrila nikakav dokaz štetnih </w:t>
      </w:r>
      <w:r w:rsidR="00C954BF" w:rsidRPr="00330BB2">
        <w:rPr>
          <w:sz w:val="22"/>
          <w:szCs w:val="22"/>
          <w:lang w:val="hr-HR"/>
        </w:rPr>
        <w:t xml:space="preserve">uticaja </w:t>
      </w:r>
      <w:r w:rsidRPr="00330BB2">
        <w:rPr>
          <w:sz w:val="22"/>
          <w:szCs w:val="22"/>
          <w:lang w:val="hr-HR"/>
        </w:rPr>
        <w:t>na fetus uzrokovanih inklisiranom pri najvećim prim</w:t>
      </w:r>
      <w:r w:rsidR="004F6D01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enjenim dozama, koje su proizvele izloženost znatno veću od maksimalne izloženosti kod ljudi.</w:t>
      </w:r>
    </w:p>
    <w:p w14:paraId="50B90BB5" w14:textId="77777777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66030567" w14:textId="5BBD2C42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Inklisiran nije uticao na plodnost ili reproduktivnu sposobnost mužjaka pacova izloženih inklisiranu pr</w:t>
      </w:r>
      <w:r w:rsidR="004F6D01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 i tokom gestacije. Doze su bile povezane sa sistemskim izloženostima koje su bile puno puta veće od ljudske izloženosti pri kliničkim dozama.</w:t>
      </w:r>
    </w:p>
    <w:p w14:paraId="1CF33AC7" w14:textId="77777777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3A22AF86" w14:textId="27C0896E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Inklisiran je bio zapažen u m</w:t>
      </w:r>
      <w:r w:rsidR="007B38F0" w:rsidRPr="00330BB2">
        <w:rPr>
          <w:sz w:val="22"/>
          <w:szCs w:val="22"/>
          <w:lang w:val="hr-HR"/>
        </w:rPr>
        <w:t>lijek</w:t>
      </w:r>
      <w:r w:rsidRPr="00330BB2">
        <w:rPr>
          <w:sz w:val="22"/>
          <w:szCs w:val="22"/>
          <w:lang w:val="hr-HR"/>
        </w:rPr>
        <w:t>u pacova u laktaciji; međutim, nema dokaza sistemske resorpcije kod novorođenih pacova koji sisaju.</w:t>
      </w:r>
    </w:p>
    <w:p w14:paraId="23334119" w14:textId="77777777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FDDFBE9" w14:textId="77777777" w:rsidR="00330BB2" w:rsidRDefault="00330BB2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2A0804A7" w14:textId="215BF54B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6.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FARMACEUTSKI PODACI</w:t>
      </w:r>
    </w:p>
    <w:p w14:paraId="10A7321E" w14:textId="77777777" w:rsidR="00836B35" w:rsidRPr="00330BB2" w:rsidRDefault="00836B35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93A6C41" w14:textId="77777777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6.1.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Lista pomoćnih supstanci</w:t>
      </w:r>
      <w:r w:rsidR="002E0135" w:rsidRPr="00330BB2">
        <w:rPr>
          <w:b/>
          <w:bCs/>
          <w:sz w:val="22"/>
          <w:szCs w:val="22"/>
        </w:rPr>
        <w:t xml:space="preserve"> (ekscipijenasa)</w:t>
      </w:r>
    </w:p>
    <w:p w14:paraId="51580521" w14:textId="71043C9A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3321EA2" w14:textId="24CCC1B2" w:rsidR="00C91DE7" w:rsidRPr="00330BB2" w:rsidRDefault="00B30FEA" w:rsidP="00FA129D">
      <w:pPr>
        <w:keepNext/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v</w:t>
      </w:r>
      <w:r w:rsidR="00C91DE7" w:rsidRPr="00330BB2">
        <w:rPr>
          <w:sz w:val="22"/>
          <w:szCs w:val="22"/>
          <w:lang w:val="hr-HR"/>
        </w:rPr>
        <w:t>oda za injekcije</w:t>
      </w:r>
    </w:p>
    <w:p w14:paraId="64CE306C" w14:textId="5E2F9916" w:rsidR="00C91DE7" w:rsidRPr="00330BB2" w:rsidRDefault="00B30FEA" w:rsidP="00FA129D">
      <w:pPr>
        <w:keepNext/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n</w:t>
      </w:r>
      <w:r w:rsidR="00C91DE7" w:rsidRPr="00330BB2">
        <w:rPr>
          <w:sz w:val="22"/>
          <w:szCs w:val="22"/>
          <w:lang w:val="hr-HR"/>
        </w:rPr>
        <w:t>atrijum hidroksid (za podešavanje pH)</w:t>
      </w:r>
    </w:p>
    <w:p w14:paraId="55249DF0" w14:textId="6310CF82" w:rsidR="00C91DE7" w:rsidRPr="00330BB2" w:rsidRDefault="00B30FEA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f</w:t>
      </w:r>
      <w:r w:rsidR="00D063C4" w:rsidRPr="00330BB2">
        <w:rPr>
          <w:sz w:val="22"/>
          <w:szCs w:val="22"/>
          <w:lang w:val="hr-HR"/>
        </w:rPr>
        <w:t>osforna kiselina, koncentrovana</w:t>
      </w:r>
      <w:r w:rsidR="00C91DE7" w:rsidRPr="00330BB2">
        <w:rPr>
          <w:sz w:val="22"/>
          <w:szCs w:val="22"/>
          <w:lang w:val="hr-HR"/>
        </w:rPr>
        <w:t xml:space="preserve"> (za podešavanje pH)</w:t>
      </w:r>
    </w:p>
    <w:p w14:paraId="4A95E2FF" w14:textId="77777777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8C9A538" w14:textId="77777777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6.2.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Inkompatibilnost</w:t>
      </w:r>
      <w:r w:rsidR="002846DB" w:rsidRPr="00330BB2">
        <w:rPr>
          <w:b/>
          <w:bCs/>
          <w:sz w:val="22"/>
          <w:szCs w:val="22"/>
        </w:rPr>
        <w:t>i</w:t>
      </w:r>
    </w:p>
    <w:p w14:paraId="2AD43434" w14:textId="2A9D632A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9A9053C" w14:textId="42A4FA4A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Zbog nedostatka ispitivanja kompatibilnosti, ovaj </w:t>
      </w:r>
      <w:r w:rsidR="007B38F0" w:rsidRPr="00330BB2">
        <w:rPr>
          <w:sz w:val="22"/>
          <w:szCs w:val="22"/>
          <w:lang w:val="hr-HR"/>
        </w:rPr>
        <w:t>lijek</w:t>
      </w:r>
      <w:r w:rsidRPr="00330BB2">
        <w:rPr>
          <w:sz w:val="22"/>
          <w:szCs w:val="22"/>
          <w:lang w:val="hr-HR"/>
        </w:rPr>
        <w:t xml:space="preserve"> ne sm</w:t>
      </w:r>
      <w:r w:rsidR="006A7203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 da se m</w:t>
      </w:r>
      <w:r w:rsidR="006A7203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 xml:space="preserve">eša sa drugim </w:t>
      </w:r>
      <w:r w:rsidR="007B38F0" w:rsidRPr="00330BB2">
        <w:rPr>
          <w:sz w:val="22"/>
          <w:szCs w:val="22"/>
          <w:lang w:val="hr-HR"/>
        </w:rPr>
        <w:t>ljek</w:t>
      </w:r>
      <w:r w:rsidRPr="00330BB2">
        <w:rPr>
          <w:sz w:val="22"/>
          <w:szCs w:val="22"/>
          <w:lang w:val="hr-HR"/>
        </w:rPr>
        <w:t>ovima.</w:t>
      </w:r>
    </w:p>
    <w:p w14:paraId="72F204A4" w14:textId="77777777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9E38715" w14:textId="77777777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>6.3.</w:t>
      </w:r>
      <w:r w:rsidR="00C05DF8" w:rsidRPr="00330BB2">
        <w:rPr>
          <w:b/>
          <w:bCs/>
          <w:sz w:val="22"/>
          <w:szCs w:val="22"/>
        </w:rPr>
        <w:t xml:space="preserve">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Rok upotrebe</w:t>
      </w:r>
    </w:p>
    <w:p w14:paraId="18C20274" w14:textId="0B099F1F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7632B41" w14:textId="16F5AB5C" w:rsidR="00C91DE7" w:rsidRPr="00330BB2" w:rsidRDefault="004847C5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3</w:t>
      </w:r>
      <w:r w:rsidR="00C91DE7" w:rsidRPr="00330BB2">
        <w:rPr>
          <w:sz w:val="22"/>
          <w:szCs w:val="22"/>
          <w:lang w:val="hr-HR"/>
        </w:rPr>
        <w:t> godine.</w:t>
      </w:r>
    </w:p>
    <w:p w14:paraId="779F15F5" w14:textId="0B7D3FD8" w:rsidR="00330BB2" w:rsidRDefault="00330BB2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5E4DD1A" w14:textId="4C8A7B0A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6.4.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Posebne mjere upozorenja pri čuvanju</w:t>
      </w:r>
      <w:r w:rsidR="00F8570A" w:rsidRPr="00330BB2">
        <w:rPr>
          <w:b/>
          <w:bCs/>
          <w:sz w:val="22"/>
          <w:szCs w:val="22"/>
        </w:rPr>
        <w:t xml:space="preserve"> lijeka</w:t>
      </w:r>
    </w:p>
    <w:p w14:paraId="18031ACB" w14:textId="2EFA9797" w:rsidR="00EC2532" w:rsidRPr="00330BB2" w:rsidRDefault="00EC2532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A1FC60D" w14:textId="3C434333" w:rsidR="00C91DE7" w:rsidRDefault="007B38F0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Lijek</w:t>
      </w:r>
      <w:r w:rsidR="00C91DE7" w:rsidRPr="00330BB2">
        <w:rPr>
          <w:sz w:val="22"/>
          <w:szCs w:val="22"/>
          <w:lang w:val="hr-HR"/>
        </w:rPr>
        <w:t xml:space="preserve"> ne zaht</w:t>
      </w:r>
      <w:r w:rsidR="004F6D01" w:rsidRPr="00330BB2">
        <w:rPr>
          <w:sz w:val="22"/>
          <w:szCs w:val="22"/>
          <w:lang w:val="hr-HR"/>
        </w:rPr>
        <w:t>ij</w:t>
      </w:r>
      <w:r w:rsidR="00C91DE7" w:rsidRPr="00330BB2">
        <w:rPr>
          <w:sz w:val="22"/>
          <w:szCs w:val="22"/>
          <w:lang w:val="hr-HR"/>
        </w:rPr>
        <w:t>eva posebne uslove čuvanja. Ne zamrzavati.</w:t>
      </w:r>
    </w:p>
    <w:p w14:paraId="7B75C0C2" w14:textId="77777777" w:rsidR="001057B6" w:rsidRPr="00330BB2" w:rsidRDefault="001057B6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5E964BE1" w14:textId="77777777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A27AA3F" w14:textId="77777777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lastRenderedPageBreak/>
        <w:t xml:space="preserve">6.5. </w:t>
      </w:r>
      <w:r w:rsidR="00480FB1" w:rsidRPr="00330BB2">
        <w:rPr>
          <w:b/>
          <w:bCs/>
          <w:sz w:val="22"/>
          <w:szCs w:val="22"/>
        </w:rPr>
        <w:tab/>
      </w:r>
      <w:r w:rsidR="002846DB" w:rsidRPr="00330BB2">
        <w:rPr>
          <w:b/>
          <w:bCs/>
          <w:sz w:val="22"/>
          <w:szCs w:val="22"/>
        </w:rPr>
        <w:t xml:space="preserve">Vrsta i sadržaj </w:t>
      </w:r>
      <w:r w:rsidR="00F8570A" w:rsidRPr="00330BB2">
        <w:rPr>
          <w:b/>
          <w:bCs/>
          <w:sz w:val="22"/>
          <w:szCs w:val="22"/>
        </w:rPr>
        <w:t>pakovanja</w:t>
      </w:r>
      <w:r w:rsidR="00C06864" w:rsidRPr="00330BB2">
        <w:rPr>
          <w:b/>
          <w:bCs/>
          <w:sz w:val="22"/>
          <w:szCs w:val="22"/>
        </w:rPr>
        <w:t xml:space="preserve"> </w:t>
      </w:r>
    </w:p>
    <w:p w14:paraId="6EBB1E2E" w14:textId="6B995BD7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D6549F1" w14:textId="6FC98DE0" w:rsidR="005463DD" w:rsidRPr="0014472C" w:rsidRDefault="005463DD" w:rsidP="00FA129D">
      <w:pPr>
        <w:tabs>
          <w:tab w:val="left" w:pos="284"/>
        </w:tabs>
        <w:jc w:val="both"/>
        <w:outlineLvl w:val="0"/>
        <w:rPr>
          <w:sz w:val="22"/>
          <w:szCs w:val="22"/>
          <w:u w:val="single"/>
          <w:lang w:val="hr-HR"/>
        </w:rPr>
      </w:pPr>
      <w:r>
        <w:rPr>
          <w:sz w:val="22"/>
          <w:szCs w:val="22"/>
          <w:u w:val="single"/>
          <w:lang w:val="hr-HR"/>
        </w:rPr>
        <w:t>Napunjeni injekcioni špric</w:t>
      </w:r>
    </w:p>
    <w:p w14:paraId="1A242841" w14:textId="1A76B9BB" w:rsidR="00C91DE7" w:rsidRPr="00330BB2" w:rsidRDefault="00C91DE7" w:rsidP="00FA129D">
      <w:pPr>
        <w:tabs>
          <w:tab w:val="left" w:pos="284"/>
        </w:tabs>
        <w:jc w:val="both"/>
        <w:outlineLvl w:val="0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1,5 </w:t>
      </w:r>
      <w:r w:rsidR="00D64000" w:rsidRPr="00330BB2">
        <w:rPr>
          <w:sz w:val="22"/>
          <w:szCs w:val="22"/>
          <w:lang w:val="hr-HR"/>
        </w:rPr>
        <w:t>ml</w:t>
      </w:r>
      <w:r w:rsidRPr="00330BB2">
        <w:rPr>
          <w:sz w:val="22"/>
          <w:szCs w:val="22"/>
          <w:lang w:val="hr-HR"/>
        </w:rPr>
        <w:t xml:space="preserve"> rastvora u napunjenom injekcionom špricu (staklo tipa I) sa čepom klipa (bromobutilna guma obložena fluorotekom)</w:t>
      </w:r>
      <w:r w:rsidR="006A7203" w:rsidRPr="00330BB2">
        <w:rPr>
          <w:sz w:val="22"/>
          <w:szCs w:val="22"/>
          <w:lang w:val="hr-HR"/>
        </w:rPr>
        <w:t>,</w:t>
      </w:r>
      <w:r w:rsidRPr="00330BB2">
        <w:rPr>
          <w:sz w:val="22"/>
          <w:szCs w:val="22"/>
          <w:lang w:val="hr-HR"/>
        </w:rPr>
        <w:t xml:space="preserve"> sa iglom i čvrstim </w:t>
      </w:r>
      <w:r w:rsidR="005463DD">
        <w:rPr>
          <w:sz w:val="22"/>
          <w:szCs w:val="22"/>
          <w:lang w:val="hr-HR"/>
        </w:rPr>
        <w:t>poklopcem</w:t>
      </w:r>
      <w:r w:rsidRPr="00330BB2">
        <w:rPr>
          <w:sz w:val="22"/>
          <w:szCs w:val="22"/>
          <w:lang w:val="hr-HR"/>
        </w:rPr>
        <w:t xml:space="preserve"> igle.</w:t>
      </w:r>
    </w:p>
    <w:p w14:paraId="7828F32B" w14:textId="77777777" w:rsidR="00C91DE7" w:rsidRPr="00330BB2" w:rsidRDefault="00C91DE7" w:rsidP="00FA129D">
      <w:pPr>
        <w:tabs>
          <w:tab w:val="left" w:pos="284"/>
        </w:tabs>
        <w:jc w:val="both"/>
        <w:outlineLvl w:val="0"/>
        <w:rPr>
          <w:sz w:val="22"/>
          <w:szCs w:val="22"/>
          <w:lang w:val="hr-HR"/>
        </w:rPr>
      </w:pPr>
    </w:p>
    <w:p w14:paraId="5483589A" w14:textId="2254B7D9" w:rsidR="007D1BDB" w:rsidRDefault="00C91DE7" w:rsidP="00FA129D">
      <w:pPr>
        <w:tabs>
          <w:tab w:val="left" w:pos="284"/>
        </w:tabs>
        <w:jc w:val="both"/>
        <w:outlineLvl w:val="0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Pakovanje sadrži jedan napunjen injekcioni špric i Uputstvo za </w:t>
      </w:r>
      <w:r w:rsidR="007B38F0" w:rsidRPr="00330BB2">
        <w:rPr>
          <w:sz w:val="22"/>
          <w:szCs w:val="22"/>
          <w:lang w:val="hr-HR"/>
        </w:rPr>
        <w:t>lijek</w:t>
      </w:r>
      <w:r w:rsidRPr="00330BB2">
        <w:rPr>
          <w:sz w:val="22"/>
          <w:szCs w:val="22"/>
          <w:lang w:val="hr-HR"/>
        </w:rPr>
        <w:t>.</w:t>
      </w:r>
    </w:p>
    <w:p w14:paraId="271DC1D9" w14:textId="3BA25648" w:rsidR="005463DD" w:rsidRDefault="005463DD" w:rsidP="00FA129D">
      <w:pPr>
        <w:tabs>
          <w:tab w:val="left" w:pos="284"/>
        </w:tabs>
        <w:jc w:val="both"/>
        <w:outlineLvl w:val="0"/>
        <w:rPr>
          <w:sz w:val="22"/>
          <w:szCs w:val="22"/>
          <w:lang w:val="hr-HR"/>
        </w:rPr>
      </w:pPr>
    </w:p>
    <w:p w14:paraId="5DD4E7B0" w14:textId="79C78477" w:rsidR="005463DD" w:rsidRDefault="005463DD" w:rsidP="00FA129D">
      <w:pPr>
        <w:tabs>
          <w:tab w:val="left" w:pos="284"/>
        </w:tabs>
        <w:jc w:val="both"/>
        <w:outlineLvl w:val="0"/>
        <w:rPr>
          <w:sz w:val="22"/>
          <w:szCs w:val="22"/>
          <w:u w:val="single"/>
          <w:lang w:val="hr-HR"/>
        </w:rPr>
      </w:pPr>
      <w:r>
        <w:rPr>
          <w:sz w:val="22"/>
          <w:szCs w:val="22"/>
          <w:u w:val="single"/>
          <w:lang w:val="hr-HR"/>
        </w:rPr>
        <w:t>Napunjeni injekcioni špric sa štitnikom za iglu</w:t>
      </w:r>
    </w:p>
    <w:p w14:paraId="443C4721" w14:textId="492AB20D" w:rsidR="005463DD" w:rsidRPr="00330BB2" w:rsidRDefault="005463DD" w:rsidP="005463DD">
      <w:pPr>
        <w:tabs>
          <w:tab w:val="left" w:pos="284"/>
        </w:tabs>
        <w:jc w:val="both"/>
        <w:outlineLvl w:val="0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 xml:space="preserve">1,5 ml rastvora u napunjenom injekcionom špricu (staklo tipa I) sa čepom klipa (bromobutilna guma obložena fluorotekom), sa iglom i čvrstim </w:t>
      </w:r>
      <w:r>
        <w:rPr>
          <w:sz w:val="22"/>
          <w:szCs w:val="22"/>
          <w:lang w:val="hr-HR"/>
        </w:rPr>
        <w:t>poklopcem</w:t>
      </w:r>
      <w:r w:rsidRPr="00330BB2">
        <w:rPr>
          <w:sz w:val="22"/>
          <w:szCs w:val="22"/>
          <w:lang w:val="hr-HR"/>
        </w:rPr>
        <w:t xml:space="preserve"> igle</w:t>
      </w:r>
      <w:r>
        <w:rPr>
          <w:sz w:val="22"/>
          <w:szCs w:val="22"/>
          <w:lang w:val="hr-HR"/>
        </w:rPr>
        <w:t xml:space="preserve"> i štitnikom za iglu</w:t>
      </w:r>
      <w:r w:rsidRPr="00330BB2">
        <w:rPr>
          <w:sz w:val="22"/>
          <w:szCs w:val="22"/>
          <w:lang w:val="hr-HR"/>
        </w:rPr>
        <w:t>.</w:t>
      </w:r>
    </w:p>
    <w:p w14:paraId="57818C09" w14:textId="77777777" w:rsidR="005463DD" w:rsidRPr="00330BB2" w:rsidRDefault="005463DD" w:rsidP="005463DD">
      <w:pPr>
        <w:tabs>
          <w:tab w:val="left" w:pos="284"/>
        </w:tabs>
        <w:jc w:val="both"/>
        <w:outlineLvl w:val="0"/>
        <w:rPr>
          <w:sz w:val="22"/>
          <w:szCs w:val="22"/>
          <w:lang w:val="hr-HR"/>
        </w:rPr>
      </w:pPr>
    </w:p>
    <w:p w14:paraId="33DE3D7A" w14:textId="05FD6E06" w:rsidR="005463DD" w:rsidRPr="0014472C" w:rsidRDefault="005463DD" w:rsidP="00FA129D">
      <w:pPr>
        <w:tabs>
          <w:tab w:val="left" w:pos="284"/>
        </w:tabs>
        <w:jc w:val="both"/>
        <w:outlineLvl w:val="0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Pakovanje sadrži jedan napunjen injekcioni špric i Uputstvo za lijek.</w:t>
      </w:r>
    </w:p>
    <w:p w14:paraId="75652EA7" w14:textId="77777777" w:rsidR="00C91DE7" w:rsidRPr="00330BB2" w:rsidRDefault="00C91DE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B81CF1D" w14:textId="77777777" w:rsidR="002846DB" w:rsidRPr="00330BB2" w:rsidRDefault="0072020E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6.6.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330BB2">
        <w:rPr>
          <w:b/>
          <w:bCs/>
          <w:sz w:val="22"/>
          <w:szCs w:val="22"/>
        </w:rPr>
        <w:t xml:space="preserve"> </w:t>
      </w:r>
      <w:r w:rsidR="00310F03" w:rsidRPr="00330BB2">
        <w:rPr>
          <w:b/>
          <w:bCs/>
          <w:sz w:val="22"/>
          <w:szCs w:val="22"/>
        </w:rPr>
        <w:t>(i druga uputs</w:t>
      </w:r>
      <w:r w:rsidR="004109FA" w:rsidRPr="00330BB2">
        <w:rPr>
          <w:b/>
          <w:bCs/>
          <w:sz w:val="22"/>
          <w:szCs w:val="22"/>
        </w:rPr>
        <w:t>t</w:t>
      </w:r>
      <w:r w:rsidR="00310F03" w:rsidRPr="00330BB2">
        <w:rPr>
          <w:b/>
          <w:bCs/>
          <w:sz w:val="22"/>
          <w:szCs w:val="22"/>
        </w:rPr>
        <w:t xml:space="preserve">va za rukovanje lijekom) </w:t>
      </w:r>
    </w:p>
    <w:p w14:paraId="5DF33D83" w14:textId="77777777" w:rsidR="00B66A70" w:rsidRPr="00330BB2" w:rsidRDefault="00B66A70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0DEA329" w14:textId="22423214" w:rsidR="00C91DE7" w:rsidRPr="00330BB2" w:rsidRDefault="00C91DE7" w:rsidP="00FA129D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330BB2">
        <w:rPr>
          <w:sz w:val="22"/>
          <w:szCs w:val="22"/>
          <w:lang w:val="hr-HR"/>
        </w:rPr>
        <w:t>Pr</w:t>
      </w:r>
      <w:r w:rsidR="004F6D01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 xml:space="preserve">e </w:t>
      </w:r>
      <w:r w:rsidR="009014D6" w:rsidRPr="00330BB2">
        <w:rPr>
          <w:sz w:val="22"/>
          <w:szCs w:val="22"/>
          <w:lang w:val="hr-HR"/>
        </w:rPr>
        <w:t>primjen</w:t>
      </w:r>
      <w:r w:rsidRPr="00330BB2">
        <w:rPr>
          <w:sz w:val="22"/>
          <w:szCs w:val="22"/>
          <w:lang w:val="hr-HR"/>
        </w:rPr>
        <w:t xml:space="preserve">e, </w:t>
      </w:r>
      <w:r w:rsidR="007B38F0" w:rsidRPr="00330BB2">
        <w:rPr>
          <w:sz w:val="22"/>
          <w:szCs w:val="22"/>
          <w:lang w:val="hr-HR"/>
        </w:rPr>
        <w:t>lijek</w:t>
      </w:r>
      <w:r w:rsidRPr="00330BB2">
        <w:rPr>
          <w:sz w:val="22"/>
          <w:szCs w:val="22"/>
          <w:lang w:val="hr-HR"/>
        </w:rPr>
        <w:t xml:space="preserve"> Leqvio je potrebno vizuelno pregledati. Rastvor treba da bude bistar, bezbojan do bl</w:t>
      </w:r>
      <w:r w:rsidR="004F6D01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edožut i bez vidljivih čestica. Ukoliko rastvor sadrži vidljive čestice, ne sm</w:t>
      </w:r>
      <w:r w:rsidR="004F6D01" w:rsidRPr="00330BB2">
        <w:rPr>
          <w:sz w:val="22"/>
          <w:szCs w:val="22"/>
          <w:lang w:val="hr-HR"/>
        </w:rPr>
        <w:t>ij</w:t>
      </w:r>
      <w:r w:rsidRPr="00330BB2">
        <w:rPr>
          <w:sz w:val="22"/>
          <w:szCs w:val="22"/>
          <w:lang w:val="hr-HR"/>
        </w:rPr>
        <w:t>e da se koristi.</w:t>
      </w:r>
    </w:p>
    <w:p w14:paraId="578BAA59" w14:textId="1AC7F498" w:rsidR="0072020E" w:rsidRDefault="0072020E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3FF3DCB" w14:textId="77777777" w:rsidR="00330BB2" w:rsidRPr="00330BB2" w:rsidRDefault="00330BB2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412F76B" w14:textId="1C378042" w:rsidR="00F8570A" w:rsidRPr="00330BB2" w:rsidRDefault="0072020E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7.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NOSILAC DOZVOLE</w:t>
      </w:r>
      <w:r w:rsidR="00483928" w:rsidRPr="00330BB2">
        <w:rPr>
          <w:b/>
          <w:bCs/>
          <w:sz w:val="22"/>
          <w:szCs w:val="22"/>
        </w:rPr>
        <w:t xml:space="preserve"> </w:t>
      </w:r>
    </w:p>
    <w:p w14:paraId="1840361A" w14:textId="77777777" w:rsidR="000A341F" w:rsidRPr="00330BB2" w:rsidRDefault="000A341F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6AA8A9B" w14:textId="193196AB" w:rsidR="00C61BE0" w:rsidRPr="00330BB2" w:rsidRDefault="000A341F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30BB2">
        <w:rPr>
          <w:sz w:val="22"/>
          <w:szCs w:val="22"/>
        </w:rPr>
        <w:t xml:space="preserve">“Novartis Pharma Services AG” dio stranog društva Podgorica </w:t>
      </w:r>
      <w:r w:rsidR="006A7203" w:rsidRPr="00330BB2">
        <w:rPr>
          <w:sz w:val="22"/>
          <w:szCs w:val="22"/>
        </w:rPr>
        <w:t>u</w:t>
      </w:r>
      <w:r w:rsidRPr="00330BB2">
        <w:rPr>
          <w:sz w:val="22"/>
          <w:szCs w:val="22"/>
        </w:rPr>
        <w:t>l. Svetlane Kane Radević br. 3, Podgorica, Crna Gora</w:t>
      </w:r>
    </w:p>
    <w:p w14:paraId="579421C4" w14:textId="3CA94BD5" w:rsidR="00C37FD7" w:rsidRDefault="00C37FD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5CF0F28" w14:textId="77777777" w:rsidR="00330BB2" w:rsidRPr="00330BB2" w:rsidRDefault="00330BB2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8E044A7" w14:textId="77777777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8.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>BROJ DOZVOLE</w:t>
      </w:r>
      <w:r w:rsidR="008A6D43" w:rsidRPr="00330BB2">
        <w:rPr>
          <w:b/>
          <w:bCs/>
          <w:sz w:val="22"/>
          <w:szCs w:val="22"/>
        </w:rPr>
        <w:t xml:space="preserve"> ZA STAVLJANJE LIJEKA U PROMET</w:t>
      </w:r>
    </w:p>
    <w:p w14:paraId="7EB69C72" w14:textId="24EE77EB" w:rsidR="0072020E" w:rsidRDefault="0072020E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B7B45FD" w14:textId="4771E561" w:rsidR="007D2A72" w:rsidRPr="00330BB2" w:rsidRDefault="007D2A72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D2A72">
        <w:rPr>
          <w:bCs/>
          <w:sz w:val="22"/>
          <w:szCs w:val="22"/>
        </w:rPr>
        <w:t>2030/22/2361 - 4874</w:t>
      </w:r>
    </w:p>
    <w:p w14:paraId="3E9CC331" w14:textId="77777777" w:rsidR="00F45F77" w:rsidRPr="00330BB2" w:rsidRDefault="00F45F77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EF8F95B" w14:textId="77777777" w:rsidR="0072020E" w:rsidRPr="00330BB2" w:rsidRDefault="0072020E" w:rsidP="00FA12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9. </w:t>
      </w:r>
      <w:r w:rsidR="00480FB1" w:rsidRPr="00330BB2">
        <w:rPr>
          <w:b/>
          <w:bCs/>
          <w:sz w:val="22"/>
          <w:szCs w:val="22"/>
        </w:rPr>
        <w:tab/>
      </w:r>
      <w:r w:rsidRPr="00330BB2">
        <w:rPr>
          <w:b/>
          <w:bCs/>
          <w:sz w:val="22"/>
          <w:szCs w:val="22"/>
        </w:rPr>
        <w:t xml:space="preserve">DATUM </w:t>
      </w:r>
      <w:r w:rsidR="00C05DF8" w:rsidRPr="00330BB2">
        <w:rPr>
          <w:b/>
          <w:bCs/>
          <w:sz w:val="22"/>
          <w:szCs w:val="22"/>
        </w:rPr>
        <w:t xml:space="preserve">PRVE </w:t>
      </w:r>
      <w:r w:rsidR="008A6D43" w:rsidRPr="00330BB2">
        <w:rPr>
          <w:b/>
          <w:bCs/>
          <w:sz w:val="22"/>
          <w:szCs w:val="22"/>
        </w:rPr>
        <w:t>DOZVOLE</w:t>
      </w:r>
      <w:r w:rsidR="00C05DF8" w:rsidRPr="00330BB2">
        <w:rPr>
          <w:b/>
          <w:bCs/>
          <w:sz w:val="22"/>
          <w:szCs w:val="22"/>
        </w:rPr>
        <w:t>/OBNOVE DOZVOLE</w:t>
      </w:r>
      <w:r w:rsidR="008A6D43" w:rsidRPr="00330BB2">
        <w:rPr>
          <w:b/>
          <w:bCs/>
          <w:sz w:val="22"/>
          <w:szCs w:val="22"/>
        </w:rPr>
        <w:t xml:space="preserve"> ZA STAVLJANJE LIJEKA U PROMET</w:t>
      </w:r>
    </w:p>
    <w:p w14:paraId="5082E7A2" w14:textId="095E9E93" w:rsidR="0072020E" w:rsidRDefault="0072020E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DF62D78" w14:textId="0392E620" w:rsidR="007D2A72" w:rsidRPr="007D2A72" w:rsidRDefault="007D2A72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D2A72">
        <w:rPr>
          <w:bCs/>
          <w:sz w:val="22"/>
          <w:szCs w:val="22"/>
        </w:rPr>
        <w:t>27.09.2022. godine</w:t>
      </w:r>
    </w:p>
    <w:p w14:paraId="48FD07F2" w14:textId="77777777" w:rsidR="00836B35" w:rsidRPr="00330BB2" w:rsidRDefault="00836B35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E269D71" w14:textId="77777777" w:rsidR="003F6A59" w:rsidRPr="00330BB2" w:rsidRDefault="0072020E" w:rsidP="00FA129D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</w:rPr>
      </w:pPr>
      <w:r w:rsidRPr="00330BB2">
        <w:rPr>
          <w:b/>
          <w:bCs/>
          <w:sz w:val="22"/>
          <w:szCs w:val="22"/>
        </w:rPr>
        <w:t xml:space="preserve">10. </w:t>
      </w:r>
      <w:r w:rsidR="00480FB1" w:rsidRPr="00330BB2">
        <w:rPr>
          <w:b/>
          <w:bCs/>
          <w:sz w:val="22"/>
          <w:szCs w:val="22"/>
        </w:rPr>
        <w:tab/>
      </w:r>
      <w:r w:rsidR="002846DB" w:rsidRPr="00330BB2">
        <w:rPr>
          <w:b/>
          <w:bCs/>
          <w:sz w:val="22"/>
          <w:szCs w:val="22"/>
        </w:rPr>
        <w:t>D</w:t>
      </w:r>
      <w:r w:rsidR="00EC2532" w:rsidRPr="00330BB2">
        <w:rPr>
          <w:b/>
          <w:bCs/>
          <w:sz w:val="22"/>
          <w:szCs w:val="22"/>
        </w:rPr>
        <w:t xml:space="preserve">ATUM REVIZIJE TEKSTA </w:t>
      </w:r>
    </w:p>
    <w:p w14:paraId="1A72B951" w14:textId="77777777" w:rsidR="003F6A59" w:rsidRPr="00330BB2" w:rsidRDefault="003F6A59" w:rsidP="00FA129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B266AC8" w14:textId="6DCBBEB4" w:rsidR="003F6A59" w:rsidRPr="00330BB2" w:rsidRDefault="00537B09" w:rsidP="00FA129D">
      <w:pPr>
        <w:jc w:val="both"/>
        <w:rPr>
          <w:sz w:val="22"/>
          <w:szCs w:val="22"/>
          <w:lang w:val="pl-PL"/>
        </w:rPr>
      </w:pPr>
      <w:r>
        <w:rPr>
          <w:bCs/>
          <w:sz w:val="22"/>
          <w:szCs w:val="22"/>
        </w:rPr>
        <w:t>Septembar</w:t>
      </w:r>
      <w:bookmarkStart w:id="6" w:name="_GoBack"/>
      <w:bookmarkEnd w:id="6"/>
      <w:r w:rsidR="001057B6">
        <w:rPr>
          <w:bCs/>
          <w:sz w:val="22"/>
          <w:szCs w:val="22"/>
        </w:rPr>
        <w:t>, 2023. godine</w:t>
      </w:r>
    </w:p>
    <w:sectPr w:rsidR="003F6A59" w:rsidRPr="00330BB2" w:rsidSect="006B5404">
      <w:footerReference w:type="default" r:id="rId16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A72D9" w14:textId="77777777" w:rsidR="00FD0C57" w:rsidRDefault="00FD0C57">
      <w:r>
        <w:separator/>
      </w:r>
    </w:p>
  </w:endnote>
  <w:endnote w:type="continuationSeparator" w:id="0">
    <w:p w14:paraId="5246C1EA" w14:textId="77777777" w:rsidR="00FD0C57" w:rsidRDefault="00FD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247F9" w14:textId="51445103" w:rsidR="00C72551" w:rsidRPr="00B23F69" w:rsidRDefault="00C72551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537B09">
      <w:rPr>
        <w:noProof/>
        <w:sz w:val="22"/>
        <w:szCs w:val="22"/>
      </w:rPr>
      <w:t>11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537B09">
      <w:rPr>
        <w:noProof/>
        <w:sz w:val="22"/>
        <w:szCs w:val="22"/>
      </w:rPr>
      <w:t>12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588FE" w14:textId="77777777" w:rsidR="00FD0C57" w:rsidRDefault="00FD0C57">
      <w:r>
        <w:separator/>
      </w:r>
    </w:p>
  </w:footnote>
  <w:footnote w:type="continuationSeparator" w:id="0">
    <w:p w14:paraId="6FF4CFE1" w14:textId="77777777" w:rsidR="00FD0C57" w:rsidRDefault="00FD0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218B"/>
    <w:rsid w:val="00036FA0"/>
    <w:rsid w:val="0003793F"/>
    <w:rsid w:val="00057E35"/>
    <w:rsid w:val="00076726"/>
    <w:rsid w:val="00080303"/>
    <w:rsid w:val="000A341F"/>
    <w:rsid w:val="000A3F58"/>
    <w:rsid w:val="000D2343"/>
    <w:rsid w:val="000D3449"/>
    <w:rsid w:val="000D425A"/>
    <w:rsid w:val="000D60CC"/>
    <w:rsid w:val="000E2084"/>
    <w:rsid w:val="000E6F55"/>
    <w:rsid w:val="000F77FA"/>
    <w:rsid w:val="001057B6"/>
    <w:rsid w:val="00107BF7"/>
    <w:rsid w:val="00126F53"/>
    <w:rsid w:val="001301ED"/>
    <w:rsid w:val="0014472C"/>
    <w:rsid w:val="0014766D"/>
    <w:rsid w:val="001536CC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7446F"/>
    <w:rsid w:val="002846DB"/>
    <w:rsid w:val="00284CCD"/>
    <w:rsid w:val="002A7728"/>
    <w:rsid w:val="002C6637"/>
    <w:rsid w:val="002E0135"/>
    <w:rsid w:val="002E37A5"/>
    <w:rsid w:val="00310F03"/>
    <w:rsid w:val="003247D2"/>
    <w:rsid w:val="00330BB2"/>
    <w:rsid w:val="003445C1"/>
    <w:rsid w:val="00355B61"/>
    <w:rsid w:val="00362686"/>
    <w:rsid w:val="00371510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7F85"/>
    <w:rsid w:val="00436F42"/>
    <w:rsid w:val="004378B4"/>
    <w:rsid w:val="00451314"/>
    <w:rsid w:val="00452E9D"/>
    <w:rsid w:val="004534C7"/>
    <w:rsid w:val="004671AA"/>
    <w:rsid w:val="00480FB1"/>
    <w:rsid w:val="00483928"/>
    <w:rsid w:val="004847C5"/>
    <w:rsid w:val="0048676F"/>
    <w:rsid w:val="004C331F"/>
    <w:rsid w:val="004D6103"/>
    <w:rsid w:val="004E3BCE"/>
    <w:rsid w:val="004E70AD"/>
    <w:rsid w:val="004F0E97"/>
    <w:rsid w:val="004F6D01"/>
    <w:rsid w:val="00501DD1"/>
    <w:rsid w:val="00515C21"/>
    <w:rsid w:val="00530BD7"/>
    <w:rsid w:val="00537B09"/>
    <w:rsid w:val="00545CD2"/>
    <w:rsid w:val="005463DD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7A7D"/>
    <w:rsid w:val="00602457"/>
    <w:rsid w:val="00644FC3"/>
    <w:rsid w:val="00646BD1"/>
    <w:rsid w:val="006561C2"/>
    <w:rsid w:val="00671CB3"/>
    <w:rsid w:val="00674BAF"/>
    <w:rsid w:val="00682200"/>
    <w:rsid w:val="00692BF6"/>
    <w:rsid w:val="006930FF"/>
    <w:rsid w:val="006A1497"/>
    <w:rsid w:val="006A7203"/>
    <w:rsid w:val="006B0BD1"/>
    <w:rsid w:val="006B5404"/>
    <w:rsid w:val="006D20A5"/>
    <w:rsid w:val="006D37BF"/>
    <w:rsid w:val="00702E22"/>
    <w:rsid w:val="0072020E"/>
    <w:rsid w:val="00786071"/>
    <w:rsid w:val="007A3ECB"/>
    <w:rsid w:val="007B38F0"/>
    <w:rsid w:val="007D1BDB"/>
    <w:rsid w:val="007D2A72"/>
    <w:rsid w:val="007D7BB3"/>
    <w:rsid w:val="00824AB9"/>
    <w:rsid w:val="00836B35"/>
    <w:rsid w:val="00843BDE"/>
    <w:rsid w:val="00854D7A"/>
    <w:rsid w:val="00855CD0"/>
    <w:rsid w:val="0087588C"/>
    <w:rsid w:val="0089705C"/>
    <w:rsid w:val="008A6D43"/>
    <w:rsid w:val="008B491E"/>
    <w:rsid w:val="008C1A28"/>
    <w:rsid w:val="008C2E98"/>
    <w:rsid w:val="008C2FF1"/>
    <w:rsid w:val="008E49BD"/>
    <w:rsid w:val="008E53E9"/>
    <w:rsid w:val="008E5771"/>
    <w:rsid w:val="008F4ACF"/>
    <w:rsid w:val="009014D6"/>
    <w:rsid w:val="00905F5F"/>
    <w:rsid w:val="00924166"/>
    <w:rsid w:val="009246CD"/>
    <w:rsid w:val="00940B9B"/>
    <w:rsid w:val="0095676E"/>
    <w:rsid w:val="00956983"/>
    <w:rsid w:val="00963CF0"/>
    <w:rsid w:val="00964BB1"/>
    <w:rsid w:val="009775D9"/>
    <w:rsid w:val="00997175"/>
    <w:rsid w:val="009A1847"/>
    <w:rsid w:val="009B062A"/>
    <w:rsid w:val="009E7C6F"/>
    <w:rsid w:val="009F1793"/>
    <w:rsid w:val="009F2D23"/>
    <w:rsid w:val="00A01D69"/>
    <w:rsid w:val="00A02335"/>
    <w:rsid w:val="00A25E50"/>
    <w:rsid w:val="00A440B2"/>
    <w:rsid w:val="00A46C9A"/>
    <w:rsid w:val="00A57C4C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F2AC7"/>
    <w:rsid w:val="00AF74CE"/>
    <w:rsid w:val="00B00151"/>
    <w:rsid w:val="00B11056"/>
    <w:rsid w:val="00B208DB"/>
    <w:rsid w:val="00B23F69"/>
    <w:rsid w:val="00B30FEA"/>
    <w:rsid w:val="00B60619"/>
    <w:rsid w:val="00B66A70"/>
    <w:rsid w:val="00B67366"/>
    <w:rsid w:val="00B80EE1"/>
    <w:rsid w:val="00B84135"/>
    <w:rsid w:val="00BD422F"/>
    <w:rsid w:val="00BE7B02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2551"/>
    <w:rsid w:val="00C773CA"/>
    <w:rsid w:val="00C83785"/>
    <w:rsid w:val="00C91DE7"/>
    <w:rsid w:val="00C94C0D"/>
    <w:rsid w:val="00C954BF"/>
    <w:rsid w:val="00CA1FEB"/>
    <w:rsid w:val="00CD4F85"/>
    <w:rsid w:val="00CD6F02"/>
    <w:rsid w:val="00CE246D"/>
    <w:rsid w:val="00CF00A6"/>
    <w:rsid w:val="00CF07A0"/>
    <w:rsid w:val="00CF3E03"/>
    <w:rsid w:val="00D0082A"/>
    <w:rsid w:val="00D025B5"/>
    <w:rsid w:val="00D063C4"/>
    <w:rsid w:val="00D13B61"/>
    <w:rsid w:val="00D15C31"/>
    <w:rsid w:val="00D21455"/>
    <w:rsid w:val="00D47634"/>
    <w:rsid w:val="00D64000"/>
    <w:rsid w:val="00D709B3"/>
    <w:rsid w:val="00DA2ED6"/>
    <w:rsid w:val="00DB76B8"/>
    <w:rsid w:val="00DB78DB"/>
    <w:rsid w:val="00DC2EA1"/>
    <w:rsid w:val="00DD3753"/>
    <w:rsid w:val="00DD6AAF"/>
    <w:rsid w:val="00DE3F5C"/>
    <w:rsid w:val="00DF1D20"/>
    <w:rsid w:val="00E16FB6"/>
    <w:rsid w:val="00E21324"/>
    <w:rsid w:val="00E246B9"/>
    <w:rsid w:val="00E31FEA"/>
    <w:rsid w:val="00E45169"/>
    <w:rsid w:val="00E47787"/>
    <w:rsid w:val="00E51C30"/>
    <w:rsid w:val="00E64180"/>
    <w:rsid w:val="00E74AEE"/>
    <w:rsid w:val="00E868E5"/>
    <w:rsid w:val="00E9237A"/>
    <w:rsid w:val="00E939FA"/>
    <w:rsid w:val="00EA5765"/>
    <w:rsid w:val="00EC2532"/>
    <w:rsid w:val="00ED7812"/>
    <w:rsid w:val="00EF3B86"/>
    <w:rsid w:val="00F06C6E"/>
    <w:rsid w:val="00F317E9"/>
    <w:rsid w:val="00F34554"/>
    <w:rsid w:val="00F45F77"/>
    <w:rsid w:val="00F5167F"/>
    <w:rsid w:val="00F52258"/>
    <w:rsid w:val="00F8570A"/>
    <w:rsid w:val="00F91C7B"/>
    <w:rsid w:val="00FA129D"/>
    <w:rsid w:val="00FD0C57"/>
    <w:rsid w:val="00FD2BD6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F4835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3DD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744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93945-3135-479C-B8E0-B1619ED8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4843</Words>
  <Characters>27609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32388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Ljumović</cp:lastModifiedBy>
  <cp:revision>3</cp:revision>
  <dcterms:created xsi:type="dcterms:W3CDTF">2023-09-21T10:20:00Z</dcterms:created>
  <dcterms:modified xsi:type="dcterms:W3CDTF">2023-09-21T10:20:00Z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etDate">
    <vt:lpwstr>2021-07-05T16:13:08Z</vt:lpwstr>
  </property>
  <property fmtid="{D5CDD505-2E9C-101B-9397-08002B2CF9AE}" pid="5" name="MSIP_Label_4929bff8-5b33-42aa-95d2-28f72e792cb0_Method">
    <vt:lpwstr>Standard</vt:lpwstr>
  </property>
  <property fmtid="{D5CDD505-2E9C-101B-9397-08002B2CF9AE}" pid="6" name="MSIP_Label_4929bff8-5b33-42aa-95d2-28f72e792cb0_Name">
    <vt:lpwstr>Internal</vt:lpwstr>
  </property>
  <property fmtid="{D5CDD505-2E9C-101B-9397-08002B2CF9AE}" pid="7" name="MSIP_Label_4929bff8-5b33-42aa-95d2-28f72e792cb0_SiteId">
    <vt:lpwstr>f35a6974-607f-47d4-82d7-ff31d7dc53a5</vt:lpwstr>
  </property>
  <property fmtid="{D5CDD505-2E9C-101B-9397-08002B2CF9AE}" pid="8" name="MSIP_Label_4929bff8-5b33-42aa-95d2-28f72e792cb0_ActionId">
    <vt:lpwstr>fffd4a3b-7701-4440-b0ce-76150a46fe96</vt:lpwstr>
  </property>
  <property fmtid="{D5CDD505-2E9C-101B-9397-08002B2CF9AE}" pid="9" name="MSIP_Label_4929bff8-5b33-42aa-95d2-28f72e792cb0_ContentBits">
    <vt:lpwstr>0</vt:lpwstr>
  </property>
</Properties>
</file>